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F24BFA" w:rsidRPr="00F24BFA" w:rsidRDefault="00F24BFA" w:rsidP="00F24BFA">
      <w:pPr>
        <w:pStyle w:val="NoSpacing"/>
        <w:jc w:val="center"/>
        <w:rPr>
          <w:rFonts w:ascii="Times New Roman" w:hAnsi="Times New Roman"/>
          <w:sz w:val="28"/>
          <w:szCs w:val="28"/>
        </w:rPr>
      </w:pPr>
      <w:r w:rsidRPr="00F24BFA">
        <w:rPr>
          <w:rFonts w:ascii="Times New Roman" w:hAnsi="Times New Roman"/>
          <w:sz w:val="28"/>
          <w:szCs w:val="28"/>
        </w:rPr>
        <w:t>PRODUCTION OF ETHYLENE FROM ETHANOL DEHYDRATION OVER H</w:t>
      </w:r>
      <w:r w:rsidRPr="00F24BFA">
        <w:rPr>
          <w:rFonts w:ascii="Times New Roman" w:hAnsi="Times New Roman"/>
          <w:sz w:val="28"/>
          <w:szCs w:val="28"/>
          <w:vertAlign w:val="subscript"/>
        </w:rPr>
        <w:t>3</w:t>
      </w:r>
      <w:r w:rsidRPr="00F24BFA">
        <w:rPr>
          <w:rFonts w:ascii="Times New Roman" w:hAnsi="Times New Roman"/>
          <w:sz w:val="28"/>
          <w:szCs w:val="28"/>
        </w:rPr>
        <w:t>PO</w:t>
      </w:r>
      <w:r w:rsidRPr="00F24BFA">
        <w:rPr>
          <w:rFonts w:ascii="Times New Roman" w:hAnsi="Times New Roman"/>
          <w:sz w:val="28"/>
          <w:szCs w:val="28"/>
          <w:vertAlign w:val="subscript"/>
        </w:rPr>
        <w:t>4</w:t>
      </w:r>
      <w:r w:rsidRPr="00F24BFA">
        <w:rPr>
          <w:rFonts w:ascii="Times New Roman" w:hAnsi="Times New Roman"/>
          <w:sz w:val="28"/>
          <w:szCs w:val="28"/>
        </w:rPr>
        <w:t>-MODIFIED CERIUM OXIDE CATALYSTS</w:t>
      </w:r>
    </w:p>
    <w:p w:rsidR="00F24BFA" w:rsidRPr="00F24BFA" w:rsidRDefault="00F24BFA" w:rsidP="00F24BFA">
      <w:pPr>
        <w:spacing w:after="0" w:line="240" w:lineRule="auto"/>
        <w:jc w:val="center"/>
        <w:outlineLvl w:val="0"/>
        <w:rPr>
          <w:rFonts w:ascii="Times New Roman" w:hAnsi="Times New Roman"/>
          <w:b/>
          <w:sz w:val="24"/>
        </w:rPr>
      </w:pPr>
    </w:p>
    <w:p w:rsidR="00F24BFA" w:rsidRPr="00F24BFA" w:rsidRDefault="00F24BFA" w:rsidP="00F24BFA">
      <w:pPr>
        <w:spacing w:after="0" w:line="240" w:lineRule="auto"/>
        <w:jc w:val="center"/>
        <w:outlineLvl w:val="0"/>
        <w:rPr>
          <w:rFonts w:ascii="Times New Roman" w:hAnsi="Times New Roman"/>
          <w:sz w:val="24"/>
          <w:lang w:val="fr-FR"/>
        </w:rPr>
      </w:pPr>
      <w:r w:rsidRPr="00F24BFA">
        <w:rPr>
          <w:rFonts w:ascii="Times New Roman" w:hAnsi="Times New Roman"/>
          <w:sz w:val="24"/>
          <w:lang w:val="fr-FR"/>
        </w:rPr>
        <w:t>(Penghasilan Etilena Daripada Pendehidratan Etanol Dengan Mangkin</w:t>
      </w:r>
      <w:r>
        <w:rPr>
          <w:rFonts w:ascii="Times New Roman" w:hAnsi="Times New Roman"/>
          <w:sz w:val="24"/>
          <w:lang w:val="fr-FR"/>
        </w:rPr>
        <w:t xml:space="preserve"> </w:t>
      </w:r>
      <w:r w:rsidRPr="00F24BFA">
        <w:rPr>
          <w:rFonts w:ascii="Times New Roman" w:hAnsi="Times New Roman"/>
          <w:sz w:val="24"/>
          <w:lang w:val="fr-FR"/>
        </w:rPr>
        <w:t>Serium Oksida Terubahsuai H</w:t>
      </w:r>
      <w:r w:rsidRPr="00F24BFA">
        <w:rPr>
          <w:rFonts w:ascii="Times New Roman" w:hAnsi="Times New Roman"/>
          <w:sz w:val="24"/>
          <w:vertAlign w:val="subscript"/>
          <w:lang w:val="fr-FR"/>
        </w:rPr>
        <w:t>3</w:t>
      </w:r>
      <w:r w:rsidRPr="00F24BFA">
        <w:rPr>
          <w:rFonts w:ascii="Times New Roman" w:hAnsi="Times New Roman"/>
          <w:sz w:val="24"/>
          <w:lang w:val="fr-FR"/>
        </w:rPr>
        <w:t>PO</w:t>
      </w:r>
      <w:r w:rsidRPr="00F24BFA">
        <w:rPr>
          <w:rFonts w:ascii="Times New Roman" w:hAnsi="Times New Roman"/>
          <w:sz w:val="24"/>
          <w:vertAlign w:val="subscript"/>
          <w:lang w:val="fr-FR"/>
        </w:rPr>
        <w:t>4</w:t>
      </w:r>
      <w:r w:rsidRPr="00F24BFA">
        <w:rPr>
          <w:rFonts w:ascii="Times New Roman" w:hAnsi="Times New Roman"/>
          <w:sz w:val="24"/>
          <w:lang w:val="fr-FR"/>
        </w:rPr>
        <w:t>)</w:t>
      </w:r>
    </w:p>
    <w:p w:rsidR="00F24BFA" w:rsidRPr="00F24BFA" w:rsidRDefault="00F24BFA" w:rsidP="00F24BFA">
      <w:pPr>
        <w:spacing w:after="0" w:line="240" w:lineRule="auto"/>
        <w:jc w:val="center"/>
        <w:outlineLvl w:val="0"/>
        <w:rPr>
          <w:rFonts w:ascii="Times New Roman" w:hAnsi="Times New Roman"/>
          <w:b/>
          <w:sz w:val="20"/>
          <w:szCs w:val="20"/>
          <w:lang w:val="fr-FR"/>
        </w:rPr>
      </w:pPr>
    </w:p>
    <w:p w:rsidR="00F24BFA" w:rsidRPr="00F24BFA" w:rsidRDefault="00F24BFA" w:rsidP="00F24BFA">
      <w:pPr>
        <w:spacing w:after="0" w:line="240" w:lineRule="auto"/>
        <w:jc w:val="center"/>
        <w:outlineLvl w:val="0"/>
        <w:rPr>
          <w:rFonts w:ascii="Times New Roman" w:hAnsi="Times New Roman"/>
          <w:sz w:val="20"/>
          <w:szCs w:val="20"/>
        </w:rPr>
      </w:pPr>
      <w:r w:rsidRPr="00F24BFA">
        <w:rPr>
          <w:rFonts w:ascii="Times New Roman" w:hAnsi="Times New Roman"/>
          <w:sz w:val="20"/>
          <w:szCs w:val="20"/>
        </w:rPr>
        <w:t>Soo Ling Chong</w:t>
      </w:r>
      <w:r w:rsidRPr="00F24BFA">
        <w:rPr>
          <w:rFonts w:ascii="Times New Roman" w:hAnsi="Times New Roman"/>
          <w:sz w:val="20"/>
          <w:szCs w:val="20"/>
          <w:vertAlign w:val="superscript"/>
        </w:rPr>
        <w:t>1</w:t>
      </w:r>
      <w:r w:rsidRPr="00F24BFA">
        <w:rPr>
          <w:rFonts w:ascii="Times New Roman" w:hAnsi="Times New Roman"/>
          <w:sz w:val="20"/>
          <w:szCs w:val="20"/>
        </w:rPr>
        <w:t>, Jiah Chee Soh</w:t>
      </w:r>
      <w:r w:rsidRPr="00F24BFA">
        <w:rPr>
          <w:rFonts w:ascii="Times New Roman" w:hAnsi="Times New Roman"/>
          <w:sz w:val="20"/>
          <w:szCs w:val="20"/>
          <w:vertAlign w:val="superscript"/>
        </w:rPr>
        <w:t>1</w:t>
      </w:r>
      <w:r w:rsidRPr="00F24BFA">
        <w:rPr>
          <w:rFonts w:ascii="Times New Roman" w:hAnsi="Times New Roman"/>
          <w:sz w:val="20"/>
          <w:szCs w:val="20"/>
        </w:rPr>
        <w:t>, Chin Kui Cheng</w:t>
      </w:r>
      <w:r w:rsidRPr="00F24BFA">
        <w:rPr>
          <w:rFonts w:ascii="Times New Roman" w:hAnsi="Times New Roman"/>
          <w:sz w:val="20"/>
          <w:szCs w:val="20"/>
          <w:vertAlign w:val="superscript"/>
        </w:rPr>
        <w:t>1,2</w:t>
      </w:r>
      <w:r w:rsidRPr="00F24BFA">
        <w:rPr>
          <w:rFonts w:ascii="Times New Roman" w:hAnsi="Times New Roman"/>
          <w:sz w:val="20"/>
          <w:szCs w:val="20"/>
        </w:rPr>
        <w:t>*</w:t>
      </w:r>
    </w:p>
    <w:p w:rsidR="00AC0033" w:rsidRPr="00F447A7" w:rsidRDefault="00AC0033" w:rsidP="00AC0033">
      <w:pPr>
        <w:spacing w:after="0" w:line="240" w:lineRule="auto"/>
        <w:jc w:val="center"/>
        <w:rPr>
          <w:rFonts w:ascii="Times New Roman" w:hAnsi="Times New Roman"/>
          <w:noProof/>
          <w:sz w:val="18"/>
          <w:szCs w:val="18"/>
          <w:lang w:bidi="ar-SA"/>
        </w:rPr>
      </w:pPr>
    </w:p>
    <w:p w:rsidR="00F24BFA" w:rsidRPr="00E1000A" w:rsidRDefault="00F24BFA" w:rsidP="00F24BFA">
      <w:pPr>
        <w:spacing w:after="0" w:line="240" w:lineRule="auto"/>
        <w:jc w:val="center"/>
        <w:outlineLvl w:val="0"/>
        <w:rPr>
          <w:rFonts w:ascii="Times New Roman" w:hAnsi="Times New Roman"/>
          <w:i/>
          <w:sz w:val="18"/>
          <w:szCs w:val="18"/>
        </w:rPr>
      </w:pPr>
      <w:r w:rsidRPr="00E1000A">
        <w:rPr>
          <w:rFonts w:ascii="Times New Roman" w:hAnsi="Times New Roman"/>
          <w:i/>
          <w:sz w:val="18"/>
          <w:szCs w:val="18"/>
          <w:vertAlign w:val="superscript"/>
        </w:rPr>
        <w:t>1</w:t>
      </w:r>
      <w:r w:rsidRPr="00E1000A">
        <w:rPr>
          <w:rFonts w:ascii="Times New Roman" w:hAnsi="Times New Roman"/>
          <w:i/>
          <w:sz w:val="18"/>
          <w:szCs w:val="18"/>
        </w:rPr>
        <w:t>Faculty of Chemical &amp; Natural Resources Engineering</w:t>
      </w:r>
    </w:p>
    <w:p w:rsidR="00F24BFA" w:rsidRPr="00E1000A" w:rsidRDefault="00F24BFA" w:rsidP="00F24BFA">
      <w:pPr>
        <w:spacing w:after="0" w:line="240" w:lineRule="auto"/>
        <w:jc w:val="center"/>
        <w:outlineLvl w:val="0"/>
        <w:rPr>
          <w:rFonts w:ascii="Times New Roman" w:hAnsi="Times New Roman"/>
          <w:i/>
          <w:sz w:val="18"/>
          <w:szCs w:val="18"/>
        </w:rPr>
      </w:pPr>
      <w:r w:rsidRPr="00E1000A">
        <w:rPr>
          <w:rFonts w:ascii="Times New Roman" w:hAnsi="Times New Roman"/>
          <w:i/>
          <w:sz w:val="18"/>
          <w:szCs w:val="18"/>
          <w:vertAlign w:val="superscript"/>
        </w:rPr>
        <w:t>2</w:t>
      </w:r>
      <w:r w:rsidRPr="00E1000A">
        <w:rPr>
          <w:rFonts w:ascii="Times New Roman" w:hAnsi="Times New Roman"/>
          <w:i/>
          <w:sz w:val="18"/>
          <w:szCs w:val="18"/>
        </w:rPr>
        <w:t>Centre of Excellence for Advanced Research in Fluid Flow</w:t>
      </w:r>
    </w:p>
    <w:p w:rsidR="00F24BFA" w:rsidRPr="00E1000A" w:rsidRDefault="00F24BFA" w:rsidP="00F24BFA">
      <w:pPr>
        <w:spacing w:after="0" w:line="240" w:lineRule="auto"/>
        <w:jc w:val="center"/>
        <w:outlineLvl w:val="0"/>
        <w:rPr>
          <w:rFonts w:ascii="Times New Roman" w:hAnsi="Times New Roman"/>
          <w:i/>
          <w:sz w:val="18"/>
          <w:szCs w:val="18"/>
          <w:lang w:val="fr-FR"/>
        </w:rPr>
      </w:pPr>
      <w:r w:rsidRPr="00E1000A">
        <w:rPr>
          <w:rFonts w:ascii="Times New Roman" w:hAnsi="Times New Roman"/>
          <w:i/>
          <w:sz w:val="18"/>
          <w:szCs w:val="18"/>
          <w:lang w:val="fr-FR"/>
        </w:rPr>
        <w:t>Universiti Malaysia Pahang, 26300 Kuantan, Pahang,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F24BF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F24BFA" w:rsidRPr="00E1000A">
        <w:rPr>
          <w:rFonts w:ascii="Times New Roman" w:hAnsi="Times New Roman"/>
          <w:i/>
          <w:sz w:val="18"/>
        </w:rPr>
        <w:t>chinkui@ump.edu.my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B0A65">
        <w:rPr>
          <w:rFonts w:ascii="Times New Roman" w:hAnsi="Times New Roman"/>
          <w:noProof/>
          <w:sz w:val="18"/>
          <w:szCs w:val="18"/>
          <w:lang w:bidi="ar-SA"/>
        </w:rPr>
        <w:t>20 September 2016</w:t>
      </w:r>
      <w:r>
        <w:rPr>
          <w:rFonts w:ascii="Times New Roman" w:hAnsi="Times New Roman"/>
          <w:noProof/>
          <w:sz w:val="18"/>
          <w:szCs w:val="18"/>
          <w:lang w:bidi="ar-SA"/>
        </w:rPr>
        <w:t xml:space="preserve">; Accepted: </w:t>
      </w:r>
      <w:r w:rsidR="004B0A65">
        <w:rPr>
          <w:rFonts w:ascii="Times New Roman" w:hAnsi="Times New Roman"/>
          <w:noProof/>
          <w:sz w:val="18"/>
          <w:szCs w:val="18"/>
          <w:lang w:bidi="ar-SA"/>
        </w:rPr>
        <w:t>16 May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24BFA" w:rsidRPr="00E1000A" w:rsidRDefault="00F24BFA" w:rsidP="00F24BFA">
      <w:pPr>
        <w:spacing w:after="0" w:line="240" w:lineRule="auto"/>
        <w:jc w:val="both"/>
        <w:rPr>
          <w:rFonts w:ascii="Times New Roman" w:eastAsia="Calibri" w:hAnsi="Times New Roman"/>
          <w:sz w:val="18"/>
          <w:szCs w:val="18"/>
        </w:rPr>
      </w:pPr>
      <w:r w:rsidRPr="00E1000A">
        <w:rPr>
          <w:rFonts w:ascii="Times New Roman" w:eastAsia="Calibri" w:hAnsi="Times New Roman"/>
          <w:sz w:val="18"/>
          <w:szCs w:val="18"/>
          <w:lang w:val="en-MY"/>
        </w:rPr>
        <w:t xml:space="preserve">Production of ethylene from ethanol dehydration was investigated over </w:t>
      </w:r>
      <w:r w:rsidRPr="00E1000A">
        <w:rPr>
          <w:rFonts w:ascii="Times New Roman" w:eastAsia="Calibri" w:hAnsi="Times New Roman"/>
          <w:sz w:val="18"/>
          <w:szCs w:val="18"/>
        </w:rPr>
        <w:t>H</w:t>
      </w:r>
      <w:r w:rsidRPr="00E1000A">
        <w:rPr>
          <w:rFonts w:ascii="Times New Roman" w:eastAsia="Calibri" w:hAnsi="Times New Roman"/>
          <w:sz w:val="18"/>
          <w:szCs w:val="18"/>
          <w:vertAlign w:val="subscript"/>
        </w:rPr>
        <w:t>3</w:t>
      </w:r>
      <w:r w:rsidRPr="00E1000A">
        <w:rPr>
          <w:rFonts w:ascii="Times New Roman" w:eastAsia="Calibri" w:hAnsi="Times New Roman"/>
          <w:sz w:val="18"/>
          <w:szCs w:val="18"/>
        </w:rPr>
        <w:t>PO</w:t>
      </w:r>
      <w:r w:rsidRPr="00E1000A">
        <w:rPr>
          <w:rFonts w:ascii="Times New Roman" w:eastAsia="Calibri" w:hAnsi="Times New Roman"/>
          <w:sz w:val="18"/>
          <w:szCs w:val="18"/>
          <w:vertAlign w:val="subscript"/>
        </w:rPr>
        <w:t>4</w:t>
      </w:r>
      <w:r w:rsidRPr="00E1000A">
        <w:rPr>
          <w:rFonts w:ascii="Times New Roman" w:eastAsia="Calibri" w:hAnsi="Times New Roman"/>
          <w:sz w:val="18"/>
          <w:szCs w:val="18"/>
        </w:rPr>
        <w:t xml:space="preserve"> (10</w:t>
      </w:r>
      <w:r>
        <w:rPr>
          <w:rFonts w:ascii="Times New Roman" w:eastAsia="Calibri" w:hAnsi="Times New Roman"/>
          <w:sz w:val="18"/>
          <w:szCs w:val="18"/>
        </w:rPr>
        <w:t xml:space="preserve"> </w:t>
      </w:r>
      <w:r w:rsidRPr="00E1000A">
        <w:rPr>
          <w:rFonts w:ascii="Times New Roman" w:eastAsia="Calibri" w:hAnsi="Times New Roman"/>
          <w:sz w:val="18"/>
          <w:szCs w:val="18"/>
        </w:rPr>
        <w:t>wt</w:t>
      </w:r>
      <w:r>
        <w:rPr>
          <w:rFonts w:ascii="Times New Roman" w:eastAsia="Calibri" w:hAnsi="Times New Roman"/>
          <w:sz w:val="18"/>
          <w:szCs w:val="18"/>
        </w:rPr>
        <w:t>.</w:t>
      </w:r>
      <w:r w:rsidRPr="00E1000A">
        <w:rPr>
          <w:rFonts w:ascii="Times New Roman" w:eastAsia="Calibri" w:hAnsi="Times New Roman"/>
          <w:sz w:val="18"/>
          <w:szCs w:val="18"/>
        </w:rPr>
        <w:t>% to 30wt</w:t>
      </w:r>
      <w:r>
        <w:rPr>
          <w:rFonts w:ascii="Times New Roman" w:eastAsia="Calibri" w:hAnsi="Times New Roman"/>
          <w:sz w:val="18"/>
          <w:szCs w:val="18"/>
        </w:rPr>
        <w:t>.</w:t>
      </w:r>
      <w:r w:rsidRPr="00E1000A">
        <w:rPr>
          <w:rFonts w:ascii="Times New Roman" w:eastAsia="Calibri" w:hAnsi="Times New Roman"/>
          <w:sz w:val="18"/>
          <w:szCs w:val="18"/>
        </w:rPr>
        <w:t>%)-modified cerium oxide catalysts synthesized by wet impregnation technique. The prepared catalysts were characterized using scanning electron microscope (SEM), N</w:t>
      </w:r>
      <w:r w:rsidRPr="00E1000A">
        <w:rPr>
          <w:rFonts w:ascii="Times New Roman" w:eastAsia="Calibri" w:hAnsi="Times New Roman"/>
          <w:sz w:val="18"/>
          <w:szCs w:val="18"/>
          <w:vertAlign w:val="subscript"/>
        </w:rPr>
        <w:t>2</w:t>
      </w:r>
      <w:r w:rsidRPr="00E1000A">
        <w:rPr>
          <w:rFonts w:ascii="Times New Roman" w:eastAsia="Calibri" w:hAnsi="Times New Roman"/>
          <w:sz w:val="18"/>
          <w:szCs w:val="18"/>
        </w:rPr>
        <w:t xml:space="preserve"> adsorption-desorption method, X-ray diffraction (XRD), Fourier transform infrared spectroscopy (FTIR) and thermogravimetric analysis (TGA) for the physicochemical properties. The ethanol catalytic dehydration was carried out in a fixed-bed reactor at 673-773 K and at ethanol partial pressure of 33 kPa. The effects of phosphorus loading on catalyst and reaction temperatures were investigated in terms of catalytic activity towards product selectivity and yield. Overall, the selectivity and yield of ethylene increased with the temperature and phosphorus loading. The highest ethylene selectivity and yield were 99% and 65%, respectively, at 773 K and 33 kPa over the 30</w:t>
      </w:r>
      <w:r>
        <w:rPr>
          <w:rFonts w:ascii="Times New Roman" w:eastAsia="Calibri" w:hAnsi="Times New Roman"/>
          <w:sz w:val="18"/>
          <w:szCs w:val="18"/>
        </w:rPr>
        <w:t xml:space="preserve"> </w:t>
      </w:r>
      <w:r w:rsidRPr="00E1000A">
        <w:rPr>
          <w:rFonts w:ascii="Times New Roman" w:eastAsia="Calibri" w:hAnsi="Times New Roman"/>
          <w:sz w:val="18"/>
          <w:szCs w:val="18"/>
        </w:rPr>
        <w:t>wt</w:t>
      </w:r>
      <w:r>
        <w:rPr>
          <w:rFonts w:ascii="Times New Roman" w:eastAsia="Calibri" w:hAnsi="Times New Roman"/>
          <w:sz w:val="18"/>
          <w:szCs w:val="18"/>
        </w:rPr>
        <w:t>.</w:t>
      </w:r>
      <w:r w:rsidRPr="00E1000A">
        <w:rPr>
          <w:rFonts w:ascii="Times New Roman" w:eastAsia="Calibri" w:hAnsi="Times New Roman"/>
          <w:sz w:val="18"/>
          <w:szCs w:val="18"/>
        </w:rPr>
        <w:t>% H</w:t>
      </w:r>
      <w:r w:rsidRPr="00E1000A">
        <w:rPr>
          <w:rFonts w:ascii="Times New Roman" w:eastAsia="Calibri" w:hAnsi="Times New Roman"/>
          <w:sz w:val="18"/>
          <w:szCs w:val="18"/>
          <w:vertAlign w:val="subscript"/>
        </w:rPr>
        <w:t>3</w:t>
      </w:r>
      <w:r w:rsidRPr="00E1000A">
        <w:rPr>
          <w:rFonts w:ascii="Times New Roman" w:eastAsia="Calibri" w:hAnsi="Times New Roman"/>
          <w:sz w:val="18"/>
          <w:szCs w:val="18"/>
        </w:rPr>
        <w:t>PO</w:t>
      </w:r>
      <w:r w:rsidRPr="00E1000A">
        <w:rPr>
          <w:rFonts w:ascii="Times New Roman" w:eastAsia="Calibri" w:hAnsi="Times New Roman"/>
          <w:sz w:val="18"/>
          <w:szCs w:val="18"/>
          <w:vertAlign w:val="subscript"/>
        </w:rPr>
        <w:t>4</w:t>
      </w:r>
      <w:r w:rsidRPr="00E1000A">
        <w:rPr>
          <w:rFonts w:ascii="Times New Roman" w:eastAsia="Calibri" w:hAnsi="Times New Roman"/>
          <w:sz w:val="18"/>
          <w:szCs w:val="18"/>
        </w:rPr>
        <w:t xml:space="preserve">-modified cerium oxide. </w:t>
      </w:r>
    </w:p>
    <w:p w:rsidR="00F24BFA" w:rsidRPr="00E1000A" w:rsidRDefault="00F24BFA" w:rsidP="00F24BFA">
      <w:pPr>
        <w:spacing w:after="0" w:line="240" w:lineRule="auto"/>
        <w:jc w:val="both"/>
        <w:outlineLvl w:val="0"/>
        <w:rPr>
          <w:rFonts w:ascii="Times New Roman" w:hAnsi="Times New Roman"/>
          <w:sz w:val="18"/>
          <w:szCs w:val="18"/>
        </w:rPr>
      </w:pPr>
    </w:p>
    <w:p w:rsidR="00F24BFA" w:rsidRPr="00E1000A" w:rsidRDefault="00F24BFA" w:rsidP="00F24BFA">
      <w:pPr>
        <w:spacing w:after="0" w:line="240" w:lineRule="auto"/>
        <w:jc w:val="both"/>
        <w:outlineLvl w:val="0"/>
        <w:rPr>
          <w:rFonts w:ascii="Times New Roman" w:hAnsi="Times New Roman"/>
          <w:sz w:val="18"/>
          <w:szCs w:val="18"/>
        </w:rPr>
      </w:pPr>
      <w:r w:rsidRPr="00E1000A">
        <w:rPr>
          <w:rFonts w:ascii="Times New Roman" w:hAnsi="Times New Roman"/>
          <w:b/>
          <w:sz w:val="18"/>
          <w:szCs w:val="18"/>
        </w:rPr>
        <w:t>Keyword</w:t>
      </w:r>
      <w:r w:rsidR="00280C8F">
        <w:rPr>
          <w:rFonts w:ascii="Times New Roman" w:hAnsi="Times New Roman"/>
          <w:b/>
          <w:sz w:val="18"/>
          <w:szCs w:val="18"/>
        </w:rPr>
        <w:t>s</w:t>
      </w:r>
      <w:r w:rsidRPr="00E1000A">
        <w:rPr>
          <w:rFonts w:ascii="Times New Roman" w:hAnsi="Times New Roman"/>
          <w:sz w:val="18"/>
          <w:szCs w:val="18"/>
        </w:rPr>
        <w:t xml:space="preserve">: </w:t>
      </w:r>
      <w:r>
        <w:rPr>
          <w:rFonts w:ascii="Times New Roman" w:hAnsi="Times New Roman"/>
          <w:sz w:val="18"/>
          <w:szCs w:val="18"/>
        </w:rPr>
        <w:t xml:space="preserve"> </w:t>
      </w:r>
      <w:r w:rsidRPr="00E1000A">
        <w:rPr>
          <w:rFonts w:ascii="Times New Roman" w:eastAsia="Calibri" w:hAnsi="Times New Roman"/>
          <w:sz w:val="18"/>
          <w:szCs w:val="18"/>
        </w:rPr>
        <w:t>ethylene production, ethanol dehydration, H</w:t>
      </w:r>
      <w:r w:rsidRPr="00E1000A">
        <w:rPr>
          <w:rFonts w:ascii="Times New Roman" w:eastAsia="Calibri" w:hAnsi="Times New Roman"/>
          <w:sz w:val="18"/>
          <w:szCs w:val="18"/>
          <w:vertAlign w:val="subscript"/>
        </w:rPr>
        <w:t>3</w:t>
      </w:r>
      <w:r w:rsidRPr="00E1000A">
        <w:rPr>
          <w:rFonts w:ascii="Times New Roman" w:eastAsia="Calibri" w:hAnsi="Times New Roman"/>
          <w:sz w:val="18"/>
          <w:szCs w:val="18"/>
        </w:rPr>
        <w:t>PO</w:t>
      </w:r>
      <w:r w:rsidRPr="00E1000A">
        <w:rPr>
          <w:rFonts w:ascii="Times New Roman" w:eastAsia="Calibri" w:hAnsi="Times New Roman"/>
          <w:sz w:val="18"/>
          <w:szCs w:val="18"/>
          <w:vertAlign w:val="subscript"/>
        </w:rPr>
        <w:t>4</w:t>
      </w:r>
      <w:r w:rsidRPr="00E1000A">
        <w:rPr>
          <w:rFonts w:ascii="Times New Roman" w:eastAsia="Calibri" w:hAnsi="Times New Roman"/>
          <w:sz w:val="18"/>
          <w:szCs w:val="18"/>
        </w:rPr>
        <w:t xml:space="preserve"> modification, cerium oxide</w:t>
      </w:r>
    </w:p>
    <w:p w:rsidR="00F24BFA" w:rsidRPr="00E1000A" w:rsidRDefault="00F24BFA" w:rsidP="00F24BFA">
      <w:pPr>
        <w:spacing w:after="0" w:line="240" w:lineRule="auto"/>
        <w:jc w:val="center"/>
        <w:outlineLvl w:val="0"/>
        <w:rPr>
          <w:rFonts w:ascii="Times New Roman" w:hAnsi="Times New Roman"/>
          <w:b/>
        </w:rPr>
      </w:pPr>
    </w:p>
    <w:p w:rsidR="00F24BFA" w:rsidRPr="00E1000A" w:rsidRDefault="00F24BFA" w:rsidP="00F24BFA">
      <w:pPr>
        <w:spacing w:after="0" w:line="240" w:lineRule="auto"/>
        <w:jc w:val="center"/>
        <w:outlineLvl w:val="0"/>
        <w:rPr>
          <w:rFonts w:ascii="Times New Roman" w:hAnsi="Times New Roman"/>
          <w:b/>
          <w:sz w:val="18"/>
          <w:szCs w:val="18"/>
        </w:rPr>
      </w:pPr>
      <w:r w:rsidRPr="00E1000A">
        <w:rPr>
          <w:rFonts w:ascii="Times New Roman" w:hAnsi="Times New Roman"/>
          <w:b/>
          <w:sz w:val="18"/>
          <w:szCs w:val="18"/>
        </w:rPr>
        <w:t>Abstrak</w:t>
      </w:r>
    </w:p>
    <w:p w:rsidR="00F24BFA" w:rsidRPr="00E1000A" w:rsidRDefault="00F24BFA" w:rsidP="00F24BFA">
      <w:pPr>
        <w:spacing w:after="0" w:line="240" w:lineRule="auto"/>
        <w:jc w:val="both"/>
        <w:outlineLvl w:val="0"/>
        <w:rPr>
          <w:rFonts w:ascii="Times New Roman" w:hAnsi="Times New Roman"/>
          <w:sz w:val="18"/>
          <w:szCs w:val="18"/>
          <w:lang w:val="ms-MY"/>
        </w:rPr>
      </w:pPr>
      <w:r w:rsidRPr="00E1000A">
        <w:rPr>
          <w:rFonts w:ascii="Times New Roman" w:hAnsi="Times New Roman"/>
          <w:sz w:val="18"/>
          <w:szCs w:val="18"/>
          <w:lang w:val="ms-MY"/>
        </w:rPr>
        <w:t xml:space="preserve">Penghasilan etilena daripada pendehidratan etanol telah dikaji dengan mangkin </w:t>
      </w:r>
      <w:r w:rsidRPr="00E1000A">
        <w:rPr>
          <w:rFonts w:ascii="Times New Roman" w:eastAsia="Calibri" w:hAnsi="Times New Roman"/>
          <w:sz w:val="18"/>
          <w:szCs w:val="18"/>
          <w:lang w:val="ms-MY"/>
        </w:rPr>
        <w:t>serium oksida terubahsuai H</w:t>
      </w:r>
      <w:r w:rsidRPr="00E1000A">
        <w:rPr>
          <w:rFonts w:ascii="Times New Roman" w:eastAsia="Calibri" w:hAnsi="Times New Roman"/>
          <w:sz w:val="18"/>
          <w:szCs w:val="18"/>
          <w:vertAlign w:val="subscript"/>
          <w:lang w:val="ms-MY"/>
        </w:rPr>
        <w:t>3</w:t>
      </w:r>
      <w:r w:rsidRPr="00E1000A">
        <w:rPr>
          <w:rFonts w:ascii="Times New Roman" w:eastAsia="Calibri" w:hAnsi="Times New Roman"/>
          <w:sz w:val="18"/>
          <w:szCs w:val="18"/>
          <w:lang w:val="ms-MY"/>
        </w:rPr>
        <w:t>PO</w:t>
      </w:r>
      <w:r w:rsidRPr="00E1000A">
        <w:rPr>
          <w:rFonts w:ascii="Times New Roman" w:eastAsia="Calibri" w:hAnsi="Times New Roman"/>
          <w:sz w:val="18"/>
          <w:szCs w:val="18"/>
          <w:vertAlign w:val="subscript"/>
          <w:lang w:val="ms-MY"/>
        </w:rPr>
        <w:t>4</w:t>
      </w:r>
      <w:r w:rsidRPr="00E1000A">
        <w:rPr>
          <w:rFonts w:ascii="Times New Roman" w:eastAsia="Calibri" w:hAnsi="Times New Roman"/>
          <w:sz w:val="18"/>
          <w:szCs w:val="18"/>
          <w:lang w:val="ms-MY"/>
        </w:rPr>
        <w:t xml:space="preserve"> (10 wt</w:t>
      </w:r>
      <w:r>
        <w:rPr>
          <w:rFonts w:ascii="Times New Roman" w:eastAsia="Calibri" w:hAnsi="Times New Roman"/>
          <w:sz w:val="18"/>
          <w:szCs w:val="18"/>
          <w:lang w:val="ms-MY"/>
        </w:rPr>
        <w:t>.</w:t>
      </w:r>
      <w:r w:rsidRPr="00E1000A">
        <w:rPr>
          <w:rFonts w:ascii="Times New Roman" w:eastAsia="Calibri" w:hAnsi="Times New Roman"/>
          <w:sz w:val="18"/>
          <w:szCs w:val="18"/>
          <w:lang w:val="ms-MY"/>
        </w:rPr>
        <w:t>% hingga 30 wt</w:t>
      </w:r>
      <w:r>
        <w:rPr>
          <w:rFonts w:ascii="Times New Roman" w:eastAsia="Calibri" w:hAnsi="Times New Roman"/>
          <w:sz w:val="18"/>
          <w:szCs w:val="18"/>
          <w:lang w:val="ms-MY"/>
        </w:rPr>
        <w:t>.</w:t>
      </w:r>
      <w:r w:rsidRPr="00E1000A">
        <w:rPr>
          <w:rFonts w:ascii="Times New Roman" w:eastAsia="Calibri" w:hAnsi="Times New Roman"/>
          <w:sz w:val="18"/>
          <w:szCs w:val="18"/>
          <w:lang w:val="ms-MY"/>
        </w:rPr>
        <w:t>%) yang dihasilkan melalui kaedah pengisitepuan</w:t>
      </w:r>
      <w:r w:rsidRPr="00E1000A">
        <w:rPr>
          <w:rFonts w:ascii="Times New Roman" w:hAnsi="Times New Roman"/>
          <w:sz w:val="18"/>
          <w:szCs w:val="18"/>
          <w:lang w:val="ms-MY"/>
        </w:rPr>
        <w:t xml:space="preserve">. Mangkin disediakan telah dicirikan menggunakan </w:t>
      </w:r>
      <w:r w:rsidRPr="00E1000A">
        <w:rPr>
          <w:rFonts w:ascii="Times New Roman" w:eastAsia="Calibri" w:hAnsi="Times New Roman"/>
          <w:sz w:val="18"/>
          <w:szCs w:val="18"/>
          <w:lang w:val="ms-MY"/>
        </w:rPr>
        <w:t>mikroskop elektron imbasan (SEM), kaedah  penjerapan-nyahjerapan N</w:t>
      </w:r>
      <w:r w:rsidRPr="00E1000A">
        <w:rPr>
          <w:rFonts w:ascii="Times New Roman" w:eastAsia="Calibri" w:hAnsi="Times New Roman"/>
          <w:sz w:val="18"/>
          <w:szCs w:val="18"/>
          <w:vertAlign w:val="subscript"/>
          <w:lang w:val="ms-MY"/>
        </w:rPr>
        <w:t>2</w:t>
      </w:r>
      <w:r w:rsidRPr="00E1000A">
        <w:rPr>
          <w:rFonts w:ascii="Times New Roman" w:eastAsia="Calibri" w:hAnsi="Times New Roman"/>
          <w:sz w:val="18"/>
          <w:szCs w:val="18"/>
          <w:lang w:val="ms-MY"/>
        </w:rPr>
        <w:t>, pembelauan sinar-X (XRD)</w:t>
      </w:r>
      <w:r w:rsidRPr="00E1000A">
        <w:rPr>
          <w:rFonts w:ascii="Times New Roman" w:eastAsia="Calibri" w:hAnsi="Times New Roman"/>
          <w:i/>
          <w:sz w:val="18"/>
          <w:szCs w:val="18"/>
          <w:lang w:val="ms-MY"/>
        </w:rPr>
        <w:t xml:space="preserve">, </w:t>
      </w:r>
      <w:r w:rsidRPr="00E1000A">
        <w:rPr>
          <w:rFonts w:ascii="Times New Roman" w:eastAsia="Calibri" w:hAnsi="Times New Roman"/>
          <w:sz w:val="18"/>
          <w:szCs w:val="18"/>
          <w:lang w:val="ms-MY"/>
        </w:rPr>
        <w:t xml:space="preserve">spektroskopi inframerah transformasi Fourier (FTIR) dan analisis termogravimetri (TGA) untuk mengetahui sifat fizikokimia mangkin. </w:t>
      </w:r>
      <w:r w:rsidRPr="00E1000A">
        <w:rPr>
          <w:rFonts w:ascii="Times New Roman" w:hAnsi="Times New Roman"/>
          <w:sz w:val="18"/>
          <w:szCs w:val="18"/>
          <w:lang w:val="ms-MY"/>
        </w:rPr>
        <w:t>Tindak balas pendehidratan etanol dengan mangkin dilakukan di dalam reaktor turus terpadat pada julat suhu 673 – 773 K dan tekanan separa etanol 33 kPa. Pengaruh muatan H</w:t>
      </w:r>
      <w:r w:rsidRPr="00E1000A">
        <w:rPr>
          <w:rFonts w:ascii="Times New Roman" w:hAnsi="Times New Roman"/>
          <w:sz w:val="18"/>
          <w:szCs w:val="18"/>
          <w:vertAlign w:val="subscript"/>
          <w:lang w:val="ms-MY"/>
        </w:rPr>
        <w:t>3</w:t>
      </w:r>
      <w:r w:rsidRPr="00E1000A">
        <w:rPr>
          <w:rFonts w:ascii="Times New Roman" w:hAnsi="Times New Roman"/>
          <w:sz w:val="18"/>
          <w:szCs w:val="18"/>
          <w:lang w:val="ms-MY"/>
        </w:rPr>
        <w:t>PO</w:t>
      </w:r>
      <w:r w:rsidRPr="00E1000A">
        <w:rPr>
          <w:rFonts w:ascii="Times New Roman" w:hAnsi="Times New Roman"/>
          <w:sz w:val="18"/>
          <w:szCs w:val="18"/>
          <w:vertAlign w:val="subscript"/>
          <w:lang w:val="ms-MY"/>
        </w:rPr>
        <w:t xml:space="preserve">4 </w:t>
      </w:r>
      <w:r w:rsidRPr="00E1000A">
        <w:rPr>
          <w:rFonts w:ascii="Times New Roman" w:hAnsi="Times New Roman"/>
          <w:sz w:val="18"/>
          <w:szCs w:val="18"/>
          <w:lang w:val="ms-MY"/>
        </w:rPr>
        <w:t>dan suhu tindak bal</w:t>
      </w:r>
      <w:r>
        <w:rPr>
          <w:rFonts w:ascii="Times New Roman" w:hAnsi="Times New Roman"/>
          <w:sz w:val="18"/>
          <w:szCs w:val="18"/>
          <w:lang w:val="ms-MY"/>
        </w:rPr>
        <w:t>a</w:t>
      </w:r>
      <w:r w:rsidRPr="00E1000A">
        <w:rPr>
          <w:rFonts w:ascii="Times New Roman" w:hAnsi="Times New Roman"/>
          <w:sz w:val="18"/>
          <w:szCs w:val="18"/>
          <w:lang w:val="ms-MY"/>
        </w:rPr>
        <w:t>s kimia dalam pendehidratan</w:t>
      </w:r>
      <w:r>
        <w:rPr>
          <w:rFonts w:ascii="Times New Roman" w:hAnsi="Times New Roman"/>
          <w:sz w:val="18"/>
          <w:szCs w:val="18"/>
          <w:lang w:val="ms-MY"/>
        </w:rPr>
        <w:t xml:space="preserve"> etanol </w:t>
      </w:r>
      <w:r w:rsidRPr="00E1000A">
        <w:rPr>
          <w:rFonts w:ascii="Times New Roman" w:hAnsi="Times New Roman"/>
          <w:sz w:val="18"/>
          <w:szCs w:val="18"/>
          <w:lang w:val="ms-MY"/>
        </w:rPr>
        <w:t>telah dikaji.</w:t>
      </w:r>
      <w:r>
        <w:rPr>
          <w:rFonts w:ascii="Times New Roman" w:hAnsi="Times New Roman"/>
          <w:sz w:val="18"/>
          <w:szCs w:val="18"/>
          <w:lang w:val="ms-MY"/>
        </w:rPr>
        <w:t xml:space="preserve"> </w:t>
      </w:r>
      <w:r w:rsidRPr="00E1000A">
        <w:rPr>
          <w:rFonts w:ascii="Times New Roman" w:hAnsi="Times New Roman"/>
          <w:sz w:val="18"/>
          <w:szCs w:val="18"/>
          <w:lang w:val="ms-MY"/>
        </w:rPr>
        <w:t>Secara keseluruhan, kepilihan dan hasil etena meningkat dengan muatan H</w:t>
      </w:r>
      <w:r w:rsidRPr="00E1000A">
        <w:rPr>
          <w:rFonts w:ascii="Times New Roman" w:hAnsi="Times New Roman"/>
          <w:sz w:val="18"/>
          <w:szCs w:val="18"/>
          <w:vertAlign w:val="subscript"/>
          <w:lang w:val="ms-MY"/>
        </w:rPr>
        <w:t>3</w:t>
      </w:r>
      <w:r w:rsidRPr="00E1000A">
        <w:rPr>
          <w:rFonts w:ascii="Times New Roman" w:hAnsi="Times New Roman"/>
          <w:sz w:val="18"/>
          <w:szCs w:val="18"/>
          <w:lang w:val="ms-MY"/>
        </w:rPr>
        <w:t>PO</w:t>
      </w:r>
      <w:r w:rsidRPr="00E1000A">
        <w:rPr>
          <w:rFonts w:ascii="Times New Roman" w:hAnsi="Times New Roman"/>
          <w:sz w:val="18"/>
          <w:szCs w:val="18"/>
          <w:vertAlign w:val="subscript"/>
          <w:lang w:val="ms-MY"/>
        </w:rPr>
        <w:t xml:space="preserve">4 </w:t>
      </w:r>
      <w:r w:rsidRPr="00E1000A">
        <w:rPr>
          <w:rFonts w:ascii="Times New Roman" w:hAnsi="Times New Roman"/>
          <w:sz w:val="18"/>
          <w:szCs w:val="18"/>
          <w:lang w:val="ms-MY"/>
        </w:rPr>
        <w:t>dan suhu tindak balas kimia. Kepilihan dan hasil etena tertinggi masing-masing ialah 99% dan 65% pada 773 K dan 33kPa untuk mangkin</w:t>
      </w:r>
      <w:r>
        <w:rPr>
          <w:rFonts w:ascii="Times New Roman" w:hAnsi="Times New Roman"/>
          <w:sz w:val="18"/>
          <w:szCs w:val="18"/>
          <w:lang w:val="ms-MY"/>
        </w:rPr>
        <w:t xml:space="preserve"> </w:t>
      </w:r>
      <w:r w:rsidRPr="00E1000A">
        <w:rPr>
          <w:rFonts w:ascii="Times New Roman" w:eastAsia="Calibri" w:hAnsi="Times New Roman"/>
          <w:sz w:val="18"/>
          <w:szCs w:val="18"/>
          <w:lang w:val="ms-MY"/>
        </w:rPr>
        <w:t>serium oksida terubahsuai</w:t>
      </w:r>
      <w:r>
        <w:rPr>
          <w:rFonts w:ascii="Times New Roman" w:eastAsia="Calibri" w:hAnsi="Times New Roman"/>
          <w:sz w:val="18"/>
          <w:szCs w:val="18"/>
          <w:lang w:val="ms-MY"/>
        </w:rPr>
        <w:t xml:space="preserve"> </w:t>
      </w:r>
      <w:r w:rsidRPr="00E1000A">
        <w:rPr>
          <w:rFonts w:ascii="Times New Roman" w:eastAsia="Calibri" w:hAnsi="Times New Roman"/>
          <w:sz w:val="18"/>
          <w:szCs w:val="18"/>
          <w:lang w:val="ms-MY"/>
        </w:rPr>
        <w:t>H</w:t>
      </w:r>
      <w:r w:rsidRPr="00E1000A">
        <w:rPr>
          <w:rFonts w:ascii="Times New Roman" w:eastAsia="Calibri" w:hAnsi="Times New Roman"/>
          <w:sz w:val="18"/>
          <w:szCs w:val="18"/>
          <w:vertAlign w:val="subscript"/>
          <w:lang w:val="ms-MY"/>
        </w:rPr>
        <w:t>3</w:t>
      </w:r>
      <w:r w:rsidRPr="00E1000A">
        <w:rPr>
          <w:rFonts w:ascii="Times New Roman" w:eastAsia="Calibri" w:hAnsi="Times New Roman"/>
          <w:sz w:val="18"/>
          <w:szCs w:val="18"/>
          <w:lang w:val="ms-MY"/>
        </w:rPr>
        <w:t>PO</w:t>
      </w:r>
      <w:r w:rsidRPr="00E1000A">
        <w:rPr>
          <w:rFonts w:ascii="Times New Roman" w:eastAsia="Calibri" w:hAnsi="Times New Roman"/>
          <w:sz w:val="18"/>
          <w:szCs w:val="18"/>
          <w:vertAlign w:val="subscript"/>
          <w:lang w:val="ms-MY"/>
        </w:rPr>
        <w:t xml:space="preserve">4 </w:t>
      </w:r>
      <w:r w:rsidRPr="00E1000A">
        <w:rPr>
          <w:rFonts w:ascii="Times New Roman" w:eastAsia="Calibri" w:hAnsi="Times New Roman"/>
          <w:sz w:val="18"/>
          <w:szCs w:val="18"/>
          <w:lang w:val="ms-MY"/>
        </w:rPr>
        <w:t>30</w:t>
      </w:r>
      <w:r>
        <w:rPr>
          <w:rFonts w:ascii="Times New Roman" w:eastAsia="Calibri" w:hAnsi="Times New Roman"/>
          <w:sz w:val="18"/>
          <w:szCs w:val="18"/>
          <w:lang w:val="ms-MY"/>
        </w:rPr>
        <w:t xml:space="preserve"> </w:t>
      </w:r>
      <w:r w:rsidRPr="00E1000A">
        <w:rPr>
          <w:rFonts w:ascii="Times New Roman" w:eastAsia="Calibri" w:hAnsi="Times New Roman"/>
          <w:sz w:val="18"/>
          <w:szCs w:val="18"/>
          <w:lang w:val="ms-MY"/>
        </w:rPr>
        <w:t>wt</w:t>
      </w:r>
      <w:r>
        <w:rPr>
          <w:rFonts w:ascii="Times New Roman" w:eastAsia="Calibri" w:hAnsi="Times New Roman"/>
          <w:sz w:val="18"/>
          <w:szCs w:val="18"/>
          <w:lang w:val="ms-MY"/>
        </w:rPr>
        <w:t>.</w:t>
      </w:r>
      <w:r w:rsidRPr="00E1000A">
        <w:rPr>
          <w:rFonts w:ascii="Times New Roman" w:eastAsia="Calibri" w:hAnsi="Times New Roman"/>
          <w:sz w:val="18"/>
          <w:szCs w:val="18"/>
          <w:lang w:val="ms-MY"/>
        </w:rPr>
        <w:t>%.</w:t>
      </w:r>
    </w:p>
    <w:p w:rsidR="00F24BFA" w:rsidRPr="00E1000A" w:rsidRDefault="00F24BFA" w:rsidP="00F24BFA">
      <w:pPr>
        <w:spacing w:after="0" w:line="240" w:lineRule="auto"/>
        <w:jc w:val="both"/>
        <w:outlineLvl w:val="0"/>
        <w:rPr>
          <w:rFonts w:ascii="Times New Roman" w:hAnsi="Times New Roman"/>
          <w:sz w:val="18"/>
          <w:szCs w:val="18"/>
          <w:lang w:val="ms-MY"/>
        </w:rPr>
      </w:pPr>
    </w:p>
    <w:p w:rsidR="00AC0033" w:rsidRDefault="00F24BFA" w:rsidP="00F24BFA">
      <w:pPr>
        <w:spacing w:after="0" w:line="240" w:lineRule="auto"/>
        <w:jc w:val="both"/>
        <w:rPr>
          <w:rFonts w:ascii="Times New Roman" w:hAnsi="Times New Roman"/>
          <w:noProof/>
          <w:sz w:val="20"/>
          <w:szCs w:val="20"/>
          <w:lang w:bidi="ar-SA"/>
        </w:rPr>
      </w:pPr>
      <w:r w:rsidRPr="00E1000A">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E1000A">
        <w:rPr>
          <w:rFonts w:ascii="Times New Roman" w:hAnsi="Times New Roman"/>
          <w:sz w:val="18"/>
          <w:szCs w:val="18"/>
          <w:lang w:val="ms-MY"/>
        </w:rPr>
        <w:t xml:space="preserve">penghasilan </w:t>
      </w:r>
      <w:r>
        <w:rPr>
          <w:rFonts w:ascii="Times New Roman" w:hAnsi="Times New Roman"/>
          <w:sz w:val="18"/>
          <w:szCs w:val="18"/>
          <w:lang w:val="ms-MY"/>
        </w:rPr>
        <w:t>etilena</w:t>
      </w:r>
      <w:r w:rsidRPr="00E1000A">
        <w:rPr>
          <w:rFonts w:ascii="Times New Roman" w:hAnsi="Times New Roman"/>
          <w:sz w:val="18"/>
          <w:szCs w:val="18"/>
          <w:lang w:val="ms-MY"/>
        </w:rPr>
        <w:t>, pendehidratan etanol, pengubahsuaian</w:t>
      </w:r>
      <w:r w:rsidRPr="00E1000A">
        <w:rPr>
          <w:rFonts w:ascii="Times New Roman" w:eastAsia="Calibri" w:hAnsi="Times New Roman"/>
          <w:sz w:val="18"/>
          <w:szCs w:val="18"/>
          <w:lang w:val="ms-MY"/>
        </w:rPr>
        <w:t xml:space="preserve"> H</w:t>
      </w:r>
      <w:r w:rsidRPr="00E1000A">
        <w:rPr>
          <w:rFonts w:ascii="Times New Roman" w:eastAsia="Calibri" w:hAnsi="Times New Roman"/>
          <w:sz w:val="18"/>
          <w:szCs w:val="18"/>
          <w:vertAlign w:val="subscript"/>
          <w:lang w:val="ms-MY"/>
        </w:rPr>
        <w:t>3</w:t>
      </w:r>
      <w:r w:rsidRPr="00E1000A">
        <w:rPr>
          <w:rFonts w:ascii="Times New Roman" w:eastAsia="Calibri" w:hAnsi="Times New Roman"/>
          <w:sz w:val="18"/>
          <w:szCs w:val="18"/>
          <w:lang w:val="ms-MY"/>
        </w:rPr>
        <w:t>PO</w:t>
      </w:r>
      <w:r w:rsidRPr="00E1000A">
        <w:rPr>
          <w:rFonts w:ascii="Times New Roman" w:eastAsia="Calibri" w:hAnsi="Times New Roman"/>
          <w:sz w:val="18"/>
          <w:szCs w:val="18"/>
          <w:vertAlign w:val="subscript"/>
          <w:lang w:val="ms-MY"/>
        </w:rPr>
        <w:t>4</w:t>
      </w:r>
      <w:r w:rsidRPr="00E1000A">
        <w:rPr>
          <w:rFonts w:ascii="Times New Roman" w:eastAsia="Calibri" w:hAnsi="Times New Roman"/>
          <w:sz w:val="18"/>
          <w:szCs w:val="18"/>
          <w:lang w:val="ms-MY"/>
        </w:rPr>
        <w:t>, serium oksida</w:t>
      </w:r>
    </w:p>
    <w:p w:rsidR="00AC0033" w:rsidRDefault="00AC0033" w:rsidP="00AC0033">
      <w:pPr>
        <w:spacing w:after="0" w:line="240" w:lineRule="auto"/>
        <w:jc w:val="center"/>
        <w:rPr>
          <w:rFonts w:ascii="Times New Roman" w:hAnsi="Times New Roman"/>
          <w:noProof/>
          <w:sz w:val="20"/>
          <w:szCs w:val="20"/>
          <w:lang w:bidi="ar-SA"/>
        </w:rPr>
      </w:pPr>
    </w:p>
    <w:p w:rsidR="00F24BFA" w:rsidRDefault="00F24BFA" w:rsidP="00AC0033">
      <w:pPr>
        <w:spacing w:after="0" w:line="240" w:lineRule="auto"/>
        <w:jc w:val="center"/>
        <w:rPr>
          <w:rFonts w:ascii="Times New Roman" w:hAnsi="Times New Roman"/>
          <w:noProof/>
          <w:sz w:val="20"/>
          <w:szCs w:val="20"/>
          <w:lang w:bidi="ar-SA"/>
        </w:rPr>
      </w:pPr>
    </w:p>
    <w:p w:rsidR="00F24BFA" w:rsidRPr="00F24BFA" w:rsidRDefault="00F24BFA" w:rsidP="00AC0033">
      <w:pPr>
        <w:spacing w:after="0" w:line="240" w:lineRule="auto"/>
        <w:jc w:val="center"/>
        <w:rPr>
          <w:rFonts w:ascii="Times New Roman" w:hAnsi="Times New Roman"/>
          <w:b/>
          <w:noProof/>
          <w:sz w:val="20"/>
          <w:szCs w:val="20"/>
          <w:lang w:bidi="ar-SA"/>
        </w:rPr>
      </w:pPr>
      <w:r w:rsidRPr="00F24BFA">
        <w:rPr>
          <w:rFonts w:ascii="Times New Roman" w:hAnsi="Times New Roman"/>
          <w:b/>
          <w:noProof/>
          <w:sz w:val="20"/>
          <w:szCs w:val="20"/>
          <w:lang w:bidi="ar-SA"/>
        </w:rPr>
        <w:t>Introduction</w:t>
      </w:r>
    </w:p>
    <w:p w:rsidR="00F24BFA" w:rsidRDefault="00F24BFA" w:rsidP="00F24BFA">
      <w:pPr>
        <w:spacing w:after="0" w:line="240" w:lineRule="auto"/>
        <w:jc w:val="both"/>
        <w:outlineLvl w:val="0"/>
        <w:rPr>
          <w:rFonts w:ascii="Times New Roman" w:hAnsi="Times New Roman"/>
          <w:sz w:val="20"/>
          <w:szCs w:val="20"/>
          <w:lang w:val="en-GB"/>
        </w:rPr>
      </w:pPr>
      <w:r w:rsidRPr="00F24BFA">
        <w:rPr>
          <w:rFonts w:ascii="Times New Roman" w:hAnsi="Times New Roman"/>
          <w:sz w:val="20"/>
          <w:szCs w:val="20"/>
        </w:rPr>
        <w:t xml:space="preserve">The increasing demand of ethylene is due to its uses in producing polyethylene, one of the primary components in the most of the plastic and in petrochemical industry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"10.1080/15583720902834791", "ISBN" : "10.1080/15583720902834791", "ISSN" : "1558-3724", "abstract" : "The use of bioethanol-based ethylene as raw material for chemical products, especially to produce polyethylene and other polymers, is being considered an effective way to capture carbon dioxide from the atmosphere and offer to the market an alternative of a commodity plastic with a wide range of applications and a low carbon footprint. The present article discloses the aspects relatives to the ethanol manufacture in Brazil using sugarcane as feedstock, the catalytic dehydration reaction, the plants operated in the past with this technology and the main characteristics of the processes.", "author" : [ { "dropping-particle" : "", "family" : "Morschbacker", "given" : "Antonio", "non-dropping-particle" : "", "parse-names" : false, "suffix" : "" } ], "container-title" : "Polymer Reviews", "id" : "ITEM-1", "issue" : "March 2015", "issued" : { "date-parts" : [ [ "2009" ] ] }, "page" : "79-84", "title" : "Bio-Ethanol Based Ethylene", "type" : "article-journal", "volume" : "49" }, "uris" : [ "http://www.mendeley.com/documents/?uuid=3f401bb5-3639-467a-83d0-aedeb3635212" ] } ], "mendeley" : { "formattedCitation" : "[1]", "plainTextFormattedCitation" : "[1]", "previouslyFormattedCitation" : "[1]"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[1]</w:t>
      </w:r>
      <w:r w:rsidRPr="00F24BFA">
        <w:rPr>
          <w:rFonts w:ascii="Times New Roman" w:hAnsi="Times New Roman"/>
          <w:sz w:val="20"/>
          <w:szCs w:val="20"/>
        </w:rPr>
        <w:fldChar w:fldCharType="end"/>
      </w:r>
      <w:r w:rsidRPr="00F24BFA">
        <w:rPr>
          <w:rFonts w:ascii="Times New Roman" w:hAnsi="Times New Roman"/>
          <w:sz w:val="20"/>
          <w:szCs w:val="20"/>
        </w:rPr>
        <w:t>.</w:t>
      </w:r>
      <w:r w:rsidRPr="00F24BFA">
        <w:rPr>
          <w:rFonts w:ascii="Times New Roman" w:hAnsi="Times New Roman"/>
          <w:sz w:val="20"/>
          <w:szCs w:val="20"/>
          <w:lang w:val="en-GB"/>
        </w:rPr>
        <w:t xml:space="preserve"> Besides that, ethylene acts as precursors for surfactant chemicals such as ethylene oxide or ethylene glycol. With increased demand, global ethylene production has grown at an average rate of almost 4.5% per year from 2009 – 2014. Currently steam cracking of hydrocarbon from fossil fuel is still dominating the production market because of the high production cost and energy consumption </w:t>
      </w:r>
      <w:r w:rsidRPr="00F24BFA">
        <w:rPr>
          <w:rFonts w:ascii="Times New Roman" w:hAnsi="Times New Roman"/>
          <w:sz w:val="20"/>
          <w:szCs w:val="20"/>
          <w:lang w:val="en-GB"/>
        </w:rPr>
        <w:lastRenderedPageBreak/>
        <w:t xml:space="preserve">associated with catalytic dehydration pathway. </w:t>
      </w:r>
      <w:r w:rsidRPr="00F24BFA">
        <w:rPr>
          <w:rFonts w:ascii="Times New Roman" w:hAnsi="Times New Roman"/>
          <w:sz w:val="20"/>
          <w:szCs w:val="20"/>
        </w:rPr>
        <w:t>Due to the increasing demands for energy, stricter environmental regulations, and continued depletion of fossil feedstock, alternative and renewable energy resources have attracted increased interest in recent research</w:t>
      </w:r>
      <w:r w:rsidRPr="00F24BFA">
        <w:rPr>
          <w:rFonts w:ascii="Times New Roman" w:hAnsi="Times New Roman"/>
          <w:sz w:val="20"/>
          <w:szCs w:val="20"/>
          <w:lang w:val="en-GB"/>
        </w:rPr>
        <w:t xml:space="preserve">. In the view of potential limitations of ethylene availability from the current sources, catalytic dehydration of ethanol (especially bioethanol) to ethylene has become a completely renewable process for producing ethylene </w:t>
      </w:r>
      <w:r w:rsidRPr="00F24BFA">
        <w:rPr>
          <w:rFonts w:ascii="Times New Roman" w:hAnsi="Times New Roman"/>
          <w:sz w:val="20"/>
          <w:szCs w:val="20"/>
          <w:lang w:val="en-GB"/>
        </w:rPr>
        <w:fldChar w:fldCharType="begin" w:fldLock="1"/>
      </w:r>
      <w:r w:rsidRPr="00F24BFA">
        <w:rPr>
          <w:rFonts w:ascii="Times New Roman" w:hAnsi="Times New Roman"/>
          <w:sz w:val="20"/>
          <w:szCs w:val="20"/>
          <w:lang w:val="en-GB"/>
        </w:rPr>
        <w:instrText>ADDIN CSL_CITATION { "citationItems" : [ { "id" : "ITEM-1", "itemData" : { "DOI" : "10.1007/s10562-005-8698-1", "ISBN" : "1011-372X", "ISSN" : "1011-372X", "abstract" : "The dehydration of ethanol into ethylene was investigated over various solid acid catalysts, such as zeolites and silica\u2013alumina, at temperatures ranging 453\u2013573 K under atmospheric pressure. Ethylene was produced via diethyl ether during the dehydration process. H-mordenites were the most active for the dehydration. It was suggested that the catalyst activity could be correlated with the number of strong Br\u00f8nsted acid sites in the catalyst. Further, the H-mordenite was more stable with a SiO2/Al2O3 ratio of 90 than with a SiO2/Al2O3 ratio of 20.", "author" : [ { "dropping-particle" : "", "family" : "Takahara", "given" : "Isao", "non-dropping-particle" : "", "parse-names" : false, "suffix" : "" }, { "dropping-particle" : "", "family" : "Saito", "given" : "Masahiro", "non-dropping-particle" : "", "parse-names" : false, "suffix" : "" }, { "dropping-particle" : "", "family" : "Inaba", "given" : "Megumu", "non-dropping-particle" : "", "parse-names" : false, "suffix" : "" }, { "dropping-particle" : "", "family" : "Murata", "given" : "Kazuhisa", "non-dropping-particle" : "", "parse-names" : false, "suffix" : "" } ], "container-title" : "Catalysis Letters", "id" : "ITEM-1", "issue" : "3-4", "issued" : { "date-parts" : [ [ "2005" ] ] }, "page" : "249-252", "title" : "Dehydration of Ethanol into Ethylene over Solid Acid Catalysts", "type" : "article-journal", "volume" : "105" }, "uris" : [ "http://www.mendeley.com/documents/?uuid=809da2d5-2af7-4017-a42c-d3ec8d47ce5c" ] } ], "mendeley" : { "formattedCitation" : "[2]", "plainTextFormattedCitation" : "[2]", "previouslyFormattedCitation" : "[2]" }, "properties" : { "noteIndex" : 0 }, "schema" : "https://github.com/citation-style-language/schema/raw/master/csl-citation.json" }</w:instrText>
      </w:r>
      <w:r w:rsidRPr="00F24BFA">
        <w:rPr>
          <w:rFonts w:ascii="Times New Roman" w:hAnsi="Times New Roman"/>
          <w:sz w:val="20"/>
          <w:szCs w:val="20"/>
          <w:lang w:val="en-GB"/>
        </w:rPr>
        <w:fldChar w:fldCharType="separate"/>
      </w:r>
      <w:r w:rsidRPr="00F24BFA">
        <w:rPr>
          <w:rFonts w:ascii="Times New Roman" w:hAnsi="Times New Roman"/>
          <w:noProof/>
          <w:sz w:val="20"/>
          <w:szCs w:val="20"/>
          <w:lang w:val="en-GB"/>
        </w:rPr>
        <w:t>[2]</w:t>
      </w:r>
      <w:r w:rsidRPr="00F24BFA">
        <w:rPr>
          <w:rFonts w:ascii="Times New Roman" w:hAnsi="Times New Roman"/>
          <w:sz w:val="20"/>
          <w:szCs w:val="20"/>
          <w:lang w:val="en-GB"/>
        </w:rPr>
        <w:fldChar w:fldCharType="end"/>
      </w:r>
      <w:r w:rsidRPr="00F24BFA">
        <w:rPr>
          <w:rFonts w:ascii="Times New Roman" w:hAnsi="Times New Roman"/>
          <w:sz w:val="20"/>
          <w:szCs w:val="20"/>
          <w:lang w:val="en-GB"/>
        </w:rPr>
        <w:t>.</w:t>
      </w:r>
    </w:p>
    <w:p w:rsidR="00F24BFA" w:rsidRPr="00F24BFA" w:rsidRDefault="00F24BFA" w:rsidP="00F24BFA">
      <w:pPr>
        <w:spacing w:after="0" w:line="240" w:lineRule="auto"/>
        <w:jc w:val="both"/>
        <w:outlineLvl w:val="0"/>
        <w:rPr>
          <w:rFonts w:ascii="Times New Roman" w:hAnsi="Times New Roman"/>
          <w:sz w:val="20"/>
          <w:szCs w:val="20"/>
          <w:lang w:val="en-GB"/>
        </w:rPr>
      </w:pPr>
    </w:p>
    <w:p w:rsidR="00F24BFA" w:rsidRPr="00F24BFA" w:rsidRDefault="00F24BFA" w:rsidP="00F24BFA">
      <w:pPr>
        <w:spacing w:after="0" w:line="240" w:lineRule="auto"/>
        <w:jc w:val="both"/>
        <w:outlineLvl w:val="0"/>
        <w:rPr>
          <w:rFonts w:ascii="Times New Roman" w:hAnsi="Times New Roman"/>
          <w:sz w:val="20"/>
          <w:szCs w:val="20"/>
          <w:lang w:val="en-GB"/>
        </w:rPr>
      </w:pPr>
      <w:r w:rsidRPr="00F24BFA">
        <w:rPr>
          <w:rFonts w:ascii="Times New Roman" w:hAnsi="Times New Roman"/>
          <w:sz w:val="20"/>
          <w:szCs w:val="20"/>
          <w:lang w:val="en-GB"/>
        </w:rPr>
        <w:t>Ethanol dehydration is a process in which water molecules are removed, or the equivalent of water molecules removed from ethanol to produce ethylene when heated together with catalyst. There are two reactions that occur in parallel during catalytic dehydration of ethanol as in Equation (1) to (2):</w:t>
      </w:r>
    </w:p>
    <w:p w:rsidR="00F24BFA" w:rsidRPr="00F24BFA" w:rsidRDefault="00F24BFA" w:rsidP="00F24BFA">
      <w:pPr>
        <w:spacing w:after="120" w:line="240" w:lineRule="auto"/>
        <w:jc w:val="both"/>
        <w:outlineLvl w:val="0"/>
        <w:rPr>
          <w:rFonts w:ascii="Times New Roman" w:hAnsi="Times New Roman"/>
          <w:sz w:val="20"/>
          <w:szCs w:val="20"/>
          <w:lang w:val="en-GB"/>
        </w:rPr>
      </w:pPr>
    </w:p>
    <w:tbl>
      <w:tblPr>
        <w:tblW w:w="9709" w:type="dxa"/>
        <w:tblLook w:val="04A0" w:firstRow="1" w:lastRow="0" w:firstColumn="1" w:lastColumn="0" w:noHBand="0" w:noVBand="1"/>
      </w:tblPr>
      <w:tblGrid>
        <w:gridCol w:w="5303"/>
        <w:gridCol w:w="2440"/>
        <w:gridCol w:w="1966"/>
      </w:tblGrid>
      <w:tr w:rsidR="00F24BFA" w:rsidRPr="00F24BFA" w:rsidTr="00F24BFA">
        <w:trPr>
          <w:trHeight w:val="332"/>
        </w:trPr>
        <w:tc>
          <w:tcPr>
            <w:tcW w:w="5303" w:type="dxa"/>
            <w:tcBorders>
              <w:top w:val="nil"/>
              <w:left w:val="nil"/>
              <w:bottom w:val="nil"/>
              <w:right w:val="nil"/>
            </w:tcBorders>
          </w:tcPr>
          <w:p w:rsidR="00F24BFA" w:rsidRPr="00F24BFA" w:rsidRDefault="00F24BFA" w:rsidP="00F24BFA">
            <w:pPr>
              <w:spacing w:after="0" w:line="240" w:lineRule="auto"/>
              <w:ind w:firstLine="720"/>
              <w:jc w:val="both"/>
              <w:rPr>
                <w:rFonts w:ascii="Times New Roman" w:hAnsi="Times New Roman"/>
                <w:sz w:val="20"/>
                <w:szCs w:val="20"/>
                <w:lang w:val="en-GB"/>
              </w:rPr>
            </w:pPr>
            <w:r w:rsidRPr="00F24BFA">
              <w:rPr>
                <w:rFonts w:ascii="Times New Roman" w:hAnsi="Times New Roman"/>
                <w:sz w:val="20"/>
                <w:szCs w:val="20"/>
                <w:lang w:val="en-GB"/>
              </w:rPr>
              <w:t>C</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H</w:t>
            </w:r>
            <w:r w:rsidRPr="00F24BFA">
              <w:rPr>
                <w:rFonts w:ascii="Times New Roman" w:hAnsi="Times New Roman"/>
                <w:sz w:val="20"/>
                <w:szCs w:val="20"/>
                <w:vertAlign w:val="subscript"/>
                <w:lang w:val="en-GB"/>
              </w:rPr>
              <w:t>5</w:t>
            </w:r>
            <w:r w:rsidRPr="00F24BFA">
              <w:rPr>
                <w:rFonts w:ascii="Times New Roman" w:hAnsi="Times New Roman"/>
                <w:sz w:val="20"/>
                <w:szCs w:val="20"/>
                <w:lang w:val="en-GB"/>
              </w:rPr>
              <w:t>OH ↔ C</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H</w:t>
            </w:r>
            <w:r w:rsidRPr="00F24BFA">
              <w:rPr>
                <w:rFonts w:ascii="Times New Roman" w:hAnsi="Times New Roman"/>
                <w:sz w:val="20"/>
                <w:szCs w:val="20"/>
                <w:vertAlign w:val="subscript"/>
                <w:lang w:val="en-GB"/>
              </w:rPr>
              <w:t>4</w:t>
            </w:r>
            <w:r w:rsidRPr="00F24BFA">
              <w:rPr>
                <w:rFonts w:ascii="Times New Roman" w:hAnsi="Times New Roman"/>
                <w:sz w:val="20"/>
                <w:szCs w:val="20"/>
                <w:lang w:val="en-GB"/>
              </w:rPr>
              <w:t xml:space="preserve"> + H</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O</w:t>
            </w:r>
          </w:p>
        </w:tc>
        <w:tc>
          <w:tcPr>
            <w:tcW w:w="2440" w:type="dxa"/>
            <w:tcBorders>
              <w:top w:val="nil"/>
              <w:left w:val="nil"/>
              <w:bottom w:val="nil"/>
              <w:right w:val="nil"/>
            </w:tcBorders>
          </w:tcPr>
          <w:p w:rsidR="00F24BFA" w:rsidRPr="00F24BFA" w:rsidRDefault="00F24BFA" w:rsidP="00F24BFA">
            <w:pPr>
              <w:spacing w:after="0" w:line="240" w:lineRule="auto"/>
              <w:ind w:firstLine="720"/>
              <w:jc w:val="both"/>
              <w:rPr>
                <w:rFonts w:ascii="Times New Roman" w:hAnsi="Times New Roman"/>
                <w:sz w:val="20"/>
                <w:szCs w:val="20"/>
                <w:lang w:val="en-GB"/>
              </w:rPr>
            </w:pPr>
            <w:r w:rsidRPr="00F24BFA">
              <w:rPr>
                <w:rFonts w:ascii="Times New Roman" w:hAnsi="Times New Roman"/>
                <w:sz w:val="20"/>
                <w:szCs w:val="20"/>
                <w:lang w:val="en-GB"/>
              </w:rPr>
              <w:t>+44.9 kJ/mol</w:t>
            </w:r>
          </w:p>
        </w:tc>
        <w:tc>
          <w:tcPr>
            <w:tcW w:w="1966" w:type="dxa"/>
            <w:tcBorders>
              <w:top w:val="nil"/>
              <w:left w:val="nil"/>
              <w:bottom w:val="nil"/>
              <w:right w:val="nil"/>
            </w:tcBorders>
          </w:tcPr>
          <w:p w:rsidR="00F24BFA" w:rsidRPr="00F24BFA" w:rsidRDefault="00F24BFA" w:rsidP="00F24BFA">
            <w:pPr>
              <w:spacing w:after="0" w:line="240" w:lineRule="auto"/>
              <w:ind w:firstLine="720"/>
              <w:jc w:val="both"/>
              <w:rPr>
                <w:rFonts w:ascii="Times New Roman" w:hAnsi="Times New Roman"/>
                <w:sz w:val="20"/>
                <w:szCs w:val="20"/>
                <w:lang w:val="en-GB"/>
              </w:rPr>
            </w:pPr>
            <w:r w:rsidRPr="00F24BFA">
              <w:rPr>
                <w:rFonts w:ascii="Times New Roman" w:hAnsi="Times New Roman"/>
                <w:sz w:val="20"/>
                <w:szCs w:val="20"/>
                <w:lang w:val="en-GB"/>
              </w:rPr>
              <w:t xml:space="preserve">      </w:t>
            </w:r>
            <w:r>
              <w:rPr>
                <w:rFonts w:ascii="Times New Roman" w:hAnsi="Times New Roman"/>
                <w:sz w:val="20"/>
                <w:szCs w:val="20"/>
                <w:lang w:val="en-GB"/>
              </w:rPr>
              <w:t xml:space="preserve">      </w:t>
            </w:r>
            <w:r w:rsidRPr="00F24BFA">
              <w:rPr>
                <w:rFonts w:ascii="Times New Roman" w:hAnsi="Times New Roman"/>
                <w:sz w:val="20"/>
                <w:szCs w:val="20"/>
                <w:lang w:val="en-GB"/>
              </w:rPr>
              <w:t>(1)</w:t>
            </w:r>
          </w:p>
        </w:tc>
      </w:tr>
      <w:tr w:rsidR="00F24BFA" w:rsidRPr="00F24BFA" w:rsidTr="00F24BFA">
        <w:trPr>
          <w:trHeight w:val="332"/>
        </w:trPr>
        <w:tc>
          <w:tcPr>
            <w:tcW w:w="5303" w:type="dxa"/>
            <w:tcBorders>
              <w:top w:val="nil"/>
              <w:left w:val="nil"/>
              <w:bottom w:val="nil"/>
              <w:right w:val="nil"/>
            </w:tcBorders>
          </w:tcPr>
          <w:p w:rsidR="00F24BFA" w:rsidRPr="00F24BFA" w:rsidRDefault="00F24BFA" w:rsidP="00F24BFA">
            <w:pPr>
              <w:spacing w:after="0" w:line="240" w:lineRule="auto"/>
              <w:ind w:firstLine="720"/>
              <w:jc w:val="both"/>
              <w:rPr>
                <w:rFonts w:ascii="Times New Roman" w:hAnsi="Times New Roman"/>
                <w:sz w:val="20"/>
                <w:szCs w:val="20"/>
                <w:lang w:val="en-GB"/>
              </w:rPr>
            </w:pPr>
            <w:r w:rsidRPr="00F24BFA">
              <w:rPr>
                <w:rFonts w:ascii="Times New Roman" w:hAnsi="Times New Roman"/>
                <w:sz w:val="20"/>
                <w:szCs w:val="20"/>
                <w:lang w:val="en-GB"/>
              </w:rPr>
              <w:t>2C</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H</w:t>
            </w:r>
            <w:r w:rsidRPr="00F24BFA">
              <w:rPr>
                <w:rFonts w:ascii="Times New Roman" w:hAnsi="Times New Roman"/>
                <w:sz w:val="20"/>
                <w:szCs w:val="20"/>
                <w:vertAlign w:val="subscript"/>
                <w:lang w:val="en-GB"/>
              </w:rPr>
              <w:t>5</w:t>
            </w:r>
            <w:r w:rsidRPr="00F24BFA">
              <w:rPr>
                <w:rFonts w:ascii="Times New Roman" w:hAnsi="Times New Roman"/>
                <w:sz w:val="20"/>
                <w:szCs w:val="20"/>
                <w:lang w:val="en-GB"/>
              </w:rPr>
              <w:t>OH ↔ C</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H</w:t>
            </w:r>
            <w:r w:rsidRPr="00F24BFA">
              <w:rPr>
                <w:rFonts w:ascii="Times New Roman" w:hAnsi="Times New Roman"/>
                <w:sz w:val="20"/>
                <w:szCs w:val="20"/>
                <w:vertAlign w:val="subscript"/>
                <w:lang w:val="en-GB"/>
              </w:rPr>
              <w:t>5</w:t>
            </w:r>
            <w:r w:rsidRPr="00F24BFA">
              <w:rPr>
                <w:rFonts w:ascii="Times New Roman" w:hAnsi="Times New Roman"/>
                <w:sz w:val="20"/>
                <w:szCs w:val="20"/>
                <w:lang w:val="en-GB"/>
              </w:rPr>
              <w:t>OC</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H</w:t>
            </w:r>
            <w:r w:rsidRPr="00F24BFA">
              <w:rPr>
                <w:rFonts w:ascii="Times New Roman" w:hAnsi="Times New Roman"/>
                <w:sz w:val="20"/>
                <w:szCs w:val="20"/>
                <w:vertAlign w:val="subscript"/>
                <w:lang w:val="en-GB"/>
              </w:rPr>
              <w:t>5</w:t>
            </w:r>
            <w:r w:rsidRPr="00F24BFA">
              <w:rPr>
                <w:rFonts w:ascii="Times New Roman" w:hAnsi="Times New Roman"/>
                <w:sz w:val="20"/>
                <w:szCs w:val="20"/>
                <w:lang w:val="en-GB"/>
              </w:rPr>
              <w:t xml:space="preserve"> + H</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O</w:t>
            </w:r>
          </w:p>
        </w:tc>
        <w:tc>
          <w:tcPr>
            <w:tcW w:w="2440" w:type="dxa"/>
            <w:tcBorders>
              <w:top w:val="nil"/>
              <w:left w:val="nil"/>
              <w:bottom w:val="nil"/>
              <w:right w:val="nil"/>
            </w:tcBorders>
          </w:tcPr>
          <w:p w:rsidR="00F24BFA" w:rsidRPr="00F24BFA" w:rsidRDefault="00F24BFA" w:rsidP="00F24BFA">
            <w:pPr>
              <w:spacing w:after="0" w:line="240" w:lineRule="auto"/>
              <w:ind w:firstLine="720"/>
              <w:jc w:val="both"/>
              <w:rPr>
                <w:rFonts w:ascii="Times New Roman" w:hAnsi="Times New Roman"/>
                <w:sz w:val="20"/>
                <w:szCs w:val="20"/>
                <w:lang w:val="en-GB"/>
              </w:rPr>
            </w:pPr>
            <w:r w:rsidRPr="00F24BFA">
              <w:rPr>
                <w:rFonts w:ascii="Times New Roman" w:hAnsi="Times New Roman"/>
                <w:sz w:val="20"/>
                <w:szCs w:val="20"/>
                <w:lang w:val="en-GB"/>
              </w:rPr>
              <w:t>−25.1 kJ/mol</w:t>
            </w:r>
          </w:p>
        </w:tc>
        <w:tc>
          <w:tcPr>
            <w:tcW w:w="1966" w:type="dxa"/>
            <w:tcBorders>
              <w:top w:val="nil"/>
              <w:left w:val="nil"/>
              <w:bottom w:val="nil"/>
              <w:right w:val="nil"/>
            </w:tcBorders>
          </w:tcPr>
          <w:p w:rsidR="00F24BFA" w:rsidRPr="00F24BFA" w:rsidRDefault="00F24BFA" w:rsidP="00F24BFA">
            <w:pPr>
              <w:spacing w:after="0" w:line="240" w:lineRule="auto"/>
              <w:ind w:firstLine="720"/>
              <w:jc w:val="both"/>
              <w:rPr>
                <w:rFonts w:ascii="Times New Roman" w:hAnsi="Times New Roman"/>
                <w:sz w:val="20"/>
                <w:szCs w:val="20"/>
                <w:lang w:val="en-GB"/>
              </w:rPr>
            </w:pPr>
            <w:r w:rsidRPr="00F24BFA">
              <w:rPr>
                <w:rFonts w:ascii="Times New Roman" w:hAnsi="Times New Roman"/>
                <w:sz w:val="20"/>
                <w:szCs w:val="20"/>
                <w:lang w:val="en-GB"/>
              </w:rPr>
              <w:t xml:space="preserve">     </w:t>
            </w:r>
            <w:r>
              <w:rPr>
                <w:rFonts w:ascii="Times New Roman" w:hAnsi="Times New Roman"/>
                <w:sz w:val="20"/>
                <w:szCs w:val="20"/>
                <w:lang w:val="en-GB"/>
              </w:rPr>
              <w:t xml:space="preserve">      </w:t>
            </w:r>
            <w:r w:rsidRPr="00F24BFA">
              <w:rPr>
                <w:rFonts w:ascii="Times New Roman" w:hAnsi="Times New Roman"/>
                <w:sz w:val="20"/>
                <w:szCs w:val="20"/>
                <w:lang w:val="en-GB"/>
              </w:rPr>
              <w:t xml:space="preserve"> (2)</w:t>
            </w:r>
          </w:p>
        </w:tc>
      </w:tr>
    </w:tbl>
    <w:p w:rsidR="00F24BFA" w:rsidRPr="00F24BFA" w:rsidRDefault="00F24BFA" w:rsidP="00F24BFA">
      <w:pPr>
        <w:spacing w:before="120" w:after="0" w:line="240" w:lineRule="auto"/>
        <w:jc w:val="both"/>
        <w:rPr>
          <w:rFonts w:ascii="Times New Roman" w:hAnsi="Times New Roman"/>
          <w:sz w:val="20"/>
          <w:szCs w:val="20"/>
          <w:lang w:val="en-GB"/>
        </w:rPr>
      </w:pPr>
      <w:r w:rsidRPr="00F24BFA">
        <w:rPr>
          <w:rFonts w:ascii="Times New Roman" w:hAnsi="Times New Roman"/>
          <w:sz w:val="20"/>
          <w:szCs w:val="20"/>
        </w:rPr>
        <w:t xml:space="preserve">The low temperature favors the side reaction to produce diethyl ether; in contrast, higher reaction temperature is theoretically favoring the main reaction (ethanol dehydration). </w:t>
      </w:r>
      <w:r w:rsidRPr="00F24BFA">
        <w:rPr>
          <w:rFonts w:ascii="Times New Roman" w:hAnsi="Times New Roman"/>
          <w:sz w:val="20"/>
          <w:szCs w:val="20"/>
          <w:lang w:val="en-GB"/>
        </w:rPr>
        <w:t>The dehydration reaction is endothermic and need 390 calories per gram of ethylene produced. The temperature of diethyl ether formation is mainly between 423 K and 573 K, while ethylene formation is favoured between 593 K and 773 K.</w:t>
      </w:r>
    </w:p>
    <w:p w:rsidR="00F24BFA" w:rsidRPr="00F24BFA" w:rsidRDefault="00F24BFA" w:rsidP="00F24BFA">
      <w:pPr>
        <w:spacing w:after="0" w:line="240" w:lineRule="auto"/>
        <w:jc w:val="both"/>
        <w:rPr>
          <w:rFonts w:ascii="Times New Roman" w:hAnsi="Times New Roman"/>
          <w:sz w:val="20"/>
          <w:szCs w:val="20"/>
          <w:lang w:val="en-GB"/>
        </w:rPr>
      </w:pPr>
    </w:p>
    <w:p w:rsidR="00F24BFA" w:rsidRPr="00F24BFA" w:rsidRDefault="00F24BFA" w:rsidP="00F24BFA">
      <w:pPr>
        <w:spacing w:after="0" w:line="240" w:lineRule="auto"/>
        <w:jc w:val="both"/>
        <w:rPr>
          <w:rFonts w:ascii="Times New Roman" w:hAnsi="Times New Roman"/>
          <w:sz w:val="20"/>
          <w:szCs w:val="20"/>
        </w:rPr>
      </w:pPr>
      <w:r w:rsidRPr="00F24BFA">
        <w:rPr>
          <w:rFonts w:ascii="Times New Roman" w:hAnsi="Times New Roman"/>
          <w:sz w:val="20"/>
          <w:szCs w:val="20"/>
        </w:rPr>
        <w:t xml:space="preserve">Acidic catalysts are often used in ethylene production from ethanol dehydration. The traditional homogeneous catalysts used are sulfuric acid or phosphoric acid in almost all industrial scale processes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"10.1080/15583720902834791", "ISBN" : "10.1080/15583720902834791", "ISSN" : "1558-3724", "abstract" : "The use of bioethanol-based ethylene as raw material for chemical products, especially to produce polyethylene and other polymers, is being considered an effective way to capture carbon dioxide from the atmosphere and offer to the market an alternative of a commodity plastic with a wide range of applications and a low carbon footprint. The present article discloses the aspects relatives to the ethanol manufacture in Brazil using sugarcane as feedstock, the catalytic dehydration reaction, the plants operated in the past with this technology and the main characteristics of the processes.", "author" : [ { "dropping-particle" : "", "family" : "Morschbacker", "given" : "Antonio", "non-dropping-particle" : "", "parse-names" : false, "suffix" : "" } ], "container-title" : "Polymer Reviews", "id" : "ITEM-1", "issue" : "March 2015", "issued" : { "date-parts" : [ [ "2009" ] ] }, "page" : "79-84", "title" : "Bio-Ethanol Based Ethylene", "type" : "article-journal", "volume" : "49" }, "uris" : [ "http://www.mendeley.com/documents/?uuid=3f401bb5-3639-467a-83d0-aedeb3635212" ] } ], "mendeley" : { "formattedCitation" : "[1]", "plainTextFormattedCitation" : "[1]", "previouslyFormattedCitation" : "[1]"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[1]</w:t>
      </w:r>
      <w:r w:rsidRPr="00F24BFA">
        <w:rPr>
          <w:rFonts w:ascii="Times New Roman" w:hAnsi="Times New Roman"/>
          <w:sz w:val="20"/>
          <w:szCs w:val="20"/>
        </w:rPr>
        <w:fldChar w:fldCharType="end"/>
      </w:r>
      <w:r w:rsidRPr="00F24BFA">
        <w:rPr>
          <w:rFonts w:ascii="Times New Roman" w:hAnsi="Times New Roman"/>
          <w:sz w:val="20"/>
          <w:szCs w:val="20"/>
        </w:rPr>
        <w:t xml:space="preserve">. The former usually requires higher reaction temperatures and yields lower ethylene selectivity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"10.3390/ma6010101", "ISSN" : "1996-1944", "abstract" : "Ethylene is the primary component in most plastics, making it economically valuable. It is produced primarily by steam-cracking of hydrocarbons, but can alternatively be produced by the dehydration of ethanol, which can be produced from fermentation processes using renewable substrates such as glucose, starch and others. Due to rising oil prices, researchers now look at alternative reactions to produce green ethylene, but the process is far from being as economically competitive as using fossil fuels. Many studies have investigated catalysts and new reaction engineering technologies to increase ethylene yield and to lower reaction temperature, in an effort to make the reaction applicable in industry and most cost-efficient. This paper presents various lab synthesized catalysts, reaction conditions, and reactor technologies that achieved high ethylene yield at reasonable reaction temperatures, and evaluates their practicality in industrial application in comparison with steam-cracking plants. The most promising were found to be a nanoscale catalyst HZSM-5 with 99.7% ethylene selectivity at 240 \u00b0C and 630 h lifespan, using a microreactor technology with mechanical vapor recompression, and algae-produced ethanol to make ethylene.", "author" : [ { "dropping-particle" : "", "family" : "Fan", "given" : "Denise", "non-dropping-particle" : "", "parse-names" : false, "suffix" : "" }, { "dropping-particle" : "", "family" : "Dai", "given" : "Der-Jong", "non-dropping-particle" : "", "parse-names" : false, "suffix" : "" }, { "dropping-particle" : "", "family" : "Wu", "given" : "Ho-Shing", "non-dropping-particle" : "", "parse-names" : false, "suffix" : "" } ], "container-title" : "Materials", "id" : "ITEM-1", "issue" : "1", "issued" : { "date-parts" : [ [ "2012" ] ] }, "page" : "101-115", "title" : "Ethylene Formation by Catalytic Dehydration of Ethanol with Industrial Considerations", "type" : "article-journal", "volume" : "6" }, "uris" : [ "http://www.mendeley.com/documents/?uuid=84d41917-8113-4d31-bfac-e37097f5406c" ] } ], "mendeley" : { "formattedCitation" : "[3]", "plainTextFormattedCitation" : "[3]", "previouslyFormattedCitation" : "[3]"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[3]</w:t>
      </w:r>
      <w:r w:rsidRPr="00F24BFA">
        <w:rPr>
          <w:rFonts w:ascii="Times New Roman" w:hAnsi="Times New Roman"/>
          <w:sz w:val="20"/>
          <w:szCs w:val="20"/>
        </w:rPr>
        <w:fldChar w:fldCharType="end"/>
      </w:r>
      <w:r w:rsidRPr="00F24BFA">
        <w:rPr>
          <w:rFonts w:ascii="Times New Roman" w:hAnsi="Times New Roman"/>
          <w:sz w:val="20"/>
          <w:szCs w:val="20"/>
        </w:rPr>
        <w:t>. Due to the low yield and byproducts formation, sulfuric acid and phosphoric acid have been replaced by heterogeneous catalysts such as alumina.</w:t>
      </w:r>
    </w:p>
    <w:p w:rsidR="00F24BFA" w:rsidRPr="00F24BFA" w:rsidRDefault="00F24BFA" w:rsidP="00F24BFA">
      <w:pPr>
        <w:spacing w:after="0" w:line="240" w:lineRule="auto"/>
        <w:jc w:val="both"/>
        <w:rPr>
          <w:rFonts w:ascii="Times New Roman" w:hAnsi="Times New Roman"/>
          <w:sz w:val="20"/>
          <w:szCs w:val="20"/>
        </w:rPr>
      </w:pPr>
    </w:p>
    <w:p w:rsidR="00F24BFA" w:rsidRDefault="00F24BFA" w:rsidP="00F24BFA">
      <w:pPr>
        <w:spacing w:after="0" w:line="240" w:lineRule="auto"/>
        <w:jc w:val="both"/>
        <w:rPr>
          <w:rFonts w:ascii="Times New Roman" w:hAnsi="Times New Roman"/>
          <w:sz w:val="20"/>
          <w:szCs w:val="20"/>
        </w:rPr>
      </w:pPr>
      <w:r w:rsidRPr="00F24BFA">
        <w:rPr>
          <w:rFonts w:ascii="Times New Roman" w:hAnsi="Times New Roman"/>
          <w:sz w:val="20"/>
          <w:szCs w:val="20"/>
        </w:rPr>
        <w:t xml:space="preserve">Many studies have been carried out with different technologies and using various acidic heterogeneous catalysts such as alumina, silica, zeolites, metal oxides and heteropolyacids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"10.1016/j.cattod.2005.07.043", "ISSN" : "09205861", "abstract" : "A study has been made of coke combustion for regenerating a HZSM-5 catalyst deactivated in the transformation of aqueous ethanol into hydrocarbons (BTG process). Combustion activation energy decreases with the H/C ratio of the coke and this ratio decreases with aging prior to combustion. Consequently, the prior aging of the coke is required in order to reproduce the combustion kinetics (activation energy \u224829.50kcal/mol). By conducting experimentation following reaction\u2013regeneration cycles, activity recovery has been studied by following the composition of the products obtained in the reaction cycle subsequent to each partial regeneration of the catalyst. The acidity of the partially regenerated catalysts has been determined by differential adsorption and TPD of ammonia. It has been proven that a catalyst subjected to severe deactivation during the reaction and regeneration steps undergoes a slight hysteresis in the activity\u2013coke relationship, whereas there is no hysteresis in the acidity\u2013coke relationship, except in the first cycle of reaction\u2013regeneration in which there is a slight irreversible loss of acidity with no bearing on the kinetic results.", "author" : [ { "dropping-particle" : "", "family" : "Aguayo", "given" : "A.T.", "non-dropping-particle" : "", "parse-names" : false, "suffix" : "" }, { "dropping-particle" : "", "family" : "Gayubo", "given" : "A.G.", "non-dropping-particle" : "", "parse-names" : false, "suffix" : "" }, { "dropping-particle" : "", "family" : "Atutxa", "given" : "A.", "non-dropping-particle" : "", "parse-names" : false, "suffix" : "" }, { "dropping-particle" : "", "family" : "Valle", "given" : "B.", "non-dropping-particle" : "", "parse-names" : false, "suffix" : "" }, { "dropping-particle" : "", "family" : "Bilbao", "given" : "J.", "non-dropping-particle" : "", "parse-names" : false, "suffix" : "" } ], "container-title" : "Catalysis Today", "id" : "ITEM-1", "issued" : { "date-parts" : [ [ "2005", "10" ] ] }, "page" : "410-416", "title" : "Regeneration of a HZSM-5 zeolite catalyst deactivated in the transformation of aqueous ethanol into hydrocarbons", "type" : "article-journal", "volume" : "107-108" }, "uris" : [ "http://www.mendeley.com/documents/?uuid=94bd40ac-c036-41f5-b266-f1b3f0fe03c4" ] }, { "id" : "ITEM-2", "itemData" : { "DOI" : "10.1016/j.fuproc.2015.03.012", "ISSN" : "03783820", "author" : [ { "dropping-particle" : "", "family" : "Phung", "given" : "Thanh Khoa", "non-dropping-particle" : "", "parse-names" : false, "suffix" : "" }, { "dropping-particle" : "", "family" : "Radikapratama", "given" : "Randy", "non-dropping-particle" : "", "parse-names" : false, "suffix" : "" }, { "dropping-particle" : "", "family" : "Garbarino", "given" : "Gabriella", "non-dropping-particle" : "", "parse-names" : false, "suffix" : "" }, { "dropping-particle" : "", "family" : "Lagazzo", "given" : "Alberto", "non-dropping-particle" : "", "parse-names" : false, "suffix" : "" }, { "dropping-particle" : "", "family" : "Riani", "given" : "Paola", "non-dropping-particle" : "", "parse-names" : false, "suffix" : "" }, { "dropping-particle" : "", "family" : "Busca", "given" : "Guido", "non-dropping-particle" : "", "parse-names" : false, "suffix" : "" } ], "container-title" : "Fuel Processing Technology", "id" : "ITEM-2", "issued" : { "date-parts" : [ [ "2015" ] ] }, "page" : "290-297", "publisher" : "Elsevier B.V.", "title" : "Tuning of product selectivity in the conversion of ethanol to hydrocarbons over H-ZSM-5 based zeolite catalysts", "type" : "article-journal", "volume" : "137" }, "uris" : [ "http://www.mendeley.com/documents/?uuid=bd621eee-998d-4a2c-b1bf-8fc47a9efffe" ] }, { "id" : "ITEM-3", "itemData" : { "DOI" : "10.1016/j.apcata.2014.12.047", "ISSN" : "0926860X", "abstract" : "Ethanol dehydration was investigated over commercial H-FER, H-MFI, H-MOR, H-BEA, H-Y and H-USY zeolite samples, and alumina and silica alumina for comparison. The catalysts were characterized using FT-IR spectroscopy of the surface OH groups and of adsorbed CO and pyridine. UV\u2013vis, Raman and TG-DTA were applied to characterize coke, formed more on H-MOR and H-BEA. H-zeolites are definitely more active than silica alumina and alumina on catalyst weight base. The H-MOR sample is the most active but the H-MFI samples with Si/Al2 ratios 280 and 50 show higher reaction rates per Al ion, H-FER and faujasites show highest ethylene yield (99.9% at 573K). At lower temperature and higher space velocities, diethyl ether is formed with high yield (&gt;70% at 453\u2013473K on H-BEA and H-MFI (50)). Overconversion of ethylene mainly to aromatics is observed on H-MFI (50). The different behaviour of protonic zeolites can predominantly be explained by confinement effects on the different zeolite cavities.", "author" : [ { "dropping-particle" : "", "family" : "Phung", "given" : "Thanh Khoa", "non-dropping-particle" : "", "parse-names" : false, "suffix" : "" }, { "dropping-particle" : "", "family" : "Proietti Hern\u00e1ndez", "given" : "Loriana", "non-dropping-particle" : "", "parse-names" : false, "suffix" : "" }, { "dropping-particle" : "", "family" : "Lagazzo", "given" : "Alberto", "non-dropping-particle" : "", "parse-names" : false, "suffix" : "" }, { "dropping-particle" : "", "family" : "Busca", "given" : "Guido", "non-dropping-particle" : "", "parse-names" : false, "suffix" : "" } ], "container-title" : "Applied Catalysis A: General", "id" : "ITEM-3", "issued" : { "date-parts" : [ [ "2015" ] ] }, "page" : "77-89", "publisher" : "Elsevier B.V.", "title" : "Dehydration of ethanol over zeolites, silica alumina and alumina: Lewis acidity, Br\u00f8nsted acidity and confinement effects", "type" : "article-journal", "volume" : "493" }, "uris" : [ "http://www.mendeley.com/documents/?uuid=88d05e2a-d689-4e01-b4d4-910e6c82ee15" ] }, { "id" : "ITEM-4", "itemData" : { "DOI" : "10.1016/j.ces.2007.01.017", "ISBN" : "0009-2509", "ISSN" : "00092509", "abstract" : "Dehydration reaction of ethanol was investigated in a temperature range of 140-250 ??C with three different heteropolyacid catalysts, namely tungstophosphoricacid (TPA), silicotungsticacid (STA) and molybdophosphoricacid (MPA). Very high ethylene yields over 0.75 obtained at 250 ??C with TPA was highly promising. At temperatures lower than 180 ??C the main product was diethyl-ether. Presence of water vapor was shown to cause some decrease of catalyst activity. Results showing that product selectivities did not change much with the space time in the reactor indicated two parallel routes for the production of ethylene and DEE. Among the three HPA catalysts, the activity trend was obtained as STA &gt; TPA &gt; MPA. ?? 2007 Elsevier Ltd. All rights reserved.", "author" : [ { "dropping-particle" : "", "family" : "Varisli", "given" : "Dilek", "non-dropping-particle" : "", "parse-names" : false, "suffix" : "" }, { "dropping-particle" : "", "family" : "Dogu", "given" : "Timur", "non-dropping-particle" : "", "parse-names" : false, "suffix" : "" }, { "dropping-particle" : "", "family" : "Dogu", "given" : "Gulsen", "non-dropping-particle" : "", "parse-names" : false, "suffix" : "" } ], "container-title" : "Chemical Engineering Science", "id" : "ITEM-4", "issued" : { "date-parts" : [ [ "2007" ] ] }, "page" : "5349-5352", "title" : "Ethylene and diethyl-ether production by dehydration reaction of ethanol over different heteropolyacid catalysts", "type" : "article-journal", "volume" : "62" }, "uris" : [ "http://www.mendeley.com/documents/?uuid=86022c42-edbf-4aa9-8eec-1ae0c80d7565" ] } ], "mendeley" : { "formattedCitation" : "[4]\u2013[7]", "plainTextFormattedCitation" : "[4]\u2013[7]", "previouslyFormattedCitation" : "[4]\u2013[7]"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[4 - 7]</w:t>
      </w:r>
      <w:r w:rsidRPr="00F24BFA">
        <w:rPr>
          <w:rFonts w:ascii="Times New Roman" w:hAnsi="Times New Roman"/>
          <w:sz w:val="20"/>
          <w:szCs w:val="20"/>
        </w:rPr>
        <w:fldChar w:fldCharType="end"/>
      </w:r>
      <w:r w:rsidRPr="00F24BFA">
        <w:rPr>
          <w:rFonts w:ascii="Times New Roman" w:hAnsi="Times New Roman"/>
          <w:sz w:val="20"/>
          <w:szCs w:val="20"/>
        </w:rPr>
        <w:t>. Among those studied catalysts, gamma alumina (γ-Al</w:t>
      </w:r>
      <w:r w:rsidRPr="00F24BFA">
        <w:rPr>
          <w:rFonts w:ascii="Times New Roman" w:hAnsi="Times New Roman"/>
          <w:sz w:val="20"/>
          <w:szCs w:val="20"/>
          <w:vertAlign w:val="subscript"/>
        </w:rPr>
        <w:t>2</w:t>
      </w:r>
      <w:r w:rsidRPr="00F24BFA">
        <w:rPr>
          <w:rFonts w:ascii="Times New Roman" w:hAnsi="Times New Roman"/>
          <w:sz w:val="20"/>
          <w:szCs w:val="20"/>
        </w:rPr>
        <w:t>O</w:t>
      </w:r>
      <w:r w:rsidRPr="00F24BFA">
        <w:rPr>
          <w:rFonts w:ascii="Times New Roman" w:hAnsi="Times New Roman"/>
          <w:sz w:val="20"/>
          <w:szCs w:val="20"/>
          <w:vertAlign w:val="subscript"/>
        </w:rPr>
        <w:t>3</w:t>
      </w:r>
      <w:r w:rsidRPr="00F24BFA">
        <w:rPr>
          <w:rFonts w:ascii="Times New Roman" w:hAnsi="Times New Roman"/>
          <w:sz w:val="20"/>
          <w:szCs w:val="20"/>
        </w:rPr>
        <w:t xml:space="preserve">) and HZSM-5 zeolite have drawn the most attention for their high activity and selectivity.  HZSM-5 has been widely used in alcohol dehydration reactions due to its uniform pore structure, high surface area, and adjustable acidity. Low reaction temperature (&gt;473 K) favors the reaction towards ethylene production from ethanol dehydration over HZSM-5. HZSM-5 can achieve 60 – 80% ethylene yield at relatively low reaction temperature (473 – 573 K)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"10.1016/j.apcata.2009.07.033", "ISSN" : "0926860X", "abstract" : "Ethanol transformation into higher hydrocarbons in one step by heterogeneous acid catalysis was studied, under 350\u00b0C and 30bar of total pressure. A comparison was established among three zeolites (HFAU, HBEA and HZSM-5) having the same quantity of Br\u00f8nsted acid sites but possessing different pore architectures. Large pore HFAU and HBEA zeolites gave mainly increasing yield of ethylene and diethyl ether with time-on-stream, due to the deactivation of the strongest acid sites and only a low quantity of C3+ hydrocarbons. This was explained by a faster deactivation of large pore zeolites due to fast coke formation which rapidly eliminates strong Br\u00f8nsted acid sites, required for the transformation of ethylene into higher hydrocarbons. These coke molecules were identified as being polyaromatic compounds. Medium pore zeolite HZSM-5 showed an important formation of C3+ hydrocarbons (mostly C5\u2013C11 compounds) and very small amounts of ethylene and diethyl ether. For this zeolite, after 16h reaction, there was still complete ethanol transformation into C3+ hydrocarbons, even though a 55% loss of microporosity and 94% loss of Br\u00f8nsted acidity were observed. On HZSM-5 the deactivation is slower and the formation of C3+ hydrocarbons was observed even when the catalyst was saturated with coke molecules (high activity for the hydrogen transfer reactions). It could be possible, that for this zeolite, reaction occurs at the pore mouth of the channel.", "author" : [ { "dropping-particle" : "", "family" : "Madeira", "given" : "F. Ferreira", "non-dropping-particle" : "", "parse-names" : false, "suffix" : "" }, { "dropping-particle" : "", "family" : "Gnep", "given" : "N.S.", "non-dropping-particle" : "", "parse-names" : false, "suffix" : "" }, { "dropping-particle" : "", "family" : "Magnoux", "given" : "P.", "non-dropping-particle" : "", "parse-names" : false, "suffix" : "" }, { "dropping-particle" : "", "family" : "Maury", "given" : "S.", "non-dropping-particle" : "", "parse-names" : false, "suffix" : "" }, { "dropping-particle" : "", "family" : "Cadran", "given" : "N.", "non-dropping-particle" : "", "parse-names" : false, "suffix" : "" } ], "container-title" : "Applied Catalysis A: General", "id" : "ITEM-1", "issue" : "1-2", "issued" : { "date-parts" : [ [ "2009", "10" ] ] }, "page" : "39-46", "title" : "Ethanol transformation over HFAU, HBEA and HMFI zeolites presenting similar Br\u00f8nsted acidity", "type" : "article-journal", "volume" : "367" }, "uris" : [ "http://www.mendeley.com/documents/?uuid=494c142f-fff4-43d2-b297-81048154b933" ] } ], "mendeley" : { "formattedCitation" : "[8]", "plainTextFormattedCitation" : "[8]", "previouslyFormattedCitation" : "[8]"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[8]</w:t>
      </w:r>
      <w:r w:rsidRPr="00F24BFA">
        <w:rPr>
          <w:rFonts w:ascii="Times New Roman" w:hAnsi="Times New Roman"/>
          <w:sz w:val="20"/>
          <w:szCs w:val="20"/>
        </w:rPr>
        <w:fldChar w:fldCharType="end"/>
      </w:r>
      <w:r w:rsidRPr="00F24BFA">
        <w:rPr>
          <w:rFonts w:ascii="Times New Roman" w:hAnsi="Times New Roman"/>
          <w:sz w:val="20"/>
          <w:szCs w:val="20"/>
        </w:rPr>
        <w:t xml:space="preserve">. Besides of the reaction temperature, the catalyst surface acidity is a significant catalytic performance factor. HZSM-5 has high concentration of strong acidic sites, which exist at low Si/Al ratios helps in ethylene production. However, the high acidity also leads to render HZSM-5 zeolite unstable and low anti-coking property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"10.1016/j.catcom.2010.01.011", "ISSN" : "15667367", "abstract" : "The catalytic dehydration of ethanol into ethylene was studied over HZSM-5, phosphorous modified HZSM-5 and lanthanum-phosphorous modified HZSM-5 in the low temperature range from 473 K to 573 K. The experimental results demonstrated the lanthanum-phosphorous modified HZSM-5 offered the outstanding catalytic performance and the enhanced anti-coking ability markedly, especially for 0.5%La-2%PHZSM-5. Characterizations revealed that the improved catalytic performance and the excellent anti-coking ability of lanthanum-phosphorous modified HZSM-5 could be attributed to the harmonious acid sites and pore structure by the modification with lanthanum and phosphorous. ?? 2010 Elsevier B.V. All rights reserved.", "author" : [ { "dropping-particle" : "", "family" : "Zhan", "given" : "Nina", "non-dropping-particle" : "", "parse-names" : false, "suffix" : "" }, { "dropping-particle" : "", "family" : "Hu", "given" : "Yi", "non-dropping-particle" : "", "parse-names" : false, "suffix" : "" }, { "dropping-particle" : "", "family" : "Li", "given" : "Heng", "non-dropping-particle" : "", "parse-names" : false, "suffix" : "" }, { "dropping-particle" : "", "family" : "Yu", "given" : "Dinghua", "non-dropping-particle" : "", "parse-names" : false, "suffix" : "" }, { "dropping-particle" : "", "family" : "Han", "given" : "Yuwang", "non-dropping-particle" : "", "parse-names" : false, "suffix" : "" }, { "dropping-particle" : "", "family" : "Huang", "given" : "He", "non-dropping-particle" : "", "parse-names" : false, "suffix" : "" } ], "container-title" : "Catalysis Communications", "id" : "ITEM-1", "issue" : "7", "issued" : { "date-parts" : [ [ "2010" ] ] }, "page" : "633-637", "publisher" : "Elsevier B.V.", "title" : "Lanthanum-phosphorous modified HZSM-5 catalysts in dehydration of ethanol to ethylene: A comparative analysis", "type" : "article-journal", "volume" : "11" }, "uris" : [ "http://www.mendeley.com/documents/?uuid=0d9daafb-8356-438f-a165-1127b4e5fafb" ] } ], "mendeley" : { "formattedCitation" : "[9]", "plainTextFormattedCitation" : "[9]", "previouslyFormattedCitation" : "[9]"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[9]</w:t>
      </w:r>
      <w:r w:rsidRPr="00F24BFA">
        <w:rPr>
          <w:rFonts w:ascii="Times New Roman" w:hAnsi="Times New Roman"/>
          <w:sz w:val="20"/>
          <w:szCs w:val="20"/>
        </w:rPr>
        <w:fldChar w:fldCharType="end"/>
      </w:r>
      <w:r w:rsidRPr="00F24BFA">
        <w:rPr>
          <w:rFonts w:ascii="Times New Roman" w:hAnsi="Times New Roman"/>
          <w:sz w:val="20"/>
          <w:szCs w:val="20"/>
        </w:rPr>
        <w:t>. On the contrary, γ-Al</w:t>
      </w:r>
      <w:r w:rsidRPr="00F24BFA">
        <w:rPr>
          <w:rFonts w:ascii="Times New Roman" w:hAnsi="Times New Roman"/>
          <w:sz w:val="20"/>
          <w:szCs w:val="20"/>
          <w:vertAlign w:val="subscript"/>
        </w:rPr>
        <w:t>2</w:t>
      </w:r>
      <w:r w:rsidRPr="00F24BFA">
        <w:rPr>
          <w:rFonts w:ascii="Times New Roman" w:hAnsi="Times New Roman"/>
          <w:sz w:val="20"/>
          <w:szCs w:val="20"/>
        </w:rPr>
        <w:t>O</w:t>
      </w:r>
      <w:r w:rsidRPr="00F24BFA">
        <w:rPr>
          <w:rFonts w:ascii="Times New Roman" w:hAnsi="Times New Roman"/>
          <w:sz w:val="20"/>
          <w:szCs w:val="20"/>
          <w:vertAlign w:val="subscript"/>
        </w:rPr>
        <w:t xml:space="preserve">3 </w:t>
      </w:r>
      <w:r w:rsidRPr="00F24BFA">
        <w:rPr>
          <w:rFonts w:ascii="Times New Roman" w:hAnsi="Times New Roman"/>
          <w:sz w:val="20"/>
          <w:szCs w:val="20"/>
        </w:rPr>
        <w:t>has high surface area (50 –300 m</w:t>
      </w:r>
      <w:r w:rsidRPr="00F24BFA">
        <w:rPr>
          <w:rFonts w:ascii="Times New Roman" w:hAnsi="Times New Roman"/>
          <w:sz w:val="20"/>
          <w:szCs w:val="20"/>
          <w:vertAlign w:val="superscript"/>
        </w:rPr>
        <w:t xml:space="preserve">2 </w:t>
      </w:r>
      <w:r w:rsidRPr="00F24BFA">
        <w:rPr>
          <w:rFonts w:ascii="Times New Roman" w:hAnsi="Times New Roman"/>
          <w:sz w:val="20"/>
          <w:szCs w:val="20"/>
        </w:rPr>
        <w:t>g</w:t>
      </w:r>
      <w:r w:rsidRPr="00F24BFA">
        <w:rPr>
          <w:rFonts w:ascii="Times New Roman" w:hAnsi="Times New Roman"/>
          <w:sz w:val="20"/>
          <w:szCs w:val="20"/>
          <w:vertAlign w:val="superscript"/>
        </w:rPr>
        <w:t>-1</w:t>
      </w:r>
      <w:r w:rsidRPr="00F24BFA">
        <w:rPr>
          <w:rFonts w:ascii="Times New Roman" w:hAnsi="Times New Roman"/>
          <w:sz w:val="20"/>
          <w:szCs w:val="20"/>
        </w:rPr>
        <w:t>) and thermal stability up to 873 K that make it widely used in industrial. The ethanol dehydrate over γ-Al</w:t>
      </w:r>
      <w:r w:rsidRPr="00F24BFA">
        <w:rPr>
          <w:rFonts w:ascii="Times New Roman" w:hAnsi="Times New Roman"/>
          <w:sz w:val="20"/>
          <w:szCs w:val="20"/>
          <w:vertAlign w:val="subscript"/>
        </w:rPr>
        <w:t>2</w:t>
      </w:r>
      <w:r w:rsidRPr="00F24BFA">
        <w:rPr>
          <w:rFonts w:ascii="Times New Roman" w:hAnsi="Times New Roman"/>
          <w:sz w:val="20"/>
          <w:szCs w:val="20"/>
        </w:rPr>
        <w:t>O</w:t>
      </w:r>
      <w:r w:rsidRPr="00F24BFA">
        <w:rPr>
          <w:rFonts w:ascii="Times New Roman" w:hAnsi="Times New Roman"/>
          <w:sz w:val="20"/>
          <w:szCs w:val="20"/>
          <w:vertAlign w:val="subscript"/>
        </w:rPr>
        <w:t>3</w:t>
      </w:r>
      <w:r w:rsidRPr="00F24BFA">
        <w:rPr>
          <w:rFonts w:ascii="Times New Roman" w:hAnsi="Times New Roman"/>
          <w:sz w:val="20"/>
          <w:szCs w:val="20"/>
        </w:rPr>
        <w:t xml:space="preserve"> can achieve greater than 90% to form ethylene. The disadvantage of γ-Al</w:t>
      </w:r>
      <w:r w:rsidRPr="00F24BFA">
        <w:rPr>
          <w:rFonts w:ascii="Times New Roman" w:hAnsi="Times New Roman"/>
          <w:sz w:val="20"/>
          <w:szCs w:val="20"/>
          <w:vertAlign w:val="subscript"/>
        </w:rPr>
        <w:t>2</w:t>
      </w:r>
      <w:r w:rsidRPr="00F24BFA">
        <w:rPr>
          <w:rFonts w:ascii="Times New Roman" w:hAnsi="Times New Roman"/>
          <w:sz w:val="20"/>
          <w:szCs w:val="20"/>
        </w:rPr>
        <w:t>O</w:t>
      </w:r>
      <w:r w:rsidRPr="00F24BFA">
        <w:rPr>
          <w:rFonts w:ascii="Times New Roman" w:hAnsi="Times New Roman"/>
          <w:sz w:val="20"/>
          <w:szCs w:val="20"/>
          <w:vertAlign w:val="subscript"/>
        </w:rPr>
        <w:t>3</w:t>
      </w:r>
      <w:r w:rsidRPr="00F24BFA">
        <w:rPr>
          <w:rFonts w:ascii="Times New Roman" w:hAnsi="Times New Roman"/>
          <w:sz w:val="20"/>
          <w:szCs w:val="20"/>
        </w:rPr>
        <w:t xml:space="preserve"> is high reaction temperature needed for ethanol catalytic dehydration. Another problem is that water can deactivate active sites on γ-Al</w:t>
      </w:r>
      <w:r w:rsidRPr="00F24BFA">
        <w:rPr>
          <w:rFonts w:ascii="Times New Roman" w:hAnsi="Times New Roman"/>
          <w:sz w:val="20"/>
          <w:szCs w:val="20"/>
          <w:vertAlign w:val="subscript"/>
        </w:rPr>
        <w:t>2</w:t>
      </w:r>
      <w:r w:rsidRPr="00F24BFA">
        <w:rPr>
          <w:rFonts w:ascii="Times New Roman" w:hAnsi="Times New Roman"/>
          <w:sz w:val="20"/>
          <w:szCs w:val="20"/>
        </w:rPr>
        <w:t>O</w:t>
      </w:r>
      <w:r w:rsidRPr="00F24BFA">
        <w:rPr>
          <w:rFonts w:ascii="Times New Roman" w:hAnsi="Times New Roman"/>
          <w:sz w:val="20"/>
          <w:szCs w:val="20"/>
          <w:vertAlign w:val="subscript"/>
        </w:rPr>
        <w:t>3</w:t>
      </w:r>
      <w:r w:rsidRPr="00F24BFA">
        <w:rPr>
          <w:rFonts w:ascii="Times New Roman" w:hAnsi="Times New Roman"/>
          <w:sz w:val="20"/>
          <w:szCs w:val="20"/>
        </w:rPr>
        <w:t xml:space="preserve"> and inhibit the formation rate of ethylene and diethyl ether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"10.1021/cs400051k", "ISBN" : "2155-5435", "ISSN" : "2155-5435", "abstract" : "Steady state, isotopic, and chemical transient studies of ethanol dehydration on ?-alumina show unimolecular and bimolecular dehydration reactions of ethanol are reversibly inhibited by the formation of ethanol?water dimers at 488 K. Measured rates of ethylene synthesis are independent of ethanol pressure (1.9?7.0 kPa) but decrease with increasing water pressure (0.4?2.2 kPa), reflecting the competitive adsorption of ethanol?water dimers with ethanol monomers; while diethyl ether formation rates have a positive, less than first order dependence on ethanol pressure (0.9?4.7 kPa) and also decrease with water pressure (0.6?2.2 kPa), signifying a competition for active sites between ethanol?water dimers and ethanol dimers. Pyridine inhibits the rate of ethylene and diethyl ether formation to different extents verifying the existence of acidic and nonequivalent active sites for the dehydration reactions. A primary kinetic isotope effect does not occur for diethyl ether synthesis from deuterated ethanol and only occurs for ethylene synthesis when the ?-proton is deuterated; demonstrating olefin synthesis is kinetically limited by either the cleavage of a C?-H bond or the desorption of water on the ?-alumina surface and ether synthesis is limited by the cleavage of either the C?O bond of the alcohol molecule or the Al?O bond of a surface bound ethoxide species. These observations are consistent with a mechanism inhibited by the formation of dimer species. The proposed model rigorously describes the observed kinetics at this temperature and highlights the fundamental differences between the Lewis acidic ?-alumina and Br?nsted acidic zeolite catalysts.", "author" : [ { "dropping-particle" : "", "family" : "DeWilde", "given" : "Joseph F", "non-dropping-particle" : "", "parse-names" : false, "suffix" : "" }, { "dropping-particle" : "", "family" : "Chiang", "given" : "Hsu", "non-dropping-particle" : "", "parse-names" : false, "suffix" : "" }, { "dropping-particle" : "", "family" : "Hickman", "given" : "Daniel a", "non-dropping-particle" : "", "parse-names" : false, "suffix" : "" }, { "dropping-particle" : "", "family" : "Ho", "given" : "Christopher R", "non-dropping-particle" : "", "parse-names" : false, "suffix" : "" }, { "dropping-particle" : "", "family" : "Bhan", "given" : "Aditya", "non-dropping-particle" : "", "parse-names" : false, "suffix" : "" } ], "container-title" : "ACS Catalysis", "id" : "ITEM-1", "issue" : "4", "issued" : { "date-parts" : [ [ "2013" ] ] }, "page" : "798-807", "title" : "\u201cKinetics and Mechanism of Ethanol Dehydration on \u03b3-Al2O3 : the critical role of dimer inibition\"", "type" : "article-journal", "volume" : "3" }, "uris" : [ "http://www.mendeley.com/documents/?uuid=e226e21f-ccee-45f7-b873-568849ba0567" ] } ], "mendeley" : { "formattedCitation" : "[10]", "plainTextFormattedCitation" : "[10]", "previouslyFormattedCitation" : "[10]"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[10]</w:t>
      </w:r>
      <w:r w:rsidRPr="00F24BFA">
        <w:rPr>
          <w:rFonts w:ascii="Times New Roman" w:hAnsi="Times New Roman"/>
          <w:sz w:val="20"/>
          <w:szCs w:val="20"/>
        </w:rPr>
        <w:fldChar w:fldCharType="end"/>
      </w:r>
      <w:r w:rsidRPr="00F24BFA">
        <w:rPr>
          <w:rFonts w:ascii="Times New Roman" w:hAnsi="Times New Roman"/>
          <w:sz w:val="20"/>
          <w:szCs w:val="20"/>
        </w:rPr>
        <w:t>.</w:t>
      </w:r>
    </w:p>
    <w:p w:rsidR="00F24BFA" w:rsidRPr="00F24BFA" w:rsidRDefault="00F24BFA" w:rsidP="00F24BFA">
      <w:pPr>
        <w:spacing w:after="0" w:line="240" w:lineRule="auto"/>
        <w:jc w:val="both"/>
        <w:rPr>
          <w:rFonts w:ascii="Times New Roman" w:hAnsi="Times New Roman"/>
          <w:sz w:val="20"/>
          <w:szCs w:val="20"/>
        </w:rPr>
      </w:pPr>
    </w:p>
    <w:p w:rsidR="00F24BFA" w:rsidRDefault="00F24BFA" w:rsidP="00F24BFA">
      <w:pPr>
        <w:spacing w:after="0" w:line="240" w:lineRule="auto"/>
        <w:jc w:val="both"/>
        <w:rPr>
          <w:rFonts w:ascii="Times New Roman" w:hAnsi="Times New Roman"/>
          <w:sz w:val="20"/>
          <w:szCs w:val="20"/>
        </w:rPr>
      </w:pPr>
      <w:r w:rsidRPr="00F24BFA">
        <w:rPr>
          <w:rFonts w:ascii="Times New Roman" w:hAnsi="Times New Roman"/>
          <w:sz w:val="20"/>
          <w:szCs w:val="20"/>
        </w:rPr>
        <w:t xml:space="preserve">The weak acid centers and relatively strong acid centers of the catalyst are the active sites of ethanol intramolecular dehydration to ethylene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"10.1016/j.apcata.2014.12.047", "ISSN" : "0926860X", "abstract" : "Ethanol dehydration was investigated over commercial H-FER, H-MFI, H-MOR, H-BEA, H-Y and H-USY zeolite samples, and alumina and silica alumina for comparison. The catalysts were characterized using FT-IR spectroscopy of the surface OH groups and of adsorbed CO and pyridine. UV\u2013vis, Raman and TG-DTA were applied to characterize coke, formed more on H-MOR and H-BEA. H-zeolites are definitely more active than silica alumina and alumina on catalyst weight base. The H-MOR sample is the most active but the H-MFI samples with Si/Al2 ratios 280 and 50 show higher reaction rates per Al ion, H-FER and faujasites show highest ethylene yield (99.9% at 573K). At lower temperature and higher space velocities, diethyl ether is formed with high yield (&gt;70% at 453\u2013473K on H-BEA and H-MFI (50)). Overconversion of ethylene mainly to aromatics is observed on H-MFI (50). The different behaviour of protonic zeolites can predominantly be explained by confinement effects on the different zeolite cavities.", "author" : [ { "dropping-particle" : "", "family" : "Phung", "given" : "Thanh Khoa", "non-dropping-particle" : "", "parse-names" : false, "suffix" : "" }, { "dropping-particle" : "", "family" : "Proietti Hern\u00e1ndez", "given" : "Loriana", "non-dropping-particle" : "", "parse-names" : false, "suffix" : "" }, { "dropping-particle" : "", "family" : "Lagazzo", "given" : "Alberto", "non-dropping-particle" : "", "parse-names" : false, "suffix" : "" }, { "dropping-particle" : "", "family" : "Busca", "given" : "Guido", "non-dropping-particle" : "", "parse-names" : false, "suffix" : "" } ], "container-title" : "Applied Catalysis A: General", "id" : "ITEM-1", "issued" : { "date-parts" : [ [ "2015" ] ] }, "page" : "77-89", "publisher" : "Elsevier B.V.", "title" : "Dehydration of ethanol over zeolites, silica alumina and alumina: Lewis acidity, Br\u00f8nsted acidity and confinement effects", "type" : "article-journal", "volume" : "493" }, "uris" : [ "http://www.mendeley.com/documents/?uuid=88d05e2a-d689-4e01-b4d4-910e6c82ee15" ] } ], "mendeley" : { "formattedCitation" : "[6]", "plainTextFormattedCitation" : "[6]", "previouslyFormattedCitation" : "[6]"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[6]</w:t>
      </w:r>
      <w:r w:rsidRPr="00F24BFA">
        <w:rPr>
          <w:rFonts w:ascii="Times New Roman" w:hAnsi="Times New Roman"/>
          <w:sz w:val="20"/>
          <w:szCs w:val="20"/>
        </w:rPr>
        <w:fldChar w:fldCharType="end"/>
      </w:r>
      <w:r w:rsidRPr="00F24BFA">
        <w:rPr>
          <w:rFonts w:ascii="Times New Roman" w:hAnsi="Times New Roman"/>
          <w:sz w:val="20"/>
          <w:szCs w:val="20"/>
        </w:rPr>
        <w:t xml:space="preserve">.  However, the strong acid centers can easily lead to ethylene polymerization. Hence, surface acidity of catalyst need to adjust using additives to improve catalyst stability and high ethylene selectivity. </w:t>
      </w:r>
      <w:r w:rsidRPr="00F24BFA">
        <w:rPr>
          <w:rFonts w:ascii="Times New Roman" w:eastAsia="Calibri" w:hAnsi="Times New Roman"/>
          <w:noProof/>
          <w:sz w:val="20"/>
          <w:szCs w:val="20"/>
          <w:lang w:eastAsia="zh-CN"/>
        </w:rPr>
        <w:t>In continuation of discovering new catalyst for ethanol catalytic dehydration, we report the</w:t>
      </w:r>
      <w:r w:rsidRPr="00F24BFA">
        <w:rPr>
          <w:rFonts w:ascii="Times New Roman" w:hAnsi="Times New Roman"/>
          <w:sz w:val="20"/>
          <w:szCs w:val="20"/>
        </w:rPr>
        <w:t xml:space="preserve"> use of ceria-based catalysts for the aforementioned reaction. </w:t>
      </w:r>
      <w:r w:rsidRPr="00F24BFA">
        <w:rPr>
          <w:rFonts w:ascii="Times New Roman" w:eastAsia="Calibri" w:hAnsi="Times New Roman"/>
          <w:noProof/>
          <w:sz w:val="20"/>
          <w:szCs w:val="20"/>
          <w:lang w:eastAsia="zh-CN"/>
        </w:rPr>
        <w:t>The use of cerium oxide as the support bring advantages such as its high oxygen mobility associated with oxygen vacancies and oxygen storage capacity.</w:t>
      </w:r>
      <w:r w:rsidRPr="00F24BFA">
        <w:rPr>
          <w:rFonts w:ascii="Times New Roman" w:eastAsia="Calibri" w:hAnsi="Times New Roman"/>
          <w:noProof/>
          <w:sz w:val="20"/>
          <w:szCs w:val="20"/>
          <w:lang w:val="en-GB" w:eastAsia="zh-CN"/>
        </w:rPr>
        <w:t xml:space="preserve"> Due to the high effectiveness of cerium oxide used as a support and the (phosphostic acid ad), many studies have been carried out by employing cerium oxide as catalyst for ethanol conversion reactions especially steam reforming reactions </w:t>
      </w:r>
      <w:r w:rsidRPr="00F24BFA">
        <w:rPr>
          <w:rFonts w:ascii="Times New Roman" w:eastAsia="Calibri" w:hAnsi="Times New Roman"/>
          <w:noProof/>
          <w:sz w:val="20"/>
          <w:szCs w:val="20"/>
          <w:lang w:val="en-GB" w:eastAsia="zh-CN"/>
        </w:rPr>
        <w:fldChar w:fldCharType="begin" w:fldLock="1"/>
      </w:r>
      <w:r w:rsidRPr="00F24BFA">
        <w:rPr>
          <w:rFonts w:ascii="Times New Roman" w:eastAsia="Calibri" w:hAnsi="Times New Roman"/>
          <w:noProof/>
          <w:sz w:val="20"/>
          <w:szCs w:val="20"/>
          <w:lang w:val="en-GB" w:eastAsia="zh-CN"/>
        </w:rPr>
        <w:instrText>ADDIN CSL_CITATION { "citationItems" : [ { "id" : "ITEM-1", "itemData" : { "DOI" : "10.1016/j.jcat.2008.04.009", "ISBN" : "0021-9517", "ISSN" : "00219517", "abstract" : "Steam reforming, partial oxidation, and oxidative steam reforming of ethanol over Ir/CeO2 catalysts were studied to elucidate the reaction pathway and determine catalytic stability. Temperature-programmed desorption and surface reaction revealed that ethoxy species were immediately formed on ethanol adsorption at room temperature, and were mainly further oxidized to acetate and carbonate species that finally decomposed into CH4/CO and CO2, respectively. Under reaction conditions, acetaldehyde was the primary product below 673 K, which decomposed mainly to methane and carbon monoxide at higher temperatures, whereas methane reforming and the water-gas shift were the major reactions above 773 K. The Ir/CeO2 catalyst demonstrated rather high stability for the reactions at 823 and 923 K with no apparent deactivation for 60 h on stream; the mean size of Ir particles was stable at around 2-3 nm, but the ceria particles sintered significantly from 6-8 to 14-27 nm. CeO2 likely prevented the highly dispersed Ir particles from sintering and inhibited coke deposition through strong Ir-CeO2 interactions. \u00a9 2008 Elsevier Inc. All rights reserved.", "author" : [ { "dropping-particle" : "", "family" : "Cai", "given" : "Weijie", "non-dropping-particle" : "", "parse-names" : false, "suffix" : "" }, { "dropping-particle" : "", "family" : "Wang", "given" : "Fagen", "non-dropping-particle" : "", "parse-names" : false, "suffix" : "" }, { "dropping-particle" : "", "family" : "Zhan", "given" : "Ensheng", "non-dropping-particle" : "", "parse-names" : false, "suffix" : "" }, { "dropping-particle" : "", "family" : "Veen", "given" : "A. C.", "non-dropping-particle" : "Van", "parse-names" : false, "suffix" : "" }, { "dropping-particle" : "", "family" : "Mirodatos", "given" : "Claude", "non-dropping-particle" : "", "parse-names" : false, "suffix" : "" }, { "dropping-particle" : "", "family" : "Shen", "given" : "Wenjie", "non-dropping-particle" : "", "parse-names" : false, "suffix" : "" } ], "container-title" : "Journal of Catalysis", "id" : "ITEM-1", "issue" : "1", "issued" : { "date-parts" : [ [ "2008", "7", "1" ] ] }, "page" : "96-107", "title" : "Hydrogen production from ethanol over Ir/CeO2 catalysts: A comparative study of steam reforming, partial oxidation and oxidative steam reforming", "type" : "article-journal", "volume" : "257" }, "uris" : [ "http://www.mendeley.com/documents/?uuid=6b045ddc-8533-3f5c-918d-a87308d8310d" ] }, { "id" : "ITEM-2", "itemData" : { "DOI" : "10.1016/S1566-7367(02)00226-1", "ISSN" : "15667367", "author" : [ { "dropping-particle" : "", "family" : "Diagne", "given" : "C", "non-dropping-particle" : "", "parse-names" : false, "suffix" : "" }, { "dropping-particle" : "", "family" : "Idriss", "given" : "H", "non-dropping-particle" : "", "parse-names" : false, "suffix" : "" }, { "dropping-particle" : "", "family" : "Kiennemann", "given" : "A", "non-dropping-particle" : "", "parse-names" : false, "suffix" : "" } ], "container-title" : "Catalysis Communications", "id" : "ITEM-2", "issue" : "12", "issued" : { "date-parts" : [ [ "2002", "12" ] ] }, "page" : "565-571", "title" : "Hydrogen production by ethanol reforming over Rh/CeO2\u2013ZrO2 catalysts", "type" : "article-journal", "volume" : "3" }, "uris" : [ "http://www.mendeley.com/documents/?uuid=812e5812-7f6e-3ce9-812d-36b974eff4a0" ] }, { "id" : "ITEM-3", "itemData" : { "DOI" : "10.1016/j.apcatb.2016.03.065", "ISSN" : "09263373", "abstract" : "The reaction of ethanol has been investigated on Ru/CeO2 in steady state conditions as well as with temperature programmed desorption (TPD). High resolution transmission electron microscopy (HRTEM) images indicated that the used catalyst contained Ru particles with a mean size of ca. 1.5nm well dispersed on CeO2 (of about 12\u201315nm in size). Surface uptake of ethanol was measured by changing exposure to ethanol followed by TPD. Saturation coverage is found to be between 0.25 and 0.33 of a monolayer for CeO2 that has been prior heated with O2 at 773K. The main reactions of ethanol on CeO2 during TPD are: re-combinative desorption of ethanol; dehydrogenation to acetaldehyde; and dehydration to ethylene. The dehydration to ethylene occurs mainly in a small temperature window at about 700K and it is attributed to ethoxides adsorbed on surface-oxygen defects. The presence of Ru considerably modified the reaction of ceria towards ethanol. It has switched the desorption products to CO, CO2, CH4 and H2. These latter products are typical reforming products. Ethanol steam reforming (ESR) conducted on Ru/CeO2 indicated that optimal reaction activity is at about 673K above which CO2 production declines (together with that of H2) due to reverse water gas shift. This trend was well captured during ethanol TPD where CO2 desorbed about 50K below than CO on both oxidized and reduced Ru/CeO2 catalysts.", "author" : [ { "dropping-particle" : "", "family" : "Mudiyanselage", "given" : "K.", "non-dropping-particle" : "", "parse-names" : false, "suffix" : "" }, { "dropping-particle" : "", "family" : "Al-Shankiti", "given" : "I.", "non-dropping-particle" : "", "parse-names" : false, "suffix" : "" }, { "dropping-particle" : "", "family" : "Foulis", "given" : "A.", "non-dropping-particle" : "", "parse-names" : false, "suffix" : "" }, { "dropping-particle" : "", "family" : "Llorca", "given" : "Jordi", "non-dropping-particle" : "", "parse-names" : false, "suffix" : "" }, { "dropping-particle" : "", "family" : "Idriss", "given" : "H.", "non-dropping-particle" : "", "parse-names" : false, "suffix" : "" } ], "container-title" : "Applied Catalysis B: Environmental", "id" : "ITEM-3", "issued" : { "date-parts" : [ [ "2016" ] ] }, "title" : "Reactions of Ethanol over CeO2 and Ru/CeO2 Catalysts", "type" : "article-journal" }, "uris" : [ "http://www.mendeley.com/documents/?uuid=33c714f9-737b-4b46-8f67-b760b8ed10bb" ] }, { "id" : "ITEM-4", "itemData" : { "DOI" : "10.1016/j.cattod.2006.10.012", "ISSN" : "09205861", "author" : [ { "dropping-particle" : "", "family" : "Wang", "given" : "H", "non-dropping-particle" : "", "parse-names" : false, "suffix" : "" }, { "dropping-particle" : "", "family" : "Ye", "given" : "J", "non-dropping-particle" : "", "parse-names" : false, "suffix" : "" }, { "dropping-particle" : "", "family" : "Liu", "given" : "Y", "non-dropping-particle" : "", "parse-names" : false, "suffix" : "" }, { "dropping-particle" : "", "family" : "Li", "given" : "Y", "non-dropping-particle" : "", "parse-names" : false, "suffix" : "" }, { "dropping-particle" : "", "family" : "Qin", "given" : "Y", "non-dropping-particle" : "", "parse-names" : false, "suffix" : "" } ], "container-title" : "Catalysis Today", "id" : "ITEM-4", "issue" : "3-4", "issued" : { "date-parts" : [ [ "2007", "12", "15" ] ] }, "page" : "305-312", "title" : "Steam reforming of ethanol over Co3O4/CeO2 catalysts prepared by different methods", "type" : "article-journal", "volume" : "129" }, "uris" : [ "http://www.mendeley.com/documents/?uuid=192e214e-34c3-351b-8271-c47e7e15b155" ] }, { "id" : "ITEM-5", "itemData" : { "DOI" : "10.1016/j.catcom.2005.12.014", "ISSN" : "15667367", "author" : [ { "dropping-particle" : "", "family" : "Zhang", "given" : "Baocai", "non-dropping-particle" : "", "parse-names" : false, "suffix" : "" }, { "dropping-particle" : "", "family" : "Tang", "given" : "Xiaolan", "non-dropping-particle" : "", "parse-names" : false, "suffix" : "" }, { "dropping-particle" : "", "family" : "Li", "given" : "Yong", "non-dropping-particle" : "", "parse-names" : false, "suffix" : "" }, { "dropping-particle" : "", "family" : "Cai", "given" : "Weijie", "non-dropping-particle" : "", "parse-names" : false, "suffix" : "" }, { "dropping-particle" : "", "family" : "Xu", "given" : "Yide", "non-dropping-particle" : "", "parse-names" : false, "suffix" : "" }, { "dropping-particle" : "", "family" : "Shen", "given" : "Wenjie", "non-dropping-particle" : "", "parse-names" : false, "suffix" : "" } ], "container-title" : "Catalysis Communications", "id" : "ITEM-5", "issue" : "6", "issued" : { "date-parts" : [ [ "2006", "6" ] ] }, "page" : "367-372", "title" : "Steam reforming of bio-ethanol for the production of hydrogen over ceria-supported Co, Ir and Ni catalysts", "type" : "article-journal", "volume" : "7" }, "uris" : [ "http://www.mendeley.com/documents/?uuid=87c9e357-9374-34df-b755-64ee28881a5f" ] } ], "mendeley" : { "formattedCitation" : "[11]\u2013[15]", "plainTextFormattedCitation" : "[11]\u2013[15]", "previouslyFormattedCitation" : "[11]\u2013[15]" }, "properties" : { "noteIndex" : 0 }, "schema" : "https://github.com/citation-style-language/schema/raw/master/csl-citation.json" }</w:instrText>
      </w:r>
      <w:r w:rsidRPr="00F24BFA">
        <w:rPr>
          <w:rFonts w:ascii="Times New Roman" w:eastAsia="Calibri" w:hAnsi="Times New Roman"/>
          <w:noProof/>
          <w:sz w:val="20"/>
          <w:szCs w:val="20"/>
          <w:lang w:val="en-GB" w:eastAsia="zh-CN"/>
        </w:rPr>
        <w:fldChar w:fldCharType="separate"/>
      </w:r>
      <w:r w:rsidRPr="00F24BFA">
        <w:rPr>
          <w:rFonts w:ascii="Times New Roman" w:eastAsia="Calibri" w:hAnsi="Times New Roman"/>
          <w:noProof/>
          <w:sz w:val="20"/>
          <w:szCs w:val="20"/>
          <w:lang w:val="en-GB" w:eastAsia="zh-CN"/>
        </w:rPr>
        <w:t>[11 - 15]</w:t>
      </w:r>
      <w:r w:rsidRPr="00F24BFA">
        <w:rPr>
          <w:rFonts w:ascii="Times New Roman" w:eastAsia="Calibri" w:hAnsi="Times New Roman"/>
          <w:noProof/>
          <w:sz w:val="20"/>
          <w:szCs w:val="20"/>
          <w:lang w:val="en-GB" w:eastAsia="zh-CN"/>
        </w:rPr>
        <w:fldChar w:fldCharType="end"/>
      </w:r>
      <w:r w:rsidRPr="00F24BFA">
        <w:rPr>
          <w:rFonts w:ascii="Times New Roman" w:eastAsia="Calibri" w:hAnsi="Times New Roman"/>
          <w:noProof/>
          <w:sz w:val="20"/>
          <w:szCs w:val="20"/>
          <w:lang w:val="en-GB" w:eastAsia="zh-CN"/>
        </w:rPr>
        <w:t xml:space="preserve">.  As mentioned earlier , the surface acidity of catalyst is improtant in this reaction. Thus, </w:t>
      </w:r>
      <w:r w:rsidRPr="00F24BFA">
        <w:rPr>
          <w:rFonts w:ascii="Times New Roman" w:hAnsi="Times New Roman"/>
          <w:sz w:val="20"/>
          <w:szCs w:val="20"/>
        </w:rPr>
        <w:t>pure CeO</w:t>
      </w:r>
      <w:r w:rsidRPr="00F24BFA">
        <w:rPr>
          <w:rFonts w:ascii="Times New Roman" w:hAnsi="Times New Roman"/>
          <w:sz w:val="20"/>
          <w:szCs w:val="20"/>
          <w:vertAlign w:val="subscript"/>
        </w:rPr>
        <w:t xml:space="preserve">2 </w:t>
      </w:r>
      <w:r w:rsidRPr="00F24BFA">
        <w:rPr>
          <w:rFonts w:ascii="Times New Roman" w:hAnsi="Times New Roman"/>
          <w:sz w:val="20"/>
          <w:szCs w:val="20"/>
        </w:rPr>
        <w:t>catalysts as well as phosphoric acid (H</w:t>
      </w:r>
      <w:r w:rsidRPr="00F24BFA">
        <w:rPr>
          <w:rFonts w:ascii="Times New Roman" w:hAnsi="Times New Roman"/>
          <w:sz w:val="20"/>
          <w:szCs w:val="20"/>
          <w:vertAlign w:val="subscript"/>
        </w:rPr>
        <w:t>3</w:t>
      </w:r>
      <w:r w:rsidRPr="00F24BFA">
        <w:rPr>
          <w:rFonts w:ascii="Times New Roman" w:hAnsi="Times New Roman"/>
          <w:sz w:val="20"/>
          <w:szCs w:val="20"/>
        </w:rPr>
        <w:t>PO</w:t>
      </w:r>
      <w:r w:rsidRPr="00F24BFA">
        <w:rPr>
          <w:rFonts w:ascii="Times New Roman" w:hAnsi="Times New Roman"/>
          <w:sz w:val="20"/>
          <w:szCs w:val="20"/>
          <w:vertAlign w:val="subscript"/>
        </w:rPr>
        <w:t>4</w:t>
      </w:r>
      <w:r w:rsidRPr="00F24BFA">
        <w:rPr>
          <w:rFonts w:ascii="Times New Roman" w:hAnsi="Times New Roman"/>
          <w:sz w:val="20"/>
          <w:szCs w:val="20"/>
        </w:rPr>
        <w:t>) doped CeO</w:t>
      </w:r>
      <w:r w:rsidRPr="00F24BFA">
        <w:rPr>
          <w:rFonts w:ascii="Times New Roman" w:hAnsi="Times New Roman"/>
          <w:sz w:val="20"/>
          <w:szCs w:val="20"/>
          <w:vertAlign w:val="subscript"/>
        </w:rPr>
        <w:t>2</w:t>
      </w:r>
      <w:r w:rsidRPr="00F24BFA">
        <w:rPr>
          <w:rFonts w:ascii="Times New Roman" w:hAnsi="Times New Roman"/>
          <w:sz w:val="20"/>
          <w:szCs w:val="20"/>
        </w:rPr>
        <w:t xml:space="preserve"> catalysts were prepared to study the behavior of CeO</w:t>
      </w:r>
      <w:r w:rsidRPr="00F24BFA">
        <w:rPr>
          <w:rFonts w:ascii="Times New Roman" w:hAnsi="Times New Roman"/>
          <w:sz w:val="20"/>
          <w:szCs w:val="20"/>
          <w:vertAlign w:val="subscript"/>
        </w:rPr>
        <w:t>2</w:t>
      </w:r>
      <w:r w:rsidRPr="00F24BFA">
        <w:rPr>
          <w:rFonts w:ascii="Times New Roman" w:hAnsi="Times New Roman"/>
          <w:sz w:val="20"/>
          <w:szCs w:val="20"/>
        </w:rPr>
        <w:t xml:space="preserve"> towards kinetics of ethanol dehydration.</w:t>
      </w:r>
    </w:p>
    <w:p w:rsidR="00F24BFA" w:rsidRPr="00F24BFA" w:rsidRDefault="00F24BFA" w:rsidP="00F24BFA">
      <w:pPr>
        <w:spacing w:after="0" w:line="240" w:lineRule="auto"/>
        <w:jc w:val="both"/>
        <w:rPr>
          <w:rFonts w:ascii="Times New Roman" w:eastAsia="Calibri" w:hAnsi="Times New Roman"/>
          <w:noProof/>
          <w:sz w:val="20"/>
          <w:szCs w:val="20"/>
          <w:lang w:val="en-GB" w:eastAsia="zh-CN"/>
        </w:rPr>
      </w:pPr>
    </w:p>
    <w:p w:rsidR="00F24BFA" w:rsidRDefault="00F24BFA" w:rsidP="00F24BFA">
      <w:pPr>
        <w:spacing w:after="0" w:line="240" w:lineRule="auto"/>
        <w:jc w:val="both"/>
        <w:rPr>
          <w:rFonts w:ascii="Times New Roman" w:eastAsia="Calibri" w:hAnsi="Times New Roman"/>
          <w:sz w:val="20"/>
          <w:szCs w:val="20"/>
        </w:rPr>
      </w:pPr>
      <w:r w:rsidRPr="00F24BFA">
        <w:rPr>
          <w:rFonts w:ascii="Times New Roman" w:eastAsia="Calibri" w:hAnsi="Times New Roman"/>
          <w:sz w:val="20"/>
          <w:szCs w:val="20"/>
          <w:lang w:val="en-MY"/>
        </w:rPr>
        <w:t>Therefore, the aim of this study is to investigate the feasibility of ethanol dehydration over H</w:t>
      </w:r>
      <w:r w:rsidRPr="00F24BFA">
        <w:rPr>
          <w:rFonts w:ascii="Times New Roman" w:eastAsia="Calibri" w:hAnsi="Times New Roman"/>
          <w:sz w:val="20"/>
          <w:szCs w:val="20"/>
          <w:vertAlign w:val="subscript"/>
          <w:lang w:val="en-MY"/>
        </w:rPr>
        <w:t>3</w:t>
      </w:r>
      <w:r w:rsidRPr="00F24BFA">
        <w:rPr>
          <w:rFonts w:ascii="Times New Roman" w:eastAsia="Calibri" w:hAnsi="Times New Roman"/>
          <w:sz w:val="20"/>
          <w:szCs w:val="20"/>
          <w:lang w:val="en-MY"/>
        </w:rPr>
        <w:t>PO</w:t>
      </w:r>
      <w:r w:rsidRPr="00F24BFA">
        <w:rPr>
          <w:rFonts w:ascii="Times New Roman" w:eastAsia="Calibri" w:hAnsi="Times New Roman"/>
          <w:sz w:val="20"/>
          <w:szCs w:val="20"/>
          <w:vertAlign w:val="subscript"/>
          <w:lang w:val="en-MY"/>
        </w:rPr>
        <w:t>4</w:t>
      </w:r>
      <w:r w:rsidRPr="00F24BFA">
        <w:rPr>
          <w:rFonts w:ascii="Times New Roman" w:eastAsia="Calibri" w:hAnsi="Times New Roman"/>
          <w:sz w:val="20"/>
          <w:szCs w:val="20"/>
          <w:lang w:val="en-MY"/>
        </w:rPr>
        <w:t xml:space="preserve">-modified cerium oxide catalysts on new catalyst application for this reaction. The synthesized catalysts </w:t>
      </w:r>
      <w:r w:rsidRPr="00F24BFA">
        <w:rPr>
          <w:rFonts w:ascii="Times New Roman" w:eastAsia="Calibri" w:hAnsi="Times New Roman"/>
          <w:sz w:val="20"/>
          <w:szCs w:val="20"/>
        </w:rPr>
        <w:t xml:space="preserve">were characterized using </w:t>
      </w:r>
      <w:r w:rsidRPr="00F24BFA">
        <w:rPr>
          <w:rFonts w:ascii="Times New Roman" w:eastAsia="Calibri" w:hAnsi="Times New Roman"/>
          <w:sz w:val="20"/>
          <w:szCs w:val="20"/>
        </w:rPr>
        <w:lastRenderedPageBreak/>
        <w:t>scanning electron microscope (SEM), energy dispersion X-ray spectroscopy (EDX), N</w:t>
      </w:r>
      <w:r w:rsidRPr="00F24BFA">
        <w:rPr>
          <w:rFonts w:ascii="Times New Roman" w:eastAsia="Calibri" w:hAnsi="Times New Roman"/>
          <w:sz w:val="20"/>
          <w:szCs w:val="20"/>
          <w:vertAlign w:val="subscript"/>
        </w:rPr>
        <w:t>2</w:t>
      </w:r>
      <w:r w:rsidRPr="00F24BFA">
        <w:rPr>
          <w:rFonts w:ascii="Times New Roman" w:eastAsia="Calibri" w:hAnsi="Times New Roman"/>
          <w:sz w:val="20"/>
          <w:szCs w:val="20"/>
        </w:rPr>
        <w:t xml:space="preserve"> adsorption-desorption method, X-ray diffraction (XRD), Fourier transform infrared spectroscopy (FTIR) and thermogravimetric analysis (TGA) for the physicochemical properties.</w:t>
      </w:r>
    </w:p>
    <w:p w:rsidR="00F24BFA" w:rsidRPr="00F24BFA" w:rsidRDefault="00F24BFA" w:rsidP="00F24BFA">
      <w:pPr>
        <w:spacing w:after="0" w:line="240" w:lineRule="auto"/>
        <w:jc w:val="center"/>
        <w:rPr>
          <w:rFonts w:ascii="Times New Roman" w:eastAsia="Calibri" w:hAnsi="Times New Roman"/>
          <w:sz w:val="20"/>
          <w:szCs w:val="20"/>
        </w:rPr>
      </w:pPr>
    </w:p>
    <w:p w:rsidR="00F24BFA" w:rsidRPr="00F24BFA" w:rsidRDefault="00F24BFA" w:rsidP="00F24BFA">
      <w:pPr>
        <w:spacing w:after="0" w:line="240" w:lineRule="auto"/>
        <w:jc w:val="center"/>
        <w:outlineLvl w:val="0"/>
        <w:rPr>
          <w:rFonts w:ascii="Times New Roman" w:hAnsi="Times New Roman"/>
          <w:b/>
          <w:sz w:val="20"/>
          <w:szCs w:val="20"/>
        </w:rPr>
      </w:pPr>
      <w:r w:rsidRPr="00F24BFA">
        <w:rPr>
          <w:rFonts w:ascii="Times New Roman" w:hAnsi="Times New Roman"/>
          <w:b/>
          <w:sz w:val="20"/>
          <w:szCs w:val="20"/>
        </w:rPr>
        <w:t>Materials and Methods</w:t>
      </w:r>
    </w:p>
    <w:p w:rsidR="00F24BFA" w:rsidRPr="00F24BFA" w:rsidRDefault="00F24BFA" w:rsidP="00F24BFA">
      <w:pPr>
        <w:spacing w:after="0" w:line="240" w:lineRule="auto"/>
        <w:jc w:val="both"/>
        <w:outlineLvl w:val="0"/>
        <w:rPr>
          <w:rFonts w:ascii="Times New Roman" w:hAnsi="Times New Roman"/>
          <w:b/>
          <w:sz w:val="20"/>
          <w:szCs w:val="20"/>
        </w:rPr>
      </w:pPr>
      <w:r w:rsidRPr="00F24BFA">
        <w:rPr>
          <w:rFonts w:ascii="Times New Roman" w:hAnsi="Times New Roman"/>
          <w:b/>
          <w:sz w:val="20"/>
          <w:szCs w:val="20"/>
        </w:rPr>
        <w:t xml:space="preserve">Catalysts preparation </w:t>
      </w:r>
    </w:p>
    <w:p w:rsidR="00F24BFA" w:rsidRDefault="00F24BFA" w:rsidP="00F24BFA">
      <w:pPr>
        <w:spacing w:after="0" w:line="240" w:lineRule="auto"/>
        <w:jc w:val="both"/>
        <w:rPr>
          <w:rFonts w:ascii="Times New Roman" w:hAnsi="Times New Roman"/>
          <w:sz w:val="20"/>
          <w:szCs w:val="20"/>
        </w:rPr>
      </w:pPr>
      <w:r w:rsidRPr="00F24BFA">
        <w:rPr>
          <w:rFonts w:ascii="Times New Roman" w:hAnsi="Times New Roman"/>
          <w:spacing w:val="2"/>
          <w:sz w:val="20"/>
          <w:szCs w:val="20"/>
        </w:rPr>
        <w:t>Cerium nitrate salt Ce(NO</w:t>
      </w:r>
      <w:r w:rsidRPr="00F24BFA">
        <w:rPr>
          <w:rFonts w:ascii="Times New Roman" w:hAnsi="Times New Roman"/>
          <w:spacing w:val="2"/>
          <w:sz w:val="20"/>
          <w:szCs w:val="20"/>
          <w:vertAlign w:val="subscript"/>
        </w:rPr>
        <w:t>3</w:t>
      </w:r>
      <w:r w:rsidRPr="00F24BFA">
        <w:rPr>
          <w:rFonts w:ascii="Times New Roman" w:hAnsi="Times New Roman"/>
          <w:spacing w:val="2"/>
          <w:sz w:val="20"/>
          <w:szCs w:val="20"/>
        </w:rPr>
        <w:t>)</w:t>
      </w:r>
      <w:r w:rsidRPr="00F24BFA">
        <w:rPr>
          <w:rFonts w:ascii="Times New Roman" w:hAnsi="Times New Roman"/>
          <w:spacing w:val="2"/>
          <w:sz w:val="20"/>
          <w:szCs w:val="20"/>
          <w:vertAlign w:val="subscript"/>
        </w:rPr>
        <w:t xml:space="preserve">2 </w:t>
      </w:r>
      <w:r w:rsidRPr="00F24BFA">
        <w:rPr>
          <w:rFonts w:ascii="Times New Roman" w:hAnsi="Times New Roman"/>
          <w:spacing w:val="2"/>
          <w:sz w:val="20"/>
          <w:szCs w:val="20"/>
        </w:rPr>
        <w:t>was procured from Sigma-Aldrich, USA. The ceria support was prepared by thermal decomposition of Ce(NO</w:t>
      </w:r>
      <w:r w:rsidRPr="00F24BFA">
        <w:rPr>
          <w:rFonts w:ascii="Times New Roman" w:hAnsi="Times New Roman"/>
          <w:spacing w:val="2"/>
          <w:sz w:val="20"/>
          <w:szCs w:val="20"/>
          <w:vertAlign w:val="subscript"/>
        </w:rPr>
        <w:t>3</w:t>
      </w:r>
      <w:r w:rsidRPr="00F24BFA">
        <w:rPr>
          <w:rFonts w:ascii="Times New Roman" w:hAnsi="Times New Roman"/>
          <w:spacing w:val="2"/>
          <w:sz w:val="20"/>
          <w:szCs w:val="20"/>
        </w:rPr>
        <w:t>)</w:t>
      </w:r>
      <w:r w:rsidRPr="00F24BFA">
        <w:rPr>
          <w:rFonts w:ascii="Times New Roman" w:hAnsi="Times New Roman"/>
          <w:spacing w:val="2"/>
          <w:sz w:val="20"/>
          <w:szCs w:val="20"/>
          <w:vertAlign w:val="subscript"/>
        </w:rPr>
        <w:t>2</w:t>
      </w:r>
      <w:r w:rsidRPr="00F24BFA">
        <w:rPr>
          <w:rFonts w:ascii="Times New Roman" w:hAnsi="Times New Roman"/>
          <w:spacing w:val="2"/>
          <w:sz w:val="20"/>
          <w:szCs w:val="20"/>
        </w:rPr>
        <w:t>.6H</w:t>
      </w:r>
      <w:r w:rsidRPr="00F24BFA">
        <w:rPr>
          <w:rFonts w:ascii="Times New Roman" w:hAnsi="Times New Roman"/>
          <w:spacing w:val="2"/>
          <w:sz w:val="20"/>
          <w:szCs w:val="20"/>
          <w:vertAlign w:val="subscript"/>
        </w:rPr>
        <w:t>2</w:t>
      </w:r>
      <w:r w:rsidRPr="00F24BFA">
        <w:rPr>
          <w:rFonts w:ascii="Times New Roman" w:hAnsi="Times New Roman"/>
          <w:spacing w:val="2"/>
          <w:sz w:val="20"/>
          <w:szCs w:val="20"/>
        </w:rPr>
        <w:t xml:space="preserve">O at 873 K for 2 hours and then crushed to powder. The </w:t>
      </w:r>
      <w:r w:rsidRPr="00F24BFA">
        <w:rPr>
          <w:rFonts w:ascii="Times New Roman" w:hAnsi="Times New Roman"/>
          <w:sz w:val="20"/>
          <w:szCs w:val="20"/>
          <w:lang w:val="en-GB"/>
        </w:rPr>
        <w:t>modified cerium oxide phosphate catalyst (1</w:t>
      </w:r>
      <w:r w:rsidRPr="00F24BFA">
        <w:rPr>
          <w:rFonts w:ascii="Times New Roman" w:hAnsi="Times New Roman"/>
          <w:sz w:val="20"/>
          <w:szCs w:val="20"/>
        </w:rPr>
        <w:t>0PA-CeO</w:t>
      </w:r>
      <w:r w:rsidRPr="00F24BFA">
        <w:rPr>
          <w:rFonts w:ascii="Times New Roman" w:hAnsi="Times New Roman"/>
          <w:sz w:val="20"/>
          <w:szCs w:val="20"/>
          <w:vertAlign w:val="subscript"/>
        </w:rPr>
        <w:t>2</w:t>
      </w:r>
      <w:r w:rsidRPr="00F24BFA">
        <w:rPr>
          <w:rFonts w:ascii="Times New Roman" w:hAnsi="Times New Roman"/>
          <w:sz w:val="20"/>
          <w:szCs w:val="20"/>
        </w:rPr>
        <w:t>)</w:t>
      </w:r>
      <w:r w:rsidRPr="00F24BFA">
        <w:rPr>
          <w:rFonts w:ascii="Times New Roman" w:hAnsi="Times New Roman"/>
          <w:spacing w:val="2"/>
          <w:sz w:val="20"/>
          <w:szCs w:val="20"/>
        </w:rPr>
        <w:t xml:space="preserve"> was prepared by impregnating the 10 wt.% </w:t>
      </w:r>
      <w:r w:rsidRPr="00F24BFA">
        <w:rPr>
          <w:rFonts w:ascii="Times New Roman" w:hAnsi="Times New Roman"/>
          <w:sz w:val="20"/>
          <w:szCs w:val="20"/>
          <w:lang w:val="en-GB"/>
        </w:rPr>
        <w:t>aqueous solution of H</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PO</w:t>
      </w:r>
      <w:r w:rsidRPr="00F24BFA">
        <w:rPr>
          <w:rFonts w:ascii="Times New Roman" w:hAnsi="Times New Roman"/>
          <w:sz w:val="20"/>
          <w:szCs w:val="20"/>
          <w:vertAlign w:val="subscript"/>
          <w:lang w:val="en-GB"/>
        </w:rPr>
        <w:t xml:space="preserve">4 </w:t>
      </w:r>
      <w:r w:rsidRPr="00F24BFA">
        <w:rPr>
          <w:rFonts w:ascii="Times New Roman" w:hAnsi="Times New Roman"/>
          <w:spacing w:val="2"/>
          <w:sz w:val="20"/>
          <w:szCs w:val="20"/>
        </w:rPr>
        <w:t xml:space="preserve">into 90 wt.% of the ceria support followed immediately by magnetic stirring for 3 hours. </w:t>
      </w:r>
      <w:r w:rsidRPr="00F24BFA">
        <w:rPr>
          <w:rFonts w:ascii="Times New Roman" w:hAnsi="Times New Roman"/>
          <w:sz w:val="20"/>
          <w:szCs w:val="20"/>
        </w:rPr>
        <w:t xml:space="preserve">The solution was then magnetic-stirred for 3 hours under ambient condition. Thereafter, the impregnated catalyst was oven-dried for 12 hours at 373 K. During the first 6 hours of the drying process, the catalyst was manually stirred using a glass rod for each hour to maintain relative homogeneity of the slurry. Post 12 hours, the </w:t>
      </w:r>
      <w:r w:rsidRPr="00F24BFA">
        <w:rPr>
          <w:rFonts w:ascii="Times New Roman" w:hAnsi="Times New Roman"/>
          <w:sz w:val="20"/>
          <w:szCs w:val="20"/>
          <w:lang w:val="en-GB"/>
        </w:rPr>
        <w:t>calcination of the dried catalyst</w:t>
      </w:r>
      <w:r w:rsidRPr="00F24BFA">
        <w:rPr>
          <w:rFonts w:ascii="Times New Roman" w:hAnsi="Times New Roman"/>
          <w:sz w:val="20"/>
          <w:szCs w:val="20"/>
        </w:rPr>
        <w:t xml:space="preserve"> was carried out in a muffled furnace model Carbolite RHF1400 for 5 hours at 773 K with heating rate of 5 K min</w:t>
      </w:r>
      <w:r w:rsidRPr="00F24BFA">
        <w:rPr>
          <w:rFonts w:ascii="Times New Roman" w:hAnsi="Times New Roman"/>
          <w:sz w:val="20"/>
          <w:szCs w:val="20"/>
          <w:vertAlign w:val="superscript"/>
        </w:rPr>
        <w:t>-1</w:t>
      </w:r>
      <w:r w:rsidRPr="00F24BFA">
        <w:rPr>
          <w:rFonts w:ascii="Times New Roman" w:hAnsi="Times New Roman"/>
          <w:sz w:val="20"/>
          <w:szCs w:val="20"/>
        </w:rPr>
        <w:t>. The catalyst was then cooled to room temperature and ground for physicochemical characterization and reaction studies. The resulting 20PA-CeO</w:t>
      </w:r>
      <w:r w:rsidRPr="00F24BFA">
        <w:rPr>
          <w:rFonts w:ascii="Times New Roman" w:hAnsi="Times New Roman"/>
          <w:sz w:val="20"/>
          <w:szCs w:val="20"/>
          <w:vertAlign w:val="subscript"/>
        </w:rPr>
        <w:t>2</w:t>
      </w:r>
      <w:r w:rsidRPr="00F24BFA">
        <w:rPr>
          <w:rFonts w:ascii="Times New Roman" w:hAnsi="Times New Roman"/>
          <w:sz w:val="20"/>
          <w:szCs w:val="20"/>
        </w:rPr>
        <w:t xml:space="preserve"> and 30PA-CeO</w:t>
      </w:r>
      <w:r w:rsidRPr="00F24BFA">
        <w:rPr>
          <w:rFonts w:ascii="Times New Roman" w:hAnsi="Times New Roman"/>
          <w:sz w:val="20"/>
          <w:szCs w:val="20"/>
          <w:vertAlign w:val="subscript"/>
        </w:rPr>
        <w:t>2</w:t>
      </w:r>
      <w:r w:rsidRPr="00F24BFA">
        <w:rPr>
          <w:rFonts w:ascii="Times New Roman" w:hAnsi="Times New Roman"/>
          <w:sz w:val="20"/>
          <w:szCs w:val="20"/>
        </w:rPr>
        <w:t xml:space="preserve"> were prepared by the similar procedure with 20 wt.% and 30 wt.% of phosphoric acid, respectively.</w:t>
      </w:r>
    </w:p>
    <w:p w:rsidR="00F24BFA" w:rsidRPr="00F24BFA" w:rsidRDefault="00F24BFA" w:rsidP="00F24BFA">
      <w:pPr>
        <w:spacing w:after="0" w:line="240" w:lineRule="auto"/>
        <w:jc w:val="both"/>
        <w:rPr>
          <w:rFonts w:ascii="Times New Roman" w:hAnsi="Times New Roman"/>
          <w:sz w:val="20"/>
          <w:szCs w:val="20"/>
        </w:rPr>
      </w:pPr>
    </w:p>
    <w:p w:rsidR="00F24BFA" w:rsidRPr="00F24BFA" w:rsidRDefault="00F24BFA" w:rsidP="00F24BFA">
      <w:pPr>
        <w:spacing w:after="0" w:line="240" w:lineRule="auto"/>
        <w:jc w:val="both"/>
        <w:outlineLvl w:val="0"/>
        <w:rPr>
          <w:rFonts w:ascii="Times New Roman" w:hAnsi="Times New Roman"/>
          <w:b/>
          <w:sz w:val="20"/>
          <w:szCs w:val="20"/>
        </w:rPr>
      </w:pPr>
      <w:r w:rsidRPr="00F24BFA">
        <w:rPr>
          <w:rFonts w:ascii="Times New Roman" w:hAnsi="Times New Roman"/>
          <w:b/>
          <w:sz w:val="20"/>
          <w:szCs w:val="20"/>
        </w:rPr>
        <w:t xml:space="preserve">Catalyst characterization </w:t>
      </w:r>
    </w:p>
    <w:p w:rsidR="00F24BFA" w:rsidRDefault="00F24BFA" w:rsidP="00F24BFA">
      <w:pPr>
        <w:spacing w:after="0" w:line="240" w:lineRule="auto"/>
        <w:jc w:val="both"/>
        <w:rPr>
          <w:rFonts w:ascii="Times New Roman" w:hAnsi="Times New Roman"/>
          <w:sz w:val="20"/>
          <w:szCs w:val="20"/>
          <w:lang w:val="en-GB"/>
        </w:rPr>
      </w:pPr>
      <w:r w:rsidRPr="00F24BFA">
        <w:rPr>
          <w:rFonts w:ascii="Times New Roman" w:hAnsi="Times New Roman"/>
          <w:spacing w:val="2"/>
          <w:sz w:val="20"/>
          <w:szCs w:val="20"/>
        </w:rPr>
        <w:t xml:space="preserve">The fresh </w:t>
      </w:r>
      <w:r w:rsidRPr="00F24BFA">
        <w:rPr>
          <w:rFonts w:ascii="Times New Roman" w:hAnsi="Times New Roman"/>
          <w:sz w:val="20"/>
          <w:szCs w:val="20"/>
          <w:lang w:val="en-GB"/>
        </w:rPr>
        <w:t xml:space="preserve">modified cerium oxide phosphate </w:t>
      </w:r>
      <w:r w:rsidRPr="00F24BFA">
        <w:rPr>
          <w:rFonts w:ascii="Times New Roman" w:hAnsi="Times New Roman"/>
          <w:spacing w:val="2"/>
          <w:sz w:val="20"/>
          <w:szCs w:val="20"/>
        </w:rPr>
        <w:t xml:space="preserve">catalysts were characterized using several methods. The phase structure of the catalysts was characterized by X-ray diffraction </w:t>
      </w:r>
      <w:r w:rsidRPr="00F24BFA">
        <w:rPr>
          <w:rFonts w:ascii="Times New Roman" w:hAnsi="Times New Roman"/>
          <w:sz w:val="20"/>
          <w:szCs w:val="20"/>
        </w:rPr>
        <w:t>(Rigaku Miniflex Instrument) using X-ray source from CuKα (λ=1.542 Å) at 30 kV and 15 mA.  N</w:t>
      </w:r>
      <w:r w:rsidRPr="00F24BFA">
        <w:rPr>
          <w:rFonts w:ascii="Times New Roman" w:hAnsi="Times New Roman"/>
          <w:sz w:val="20"/>
          <w:szCs w:val="20"/>
          <w:vertAlign w:val="subscript"/>
        </w:rPr>
        <w:t xml:space="preserve">2 </w:t>
      </w:r>
      <w:r w:rsidRPr="00F24BFA">
        <w:rPr>
          <w:rFonts w:ascii="Times New Roman" w:hAnsi="Times New Roman"/>
          <w:sz w:val="20"/>
          <w:szCs w:val="20"/>
        </w:rPr>
        <w:t>physisorption was conducted to determine the textural property of the synthesized catalysts. The information about the surface morphology of the catalyst and the elemental chemical compositions were determined using SEM analysis employing Hitachi TM3030Plus with a magnification of 5kx which was also equipped with energy-dispersive X-ray spectroscopy (EDX). Thermogravimetric-difference thermal analysis (TG) technique of samples before and after reaction was carried out to monitor the thermal profile of fresh and spent catalysts. Fourier Transform Infrared Spectroscopy (FTIR) (Perkin Elmer Spectrum 100) was also employed to determine the nature of chemical bonding of the catalysts.</w:t>
      </w:r>
      <w:r w:rsidRPr="00F24BFA">
        <w:rPr>
          <w:rFonts w:ascii="Times New Roman" w:hAnsi="Times New Roman"/>
          <w:sz w:val="20"/>
          <w:szCs w:val="20"/>
          <w:lang w:val="en-GB"/>
        </w:rPr>
        <w:t>NH</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-TPD was carried out in a ThermoFinnigan TPDRO 1100. The catalyst was pre-treated with N</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 xml:space="preserve"> at 423 K for 15 minutes. NH</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-TPD is used to determine the amount of acidic sites and their distribution in strength. The adsorption of NH</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 xml:space="preserve"> was carried out at room temperature for 45 min and after saturation was achieved, N</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 xml:space="preserve"> was purged in to eliminate the NH</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 xml:space="preserve"> that remained in the gas phase. Analysis of desorption of NH</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 xml:space="preserve"> was done under the flow of helium at temperature of 323 to 1273 K, at the rate of 20 K min</w:t>
      </w:r>
      <w:r w:rsidRPr="00F24BFA">
        <w:rPr>
          <w:rFonts w:ascii="Times New Roman" w:hAnsi="Times New Roman"/>
          <w:sz w:val="20"/>
          <w:szCs w:val="20"/>
          <w:vertAlign w:val="superscript"/>
          <w:lang w:val="en-GB"/>
        </w:rPr>
        <w:t>-1</w:t>
      </w:r>
      <w:r w:rsidRPr="00F24BFA">
        <w:rPr>
          <w:rFonts w:ascii="Times New Roman" w:hAnsi="Times New Roman"/>
          <w:sz w:val="20"/>
          <w:szCs w:val="20"/>
          <w:lang w:val="en-GB"/>
        </w:rPr>
        <w:t>.</w:t>
      </w:r>
    </w:p>
    <w:p w:rsidR="00F24BFA" w:rsidRPr="00F24BFA" w:rsidRDefault="00F24BFA" w:rsidP="00F24BFA">
      <w:pPr>
        <w:spacing w:after="0" w:line="240" w:lineRule="auto"/>
        <w:jc w:val="both"/>
        <w:rPr>
          <w:rFonts w:ascii="Times New Roman" w:hAnsi="Times New Roman"/>
          <w:sz w:val="20"/>
          <w:szCs w:val="20"/>
        </w:rPr>
      </w:pPr>
    </w:p>
    <w:p w:rsidR="00F24BFA" w:rsidRPr="00F24BFA" w:rsidRDefault="00F24BFA" w:rsidP="00F24BFA">
      <w:pPr>
        <w:spacing w:after="0" w:line="240" w:lineRule="auto"/>
        <w:jc w:val="both"/>
        <w:outlineLvl w:val="0"/>
        <w:rPr>
          <w:rFonts w:ascii="Times New Roman" w:hAnsi="Times New Roman"/>
          <w:b/>
          <w:sz w:val="20"/>
          <w:szCs w:val="20"/>
        </w:rPr>
      </w:pPr>
      <w:r w:rsidRPr="00F24BFA">
        <w:rPr>
          <w:rFonts w:ascii="Times New Roman" w:hAnsi="Times New Roman"/>
          <w:b/>
          <w:sz w:val="20"/>
          <w:szCs w:val="20"/>
        </w:rPr>
        <w:t>Catalytic activity</w:t>
      </w:r>
    </w:p>
    <w:p w:rsidR="00F24BFA" w:rsidRPr="00F24BFA" w:rsidRDefault="00F24BFA" w:rsidP="00F24BFA">
      <w:pPr>
        <w:spacing w:after="0" w:line="240" w:lineRule="auto"/>
        <w:jc w:val="both"/>
        <w:rPr>
          <w:rFonts w:ascii="Times New Roman" w:hAnsi="Times New Roman"/>
          <w:sz w:val="20"/>
          <w:szCs w:val="20"/>
        </w:rPr>
      </w:pPr>
      <w:r w:rsidRPr="00F24BFA">
        <w:rPr>
          <w:rFonts w:ascii="Times New Roman" w:hAnsi="Times New Roman"/>
          <w:spacing w:val="-1"/>
          <w:sz w:val="20"/>
          <w:szCs w:val="20"/>
        </w:rPr>
        <w:t xml:space="preserve">The reaction was conducted in a fixed-bed reactor at </w:t>
      </w:r>
      <w:r w:rsidRPr="00F24BFA">
        <w:rPr>
          <w:rFonts w:ascii="Times New Roman" w:eastAsia="Calibri" w:hAnsi="Times New Roman"/>
          <w:sz w:val="20"/>
          <w:szCs w:val="20"/>
        </w:rPr>
        <w:t>ethanol partial pressure of</w:t>
      </w:r>
      <w:r w:rsidRPr="00F24BFA">
        <w:rPr>
          <w:rFonts w:ascii="Times New Roman" w:hAnsi="Times New Roman"/>
          <w:spacing w:val="-1"/>
          <w:sz w:val="20"/>
          <w:szCs w:val="20"/>
        </w:rPr>
        <w:t xml:space="preserve"> 33 kPa with WHSV of 240 h</w:t>
      </w:r>
      <w:r w:rsidRPr="00F24BFA">
        <w:rPr>
          <w:rFonts w:ascii="Times New Roman" w:hAnsi="Times New Roman"/>
          <w:spacing w:val="-1"/>
          <w:sz w:val="20"/>
          <w:szCs w:val="20"/>
          <w:vertAlign w:val="superscript"/>
        </w:rPr>
        <w:t>-1</w:t>
      </w:r>
      <w:r w:rsidRPr="00F24BFA">
        <w:rPr>
          <w:rFonts w:ascii="Times New Roman" w:hAnsi="Times New Roman"/>
          <w:spacing w:val="-1"/>
          <w:sz w:val="20"/>
          <w:szCs w:val="20"/>
        </w:rPr>
        <w:t xml:space="preserve">, in the temperature range of 673 – 773K. The reactor was loaded with 0.3 g of catalyst and introduced with pure ethanol (≥99.9%) with a HPLC pump. </w:t>
      </w:r>
      <w:r w:rsidRPr="00F24BFA">
        <w:rPr>
          <w:rFonts w:ascii="Times New Roman" w:hAnsi="Times New Roman"/>
          <w:sz w:val="20"/>
          <w:szCs w:val="20"/>
        </w:rPr>
        <w:t xml:space="preserve">The gaseous products were collected and identified using GC to identify the quantity of targeted product. The GC instrument used was Shimadzu GC-2014 with two packed column, column temperature and flame ionizer detector temperature at 333 K and 473 K, respectively. Ethanol conversion and products selectivity were calculated by Equation (3) and (4), respectively </w:t>
      </w:r>
      <w:r w:rsidRPr="00F24BFA">
        <w:rPr>
          <w:rFonts w:ascii="Times New Roman" w:hAnsi="Times New Roman"/>
          <w:sz w:val="20"/>
          <w:szCs w:val="20"/>
        </w:rPr>
        <w:fldChar w:fldCharType="begin" w:fldLock="1"/>
      </w:r>
      <w:r w:rsidRPr="00F24BFA">
        <w:rPr>
          <w:rFonts w:ascii="Times New Roman" w:hAnsi="Times New Roman"/>
          <w:sz w:val="20"/>
          <w:szCs w:val="20"/>
        </w:rPr>
        <w:instrText>ADDIN CSL_CITATION { "citationItems" : [ { "id" : "ITEM-1", "itemData" : { "DOI" : "10.1021/ie901666f", "ISBN" : "0888-5885", "ISSN" : "08885885", "abstract" : "Phosphorus (P) modified H-ZSM-5 catalysts were prepared by wet impregnation method by varying P loadings from 0 to 7.43 wt % using phosphoric acid (H3PO4) as the P source. The catalysts were tested for ethanol dehydration in the temperature range of 523-723 K. The P-modified catalysts were found to be highly active and selective toward ethylene at 673 K and atmospheric pressure. In addition, the P-modified catalysts were found to be extremely stable more than 200 h without any sign of deactivation. However, the selectivity was found to be strongly dependent on several factors such as P content, reaction temperature, and space velocity (WHSV). The P-modified ZSM-5 catalysts were also found to be highly active for the dehydration of aqueous ethanol solutions (10 wt %) showing very high ethylene selectivity (above 98%) at significantly lower temperature 623 K. The catalysts were thoroughly characterized using various methods, including N2 physisorption, X-ray diffraction (XRD), Fourier transform infrared spectroscopy (FT-IR), thermogravimetric differential thermal analysis (TG-DTA), 1H, 27Al, and 31P magic angle spinning nuclear magnetic resonance (MAS NMR), and amonia temperature programmed desorption (NH3-TPD). 27Al MAS NMR spectra suggest that P addition facilitate the breaking of Si-O-Al bond that lead to a partial dealumination. NH3-TPD results indicate that total acidity as well as density of high strength acid sites were decreased with P loading.", "author" : [ { "dropping-particle" : "", "family" : "Ramesh", "given" : "Kanaparthi", "non-dropping-particle" : "", "parse-names" : false, "suffix" : "" }, { "dropping-particle" : "", "family" : "Jie", "given" : "Chang", "non-dropping-particle" : "", "parse-names" : false, "suffix" : "" }, { "dropping-particle" : "", "family" : "Han", "given" : "Yi Fan", "non-dropping-particle" : "", "parse-names" : false, "suffix" : "" }, { "dropping-particle" : "", "family" : "Borgna", "given" : "Armando", "non-dropping-particle" : "", "parse-names" : false, "suffix" : "" } ], "container-title" : "Industrial and Engineering Chemistry Research", "id" : "ITEM-1", "issue" : "9", "issued" : { "date-parts" : [ [ "2010" ] ] }, "page" : "4080-4090", "title" : "Synthesis, characterization, and catalytic activity of phosphorus modified H-ZSM-5 catalysts in selective ethanol dehydration", "type" : "article-journal", "volume" : "49" }, "uris" : [ "http://www.mendeley.com/documents/?uuid=f63c8842-89bf-4d81-ad2f-e741fa28462d" ] }, { "id" : "ITEM-2", "itemData" : { "DOI" : "10.1016/j.micromeso.2008.04.004", "ISBN" : "1011-372X", "ISSN" : "13871811", "abstract" : "The aim of this study was to compare the activity and stability of ??-Al2O3, HZSM-5 (Si/Al = 25), silicoaluminophosphate (SAPO-34) and Ni-substituted SAPO-34 (NiAPSO-34) as catalysts in the dehydration of ethanol to ethylene. ??-Al2O3- and HZSM-5 were commercial catalysts. SAPO-34 and NiAPSO-34 molecular sieves had been synthesized with hydrothermal method in the laboratory, characterized with X-ray powder diffraction (XRD), Infrared Spectroscopy (FT-IR), H2 temperature-programmed reduction (H2-TPR) technique and NH3 temperature-programmed desorption (NH3-TPD) technique. The incorporation of Ni2+ into the SAPO-34 framework generated in NiAPSO-34 sample was proved by XRD, FT-IR and H2-TPR techniques. NH3-TPD study had revealed that substitution of Ni2+ for Al3+ in the SAPO-34 framework led to increase the weak and moderately strong acid strength and give rise to weak acid sites. Dehydration of ethanol was carried out over four catalysts and the results showed that conversion of ethanol and selectivity to ethylene decreased in the order HZSM-5 &gt; NiAPSO-34 &gt; SAPO-34 &gt; ??-Al2O3. As to the stability of catalyst, NiAPSO-34 and SAPO-34 were better than other two catalysts. Considering the activity and stability of the four catalysts comprehensively, NiAPSO-34 was the suitable catalyst in the dehydration of ethanol. ?? 2008 Elsevier Inc. All rights reserved.", "author" : [ { "dropping-particle" : "", "family" : "Zhang", "given" : "Xian", "non-dropping-particle" : "", "parse-names" : false, "suffix" : "" }, { "dropping-particle" : "", "family" : "Wang", "given" : "Rijie", "non-dropping-particle" : "", "parse-names" : false, "suffix" : "" }, { "dropping-particle" : "", "family" : "Yang", "given" : "Xiaoxia", "non-dropping-particle" : "", "parse-names" : false, "suffix" : "" }, { "dropping-particle" : "", "family" : "Zhang", "given" : "Fengbao", "non-dropping-particle" : "", "parse-names" : false, "suffix" : "" } ], "container-title" : "Microporous and Mesoporous Materials", "id" : "ITEM-2", "issue" : "1-3", "issued" : { "date-parts" : [ [ "2008" ] ] }, "page" : "210-215", "publisher" : "Elsevier Inc.", "title" : "Comparison of four catalysts in the catalytic dehydration of ethanol to ethylene", "type" : "article-journal", "volume" : "116" }, "uris" : [ "http://www.mendeley.com/documents/?uuid=34da6417-9fae-416c-b2bf-14ffa3fc2aea" ] } ], "mendeley" : { "formattedCitation" : "[16], [17]", "plainTextFormattedCitation" : "[16], [17]", "previouslyFormattedCitation" : "[16], [17]" }, "properties" : { "noteIndex" : 0 }, "schema" : "https://github.com/citation-style-language/schema/raw/master/csl-citation.json" }</w:instrText>
      </w:r>
      <w:r w:rsidRPr="00F24BFA">
        <w:rPr>
          <w:rFonts w:ascii="Times New Roman" w:hAnsi="Times New Roman"/>
          <w:sz w:val="20"/>
          <w:szCs w:val="20"/>
        </w:rPr>
        <w:fldChar w:fldCharType="separate"/>
      </w:r>
      <w:r w:rsidRPr="00F24BFA">
        <w:rPr>
          <w:rFonts w:ascii="Times New Roman" w:hAnsi="Times New Roman"/>
          <w:noProof/>
          <w:sz w:val="20"/>
          <w:szCs w:val="20"/>
        </w:rPr>
        <w:t>[16, 17]</w:t>
      </w:r>
      <w:r w:rsidRPr="00F24BFA">
        <w:rPr>
          <w:rFonts w:ascii="Times New Roman" w:hAnsi="Times New Roman"/>
          <w:sz w:val="20"/>
          <w:szCs w:val="20"/>
        </w:rPr>
        <w:fldChar w:fldCharType="end"/>
      </w:r>
      <w:r w:rsidRPr="00F24BFA">
        <w:rPr>
          <w:rFonts w:ascii="Times New Roman" w:hAnsi="Times New Roman"/>
          <w:sz w:val="20"/>
          <w:szCs w:val="20"/>
        </w:rPr>
        <w:t>:</w:t>
      </w:r>
    </w:p>
    <w:p w:rsidR="00F24BFA" w:rsidRPr="00F24BFA" w:rsidRDefault="00F24BFA" w:rsidP="00F24BFA">
      <w:pPr>
        <w:spacing w:after="0" w:line="240" w:lineRule="auto"/>
        <w:jc w:val="both"/>
        <w:rPr>
          <w:rFonts w:ascii="Times New Roman" w:hAnsi="Times New Roman"/>
          <w:sz w:val="20"/>
          <w:szCs w:val="20"/>
        </w:rPr>
      </w:pPr>
    </w:p>
    <w:p w:rsidR="00F24BFA" w:rsidRPr="00F24BFA" w:rsidRDefault="00F24BFA" w:rsidP="00F24BFA">
      <w:pPr>
        <w:spacing w:after="0" w:line="240" w:lineRule="auto"/>
        <w:jc w:val="both"/>
        <w:rPr>
          <w:rFonts w:ascii="Times New Roman" w:hAnsi="Times New Roman"/>
          <w:spacing w:val="-1"/>
          <w:sz w:val="20"/>
          <w:szCs w:val="20"/>
        </w:rPr>
      </w:pPr>
      <w:r w:rsidRPr="00F24BFA">
        <w:rPr>
          <w:rFonts w:ascii="Times New Roman" w:hAnsi="Times New Roman"/>
          <w:sz w:val="20"/>
          <w:szCs w:val="20"/>
        </w:rPr>
        <w:t xml:space="preserve">         </w:t>
      </w:r>
      <m:oMath>
        <m:sSub>
          <m:sSubPr>
            <m:ctrlPr>
              <w:rPr>
                <w:rFonts w:ascii="Cambria Math" w:hAnsi="Cambria Math"/>
                <w:spacing w:val="-1"/>
                <w:sz w:val="20"/>
                <w:szCs w:val="20"/>
              </w:rPr>
            </m:ctrlPr>
          </m:sSubPr>
          <m:e>
            <m:r>
              <m:rPr>
                <m:sty m:val="p"/>
              </m:rPr>
              <w:rPr>
                <w:rFonts w:ascii="Cambria Math" w:hAnsi="Cambria Math"/>
                <w:spacing w:val="-1"/>
                <w:sz w:val="20"/>
                <w:szCs w:val="20"/>
              </w:rPr>
              <m:t>X</m:t>
            </m:r>
          </m:e>
          <m:sub>
            <m:r>
              <m:rPr>
                <m:sty m:val="p"/>
              </m:rPr>
              <w:rPr>
                <w:rFonts w:ascii="Cambria Math" w:hAnsi="Cambria Math"/>
                <w:spacing w:val="-1"/>
                <w:sz w:val="20"/>
                <w:szCs w:val="20"/>
              </w:rPr>
              <m:t>Ethanol</m:t>
            </m:r>
          </m:sub>
        </m:sSub>
        <m:r>
          <m:rPr>
            <m:sty m:val="p"/>
          </m:rPr>
          <w:rPr>
            <w:rFonts w:ascii="Cambria Math" w:hAnsi="Cambria Math"/>
            <w:spacing w:val="-1"/>
            <w:sz w:val="20"/>
            <w:szCs w:val="20"/>
          </w:rPr>
          <m:t>=</m:t>
        </m:r>
        <m:f>
          <m:fPr>
            <m:ctrlPr>
              <w:rPr>
                <w:rFonts w:ascii="Cambria Math" w:hAnsi="Cambria Math"/>
                <w:spacing w:val="-1"/>
                <w:sz w:val="20"/>
                <w:szCs w:val="20"/>
              </w:rPr>
            </m:ctrlPr>
          </m:fPr>
          <m:num>
            <m:nary>
              <m:naryPr>
                <m:chr m:val="∑"/>
                <m:limLoc m:val="undOvr"/>
                <m:subHide m:val="1"/>
                <m:supHide m:val="1"/>
                <m:ctrlPr>
                  <w:rPr>
                    <w:rFonts w:ascii="Cambria Math" w:hAnsi="Cambria Math"/>
                    <w:spacing w:val="-1"/>
                    <w:sz w:val="20"/>
                    <w:szCs w:val="20"/>
                  </w:rPr>
                </m:ctrlPr>
              </m:naryPr>
              <m:sub/>
              <m:sup/>
              <m:e>
                <m:r>
                  <m:rPr>
                    <m:sty m:val="p"/>
                  </m:rPr>
                  <w:rPr>
                    <w:rFonts w:ascii="Cambria Math" w:hAnsi="Cambria Math"/>
                    <w:spacing w:val="-1"/>
                    <w:sz w:val="20"/>
                    <w:szCs w:val="20"/>
                  </w:rPr>
                  <m:t xml:space="preserve">Total gas products, </m:t>
                </m:r>
                <m:sSub>
                  <m:sSubPr>
                    <m:ctrlPr>
                      <w:rPr>
                        <w:rFonts w:ascii="Cambria Math" w:hAnsi="Cambria Math"/>
                        <w:spacing w:val="-1"/>
                        <w:sz w:val="20"/>
                        <w:szCs w:val="20"/>
                      </w:rPr>
                    </m:ctrlPr>
                  </m:sSubPr>
                  <m:e>
                    <m:r>
                      <m:rPr>
                        <m:sty m:val="p"/>
                      </m:rPr>
                      <w:rPr>
                        <w:rFonts w:ascii="Cambria Math" w:hAnsi="Cambria Math"/>
                        <w:spacing w:val="-1"/>
                        <w:sz w:val="20"/>
                        <w:szCs w:val="20"/>
                      </w:rPr>
                      <m:t>F</m:t>
                    </m:r>
                  </m:e>
                  <m:sub>
                    <m:r>
                      <m:rPr>
                        <m:sty m:val="p"/>
                      </m:rPr>
                      <w:rPr>
                        <w:rFonts w:ascii="Cambria Math" w:hAnsi="Cambria Math"/>
                        <w:spacing w:val="-1"/>
                        <w:sz w:val="20"/>
                        <w:szCs w:val="20"/>
                      </w:rPr>
                      <m:t>i</m:t>
                    </m:r>
                  </m:sub>
                </m:sSub>
              </m:e>
            </m:nary>
          </m:num>
          <m:den>
            <m:r>
              <m:rPr>
                <m:sty m:val="p"/>
              </m:rPr>
              <w:rPr>
                <w:rFonts w:ascii="Cambria Math" w:hAnsi="Cambria Math"/>
                <w:spacing w:val="-1"/>
                <w:sz w:val="20"/>
                <w:szCs w:val="20"/>
              </w:rPr>
              <m:t>2 x molar flow rate of ethanol in the feed</m:t>
            </m:r>
          </m:den>
        </m:f>
        <m:r>
          <m:rPr>
            <m:sty m:val="p"/>
          </m:rPr>
          <w:rPr>
            <w:rFonts w:ascii="Cambria Math" w:hAnsi="Cambria Math"/>
            <w:spacing w:val="-1"/>
            <w:sz w:val="20"/>
            <w:szCs w:val="20"/>
          </w:rPr>
          <m:t xml:space="preserve"> x 100</m:t>
        </m:r>
      </m:oMath>
      <w:r w:rsidR="00A55785">
        <w:rPr>
          <w:rFonts w:ascii="Times New Roman" w:hAnsi="Times New Roman"/>
          <w:spacing w:val="-1"/>
          <w:sz w:val="20"/>
          <w:szCs w:val="20"/>
        </w:rPr>
        <w:tab/>
      </w:r>
      <w:r w:rsidR="00A55785">
        <w:rPr>
          <w:rFonts w:ascii="Times New Roman" w:hAnsi="Times New Roman"/>
          <w:spacing w:val="-1"/>
          <w:sz w:val="20"/>
          <w:szCs w:val="20"/>
        </w:rPr>
        <w:tab/>
      </w:r>
      <w:r w:rsidR="00A55785">
        <w:rPr>
          <w:rFonts w:ascii="Times New Roman" w:hAnsi="Times New Roman"/>
          <w:spacing w:val="-1"/>
          <w:sz w:val="20"/>
          <w:szCs w:val="20"/>
        </w:rPr>
        <w:tab/>
      </w:r>
      <w:r w:rsidR="00A55785">
        <w:rPr>
          <w:rFonts w:ascii="Times New Roman" w:hAnsi="Times New Roman"/>
          <w:spacing w:val="-1"/>
          <w:sz w:val="20"/>
          <w:szCs w:val="20"/>
        </w:rPr>
        <w:tab/>
      </w:r>
      <w:r w:rsidR="00A55785">
        <w:rPr>
          <w:rFonts w:ascii="Times New Roman" w:hAnsi="Times New Roman"/>
          <w:spacing w:val="-1"/>
          <w:sz w:val="20"/>
          <w:szCs w:val="20"/>
        </w:rPr>
        <w:tab/>
      </w:r>
      <w:r w:rsidR="00A55785">
        <w:rPr>
          <w:rFonts w:ascii="Times New Roman" w:hAnsi="Times New Roman"/>
          <w:spacing w:val="-1"/>
          <w:sz w:val="20"/>
          <w:szCs w:val="20"/>
        </w:rPr>
        <w:tab/>
        <w:t xml:space="preserve">        </w:t>
      </w:r>
      <w:r w:rsidRPr="00F24BFA">
        <w:rPr>
          <w:rFonts w:ascii="Times New Roman" w:hAnsi="Times New Roman"/>
          <w:spacing w:val="-1"/>
          <w:sz w:val="20"/>
          <w:szCs w:val="20"/>
        </w:rPr>
        <w:t xml:space="preserve"> (3)</w:t>
      </w:r>
    </w:p>
    <w:p w:rsidR="00F24BFA" w:rsidRPr="00F24BFA" w:rsidRDefault="00F24BFA" w:rsidP="00F24BFA">
      <w:pPr>
        <w:spacing w:after="0" w:line="240" w:lineRule="auto"/>
        <w:jc w:val="both"/>
        <w:rPr>
          <w:rFonts w:ascii="Times New Roman" w:hAnsi="Times New Roman"/>
          <w:sz w:val="20"/>
          <w:szCs w:val="20"/>
        </w:rPr>
      </w:pPr>
    </w:p>
    <w:p w:rsidR="00F24BFA" w:rsidRPr="00F24BFA" w:rsidRDefault="00E52034" w:rsidP="00F24BFA">
      <w:pPr>
        <w:spacing w:after="0" w:line="240" w:lineRule="auto"/>
        <w:ind w:right="-46"/>
        <w:jc w:val="both"/>
        <w:rPr>
          <w:rFonts w:ascii="Times New Roman" w:hAnsi="Times New Roman"/>
          <w:sz w:val="20"/>
          <w:szCs w:val="20"/>
          <w:lang w:val="en-GB"/>
        </w:rPr>
      </w:pPr>
      <m:oMath>
        <m:sSub>
          <m:sSubPr>
            <m:ctrlPr>
              <w:rPr>
                <w:rFonts w:ascii="Cambria Math" w:hAnsi="Cambria Math"/>
                <w:sz w:val="20"/>
                <w:szCs w:val="20"/>
                <w:lang w:val="en-GB"/>
              </w:rPr>
            </m:ctrlPr>
          </m:sSubPr>
          <m:e>
            <m:r>
              <m:rPr>
                <m:sty m:val="p"/>
              </m:rPr>
              <w:rPr>
                <w:rFonts w:ascii="Cambria Math" w:hAnsi="Cambria Math"/>
                <w:sz w:val="20"/>
                <w:szCs w:val="20"/>
                <w:lang w:val="en-GB"/>
              </w:rPr>
              <m:t xml:space="preserve">          S</m:t>
            </m:r>
          </m:e>
          <m:sub>
            <m:r>
              <m:rPr>
                <m:sty m:val="p"/>
              </m:rPr>
              <w:rPr>
                <w:rFonts w:ascii="Cambria Math" w:hAnsi="Cambria Math"/>
                <w:sz w:val="20"/>
                <w:szCs w:val="20"/>
                <w:lang w:val="en-GB"/>
              </w:rPr>
              <m:t>i</m:t>
            </m:r>
          </m:sub>
        </m:sSub>
        <m:r>
          <m:rPr>
            <m:sty m:val="p"/>
          </m:rPr>
          <w:rPr>
            <w:rFonts w:ascii="Cambria Math" w:hAnsi="Cambria Math"/>
            <w:sz w:val="20"/>
            <w:szCs w:val="20"/>
            <w:lang w:val="en-GB"/>
          </w:rPr>
          <m:t xml:space="preserve">= </m:t>
        </m:r>
        <m:f>
          <m:fPr>
            <m:ctrlPr>
              <w:rPr>
                <w:rFonts w:ascii="Cambria Math" w:hAnsi="Cambria Math"/>
                <w:sz w:val="20"/>
                <w:szCs w:val="20"/>
                <w:lang w:val="en-GB"/>
              </w:rPr>
            </m:ctrlPr>
          </m:fPr>
          <m:num>
            <m:sSub>
              <m:sSubPr>
                <m:ctrlPr>
                  <w:rPr>
                    <w:rFonts w:ascii="Cambria Math" w:hAnsi="Cambria Math"/>
                    <w:sz w:val="20"/>
                    <w:szCs w:val="20"/>
                    <w:lang w:val="en-GB"/>
                  </w:rPr>
                </m:ctrlPr>
              </m:sSubPr>
              <m:e>
                <m:r>
                  <m:rPr>
                    <m:sty m:val="p"/>
                  </m:rPr>
                  <w:rPr>
                    <w:rFonts w:ascii="Cambria Math" w:hAnsi="Cambria Math"/>
                    <w:sz w:val="20"/>
                    <w:szCs w:val="20"/>
                    <w:lang w:val="en-GB"/>
                  </w:rPr>
                  <m:t>F</m:t>
                </m:r>
              </m:e>
              <m:sub>
                <m:sSub>
                  <m:sSubPr>
                    <m:ctrlPr>
                      <w:rPr>
                        <w:rFonts w:ascii="Cambria Math" w:hAnsi="Cambria Math"/>
                        <w:sz w:val="20"/>
                        <w:szCs w:val="20"/>
                        <w:lang w:val="en-GB"/>
                      </w:rPr>
                    </m:ctrlPr>
                  </m:sSubPr>
                  <m:e>
                    <m:r>
                      <m:rPr>
                        <m:sty m:val="p"/>
                      </m:rPr>
                      <w:rPr>
                        <w:rFonts w:ascii="Cambria Math" w:hAnsi="Cambria Math"/>
                        <w:sz w:val="20"/>
                        <w:szCs w:val="20"/>
                        <w:lang w:val="en-GB"/>
                      </w:rPr>
                      <m:t>C</m:t>
                    </m:r>
                  </m:e>
                  <m:sub>
                    <m:r>
                      <m:rPr>
                        <m:sty m:val="p"/>
                      </m:rPr>
                      <w:rPr>
                        <w:rFonts w:ascii="Cambria Math" w:hAnsi="Cambria Math"/>
                        <w:sz w:val="20"/>
                        <w:szCs w:val="20"/>
                        <w:lang w:val="en-GB"/>
                      </w:rPr>
                      <m:t>2</m:t>
                    </m:r>
                  </m:sub>
                </m:sSub>
                <m:sSub>
                  <m:sSubPr>
                    <m:ctrlPr>
                      <w:rPr>
                        <w:rFonts w:ascii="Cambria Math" w:hAnsi="Cambria Math"/>
                        <w:sz w:val="20"/>
                        <w:szCs w:val="20"/>
                        <w:lang w:val="en-GB"/>
                      </w:rPr>
                    </m:ctrlPr>
                  </m:sSubPr>
                  <m:e>
                    <m:r>
                      <m:rPr>
                        <m:sty m:val="p"/>
                      </m:rPr>
                      <w:rPr>
                        <w:rFonts w:ascii="Cambria Math" w:hAnsi="Cambria Math"/>
                        <w:sz w:val="20"/>
                        <w:szCs w:val="20"/>
                        <w:lang w:val="en-GB"/>
                      </w:rPr>
                      <m:t>H</m:t>
                    </m:r>
                  </m:e>
                  <m:sub>
                    <m:r>
                      <m:rPr>
                        <m:sty m:val="p"/>
                      </m:rPr>
                      <w:rPr>
                        <w:rFonts w:ascii="Cambria Math" w:hAnsi="Cambria Math"/>
                        <w:sz w:val="20"/>
                        <w:szCs w:val="20"/>
                        <w:lang w:val="en-GB"/>
                      </w:rPr>
                      <m:t>4</m:t>
                    </m:r>
                  </m:sub>
                </m:sSub>
              </m:sub>
            </m:sSub>
          </m:num>
          <m:den>
            <m:r>
              <m:rPr>
                <m:sty m:val="p"/>
              </m:rPr>
              <w:rPr>
                <w:rFonts w:ascii="Cambria Math" w:hAnsi="Cambria Math"/>
                <w:sz w:val="20"/>
                <w:szCs w:val="20"/>
                <w:lang w:val="en-GB"/>
              </w:rPr>
              <m:t xml:space="preserve">Σ Total gas products,  </m:t>
            </m:r>
            <m:sSub>
              <m:sSubPr>
                <m:ctrlPr>
                  <w:rPr>
                    <w:rFonts w:ascii="Cambria Math" w:hAnsi="Cambria Math"/>
                    <w:sz w:val="20"/>
                    <w:szCs w:val="20"/>
                    <w:lang w:val="en-GB"/>
                  </w:rPr>
                </m:ctrlPr>
              </m:sSubPr>
              <m:e>
                <m:r>
                  <m:rPr>
                    <m:sty m:val="p"/>
                  </m:rPr>
                  <w:rPr>
                    <w:rFonts w:ascii="Cambria Math" w:hAnsi="Cambria Math"/>
                    <w:sz w:val="20"/>
                    <w:szCs w:val="20"/>
                    <w:lang w:val="en-GB"/>
                  </w:rPr>
                  <m:t>F</m:t>
                </m:r>
              </m:e>
              <m:sub>
                <m:r>
                  <m:rPr>
                    <m:sty m:val="p"/>
                  </m:rPr>
                  <w:rPr>
                    <w:rFonts w:ascii="Cambria Math" w:hAnsi="Cambria Math"/>
                    <w:sz w:val="20"/>
                    <w:szCs w:val="20"/>
                    <w:lang w:val="en-GB"/>
                  </w:rPr>
                  <m:t>i</m:t>
                </m:r>
              </m:sub>
            </m:sSub>
          </m:den>
        </m:f>
        <m:r>
          <m:rPr>
            <m:sty m:val="p"/>
          </m:rPr>
          <w:rPr>
            <w:rFonts w:ascii="Cambria Math" w:hAnsi="Cambria Math"/>
            <w:sz w:val="20"/>
            <w:szCs w:val="20"/>
            <w:lang w:val="en-GB"/>
          </w:rPr>
          <m:t xml:space="preserve">  ×100</m:t>
        </m:r>
      </m:oMath>
      <w:r w:rsidR="00F24BFA" w:rsidRPr="00F24BFA">
        <w:rPr>
          <w:rFonts w:ascii="Times New Roman" w:hAnsi="Times New Roman"/>
          <w:sz w:val="20"/>
          <w:szCs w:val="20"/>
          <w:lang w:val="en-GB"/>
        </w:rPr>
        <w:tab/>
      </w:r>
      <w:r w:rsidR="00F24BFA" w:rsidRPr="00F24BFA">
        <w:rPr>
          <w:rFonts w:ascii="Times New Roman" w:hAnsi="Times New Roman"/>
          <w:sz w:val="20"/>
          <w:szCs w:val="20"/>
          <w:lang w:val="en-GB"/>
        </w:rPr>
        <w:tab/>
      </w:r>
      <w:r w:rsidR="00F24BFA" w:rsidRPr="00F24BFA">
        <w:rPr>
          <w:rFonts w:ascii="Times New Roman" w:hAnsi="Times New Roman"/>
          <w:sz w:val="20"/>
          <w:szCs w:val="20"/>
          <w:lang w:val="en-GB"/>
        </w:rPr>
        <w:tab/>
      </w:r>
      <w:r w:rsidR="00F24BFA" w:rsidRPr="00F24BFA">
        <w:rPr>
          <w:rFonts w:ascii="Times New Roman" w:hAnsi="Times New Roman"/>
          <w:sz w:val="20"/>
          <w:szCs w:val="20"/>
          <w:lang w:val="en-GB"/>
        </w:rPr>
        <w:tab/>
      </w:r>
      <w:r w:rsidR="00F24BFA" w:rsidRPr="00F24BFA">
        <w:rPr>
          <w:rFonts w:ascii="Times New Roman" w:hAnsi="Times New Roman"/>
          <w:sz w:val="20"/>
          <w:szCs w:val="20"/>
          <w:lang w:val="en-GB"/>
        </w:rPr>
        <w:tab/>
        <w:t xml:space="preserve">              </w:t>
      </w:r>
      <w:r w:rsidR="00F24BFA" w:rsidRPr="00F24BFA">
        <w:rPr>
          <w:rFonts w:ascii="Times New Roman" w:hAnsi="Times New Roman"/>
          <w:sz w:val="20"/>
          <w:szCs w:val="20"/>
          <w:lang w:val="en-GB"/>
        </w:rPr>
        <w:tab/>
        <w:t xml:space="preserve">                             </w:t>
      </w:r>
      <w:r w:rsidR="00A55785">
        <w:rPr>
          <w:rFonts w:ascii="Times New Roman" w:hAnsi="Times New Roman"/>
          <w:sz w:val="20"/>
          <w:szCs w:val="20"/>
          <w:lang w:val="en-GB"/>
        </w:rPr>
        <w:t xml:space="preserve">       </w:t>
      </w:r>
      <w:r w:rsidR="00F24BFA" w:rsidRPr="00F24BFA">
        <w:rPr>
          <w:rFonts w:ascii="Times New Roman" w:hAnsi="Times New Roman"/>
          <w:sz w:val="20"/>
          <w:szCs w:val="20"/>
          <w:lang w:val="en-GB"/>
        </w:rPr>
        <w:t xml:space="preserve">  (4)</w:t>
      </w:r>
    </w:p>
    <w:p w:rsidR="00A55785" w:rsidRDefault="00A55785" w:rsidP="00F24BFA">
      <w:pPr>
        <w:spacing w:after="0" w:line="240" w:lineRule="auto"/>
        <w:jc w:val="both"/>
        <w:rPr>
          <w:rFonts w:ascii="Times New Roman" w:hAnsi="Times New Roman"/>
          <w:sz w:val="20"/>
          <w:szCs w:val="20"/>
          <w:lang w:val="en-GB"/>
        </w:rPr>
      </w:pPr>
    </w:p>
    <w:p w:rsidR="00F24BFA" w:rsidRPr="00F24BFA" w:rsidRDefault="00F24BFA" w:rsidP="00F24BFA">
      <w:pPr>
        <w:spacing w:after="0" w:line="240" w:lineRule="auto"/>
        <w:jc w:val="both"/>
        <w:rPr>
          <w:rFonts w:ascii="Times New Roman" w:hAnsi="Times New Roman"/>
          <w:sz w:val="20"/>
          <w:szCs w:val="20"/>
          <w:lang w:val="en-GB"/>
        </w:rPr>
      </w:pPr>
      <w:r w:rsidRPr="00F24BFA">
        <w:rPr>
          <w:rFonts w:ascii="Times New Roman" w:hAnsi="Times New Roman"/>
          <w:sz w:val="20"/>
          <w:szCs w:val="20"/>
          <w:lang w:val="en-GB"/>
        </w:rPr>
        <w:t xml:space="preserve">where F is define as molar flow rate and </w:t>
      </w:r>
      <w:r w:rsidRPr="00F24BFA">
        <w:rPr>
          <w:rFonts w:ascii="Times New Roman" w:hAnsi="Times New Roman"/>
          <w:i/>
          <w:sz w:val="20"/>
          <w:szCs w:val="20"/>
          <w:lang w:val="en-GB"/>
        </w:rPr>
        <w:t>i</w:t>
      </w:r>
      <w:r w:rsidRPr="00F24BFA">
        <w:rPr>
          <w:rFonts w:ascii="Times New Roman" w:hAnsi="Times New Roman"/>
          <w:sz w:val="20"/>
          <w:szCs w:val="20"/>
          <w:lang w:val="en-GB"/>
        </w:rPr>
        <w:t xml:space="preserve"> is refer to C</w:t>
      </w:r>
      <w:r w:rsidRPr="00F24BFA">
        <w:rPr>
          <w:rFonts w:ascii="Times New Roman" w:hAnsi="Times New Roman"/>
          <w:sz w:val="20"/>
          <w:szCs w:val="20"/>
          <w:vertAlign w:val="subscript"/>
          <w:lang w:val="en-GB"/>
        </w:rPr>
        <w:t>1</w:t>
      </w:r>
      <w:r w:rsidRPr="00F24BFA">
        <w:rPr>
          <w:rFonts w:ascii="Times New Roman" w:hAnsi="Times New Roman"/>
          <w:sz w:val="20"/>
          <w:szCs w:val="20"/>
          <w:lang w:val="en-GB"/>
        </w:rPr>
        <w:t>, C</w:t>
      </w:r>
      <w:r w:rsidRPr="00F24BFA">
        <w:rPr>
          <w:rFonts w:ascii="Times New Roman" w:hAnsi="Times New Roman"/>
          <w:sz w:val="20"/>
          <w:szCs w:val="20"/>
          <w:vertAlign w:val="subscript"/>
          <w:lang w:val="en-GB"/>
        </w:rPr>
        <w:t>2</w:t>
      </w:r>
      <w:r w:rsidRPr="00F24BFA">
        <w:rPr>
          <w:rFonts w:ascii="Times New Roman" w:hAnsi="Times New Roman"/>
          <w:sz w:val="20"/>
          <w:szCs w:val="20"/>
          <w:lang w:val="en-GB"/>
        </w:rPr>
        <w:t>, C</w:t>
      </w:r>
      <w:r w:rsidRPr="00F24BFA">
        <w:rPr>
          <w:rFonts w:ascii="Times New Roman" w:hAnsi="Times New Roman"/>
          <w:sz w:val="20"/>
          <w:szCs w:val="20"/>
          <w:vertAlign w:val="subscript"/>
          <w:lang w:val="en-GB"/>
        </w:rPr>
        <w:t>3</w:t>
      </w:r>
      <w:r w:rsidRPr="00F24BFA">
        <w:rPr>
          <w:rFonts w:ascii="Times New Roman" w:hAnsi="Times New Roman"/>
          <w:sz w:val="20"/>
          <w:szCs w:val="20"/>
          <w:lang w:val="en-GB"/>
        </w:rPr>
        <w:t>, C</w:t>
      </w:r>
      <w:r w:rsidRPr="00F24BFA">
        <w:rPr>
          <w:rFonts w:ascii="Times New Roman" w:hAnsi="Times New Roman"/>
          <w:sz w:val="20"/>
          <w:szCs w:val="20"/>
          <w:vertAlign w:val="subscript"/>
          <w:lang w:val="en-GB"/>
        </w:rPr>
        <w:t>4</w:t>
      </w:r>
      <w:r w:rsidRPr="00F24BFA">
        <w:rPr>
          <w:rFonts w:ascii="Times New Roman" w:hAnsi="Times New Roman"/>
          <w:sz w:val="20"/>
          <w:szCs w:val="20"/>
          <w:lang w:val="en-GB"/>
        </w:rPr>
        <w:t xml:space="preserve"> and C</w:t>
      </w:r>
      <w:r w:rsidRPr="00F24BFA">
        <w:rPr>
          <w:rFonts w:ascii="Times New Roman" w:hAnsi="Times New Roman"/>
          <w:sz w:val="20"/>
          <w:szCs w:val="20"/>
          <w:vertAlign w:val="subscript"/>
          <w:lang w:val="en-GB"/>
        </w:rPr>
        <w:t>5</w:t>
      </w:r>
      <w:r w:rsidRPr="00F24BFA">
        <w:rPr>
          <w:rFonts w:ascii="Times New Roman" w:hAnsi="Times New Roman"/>
          <w:sz w:val="20"/>
          <w:szCs w:val="20"/>
          <w:lang w:val="en-GB"/>
        </w:rPr>
        <w:t xml:space="preserve"> species.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55785" w:rsidRPr="00A55785" w:rsidRDefault="00A55785" w:rsidP="00A55785">
      <w:pPr>
        <w:spacing w:after="0" w:line="240" w:lineRule="auto"/>
        <w:jc w:val="both"/>
        <w:outlineLvl w:val="0"/>
        <w:rPr>
          <w:rFonts w:ascii="Times New Roman" w:hAnsi="Times New Roman"/>
          <w:b/>
          <w:sz w:val="20"/>
          <w:szCs w:val="20"/>
        </w:rPr>
      </w:pPr>
      <w:r w:rsidRPr="00A55785">
        <w:rPr>
          <w:rFonts w:ascii="Times New Roman" w:hAnsi="Times New Roman"/>
          <w:b/>
          <w:sz w:val="20"/>
          <w:szCs w:val="20"/>
        </w:rPr>
        <w:t>Catalyst characterization</w:t>
      </w:r>
    </w:p>
    <w:p w:rsidR="00A55785" w:rsidRDefault="00A55785" w:rsidP="00A55785">
      <w:pPr>
        <w:spacing w:after="0" w:line="240" w:lineRule="auto"/>
        <w:jc w:val="both"/>
        <w:rPr>
          <w:rFonts w:ascii="Times New Roman" w:hAnsi="Times New Roman"/>
          <w:sz w:val="20"/>
          <w:szCs w:val="20"/>
        </w:rPr>
      </w:pPr>
      <w:r w:rsidRPr="00A55785">
        <w:rPr>
          <w:rFonts w:ascii="Times New Roman" w:hAnsi="Times New Roman"/>
          <w:spacing w:val="2"/>
          <w:sz w:val="20"/>
          <w:szCs w:val="20"/>
        </w:rPr>
        <w:t>Figure 1 illustrates XRD diffractogram of CeO</w:t>
      </w:r>
      <w:r w:rsidRPr="00A55785">
        <w:rPr>
          <w:rFonts w:ascii="Times New Roman" w:hAnsi="Times New Roman"/>
          <w:spacing w:val="2"/>
          <w:sz w:val="20"/>
          <w:szCs w:val="20"/>
          <w:vertAlign w:val="subscript"/>
        </w:rPr>
        <w:t>2</w:t>
      </w:r>
      <w:r w:rsidRPr="00A55785">
        <w:rPr>
          <w:rFonts w:ascii="Times New Roman" w:hAnsi="Times New Roman"/>
          <w:spacing w:val="2"/>
          <w:sz w:val="20"/>
          <w:szCs w:val="20"/>
        </w:rPr>
        <w:t xml:space="preserve"> and 10, 20, 30PA-CeO</w:t>
      </w:r>
      <w:r w:rsidRPr="00A55785">
        <w:rPr>
          <w:rFonts w:ascii="Times New Roman" w:hAnsi="Times New Roman"/>
          <w:spacing w:val="2"/>
          <w:sz w:val="20"/>
          <w:szCs w:val="20"/>
          <w:vertAlign w:val="subscript"/>
        </w:rPr>
        <w:t>2</w:t>
      </w:r>
      <w:r w:rsidRPr="00A55785">
        <w:rPr>
          <w:rFonts w:ascii="Times New Roman" w:hAnsi="Times New Roman"/>
          <w:spacing w:val="2"/>
          <w:sz w:val="20"/>
          <w:szCs w:val="20"/>
        </w:rPr>
        <w:t xml:space="preserve">. </w:t>
      </w:r>
      <w:r w:rsidRPr="00A55785">
        <w:rPr>
          <w:rFonts w:ascii="Times New Roman" w:hAnsi="Times New Roman"/>
          <w:sz w:val="20"/>
          <w:szCs w:val="20"/>
          <w:lang w:eastAsia="zh-CN"/>
        </w:rPr>
        <w:t>Based on Figure 1, the high intensity peaks recorded at 2θ readings of 28.6</w:t>
      </w:r>
      <w:r w:rsidRPr="00A55785">
        <w:rPr>
          <w:rFonts w:ascii="Times New Roman" w:hAnsi="Times New Roman"/>
          <w:sz w:val="20"/>
          <w:szCs w:val="20"/>
          <w:vertAlign w:val="superscript"/>
          <w:lang w:eastAsia="zh-CN"/>
        </w:rPr>
        <w:t>o</w:t>
      </w:r>
      <w:r w:rsidRPr="00A55785">
        <w:rPr>
          <w:rFonts w:ascii="Times New Roman" w:hAnsi="Times New Roman"/>
          <w:sz w:val="20"/>
          <w:szCs w:val="20"/>
          <w:lang w:eastAsia="zh-CN"/>
        </w:rPr>
        <w:t>, 33.1</w:t>
      </w:r>
      <w:r w:rsidRPr="00A55785">
        <w:rPr>
          <w:rFonts w:ascii="Times New Roman" w:hAnsi="Times New Roman"/>
          <w:sz w:val="20"/>
          <w:szCs w:val="20"/>
          <w:vertAlign w:val="superscript"/>
          <w:lang w:eastAsia="zh-CN"/>
        </w:rPr>
        <w:t>o</w:t>
      </w:r>
      <w:r w:rsidRPr="00A55785">
        <w:rPr>
          <w:rFonts w:ascii="Times New Roman" w:hAnsi="Times New Roman"/>
          <w:sz w:val="20"/>
          <w:szCs w:val="20"/>
          <w:lang w:eastAsia="zh-CN"/>
        </w:rPr>
        <w:t>, 47.48</w:t>
      </w:r>
      <w:r w:rsidRPr="00A55785">
        <w:rPr>
          <w:rFonts w:ascii="Times New Roman" w:hAnsi="Times New Roman"/>
          <w:sz w:val="20"/>
          <w:szCs w:val="20"/>
          <w:vertAlign w:val="superscript"/>
          <w:lang w:eastAsia="zh-CN"/>
        </w:rPr>
        <w:t>o</w:t>
      </w:r>
      <w:r w:rsidRPr="00A55785">
        <w:rPr>
          <w:rFonts w:ascii="Times New Roman" w:hAnsi="Times New Roman"/>
          <w:sz w:val="20"/>
          <w:szCs w:val="20"/>
          <w:lang w:eastAsia="zh-CN"/>
        </w:rPr>
        <w:t xml:space="preserve"> and 56.36</w:t>
      </w:r>
      <w:r w:rsidRPr="00A55785">
        <w:rPr>
          <w:rFonts w:ascii="Times New Roman" w:hAnsi="Times New Roman"/>
          <w:sz w:val="20"/>
          <w:szCs w:val="20"/>
          <w:vertAlign w:val="superscript"/>
          <w:lang w:eastAsia="zh-CN"/>
        </w:rPr>
        <w:t>o</w:t>
      </w:r>
      <w:r w:rsidRPr="00A55785">
        <w:rPr>
          <w:rFonts w:ascii="Times New Roman" w:hAnsi="Times New Roman"/>
          <w:sz w:val="20"/>
          <w:szCs w:val="20"/>
          <w:lang w:eastAsia="zh-CN"/>
        </w:rPr>
        <w:t xml:space="preserve"> which corresponding to (111), (200), (220) and </w:t>
      </w:r>
      <w:r w:rsidRPr="00A55785">
        <w:rPr>
          <w:rFonts w:ascii="Times New Roman" w:hAnsi="Times New Roman"/>
          <w:sz w:val="20"/>
          <w:szCs w:val="20"/>
          <w:lang w:eastAsia="zh-CN"/>
        </w:rPr>
        <w:lastRenderedPageBreak/>
        <w:t>(311) crystal planes respectively.The XRD patterns obtained of the synthesized catalysts were compared with the standard data for CeO</w:t>
      </w:r>
      <w:r w:rsidRPr="00A55785">
        <w:rPr>
          <w:rFonts w:ascii="Times New Roman" w:hAnsi="Times New Roman"/>
          <w:sz w:val="20"/>
          <w:szCs w:val="20"/>
          <w:vertAlign w:val="subscript"/>
          <w:lang w:eastAsia="zh-CN"/>
        </w:rPr>
        <w:t>2</w:t>
      </w:r>
      <w:r w:rsidRPr="00A55785">
        <w:rPr>
          <w:rFonts w:ascii="Times New Roman" w:hAnsi="Times New Roman"/>
          <w:sz w:val="20"/>
          <w:szCs w:val="20"/>
          <w:lang w:eastAsia="zh-CN"/>
        </w:rPr>
        <w:t xml:space="preserve"> (</w:t>
      </w:r>
      <w:r w:rsidRPr="00A55785">
        <w:rPr>
          <w:rFonts w:ascii="Times New Roman" w:hAnsi="Times New Roman"/>
          <w:sz w:val="20"/>
          <w:szCs w:val="20"/>
        </w:rPr>
        <w:t>JCPDS card No. 34-0394).</w:t>
      </w:r>
      <w:r w:rsidRPr="00A55785">
        <w:rPr>
          <w:rFonts w:ascii="Times New Roman" w:hAnsi="Times New Roman"/>
          <w:sz w:val="20"/>
          <w:szCs w:val="20"/>
          <w:lang w:eastAsia="zh-CN"/>
        </w:rPr>
        <w:t>This also indicated that the CeO</w:t>
      </w:r>
      <w:r w:rsidRPr="00A55785">
        <w:rPr>
          <w:rFonts w:ascii="Times New Roman" w:hAnsi="Times New Roman"/>
          <w:sz w:val="20"/>
          <w:szCs w:val="20"/>
          <w:vertAlign w:val="subscript"/>
          <w:lang w:eastAsia="zh-CN"/>
        </w:rPr>
        <w:t>2</w:t>
      </w:r>
      <w:r w:rsidRPr="00A55785">
        <w:rPr>
          <w:rFonts w:ascii="Times New Roman" w:hAnsi="Times New Roman"/>
          <w:sz w:val="20"/>
          <w:szCs w:val="20"/>
          <w:lang w:eastAsia="zh-CN"/>
        </w:rPr>
        <w:t xml:space="preserve">’s structure maintained well for all modified catalysts </w:t>
      </w:r>
      <w:r w:rsidRPr="00A55785">
        <w:rPr>
          <w:rFonts w:ascii="Times New Roman" w:hAnsi="Times New Roman"/>
          <w:sz w:val="20"/>
          <w:szCs w:val="20"/>
          <w:lang w:eastAsia="zh-CN"/>
        </w:rPr>
        <w:fldChar w:fldCharType="begin" w:fldLock="1"/>
      </w:r>
      <w:r w:rsidRPr="00A55785">
        <w:rPr>
          <w:rFonts w:ascii="Times New Roman" w:hAnsi="Times New Roman"/>
          <w:sz w:val="20"/>
          <w:szCs w:val="20"/>
          <w:lang w:eastAsia="zh-CN"/>
        </w:rPr>
        <w:instrText>ADDIN CSL_CITATION { "citationItems" : [ { "id" : "ITEM-1", "itemData" : { "DOI" : "10.1016/j.arabjc.2015.06.039", "ISSN" : "18785352", "abstract" : "Mesoporous \u03b3-alumina was synthesized by acid extraction of alumina from Kano kaolin using polyoxyethylene (40) stearate (PS) as a surfactant. The synthesized alumina was characterized using X-ray diffraction (XRD), N2 adsorption\u2013desorption, Fourier transform infra-red spectroscopy (FTIR), field emission scanning electron microscopy attached with energy-dispersive X-ray (FESEM\u2013EDX), and thermogravimetric analysis (TG\u2013DTA). High-purity mesoporous \u03b3-Al2O3 with relatively large surface area and narrow pore size distribution was obtained. For comparison the preparation in the absence of surfactant was also carried out. In this study mesoporous alumina was also obtained even in the absence of the surfactant, however, the addition of PS resulted in modification on physical properties and morphology. The surface area increased from 169.0m2/g to 222.7m2/g, pore size from 4.4nm to 5.6nm and pore volume from 0.32cm3/g to 0.45cm3/g. Crystallite size was also found to increase from 2.68nm to 3.33nm after the addition of the surfactant.", "author" : [ { "dropping-particle" : "", "family" : "Yacob", "given" : "Abdul Rahim", "non-dropping-particle" : "", "parse-names" : false, "suffix" : "" }, { "dropping-particle" : "", "family" : "Bello", "given" : "Abdu Muhammad", "non-dropping-particle" : "", "parse-names" : false, "suffix" : "" }, { "dropping-particle" : "", "family" : "Kabo", "given" : "Kamaluddeen Suleiman", "non-dropping-particle" : "", "parse-names" : false, "suffix" : "" } ], "container-title" : "Arabian Journal of Chemistry", "id" : "ITEM-1", "issue" : "2", "issued" : { "date-parts" : [ [ "2016" ] ] }, "page" : "297-304", "title" : "The effect of polyoxyethylene (40) stearate surfactant on novel synthesis of mesoporous \u03b3-alumina from Kano kaolin", "type" : "article-journal", "volume" : "9" }, "uris" : [ "http://www.mendeley.com/documents/?uuid=1c4dedd6-f25a-32a9-99b3-b76b33dc274c" ] } ], "mendeley" : { "formattedCitation" : "[18]", "plainTextFormattedCitation" : "[18]" }, "properties" : { "noteIndex" : 0 }, "schema" : "https://github.com/citation-style-language/schema/raw/master/csl-citation.json" }</w:instrText>
      </w:r>
      <w:r w:rsidRPr="00A55785">
        <w:rPr>
          <w:rFonts w:ascii="Times New Roman" w:hAnsi="Times New Roman"/>
          <w:sz w:val="20"/>
          <w:szCs w:val="20"/>
          <w:lang w:eastAsia="zh-CN"/>
        </w:rPr>
        <w:fldChar w:fldCharType="separate"/>
      </w:r>
      <w:r w:rsidRPr="00A55785">
        <w:rPr>
          <w:rFonts w:ascii="Times New Roman" w:hAnsi="Times New Roman"/>
          <w:noProof/>
          <w:sz w:val="20"/>
          <w:szCs w:val="20"/>
          <w:lang w:eastAsia="zh-CN"/>
        </w:rPr>
        <w:t>[18]</w:t>
      </w:r>
      <w:r w:rsidRPr="00A55785">
        <w:rPr>
          <w:rFonts w:ascii="Times New Roman" w:hAnsi="Times New Roman"/>
          <w:sz w:val="20"/>
          <w:szCs w:val="20"/>
          <w:lang w:eastAsia="zh-CN"/>
        </w:rPr>
        <w:fldChar w:fldCharType="end"/>
      </w:r>
      <w:r w:rsidRPr="00A55785">
        <w:rPr>
          <w:rFonts w:ascii="Times New Roman" w:hAnsi="Times New Roman"/>
          <w:sz w:val="20"/>
          <w:szCs w:val="20"/>
          <w:lang w:eastAsia="zh-CN"/>
        </w:rPr>
        <w:t xml:space="preserve">. </w:t>
      </w:r>
      <w:r w:rsidRPr="00A55785">
        <w:rPr>
          <w:rFonts w:ascii="Times New Roman" w:hAnsi="Times New Roman"/>
          <w:spacing w:val="2"/>
          <w:sz w:val="20"/>
          <w:szCs w:val="20"/>
        </w:rPr>
        <w:t>The structure of catalysts became less crystalline as affected by H</w:t>
      </w:r>
      <w:r w:rsidRPr="00A55785">
        <w:rPr>
          <w:rFonts w:ascii="Times New Roman" w:hAnsi="Times New Roman"/>
          <w:spacing w:val="2"/>
          <w:sz w:val="20"/>
          <w:szCs w:val="20"/>
          <w:vertAlign w:val="subscript"/>
        </w:rPr>
        <w:t>3</w:t>
      </w:r>
      <w:r w:rsidRPr="00A55785">
        <w:rPr>
          <w:rFonts w:ascii="Times New Roman" w:hAnsi="Times New Roman"/>
          <w:spacing w:val="2"/>
          <w:sz w:val="20"/>
          <w:szCs w:val="20"/>
        </w:rPr>
        <w:t>PO</w:t>
      </w:r>
      <w:r w:rsidRPr="00A55785">
        <w:rPr>
          <w:rFonts w:ascii="Times New Roman" w:hAnsi="Times New Roman"/>
          <w:spacing w:val="2"/>
          <w:sz w:val="20"/>
          <w:szCs w:val="20"/>
          <w:vertAlign w:val="subscript"/>
        </w:rPr>
        <w:t>4</w:t>
      </w:r>
      <w:r w:rsidRPr="00A55785">
        <w:rPr>
          <w:rFonts w:ascii="Times New Roman" w:hAnsi="Times New Roman"/>
          <w:spacing w:val="2"/>
          <w:sz w:val="20"/>
          <w:szCs w:val="20"/>
        </w:rPr>
        <w:t xml:space="preserve"> loading. </w:t>
      </w:r>
      <w:r w:rsidRPr="00A55785">
        <w:rPr>
          <w:rFonts w:ascii="Times New Roman" w:hAnsi="Times New Roman"/>
          <w:sz w:val="20"/>
          <w:szCs w:val="20"/>
        </w:rPr>
        <w:t>There are additional small peaks found for 20PA-CeO</w:t>
      </w:r>
      <w:r w:rsidRPr="00A55785">
        <w:rPr>
          <w:rFonts w:ascii="Times New Roman" w:hAnsi="Times New Roman"/>
          <w:sz w:val="20"/>
          <w:szCs w:val="20"/>
          <w:vertAlign w:val="subscript"/>
        </w:rPr>
        <w:t>2</w:t>
      </w:r>
      <w:r w:rsidRPr="00A55785">
        <w:rPr>
          <w:rFonts w:ascii="Times New Roman" w:hAnsi="Times New Roman"/>
          <w:sz w:val="20"/>
          <w:szCs w:val="20"/>
        </w:rPr>
        <w:t xml:space="preserve"> and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at 2θ readings of 21°, 27° and 43° which can be ascribed to CeP</w:t>
      </w:r>
      <w:r w:rsidRPr="00A55785">
        <w:rPr>
          <w:rFonts w:ascii="Times New Roman" w:hAnsi="Times New Roman"/>
          <w:sz w:val="20"/>
          <w:szCs w:val="20"/>
          <w:vertAlign w:val="subscript"/>
        </w:rPr>
        <w:t>2</w:t>
      </w:r>
      <w:r w:rsidRPr="00A55785">
        <w:rPr>
          <w:rFonts w:ascii="Times New Roman" w:hAnsi="Times New Roman"/>
          <w:sz w:val="20"/>
          <w:szCs w:val="20"/>
        </w:rPr>
        <w:t>O</w:t>
      </w:r>
      <w:r w:rsidRPr="00A55785">
        <w:rPr>
          <w:rFonts w:ascii="Times New Roman" w:hAnsi="Times New Roman"/>
          <w:sz w:val="20"/>
          <w:szCs w:val="20"/>
          <w:vertAlign w:val="subscript"/>
        </w:rPr>
        <w:t>7</w:t>
      </w:r>
      <w:r w:rsidRPr="00A55785">
        <w:rPr>
          <w:rFonts w:ascii="Times New Roman" w:hAnsi="Times New Roman"/>
          <w:sz w:val="20"/>
          <w:szCs w:val="20"/>
        </w:rPr>
        <w:t xml:space="preserve"> species (JCPDS card No. 30-0164). CeP</w:t>
      </w:r>
      <w:r w:rsidRPr="00A55785">
        <w:rPr>
          <w:rFonts w:ascii="Times New Roman" w:hAnsi="Times New Roman"/>
          <w:sz w:val="20"/>
          <w:szCs w:val="20"/>
          <w:vertAlign w:val="subscript"/>
        </w:rPr>
        <w:t>2</w:t>
      </w:r>
      <w:r w:rsidRPr="00A55785">
        <w:rPr>
          <w:rFonts w:ascii="Times New Roman" w:hAnsi="Times New Roman"/>
          <w:sz w:val="20"/>
          <w:szCs w:val="20"/>
        </w:rPr>
        <w:t>O</w:t>
      </w:r>
      <w:r w:rsidRPr="00A55785">
        <w:rPr>
          <w:rFonts w:ascii="Times New Roman" w:hAnsi="Times New Roman"/>
          <w:sz w:val="20"/>
          <w:szCs w:val="20"/>
          <w:vertAlign w:val="subscript"/>
        </w:rPr>
        <w:t>7</w:t>
      </w:r>
      <w:r w:rsidRPr="00A55785">
        <w:rPr>
          <w:rFonts w:ascii="Times New Roman" w:hAnsi="Times New Roman"/>
          <w:sz w:val="20"/>
          <w:szCs w:val="20"/>
        </w:rPr>
        <w:t xml:space="preserve"> is a crystalline product in which every Ce atom is joined to six oxygen and every P to four oxygen, with a connectivity of four and six. The P atoms are joined in pairs through shared O atom to form P</w:t>
      </w:r>
      <w:r w:rsidRPr="00A55785">
        <w:rPr>
          <w:rFonts w:ascii="Times New Roman" w:hAnsi="Times New Roman"/>
          <w:sz w:val="20"/>
          <w:szCs w:val="20"/>
          <w:vertAlign w:val="subscript"/>
        </w:rPr>
        <w:t>2</w:t>
      </w:r>
      <w:r w:rsidRPr="00A55785">
        <w:rPr>
          <w:rFonts w:ascii="Times New Roman" w:hAnsi="Times New Roman"/>
          <w:sz w:val="20"/>
          <w:szCs w:val="20"/>
        </w:rPr>
        <w:t>O</w:t>
      </w:r>
      <w:r w:rsidRPr="00A55785">
        <w:rPr>
          <w:rFonts w:ascii="Times New Roman" w:hAnsi="Times New Roman"/>
          <w:sz w:val="20"/>
          <w:szCs w:val="20"/>
          <w:vertAlign w:val="subscript"/>
        </w:rPr>
        <w:t>7</w:t>
      </w:r>
      <w:r w:rsidRPr="00A55785">
        <w:rPr>
          <w:rFonts w:ascii="Times New Roman" w:hAnsi="Times New Roman"/>
          <w:sz w:val="20"/>
          <w:szCs w:val="20"/>
          <w:vertAlign w:val="superscript"/>
        </w:rPr>
        <w:t>4-</w:t>
      </w:r>
      <w:r w:rsidRPr="00A55785">
        <w:rPr>
          <w:rFonts w:ascii="Times New Roman" w:hAnsi="Times New Roman"/>
          <w:sz w:val="20"/>
          <w:szCs w:val="20"/>
        </w:rPr>
        <w:t xml:space="preserve"> units, each of it shared its six remaining oxygen with the CeO</w:t>
      </w:r>
      <w:r w:rsidRPr="00A55785">
        <w:rPr>
          <w:rFonts w:ascii="Times New Roman" w:hAnsi="Times New Roman"/>
          <w:sz w:val="20"/>
          <w:szCs w:val="20"/>
          <w:vertAlign w:val="subscript"/>
        </w:rPr>
        <w:t>6</w:t>
      </w:r>
      <w:r w:rsidRPr="00A55785">
        <w:rPr>
          <w:rFonts w:ascii="Times New Roman" w:hAnsi="Times New Roman"/>
          <w:sz w:val="20"/>
          <w:szCs w:val="20"/>
        </w:rPr>
        <w:t xml:space="preserve"> octahedral. The appearance of CeP</w:t>
      </w:r>
      <w:r w:rsidRPr="00A55785">
        <w:rPr>
          <w:rFonts w:ascii="Times New Roman" w:hAnsi="Times New Roman"/>
          <w:sz w:val="20"/>
          <w:szCs w:val="20"/>
          <w:vertAlign w:val="subscript"/>
        </w:rPr>
        <w:t>2</w:t>
      </w:r>
      <w:r w:rsidRPr="00A55785">
        <w:rPr>
          <w:rFonts w:ascii="Times New Roman" w:hAnsi="Times New Roman"/>
          <w:sz w:val="20"/>
          <w:szCs w:val="20"/>
        </w:rPr>
        <w:t>O</w:t>
      </w:r>
      <w:r w:rsidRPr="00A55785">
        <w:rPr>
          <w:rFonts w:ascii="Times New Roman" w:hAnsi="Times New Roman"/>
          <w:sz w:val="20"/>
          <w:szCs w:val="20"/>
          <w:vertAlign w:val="subscript"/>
        </w:rPr>
        <w:t xml:space="preserve">7 </w:t>
      </w:r>
      <w:r w:rsidRPr="00A55785">
        <w:rPr>
          <w:rFonts w:ascii="Times New Roman" w:hAnsi="Times New Roman"/>
          <w:sz w:val="20"/>
          <w:szCs w:val="20"/>
        </w:rPr>
        <w:t xml:space="preserve">is normally occurred when cerium oxide reacted with phosphoric acid at temperature around 623 K to 1073 K. In this case, the </w:t>
      </w:r>
      <w:r w:rsidRPr="00A55785">
        <w:rPr>
          <w:rFonts w:ascii="Times New Roman" w:hAnsi="Times New Roman"/>
          <w:sz w:val="20"/>
          <w:szCs w:val="20"/>
          <w:lang w:val="en-GB"/>
        </w:rPr>
        <w:t xml:space="preserve">modified cerium oxide phosphate </w:t>
      </w:r>
      <w:r w:rsidRPr="00A55785">
        <w:rPr>
          <w:rFonts w:ascii="Times New Roman" w:hAnsi="Times New Roman"/>
          <w:spacing w:val="2"/>
          <w:sz w:val="20"/>
          <w:szCs w:val="20"/>
        </w:rPr>
        <w:t xml:space="preserve">catalysts were prepared at 773 K in a furnace which causes the formation of </w:t>
      </w:r>
      <w:r w:rsidRPr="00A55785">
        <w:rPr>
          <w:rFonts w:ascii="Times New Roman" w:hAnsi="Times New Roman"/>
          <w:sz w:val="20"/>
          <w:szCs w:val="20"/>
        </w:rPr>
        <w:t>CeP</w:t>
      </w:r>
      <w:r w:rsidRPr="00A55785">
        <w:rPr>
          <w:rFonts w:ascii="Times New Roman" w:hAnsi="Times New Roman"/>
          <w:sz w:val="20"/>
          <w:szCs w:val="20"/>
          <w:vertAlign w:val="subscript"/>
        </w:rPr>
        <w:t>2</w:t>
      </w:r>
      <w:r w:rsidRPr="00A55785">
        <w:rPr>
          <w:rFonts w:ascii="Times New Roman" w:hAnsi="Times New Roman"/>
          <w:sz w:val="20"/>
          <w:szCs w:val="20"/>
        </w:rPr>
        <w:t>O</w:t>
      </w:r>
      <w:r w:rsidRPr="00A55785">
        <w:rPr>
          <w:rFonts w:ascii="Times New Roman" w:hAnsi="Times New Roman"/>
          <w:sz w:val="20"/>
          <w:szCs w:val="20"/>
          <w:vertAlign w:val="subscript"/>
        </w:rPr>
        <w:t xml:space="preserve">7 </w:t>
      </w:r>
      <w:r w:rsidRPr="00A55785">
        <w:rPr>
          <w:rFonts w:ascii="Times New Roman" w:hAnsi="Times New Roman"/>
          <w:sz w:val="20"/>
          <w:szCs w:val="20"/>
        </w:rPr>
        <w:t xml:space="preserve">species </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"10.1021/cm702338h", "ISBN" : "0897-4756", "ISSN" : "08974756", "abstract" : "CeP2O7, a close structural relative of ZrP2O7, and many other MIVX2O7 (X \u2013 P, V, As) phases, forms on heating Ce(HPO4)2 \u00b7 xH2O between \u223c300 and 600 \u00b0C and decomposes by oxygen loss at higher temperatures. In-situ X-ray diffraction measurements showed, for some precursor batches, the formation of CeP2O7 in two distinct stages. At room temperature, CeP2O7 is pseudocubic, but probably triclinic, displaying positive thermal expansion below \u223c115 \u00b0C. Above this temperature, there is a transition to cubic symmetry (Pa3 j) with the linear coefficient of thermal expansion going to zero at \u223c450 \u00b0C and becoming negative at higher temperatures. CeP2O7 probably undergoes two phase transitions on compression below \u223c10.5 GPa. The phase existing between 0.65 and \u223c5 GPa is soft with an average bulk modulus of \u223c18 GPa.", "author" : [ { "dropping-particle" : "", "family" : "White", "given" : "K. M.", "non-dropping-particle" : "", "parse-names" : false, "suffix" : "" }, { "dropping-particle" : "", "family" : "Lee", "given" : "P. L.", "non-dropping-particle" : "", "parse-names" : false, "suffix" : "" }, { "dropping-particle" : "", "family" : "Chupas", "given" : "P. J.", "non-dropping-particle" : "", "parse-names" : false, "suffix" : "" }, { "dropping-particle" : "", "family" : "Chapman", "given" : "K. W.", "non-dropping-particle" : "", "parse-names" : false, "suffix" : "" }, { "dropping-particle" : "", "family" : "Payzant", "given" : "E. A.", "non-dropping-particle" : "", "parse-names" : false, "suffix" : "" }, { "dropping-particle" : "", "family" : "Jupe", "given" : "A. C.", "non-dropping-particle" : "", "parse-names" : false, "suffix" : "" }, { "dropping-particle" : "", "family" : "Bassett", "given" : "W. A.", "non-dropping-particle" : "", "parse-names" : false, "suffix" : "" }, { "dropping-particle" : "", "family" : "Zha", "given" : "C. S.", "non-dropping-particle" : "", "parse-names" : false, "suffix" : "" }, { "dropping-particle" : "", "family" : "Wilkinson", "given" : "A. P.", "non-dropping-particle" : "", "parse-names" : false, "suffix" : "" } ], "container-title" : "Chemistry of Materials", "id" : "ITEM-1", "issue" : "11", "issued" : { "date-parts" : [ [ "2008" ] ] }, "page" : "3728-3734", "title" : "Synthesis, symmetry, and physical properties of cerium pyrophosphate", "type" : "article-journal", "volume" : "20" }, "uris" : [ "http://www.mendeley.com/documents/?uuid=92e7feb2-3d2c-4826-9f2d-9395dda2453e" ] } ], "mendeley" : { "formattedCitation" : "[19]", "plainTextFormattedCitation" : "[19]", "previouslyFormattedCitation" : "[18]"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[19]</w:t>
      </w:r>
      <w:r w:rsidRPr="00A55785">
        <w:rPr>
          <w:rFonts w:ascii="Times New Roman" w:hAnsi="Times New Roman"/>
          <w:sz w:val="20"/>
          <w:szCs w:val="20"/>
        </w:rPr>
        <w:fldChar w:fldCharType="end"/>
      </w:r>
      <w:r w:rsidRPr="00A55785">
        <w:rPr>
          <w:rFonts w:ascii="Times New Roman" w:hAnsi="Times New Roman"/>
          <w:sz w:val="20"/>
          <w:szCs w:val="20"/>
        </w:rPr>
        <w:t>.</w:t>
      </w:r>
    </w:p>
    <w:p w:rsidR="00A55785" w:rsidRPr="00A55785" w:rsidRDefault="00A55785" w:rsidP="00A55785">
      <w:pPr>
        <w:spacing w:after="120" w:line="240" w:lineRule="auto"/>
        <w:jc w:val="both"/>
        <w:rPr>
          <w:rFonts w:ascii="Times New Roman" w:hAnsi="Times New Roman"/>
          <w:sz w:val="20"/>
          <w:szCs w:val="20"/>
        </w:rPr>
      </w:pPr>
    </w:p>
    <w:p w:rsidR="00A55785" w:rsidRPr="00A55785" w:rsidRDefault="00A55785" w:rsidP="00A55785">
      <w:pPr>
        <w:spacing w:after="120" w:line="240" w:lineRule="auto"/>
        <w:jc w:val="center"/>
        <w:outlineLvl w:val="0"/>
        <w:rPr>
          <w:rFonts w:ascii="Times New Roman" w:hAnsi="Times New Roman"/>
          <w:sz w:val="20"/>
          <w:szCs w:val="20"/>
        </w:rPr>
      </w:pPr>
      <w:r w:rsidRPr="00A55785">
        <w:rPr>
          <w:rFonts w:ascii="Times New Roman" w:hAnsi="Times New Roman"/>
          <w:noProof/>
          <w:sz w:val="20"/>
          <w:szCs w:val="20"/>
          <w:lang w:bidi="ar-SA"/>
        </w:rPr>
        <w:drawing>
          <wp:inline distT="0" distB="0" distL="0" distR="0" wp14:anchorId="5AED035B" wp14:editId="51A692D9">
            <wp:extent cx="3240000" cy="2277126"/>
            <wp:effectExtent l="19050" t="19050" r="17780" b="2794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7601" t="32422" r="17923" b="31161"/>
                    <a:stretch>
                      <a:fillRect/>
                    </a:stretch>
                  </pic:blipFill>
                  <pic:spPr bwMode="auto">
                    <a:xfrm>
                      <a:off x="0" y="0"/>
                      <a:ext cx="3240000" cy="2277126"/>
                    </a:xfrm>
                    <a:prstGeom prst="rect">
                      <a:avLst/>
                    </a:prstGeom>
                    <a:noFill/>
                    <a:ln>
                      <a:solidFill>
                        <a:schemeClr val="tx1"/>
                      </a:solidFill>
                    </a:ln>
                  </pic:spPr>
                </pic:pic>
              </a:graphicData>
            </a:graphic>
          </wp:inline>
        </w:drawing>
      </w:r>
    </w:p>
    <w:p w:rsidR="00A55785" w:rsidRPr="00A55785" w:rsidRDefault="00A55785" w:rsidP="00A55785">
      <w:pPr>
        <w:spacing w:after="0" w:line="240" w:lineRule="auto"/>
        <w:jc w:val="center"/>
        <w:rPr>
          <w:rFonts w:ascii="Times New Roman" w:hAnsi="Times New Roman"/>
          <w:sz w:val="20"/>
          <w:szCs w:val="20"/>
        </w:rPr>
      </w:pPr>
      <w:r w:rsidRPr="00A55785">
        <w:rPr>
          <w:rFonts w:ascii="Times New Roman" w:hAnsi="Times New Roman"/>
          <w:sz w:val="20"/>
          <w:szCs w:val="20"/>
        </w:rPr>
        <w:t xml:space="preserve">Figure 1. </w:t>
      </w:r>
      <w:r>
        <w:rPr>
          <w:rFonts w:ascii="Times New Roman" w:hAnsi="Times New Roman"/>
          <w:sz w:val="20"/>
          <w:szCs w:val="20"/>
        </w:rPr>
        <w:t xml:space="preserve"> </w:t>
      </w:r>
      <w:r w:rsidRPr="00A55785">
        <w:rPr>
          <w:rFonts w:ascii="Times New Roman" w:hAnsi="Times New Roman"/>
          <w:sz w:val="20"/>
          <w:szCs w:val="20"/>
        </w:rPr>
        <w:t>X-ray diffraction profiles of CeO</w:t>
      </w:r>
      <w:r w:rsidRPr="00A55785">
        <w:rPr>
          <w:rFonts w:ascii="Times New Roman" w:hAnsi="Times New Roman"/>
          <w:sz w:val="20"/>
          <w:szCs w:val="20"/>
          <w:vertAlign w:val="subscript"/>
        </w:rPr>
        <w:t xml:space="preserve">2 </w:t>
      </w:r>
      <w:r w:rsidRPr="00A55785">
        <w:rPr>
          <w:rFonts w:ascii="Times New Roman" w:hAnsi="Times New Roman"/>
          <w:sz w:val="20"/>
          <w:szCs w:val="20"/>
        </w:rPr>
        <w:t>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w:t>
      </w:r>
    </w:p>
    <w:p w:rsidR="00A55785" w:rsidRDefault="00A55785" w:rsidP="00A55785">
      <w:pPr>
        <w:spacing w:after="120" w:line="240" w:lineRule="auto"/>
        <w:jc w:val="both"/>
        <w:rPr>
          <w:rFonts w:ascii="Times New Roman" w:hAnsi="Times New Roman"/>
          <w:sz w:val="20"/>
          <w:szCs w:val="20"/>
          <w:lang w:val="en-GB"/>
        </w:rPr>
      </w:pPr>
    </w:p>
    <w:p w:rsidR="00A55785" w:rsidRPr="00A55785" w:rsidRDefault="00A55785" w:rsidP="00A55785">
      <w:pPr>
        <w:spacing w:after="0" w:line="240" w:lineRule="auto"/>
        <w:jc w:val="both"/>
        <w:rPr>
          <w:rFonts w:ascii="Times New Roman" w:hAnsi="Times New Roman"/>
          <w:sz w:val="20"/>
          <w:szCs w:val="20"/>
          <w:lang w:val="en-GB"/>
        </w:rPr>
      </w:pPr>
      <w:r w:rsidRPr="00A55785">
        <w:rPr>
          <w:rFonts w:ascii="Times New Roman" w:hAnsi="Times New Roman"/>
          <w:sz w:val="20"/>
          <w:szCs w:val="20"/>
          <w:lang w:val="en-GB"/>
        </w:rPr>
        <w:t xml:space="preserve">SEM micrographs of modified cerium oxide phosphate catalysts at 20 µm resolution are shown in Figure 2. Based on the Figure 2, most of the samples were agglomerated together. The SEM images shown in Figure 2 reveal the morphology of all samples is similar with formation of irregular and bulky surface which is typical of thermally-synthesized wet impregnated catalyst. Meanwhile, it is clearly proved that the </w:t>
      </w:r>
      <w:r w:rsidRPr="00A55785">
        <w:rPr>
          <w:rFonts w:ascii="Times New Roman" w:hAnsi="Times New Roman"/>
          <w:sz w:val="20"/>
          <w:szCs w:val="20"/>
        </w:rPr>
        <w:t>addition of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did not alter the surface morphology of the catalysts, and that the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has blended intimately with the CeO</w:t>
      </w:r>
      <w:r w:rsidRPr="00A55785">
        <w:rPr>
          <w:rFonts w:ascii="Times New Roman" w:hAnsi="Times New Roman"/>
          <w:sz w:val="20"/>
          <w:szCs w:val="20"/>
          <w:vertAlign w:val="subscript"/>
        </w:rPr>
        <w:t>2</w:t>
      </w:r>
      <w:r w:rsidRPr="00A55785">
        <w:rPr>
          <w:rFonts w:ascii="Times New Roman" w:hAnsi="Times New Roman"/>
          <w:sz w:val="20"/>
          <w:szCs w:val="20"/>
        </w:rPr>
        <w:t xml:space="preserve"> support to form a single phase</w:t>
      </w:r>
      <w:r w:rsidRPr="00A55785">
        <w:rPr>
          <w:rFonts w:ascii="Times New Roman" w:hAnsi="Times New Roman"/>
          <w:sz w:val="20"/>
          <w:szCs w:val="20"/>
          <w:lang w:val="en-GB"/>
        </w:rPr>
        <w:t>.</w:t>
      </w:r>
    </w:p>
    <w:p w:rsidR="00A55785" w:rsidRDefault="00A55785" w:rsidP="00A55785">
      <w:pPr>
        <w:spacing w:after="0" w:line="240" w:lineRule="auto"/>
        <w:jc w:val="both"/>
        <w:rPr>
          <w:rFonts w:ascii="Times New Roman" w:hAnsi="Times New Roman"/>
          <w:sz w:val="20"/>
          <w:szCs w:val="20"/>
          <w:lang w:val="en-GB"/>
        </w:rPr>
      </w:pPr>
    </w:p>
    <w:p w:rsidR="00A55785" w:rsidRPr="00A55785" w:rsidRDefault="00A55785" w:rsidP="00A55785">
      <w:pPr>
        <w:spacing w:after="0" w:line="240" w:lineRule="auto"/>
        <w:jc w:val="both"/>
        <w:rPr>
          <w:rFonts w:ascii="Times New Roman" w:hAnsi="Times New Roman"/>
          <w:sz w:val="20"/>
          <w:szCs w:val="20"/>
        </w:rPr>
      </w:pPr>
      <w:r w:rsidRPr="00A55785">
        <w:rPr>
          <w:rFonts w:ascii="Times New Roman" w:hAnsi="Times New Roman"/>
          <w:sz w:val="20"/>
          <w:szCs w:val="20"/>
        </w:rPr>
        <w:t>The fresh catalysts were also subjected to the FTIR scanning and the spectra collected are shown in Figure 3. The spectra were recorded in the wave number that ranged 4000 – 400 cm</w:t>
      </w:r>
      <w:r w:rsidRPr="00A55785">
        <w:rPr>
          <w:rFonts w:ascii="Times New Roman" w:hAnsi="Times New Roman"/>
          <w:sz w:val="20"/>
          <w:szCs w:val="20"/>
          <w:vertAlign w:val="superscript"/>
        </w:rPr>
        <w:t>-1</w:t>
      </w:r>
      <w:r w:rsidRPr="00A55785">
        <w:rPr>
          <w:rFonts w:ascii="Times New Roman" w:hAnsi="Times New Roman"/>
          <w:sz w:val="20"/>
          <w:szCs w:val="20"/>
        </w:rPr>
        <w:t>. Significantly, transmission band representing N-O stretch which normally can be found at wavenumber 3000 cm</w:t>
      </w:r>
      <w:r w:rsidRPr="00A55785">
        <w:rPr>
          <w:rFonts w:ascii="Times New Roman" w:hAnsi="Times New Roman"/>
          <w:sz w:val="20"/>
          <w:szCs w:val="20"/>
          <w:vertAlign w:val="superscript"/>
        </w:rPr>
        <w:t>-1</w:t>
      </w:r>
      <w:r w:rsidRPr="00A55785">
        <w:rPr>
          <w:rFonts w:ascii="Times New Roman" w:hAnsi="Times New Roman"/>
          <w:sz w:val="20"/>
          <w:szCs w:val="20"/>
        </w:rPr>
        <w:t xml:space="preserve"> is absent in Figure 3. This indicates that the entire nitrate group was successfully removed during the thermal decomposition of nitrate-salt to yield pure CeO</w:t>
      </w:r>
      <w:r w:rsidRPr="00A55785">
        <w:rPr>
          <w:rFonts w:ascii="Times New Roman" w:hAnsi="Times New Roman"/>
          <w:sz w:val="20"/>
          <w:szCs w:val="20"/>
          <w:vertAlign w:val="subscript"/>
        </w:rPr>
        <w:t>2</w:t>
      </w:r>
      <w:r w:rsidRPr="00A55785">
        <w:rPr>
          <w:rFonts w:ascii="Times New Roman" w:hAnsi="Times New Roman"/>
          <w:sz w:val="20"/>
          <w:szCs w:val="20"/>
        </w:rPr>
        <w:t>. The transmission band at wave number 550.73 cm</w:t>
      </w:r>
      <w:r w:rsidRPr="00A55785">
        <w:rPr>
          <w:rFonts w:ascii="Times New Roman" w:hAnsi="Times New Roman"/>
          <w:sz w:val="20"/>
          <w:szCs w:val="20"/>
          <w:vertAlign w:val="superscript"/>
        </w:rPr>
        <w:t>-1</w:t>
      </w:r>
      <w:r w:rsidRPr="00A55785">
        <w:rPr>
          <w:rFonts w:ascii="Times New Roman" w:hAnsi="Times New Roman"/>
          <w:sz w:val="20"/>
          <w:szCs w:val="20"/>
        </w:rPr>
        <w:t xml:space="preserve"> represents the Ce-O stretch. In addition, the bands at wavenumber around 900 – 1000 cm</w:t>
      </w:r>
      <w:r w:rsidRPr="00A55785">
        <w:rPr>
          <w:rFonts w:ascii="Times New Roman" w:hAnsi="Times New Roman"/>
          <w:sz w:val="20"/>
          <w:szCs w:val="20"/>
          <w:vertAlign w:val="superscript"/>
        </w:rPr>
        <w:t>-1</w:t>
      </w:r>
      <w:r w:rsidRPr="00A55785">
        <w:rPr>
          <w:rFonts w:ascii="Times New Roman" w:hAnsi="Times New Roman"/>
          <w:sz w:val="20"/>
          <w:szCs w:val="20"/>
        </w:rPr>
        <w:t xml:space="preserve"> represent the O=P=O asymmetric stretching modes of phosphate or polyphosphate species</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"10.1016/S1381-1169(99)00248-4", "ISSN" : "13811169", "abstract" : "The nature of different acid sites on the surface of various niobium-based catalysts has been spectroscopically investigated by means of FT-IR and UV\u2013VIS techniques. Surface acidity has been further characterized by acetonitrile adsorption and subsequent FT-IR analysis. The catalytic activity of the different examined samples has been preliminarily tested in the fructose dehydration to 5-hydroxymethyl-2-furaldehyde, a reaction of relevant industrial interest.", "author" : [ { "dropping-particle" : "", "family" : "Armaroli", "given" : "Tiziana", "non-dropping-particle" : "", "parse-names" : false, "suffix" : "" }, { "dropping-particle" : "", "family" : "Busca", "given" : "Guido", "non-dropping-particle" : "", "parse-names" : false, "suffix" : "" }, { "dropping-particle" : "", "family" : "Carlini", "given" : "Carlo", "non-dropping-particle" : "", "parse-names" : false, "suffix" : "" }, { "dropping-particle" : "", "family" : "Giuttari", "given" : "Mario", "non-dropping-particle" : "", "parse-names" : false, "suffix" : "" }, { "dropping-particle" : "", "family" : "Raspolli Galletti", "given" : "Anna Maria", "non-dropping-particle" : "", "parse-names" : false, "suffix" : "" }, { "dropping-particle" : "", "family" : "Sbrana", "given" : "Glauco", "non-dropping-particle" : "", "parse-names" : false, "suffix" : "" } ], "container-title" : "Journal of Molecular Catalysis A: Chemical", "id" : "ITEM-1", "issue" : "1", "issued" : { "date-parts" : [ [ "2000" ] ] }, "page" : "233-243", "title" : "Acid sites characterization of niobium phosphate catalysts and their activity in fructose dehydration to 5-hydroxymethyl-2-furaldehyde", "type" : "article-journal", "volume" : "151" }, "uris" : [ "http://www.mendeley.com/documents/?uuid=5fd8fd3b-b6e1-3324-b924-2f7dbbbb89ce" ] } ], "mendeley" : { "formattedCitation" : "[20]", "plainTextFormattedCitation" : "[20]", "previouslyFormattedCitation" : "[19]"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[20]</w:t>
      </w:r>
      <w:r w:rsidRPr="00A55785">
        <w:rPr>
          <w:rFonts w:ascii="Times New Roman" w:hAnsi="Times New Roman"/>
          <w:sz w:val="20"/>
          <w:szCs w:val="20"/>
        </w:rPr>
        <w:fldChar w:fldCharType="end"/>
      </w:r>
      <w:r w:rsidRPr="00A55785">
        <w:rPr>
          <w:rFonts w:ascii="Times New Roman" w:hAnsi="Times New Roman"/>
          <w:sz w:val="20"/>
          <w:szCs w:val="20"/>
        </w:rPr>
        <w:t>. As shown in Figure 3, the intense band found around 1000 – 1600 cm</w:t>
      </w:r>
      <w:r w:rsidRPr="00A55785">
        <w:rPr>
          <w:rFonts w:ascii="Times New Roman" w:hAnsi="Times New Roman"/>
          <w:sz w:val="20"/>
          <w:szCs w:val="20"/>
          <w:vertAlign w:val="superscript"/>
        </w:rPr>
        <w:t>-1</w:t>
      </w:r>
      <w:r w:rsidRPr="00A55785">
        <w:rPr>
          <w:rFonts w:ascii="Times New Roman" w:hAnsi="Times New Roman"/>
          <w:sz w:val="20"/>
          <w:szCs w:val="20"/>
        </w:rPr>
        <w:t xml:space="preserve"> increase as the loading of phosphorus increase. This is due to the introduction of phosphorus onto the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whereby the O=P=O asymmetric increases. The same results observed in previous study </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"10.1590/S0103-50532009000500022", "ISSN" : "0103-5053", "author" : [ { "dropping-particle" : "", "family" : "Brand\u00e3o", "given" : "Rodrigo F.", "non-dropping-particle" : "", "parse-names" : false, "suffix" : "" }, { "dropping-particle" : "", "family" : "Quirino", "given" : "Rafael L.", "non-dropping-particle" : "", "parse-names" : false, "suffix" : "" }, { "dropping-particle" : "", "family" : "Mello", "given" : "Vinicius M.", "non-dropping-particle" : "", "parse-names" : false, "suffix" : "" }, { "dropping-particle" : "", "family" : "Tavares", "given" : "Andr\u00e9 P.", "non-dropping-particle" : "", "parse-names" : false, "suffix" : "" }, { "dropping-particle" : "", "family" : "Peres", "given" : "Ant\u00f4nio C.", "non-dropping-particle" : "", "parse-names" : false, "suffix" : "" }, { "dropping-particle" : "", "family" : "Guinhos", "given" : "Fl\u00e1via", "non-dropping-particle" : "", "parse-names" : false, "suffix" : "" }, { "dropping-particle" : "", "family" : "Rubim", "given" : "Joel C.", "non-dropping-particle" : "", "parse-names" : false, "suffix" : "" }, { "dropping-particle" : "", "family" : "Suarez", "given" : "Paulo A. Z.", "non-dropping-particle" : "", "parse-names" : false, "suffix" : "" } ], "container-title" : "Journal of the Brazilian Chemical Society", "id" : "ITEM-1", "issue" : "5", "issued" : { "date-parts" : [ [ "2009" ] ] }, "page" : "954-966", "publisher" : "Brazilian Chemical Society", "title" : "Synthesis, characterization and use of Nb2O5 based catalysts in producing biofuels by transesterification, esterification and pyrolysis", "type" : "article-journal", "volume" : "20" }, "uris" : [ "http://www.mendeley.com/documents/?uuid=78be5f46-2118-44bc-bc0f-5b8c834683b5" ] } ], "mendeley" : { "formattedCitation" : "[21]", "plainTextFormattedCitation" : "[21]", "previouslyFormattedCitation" : "[20]"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[21]</w:t>
      </w:r>
      <w:r w:rsidRPr="00A55785">
        <w:rPr>
          <w:rFonts w:ascii="Times New Roman" w:hAnsi="Times New Roman"/>
          <w:sz w:val="20"/>
          <w:szCs w:val="20"/>
        </w:rPr>
        <w:fldChar w:fldCharType="end"/>
      </w:r>
      <w:r w:rsidRPr="00A55785">
        <w:rPr>
          <w:rFonts w:ascii="Times New Roman" w:hAnsi="Times New Roman"/>
          <w:sz w:val="20"/>
          <w:szCs w:val="20"/>
        </w:rPr>
        <w:t>. This proves that introduction of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has been successfully carried out.</w:t>
      </w:r>
    </w:p>
    <w:p w:rsidR="00A55785" w:rsidRDefault="00A55785" w:rsidP="00A55785">
      <w:pPr>
        <w:spacing w:after="0" w:line="240" w:lineRule="auto"/>
        <w:jc w:val="both"/>
        <w:rPr>
          <w:rFonts w:ascii="Times New Roman" w:hAnsi="Times New Roman"/>
          <w:sz w:val="20"/>
          <w:szCs w:val="20"/>
          <w:lang w:val="en-GB"/>
        </w:rPr>
      </w:pPr>
    </w:p>
    <w:p w:rsidR="00A55785" w:rsidRPr="00A55785" w:rsidRDefault="00A55785" w:rsidP="00A55785">
      <w:pPr>
        <w:spacing w:after="0" w:line="240" w:lineRule="auto"/>
        <w:jc w:val="both"/>
        <w:rPr>
          <w:rFonts w:ascii="Times New Roman" w:hAnsi="Times New Roman"/>
          <w:sz w:val="20"/>
          <w:szCs w:val="20"/>
          <w:lang w:val="en-GB"/>
        </w:rPr>
      </w:pPr>
    </w:p>
    <w:p w:rsidR="00A55785" w:rsidRPr="00A55785" w:rsidRDefault="00A55785" w:rsidP="00A55785">
      <w:pPr>
        <w:spacing w:after="120" w:line="240" w:lineRule="auto"/>
        <w:jc w:val="center"/>
        <w:rPr>
          <w:rFonts w:ascii="Times New Roman" w:hAnsi="Times New Roman"/>
          <w:sz w:val="20"/>
          <w:szCs w:val="20"/>
          <w:lang w:val="en-GB"/>
        </w:rPr>
      </w:pPr>
      <w:r w:rsidRPr="00A55785">
        <w:rPr>
          <w:rFonts w:ascii="Times New Roman" w:hAnsi="Times New Roman"/>
          <w:noProof/>
          <w:sz w:val="20"/>
          <w:szCs w:val="20"/>
          <w:lang w:bidi="ar-SA"/>
        </w:rPr>
        <w:lastRenderedPageBreak/>
        <w:drawing>
          <wp:inline distT="0" distB="0" distL="0" distR="0" wp14:anchorId="7E5C7209" wp14:editId="3B8FAFFE">
            <wp:extent cx="2452911" cy="2160000"/>
            <wp:effectExtent l="0" t="0" r="508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2911" cy="2160000"/>
                    </a:xfrm>
                    <a:prstGeom prst="rect">
                      <a:avLst/>
                    </a:prstGeom>
                    <a:noFill/>
                    <a:ln>
                      <a:noFill/>
                    </a:ln>
                  </pic:spPr>
                </pic:pic>
              </a:graphicData>
            </a:graphic>
          </wp:inline>
        </w:drawing>
      </w:r>
      <w:r>
        <w:rPr>
          <w:rFonts w:ascii="Times New Roman" w:hAnsi="Times New Roman"/>
          <w:sz w:val="20"/>
          <w:szCs w:val="20"/>
          <w:lang w:val="en-GB"/>
        </w:rPr>
        <w:t xml:space="preserve">  </w:t>
      </w:r>
      <w:r w:rsidRPr="00A55785">
        <w:rPr>
          <w:rFonts w:ascii="Times New Roman" w:hAnsi="Times New Roman"/>
          <w:noProof/>
          <w:sz w:val="20"/>
          <w:szCs w:val="20"/>
          <w:lang w:bidi="ar-SA"/>
        </w:rPr>
        <w:drawing>
          <wp:inline distT="0" distB="0" distL="0" distR="0" wp14:anchorId="125F6C55" wp14:editId="71CBB02C">
            <wp:extent cx="2450888" cy="2154610"/>
            <wp:effectExtent l="0" t="0" r="6985"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2446" cy="2155980"/>
                    </a:xfrm>
                    <a:prstGeom prst="rect">
                      <a:avLst/>
                    </a:prstGeom>
                    <a:noFill/>
                    <a:ln>
                      <a:noFill/>
                    </a:ln>
                  </pic:spPr>
                </pic:pic>
              </a:graphicData>
            </a:graphic>
          </wp:inline>
        </w:drawing>
      </w:r>
    </w:p>
    <w:p w:rsidR="00A55785" w:rsidRPr="00A55785" w:rsidRDefault="00A55785" w:rsidP="00A55785">
      <w:pPr>
        <w:spacing w:after="120" w:line="240" w:lineRule="auto"/>
        <w:jc w:val="center"/>
        <w:rPr>
          <w:rFonts w:ascii="Times New Roman" w:hAnsi="Times New Roman"/>
          <w:sz w:val="20"/>
          <w:szCs w:val="20"/>
          <w:lang w:val="en-GB"/>
        </w:rPr>
      </w:pPr>
      <w:r w:rsidRPr="00A55785">
        <w:rPr>
          <w:rFonts w:ascii="Times New Roman" w:hAnsi="Times New Roman"/>
          <w:noProof/>
          <w:sz w:val="20"/>
          <w:szCs w:val="20"/>
          <w:lang w:bidi="ar-SA"/>
        </w:rPr>
        <w:drawing>
          <wp:inline distT="0" distB="0" distL="0" distR="0" wp14:anchorId="2E328A23" wp14:editId="63EA27D2">
            <wp:extent cx="2389409" cy="2087880"/>
            <wp:effectExtent l="0" t="0" r="0" b="7620"/>
            <wp:docPr id="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4351" cy="2092198"/>
                    </a:xfrm>
                    <a:prstGeom prst="rect">
                      <a:avLst/>
                    </a:prstGeom>
                    <a:noFill/>
                    <a:ln>
                      <a:noFill/>
                    </a:ln>
                  </pic:spPr>
                </pic:pic>
              </a:graphicData>
            </a:graphic>
          </wp:inline>
        </w:drawing>
      </w:r>
      <w:r>
        <w:rPr>
          <w:rFonts w:ascii="Times New Roman" w:hAnsi="Times New Roman"/>
          <w:sz w:val="20"/>
          <w:szCs w:val="20"/>
          <w:lang w:val="en-GB"/>
        </w:rPr>
        <w:t xml:space="preserve">   </w:t>
      </w:r>
      <w:r w:rsidRPr="00A55785">
        <w:rPr>
          <w:rFonts w:ascii="Times New Roman" w:hAnsi="Times New Roman"/>
          <w:noProof/>
          <w:sz w:val="20"/>
          <w:szCs w:val="20"/>
          <w:lang w:bidi="ar-SA"/>
        </w:rPr>
        <w:drawing>
          <wp:inline distT="0" distB="0" distL="0" distR="0" wp14:anchorId="29068B97" wp14:editId="7B25F3B2">
            <wp:extent cx="2520315" cy="2067366"/>
            <wp:effectExtent l="0" t="0" r="0" b="9525"/>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2626" cy="2069261"/>
                    </a:xfrm>
                    <a:prstGeom prst="rect">
                      <a:avLst/>
                    </a:prstGeom>
                    <a:noFill/>
                    <a:ln>
                      <a:noFill/>
                    </a:ln>
                  </pic:spPr>
                </pic:pic>
              </a:graphicData>
            </a:graphic>
          </wp:inline>
        </w:drawing>
      </w:r>
    </w:p>
    <w:p w:rsidR="00A55785" w:rsidRPr="00A55785" w:rsidRDefault="00A55785" w:rsidP="00A55785">
      <w:pPr>
        <w:spacing w:after="0" w:line="240" w:lineRule="auto"/>
        <w:jc w:val="center"/>
        <w:outlineLvl w:val="0"/>
        <w:rPr>
          <w:rFonts w:ascii="Times New Roman" w:hAnsi="Times New Roman"/>
          <w:bCs/>
          <w:sz w:val="20"/>
          <w:szCs w:val="20"/>
        </w:rPr>
      </w:pPr>
      <w:r w:rsidRPr="00A55785">
        <w:rPr>
          <w:rFonts w:ascii="Times New Roman" w:hAnsi="Times New Roman"/>
          <w:sz w:val="20"/>
          <w:szCs w:val="20"/>
        </w:rPr>
        <w:t xml:space="preserve">Figure 2. </w:t>
      </w:r>
      <w:r>
        <w:rPr>
          <w:rFonts w:ascii="Times New Roman" w:hAnsi="Times New Roman"/>
          <w:sz w:val="20"/>
          <w:szCs w:val="20"/>
        </w:rPr>
        <w:t xml:space="preserve"> </w:t>
      </w:r>
      <w:r w:rsidRPr="00A55785">
        <w:rPr>
          <w:rFonts w:ascii="Times New Roman" w:hAnsi="Times New Roman"/>
          <w:bCs/>
          <w:sz w:val="20"/>
          <w:szCs w:val="20"/>
          <w:lang w:val="en-GB"/>
        </w:rPr>
        <w:t xml:space="preserve">SEM images of </w:t>
      </w:r>
      <w:r w:rsidRPr="00A55785">
        <w:rPr>
          <w:rFonts w:ascii="Times New Roman" w:hAnsi="Times New Roman"/>
          <w:bCs/>
          <w:sz w:val="20"/>
          <w:szCs w:val="20"/>
        </w:rPr>
        <w:t>CeO</w:t>
      </w:r>
      <w:r w:rsidRPr="00A55785">
        <w:rPr>
          <w:rFonts w:ascii="Times New Roman" w:hAnsi="Times New Roman"/>
          <w:bCs/>
          <w:sz w:val="20"/>
          <w:szCs w:val="20"/>
          <w:vertAlign w:val="subscript"/>
        </w:rPr>
        <w:t xml:space="preserve">2 </w:t>
      </w:r>
      <w:r w:rsidRPr="00A55785">
        <w:rPr>
          <w:rFonts w:ascii="Times New Roman" w:hAnsi="Times New Roman"/>
          <w:bCs/>
          <w:sz w:val="20"/>
          <w:szCs w:val="20"/>
        </w:rPr>
        <w:t>and H</w:t>
      </w:r>
      <w:r w:rsidRPr="00A55785">
        <w:rPr>
          <w:rFonts w:ascii="Times New Roman" w:hAnsi="Times New Roman"/>
          <w:bCs/>
          <w:sz w:val="20"/>
          <w:szCs w:val="20"/>
          <w:vertAlign w:val="subscript"/>
        </w:rPr>
        <w:t>3</w:t>
      </w:r>
      <w:r w:rsidRPr="00A55785">
        <w:rPr>
          <w:rFonts w:ascii="Times New Roman" w:hAnsi="Times New Roman"/>
          <w:bCs/>
          <w:sz w:val="20"/>
          <w:szCs w:val="20"/>
        </w:rPr>
        <w:t>PO</w:t>
      </w:r>
      <w:r w:rsidRPr="00A55785">
        <w:rPr>
          <w:rFonts w:ascii="Times New Roman" w:hAnsi="Times New Roman"/>
          <w:bCs/>
          <w:sz w:val="20"/>
          <w:szCs w:val="20"/>
          <w:vertAlign w:val="subscript"/>
        </w:rPr>
        <w:t>4</w:t>
      </w:r>
      <w:r w:rsidRPr="00A55785">
        <w:rPr>
          <w:rFonts w:ascii="Times New Roman" w:hAnsi="Times New Roman"/>
          <w:bCs/>
          <w:sz w:val="20"/>
          <w:szCs w:val="20"/>
        </w:rPr>
        <w:t>-modified CeO</w:t>
      </w:r>
      <w:r w:rsidRPr="00A55785">
        <w:rPr>
          <w:rFonts w:ascii="Times New Roman" w:hAnsi="Times New Roman"/>
          <w:bCs/>
          <w:sz w:val="20"/>
          <w:szCs w:val="20"/>
          <w:vertAlign w:val="subscript"/>
        </w:rPr>
        <w:t>2</w:t>
      </w:r>
      <w:r w:rsidRPr="00A55785">
        <w:rPr>
          <w:rFonts w:ascii="Times New Roman" w:hAnsi="Times New Roman"/>
          <w:bCs/>
          <w:sz w:val="20"/>
          <w:szCs w:val="20"/>
        </w:rPr>
        <w:t xml:space="preserve"> catalysts</w:t>
      </w:r>
    </w:p>
    <w:p w:rsidR="00A55785" w:rsidRDefault="00A55785" w:rsidP="00A55785">
      <w:pPr>
        <w:spacing w:after="0" w:line="240" w:lineRule="auto"/>
        <w:jc w:val="both"/>
        <w:outlineLvl w:val="0"/>
        <w:rPr>
          <w:rFonts w:ascii="Times New Roman" w:hAnsi="Times New Roman"/>
          <w:bCs/>
          <w:sz w:val="20"/>
          <w:szCs w:val="20"/>
          <w:lang w:val="en-GB"/>
        </w:rPr>
      </w:pPr>
    </w:p>
    <w:p w:rsidR="00A55785" w:rsidRPr="00A55785" w:rsidRDefault="00A55785" w:rsidP="00A55785">
      <w:pPr>
        <w:spacing w:after="0" w:line="240" w:lineRule="auto"/>
        <w:jc w:val="both"/>
        <w:outlineLvl w:val="0"/>
        <w:rPr>
          <w:rFonts w:ascii="Times New Roman" w:hAnsi="Times New Roman"/>
          <w:bCs/>
          <w:sz w:val="20"/>
          <w:szCs w:val="20"/>
          <w:lang w:val="en-GB"/>
        </w:rPr>
      </w:pPr>
    </w:p>
    <w:p w:rsidR="00A55785" w:rsidRPr="00A55785" w:rsidRDefault="00A55785" w:rsidP="00A55785">
      <w:pPr>
        <w:spacing w:after="120" w:line="240" w:lineRule="auto"/>
        <w:jc w:val="center"/>
        <w:outlineLvl w:val="0"/>
        <w:rPr>
          <w:rFonts w:ascii="Times New Roman" w:hAnsi="Times New Roman"/>
          <w:sz w:val="20"/>
          <w:szCs w:val="20"/>
        </w:rPr>
      </w:pPr>
      <w:r w:rsidRPr="00A55785">
        <w:rPr>
          <w:rFonts w:ascii="Times New Roman" w:hAnsi="Times New Roman"/>
          <w:bCs/>
          <w:noProof/>
          <w:sz w:val="20"/>
          <w:szCs w:val="20"/>
          <w:lang w:bidi="ar-SA"/>
        </w:rPr>
        <w:drawing>
          <wp:inline distT="0" distB="0" distL="0" distR="0" wp14:anchorId="7A02FDAE" wp14:editId="5FCAEC61">
            <wp:extent cx="3098034" cy="2160000"/>
            <wp:effectExtent l="19050" t="19050" r="26670" b="1206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l="27351" r="29094"/>
                    <a:stretch>
                      <a:fillRect/>
                    </a:stretch>
                  </pic:blipFill>
                  <pic:spPr bwMode="auto">
                    <a:xfrm>
                      <a:off x="0" y="0"/>
                      <a:ext cx="3098034" cy="2160000"/>
                    </a:xfrm>
                    <a:prstGeom prst="rect">
                      <a:avLst/>
                    </a:prstGeom>
                    <a:noFill/>
                    <a:ln>
                      <a:solidFill>
                        <a:schemeClr val="tx1"/>
                      </a:solidFill>
                    </a:ln>
                  </pic:spPr>
                </pic:pic>
              </a:graphicData>
            </a:graphic>
          </wp:inline>
        </w:drawing>
      </w:r>
    </w:p>
    <w:p w:rsidR="00A55785" w:rsidRPr="00A55785" w:rsidRDefault="00A55785" w:rsidP="00A55785">
      <w:pPr>
        <w:spacing w:after="0" w:line="240" w:lineRule="auto"/>
        <w:jc w:val="center"/>
        <w:outlineLvl w:val="0"/>
        <w:rPr>
          <w:rFonts w:ascii="Times New Roman" w:hAnsi="Times New Roman"/>
          <w:sz w:val="20"/>
          <w:szCs w:val="20"/>
        </w:rPr>
      </w:pPr>
      <w:r w:rsidRPr="00A55785">
        <w:rPr>
          <w:rFonts w:ascii="Times New Roman" w:hAnsi="Times New Roman"/>
          <w:sz w:val="20"/>
          <w:szCs w:val="20"/>
        </w:rPr>
        <w:t xml:space="preserve">Figure 3. </w:t>
      </w:r>
      <w:r>
        <w:rPr>
          <w:rFonts w:ascii="Times New Roman" w:hAnsi="Times New Roman"/>
          <w:sz w:val="20"/>
          <w:szCs w:val="20"/>
        </w:rPr>
        <w:t xml:space="preserve"> </w:t>
      </w:r>
      <w:r w:rsidRPr="00A55785">
        <w:rPr>
          <w:rFonts w:ascii="Times New Roman" w:hAnsi="Times New Roman"/>
          <w:sz w:val="20"/>
          <w:szCs w:val="20"/>
        </w:rPr>
        <w:t>FTIR results of CeO</w:t>
      </w:r>
      <w:r w:rsidRPr="00A55785">
        <w:rPr>
          <w:rFonts w:ascii="Times New Roman" w:hAnsi="Times New Roman"/>
          <w:sz w:val="20"/>
          <w:szCs w:val="20"/>
          <w:vertAlign w:val="subscript"/>
        </w:rPr>
        <w:t xml:space="preserve">2 </w:t>
      </w:r>
      <w:r w:rsidRPr="00A55785">
        <w:rPr>
          <w:rFonts w:ascii="Times New Roman" w:hAnsi="Times New Roman"/>
          <w:sz w:val="20"/>
          <w:szCs w:val="20"/>
        </w:rPr>
        <w:t>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w:t>
      </w:r>
    </w:p>
    <w:p w:rsidR="00A55785" w:rsidRPr="00A55785" w:rsidRDefault="00A55785" w:rsidP="00A55785">
      <w:pPr>
        <w:spacing w:after="120" w:line="240" w:lineRule="auto"/>
        <w:jc w:val="both"/>
        <w:outlineLvl w:val="0"/>
        <w:rPr>
          <w:rFonts w:ascii="Times New Roman" w:hAnsi="Times New Roman"/>
          <w:sz w:val="20"/>
          <w:szCs w:val="20"/>
        </w:rPr>
      </w:pPr>
    </w:p>
    <w:p w:rsidR="00A55785" w:rsidRDefault="00A55785" w:rsidP="00A55785">
      <w:pPr>
        <w:spacing w:after="0" w:line="240" w:lineRule="auto"/>
        <w:jc w:val="both"/>
        <w:rPr>
          <w:rFonts w:ascii="Times New Roman" w:hAnsi="Times New Roman"/>
          <w:sz w:val="20"/>
          <w:szCs w:val="20"/>
        </w:rPr>
      </w:pPr>
      <w:r w:rsidRPr="00A55785">
        <w:rPr>
          <w:rFonts w:ascii="Times New Roman" w:hAnsi="Times New Roman"/>
          <w:bCs/>
          <w:sz w:val="20"/>
          <w:szCs w:val="20"/>
          <w:lang w:val="en-GB"/>
        </w:rPr>
        <w:t xml:space="preserve">Table 1 provides the </w:t>
      </w:r>
      <w:r w:rsidRPr="00A55785">
        <w:rPr>
          <w:rFonts w:ascii="Times New Roman" w:hAnsi="Times New Roman"/>
          <w:sz w:val="20"/>
          <w:szCs w:val="20"/>
        </w:rPr>
        <w:t>BET specific surface area, mesopore volume and pore diameter of pure CeO</w:t>
      </w:r>
      <w:r w:rsidRPr="00A55785">
        <w:rPr>
          <w:rFonts w:ascii="Times New Roman" w:hAnsi="Times New Roman"/>
          <w:sz w:val="20"/>
          <w:szCs w:val="20"/>
          <w:vertAlign w:val="subscript"/>
        </w:rPr>
        <w:t xml:space="preserve">2 </w:t>
      </w:r>
      <w:r w:rsidRPr="00A55785">
        <w:rPr>
          <w:rFonts w:ascii="Times New Roman" w:hAnsi="Times New Roman"/>
          <w:sz w:val="20"/>
          <w:szCs w:val="20"/>
        </w:rPr>
        <w:t>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that were obtained from N</w:t>
      </w:r>
      <w:r w:rsidRPr="00A55785">
        <w:rPr>
          <w:rFonts w:ascii="Times New Roman" w:hAnsi="Times New Roman"/>
          <w:sz w:val="20"/>
          <w:szCs w:val="20"/>
          <w:vertAlign w:val="subscript"/>
        </w:rPr>
        <w:t xml:space="preserve">2 </w:t>
      </w:r>
      <w:r w:rsidRPr="00A55785">
        <w:rPr>
          <w:rFonts w:ascii="Times New Roman" w:hAnsi="Times New Roman"/>
          <w:sz w:val="20"/>
          <w:szCs w:val="20"/>
        </w:rPr>
        <w:t xml:space="preserve">physisorption. Both the BET specific surface area and </w:t>
      </w:r>
      <w:r w:rsidRPr="00A55785">
        <w:rPr>
          <w:rFonts w:ascii="Times New Roman" w:hAnsi="Times New Roman"/>
          <w:sz w:val="20"/>
          <w:szCs w:val="20"/>
        </w:rPr>
        <w:lastRenderedPageBreak/>
        <w:t>mesopore volume decreased with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loading, to the tune of nearly 90% reduction for the 30 wt.%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loading. The reduction of pore dimension or pore blockage of the CeO</w:t>
      </w:r>
      <w:r w:rsidRPr="00A55785">
        <w:rPr>
          <w:rFonts w:ascii="Times New Roman" w:hAnsi="Times New Roman"/>
          <w:sz w:val="20"/>
          <w:szCs w:val="20"/>
          <w:vertAlign w:val="subscript"/>
        </w:rPr>
        <w:t>2</w:t>
      </w:r>
      <w:r w:rsidRPr="00A55785">
        <w:rPr>
          <w:rFonts w:ascii="Times New Roman" w:hAnsi="Times New Roman"/>
          <w:sz w:val="20"/>
          <w:szCs w:val="20"/>
        </w:rPr>
        <w:t xml:space="preserve"> by the introducing of phosphoric acid in the treatment </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"10.1016/j.catcom.2008.10.034", "ISSN" : "15667367", "abstract" : "H3PO4/H-ZSM-5 catalysts were prepared by impregnation method with varying H3PO4 loadings from 5 to 20wt%. The H3PO4 modified catalysts were found to be highly active and selective towards ethylene during ethanol dehydration at 673K. However, the selectivity was found to strongly depend on the content of H3PO4, reaction temperature and WHSV. The catalysts were characterized using X-ray diffraction, NH3-TPD, N2 physisorption, 27Al, and 31P MAS NMR techniques.", "author" : [ { "dropping-particle" : "", "family" : "Ramesh", "given" : "Kanaparthi", "non-dropping-particle" : "", "parse-names" : false, "suffix" : "" }, { "dropping-particle" : "", "family" : "Hui", "given" : "Lau Mei", "non-dropping-particle" : "", "parse-names" : false, "suffix" : "" }, { "dropping-particle" : "", "family" : "Han", "given" : "Yi Fan", "non-dropping-particle" : "", "parse-names" : false, "suffix" : "" }, { "dropping-particle" : "", "family" : "Borgna", "given" : "Armando", "non-dropping-particle" : "", "parse-names" : false, "suffix" : "" } ], "container-title" : "Catalysis Communications", "id" : "ITEM-1", "issue" : "5", "issued" : { "date-parts" : [ [ "2009", "1", "25" ] ] }, "page" : "567-571", "title" : "Structure and reactivity of phosphorous modified H-ZSM-5 catalysts for ethanol dehydration", "type" : "article-journal", "volume" : "10" }, "uris" : [ "http://www.mendeley.com/documents/?uuid=1d5a074c-1170-4c6a-af16-9396a0474c55" ] } ], "mendeley" : { "formattedCitation" : "[22]", "plainTextFormattedCitation" : "[22]", "previouslyFormattedCitation" : "[21]"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[22]</w:t>
      </w:r>
      <w:r w:rsidRPr="00A55785">
        <w:rPr>
          <w:rFonts w:ascii="Times New Roman" w:hAnsi="Times New Roman"/>
          <w:sz w:val="20"/>
          <w:szCs w:val="20"/>
        </w:rPr>
        <w:fldChar w:fldCharType="end"/>
      </w:r>
      <w:r w:rsidRPr="00A55785">
        <w:rPr>
          <w:rFonts w:ascii="Times New Roman" w:hAnsi="Times New Roman"/>
          <w:sz w:val="20"/>
          <w:szCs w:val="20"/>
        </w:rPr>
        <w:t>. In contrast, the pore diameter recorded an increment, from 14.0 nm improved to 18.8 nm when the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weight was increased. This could be due to the creation of wider pore mouth on the surface of CeO</w:t>
      </w:r>
      <w:r w:rsidRPr="00A55785">
        <w:rPr>
          <w:rFonts w:ascii="Times New Roman" w:hAnsi="Times New Roman"/>
          <w:sz w:val="20"/>
          <w:szCs w:val="20"/>
          <w:vertAlign w:val="subscript"/>
        </w:rPr>
        <w:t>2</w:t>
      </w:r>
      <w:r w:rsidRPr="00A55785">
        <w:rPr>
          <w:rFonts w:ascii="Times New Roman" w:hAnsi="Times New Roman"/>
          <w:sz w:val="20"/>
          <w:szCs w:val="20"/>
        </w:rPr>
        <w:t xml:space="preserve"> resulting from the acid attack that occurred at the employed calcination temperature.</w:t>
      </w:r>
    </w:p>
    <w:p w:rsidR="00A55785" w:rsidRPr="00A55785" w:rsidRDefault="00A55785" w:rsidP="00A55785">
      <w:pPr>
        <w:spacing w:after="120" w:line="240" w:lineRule="auto"/>
        <w:jc w:val="both"/>
        <w:rPr>
          <w:rFonts w:ascii="Times New Roman" w:hAnsi="Times New Roman"/>
          <w:sz w:val="20"/>
          <w:szCs w:val="20"/>
        </w:rPr>
      </w:pPr>
    </w:p>
    <w:p w:rsidR="00A55785" w:rsidRPr="00A55785" w:rsidRDefault="00A55785" w:rsidP="00A55785">
      <w:pPr>
        <w:spacing w:after="120" w:line="240" w:lineRule="auto"/>
        <w:jc w:val="center"/>
        <w:outlineLvl w:val="0"/>
        <w:rPr>
          <w:rFonts w:ascii="Times New Roman" w:hAnsi="Times New Roman"/>
          <w:sz w:val="20"/>
          <w:szCs w:val="20"/>
        </w:rPr>
      </w:pPr>
      <w:r w:rsidRPr="00A55785">
        <w:rPr>
          <w:rFonts w:ascii="Times New Roman" w:hAnsi="Times New Roman"/>
          <w:sz w:val="20"/>
          <w:szCs w:val="20"/>
        </w:rPr>
        <w:t xml:space="preserve">Table 1. </w:t>
      </w:r>
      <w:r>
        <w:rPr>
          <w:rFonts w:ascii="Times New Roman" w:hAnsi="Times New Roman"/>
          <w:sz w:val="20"/>
          <w:szCs w:val="20"/>
        </w:rPr>
        <w:t xml:space="preserve"> </w:t>
      </w:r>
      <w:r w:rsidRPr="00A55785">
        <w:rPr>
          <w:rFonts w:ascii="Times New Roman" w:hAnsi="Times New Roman"/>
          <w:sz w:val="20"/>
          <w:szCs w:val="20"/>
        </w:rPr>
        <w:t>Textural properties of the CeO</w:t>
      </w:r>
      <w:r w:rsidRPr="00A55785">
        <w:rPr>
          <w:rFonts w:ascii="Times New Roman" w:hAnsi="Times New Roman"/>
          <w:sz w:val="20"/>
          <w:szCs w:val="20"/>
          <w:vertAlign w:val="subscript"/>
        </w:rPr>
        <w:t>2</w:t>
      </w:r>
      <w:r w:rsidRPr="00A55785">
        <w:rPr>
          <w:rFonts w:ascii="Times New Roman" w:hAnsi="Times New Roman"/>
          <w:sz w:val="20"/>
          <w:szCs w:val="20"/>
        </w:rPr>
        <w:t xml:space="preserve"> 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466"/>
        <w:gridCol w:w="2511"/>
        <w:gridCol w:w="1333"/>
        <w:gridCol w:w="1466"/>
      </w:tblGrid>
      <w:tr w:rsidR="00A55785" w:rsidRPr="00A55785" w:rsidTr="008479E9">
        <w:trPr>
          <w:trHeight w:val="283"/>
          <w:jc w:val="center"/>
        </w:trPr>
        <w:tc>
          <w:tcPr>
            <w:tcW w:w="0" w:type="auto"/>
            <w:tcBorders>
              <w:top w:val="single" w:sz="4" w:space="0" w:color="auto"/>
              <w:left w:val="nil"/>
              <w:bottom w:val="single" w:sz="4" w:space="0" w:color="auto"/>
              <w:right w:val="nil"/>
            </w:tcBorders>
            <w:shd w:val="clear" w:color="auto" w:fill="auto"/>
          </w:tcPr>
          <w:p w:rsidR="00A55785" w:rsidRPr="00A55785" w:rsidRDefault="00A55785" w:rsidP="00A55785">
            <w:pPr>
              <w:spacing w:before="60" w:after="0" w:line="240" w:lineRule="auto"/>
              <w:rPr>
                <w:rFonts w:ascii="Times New Roman" w:hAnsi="Times New Roman"/>
                <w:b/>
                <w:bCs/>
                <w:sz w:val="20"/>
                <w:szCs w:val="20"/>
              </w:rPr>
            </w:pPr>
            <w:r w:rsidRPr="00A55785">
              <w:rPr>
                <w:rFonts w:ascii="Times New Roman" w:hAnsi="Times New Roman"/>
                <w:b/>
                <w:bCs/>
                <w:sz w:val="20"/>
                <w:szCs w:val="20"/>
              </w:rPr>
              <w:t>Fresh Catalyst</w:t>
            </w:r>
          </w:p>
        </w:tc>
        <w:tc>
          <w:tcPr>
            <w:tcW w:w="0" w:type="auto"/>
            <w:tcBorders>
              <w:top w:val="single" w:sz="4" w:space="0" w:color="auto"/>
              <w:left w:val="nil"/>
              <w:bottom w:val="single" w:sz="4" w:space="0" w:color="auto"/>
              <w:right w:val="nil"/>
            </w:tcBorders>
            <w:shd w:val="clear" w:color="auto" w:fill="auto"/>
          </w:tcPr>
          <w:p w:rsidR="00A55785" w:rsidRPr="00A55785" w:rsidRDefault="00A55785" w:rsidP="00A55785">
            <w:pPr>
              <w:spacing w:before="60" w:after="0" w:line="240" w:lineRule="auto"/>
              <w:jc w:val="center"/>
              <w:rPr>
                <w:rFonts w:ascii="Times New Roman" w:hAnsi="Times New Roman"/>
                <w:b/>
                <w:bCs/>
                <w:sz w:val="20"/>
                <w:szCs w:val="20"/>
              </w:rPr>
            </w:pPr>
            <w:r w:rsidRPr="00A55785">
              <w:rPr>
                <w:rFonts w:ascii="Times New Roman" w:hAnsi="Times New Roman"/>
                <w:b/>
                <w:bCs/>
                <w:sz w:val="20"/>
                <w:szCs w:val="20"/>
              </w:rPr>
              <w:t>BET Specific Surface Area</w:t>
            </w:r>
          </w:p>
          <w:p w:rsidR="00A55785" w:rsidRPr="00A55785" w:rsidRDefault="00A55785" w:rsidP="00A55785">
            <w:pPr>
              <w:spacing w:after="60" w:line="240" w:lineRule="auto"/>
              <w:jc w:val="center"/>
              <w:rPr>
                <w:rFonts w:ascii="Times New Roman" w:hAnsi="Times New Roman"/>
                <w:b/>
                <w:bCs/>
                <w:sz w:val="20"/>
                <w:szCs w:val="20"/>
              </w:rPr>
            </w:pPr>
            <w:r w:rsidRPr="00A55785">
              <w:rPr>
                <w:rFonts w:ascii="Times New Roman" w:hAnsi="Times New Roman"/>
                <w:b/>
                <w:bCs/>
                <w:sz w:val="20"/>
                <w:szCs w:val="20"/>
              </w:rPr>
              <w:t>(m</w:t>
            </w:r>
            <w:r w:rsidRPr="00A55785">
              <w:rPr>
                <w:rFonts w:ascii="Times New Roman" w:hAnsi="Times New Roman"/>
                <w:b/>
                <w:bCs/>
                <w:sz w:val="20"/>
                <w:szCs w:val="20"/>
                <w:vertAlign w:val="superscript"/>
              </w:rPr>
              <w:t>2</w:t>
            </w:r>
            <w:r w:rsidRPr="00A55785">
              <w:rPr>
                <w:rFonts w:ascii="Times New Roman" w:hAnsi="Times New Roman"/>
                <w:b/>
                <w:bCs/>
                <w:sz w:val="20"/>
                <w:szCs w:val="20"/>
              </w:rPr>
              <w:t xml:space="preserve"> g</w:t>
            </w:r>
            <w:r w:rsidRPr="00A55785">
              <w:rPr>
                <w:rFonts w:ascii="Times New Roman" w:hAnsi="Times New Roman"/>
                <w:b/>
                <w:bCs/>
                <w:sz w:val="20"/>
                <w:szCs w:val="20"/>
                <w:vertAlign w:val="superscript"/>
              </w:rPr>
              <w:t>-1</w:t>
            </w:r>
            <w:r w:rsidRPr="00A55785">
              <w:rPr>
                <w:rFonts w:ascii="Times New Roman" w:hAnsi="Times New Roman"/>
                <w:b/>
                <w:bCs/>
                <w:sz w:val="20"/>
                <w:szCs w:val="20"/>
              </w:rPr>
              <w:t>)</w:t>
            </w:r>
          </w:p>
        </w:tc>
        <w:tc>
          <w:tcPr>
            <w:tcW w:w="0" w:type="auto"/>
            <w:tcBorders>
              <w:top w:val="single" w:sz="4" w:space="0" w:color="auto"/>
              <w:left w:val="nil"/>
              <w:bottom w:val="single" w:sz="4" w:space="0" w:color="auto"/>
              <w:right w:val="nil"/>
            </w:tcBorders>
            <w:shd w:val="clear" w:color="auto" w:fill="auto"/>
          </w:tcPr>
          <w:p w:rsidR="00A55785" w:rsidRPr="00A55785" w:rsidRDefault="00A55785" w:rsidP="00A55785">
            <w:pPr>
              <w:spacing w:before="60" w:after="0" w:line="240" w:lineRule="auto"/>
              <w:jc w:val="center"/>
              <w:rPr>
                <w:rFonts w:ascii="Times New Roman" w:hAnsi="Times New Roman"/>
                <w:b/>
                <w:bCs/>
                <w:sz w:val="20"/>
                <w:szCs w:val="20"/>
              </w:rPr>
            </w:pPr>
            <w:r w:rsidRPr="00A55785">
              <w:rPr>
                <w:rFonts w:ascii="Times New Roman" w:hAnsi="Times New Roman"/>
                <w:b/>
                <w:bCs/>
                <w:sz w:val="20"/>
                <w:szCs w:val="20"/>
              </w:rPr>
              <w:t>Pore Volume</w:t>
            </w:r>
          </w:p>
          <w:p w:rsidR="00A55785" w:rsidRPr="00A55785" w:rsidRDefault="00A55785" w:rsidP="00A55785">
            <w:pPr>
              <w:spacing w:after="0" w:line="240" w:lineRule="auto"/>
              <w:jc w:val="center"/>
              <w:rPr>
                <w:rFonts w:ascii="Times New Roman" w:hAnsi="Times New Roman"/>
                <w:b/>
                <w:bCs/>
                <w:sz w:val="20"/>
                <w:szCs w:val="20"/>
              </w:rPr>
            </w:pPr>
            <w:r w:rsidRPr="00A55785">
              <w:rPr>
                <w:rFonts w:ascii="Times New Roman" w:hAnsi="Times New Roman"/>
                <w:b/>
                <w:bCs/>
                <w:sz w:val="20"/>
                <w:szCs w:val="20"/>
              </w:rPr>
              <w:t>(cm</w:t>
            </w:r>
            <w:r w:rsidRPr="00A55785">
              <w:rPr>
                <w:rFonts w:ascii="Times New Roman" w:hAnsi="Times New Roman"/>
                <w:b/>
                <w:bCs/>
                <w:sz w:val="20"/>
                <w:szCs w:val="20"/>
                <w:vertAlign w:val="superscript"/>
              </w:rPr>
              <w:t>3</w:t>
            </w:r>
            <w:r w:rsidRPr="00A55785">
              <w:rPr>
                <w:rFonts w:ascii="Times New Roman" w:hAnsi="Times New Roman"/>
                <w:b/>
                <w:bCs/>
                <w:sz w:val="20"/>
                <w:szCs w:val="20"/>
              </w:rPr>
              <w:t xml:space="preserve"> g</w:t>
            </w:r>
            <w:r w:rsidRPr="00A55785">
              <w:rPr>
                <w:rFonts w:ascii="Times New Roman" w:hAnsi="Times New Roman"/>
                <w:b/>
                <w:bCs/>
                <w:sz w:val="20"/>
                <w:szCs w:val="20"/>
                <w:vertAlign w:val="superscript"/>
              </w:rPr>
              <w:t>-1</w:t>
            </w:r>
            <w:r w:rsidRPr="00A55785">
              <w:rPr>
                <w:rFonts w:ascii="Times New Roman" w:hAnsi="Times New Roman"/>
                <w:b/>
                <w:bCs/>
                <w:sz w:val="20"/>
                <w:szCs w:val="20"/>
              </w:rPr>
              <w:t>)</w:t>
            </w:r>
          </w:p>
        </w:tc>
        <w:tc>
          <w:tcPr>
            <w:tcW w:w="0" w:type="auto"/>
            <w:tcBorders>
              <w:top w:val="single" w:sz="4" w:space="0" w:color="auto"/>
              <w:left w:val="nil"/>
              <w:bottom w:val="single" w:sz="4" w:space="0" w:color="auto"/>
              <w:right w:val="nil"/>
            </w:tcBorders>
            <w:shd w:val="clear" w:color="auto" w:fill="auto"/>
          </w:tcPr>
          <w:p w:rsidR="00A55785" w:rsidRPr="00A55785" w:rsidRDefault="00A55785" w:rsidP="00A55785">
            <w:pPr>
              <w:spacing w:before="60" w:after="0" w:line="240" w:lineRule="auto"/>
              <w:jc w:val="center"/>
              <w:rPr>
                <w:rFonts w:ascii="Times New Roman" w:hAnsi="Times New Roman"/>
                <w:b/>
                <w:bCs/>
                <w:sz w:val="20"/>
                <w:szCs w:val="20"/>
              </w:rPr>
            </w:pPr>
            <w:r w:rsidRPr="00A55785">
              <w:rPr>
                <w:rFonts w:ascii="Times New Roman" w:hAnsi="Times New Roman"/>
                <w:b/>
                <w:bCs/>
                <w:sz w:val="20"/>
                <w:szCs w:val="20"/>
              </w:rPr>
              <w:t>Pore Diameter</w:t>
            </w:r>
          </w:p>
          <w:p w:rsidR="00A55785" w:rsidRPr="00A55785" w:rsidRDefault="00A55785" w:rsidP="00A55785">
            <w:pPr>
              <w:spacing w:after="0" w:line="240" w:lineRule="auto"/>
              <w:jc w:val="center"/>
              <w:rPr>
                <w:rFonts w:ascii="Times New Roman" w:hAnsi="Times New Roman"/>
                <w:b/>
                <w:bCs/>
                <w:sz w:val="20"/>
                <w:szCs w:val="20"/>
              </w:rPr>
            </w:pPr>
            <w:r w:rsidRPr="00A55785">
              <w:rPr>
                <w:rFonts w:ascii="Times New Roman" w:hAnsi="Times New Roman"/>
                <w:b/>
                <w:bCs/>
                <w:sz w:val="20"/>
                <w:szCs w:val="20"/>
              </w:rPr>
              <w:t>(nm)</w:t>
            </w:r>
          </w:p>
        </w:tc>
      </w:tr>
      <w:tr w:rsidR="00A55785" w:rsidRPr="00A55785" w:rsidTr="008479E9">
        <w:trPr>
          <w:trHeight w:val="283"/>
          <w:jc w:val="center"/>
        </w:trPr>
        <w:tc>
          <w:tcPr>
            <w:tcW w:w="0" w:type="auto"/>
            <w:tcBorders>
              <w:top w:val="single" w:sz="4" w:space="0" w:color="auto"/>
              <w:left w:val="nil"/>
              <w:right w:val="nil"/>
            </w:tcBorders>
            <w:shd w:val="clear" w:color="auto" w:fill="auto"/>
          </w:tcPr>
          <w:p w:rsidR="00A55785" w:rsidRPr="00A55785" w:rsidRDefault="00A55785" w:rsidP="00A55785">
            <w:pPr>
              <w:spacing w:before="60" w:after="0" w:line="240" w:lineRule="auto"/>
              <w:rPr>
                <w:rFonts w:ascii="Times New Roman" w:hAnsi="Times New Roman"/>
                <w:b/>
                <w:bCs/>
                <w:sz w:val="20"/>
                <w:szCs w:val="20"/>
                <w:vertAlign w:val="subscript"/>
              </w:rPr>
            </w:pPr>
            <w:r w:rsidRPr="00A55785">
              <w:rPr>
                <w:rFonts w:ascii="Times New Roman" w:hAnsi="Times New Roman"/>
                <w:bCs/>
                <w:sz w:val="20"/>
                <w:szCs w:val="20"/>
              </w:rPr>
              <w:t>CeO</w:t>
            </w:r>
            <w:r w:rsidRPr="00A55785">
              <w:rPr>
                <w:rFonts w:ascii="Times New Roman" w:hAnsi="Times New Roman"/>
                <w:bCs/>
                <w:sz w:val="20"/>
                <w:szCs w:val="20"/>
                <w:vertAlign w:val="subscript"/>
              </w:rPr>
              <w:t>2</w:t>
            </w:r>
          </w:p>
        </w:tc>
        <w:tc>
          <w:tcPr>
            <w:tcW w:w="0" w:type="auto"/>
            <w:tcBorders>
              <w:top w:val="single" w:sz="4" w:space="0" w:color="auto"/>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71.6</w:t>
            </w:r>
          </w:p>
        </w:tc>
        <w:tc>
          <w:tcPr>
            <w:tcW w:w="0" w:type="auto"/>
            <w:tcBorders>
              <w:top w:val="single" w:sz="4" w:space="0" w:color="auto"/>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0.2545</w:t>
            </w:r>
          </w:p>
        </w:tc>
        <w:tc>
          <w:tcPr>
            <w:tcW w:w="0" w:type="auto"/>
            <w:tcBorders>
              <w:top w:val="single" w:sz="4" w:space="0" w:color="auto"/>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14.0</w:t>
            </w:r>
          </w:p>
        </w:tc>
      </w:tr>
      <w:tr w:rsidR="00A55785" w:rsidRPr="00A55785" w:rsidTr="002E689C">
        <w:trPr>
          <w:trHeight w:val="283"/>
          <w:jc w:val="center"/>
        </w:trPr>
        <w:tc>
          <w:tcPr>
            <w:tcW w:w="0" w:type="auto"/>
            <w:shd w:val="clear" w:color="auto" w:fill="auto"/>
          </w:tcPr>
          <w:p w:rsidR="00A55785" w:rsidRPr="00A55785" w:rsidRDefault="00A55785" w:rsidP="00A55785">
            <w:pPr>
              <w:spacing w:before="60" w:after="0" w:line="240" w:lineRule="auto"/>
              <w:rPr>
                <w:rFonts w:ascii="Times New Roman" w:hAnsi="Times New Roman"/>
                <w:b/>
                <w:bCs/>
                <w:sz w:val="20"/>
                <w:szCs w:val="20"/>
              </w:rPr>
            </w:pPr>
            <w:r w:rsidRPr="00A55785">
              <w:rPr>
                <w:rFonts w:ascii="Times New Roman" w:hAnsi="Times New Roman"/>
                <w:bCs/>
                <w:sz w:val="20"/>
                <w:szCs w:val="20"/>
              </w:rPr>
              <w:t>10PA-CeO</w:t>
            </w:r>
            <w:r w:rsidRPr="00A55785">
              <w:rPr>
                <w:rFonts w:ascii="Times New Roman" w:hAnsi="Times New Roman"/>
                <w:bCs/>
                <w:sz w:val="20"/>
                <w:szCs w:val="20"/>
                <w:vertAlign w:val="subscript"/>
              </w:rPr>
              <w:t>2</w:t>
            </w:r>
          </w:p>
        </w:tc>
        <w:tc>
          <w:tcPr>
            <w:tcW w:w="0" w:type="auto"/>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35.5</w:t>
            </w:r>
          </w:p>
        </w:tc>
        <w:tc>
          <w:tcPr>
            <w:tcW w:w="0" w:type="auto"/>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0.1461</w:t>
            </w:r>
          </w:p>
        </w:tc>
        <w:tc>
          <w:tcPr>
            <w:tcW w:w="0" w:type="auto"/>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16.3</w:t>
            </w:r>
          </w:p>
        </w:tc>
      </w:tr>
      <w:tr w:rsidR="00A55785" w:rsidRPr="00A55785" w:rsidTr="008479E9">
        <w:trPr>
          <w:trHeight w:val="283"/>
          <w:jc w:val="center"/>
        </w:trPr>
        <w:tc>
          <w:tcPr>
            <w:tcW w:w="0" w:type="auto"/>
            <w:tcBorders>
              <w:left w:val="nil"/>
              <w:bottom w:val="nil"/>
              <w:right w:val="nil"/>
            </w:tcBorders>
            <w:shd w:val="clear" w:color="auto" w:fill="auto"/>
          </w:tcPr>
          <w:p w:rsidR="00A55785" w:rsidRPr="00A55785" w:rsidRDefault="00A55785" w:rsidP="00A55785">
            <w:pPr>
              <w:spacing w:before="60" w:after="0" w:line="240" w:lineRule="auto"/>
              <w:rPr>
                <w:rFonts w:ascii="Times New Roman" w:hAnsi="Times New Roman"/>
                <w:b/>
                <w:bCs/>
                <w:sz w:val="20"/>
                <w:szCs w:val="20"/>
              </w:rPr>
            </w:pPr>
            <w:r w:rsidRPr="00A55785">
              <w:rPr>
                <w:rFonts w:ascii="Times New Roman" w:hAnsi="Times New Roman"/>
                <w:bCs/>
                <w:sz w:val="20"/>
                <w:szCs w:val="20"/>
              </w:rPr>
              <w:t>20PA-CeO</w:t>
            </w:r>
            <w:r w:rsidRPr="00A55785">
              <w:rPr>
                <w:rFonts w:ascii="Times New Roman" w:hAnsi="Times New Roman"/>
                <w:bCs/>
                <w:sz w:val="20"/>
                <w:szCs w:val="20"/>
                <w:vertAlign w:val="subscript"/>
              </w:rPr>
              <w:t>2</w:t>
            </w:r>
          </w:p>
        </w:tc>
        <w:tc>
          <w:tcPr>
            <w:tcW w:w="0" w:type="auto"/>
            <w:tcBorders>
              <w:left w:val="nil"/>
              <w:bottom w:val="nil"/>
              <w:right w:val="nil"/>
            </w:tcBorders>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20.2</w:t>
            </w:r>
          </w:p>
        </w:tc>
        <w:tc>
          <w:tcPr>
            <w:tcW w:w="0" w:type="auto"/>
            <w:tcBorders>
              <w:left w:val="nil"/>
              <w:bottom w:val="nil"/>
              <w:right w:val="nil"/>
            </w:tcBorders>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0.0833</w:t>
            </w:r>
          </w:p>
        </w:tc>
        <w:tc>
          <w:tcPr>
            <w:tcW w:w="0" w:type="auto"/>
            <w:tcBorders>
              <w:left w:val="nil"/>
              <w:bottom w:val="nil"/>
              <w:right w:val="nil"/>
            </w:tcBorders>
            <w:shd w:val="clear" w:color="auto" w:fill="auto"/>
          </w:tcPr>
          <w:p w:rsidR="00A55785" w:rsidRPr="00A55785" w:rsidRDefault="00A55785" w:rsidP="00A55785">
            <w:pPr>
              <w:spacing w:before="60" w:after="0" w:line="240" w:lineRule="auto"/>
              <w:jc w:val="center"/>
              <w:rPr>
                <w:rFonts w:ascii="Times New Roman" w:hAnsi="Times New Roman"/>
                <w:sz w:val="20"/>
                <w:szCs w:val="20"/>
              </w:rPr>
            </w:pPr>
            <w:r w:rsidRPr="00A55785">
              <w:rPr>
                <w:rFonts w:ascii="Times New Roman" w:hAnsi="Times New Roman"/>
                <w:sz w:val="20"/>
                <w:szCs w:val="20"/>
              </w:rPr>
              <w:t>16.3</w:t>
            </w:r>
          </w:p>
        </w:tc>
      </w:tr>
      <w:tr w:rsidR="00A55785" w:rsidRPr="00A55785" w:rsidTr="008479E9">
        <w:trPr>
          <w:trHeight w:val="283"/>
          <w:jc w:val="center"/>
        </w:trPr>
        <w:tc>
          <w:tcPr>
            <w:tcW w:w="0" w:type="auto"/>
            <w:tcBorders>
              <w:top w:val="nil"/>
              <w:bottom w:val="single" w:sz="4" w:space="0" w:color="auto"/>
            </w:tcBorders>
            <w:shd w:val="clear" w:color="auto" w:fill="auto"/>
          </w:tcPr>
          <w:p w:rsidR="00A55785" w:rsidRPr="00A55785" w:rsidRDefault="00A55785" w:rsidP="00A55785">
            <w:pPr>
              <w:spacing w:before="60" w:after="60" w:line="240" w:lineRule="auto"/>
              <w:rPr>
                <w:rFonts w:ascii="Times New Roman" w:hAnsi="Times New Roman"/>
                <w:b/>
                <w:bCs/>
                <w:sz w:val="20"/>
                <w:szCs w:val="20"/>
              </w:rPr>
            </w:pPr>
            <w:r w:rsidRPr="00A55785">
              <w:rPr>
                <w:rFonts w:ascii="Times New Roman" w:hAnsi="Times New Roman"/>
                <w:bCs/>
                <w:sz w:val="20"/>
                <w:szCs w:val="20"/>
              </w:rPr>
              <w:t>30PA-CeO</w:t>
            </w:r>
            <w:r w:rsidRPr="00A55785">
              <w:rPr>
                <w:rFonts w:ascii="Times New Roman" w:hAnsi="Times New Roman"/>
                <w:bCs/>
                <w:sz w:val="20"/>
                <w:szCs w:val="20"/>
                <w:vertAlign w:val="subscript"/>
              </w:rPr>
              <w:t>2</w:t>
            </w:r>
          </w:p>
        </w:tc>
        <w:tc>
          <w:tcPr>
            <w:tcW w:w="0" w:type="auto"/>
            <w:tcBorders>
              <w:top w:val="nil"/>
              <w:bottom w:val="single" w:sz="4" w:space="0" w:color="auto"/>
            </w:tcBorders>
            <w:shd w:val="clear" w:color="auto" w:fill="auto"/>
          </w:tcPr>
          <w:p w:rsidR="00A55785" w:rsidRPr="00A55785" w:rsidRDefault="00A55785" w:rsidP="00A55785">
            <w:pPr>
              <w:spacing w:before="60" w:after="60" w:line="240" w:lineRule="auto"/>
              <w:jc w:val="center"/>
              <w:rPr>
                <w:rFonts w:ascii="Times New Roman" w:hAnsi="Times New Roman"/>
                <w:sz w:val="20"/>
                <w:szCs w:val="20"/>
              </w:rPr>
            </w:pPr>
            <w:r w:rsidRPr="00A55785">
              <w:rPr>
                <w:rFonts w:ascii="Times New Roman" w:hAnsi="Times New Roman"/>
                <w:sz w:val="20"/>
                <w:szCs w:val="20"/>
              </w:rPr>
              <w:t>9.9</w:t>
            </w:r>
          </w:p>
        </w:tc>
        <w:tc>
          <w:tcPr>
            <w:tcW w:w="0" w:type="auto"/>
            <w:tcBorders>
              <w:top w:val="nil"/>
              <w:bottom w:val="single" w:sz="4" w:space="0" w:color="auto"/>
            </w:tcBorders>
            <w:shd w:val="clear" w:color="auto" w:fill="auto"/>
          </w:tcPr>
          <w:p w:rsidR="00A55785" w:rsidRPr="00A55785" w:rsidRDefault="00A55785" w:rsidP="00A55785">
            <w:pPr>
              <w:spacing w:before="60" w:after="60" w:line="240" w:lineRule="auto"/>
              <w:jc w:val="center"/>
              <w:rPr>
                <w:rFonts w:ascii="Times New Roman" w:hAnsi="Times New Roman"/>
                <w:sz w:val="20"/>
                <w:szCs w:val="20"/>
              </w:rPr>
            </w:pPr>
            <w:r w:rsidRPr="00A55785">
              <w:rPr>
                <w:rFonts w:ascii="Times New Roman" w:hAnsi="Times New Roman"/>
                <w:sz w:val="20"/>
                <w:szCs w:val="20"/>
              </w:rPr>
              <w:t>0.0461</w:t>
            </w:r>
          </w:p>
        </w:tc>
        <w:tc>
          <w:tcPr>
            <w:tcW w:w="0" w:type="auto"/>
            <w:tcBorders>
              <w:top w:val="nil"/>
              <w:bottom w:val="single" w:sz="4" w:space="0" w:color="auto"/>
            </w:tcBorders>
            <w:shd w:val="clear" w:color="auto" w:fill="auto"/>
          </w:tcPr>
          <w:p w:rsidR="00A55785" w:rsidRPr="00A55785" w:rsidRDefault="00A55785" w:rsidP="00A55785">
            <w:pPr>
              <w:spacing w:before="60" w:after="60" w:line="240" w:lineRule="auto"/>
              <w:jc w:val="center"/>
              <w:rPr>
                <w:rFonts w:ascii="Times New Roman" w:hAnsi="Times New Roman"/>
                <w:sz w:val="20"/>
                <w:szCs w:val="20"/>
              </w:rPr>
            </w:pPr>
            <w:r w:rsidRPr="00A55785">
              <w:rPr>
                <w:rFonts w:ascii="Times New Roman" w:hAnsi="Times New Roman"/>
                <w:sz w:val="20"/>
                <w:szCs w:val="20"/>
              </w:rPr>
              <w:t>18.8</w:t>
            </w:r>
          </w:p>
        </w:tc>
      </w:tr>
    </w:tbl>
    <w:p w:rsidR="00A55785" w:rsidRPr="00A55785" w:rsidRDefault="00A55785" w:rsidP="00A55785">
      <w:pPr>
        <w:spacing w:after="120" w:line="240" w:lineRule="auto"/>
        <w:jc w:val="both"/>
        <w:rPr>
          <w:rFonts w:ascii="Times New Roman" w:hAnsi="Times New Roman"/>
          <w:bCs/>
          <w:sz w:val="20"/>
          <w:szCs w:val="20"/>
        </w:rPr>
      </w:pPr>
    </w:p>
    <w:p w:rsidR="00A55785" w:rsidRDefault="00A55785" w:rsidP="00A55785">
      <w:pPr>
        <w:spacing w:after="0" w:line="240" w:lineRule="auto"/>
        <w:jc w:val="both"/>
        <w:rPr>
          <w:rFonts w:ascii="Times New Roman" w:hAnsi="Times New Roman"/>
          <w:bCs/>
          <w:sz w:val="20"/>
          <w:szCs w:val="20"/>
          <w:lang w:val="ms-MY"/>
        </w:rPr>
      </w:pPr>
      <w:r w:rsidRPr="00A55785">
        <w:rPr>
          <w:rFonts w:ascii="Times New Roman" w:hAnsi="Times New Roman"/>
          <w:bCs/>
          <w:sz w:val="20"/>
          <w:szCs w:val="20"/>
        </w:rPr>
        <w:t>Thermo-desorption profiles of NH</w:t>
      </w:r>
      <w:r w:rsidRPr="00A55785">
        <w:rPr>
          <w:rFonts w:ascii="Times New Roman" w:hAnsi="Times New Roman"/>
          <w:bCs/>
          <w:sz w:val="20"/>
          <w:szCs w:val="20"/>
          <w:vertAlign w:val="subscript"/>
        </w:rPr>
        <w:t>3</w:t>
      </w:r>
      <w:r w:rsidRPr="00A55785">
        <w:rPr>
          <w:rFonts w:ascii="Times New Roman" w:hAnsi="Times New Roman"/>
          <w:bCs/>
          <w:sz w:val="20"/>
          <w:szCs w:val="20"/>
        </w:rPr>
        <w:t xml:space="preserve"> were carried out to determine the acid-base properties of the as-synthesized catalysts. The acid strength can be categorized into weak acidic site (373-523 K), moderate acidic site (523-673 K) and strong acidic site (673- 823 K), respectively, based on the desorption temperature. Table 2 shows the resulting acid amount of CeO</w:t>
      </w:r>
      <w:r w:rsidRPr="00A55785">
        <w:rPr>
          <w:rFonts w:ascii="Times New Roman" w:hAnsi="Times New Roman"/>
          <w:bCs/>
          <w:sz w:val="20"/>
          <w:szCs w:val="20"/>
          <w:vertAlign w:val="subscript"/>
        </w:rPr>
        <w:t xml:space="preserve">2 </w:t>
      </w:r>
      <w:r w:rsidRPr="00A55785">
        <w:rPr>
          <w:rFonts w:ascii="Times New Roman" w:hAnsi="Times New Roman"/>
          <w:bCs/>
          <w:sz w:val="20"/>
          <w:szCs w:val="20"/>
        </w:rPr>
        <w:t>and H</w:t>
      </w:r>
      <w:r w:rsidRPr="00A55785">
        <w:rPr>
          <w:rFonts w:ascii="Times New Roman" w:hAnsi="Times New Roman"/>
          <w:bCs/>
          <w:sz w:val="20"/>
          <w:szCs w:val="20"/>
          <w:vertAlign w:val="subscript"/>
        </w:rPr>
        <w:t>3</w:t>
      </w:r>
      <w:r w:rsidRPr="00A55785">
        <w:rPr>
          <w:rFonts w:ascii="Times New Roman" w:hAnsi="Times New Roman"/>
          <w:bCs/>
          <w:sz w:val="20"/>
          <w:szCs w:val="20"/>
        </w:rPr>
        <w:t>PO</w:t>
      </w:r>
      <w:r w:rsidRPr="00A55785">
        <w:rPr>
          <w:rFonts w:ascii="Times New Roman" w:hAnsi="Times New Roman"/>
          <w:bCs/>
          <w:sz w:val="20"/>
          <w:szCs w:val="20"/>
          <w:vertAlign w:val="subscript"/>
        </w:rPr>
        <w:t>4</w:t>
      </w:r>
      <w:r w:rsidRPr="00A55785">
        <w:rPr>
          <w:rFonts w:ascii="Times New Roman" w:hAnsi="Times New Roman"/>
          <w:bCs/>
          <w:sz w:val="20"/>
          <w:szCs w:val="20"/>
        </w:rPr>
        <w:t>-modified CeO</w:t>
      </w:r>
      <w:r w:rsidRPr="00A55785">
        <w:rPr>
          <w:rFonts w:ascii="Times New Roman" w:hAnsi="Times New Roman"/>
          <w:bCs/>
          <w:sz w:val="20"/>
          <w:szCs w:val="20"/>
          <w:vertAlign w:val="subscript"/>
        </w:rPr>
        <w:t>2</w:t>
      </w:r>
      <w:r w:rsidRPr="00A55785">
        <w:rPr>
          <w:rFonts w:ascii="Times New Roman" w:hAnsi="Times New Roman"/>
          <w:bCs/>
          <w:sz w:val="20"/>
          <w:szCs w:val="20"/>
        </w:rPr>
        <w:t xml:space="preserve"> catalysts. From Table 2, it can be observed that there are three types of acid sites with variable amounts, at 819 µmol g</w:t>
      </w:r>
      <w:r w:rsidRPr="00A55785">
        <w:rPr>
          <w:rFonts w:ascii="Times New Roman" w:hAnsi="Times New Roman"/>
          <w:bCs/>
          <w:sz w:val="20"/>
          <w:szCs w:val="20"/>
          <w:vertAlign w:val="superscript"/>
        </w:rPr>
        <w:t>-1</w:t>
      </w:r>
      <w:r w:rsidRPr="00A55785">
        <w:rPr>
          <w:rFonts w:ascii="Times New Roman" w:hAnsi="Times New Roman"/>
          <w:bCs/>
          <w:sz w:val="20"/>
          <w:szCs w:val="20"/>
        </w:rPr>
        <w:t>, 188 µmol g</w:t>
      </w:r>
      <w:r w:rsidRPr="00A55785">
        <w:rPr>
          <w:rFonts w:ascii="Times New Roman" w:hAnsi="Times New Roman"/>
          <w:bCs/>
          <w:sz w:val="20"/>
          <w:szCs w:val="20"/>
          <w:vertAlign w:val="superscript"/>
        </w:rPr>
        <w:t>-1</w:t>
      </w:r>
      <w:r w:rsidRPr="00A55785">
        <w:rPr>
          <w:rFonts w:ascii="Times New Roman" w:hAnsi="Times New Roman"/>
          <w:bCs/>
          <w:sz w:val="20"/>
          <w:szCs w:val="20"/>
        </w:rPr>
        <w:t xml:space="preserve"> and 548 µmol g</w:t>
      </w:r>
      <w:r w:rsidRPr="00A55785">
        <w:rPr>
          <w:rFonts w:ascii="Times New Roman" w:hAnsi="Times New Roman"/>
          <w:bCs/>
          <w:sz w:val="20"/>
          <w:szCs w:val="20"/>
          <w:vertAlign w:val="superscript"/>
        </w:rPr>
        <w:t>-1</w:t>
      </w:r>
      <w:r w:rsidRPr="00A55785">
        <w:rPr>
          <w:rFonts w:ascii="Times New Roman" w:hAnsi="Times New Roman"/>
          <w:bCs/>
          <w:sz w:val="20"/>
          <w:szCs w:val="20"/>
        </w:rPr>
        <w:t>, respectively, for weak, moderate and strong acids found in CeO</w:t>
      </w:r>
      <w:r w:rsidRPr="00A55785">
        <w:rPr>
          <w:rFonts w:ascii="Times New Roman" w:hAnsi="Times New Roman"/>
          <w:bCs/>
          <w:sz w:val="20"/>
          <w:szCs w:val="20"/>
          <w:vertAlign w:val="subscript"/>
        </w:rPr>
        <w:t>2</w:t>
      </w:r>
      <w:r w:rsidRPr="00A55785">
        <w:rPr>
          <w:rFonts w:ascii="Times New Roman" w:hAnsi="Times New Roman"/>
          <w:bCs/>
          <w:sz w:val="20"/>
          <w:szCs w:val="20"/>
        </w:rPr>
        <w:t xml:space="preserve"> catalyst. The introduction of H</w:t>
      </w:r>
      <w:r w:rsidRPr="00A55785">
        <w:rPr>
          <w:rFonts w:ascii="Times New Roman" w:hAnsi="Times New Roman"/>
          <w:bCs/>
          <w:sz w:val="20"/>
          <w:szCs w:val="20"/>
          <w:vertAlign w:val="subscript"/>
        </w:rPr>
        <w:t>3</w:t>
      </w:r>
      <w:r w:rsidRPr="00A55785">
        <w:rPr>
          <w:rFonts w:ascii="Times New Roman" w:hAnsi="Times New Roman"/>
          <w:bCs/>
          <w:sz w:val="20"/>
          <w:szCs w:val="20"/>
        </w:rPr>
        <w:t>PO</w:t>
      </w:r>
      <w:r w:rsidRPr="00A55785">
        <w:rPr>
          <w:rFonts w:ascii="Times New Roman" w:hAnsi="Times New Roman"/>
          <w:bCs/>
          <w:sz w:val="20"/>
          <w:szCs w:val="20"/>
          <w:vertAlign w:val="subscript"/>
        </w:rPr>
        <w:t xml:space="preserve">4 </w:t>
      </w:r>
      <w:r w:rsidRPr="00A55785">
        <w:rPr>
          <w:rFonts w:ascii="Times New Roman" w:hAnsi="Times New Roman"/>
          <w:bCs/>
          <w:sz w:val="20"/>
          <w:szCs w:val="20"/>
        </w:rPr>
        <w:t>generates moderate acid sites by suppressing the strong acid sites of CeO</w:t>
      </w:r>
      <w:r w:rsidRPr="00A55785">
        <w:rPr>
          <w:rFonts w:ascii="Times New Roman" w:hAnsi="Times New Roman"/>
          <w:bCs/>
          <w:sz w:val="20"/>
          <w:szCs w:val="20"/>
          <w:vertAlign w:val="subscript"/>
        </w:rPr>
        <w:t>2</w:t>
      </w:r>
      <w:r w:rsidRPr="00A55785">
        <w:rPr>
          <w:rFonts w:ascii="Times New Roman" w:hAnsi="Times New Roman"/>
          <w:bCs/>
          <w:sz w:val="20"/>
          <w:szCs w:val="20"/>
        </w:rPr>
        <w:t xml:space="preserve">. The </w:t>
      </w:r>
      <w:r w:rsidRPr="00A55785">
        <w:rPr>
          <w:rFonts w:ascii="Times New Roman" w:hAnsi="Times New Roman"/>
          <w:sz w:val="20"/>
          <w:szCs w:val="20"/>
        </w:rPr>
        <w:t>amount of moderately-strong acid site has increased substantially, increasing incrementally to 837 µmol g</w:t>
      </w:r>
      <w:r w:rsidRPr="00A55785">
        <w:rPr>
          <w:rFonts w:ascii="Times New Roman" w:hAnsi="Times New Roman"/>
          <w:sz w:val="20"/>
          <w:szCs w:val="20"/>
          <w:vertAlign w:val="superscript"/>
        </w:rPr>
        <w:t>-1</w:t>
      </w:r>
      <w:r w:rsidRPr="00A55785">
        <w:rPr>
          <w:rFonts w:ascii="Times New Roman" w:hAnsi="Times New Roman"/>
          <w:sz w:val="20"/>
          <w:szCs w:val="20"/>
        </w:rPr>
        <w:t xml:space="preserve"> for 10PA- CeO</w:t>
      </w:r>
      <w:r w:rsidRPr="00A55785">
        <w:rPr>
          <w:rFonts w:ascii="Times New Roman" w:hAnsi="Times New Roman"/>
          <w:sz w:val="20"/>
          <w:szCs w:val="20"/>
          <w:vertAlign w:val="subscript"/>
        </w:rPr>
        <w:t>2</w:t>
      </w:r>
      <w:r w:rsidRPr="00A55785">
        <w:rPr>
          <w:rFonts w:ascii="Times New Roman" w:hAnsi="Times New Roman"/>
          <w:sz w:val="20"/>
          <w:szCs w:val="20"/>
        </w:rPr>
        <w:t>, 1238 µmol g</w:t>
      </w:r>
      <w:r w:rsidRPr="00A55785">
        <w:rPr>
          <w:rFonts w:ascii="Times New Roman" w:hAnsi="Times New Roman"/>
          <w:sz w:val="20"/>
          <w:szCs w:val="20"/>
          <w:vertAlign w:val="superscript"/>
        </w:rPr>
        <w:t>-1</w:t>
      </w:r>
      <w:r w:rsidRPr="00A55785">
        <w:rPr>
          <w:rFonts w:ascii="Times New Roman" w:hAnsi="Times New Roman"/>
          <w:sz w:val="20"/>
          <w:szCs w:val="20"/>
        </w:rPr>
        <w:t xml:space="preserve"> for 20PA- CeO</w:t>
      </w:r>
      <w:r w:rsidRPr="00A55785">
        <w:rPr>
          <w:rFonts w:ascii="Times New Roman" w:hAnsi="Times New Roman"/>
          <w:sz w:val="20"/>
          <w:szCs w:val="20"/>
          <w:vertAlign w:val="subscript"/>
        </w:rPr>
        <w:t>2</w:t>
      </w:r>
      <w:r w:rsidRPr="00A55785">
        <w:rPr>
          <w:rFonts w:ascii="Times New Roman" w:hAnsi="Times New Roman"/>
          <w:sz w:val="20"/>
          <w:szCs w:val="20"/>
        </w:rPr>
        <w:t xml:space="preserve"> and 1532 µmol g</w:t>
      </w:r>
      <w:r w:rsidRPr="00A55785">
        <w:rPr>
          <w:rFonts w:ascii="Times New Roman" w:hAnsi="Times New Roman"/>
          <w:sz w:val="20"/>
          <w:szCs w:val="20"/>
          <w:vertAlign w:val="superscript"/>
        </w:rPr>
        <w:t>-1</w:t>
      </w:r>
      <w:r w:rsidRPr="00A55785">
        <w:rPr>
          <w:rFonts w:ascii="Times New Roman" w:hAnsi="Times New Roman"/>
          <w:sz w:val="20"/>
          <w:szCs w:val="20"/>
        </w:rPr>
        <w:t xml:space="preserve"> for 30PA- CeO</w:t>
      </w:r>
      <w:r w:rsidRPr="00A55785">
        <w:rPr>
          <w:rFonts w:ascii="Times New Roman" w:hAnsi="Times New Roman"/>
          <w:sz w:val="20"/>
          <w:szCs w:val="20"/>
          <w:vertAlign w:val="subscript"/>
        </w:rPr>
        <w:t>2</w:t>
      </w:r>
      <w:r w:rsidRPr="00A55785">
        <w:rPr>
          <w:rFonts w:ascii="Times New Roman" w:hAnsi="Times New Roman"/>
          <w:sz w:val="20"/>
          <w:szCs w:val="20"/>
        </w:rPr>
        <w:t xml:space="preserve">, respectively. </w:t>
      </w:r>
      <w:r w:rsidRPr="00A55785">
        <w:rPr>
          <w:rFonts w:ascii="Times New Roman" w:hAnsi="Times New Roman"/>
          <w:bCs/>
          <w:sz w:val="20"/>
          <w:szCs w:val="20"/>
          <w:lang w:val="ms-MY"/>
        </w:rPr>
        <w:t>This may be due to the nature of H</w:t>
      </w:r>
      <w:r w:rsidRPr="00A55785">
        <w:rPr>
          <w:rFonts w:ascii="Times New Roman" w:hAnsi="Times New Roman"/>
          <w:bCs/>
          <w:sz w:val="20"/>
          <w:szCs w:val="20"/>
          <w:vertAlign w:val="subscript"/>
          <w:lang w:val="ms-MY"/>
        </w:rPr>
        <w:t>3</w:t>
      </w:r>
      <w:r w:rsidRPr="00A55785">
        <w:rPr>
          <w:rFonts w:ascii="Times New Roman" w:hAnsi="Times New Roman"/>
          <w:bCs/>
          <w:sz w:val="20"/>
          <w:szCs w:val="20"/>
          <w:lang w:val="ms-MY"/>
        </w:rPr>
        <w:t>PO</w:t>
      </w:r>
      <w:r w:rsidRPr="00A55785">
        <w:rPr>
          <w:rFonts w:ascii="Times New Roman" w:hAnsi="Times New Roman"/>
          <w:bCs/>
          <w:sz w:val="20"/>
          <w:szCs w:val="20"/>
          <w:vertAlign w:val="subscript"/>
          <w:lang w:val="ms-MY"/>
        </w:rPr>
        <w:t>4</w:t>
      </w:r>
      <w:r w:rsidRPr="00A55785">
        <w:rPr>
          <w:rFonts w:ascii="Times New Roman" w:hAnsi="Times New Roman"/>
          <w:bCs/>
          <w:sz w:val="20"/>
          <w:szCs w:val="20"/>
          <w:lang w:val="ms-MY"/>
        </w:rPr>
        <w:t>, which is a moderately-strong acid with pKa value of 6.9 x 10</w:t>
      </w:r>
      <w:r w:rsidRPr="00A55785">
        <w:rPr>
          <w:rFonts w:ascii="Times New Roman" w:hAnsi="Times New Roman"/>
          <w:bCs/>
          <w:sz w:val="20"/>
          <w:szCs w:val="20"/>
          <w:vertAlign w:val="superscript"/>
          <w:lang w:val="ms-MY"/>
        </w:rPr>
        <w:t>-3</w:t>
      </w:r>
      <w:r w:rsidRPr="00A55785">
        <w:rPr>
          <w:rFonts w:ascii="Times New Roman" w:hAnsi="Times New Roman"/>
          <w:bCs/>
          <w:sz w:val="20"/>
          <w:szCs w:val="20"/>
          <w:lang w:val="ms-MY"/>
        </w:rPr>
        <w:t>. Moreover, the strong acid site which was inititally present on the surface of pure CeO</w:t>
      </w:r>
      <w:r w:rsidRPr="00A55785">
        <w:rPr>
          <w:rFonts w:ascii="Times New Roman" w:hAnsi="Times New Roman"/>
          <w:bCs/>
          <w:sz w:val="20"/>
          <w:szCs w:val="20"/>
          <w:vertAlign w:val="subscript"/>
          <w:lang w:val="ms-MY"/>
        </w:rPr>
        <w:t>2</w:t>
      </w:r>
      <w:r w:rsidRPr="00A55785">
        <w:rPr>
          <w:rFonts w:ascii="Times New Roman" w:hAnsi="Times New Roman"/>
          <w:bCs/>
          <w:sz w:val="20"/>
          <w:szCs w:val="20"/>
          <w:lang w:val="ms-MY"/>
        </w:rPr>
        <w:t xml:space="preserve"> was dimishing with the H</w:t>
      </w:r>
      <w:r w:rsidRPr="00A55785">
        <w:rPr>
          <w:rFonts w:ascii="Times New Roman" w:hAnsi="Times New Roman"/>
          <w:bCs/>
          <w:sz w:val="20"/>
          <w:szCs w:val="20"/>
          <w:vertAlign w:val="subscript"/>
          <w:lang w:val="ms-MY"/>
        </w:rPr>
        <w:t>3</w:t>
      </w:r>
      <w:r w:rsidRPr="00A55785">
        <w:rPr>
          <w:rFonts w:ascii="Times New Roman" w:hAnsi="Times New Roman"/>
          <w:bCs/>
          <w:sz w:val="20"/>
          <w:szCs w:val="20"/>
          <w:lang w:val="ms-MY"/>
        </w:rPr>
        <w:t>PO</w:t>
      </w:r>
      <w:r w:rsidRPr="00A55785">
        <w:rPr>
          <w:rFonts w:ascii="Times New Roman" w:hAnsi="Times New Roman"/>
          <w:bCs/>
          <w:sz w:val="20"/>
          <w:szCs w:val="20"/>
          <w:vertAlign w:val="subscript"/>
          <w:lang w:val="ms-MY"/>
        </w:rPr>
        <w:t>4</w:t>
      </w:r>
      <w:r w:rsidRPr="00A55785">
        <w:rPr>
          <w:rFonts w:ascii="Times New Roman" w:hAnsi="Times New Roman"/>
          <w:bCs/>
          <w:sz w:val="20"/>
          <w:szCs w:val="20"/>
          <w:lang w:val="ms-MY"/>
        </w:rPr>
        <w:t xml:space="preserve"> loading, decreased from 548 </w:t>
      </w:r>
      <w:r w:rsidRPr="00A55785">
        <w:rPr>
          <w:rFonts w:ascii="Times New Roman" w:hAnsi="Times New Roman"/>
          <w:bCs/>
          <w:sz w:val="20"/>
          <w:szCs w:val="20"/>
        </w:rPr>
        <w:t>µmol g</w:t>
      </w:r>
      <w:r w:rsidRPr="00A55785">
        <w:rPr>
          <w:rFonts w:ascii="Times New Roman" w:hAnsi="Times New Roman"/>
          <w:bCs/>
          <w:sz w:val="20"/>
          <w:szCs w:val="20"/>
          <w:vertAlign w:val="superscript"/>
        </w:rPr>
        <w:t>-1</w:t>
      </w:r>
      <w:r w:rsidRPr="00A55785">
        <w:rPr>
          <w:rFonts w:ascii="Times New Roman" w:hAnsi="Times New Roman"/>
          <w:bCs/>
          <w:sz w:val="20"/>
          <w:szCs w:val="20"/>
          <w:lang w:val="ms-MY"/>
        </w:rPr>
        <w:t xml:space="preserve"> for pure CeO</w:t>
      </w:r>
      <w:r w:rsidRPr="00A55785">
        <w:rPr>
          <w:rFonts w:ascii="Times New Roman" w:hAnsi="Times New Roman"/>
          <w:bCs/>
          <w:sz w:val="20"/>
          <w:szCs w:val="20"/>
          <w:vertAlign w:val="subscript"/>
          <w:lang w:val="ms-MY"/>
        </w:rPr>
        <w:t>2</w:t>
      </w:r>
      <w:r w:rsidRPr="00A55785">
        <w:rPr>
          <w:rFonts w:ascii="Times New Roman" w:hAnsi="Times New Roman"/>
          <w:bCs/>
          <w:sz w:val="20"/>
          <w:szCs w:val="20"/>
          <w:lang w:val="ms-MY"/>
        </w:rPr>
        <w:t xml:space="preserve"> to just 284 </w:t>
      </w:r>
      <w:r w:rsidRPr="00A55785">
        <w:rPr>
          <w:rFonts w:ascii="Times New Roman" w:hAnsi="Times New Roman"/>
          <w:bCs/>
          <w:sz w:val="20"/>
          <w:szCs w:val="20"/>
        </w:rPr>
        <w:t>µmol g</w:t>
      </w:r>
      <w:r w:rsidRPr="00A55785">
        <w:rPr>
          <w:rFonts w:ascii="Times New Roman" w:hAnsi="Times New Roman"/>
          <w:bCs/>
          <w:sz w:val="20"/>
          <w:szCs w:val="20"/>
          <w:vertAlign w:val="superscript"/>
        </w:rPr>
        <w:t>-1</w:t>
      </w:r>
      <w:r w:rsidRPr="00A55785">
        <w:rPr>
          <w:rFonts w:ascii="Times New Roman" w:hAnsi="Times New Roman"/>
          <w:bCs/>
          <w:sz w:val="20"/>
          <w:szCs w:val="20"/>
          <w:lang w:val="ms-MY"/>
        </w:rPr>
        <w:t xml:space="preserve"> for </w:t>
      </w:r>
      <w:r w:rsidRPr="00A55785">
        <w:rPr>
          <w:rFonts w:ascii="Times New Roman" w:hAnsi="Times New Roman"/>
          <w:bCs/>
          <w:sz w:val="20"/>
          <w:szCs w:val="20"/>
        </w:rPr>
        <w:t>30PA-CeO</w:t>
      </w:r>
      <w:r w:rsidRPr="00A55785">
        <w:rPr>
          <w:rFonts w:ascii="Times New Roman" w:hAnsi="Times New Roman"/>
          <w:bCs/>
          <w:sz w:val="20"/>
          <w:szCs w:val="20"/>
          <w:vertAlign w:val="subscript"/>
        </w:rPr>
        <w:t>2</w:t>
      </w:r>
      <w:r w:rsidRPr="00A55785">
        <w:rPr>
          <w:rFonts w:ascii="Times New Roman" w:hAnsi="Times New Roman"/>
          <w:bCs/>
          <w:sz w:val="20"/>
          <w:szCs w:val="20"/>
          <w:lang w:val="ms-MY"/>
        </w:rPr>
        <w:t xml:space="preserve"> catalyst. As the loading of phosphoric acid on CeO</w:t>
      </w:r>
      <w:r w:rsidRPr="00A55785">
        <w:rPr>
          <w:rFonts w:ascii="Times New Roman" w:hAnsi="Times New Roman"/>
          <w:bCs/>
          <w:sz w:val="20"/>
          <w:szCs w:val="20"/>
          <w:vertAlign w:val="subscript"/>
          <w:lang w:val="ms-MY"/>
        </w:rPr>
        <w:t xml:space="preserve">2 </w:t>
      </w:r>
      <w:r w:rsidRPr="00A55785">
        <w:rPr>
          <w:rFonts w:ascii="Times New Roman" w:hAnsi="Times New Roman"/>
          <w:bCs/>
          <w:sz w:val="20"/>
          <w:szCs w:val="20"/>
          <w:lang w:val="ms-MY"/>
        </w:rPr>
        <w:t>increases</w:t>
      </w:r>
      <w:r w:rsidRPr="00A55785">
        <w:rPr>
          <w:rFonts w:ascii="Times New Roman" w:hAnsi="Times New Roman"/>
          <w:bCs/>
          <w:sz w:val="20"/>
          <w:szCs w:val="20"/>
          <w:vertAlign w:val="subscript"/>
          <w:lang w:val="ms-MY"/>
        </w:rPr>
        <w:t xml:space="preserve">, </w:t>
      </w:r>
      <w:r w:rsidRPr="00A55785">
        <w:rPr>
          <w:rFonts w:ascii="Times New Roman" w:hAnsi="Times New Roman"/>
          <w:bCs/>
          <w:sz w:val="20"/>
          <w:szCs w:val="20"/>
          <w:lang w:val="ms-MY"/>
        </w:rPr>
        <w:t xml:space="preserve">the total acid amount increases. </w:t>
      </w:r>
    </w:p>
    <w:p w:rsidR="00A55785" w:rsidRPr="00A55785" w:rsidRDefault="00A55785" w:rsidP="00A55785">
      <w:pPr>
        <w:spacing w:after="120" w:line="240" w:lineRule="auto"/>
        <w:jc w:val="both"/>
        <w:rPr>
          <w:rFonts w:ascii="Times New Roman" w:hAnsi="Times New Roman"/>
          <w:bCs/>
          <w:sz w:val="20"/>
          <w:szCs w:val="20"/>
        </w:rPr>
      </w:pPr>
    </w:p>
    <w:p w:rsidR="00A55785" w:rsidRPr="00A55785" w:rsidRDefault="00A55785" w:rsidP="00A55785">
      <w:pPr>
        <w:spacing w:after="120" w:line="240" w:lineRule="auto"/>
        <w:jc w:val="center"/>
        <w:rPr>
          <w:rFonts w:ascii="Times New Roman" w:hAnsi="Times New Roman"/>
          <w:sz w:val="20"/>
          <w:szCs w:val="20"/>
        </w:rPr>
      </w:pPr>
      <w:r w:rsidRPr="00A55785">
        <w:rPr>
          <w:rFonts w:ascii="Times New Roman" w:hAnsi="Times New Roman"/>
          <w:sz w:val="20"/>
          <w:szCs w:val="20"/>
        </w:rPr>
        <w:t xml:space="preserve">Table 2. </w:t>
      </w:r>
      <w:r>
        <w:rPr>
          <w:rFonts w:ascii="Times New Roman" w:hAnsi="Times New Roman"/>
          <w:sz w:val="20"/>
          <w:szCs w:val="20"/>
        </w:rPr>
        <w:t xml:space="preserve"> </w:t>
      </w:r>
      <w:r w:rsidRPr="00A55785">
        <w:rPr>
          <w:rFonts w:ascii="Times New Roman" w:hAnsi="Times New Roman"/>
          <w:bCs/>
          <w:sz w:val="20"/>
          <w:szCs w:val="20"/>
        </w:rPr>
        <w:t>The total surface acidity and acid strength distribution of CeO</w:t>
      </w:r>
      <w:r w:rsidRPr="00A55785">
        <w:rPr>
          <w:rFonts w:ascii="Times New Roman" w:hAnsi="Times New Roman"/>
          <w:bCs/>
          <w:sz w:val="20"/>
          <w:szCs w:val="20"/>
          <w:vertAlign w:val="subscript"/>
        </w:rPr>
        <w:t xml:space="preserve">2 </w:t>
      </w:r>
      <w:r w:rsidRPr="00A55785">
        <w:rPr>
          <w:rFonts w:ascii="Times New Roman" w:hAnsi="Times New Roman"/>
          <w:bCs/>
          <w:sz w:val="20"/>
          <w:szCs w:val="20"/>
        </w:rPr>
        <w:t>and H</w:t>
      </w:r>
      <w:r w:rsidRPr="00A55785">
        <w:rPr>
          <w:rFonts w:ascii="Times New Roman" w:hAnsi="Times New Roman"/>
          <w:bCs/>
          <w:sz w:val="20"/>
          <w:szCs w:val="20"/>
          <w:vertAlign w:val="subscript"/>
        </w:rPr>
        <w:t>3</w:t>
      </w:r>
      <w:r w:rsidRPr="00A55785">
        <w:rPr>
          <w:rFonts w:ascii="Times New Roman" w:hAnsi="Times New Roman"/>
          <w:bCs/>
          <w:sz w:val="20"/>
          <w:szCs w:val="20"/>
        </w:rPr>
        <w:t>PO</w:t>
      </w:r>
      <w:r w:rsidRPr="00A55785">
        <w:rPr>
          <w:rFonts w:ascii="Times New Roman" w:hAnsi="Times New Roman"/>
          <w:bCs/>
          <w:sz w:val="20"/>
          <w:szCs w:val="20"/>
          <w:vertAlign w:val="subscript"/>
        </w:rPr>
        <w:t>4</w:t>
      </w:r>
      <w:r w:rsidRPr="00A55785">
        <w:rPr>
          <w:rFonts w:ascii="Times New Roman" w:hAnsi="Times New Roman"/>
          <w:bCs/>
          <w:sz w:val="20"/>
          <w:szCs w:val="20"/>
        </w:rPr>
        <w:t>-modified CeO</w:t>
      </w:r>
      <w:r w:rsidRPr="00A55785">
        <w:rPr>
          <w:rFonts w:ascii="Times New Roman" w:hAnsi="Times New Roman"/>
          <w:bCs/>
          <w:sz w:val="20"/>
          <w:szCs w:val="20"/>
          <w:vertAlign w:val="subscript"/>
        </w:rPr>
        <w:t>2</w:t>
      </w:r>
      <w:r w:rsidRPr="00A55785">
        <w:rPr>
          <w:rFonts w:ascii="Times New Roman" w:hAnsi="Times New Roman"/>
          <w:bCs/>
          <w:sz w:val="20"/>
          <w:szCs w:val="20"/>
        </w:rPr>
        <w:t xml:space="preserve"> catalysts</w:t>
      </w:r>
    </w:p>
    <w:tbl>
      <w:tblPr>
        <w:tblW w:w="4491" w:type="pct"/>
        <w:jc w:val="center"/>
        <w:tblBorders>
          <w:top w:val="single" w:sz="8" w:space="0" w:color="000000"/>
          <w:bottom w:val="single" w:sz="8" w:space="0" w:color="000000"/>
        </w:tblBorders>
        <w:tblLook w:val="04A0" w:firstRow="1" w:lastRow="0" w:firstColumn="1" w:lastColumn="0" w:noHBand="0" w:noVBand="1"/>
      </w:tblPr>
      <w:tblGrid>
        <w:gridCol w:w="1650"/>
        <w:gridCol w:w="1648"/>
        <w:gridCol w:w="1842"/>
        <w:gridCol w:w="1718"/>
        <w:gridCol w:w="1717"/>
      </w:tblGrid>
      <w:tr w:rsidR="00A55785" w:rsidRPr="00A55785" w:rsidTr="008479E9">
        <w:trPr>
          <w:trHeight w:val="240"/>
          <w:jc w:val="center"/>
        </w:trPr>
        <w:tc>
          <w:tcPr>
            <w:tcW w:w="962" w:type="pct"/>
            <w:vMerge w:val="restart"/>
            <w:tcBorders>
              <w:top w:val="single" w:sz="4" w:space="0" w:color="auto"/>
              <w:left w:val="nil"/>
              <w:bottom w:val="single" w:sz="4" w:space="0" w:color="auto"/>
              <w:right w:val="nil"/>
            </w:tcBorders>
            <w:shd w:val="clear" w:color="auto" w:fill="auto"/>
          </w:tcPr>
          <w:p w:rsidR="00A55785" w:rsidRPr="00A55785" w:rsidRDefault="00A55785" w:rsidP="00A55785">
            <w:pPr>
              <w:spacing w:before="180" w:after="0" w:line="240" w:lineRule="auto"/>
              <w:outlineLvl w:val="0"/>
              <w:rPr>
                <w:rFonts w:ascii="Times New Roman" w:hAnsi="Times New Roman"/>
                <w:b/>
                <w:bCs/>
                <w:sz w:val="20"/>
                <w:szCs w:val="20"/>
              </w:rPr>
            </w:pPr>
            <w:r w:rsidRPr="00A55785">
              <w:rPr>
                <w:rFonts w:ascii="Times New Roman" w:hAnsi="Times New Roman"/>
                <w:b/>
                <w:bCs/>
                <w:sz w:val="20"/>
                <w:szCs w:val="20"/>
              </w:rPr>
              <w:t>Catalysts</w:t>
            </w:r>
          </w:p>
        </w:tc>
        <w:tc>
          <w:tcPr>
            <w:tcW w:w="3037" w:type="pct"/>
            <w:gridSpan w:val="3"/>
            <w:tcBorders>
              <w:top w:val="single" w:sz="4" w:space="0" w:color="auto"/>
              <w:left w:val="nil"/>
              <w:bottom w:val="single" w:sz="4" w:space="0" w:color="auto"/>
              <w:right w:val="nil"/>
            </w:tcBorders>
            <w:shd w:val="clear" w:color="auto" w:fill="auto"/>
          </w:tcPr>
          <w:p w:rsidR="00A55785" w:rsidRPr="00A55785" w:rsidRDefault="00A55785" w:rsidP="00A55785">
            <w:pPr>
              <w:spacing w:before="60" w:after="0" w:line="240" w:lineRule="auto"/>
              <w:jc w:val="center"/>
              <w:outlineLvl w:val="0"/>
              <w:rPr>
                <w:rFonts w:ascii="Times New Roman" w:hAnsi="Times New Roman"/>
                <w:b/>
                <w:bCs/>
                <w:sz w:val="20"/>
                <w:szCs w:val="20"/>
              </w:rPr>
            </w:pPr>
            <w:r w:rsidRPr="00A55785">
              <w:rPr>
                <w:rFonts w:ascii="Times New Roman" w:hAnsi="Times New Roman"/>
                <w:b/>
                <w:bCs/>
                <w:sz w:val="20"/>
                <w:szCs w:val="20"/>
              </w:rPr>
              <w:t>Acid Amount (µmol g</w:t>
            </w:r>
            <w:r w:rsidRPr="00A55785">
              <w:rPr>
                <w:rFonts w:ascii="Times New Roman" w:hAnsi="Times New Roman"/>
                <w:b/>
                <w:bCs/>
                <w:sz w:val="20"/>
                <w:szCs w:val="20"/>
                <w:vertAlign w:val="superscript"/>
              </w:rPr>
              <w:t>-1</w:t>
            </w:r>
            <w:r w:rsidRPr="00A55785">
              <w:rPr>
                <w:rFonts w:ascii="Times New Roman" w:hAnsi="Times New Roman"/>
                <w:b/>
                <w:bCs/>
                <w:sz w:val="20"/>
                <w:szCs w:val="20"/>
              </w:rPr>
              <w:t>)</w:t>
            </w:r>
          </w:p>
        </w:tc>
        <w:tc>
          <w:tcPr>
            <w:tcW w:w="1001" w:type="pct"/>
            <w:vMerge w:val="restart"/>
            <w:tcBorders>
              <w:top w:val="single" w:sz="4" w:space="0" w:color="auto"/>
              <w:left w:val="nil"/>
              <w:bottom w:val="single" w:sz="4" w:space="0" w:color="auto"/>
              <w:right w:val="nil"/>
            </w:tcBorders>
            <w:shd w:val="clear" w:color="auto" w:fill="auto"/>
          </w:tcPr>
          <w:p w:rsidR="00A55785" w:rsidRPr="00A55785" w:rsidRDefault="00A55785" w:rsidP="00A55785">
            <w:pPr>
              <w:spacing w:before="60" w:after="0" w:line="240" w:lineRule="auto"/>
              <w:jc w:val="center"/>
              <w:outlineLvl w:val="0"/>
              <w:rPr>
                <w:rFonts w:ascii="Times New Roman" w:hAnsi="Times New Roman"/>
                <w:b/>
                <w:bCs/>
                <w:sz w:val="20"/>
                <w:szCs w:val="20"/>
              </w:rPr>
            </w:pPr>
            <w:r w:rsidRPr="00A55785">
              <w:rPr>
                <w:rFonts w:ascii="Times New Roman" w:hAnsi="Times New Roman"/>
                <w:b/>
                <w:bCs/>
                <w:sz w:val="20"/>
                <w:szCs w:val="20"/>
              </w:rPr>
              <w:t>Total Acid Amount</w:t>
            </w:r>
          </w:p>
          <w:p w:rsidR="00A55785" w:rsidRPr="00A55785" w:rsidRDefault="00A55785" w:rsidP="00A55785">
            <w:pPr>
              <w:spacing w:after="0" w:line="240" w:lineRule="auto"/>
              <w:jc w:val="center"/>
              <w:outlineLvl w:val="0"/>
              <w:rPr>
                <w:rFonts w:ascii="Times New Roman" w:hAnsi="Times New Roman"/>
                <w:b/>
                <w:bCs/>
                <w:sz w:val="20"/>
                <w:szCs w:val="20"/>
              </w:rPr>
            </w:pPr>
            <w:r w:rsidRPr="00A55785">
              <w:rPr>
                <w:rFonts w:ascii="Times New Roman" w:hAnsi="Times New Roman"/>
                <w:b/>
                <w:bCs/>
                <w:sz w:val="20"/>
                <w:szCs w:val="20"/>
              </w:rPr>
              <w:t>(µmol g</w:t>
            </w:r>
            <w:r w:rsidRPr="00A55785">
              <w:rPr>
                <w:rFonts w:ascii="Times New Roman" w:hAnsi="Times New Roman"/>
                <w:b/>
                <w:bCs/>
                <w:sz w:val="20"/>
                <w:szCs w:val="20"/>
                <w:vertAlign w:val="superscript"/>
              </w:rPr>
              <w:t>-1</w:t>
            </w:r>
            <w:r w:rsidRPr="00A55785">
              <w:rPr>
                <w:rFonts w:ascii="Times New Roman" w:hAnsi="Times New Roman"/>
                <w:b/>
                <w:bCs/>
                <w:sz w:val="20"/>
                <w:szCs w:val="20"/>
              </w:rPr>
              <w:t>)</w:t>
            </w:r>
          </w:p>
        </w:tc>
      </w:tr>
      <w:tr w:rsidR="00A55785" w:rsidRPr="00A55785" w:rsidTr="008479E9">
        <w:trPr>
          <w:trHeight w:val="240"/>
          <w:jc w:val="center"/>
        </w:trPr>
        <w:tc>
          <w:tcPr>
            <w:tcW w:w="962" w:type="pct"/>
            <w:vMerge/>
            <w:tcBorders>
              <w:top w:val="single" w:sz="4" w:space="0" w:color="auto"/>
              <w:left w:val="nil"/>
              <w:bottom w:val="single" w:sz="4" w:space="0" w:color="auto"/>
              <w:right w:val="nil"/>
            </w:tcBorders>
            <w:shd w:val="clear" w:color="auto" w:fill="auto"/>
          </w:tcPr>
          <w:p w:rsidR="00A55785" w:rsidRPr="00A55785" w:rsidRDefault="00A55785" w:rsidP="00A55785">
            <w:pPr>
              <w:spacing w:after="0" w:line="240" w:lineRule="auto"/>
              <w:outlineLvl w:val="0"/>
              <w:rPr>
                <w:rFonts w:ascii="Times New Roman" w:hAnsi="Times New Roman"/>
                <w:b/>
                <w:bCs/>
                <w:sz w:val="20"/>
                <w:szCs w:val="20"/>
              </w:rPr>
            </w:pPr>
          </w:p>
        </w:tc>
        <w:tc>
          <w:tcPr>
            <w:tcW w:w="961" w:type="pct"/>
            <w:tcBorders>
              <w:top w:val="single" w:sz="4" w:space="0" w:color="auto"/>
              <w:left w:val="nil"/>
              <w:bottom w:val="single" w:sz="4" w:space="0" w:color="auto"/>
              <w:right w:val="nil"/>
            </w:tcBorders>
            <w:shd w:val="clear" w:color="auto" w:fill="auto"/>
          </w:tcPr>
          <w:p w:rsidR="00A55785" w:rsidRPr="00A55785" w:rsidRDefault="00A55785" w:rsidP="00A55785">
            <w:pPr>
              <w:spacing w:after="60" w:line="240" w:lineRule="auto"/>
              <w:jc w:val="center"/>
              <w:outlineLvl w:val="0"/>
              <w:rPr>
                <w:rFonts w:ascii="Times New Roman" w:hAnsi="Times New Roman"/>
                <w:b/>
                <w:sz w:val="20"/>
                <w:szCs w:val="20"/>
              </w:rPr>
            </w:pPr>
            <w:r w:rsidRPr="00A55785">
              <w:rPr>
                <w:rFonts w:ascii="Times New Roman" w:hAnsi="Times New Roman"/>
                <w:b/>
                <w:bCs/>
                <w:sz w:val="20"/>
                <w:szCs w:val="20"/>
              </w:rPr>
              <w:t>Weak Acid Site (373-523 K)</w:t>
            </w:r>
          </w:p>
        </w:tc>
        <w:tc>
          <w:tcPr>
            <w:tcW w:w="1074" w:type="pct"/>
            <w:tcBorders>
              <w:top w:val="single" w:sz="4" w:space="0" w:color="auto"/>
              <w:left w:val="nil"/>
              <w:bottom w:val="single" w:sz="4" w:space="0" w:color="auto"/>
              <w:right w:val="nil"/>
            </w:tcBorders>
            <w:shd w:val="clear" w:color="auto" w:fill="auto"/>
          </w:tcPr>
          <w:p w:rsidR="00A55785" w:rsidRPr="00A55785" w:rsidRDefault="00A55785" w:rsidP="00A55785">
            <w:pPr>
              <w:spacing w:after="0" w:line="240" w:lineRule="auto"/>
              <w:jc w:val="center"/>
              <w:outlineLvl w:val="0"/>
              <w:rPr>
                <w:rFonts w:ascii="Times New Roman" w:hAnsi="Times New Roman"/>
                <w:b/>
                <w:sz w:val="20"/>
                <w:szCs w:val="20"/>
              </w:rPr>
            </w:pPr>
            <w:r w:rsidRPr="00A55785">
              <w:rPr>
                <w:rFonts w:ascii="Times New Roman" w:hAnsi="Times New Roman"/>
                <w:b/>
                <w:bCs/>
                <w:sz w:val="20"/>
                <w:szCs w:val="20"/>
              </w:rPr>
              <w:t>Moderate Acid Site (523-673 K)</w:t>
            </w:r>
          </w:p>
        </w:tc>
        <w:tc>
          <w:tcPr>
            <w:tcW w:w="1002" w:type="pct"/>
            <w:tcBorders>
              <w:top w:val="single" w:sz="4" w:space="0" w:color="auto"/>
              <w:left w:val="nil"/>
              <w:bottom w:val="single" w:sz="4" w:space="0" w:color="auto"/>
              <w:right w:val="nil"/>
            </w:tcBorders>
            <w:shd w:val="clear" w:color="auto" w:fill="auto"/>
          </w:tcPr>
          <w:p w:rsidR="00A55785" w:rsidRPr="00A55785" w:rsidRDefault="00A55785" w:rsidP="00A55785">
            <w:pPr>
              <w:spacing w:after="0" w:line="240" w:lineRule="auto"/>
              <w:jc w:val="center"/>
              <w:outlineLvl w:val="0"/>
              <w:rPr>
                <w:rFonts w:ascii="Times New Roman" w:hAnsi="Times New Roman"/>
                <w:b/>
                <w:bCs/>
                <w:sz w:val="20"/>
                <w:szCs w:val="20"/>
              </w:rPr>
            </w:pPr>
            <w:r w:rsidRPr="00A55785">
              <w:rPr>
                <w:rFonts w:ascii="Times New Roman" w:hAnsi="Times New Roman"/>
                <w:b/>
                <w:bCs/>
                <w:sz w:val="20"/>
                <w:szCs w:val="20"/>
              </w:rPr>
              <w:t>Strong Acid Site</w:t>
            </w:r>
          </w:p>
          <w:p w:rsidR="00A55785" w:rsidRPr="00A55785" w:rsidRDefault="00A55785" w:rsidP="00A55785">
            <w:pPr>
              <w:spacing w:after="0" w:line="240" w:lineRule="auto"/>
              <w:jc w:val="center"/>
              <w:outlineLvl w:val="0"/>
              <w:rPr>
                <w:rFonts w:ascii="Times New Roman" w:hAnsi="Times New Roman"/>
                <w:b/>
                <w:sz w:val="20"/>
                <w:szCs w:val="20"/>
              </w:rPr>
            </w:pPr>
            <w:r w:rsidRPr="00A55785">
              <w:rPr>
                <w:rFonts w:ascii="Times New Roman" w:hAnsi="Times New Roman"/>
                <w:b/>
                <w:bCs/>
                <w:sz w:val="20"/>
                <w:szCs w:val="20"/>
              </w:rPr>
              <w:t>(673-823 K)</w:t>
            </w:r>
          </w:p>
        </w:tc>
        <w:tc>
          <w:tcPr>
            <w:tcW w:w="1001" w:type="pct"/>
            <w:vMerge/>
            <w:tcBorders>
              <w:top w:val="single" w:sz="4" w:space="0" w:color="auto"/>
              <w:left w:val="nil"/>
              <w:bottom w:val="single" w:sz="4" w:space="0" w:color="auto"/>
              <w:right w:val="nil"/>
            </w:tcBorders>
            <w:shd w:val="clear" w:color="auto" w:fill="auto"/>
          </w:tcPr>
          <w:p w:rsidR="00A55785" w:rsidRPr="00A55785" w:rsidRDefault="00A55785" w:rsidP="00A55785">
            <w:pPr>
              <w:spacing w:after="0" w:line="240" w:lineRule="auto"/>
              <w:jc w:val="center"/>
              <w:outlineLvl w:val="0"/>
              <w:rPr>
                <w:rFonts w:ascii="Times New Roman" w:hAnsi="Times New Roman"/>
                <w:sz w:val="20"/>
                <w:szCs w:val="20"/>
              </w:rPr>
            </w:pPr>
          </w:p>
        </w:tc>
      </w:tr>
      <w:tr w:rsidR="00A55785" w:rsidRPr="00A55785" w:rsidTr="008479E9">
        <w:trPr>
          <w:trHeight w:val="240"/>
          <w:jc w:val="center"/>
        </w:trPr>
        <w:tc>
          <w:tcPr>
            <w:tcW w:w="962" w:type="pct"/>
            <w:tcBorders>
              <w:top w:val="single" w:sz="4" w:space="0" w:color="auto"/>
              <w:bottom w:val="nil"/>
            </w:tcBorders>
            <w:shd w:val="clear" w:color="auto" w:fill="auto"/>
          </w:tcPr>
          <w:p w:rsidR="00A55785" w:rsidRPr="00A55785" w:rsidRDefault="00A55785" w:rsidP="00A55785">
            <w:pPr>
              <w:spacing w:before="60" w:after="0" w:line="240" w:lineRule="auto"/>
              <w:rPr>
                <w:rFonts w:ascii="Times New Roman" w:hAnsi="Times New Roman"/>
                <w:b/>
                <w:bCs/>
                <w:sz w:val="20"/>
                <w:szCs w:val="20"/>
              </w:rPr>
            </w:pPr>
            <w:r w:rsidRPr="00A55785">
              <w:rPr>
                <w:rFonts w:ascii="Times New Roman" w:hAnsi="Times New Roman"/>
                <w:bCs/>
                <w:sz w:val="20"/>
                <w:szCs w:val="20"/>
              </w:rPr>
              <w:t>CeO</w:t>
            </w:r>
            <w:r w:rsidRPr="00A55785">
              <w:rPr>
                <w:rFonts w:ascii="Times New Roman" w:hAnsi="Times New Roman"/>
                <w:bCs/>
                <w:sz w:val="20"/>
                <w:szCs w:val="20"/>
                <w:vertAlign w:val="subscript"/>
              </w:rPr>
              <w:t>2</w:t>
            </w:r>
          </w:p>
        </w:tc>
        <w:tc>
          <w:tcPr>
            <w:tcW w:w="961" w:type="pct"/>
            <w:tcBorders>
              <w:top w:val="single" w:sz="4" w:space="0" w:color="auto"/>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819</w:t>
            </w:r>
          </w:p>
        </w:tc>
        <w:tc>
          <w:tcPr>
            <w:tcW w:w="1074" w:type="pct"/>
            <w:tcBorders>
              <w:top w:val="single" w:sz="4" w:space="0" w:color="auto"/>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188</w:t>
            </w:r>
          </w:p>
        </w:tc>
        <w:tc>
          <w:tcPr>
            <w:tcW w:w="1002" w:type="pct"/>
            <w:tcBorders>
              <w:top w:val="single" w:sz="4" w:space="0" w:color="auto"/>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548</w:t>
            </w:r>
          </w:p>
        </w:tc>
        <w:tc>
          <w:tcPr>
            <w:tcW w:w="1001" w:type="pct"/>
            <w:tcBorders>
              <w:top w:val="single" w:sz="4" w:space="0" w:color="auto"/>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1555</w:t>
            </w:r>
          </w:p>
        </w:tc>
      </w:tr>
      <w:tr w:rsidR="00A55785" w:rsidRPr="00A55785" w:rsidTr="008479E9">
        <w:trPr>
          <w:trHeight w:val="240"/>
          <w:jc w:val="center"/>
        </w:trPr>
        <w:tc>
          <w:tcPr>
            <w:tcW w:w="962" w:type="pct"/>
            <w:tcBorders>
              <w:top w:val="nil"/>
              <w:left w:val="nil"/>
              <w:right w:val="nil"/>
            </w:tcBorders>
            <w:shd w:val="clear" w:color="auto" w:fill="auto"/>
          </w:tcPr>
          <w:p w:rsidR="00A55785" w:rsidRPr="00A55785" w:rsidRDefault="00A55785" w:rsidP="00A55785">
            <w:pPr>
              <w:spacing w:before="60" w:after="0" w:line="240" w:lineRule="auto"/>
              <w:rPr>
                <w:rFonts w:ascii="Times New Roman" w:hAnsi="Times New Roman"/>
                <w:b/>
                <w:bCs/>
                <w:sz w:val="20"/>
                <w:szCs w:val="20"/>
              </w:rPr>
            </w:pPr>
            <w:r w:rsidRPr="00A55785">
              <w:rPr>
                <w:rFonts w:ascii="Times New Roman" w:hAnsi="Times New Roman"/>
                <w:bCs/>
                <w:sz w:val="20"/>
                <w:szCs w:val="20"/>
              </w:rPr>
              <w:t>10PA-CeO</w:t>
            </w:r>
            <w:r w:rsidRPr="00A55785">
              <w:rPr>
                <w:rFonts w:ascii="Times New Roman" w:hAnsi="Times New Roman"/>
                <w:bCs/>
                <w:sz w:val="20"/>
                <w:szCs w:val="20"/>
                <w:vertAlign w:val="subscript"/>
              </w:rPr>
              <w:t>2</w:t>
            </w:r>
          </w:p>
        </w:tc>
        <w:tc>
          <w:tcPr>
            <w:tcW w:w="961" w:type="pct"/>
            <w:tcBorders>
              <w:top w:val="nil"/>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850</w:t>
            </w:r>
          </w:p>
        </w:tc>
        <w:tc>
          <w:tcPr>
            <w:tcW w:w="1074" w:type="pct"/>
            <w:tcBorders>
              <w:top w:val="nil"/>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837</w:t>
            </w:r>
          </w:p>
        </w:tc>
        <w:tc>
          <w:tcPr>
            <w:tcW w:w="1002" w:type="pct"/>
            <w:tcBorders>
              <w:top w:val="nil"/>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413</w:t>
            </w:r>
          </w:p>
        </w:tc>
        <w:tc>
          <w:tcPr>
            <w:tcW w:w="1001" w:type="pct"/>
            <w:tcBorders>
              <w:top w:val="nil"/>
              <w:left w:val="nil"/>
              <w:right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2100</w:t>
            </w:r>
          </w:p>
        </w:tc>
      </w:tr>
      <w:tr w:rsidR="00A55785" w:rsidRPr="00A55785" w:rsidTr="008479E9">
        <w:trPr>
          <w:trHeight w:val="240"/>
          <w:jc w:val="center"/>
        </w:trPr>
        <w:tc>
          <w:tcPr>
            <w:tcW w:w="962" w:type="pct"/>
            <w:tcBorders>
              <w:bottom w:val="nil"/>
            </w:tcBorders>
            <w:shd w:val="clear" w:color="auto" w:fill="auto"/>
          </w:tcPr>
          <w:p w:rsidR="00A55785" w:rsidRPr="00A55785" w:rsidRDefault="00A55785" w:rsidP="00A55785">
            <w:pPr>
              <w:spacing w:before="60" w:after="0" w:line="240" w:lineRule="auto"/>
              <w:rPr>
                <w:rFonts w:ascii="Times New Roman" w:hAnsi="Times New Roman"/>
                <w:b/>
                <w:bCs/>
                <w:sz w:val="20"/>
                <w:szCs w:val="20"/>
              </w:rPr>
            </w:pPr>
            <w:r w:rsidRPr="00A55785">
              <w:rPr>
                <w:rFonts w:ascii="Times New Roman" w:hAnsi="Times New Roman"/>
                <w:bCs/>
                <w:sz w:val="20"/>
                <w:szCs w:val="20"/>
              </w:rPr>
              <w:t>20PA-CeO</w:t>
            </w:r>
            <w:r w:rsidRPr="00A55785">
              <w:rPr>
                <w:rFonts w:ascii="Times New Roman" w:hAnsi="Times New Roman"/>
                <w:bCs/>
                <w:sz w:val="20"/>
                <w:szCs w:val="20"/>
                <w:vertAlign w:val="subscript"/>
              </w:rPr>
              <w:t>2</w:t>
            </w:r>
          </w:p>
        </w:tc>
        <w:tc>
          <w:tcPr>
            <w:tcW w:w="961" w:type="pct"/>
            <w:tcBorders>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838</w:t>
            </w:r>
          </w:p>
        </w:tc>
        <w:tc>
          <w:tcPr>
            <w:tcW w:w="1074" w:type="pct"/>
            <w:tcBorders>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1238</w:t>
            </w:r>
          </w:p>
        </w:tc>
        <w:tc>
          <w:tcPr>
            <w:tcW w:w="1002" w:type="pct"/>
            <w:tcBorders>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385</w:t>
            </w:r>
          </w:p>
        </w:tc>
        <w:tc>
          <w:tcPr>
            <w:tcW w:w="1001" w:type="pct"/>
            <w:tcBorders>
              <w:bottom w:val="nil"/>
            </w:tcBorders>
            <w:shd w:val="clear" w:color="auto" w:fill="auto"/>
          </w:tcPr>
          <w:p w:rsidR="00A55785" w:rsidRPr="00A55785" w:rsidRDefault="00A55785" w:rsidP="00A55785">
            <w:pPr>
              <w:spacing w:before="60" w:after="0" w:line="240" w:lineRule="auto"/>
              <w:jc w:val="center"/>
              <w:rPr>
                <w:rFonts w:ascii="Times New Roman" w:hAnsi="Times New Roman"/>
                <w:bCs/>
                <w:sz w:val="20"/>
                <w:szCs w:val="20"/>
              </w:rPr>
            </w:pPr>
            <w:r w:rsidRPr="00A55785">
              <w:rPr>
                <w:rFonts w:ascii="Times New Roman" w:hAnsi="Times New Roman"/>
                <w:bCs/>
                <w:sz w:val="20"/>
                <w:szCs w:val="20"/>
              </w:rPr>
              <w:t>2461</w:t>
            </w:r>
          </w:p>
        </w:tc>
      </w:tr>
      <w:tr w:rsidR="00A55785" w:rsidRPr="00A55785" w:rsidTr="008479E9">
        <w:trPr>
          <w:trHeight w:val="240"/>
          <w:jc w:val="center"/>
        </w:trPr>
        <w:tc>
          <w:tcPr>
            <w:tcW w:w="962" w:type="pct"/>
            <w:tcBorders>
              <w:top w:val="nil"/>
              <w:left w:val="nil"/>
              <w:bottom w:val="single" w:sz="4" w:space="0" w:color="auto"/>
              <w:right w:val="nil"/>
            </w:tcBorders>
            <w:shd w:val="clear" w:color="auto" w:fill="auto"/>
          </w:tcPr>
          <w:p w:rsidR="00A55785" w:rsidRPr="00A55785" w:rsidRDefault="00A55785" w:rsidP="00A55785">
            <w:pPr>
              <w:spacing w:before="60" w:after="60" w:line="240" w:lineRule="auto"/>
              <w:rPr>
                <w:rFonts w:ascii="Times New Roman" w:hAnsi="Times New Roman"/>
                <w:b/>
                <w:bCs/>
                <w:sz w:val="20"/>
                <w:szCs w:val="20"/>
              </w:rPr>
            </w:pPr>
            <w:r w:rsidRPr="00A55785">
              <w:rPr>
                <w:rFonts w:ascii="Times New Roman" w:hAnsi="Times New Roman"/>
                <w:bCs/>
                <w:sz w:val="20"/>
                <w:szCs w:val="20"/>
              </w:rPr>
              <w:t>30PA-CeO</w:t>
            </w:r>
            <w:r w:rsidRPr="00A55785">
              <w:rPr>
                <w:rFonts w:ascii="Times New Roman" w:hAnsi="Times New Roman"/>
                <w:bCs/>
                <w:sz w:val="20"/>
                <w:szCs w:val="20"/>
                <w:vertAlign w:val="subscript"/>
              </w:rPr>
              <w:t>2</w:t>
            </w:r>
          </w:p>
        </w:tc>
        <w:tc>
          <w:tcPr>
            <w:tcW w:w="961" w:type="pct"/>
            <w:tcBorders>
              <w:top w:val="nil"/>
              <w:left w:val="nil"/>
              <w:bottom w:val="single" w:sz="4" w:space="0" w:color="auto"/>
              <w:right w:val="nil"/>
            </w:tcBorders>
            <w:shd w:val="clear" w:color="auto" w:fill="auto"/>
          </w:tcPr>
          <w:p w:rsidR="00A55785" w:rsidRPr="00A55785" w:rsidRDefault="00A55785" w:rsidP="00A55785">
            <w:pPr>
              <w:spacing w:before="60" w:after="60" w:line="240" w:lineRule="auto"/>
              <w:jc w:val="center"/>
              <w:rPr>
                <w:rFonts w:ascii="Times New Roman" w:hAnsi="Times New Roman"/>
                <w:bCs/>
                <w:sz w:val="20"/>
                <w:szCs w:val="20"/>
              </w:rPr>
            </w:pPr>
            <w:r w:rsidRPr="00A55785">
              <w:rPr>
                <w:rFonts w:ascii="Times New Roman" w:hAnsi="Times New Roman"/>
                <w:bCs/>
                <w:sz w:val="20"/>
                <w:szCs w:val="20"/>
              </w:rPr>
              <w:t>823</w:t>
            </w:r>
          </w:p>
        </w:tc>
        <w:tc>
          <w:tcPr>
            <w:tcW w:w="1074" w:type="pct"/>
            <w:tcBorders>
              <w:top w:val="nil"/>
              <w:left w:val="nil"/>
              <w:bottom w:val="single" w:sz="4" w:space="0" w:color="auto"/>
              <w:right w:val="nil"/>
            </w:tcBorders>
            <w:shd w:val="clear" w:color="auto" w:fill="auto"/>
          </w:tcPr>
          <w:p w:rsidR="00A55785" w:rsidRPr="00A55785" w:rsidRDefault="00A55785" w:rsidP="00A55785">
            <w:pPr>
              <w:spacing w:before="60" w:after="60" w:line="240" w:lineRule="auto"/>
              <w:jc w:val="center"/>
              <w:rPr>
                <w:rFonts w:ascii="Times New Roman" w:hAnsi="Times New Roman"/>
                <w:bCs/>
                <w:sz w:val="20"/>
                <w:szCs w:val="20"/>
              </w:rPr>
            </w:pPr>
            <w:r w:rsidRPr="00A55785">
              <w:rPr>
                <w:rFonts w:ascii="Times New Roman" w:hAnsi="Times New Roman"/>
                <w:bCs/>
                <w:sz w:val="20"/>
                <w:szCs w:val="20"/>
              </w:rPr>
              <w:t>1532</w:t>
            </w:r>
          </w:p>
        </w:tc>
        <w:tc>
          <w:tcPr>
            <w:tcW w:w="1002" w:type="pct"/>
            <w:tcBorders>
              <w:top w:val="nil"/>
              <w:left w:val="nil"/>
              <w:bottom w:val="single" w:sz="4" w:space="0" w:color="auto"/>
              <w:right w:val="nil"/>
            </w:tcBorders>
            <w:shd w:val="clear" w:color="auto" w:fill="auto"/>
          </w:tcPr>
          <w:p w:rsidR="00A55785" w:rsidRPr="00A55785" w:rsidRDefault="00A55785" w:rsidP="00A55785">
            <w:pPr>
              <w:spacing w:before="60" w:after="60" w:line="240" w:lineRule="auto"/>
              <w:jc w:val="center"/>
              <w:rPr>
                <w:rFonts w:ascii="Times New Roman" w:hAnsi="Times New Roman"/>
                <w:bCs/>
                <w:sz w:val="20"/>
                <w:szCs w:val="20"/>
              </w:rPr>
            </w:pPr>
            <w:r w:rsidRPr="00A55785">
              <w:rPr>
                <w:rFonts w:ascii="Times New Roman" w:hAnsi="Times New Roman"/>
                <w:bCs/>
                <w:sz w:val="20"/>
                <w:szCs w:val="20"/>
              </w:rPr>
              <w:t>284</w:t>
            </w:r>
          </w:p>
        </w:tc>
        <w:tc>
          <w:tcPr>
            <w:tcW w:w="1001" w:type="pct"/>
            <w:tcBorders>
              <w:top w:val="nil"/>
              <w:left w:val="nil"/>
              <w:bottom w:val="single" w:sz="4" w:space="0" w:color="auto"/>
              <w:right w:val="nil"/>
            </w:tcBorders>
            <w:shd w:val="clear" w:color="auto" w:fill="auto"/>
          </w:tcPr>
          <w:p w:rsidR="00A55785" w:rsidRPr="00A55785" w:rsidRDefault="00A55785" w:rsidP="00A55785">
            <w:pPr>
              <w:spacing w:before="60" w:after="60" w:line="240" w:lineRule="auto"/>
              <w:jc w:val="center"/>
              <w:rPr>
                <w:rFonts w:ascii="Times New Roman" w:hAnsi="Times New Roman"/>
                <w:bCs/>
                <w:sz w:val="20"/>
                <w:szCs w:val="20"/>
              </w:rPr>
            </w:pPr>
            <w:r w:rsidRPr="00A55785">
              <w:rPr>
                <w:rFonts w:ascii="Times New Roman" w:hAnsi="Times New Roman"/>
                <w:bCs/>
                <w:sz w:val="20"/>
                <w:szCs w:val="20"/>
              </w:rPr>
              <w:t>2639</w:t>
            </w:r>
          </w:p>
        </w:tc>
      </w:tr>
    </w:tbl>
    <w:p w:rsidR="00A55785" w:rsidRPr="00A55785" w:rsidRDefault="00A55785" w:rsidP="00A55785">
      <w:pPr>
        <w:spacing w:after="120" w:line="240" w:lineRule="auto"/>
        <w:jc w:val="both"/>
        <w:outlineLvl w:val="0"/>
        <w:rPr>
          <w:rFonts w:ascii="Times New Roman" w:hAnsi="Times New Roman"/>
          <w:b/>
          <w:sz w:val="20"/>
          <w:szCs w:val="20"/>
        </w:rPr>
      </w:pPr>
    </w:p>
    <w:p w:rsidR="00A55785" w:rsidRPr="00A55785" w:rsidRDefault="00A55785" w:rsidP="00A55785">
      <w:pPr>
        <w:spacing w:after="0" w:line="240" w:lineRule="auto"/>
        <w:jc w:val="both"/>
        <w:outlineLvl w:val="0"/>
        <w:rPr>
          <w:rFonts w:ascii="Times New Roman" w:hAnsi="Times New Roman"/>
          <w:b/>
          <w:sz w:val="20"/>
          <w:szCs w:val="20"/>
        </w:rPr>
      </w:pPr>
      <w:r w:rsidRPr="00A55785">
        <w:rPr>
          <w:rFonts w:ascii="Times New Roman" w:hAnsi="Times New Roman"/>
          <w:b/>
          <w:sz w:val="20"/>
          <w:szCs w:val="20"/>
        </w:rPr>
        <w:t>Catalytic performances of modified cerium oxide phosphate catalysts</w:t>
      </w:r>
    </w:p>
    <w:p w:rsidR="00A55785" w:rsidRPr="00A55785" w:rsidRDefault="00A55785" w:rsidP="00A55785">
      <w:pPr>
        <w:spacing w:after="0" w:line="240" w:lineRule="auto"/>
        <w:jc w:val="both"/>
        <w:rPr>
          <w:rFonts w:ascii="Times New Roman" w:hAnsi="Times New Roman"/>
          <w:sz w:val="20"/>
          <w:szCs w:val="20"/>
        </w:rPr>
      </w:pPr>
      <w:r w:rsidRPr="00A55785">
        <w:rPr>
          <w:rFonts w:ascii="Times New Roman" w:hAnsi="Times New Roman"/>
          <w:sz w:val="20"/>
          <w:szCs w:val="20"/>
        </w:rPr>
        <w:t>Table 3 shows the product distribution over CeO</w:t>
      </w:r>
      <w:r w:rsidRPr="00A55785">
        <w:rPr>
          <w:rFonts w:ascii="Times New Roman" w:hAnsi="Times New Roman"/>
          <w:sz w:val="20"/>
          <w:szCs w:val="20"/>
          <w:vertAlign w:val="subscript"/>
        </w:rPr>
        <w:t>2</w:t>
      </w:r>
      <w:r w:rsidRPr="00A55785">
        <w:rPr>
          <w:rFonts w:ascii="Times New Roman" w:hAnsi="Times New Roman"/>
          <w:sz w:val="20"/>
          <w:szCs w:val="20"/>
        </w:rPr>
        <w:t xml:space="preserve"> and 10, 20, 30PA- CeO</w:t>
      </w:r>
      <w:r w:rsidRPr="00A55785">
        <w:rPr>
          <w:rFonts w:ascii="Times New Roman" w:hAnsi="Times New Roman"/>
          <w:sz w:val="20"/>
          <w:szCs w:val="20"/>
          <w:vertAlign w:val="subscript"/>
        </w:rPr>
        <w:t xml:space="preserve">2 </w:t>
      </w:r>
      <w:r w:rsidRPr="00A55785">
        <w:rPr>
          <w:rFonts w:ascii="Times New Roman" w:hAnsi="Times New Roman"/>
          <w:sz w:val="20"/>
          <w:szCs w:val="20"/>
        </w:rPr>
        <w:t>catalyst at different reaction temperature and ethanol partial pressure 33 kPa. Cerium oxide catalyst presented lowest catalytic performance among all synthesized catalysts. The pure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under the same reaction condition as aforementioned, the conversions recorded were 1.25%, 2.45% and 6.89%, respectively. This reveals that the acidity amount found in CeO</w:t>
      </w:r>
      <w:r w:rsidRPr="00A55785">
        <w:rPr>
          <w:rFonts w:ascii="Times New Roman" w:hAnsi="Times New Roman"/>
          <w:sz w:val="20"/>
          <w:szCs w:val="20"/>
          <w:vertAlign w:val="subscript"/>
        </w:rPr>
        <w:t>2</w:t>
      </w:r>
      <w:r w:rsidRPr="00A55785">
        <w:rPr>
          <w:rFonts w:ascii="Times New Roman" w:hAnsi="Times New Roman"/>
          <w:sz w:val="20"/>
          <w:szCs w:val="20"/>
        </w:rPr>
        <w:t>cannot protonate the hydroxyl group of C</w:t>
      </w:r>
      <w:r w:rsidRPr="00A55785">
        <w:rPr>
          <w:rFonts w:ascii="Times New Roman" w:hAnsi="Times New Roman"/>
          <w:sz w:val="20"/>
          <w:szCs w:val="20"/>
          <w:vertAlign w:val="subscript"/>
        </w:rPr>
        <w:t>2</w:t>
      </w:r>
      <w:r w:rsidRPr="00A55785">
        <w:rPr>
          <w:rFonts w:ascii="Times New Roman" w:hAnsi="Times New Roman"/>
          <w:sz w:val="20"/>
          <w:szCs w:val="20"/>
        </w:rPr>
        <w:t>H</w:t>
      </w:r>
      <w:r w:rsidRPr="00A55785">
        <w:rPr>
          <w:rFonts w:ascii="Times New Roman" w:hAnsi="Times New Roman"/>
          <w:sz w:val="20"/>
          <w:szCs w:val="20"/>
          <w:vertAlign w:val="subscript"/>
        </w:rPr>
        <w:t>5</w:t>
      </w:r>
      <w:r w:rsidRPr="00A55785">
        <w:rPr>
          <w:rFonts w:ascii="Times New Roman" w:hAnsi="Times New Roman"/>
          <w:sz w:val="20"/>
          <w:szCs w:val="20"/>
        </w:rPr>
        <w:t>OH which explains its low activity. The selectivity decreases with the increasing reaction temperature. This is due to higher hydrocarbons formation with almost 35% at 773 K. CeO</w:t>
      </w:r>
      <w:r w:rsidRPr="00A55785">
        <w:rPr>
          <w:rFonts w:ascii="Times New Roman" w:hAnsi="Times New Roman"/>
          <w:sz w:val="20"/>
          <w:szCs w:val="20"/>
          <w:vertAlign w:val="subscript"/>
        </w:rPr>
        <w:t>2</w:t>
      </w:r>
      <w:r w:rsidRPr="00A55785">
        <w:rPr>
          <w:rFonts w:ascii="Times New Roman" w:hAnsi="Times New Roman"/>
          <w:sz w:val="20"/>
          <w:szCs w:val="20"/>
        </w:rPr>
        <w:t xml:space="preserve"> presents highest number of strong acidic sites which lead to the higher hydrocarbons formation </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"10.1021/ie901666f", "ISBN" : "0888-5885", "ISSN" : "08885885", "abstract" : "Phosphorus (P) modified H-ZSM-5 catalysts were prepared by wet impregnation method by varying P loadings from 0 to 7.43 wt % using phosphoric acid (H3PO4) as the P source. The catalysts were tested for ethanol dehydration in the temperature range of 523-723 K. The P-modified catalysts were found to be highly active and selective toward ethylene at 673 K and atmospheric pressure. In addition, the P-modified catalysts were found to be extremely stable more than 200 h without any sign of deactivation. However, the selectivity was found to be strongly dependent on several factors such as P content, reaction temperature, and space velocity (WHSV). The P-modified ZSM-5 catalysts were also found to be highly active for the dehydration of aqueous ethanol solutions (10 wt %) showing very high ethylene selectivity (above 98%) at significantly lower temperature 623 K. The catalysts were thoroughly characterized using various methods, including N2 physisorption, X-ray diffraction (XRD), Fourier transform infrared spectroscopy (FT-IR), thermogravimetric differential thermal analysis (TG-DTA), 1H, 27Al, and 31P magic angle spinning nuclear magnetic resonance (MAS NMR), and amonia temperature programmed desorption (NH3-TPD). 27Al MAS NMR spectra suggest that P addition facilitate the breaking of Si-O-Al bond that lead to a partial dealumination. NH3-TPD results indicate that total acidity as well as density of high strength acid sites were decreased with P loading.", "author" : [ { "dropping-particle" : "", "family" : "Ramesh", "given" : "Kanaparthi", "non-dropping-particle" : "", "parse-names" : false, "suffix" : "" }, { "dropping-particle" : "", "family" : "Jie", "given" : "Chang", "non-dropping-particle" : "", "parse-names" : false, "suffix" : "" }, { "dropping-particle" : "", "family" : "Han", "given" : "Yi Fan", "non-dropping-particle" : "", "parse-names" : false, "suffix" : "" }, { "dropping-particle" : "", "family" : "Borgna", "given" : "Armando", "non-dropping-particle" : "", "parse-names" : false, "suffix" : "" } ], "container-title" : "Industrial and Engineering Chemistry Research", "id" : "ITEM-1", "issue" : "9", "issued" : { "date-parts" : [ [ "2010" ] ] }, "page" : "4080-4090", "title" : "Synthesis, characterization, and catalytic activity of phosphorus modified H-ZSM-5 catalysts in selective ethanol dehydration", "type" : "article-journal", "volume" : "49" }, "uris" : [ "http://www.mendeley.com/documents/?uuid=f63c8842-89bf-4d81-ad2f-e741fa28462d" ] }, { "id" : "ITEM-2", "itemData" : { "DOI" : "10.1016/j.catcom.2008.10.034", "ISSN" : "15667367", "abstract" : "H3PO4/H-ZSM-5 catalysts were prepared by impregnation method with varying H3PO4 loadings from 5 to 20wt%. The H3PO4 modified catalysts were found to be highly active and selective towards ethylene during ethanol dehydration at 673K. However, the selectivity was found to strongly depend on the content of H3PO4, reaction temperature and WHSV. The catalysts were characterized using X-ray diffraction, NH3-TPD, N2 physisorption, 27Al, and 31P MAS NMR techniques.", "author" : [ { "dropping-particle" : "", "family" : "Ramesh", "given" : "Kanaparthi", "non-dropping-particle" : "", "parse-names" : false, "suffix" : "" }, { "dropping-particle" : "", "family" : "Hui", "given" : "Lau Mei", "non-dropping-particle" : "", "parse-names" : false, "suffix" : "" }, { "dropping-particle" : "", "family" : "Han", "given" : "Yi Fan", "non-dropping-particle" : "", "parse-names" : false, "suffix" : "" }, { "dropping-particle" : "", "family" : "Borgna", "given" : "Armando", "non-dropping-particle" : "", "parse-names" : false, "suffix" : "" } ], "container-title" : "Catalysis Communications", "id" : "ITEM-2", "issue" : "5", "issued" : { "date-parts" : [ [ "2009", "1", "25" ] ] }, "page" : "567-571", "title" : "Structure and reactivity of phosphorous modified H-ZSM-5 catalysts for ethanol dehydration", "type" : "article-journal", "volume" : "10" }, "uris" : [ "http://www.mendeley.com/documents/?uuid=1d5a074c-1170-4c6a-af16-9396a0474c55" ] } ], "mendeley" : { "formattedCitation" : "[16], [22]", "plainTextFormattedCitation" : "[16], [22]", "previouslyFormattedCitation" : "[16], [21]"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[16], [22]</w:t>
      </w:r>
      <w:r w:rsidRPr="00A55785">
        <w:rPr>
          <w:rFonts w:ascii="Times New Roman" w:hAnsi="Times New Roman"/>
          <w:sz w:val="20"/>
          <w:szCs w:val="20"/>
        </w:rPr>
        <w:fldChar w:fldCharType="end"/>
      </w:r>
      <w:r w:rsidRPr="00A55785">
        <w:rPr>
          <w:rFonts w:ascii="Times New Roman" w:hAnsi="Times New Roman"/>
          <w:sz w:val="20"/>
          <w:szCs w:val="20"/>
        </w:rPr>
        <w:t>. Hence, there were over 45% of hydrocarbons formed over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at high temperature.</w:t>
      </w:r>
    </w:p>
    <w:p w:rsidR="00A55785" w:rsidRPr="00A55785" w:rsidRDefault="00A55785" w:rsidP="00A55785">
      <w:pPr>
        <w:spacing w:after="0" w:line="240" w:lineRule="auto"/>
        <w:jc w:val="both"/>
        <w:outlineLvl w:val="0"/>
        <w:rPr>
          <w:rFonts w:ascii="Times New Roman" w:hAnsi="Times New Roman"/>
          <w:sz w:val="20"/>
          <w:szCs w:val="20"/>
        </w:rPr>
      </w:pPr>
    </w:p>
    <w:p w:rsidR="00173073" w:rsidRDefault="00A55785" w:rsidP="00A55785">
      <w:pPr>
        <w:spacing w:after="0" w:line="240" w:lineRule="auto"/>
        <w:ind w:left="709" w:hanging="709"/>
        <w:jc w:val="center"/>
        <w:outlineLvl w:val="0"/>
        <w:rPr>
          <w:rFonts w:ascii="Times New Roman" w:hAnsi="Times New Roman"/>
          <w:sz w:val="20"/>
          <w:szCs w:val="20"/>
        </w:rPr>
      </w:pPr>
      <w:r w:rsidRPr="00A55785">
        <w:rPr>
          <w:rFonts w:ascii="Times New Roman" w:hAnsi="Times New Roman"/>
          <w:sz w:val="20"/>
          <w:szCs w:val="20"/>
        </w:rPr>
        <w:lastRenderedPageBreak/>
        <w:t xml:space="preserve">Table 3. </w:t>
      </w:r>
      <w:r>
        <w:rPr>
          <w:rFonts w:ascii="Times New Roman" w:hAnsi="Times New Roman"/>
          <w:sz w:val="20"/>
          <w:szCs w:val="20"/>
        </w:rPr>
        <w:t xml:space="preserve"> </w:t>
      </w:r>
      <w:r w:rsidRPr="00A55785">
        <w:rPr>
          <w:rFonts w:ascii="Times New Roman" w:hAnsi="Times New Roman"/>
          <w:sz w:val="20"/>
          <w:szCs w:val="20"/>
        </w:rPr>
        <w:t>Product distributions of ethanol dehydration over CeO</w:t>
      </w:r>
      <w:r w:rsidRPr="00A55785">
        <w:rPr>
          <w:rFonts w:ascii="Times New Roman" w:hAnsi="Times New Roman"/>
          <w:sz w:val="20"/>
          <w:szCs w:val="20"/>
          <w:vertAlign w:val="subscript"/>
        </w:rPr>
        <w:t xml:space="preserve">2 </w:t>
      </w:r>
      <w:r w:rsidRPr="00A55785">
        <w:rPr>
          <w:rFonts w:ascii="Times New Roman" w:hAnsi="Times New Roman"/>
          <w:sz w:val="20"/>
          <w:szCs w:val="20"/>
        </w:rPr>
        <w:t>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at 33 kPa </w:t>
      </w:r>
    </w:p>
    <w:p w:rsidR="00A55785" w:rsidRPr="00A55785" w:rsidRDefault="00A55785" w:rsidP="00173073">
      <w:pPr>
        <w:spacing w:after="120" w:line="240" w:lineRule="auto"/>
        <w:ind w:left="706" w:hanging="706"/>
        <w:jc w:val="center"/>
        <w:outlineLvl w:val="0"/>
        <w:rPr>
          <w:rFonts w:ascii="Times New Roman" w:hAnsi="Times New Roman"/>
          <w:sz w:val="20"/>
          <w:szCs w:val="20"/>
        </w:rPr>
      </w:pPr>
      <w:r w:rsidRPr="00A55785">
        <w:rPr>
          <w:rFonts w:ascii="Times New Roman" w:hAnsi="Times New Roman"/>
          <w:sz w:val="20"/>
          <w:szCs w:val="20"/>
        </w:rPr>
        <w:t>and 673 – 773 K</w:t>
      </w:r>
    </w:p>
    <w:tbl>
      <w:tblPr>
        <w:tblStyle w:val="LightShading1"/>
        <w:tblW w:w="5000" w:type="pct"/>
        <w:tblLook w:val="04A0" w:firstRow="1" w:lastRow="0" w:firstColumn="1" w:lastColumn="0" w:noHBand="0" w:noVBand="1"/>
      </w:tblPr>
      <w:tblGrid>
        <w:gridCol w:w="1351"/>
        <w:gridCol w:w="699"/>
        <w:gridCol w:w="691"/>
        <w:gridCol w:w="693"/>
        <w:gridCol w:w="588"/>
        <w:gridCol w:w="693"/>
        <w:gridCol w:w="693"/>
        <w:gridCol w:w="685"/>
        <w:gridCol w:w="693"/>
        <w:gridCol w:w="693"/>
        <w:gridCol w:w="693"/>
        <w:gridCol w:w="693"/>
        <w:gridCol w:w="682"/>
      </w:tblGrid>
      <w:tr w:rsidR="00A55785" w:rsidRPr="00A55785" w:rsidTr="008479E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vMerge w:val="restart"/>
            <w:tcBorders>
              <w:top w:val="single" w:sz="4" w:space="0" w:color="auto"/>
              <w:bottom w:val="single" w:sz="4" w:space="0" w:color="auto"/>
            </w:tcBorders>
            <w:shd w:val="clear" w:color="auto" w:fill="auto"/>
          </w:tcPr>
          <w:p w:rsidR="00A55785" w:rsidRPr="00A55785" w:rsidRDefault="00A55785" w:rsidP="00173073">
            <w:pPr>
              <w:spacing w:before="240" w:after="0" w:line="240" w:lineRule="auto"/>
              <w:jc w:val="both"/>
              <w:outlineLvl w:val="0"/>
              <w:rPr>
                <w:rFonts w:ascii="Times New Roman" w:hAnsi="Times New Roman" w:cs="Times New Roman"/>
                <w:bCs w:val="0"/>
                <w:sz w:val="20"/>
                <w:szCs w:val="20"/>
              </w:rPr>
            </w:pPr>
            <w:r w:rsidRPr="00A55785">
              <w:rPr>
                <w:rFonts w:ascii="Times New Roman" w:hAnsi="Times New Roman" w:cs="Times New Roman"/>
                <w:bCs w:val="0"/>
                <w:sz w:val="20"/>
                <w:szCs w:val="20"/>
              </w:rPr>
              <w:t>Variable</w:t>
            </w:r>
          </w:p>
        </w:tc>
        <w:tc>
          <w:tcPr>
            <w:tcW w:w="1091" w:type="pct"/>
            <w:gridSpan w:val="3"/>
            <w:tcBorders>
              <w:top w:val="single" w:sz="4" w:space="0" w:color="auto"/>
              <w:bottom w:val="single" w:sz="4" w:space="0" w:color="auto"/>
            </w:tcBorders>
            <w:shd w:val="clear" w:color="auto" w:fill="auto"/>
          </w:tcPr>
          <w:p w:rsidR="00A55785" w:rsidRPr="00A55785" w:rsidRDefault="00A55785" w:rsidP="00173073">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55785">
              <w:rPr>
                <w:rFonts w:ascii="Times New Roman" w:hAnsi="Times New Roman" w:cs="Times New Roman"/>
                <w:bCs w:val="0"/>
                <w:sz w:val="20"/>
                <w:szCs w:val="20"/>
              </w:rPr>
              <w:t>CeO</w:t>
            </w:r>
            <w:r w:rsidRPr="00A55785">
              <w:rPr>
                <w:rFonts w:ascii="Times New Roman" w:hAnsi="Times New Roman" w:cs="Times New Roman"/>
                <w:bCs w:val="0"/>
                <w:sz w:val="20"/>
                <w:szCs w:val="20"/>
                <w:vertAlign w:val="subscript"/>
              </w:rPr>
              <w:t>2</w:t>
            </w:r>
          </w:p>
        </w:tc>
        <w:tc>
          <w:tcPr>
            <w:tcW w:w="1034" w:type="pct"/>
            <w:gridSpan w:val="3"/>
            <w:tcBorders>
              <w:top w:val="single" w:sz="4" w:space="0" w:color="auto"/>
              <w:bottom w:val="single" w:sz="4" w:space="0" w:color="auto"/>
            </w:tcBorders>
            <w:shd w:val="clear" w:color="auto" w:fill="auto"/>
          </w:tcPr>
          <w:p w:rsidR="00A55785" w:rsidRPr="00A55785" w:rsidRDefault="00A55785" w:rsidP="00173073">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55785">
              <w:rPr>
                <w:rFonts w:ascii="Times New Roman" w:hAnsi="Times New Roman" w:cs="Times New Roman"/>
                <w:bCs w:val="0"/>
                <w:sz w:val="20"/>
                <w:szCs w:val="20"/>
              </w:rPr>
              <w:t>10PA-CeO</w:t>
            </w:r>
            <w:r w:rsidRPr="00A55785">
              <w:rPr>
                <w:rFonts w:ascii="Times New Roman" w:hAnsi="Times New Roman" w:cs="Times New Roman"/>
                <w:bCs w:val="0"/>
                <w:sz w:val="20"/>
                <w:szCs w:val="20"/>
                <w:vertAlign w:val="subscript"/>
              </w:rPr>
              <w:t>2</w:t>
            </w:r>
          </w:p>
        </w:tc>
        <w:tc>
          <w:tcPr>
            <w:tcW w:w="1085" w:type="pct"/>
            <w:gridSpan w:val="3"/>
            <w:tcBorders>
              <w:top w:val="single" w:sz="4" w:space="0" w:color="auto"/>
              <w:bottom w:val="single" w:sz="4" w:space="0" w:color="auto"/>
            </w:tcBorders>
            <w:shd w:val="clear" w:color="auto" w:fill="auto"/>
          </w:tcPr>
          <w:p w:rsidR="00A55785" w:rsidRPr="00A55785" w:rsidRDefault="00A55785" w:rsidP="00173073">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55785">
              <w:rPr>
                <w:rFonts w:ascii="Times New Roman" w:hAnsi="Times New Roman" w:cs="Times New Roman"/>
                <w:bCs w:val="0"/>
                <w:sz w:val="20"/>
                <w:szCs w:val="20"/>
              </w:rPr>
              <w:t>20PA-CeO</w:t>
            </w:r>
            <w:r w:rsidRPr="00A55785">
              <w:rPr>
                <w:rFonts w:ascii="Times New Roman" w:hAnsi="Times New Roman" w:cs="Times New Roman"/>
                <w:bCs w:val="0"/>
                <w:sz w:val="20"/>
                <w:szCs w:val="20"/>
                <w:vertAlign w:val="subscript"/>
              </w:rPr>
              <w:t>2</w:t>
            </w:r>
          </w:p>
        </w:tc>
        <w:tc>
          <w:tcPr>
            <w:tcW w:w="1084" w:type="pct"/>
            <w:gridSpan w:val="3"/>
            <w:tcBorders>
              <w:top w:val="single" w:sz="4" w:space="0" w:color="auto"/>
              <w:bottom w:val="single" w:sz="4" w:space="0" w:color="auto"/>
            </w:tcBorders>
            <w:shd w:val="clear" w:color="auto" w:fill="auto"/>
          </w:tcPr>
          <w:p w:rsidR="00A55785" w:rsidRPr="00A55785" w:rsidRDefault="00A55785" w:rsidP="00173073">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55785">
              <w:rPr>
                <w:rFonts w:ascii="Times New Roman" w:hAnsi="Times New Roman" w:cs="Times New Roman"/>
                <w:bCs w:val="0"/>
                <w:sz w:val="20"/>
                <w:szCs w:val="20"/>
              </w:rPr>
              <w:t>30PA-CeO</w:t>
            </w:r>
            <w:r w:rsidRPr="00A55785">
              <w:rPr>
                <w:rFonts w:ascii="Times New Roman" w:hAnsi="Times New Roman" w:cs="Times New Roman"/>
                <w:bCs w:val="0"/>
                <w:sz w:val="20"/>
                <w:szCs w:val="20"/>
                <w:vertAlign w:val="subscript"/>
              </w:rPr>
              <w:t>2</w:t>
            </w:r>
          </w:p>
        </w:tc>
      </w:tr>
      <w:tr w:rsidR="00A55785" w:rsidRPr="00A55785" w:rsidTr="008479E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vMerge/>
            <w:tcBorders>
              <w:top w:val="single" w:sz="4" w:space="0" w:color="auto"/>
            </w:tcBorders>
            <w:shd w:val="clear" w:color="auto" w:fill="auto"/>
          </w:tcPr>
          <w:p w:rsidR="00A55785" w:rsidRPr="00A55785" w:rsidRDefault="00A55785" w:rsidP="00A55785">
            <w:pPr>
              <w:spacing w:after="0" w:line="240" w:lineRule="auto"/>
              <w:jc w:val="both"/>
              <w:outlineLvl w:val="0"/>
              <w:rPr>
                <w:rFonts w:ascii="Times New Roman" w:hAnsi="Times New Roman" w:cs="Times New Roman"/>
                <w:bCs w:val="0"/>
                <w:sz w:val="20"/>
                <w:szCs w:val="20"/>
              </w:rPr>
            </w:pPr>
          </w:p>
        </w:tc>
        <w:tc>
          <w:tcPr>
            <w:tcW w:w="1091" w:type="pct"/>
            <w:gridSpan w:val="3"/>
            <w:tcBorders>
              <w:top w:val="single" w:sz="4" w:space="0" w:color="auto"/>
            </w:tcBorders>
            <w:shd w:val="clear" w:color="auto" w:fill="auto"/>
          </w:tcPr>
          <w:p w:rsidR="00A55785" w:rsidRPr="00A55785" w:rsidRDefault="00A55785" w:rsidP="00173073">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55785">
              <w:rPr>
                <w:rFonts w:ascii="Times New Roman" w:hAnsi="Times New Roman" w:cs="Times New Roman"/>
                <w:b/>
                <w:bCs/>
                <w:sz w:val="20"/>
                <w:szCs w:val="20"/>
              </w:rPr>
              <w:t>Temperature (K)</w:t>
            </w:r>
          </w:p>
        </w:tc>
        <w:tc>
          <w:tcPr>
            <w:tcW w:w="1034" w:type="pct"/>
            <w:gridSpan w:val="3"/>
            <w:tcBorders>
              <w:top w:val="single" w:sz="4" w:space="0" w:color="auto"/>
            </w:tcBorders>
            <w:shd w:val="clear" w:color="auto" w:fill="auto"/>
          </w:tcPr>
          <w:p w:rsidR="00A55785" w:rsidRPr="00A55785" w:rsidRDefault="00A55785" w:rsidP="00173073">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55785">
              <w:rPr>
                <w:rFonts w:ascii="Times New Roman" w:hAnsi="Times New Roman" w:cs="Times New Roman"/>
                <w:b/>
                <w:bCs/>
                <w:sz w:val="20"/>
                <w:szCs w:val="20"/>
              </w:rPr>
              <w:t>Temperature (K)</w:t>
            </w:r>
          </w:p>
        </w:tc>
        <w:tc>
          <w:tcPr>
            <w:tcW w:w="1085" w:type="pct"/>
            <w:gridSpan w:val="3"/>
            <w:tcBorders>
              <w:top w:val="single" w:sz="4" w:space="0" w:color="auto"/>
            </w:tcBorders>
            <w:shd w:val="clear" w:color="auto" w:fill="auto"/>
          </w:tcPr>
          <w:p w:rsidR="00A55785" w:rsidRPr="00A55785" w:rsidRDefault="00A55785" w:rsidP="00173073">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55785">
              <w:rPr>
                <w:rFonts w:ascii="Times New Roman" w:hAnsi="Times New Roman" w:cs="Times New Roman"/>
                <w:b/>
                <w:bCs/>
                <w:sz w:val="20"/>
                <w:szCs w:val="20"/>
              </w:rPr>
              <w:t>Temperature (K)</w:t>
            </w:r>
          </w:p>
        </w:tc>
        <w:tc>
          <w:tcPr>
            <w:tcW w:w="1084" w:type="pct"/>
            <w:gridSpan w:val="3"/>
            <w:tcBorders>
              <w:top w:val="single" w:sz="4" w:space="0" w:color="auto"/>
            </w:tcBorders>
            <w:shd w:val="clear" w:color="auto" w:fill="auto"/>
          </w:tcPr>
          <w:p w:rsidR="00A55785" w:rsidRPr="00A55785" w:rsidRDefault="00A55785" w:rsidP="00173073">
            <w:pPr>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55785">
              <w:rPr>
                <w:rFonts w:ascii="Times New Roman" w:hAnsi="Times New Roman" w:cs="Times New Roman"/>
                <w:b/>
                <w:bCs/>
                <w:sz w:val="20"/>
                <w:szCs w:val="20"/>
              </w:rPr>
              <w:t>Temperature (K)</w:t>
            </w:r>
          </w:p>
        </w:tc>
      </w:tr>
      <w:tr w:rsidR="00A55785" w:rsidRPr="00A55785" w:rsidTr="008479E9">
        <w:trPr>
          <w:trHeight w:val="283"/>
        </w:trPr>
        <w:tc>
          <w:tcPr>
            <w:cnfStyle w:val="001000000000" w:firstRow="0" w:lastRow="0" w:firstColumn="1" w:lastColumn="0" w:oddVBand="0" w:evenVBand="0" w:oddHBand="0" w:evenHBand="0" w:firstRowFirstColumn="0" w:firstRowLastColumn="0" w:lastRowFirstColumn="0" w:lastRowLastColumn="0"/>
            <w:tcW w:w="707" w:type="pct"/>
            <w:vMerge/>
            <w:tcBorders>
              <w:bottom w:val="single" w:sz="4" w:space="0" w:color="auto"/>
            </w:tcBorders>
            <w:shd w:val="clear" w:color="auto" w:fill="auto"/>
          </w:tcPr>
          <w:p w:rsidR="00A55785" w:rsidRPr="00A55785" w:rsidRDefault="00A55785" w:rsidP="00A55785">
            <w:pPr>
              <w:spacing w:after="0" w:line="240" w:lineRule="auto"/>
              <w:jc w:val="both"/>
              <w:outlineLvl w:val="0"/>
              <w:rPr>
                <w:rFonts w:ascii="Times New Roman" w:hAnsi="Times New Roman" w:cs="Times New Roman"/>
                <w:bCs w:val="0"/>
                <w:sz w:val="20"/>
                <w:szCs w:val="20"/>
              </w:rPr>
            </w:pPr>
          </w:p>
        </w:tc>
        <w:tc>
          <w:tcPr>
            <w:tcW w:w="366"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673</w:t>
            </w:r>
          </w:p>
        </w:tc>
        <w:tc>
          <w:tcPr>
            <w:tcW w:w="362"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723</w:t>
            </w:r>
          </w:p>
        </w:tc>
        <w:tc>
          <w:tcPr>
            <w:tcW w:w="362"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773</w:t>
            </w:r>
          </w:p>
        </w:tc>
        <w:tc>
          <w:tcPr>
            <w:tcW w:w="308"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673</w:t>
            </w:r>
          </w:p>
        </w:tc>
        <w:tc>
          <w:tcPr>
            <w:tcW w:w="363"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723</w:t>
            </w:r>
          </w:p>
        </w:tc>
        <w:tc>
          <w:tcPr>
            <w:tcW w:w="363"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773</w:t>
            </w:r>
          </w:p>
        </w:tc>
        <w:tc>
          <w:tcPr>
            <w:tcW w:w="359"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673</w:t>
            </w:r>
          </w:p>
        </w:tc>
        <w:tc>
          <w:tcPr>
            <w:tcW w:w="363"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723</w:t>
            </w:r>
          </w:p>
        </w:tc>
        <w:tc>
          <w:tcPr>
            <w:tcW w:w="363"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773</w:t>
            </w:r>
          </w:p>
        </w:tc>
        <w:tc>
          <w:tcPr>
            <w:tcW w:w="363"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673</w:t>
            </w:r>
          </w:p>
        </w:tc>
        <w:tc>
          <w:tcPr>
            <w:tcW w:w="363"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723</w:t>
            </w:r>
          </w:p>
        </w:tc>
        <w:tc>
          <w:tcPr>
            <w:tcW w:w="358" w:type="pct"/>
            <w:tcBorders>
              <w:bottom w:val="single" w:sz="4" w:space="0" w:color="auto"/>
            </w:tcBorders>
            <w:shd w:val="clear" w:color="auto" w:fill="auto"/>
          </w:tcPr>
          <w:p w:rsidR="00A55785" w:rsidRPr="00A55785" w:rsidRDefault="00A55785" w:rsidP="00173073">
            <w:pPr>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55785">
              <w:rPr>
                <w:rFonts w:ascii="Times New Roman" w:hAnsi="Times New Roman" w:cs="Times New Roman"/>
                <w:b/>
                <w:sz w:val="20"/>
                <w:szCs w:val="20"/>
              </w:rPr>
              <w:t>773</w:t>
            </w:r>
          </w:p>
        </w:tc>
      </w:tr>
      <w:tr w:rsidR="00A55785" w:rsidRPr="00A55785" w:rsidTr="008479E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tcBorders>
              <w:top w:val="single" w:sz="4" w:space="0" w:color="auto"/>
              <w:bottom w:val="nil"/>
            </w:tcBorders>
            <w:shd w:val="clear" w:color="auto" w:fill="auto"/>
          </w:tcPr>
          <w:p w:rsidR="00A55785" w:rsidRPr="00A55785" w:rsidRDefault="00A55785" w:rsidP="00173073">
            <w:pPr>
              <w:spacing w:before="60" w:after="0" w:line="240" w:lineRule="auto"/>
              <w:jc w:val="both"/>
              <w:rPr>
                <w:rFonts w:ascii="Times New Roman" w:hAnsi="Times New Roman" w:cs="Times New Roman"/>
                <w:b w:val="0"/>
                <w:bCs w:val="0"/>
                <w:sz w:val="20"/>
                <w:szCs w:val="20"/>
              </w:rPr>
            </w:pPr>
            <w:r w:rsidRPr="00A55785">
              <w:rPr>
                <w:rFonts w:ascii="Times New Roman" w:hAnsi="Times New Roman" w:cs="Times New Roman"/>
                <w:b w:val="0"/>
                <w:bCs w:val="0"/>
                <w:sz w:val="20"/>
                <w:szCs w:val="20"/>
              </w:rPr>
              <w:t>Ethanol conversion (%)</w:t>
            </w:r>
          </w:p>
        </w:tc>
        <w:tc>
          <w:tcPr>
            <w:tcW w:w="366"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1.23</w:t>
            </w:r>
          </w:p>
        </w:tc>
        <w:tc>
          <w:tcPr>
            <w:tcW w:w="362"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2.45</w:t>
            </w:r>
          </w:p>
        </w:tc>
        <w:tc>
          <w:tcPr>
            <w:tcW w:w="362"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6.89</w:t>
            </w:r>
          </w:p>
        </w:tc>
        <w:tc>
          <w:tcPr>
            <w:tcW w:w="308"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4.79</w:t>
            </w:r>
          </w:p>
        </w:tc>
        <w:tc>
          <w:tcPr>
            <w:tcW w:w="363"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8.96</w:t>
            </w:r>
          </w:p>
        </w:tc>
        <w:tc>
          <w:tcPr>
            <w:tcW w:w="363"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29.90</w:t>
            </w:r>
          </w:p>
        </w:tc>
        <w:tc>
          <w:tcPr>
            <w:tcW w:w="359"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9.39</w:t>
            </w:r>
          </w:p>
        </w:tc>
        <w:tc>
          <w:tcPr>
            <w:tcW w:w="363"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35.73</w:t>
            </w:r>
          </w:p>
        </w:tc>
        <w:tc>
          <w:tcPr>
            <w:tcW w:w="363"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41.31</w:t>
            </w:r>
          </w:p>
        </w:tc>
        <w:tc>
          <w:tcPr>
            <w:tcW w:w="363"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15.97</w:t>
            </w:r>
          </w:p>
        </w:tc>
        <w:tc>
          <w:tcPr>
            <w:tcW w:w="363"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38.02</w:t>
            </w:r>
          </w:p>
        </w:tc>
        <w:tc>
          <w:tcPr>
            <w:tcW w:w="358" w:type="pct"/>
            <w:tcBorders>
              <w:top w:val="single" w:sz="4" w:space="0" w:color="auto"/>
              <w:bottom w:val="nil"/>
            </w:tcBorders>
            <w:shd w:val="clear" w:color="auto" w:fill="auto"/>
          </w:tcPr>
          <w:p w:rsidR="00A55785" w:rsidRPr="00A55785" w:rsidRDefault="00A55785" w:rsidP="00173073">
            <w:pPr>
              <w:spacing w:before="24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59.74</w:t>
            </w:r>
          </w:p>
        </w:tc>
      </w:tr>
      <w:tr w:rsidR="00A55785" w:rsidRPr="00A55785" w:rsidTr="008479E9">
        <w:trPr>
          <w:trHeight w:val="283"/>
        </w:trPr>
        <w:tc>
          <w:tcPr>
            <w:cnfStyle w:val="001000000000" w:firstRow="0" w:lastRow="0" w:firstColumn="1" w:lastColumn="0" w:oddVBand="0" w:evenVBand="0" w:oddHBand="0" w:evenHBand="0" w:firstRowFirstColumn="0" w:firstRowLastColumn="0" w:lastRowFirstColumn="0" w:lastRowLastColumn="0"/>
            <w:tcW w:w="1073" w:type="pct"/>
            <w:gridSpan w:val="2"/>
            <w:tcBorders>
              <w:top w:val="nil"/>
            </w:tcBorders>
            <w:shd w:val="clear" w:color="auto" w:fill="auto"/>
          </w:tcPr>
          <w:p w:rsidR="00A55785" w:rsidRPr="00A55785" w:rsidRDefault="00A55785" w:rsidP="00173073">
            <w:pPr>
              <w:spacing w:before="60" w:after="60" w:line="240" w:lineRule="auto"/>
              <w:jc w:val="both"/>
              <w:rPr>
                <w:rFonts w:ascii="Times New Roman" w:hAnsi="Times New Roman" w:cs="Times New Roman"/>
                <w:b w:val="0"/>
                <w:sz w:val="20"/>
                <w:szCs w:val="20"/>
              </w:rPr>
            </w:pPr>
            <w:r w:rsidRPr="00A55785">
              <w:rPr>
                <w:rFonts w:ascii="Times New Roman" w:hAnsi="Times New Roman" w:cs="Times New Roman"/>
                <w:b w:val="0"/>
                <w:bCs w:val="0"/>
                <w:sz w:val="20"/>
                <w:szCs w:val="20"/>
              </w:rPr>
              <w:t>Selectivity (%)</w:t>
            </w:r>
          </w:p>
        </w:tc>
        <w:tc>
          <w:tcPr>
            <w:tcW w:w="362"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2"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08"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9"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8" w:type="pct"/>
            <w:tcBorders>
              <w:top w:val="nil"/>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5785" w:rsidRPr="00A55785" w:rsidTr="0017307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A55785" w:rsidRPr="00A55785" w:rsidRDefault="00A55785" w:rsidP="00173073">
            <w:pPr>
              <w:spacing w:before="60" w:after="60" w:line="240" w:lineRule="auto"/>
              <w:jc w:val="both"/>
              <w:rPr>
                <w:rFonts w:ascii="Times New Roman" w:hAnsi="Times New Roman" w:cs="Times New Roman"/>
                <w:b w:val="0"/>
                <w:bCs w:val="0"/>
                <w:sz w:val="20"/>
                <w:szCs w:val="20"/>
              </w:rPr>
            </w:pPr>
            <w:r w:rsidRPr="00A55785">
              <w:rPr>
                <w:rFonts w:ascii="Times New Roman" w:hAnsi="Times New Roman" w:cs="Times New Roman"/>
                <w:b w:val="0"/>
                <w:bCs w:val="0"/>
                <w:sz w:val="20"/>
                <w:szCs w:val="20"/>
              </w:rPr>
              <w:t>Ethylene</w:t>
            </w:r>
          </w:p>
        </w:tc>
        <w:tc>
          <w:tcPr>
            <w:tcW w:w="366"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68.71</w:t>
            </w:r>
          </w:p>
        </w:tc>
        <w:tc>
          <w:tcPr>
            <w:tcW w:w="362"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53.76</w:t>
            </w:r>
          </w:p>
        </w:tc>
        <w:tc>
          <w:tcPr>
            <w:tcW w:w="362"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47.20</w:t>
            </w:r>
          </w:p>
        </w:tc>
        <w:tc>
          <w:tcPr>
            <w:tcW w:w="308"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47.2</w:t>
            </w:r>
          </w:p>
        </w:tc>
        <w:tc>
          <w:tcPr>
            <w:tcW w:w="363"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54.60</w:t>
            </w:r>
          </w:p>
        </w:tc>
        <w:tc>
          <w:tcPr>
            <w:tcW w:w="363"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70.39</w:t>
            </w:r>
          </w:p>
        </w:tc>
        <w:tc>
          <w:tcPr>
            <w:tcW w:w="359"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94.11</w:t>
            </w:r>
          </w:p>
        </w:tc>
        <w:tc>
          <w:tcPr>
            <w:tcW w:w="363"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95.35</w:t>
            </w:r>
          </w:p>
        </w:tc>
        <w:tc>
          <w:tcPr>
            <w:tcW w:w="363"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98.33</w:t>
            </w:r>
          </w:p>
        </w:tc>
        <w:tc>
          <w:tcPr>
            <w:tcW w:w="363"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96.14</w:t>
            </w:r>
          </w:p>
        </w:tc>
        <w:tc>
          <w:tcPr>
            <w:tcW w:w="363"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98.55</w:t>
            </w:r>
          </w:p>
        </w:tc>
        <w:tc>
          <w:tcPr>
            <w:tcW w:w="358" w:type="pct"/>
            <w:shd w:val="clear" w:color="auto" w:fill="auto"/>
          </w:tcPr>
          <w:p w:rsidR="00A55785" w:rsidRPr="00A55785" w:rsidRDefault="00A55785" w:rsidP="00173073">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99.21</w:t>
            </w:r>
          </w:p>
        </w:tc>
      </w:tr>
      <w:tr w:rsidR="00A55785" w:rsidRPr="00A55785" w:rsidTr="00173073">
        <w:trPr>
          <w:trHeight w:val="283"/>
        </w:trPr>
        <w:tc>
          <w:tcPr>
            <w:cnfStyle w:val="001000000000" w:firstRow="0" w:lastRow="0" w:firstColumn="1" w:lastColumn="0" w:oddVBand="0" w:evenVBand="0" w:oddHBand="0" w:evenHBand="0" w:firstRowFirstColumn="0" w:firstRowLastColumn="0" w:lastRowFirstColumn="0" w:lastRowLastColumn="0"/>
            <w:tcW w:w="1073" w:type="pct"/>
            <w:gridSpan w:val="2"/>
            <w:shd w:val="clear" w:color="auto" w:fill="auto"/>
          </w:tcPr>
          <w:p w:rsidR="00A55785" w:rsidRPr="00A55785" w:rsidRDefault="00A55785" w:rsidP="00173073">
            <w:pPr>
              <w:spacing w:before="60" w:after="60" w:line="240" w:lineRule="auto"/>
              <w:jc w:val="both"/>
              <w:rPr>
                <w:rFonts w:ascii="Times New Roman" w:hAnsi="Times New Roman" w:cs="Times New Roman"/>
                <w:b w:val="0"/>
                <w:sz w:val="20"/>
                <w:szCs w:val="20"/>
              </w:rPr>
            </w:pPr>
            <w:r w:rsidRPr="00A55785">
              <w:rPr>
                <w:rFonts w:ascii="Times New Roman" w:hAnsi="Times New Roman" w:cs="Times New Roman"/>
                <w:b w:val="0"/>
                <w:bCs w:val="0"/>
                <w:sz w:val="20"/>
                <w:szCs w:val="20"/>
              </w:rPr>
              <w:t>Higher hydrocarbons</w:t>
            </w:r>
          </w:p>
        </w:tc>
        <w:tc>
          <w:tcPr>
            <w:tcW w:w="362"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2"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08"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9"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3"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58" w:type="pct"/>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5785" w:rsidRPr="00A55785" w:rsidTr="0017307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A55785" w:rsidRPr="00A55785" w:rsidRDefault="00A55785" w:rsidP="00173073">
            <w:pPr>
              <w:spacing w:before="60" w:after="0" w:line="240" w:lineRule="auto"/>
              <w:jc w:val="both"/>
              <w:rPr>
                <w:rFonts w:ascii="Times New Roman" w:hAnsi="Times New Roman" w:cs="Times New Roman"/>
                <w:b w:val="0"/>
                <w:bCs w:val="0"/>
                <w:sz w:val="20"/>
                <w:szCs w:val="20"/>
              </w:rPr>
            </w:pPr>
            <w:r w:rsidRPr="00A55785">
              <w:rPr>
                <w:rFonts w:ascii="Times New Roman" w:hAnsi="Times New Roman" w:cs="Times New Roman"/>
                <w:b w:val="0"/>
                <w:bCs w:val="0"/>
                <w:sz w:val="20"/>
                <w:szCs w:val="20"/>
              </w:rPr>
              <w:t>C</w:t>
            </w:r>
            <w:r w:rsidRPr="00A55785">
              <w:rPr>
                <w:rFonts w:ascii="Times New Roman" w:hAnsi="Times New Roman" w:cs="Times New Roman"/>
                <w:b w:val="0"/>
                <w:bCs w:val="0"/>
                <w:sz w:val="20"/>
                <w:szCs w:val="20"/>
                <w:vertAlign w:val="subscript"/>
              </w:rPr>
              <w:t>3</w:t>
            </w:r>
          </w:p>
        </w:tc>
        <w:tc>
          <w:tcPr>
            <w:tcW w:w="366"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0.28</w:t>
            </w:r>
          </w:p>
        </w:tc>
        <w:tc>
          <w:tcPr>
            <w:tcW w:w="362"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0.81</w:t>
            </w:r>
          </w:p>
        </w:tc>
        <w:tc>
          <w:tcPr>
            <w:tcW w:w="362"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3.25</w:t>
            </w:r>
          </w:p>
        </w:tc>
        <w:tc>
          <w:tcPr>
            <w:tcW w:w="308"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0.01</w:t>
            </w:r>
          </w:p>
        </w:tc>
        <w:tc>
          <w:tcPr>
            <w:tcW w:w="363"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1.18</w:t>
            </w:r>
          </w:p>
        </w:tc>
        <w:tc>
          <w:tcPr>
            <w:tcW w:w="363"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0.28</w:t>
            </w:r>
          </w:p>
        </w:tc>
        <w:tc>
          <w:tcPr>
            <w:tcW w:w="359"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0.01</w:t>
            </w:r>
          </w:p>
        </w:tc>
        <w:tc>
          <w:tcPr>
            <w:tcW w:w="363"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0.01</w:t>
            </w:r>
          </w:p>
        </w:tc>
        <w:tc>
          <w:tcPr>
            <w:tcW w:w="363"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0.01</w:t>
            </w:r>
          </w:p>
        </w:tc>
        <w:tc>
          <w:tcPr>
            <w:tcW w:w="358" w:type="pct"/>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0.01</w:t>
            </w:r>
          </w:p>
        </w:tc>
      </w:tr>
      <w:tr w:rsidR="00A55785" w:rsidRPr="00A55785" w:rsidTr="00173073">
        <w:trPr>
          <w:trHeight w:val="283"/>
        </w:trPr>
        <w:tc>
          <w:tcPr>
            <w:cnfStyle w:val="001000000000" w:firstRow="0" w:lastRow="0" w:firstColumn="1" w:lastColumn="0" w:oddVBand="0" w:evenVBand="0" w:oddHBand="0" w:evenHBand="0" w:firstRowFirstColumn="0" w:firstRowLastColumn="0" w:lastRowFirstColumn="0" w:lastRowLastColumn="0"/>
            <w:tcW w:w="707" w:type="pct"/>
            <w:shd w:val="clear" w:color="auto" w:fill="auto"/>
          </w:tcPr>
          <w:p w:rsidR="00A55785" w:rsidRPr="00A55785" w:rsidRDefault="00A55785" w:rsidP="00173073">
            <w:pPr>
              <w:spacing w:before="60" w:after="0" w:line="240" w:lineRule="auto"/>
              <w:jc w:val="both"/>
              <w:rPr>
                <w:rFonts w:ascii="Times New Roman" w:hAnsi="Times New Roman" w:cs="Times New Roman"/>
                <w:b w:val="0"/>
                <w:bCs w:val="0"/>
                <w:sz w:val="20"/>
                <w:szCs w:val="20"/>
              </w:rPr>
            </w:pPr>
            <w:r w:rsidRPr="00A55785">
              <w:rPr>
                <w:rFonts w:ascii="Times New Roman" w:hAnsi="Times New Roman" w:cs="Times New Roman"/>
                <w:b w:val="0"/>
                <w:bCs w:val="0"/>
                <w:sz w:val="20"/>
                <w:szCs w:val="20"/>
              </w:rPr>
              <w:t>C</w:t>
            </w:r>
            <w:r w:rsidRPr="00A55785">
              <w:rPr>
                <w:rFonts w:ascii="Times New Roman" w:hAnsi="Times New Roman" w:cs="Times New Roman"/>
                <w:b w:val="0"/>
                <w:bCs w:val="0"/>
                <w:sz w:val="20"/>
                <w:szCs w:val="20"/>
                <w:vertAlign w:val="subscript"/>
              </w:rPr>
              <w:t>4</w:t>
            </w:r>
          </w:p>
        </w:tc>
        <w:tc>
          <w:tcPr>
            <w:tcW w:w="366"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7.73</w:t>
            </w:r>
          </w:p>
        </w:tc>
        <w:tc>
          <w:tcPr>
            <w:tcW w:w="362"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21.13</w:t>
            </w:r>
          </w:p>
        </w:tc>
        <w:tc>
          <w:tcPr>
            <w:tcW w:w="362"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22.93</w:t>
            </w:r>
          </w:p>
        </w:tc>
        <w:tc>
          <w:tcPr>
            <w:tcW w:w="308"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0.14</w:t>
            </w:r>
          </w:p>
        </w:tc>
        <w:tc>
          <w:tcPr>
            <w:tcW w:w="363"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6.32</w:t>
            </w:r>
          </w:p>
        </w:tc>
        <w:tc>
          <w:tcPr>
            <w:tcW w:w="363"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2.17</w:t>
            </w:r>
          </w:p>
        </w:tc>
        <w:tc>
          <w:tcPr>
            <w:tcW w:w="359"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0.2</w:t>
            </w:r>
          </w:p>
        </w:tc>
        <w:tc>
          <w:tcPr>
            <w:tcW w:w="363"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0.14</w:t>
            </w:r>
          </w:p>
        </w:tc>
        <w:tc>
          <w:tcPr>
            <w:tcW w:w="363"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0.11</w:t>
            </w:r>
          </w:p>
        </w:tc>
        <w:tc>
          <w:tcPr>
            <w:tcW w:w="363"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0.2</w:t>
            </w:r>
          </w:p>
        </w:tc>
        <w:tc>
          <w:tcPr>
            <w:tcW w:w="363"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0.11</w:t>
            </w:r>
          </w:p>
        </w:tc>
        <w:tc>
          <w:tcPr>
            <w:tcW w:w="358" w:type="pct"/>
            <w:shd w:val="clear" w:color="auto" w:fill="auto"/>
          </w:tcPr>
          <w:p w:rsidR="00A55785" w:rsidRPr="00A55785" w:rsidRDefault="00A55785" w:rsidP="00173073">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0.14</w:t>
            </w:r>
          </w:p>
        </w:tc>
      </w:tr>
      <w:tr w:rsidR="00A55785" w:rsidRPr="00A55785" w:rsidTr="008479E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7" w:type="pct"/>
            <w:tcBorders>
              <w:bottom w:val="nil"/>
            </w:tcBorders>
            <w:shd w:val="clear" w:color="auto" w:fill="auto"/>
          </w:tcPr>
          <w:p w:rsidR="00A55785" w:rsidRPr="00A55785" w:rsidRDefault="00A55785" w:rsidP="00173073">
            <w:pPr>
              <w:spacing w:before="60" w:after="0" w:line="240" w:lineRule="auto"/>
              <w:jc w:val="both"/>
              <w:rPr>
                <w:rFonts w:ascii="Times New Roman" w:hAnsi="Times New Roman" w:cs="Times New Roman"/>
                <w:b w:val="0"/>
                <w:bCs w:val="0"/>
                <w:sz w:val="20"/>
                <w:szCs w:val="20"/>
              </w:rPr>
            </w:pPr>
            <w:r w:rsidRPr="00A55785">
              <w:rPr>
                <w:rFonts w:ascii="Times New Roman" w:hAnsi="Times New Roman" w:cs="Times New Roman"/>
                <w:b w:val="0"/>
                <w:bCs w:val="0"/>
                <w:sz w:val="20"/>
                <w:szCs w:val="20"/>
              </w:rPr>
              <w:t>C</w:t>
            </w:r>
            <w:r w:rsidRPr="00A55785">
              <w:rPr>
                <w:rFonts w:ascii="Times New Roman" w:hAnsi="Times New Roman" w:cs="Times New Roman"/>
                <w:b w:val="0"/>
                <w:bCs w:val="0"/>
                <w:sz w:val="20"/>
                <w:szCs w:val="20"/>
                <w:vertAlign w:val="subscript"/>
              </w:rPr>
              <w:t>5</w:t>
            </w:r>
          </w:p>
        </w:tc>
        <w:tc>
          <w:tcPr>
            <w:tcW w:w="366"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19.78</w:t>
            </w:r>
          </w:p>
        </w:tc>
        <w:tc>
          <w:tcPr>
            <w:tcW w:w="362"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2"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8.01</w:t>
            </w:r>
          </w:p>
        </w:tc>
        <w:tc>
          <w:tcPr>
            <w:tcW w:w="308"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0.44</w:t>
            </w:r>
          </w:p>
        </w:tc>
        <w:tc>
          <w:tcPr>
            <w:tcW w:w="363"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4.01</w:t>
            </w:r>
          </w:p>
        </w:tc>
        <w:tc>
          <w:tcPr>
            <w:tcW w:w="363"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3.78</w:t>
            </w:r>
          </w:p>
        </w:tc>
        <w:tc>
          <w:tcPr>
            <w:tcW w:w="359"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3.30</w:t>
            </w:r>
          </w:p>
        </w:tc>
        <w:tc>
          <w:tcPr>
            <w:tcW w:w="363"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0.44</w:t>
            </w:r>
          </w:p>
        </w:tc>
        <w:tc>
          <w:tcPr>
            <w:tcW w:w="363"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1.12</w:t>
            </w:r>
          </w:p>
        </w:tc>
        <w:tc>
          <w:tcPr>
            <w:tcW w:w="363"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3.30</w:t>
            </w:r>
          </w:p>
        </w:tc>
        <w:tc>
          <w:tcPr>
            <w:tcW w:w="363"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1.12</w:t>
            </w:r>
          </w:p>
        </w:tc>
        <w:tc>
          <w:tcPr>
            <w:tcW w:w="358" w:type="pct"/>
            <w:tcBorders>
              <w:bottom w:val="nil"/>
            </w:tcBorders>
            <w:shd w:val="clear" w:color="auto" w:fill="auto"/>
          </w:tcPr>
          <w:p w:rsidR="00A55785" w:rsidRPr="00A55785" w:rsidRDefault="00A55785" w:rsidP="00173073">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0.44</w:t>
            </w:r>
          </w:p>
        </w:tc>
      </w:tr>
      <w:tr w:rsidR="00A55785" w:rsidRPr="00A55785" w:rsidTr="008479E9">
        <w:trPr>
          <w:trHeight w:val="283"/>
        </w:trPr>
        <w:tc>
          <w:tcPr>
            <w:cnfStyle w:val="001000000000" w:firstRow="0" w:lastRow="0" w:firstColumn="1" w:lastColumn="0" w:oddVBand="0" w:evenVBand="0" w:oddHBand="0" w:evenHBand="0" w:firstRowFirstColumn="0" w:firstRowLastColumn="0" w:lastRowFirstColumn="0" w:lastRowLastColumn="0"/>
            <w:tcW w:w="707" w:type="pct"/>
            <w:tcBorders>
              <w:top w:val="nil"/>
              <w:bottom w:val="single" w:sz="4" w:space="0" w:color="auto"/>
            </w:tcBorders>
            <w:shd w:val="clear" w:color="auto" w:fill="auto"/>
          </w:tcPr>
          <w:p w:rsidR="00A55785" w:rsidRPr="00A55785" w:rsidRDefault="00A55785" w:rsidP="00173073">
            <w:pPr>
              <w:spacing w:before="60" w:after="60" w:line="240" w:lineRule="auto"/>
              <w:jc w:val="both"/>
              <w:rPr>
                <w:rFonts w:ascii="Times New Roman" w:hAnsi="Times New Roman" w:cs="Times New Roman"/>
                <w:b w:val="0"/>
                <w:bCs w:val="0"/>
                <w:sz w:val="20"/>
                <w:szCs w:val="20"/>
              </w:rPr>
            </w:pPr>
            <w:bookmarkStart w:id="0" w:name="_GoBack"/>
            <w:r w:rsidRPr="00A55785">
              <w:rPr>
                <w:rFonts w:ascii="Times New Roman" w:hAnsi="Times New Roman" w:cs="Times New Roman"/>
                <w:b w:val="0"/>
                <w:bCs w:val="0"/>
                <w:sz w:val="20"/>
                <w:szCs w:val="20"/>
              </w:rPr>
              <w:t>C</w:t>
            </w:r>
            <w:r w:rsidRPr="00A55785">
              <w:rPr>
                <w:rFonts w:ascii="Times New Roman" w:hAnsi="Times New Roman" w:cs="Times New Roman"/>
                <w:b w:val="0"/>
                <w:bCs w:val="0"/>
                <w:sz w:val="20"/>
                <w:szCs w:val="20"/>
                <w:vertAlign w:val="subscript"/>
              </w:rPr>
              <w:t>6</w:t>
            </w:r>
          </w:p>
        </w:tc>
        <w:tc>
          <w:tcPr>
            <w:tcW w:w="366"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2"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14.90</w:t>
            </w:r>
          </w:p>
        </w:tc>
        <w:tc>
          <w:tcPr>
            <w:tcW w:w="362"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0.10</w:t>
            </w:r>
          </w:p>
        </w:tc>
        <w:tc>
          <w:tcPr>
            <w:tcW w:w="308"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0.14</w:t>
            </w:r>
          </w:p>
        </w:tc>
        <w:tc>
          <w:tcPr>
            <w:tcW w:w="359"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63"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c>
          <w:tcPr>
            <w:tcW w:w="358" w:type="pct"/>
            <w:tcBorders>
              <w:top w:val="nil"/>
              <w:bottom w:val="single" w:sz="4" w:space="0" w:color="auto"/>
            </w:tcBorders>
            <w:shd w:val="clear" w:color="auto" w:fill="auto"/>
          </w:tcPr>
          <w:p w:rsidR="00A55785" w:rsidRPr="00A55785" w:rsidRDefault="00A55785" w:rsidP="00173073">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5785">
              <w:rPr>
                <w:rFonts w:ascii="Times New Roman" w:hAnsi="Times New Roman" w:cs="Times New Roman"/>
                <w:sz w:val="20"/>
                <w:szCs w:val="20"/>
              </w:rPr>
              <w:t>0</w:t>
            </w:r>
          </w:p>
        </w:tc>
      </w:tr>
      <w:bookmarkEnd w:id="0"/>
    </w:tbl>
    <w:p w:rsidR="00A55785" w:rsidRPr="00A55785" w:rsidRDefault="00A55785" w:rsidP="00173073">
      <w:pPr>
        <w:spacing w:after="120" w:line="240" w:lineRule="auto"/>
        <w:jc w:val="both"/>
        <w:rPr>
          <w:rFonts w:ascii="Times New Roman" w:hAnsi="Times New Roman"/>
          <w:sz w:val="20"/>
          <w:szCs w:val="20"/>
        </w:rPr>
      </w:pPr>
    </w:p>
    <w:p w:rsidR="00173073" w:rsidRDefault="00A55785" w:rsidP="00173073">
      <w:pPr>
        <w:spacing w:after="0" w:line="240" w:lineRule="auto"/>
        <w:jc w:val="both"/>
        <w:rPr>
          <w:rFonts w:ascii="Times New Roman" w:hAnsi="Times New Roman"/>
          <w:sz w:val="20"/>
          <w:szCs w:val="20"/>
        </w:rPr>
      </w:pPr>
      <w:r w:rsidRPr="00A55785">
        <w:rPr>
          <w:rFonts w:ascii="Times New Roman" w:hAnsi="Times New Roman"/>
          <w:sz w:val="20"/>
          <w:szCs w:val="20"/>
        </w:rPr>
        <w:t>The ethanol conversion, ethylene selectivity and total acid amountwere correlated for the synthesized catalysts in Figure 4. Upon doing with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the ethylene selectivity and ethanol conversion increase as the loading of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increase. The addition of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into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causes the amount of strong acidic sites decrease. This change suppresses the formation of higher hydrocarbons and improves the ethylene production. Although 10PA-CeO</w:t>
      </w:r>
      <w:r w:rsidRPr="00A55785">
        <w:rPr>
          <w:rFonts w:ascii="Times New Roman" w:hAnsi="Times New Roman"/>
          <w:sz w:val="20"/>
          <w:szCs w:val="20"/>
          <w:vertAlign w:val="subscript"/>
        </w:rPr>
        <w:t>2</w:t>
      </w:r>
      <w:r w:rsidRPr="00A55785">
        <w:rPr>
          <w:rFonts w:ascii="Times New Roman" w:hAnsi="Times New Roman"/>
          <w:sz w:val="20"/>
          <w:szCs w:val="20"/>
        </w:rPr>
        <w:t xml:space="preserve"> did not present a high catalytic performance with low ethanol conversion 4.79%, 8.96% and 29.90% for 673 K, 723 K and 773 K, respectively, but it showed increasing trend in terms of catalytic performance as compared to pure CeO</w:t>
      </w:r>
      <w:r w:rsidRPr="00A55785">
        <w:rPr>
          <w:rFonts w:ascii="Times New Roman" w:hAnsi="Times New Roman"/>
          <w:sz w:val="20"/>
          <w:szCs w:val="20"/>
          <w:vertAlign w:val="subscript"/>
        </w:rPr>
        <w:t>2</w:t>
      </w:r>
      <w:r w:rsidRPr="00A55785">
        <w:rPr>
          <w:rFonts w:ascii="Times New Roman" w:hAnsi="Times New Roman"/>
          <w:sz w:val="20"/>
          <w:szCs w:val="20"/>
        </w:rPr>
        <w:t>. This indicates that the surface acidity of 10PA-CeO</w:t>
      </w:r>
      <w:r w:rsidRPr="00A55785">
        <w:rPr>
          <w:rFonts w:ascii="Times New Roman" w:hAnsi="Times New Roman"/>
          <w:sz w:val="20"/>
          <w:szCs w:val="20"/>
          <w:vertAlign w:val="subscript"/>
        </w:rPr>
        <w:t>2</w:t>
      </w:r>
      <w:r w:rsidRPr="00A55785">
        <w:rPr>
          <w:rFonts w:ascii="Times New Roman" w:hAnsi="Times New Roman"/>
          <w:sz w:val="20"/>
          <w:szCs w:val="20"/>
        </w:rPr>
        <w:t xml:space="preserve"> was unable to catalyze the formation of products. Among all CeO</w:t>
      </w:r>
      <w:r w:rsidRPr="00A55785">
        <w:rPr>
          <w:rFonts w:ascii="Times New Roman" w:hAnsi="Times New Roman"/>
          <w:sz w:val="20"/>
          <w:szCs w:val="20"/>
          <w:vertAlign w:val="subscript"/>
        </w:rPr>
        <w:t xml:space="preserve">2 </w:t>
      </w:r>
      <w:r w:rsidRPr="00A55785">
        <w:rPr>
          <w:rFonts w:ascii="Times New Roman" w:hAnsi="Times New Roman"/>
          <w:sz w:val="20"/>
          <w:szCs w:val="20"/>
        </w:rPr>
        <w:t>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the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showed the best catalytic performance. On this catalyst, the products are dominated by ethylene under all reaction condition with over 95% of ethylene selectivity. </w:t>
      </w:r>
    </w:p>
    <w:p w:rsidR="00173073" w:rsidRPr="00A55785" w:rsidRDefault="00173073" w:rsidP="00173073">
      <w:pPr>
        <w:spacing w:after="120" w:line="240" w:lineRule="auto"/>
        <w:jc w:val="both"/>
        <w:rPr>
          <w:rFonts w:ascii="Times New Roman" w:hAnsi="Times New Roman"/>
          <w:sz w:val="20"/>
          <w:szCs w:val="20"/>
        </w:rPr>
      </w:pPr>
    </w:p>
    <w:p w:rsidR="00173073" w:rsidRDefault="00A55785" w:rsidP="00173073">
      <w:pPr>
        <w:spacing w:after="120" w:line="240" w:lineRule="auto"/>
        <w:jc w:val="center"/>
        <w:rPr>
          <w:rFonts w:ascii="Times New Roman" w:hAnsi="Times New Roman"/>
          <w:sz w:val="20"/>
          <w:szCs w:val="20"/>
        </w:rPr>
      </w:pPr>
      <w:r w:rsidRPr="00A55785">
        <w:rPr>
          <w:rFonts w:ascii="Times New Roman" w:hAnsi="Times New Roman"/>
          <w:noProof/>
          <w:sz w:val="20"/>
          <w:szCs w:val="20"/>
          <w:lang w:bidi="ar-SA"/>
        </w:rPr>
        <w:drawing>
          <wp:inline distT="0" distB="0" distL="0" distR="0" wp14:anchorId="2B05185C" wp14:editId="7D845E68">
            <wp:extent cx="3490595" cy="219456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8974" t="4016" r="20181" b="10962"/>
                    <a:stretch>
                      <a:fillRect/>
                    </a:stretch>
                  </pic:blipFill>
                  <pic:spPr bwMode="auto">
                    <a:xfrm>
                      <a:off x="0" y="0"/>
                      <a:ext cx="3490595" cy="2194560"/>
                    </a:xfrm>
                    <a:prstGeom prst="rect">
                      <a:avLst/>
                    </a:prstGeom>
                    <a:noFill/>
                    <a:ln>
                      <a:noFill/>
                    </a:ln>
                  </pic:spPr>
                </pic:pic>
              </a:graphicData>
            </a:graphic>
          </wp:inline>
        </w:drawing>
      </w:r>
    </w:p>
    <w:p w:rsidR="00A55785" w:rsidRPr="00A55785" w:rsidRDefault="00A55785" w:rsidP="00173073">
      <w:pPr>
        <w:spacing w:after="0" w:line="240" w:lineRule="auto"/>
        <w:jc w:val="center"/>
        <w:rPr>
          <w:rFonts w:ascii="Times New Roman" w:hAnsi="Times New Roman"/>
          <w:sz w:val="20"/>
          <w:szCs w:val="20"/>
        </w:rPr>
      </w:pPr>
      <w:r w:rsidRPr="00A55785">
        <w:rPr>
          <w:rFonts w:ascii="Times New Roman" w:hAnsi="Times New Roman"/>
          <w:sz w:val="20"/>
          <w:szCs w:val="20"/>
        </w:rPr>
        <w:t xml:space="preserve">Figure 4. </w:t>
      </w:r>
      <w:r w:rsidR="00173073">
        <w:rPr>
          <w:rFonts w:ascii="Times New Roman" w:hAnsi="Times New Roman"/>
          <w:sz w:val="20"/>
          <w:szCs w:val="20"/>
        </w:rPr>
        <w:t xml:space="preserve"> </w:t>
      </w:r>
      <w:r w:rsidRPr="00A55785">
        <w:rPr>
          <w:rFonts w:ascii="Times New Roman" w:hAnsi="Times New Roman"/>
          <w:sz w:val="20"/>
          <w:szCs w:val="20"/>
        </w:rPr>
        <w:t>Relationship between catalytic performances and acid amounts</w:t>
      </w:r>
    </w:p>
    <w:p w:rsidR="00A55785" w:rsidRPr="00A55785" w:rsidRDefault="00A55785" w:rsidP="00173073">
      <w:pPr>
        <w:spacing w:after="120" w:line="240" w:lineRule="auto"/>
        <w:jc w:val="both"/>
        <w:rPr>
          <w:rFonts w:ascii="Times New Roman" w:hAnsi="Times New Roman"/>
          <w:sz w:val="20"/>
          <w:szCs w:val="20"/>
        </w:rPr>
      </w:pPr>
    </w:p>
    <w:p w:rsidR="00243670" w:rsidRDefault="00243670" w:rsidP="00243670">
      <w:pPr>
        <w:spacing w:after="0" w:line="240" w:lineRule="auto"/>
        <w:jc w:val="both"/>
        <w:rPr>
          <w:rFonts w:ascii="Times New Roman" w:hAnsi="Times New Roman"/>
          <w:sz w:val="20"/>
          <w:szCs w:val="20"/>
        </w:rPr>
      </w:pPr>
      <w:r w:rsidRPr="00A55785">
        <w:rPr>
          <w:rFonts w:ascii="Times New Roman" w:hAnsi="Times New Roman"/>
          <w:sz w:val="20"/>
          <w:szCs w:val="20"/>
        </w:rPr>
        <w:t>The presence of moderate weak acidic sites in this catalyst helps to suppress the formation of higher hydrocarbons meanwhile improved the ethylene production and selectivity. Besides that, based on the N</w:t>
      </w:r>
      <w:r w:rsidRPr="00A55785">
        <w:rPr>
          <w:rFonts w:ascii="Times New Roman" w:hAnsi="Times New Roman"/>
          <w:sz w:val="20"/>
          <w:szCs w:val="20"/>
          <w:vertAlign w:val="subscript"/>
        </w:rPr>
        <w:t xml:space="preserve">2 </w:t>
      </w:r>
      <w:r w:rsidRPr="00A55785">
        <w:rPr>
          <w:rFonts w:ascii="Times New Roman" w:hAnsi="Times New Roman"/>
          <w:sz w:val="20"/>
          <w:szCs w:val="20"/>
        </w:rPr>
        <w:t>physisorption results CeO</w:t>
      </w:r>
      <w:r w:rsidRPr="00A55785">
        <w:rPr>
          <w:rFonts w:ascii="Times New Roman" w:hAnsi="Times New Roman"/>
          <w:sz w:val="20"/>
          <w:szCs w:val="20"/>
          <w:vertAlign w:val="subscript"/>
        </w:rPr>
        <w:t>2</w:t>
      </w:r>
      <w:r w:rsidRPr="00A55785">
        <w:rPr>
          <w:rFonts w:ascii="Times New Roman" w:hAnsi="Times New Roman"/>
          <w:sz w:val="20"/>
          <w:szCs w:val="20"/>
        </w:rPr>
        <w:t xml:space="preserve"> has a large BET surface area and high porosity which lead to the C</w:t>
      </w:r>
      <w:r w:rsidRPr="00A55785">
        <w:rPr>
          <w:rFonts w:ascii="Times New Roman" w:hAnsi="Times New Roman"/>
          <w:sz w:val="20"/>
          <w:szCs w:val="20"/>
          <w:vertAlign w:val="subscript"/>
        </w:rPr>
        <w:t>2</w:t>
      </w:r>
      <w:r w:rsidRPr="00A55785">
        <w:rPr>
          <w:rFonts w:ascii="Times New Roman" w:hAnsi="Times New Roman"/>
          <w:sz w:val="20"/>
          <w:szCs w:val="20"/>
        </w:rPr>
        <w:t>H</w:t>
      </w:r>
      <w:r w:rsidRPr="00A55785">
        <w:rPr>
          <w:rFonts w:ascii="Times New Roman" w:hAnsi="Times New Roman"/>
          <w:sz w:val="20"/>
          <w:szCs w:val="20"/>
          <w:vertAlign w:val="subscript"/>
        </w:rPr>
        <w:t>5</w:t>
      </w:r>
      <w:r w:rsidRPr="00A55785">
        <w:rPr>
          <w:rFonts w:ascii="Times New Roman" w:hAnsi="Times New Roman"/>
          <w:sz w:val="20"/>
          <w:szCs w:val="20"/>
        </w:rPr>
        <w:t xml:space="preserve">OH molecules would have voyage </w:t>
      </w:r>
      <w:r w:rsidRPr="00A55785">
        <w:rPr>
          <w:rFonts w:ascii="Times New Roman" w:hAnsi="Times New Roman"/>
          <w:sz w:val="20"/>
          <w:szCs w:val="20"/>
        </w:rPr>
        <w:lastRenderedPageBreak/>
        <w:t>profound into the arrangement of passage systems that exists in the pristine CeO</w:t>
      </w:r>
      <w:r w:rsidRPr="00A55785">
        <w:rPr>
          <w:rFonts w:ascii="Times New Roman" w:hAnsi="Times New Roman"/>
          <w:sz w:val="20"/>
          <w:szCs w:val="20"/>
          <w:vertAlign w:val="subscript"/>
        </w:rPr>
        <w:t>2</w:t>
      </w:r>
      <w:r w:rsidRPr="00A55785">
        <w:rPr>
          <w:rFonts w:ascii="Times New Roman" w:hAnsi="Times New Roman"/>
          <w:sz w:val="20"/>
          <w:szCs w:val="20"/>
        </w:rPr>
        <w:t>. The blockage of pore volume after the addition of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helps in reducing the multiple adsorptions of ethanol whereby results in the improvement in ethylene selectivity </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"10.1016/j.catcom.2008.10.034", "ISSN" : "15667367", "abstract" : "H3PO4/H-ZSM-5 catalysts were prepared by impregnation method with varying H3PO4 loadings from 5 to 20wt%. The H3PO4 modified catalysts were found to be highly active and selective towards ethylene during ethanol dehydration at 673K. However, the selectivity was found to strongly depend on the content of H3PO4, reaction temperature and WHSV. The catalysts were characterized using X-ray diffraction, NH3-TPD, N2 physisorption, 27Al, and 31P MAS NMR techniques.", "author" : [ { "dropping-particle" : "", "family" : "Ramesh", "given" : "Kanaparthi", "non-dropping-particle" : "", "parse-names" : false, "suffix" : "" }, { "dropping-particle" : "", "family" : "Hui", "given" : "Lau Mei", "non-dropping-particle" : "", "parse-names" : false, "suffix" : "" }, { "dropping-particle" : "", "family" : "Han", "given" : "Yi Fan", "non-dropping-particle" : "", "parse-names" : false, "suffix" : "" }, { "dropping-particle" : "", "family" : "Borgna", "given" : "Armando", "non-dropping-particle" : "", "parse-names" : false, "suffix" : "" } ], "container-title" : "Catalysis Communications", "id" : "ITEM-1", "issue" : "5", "issued" : { "date-parts" : [ [ "2009", "1", "25" ] ] }, "page" : "567-571", "title" : "Structure and reactivity of phosphorous modified H-ZSM-5 catalysts for ethanol dehydration", "type" : "article-journal", "volume" : "10" }, "uris" : [ "http://www.mendeley.com/documents/?uuid=1d5a074c-1170-4c6a-af16-9396a0474c55" ] } ], "mendeley" : { "formattedCitation" : "[22]", "plainTextFormattedCitation" : "[22]", "previouslyFormattedCitation" : "[21]"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[22]</w:t>
      </w:r>
      <w:r w:rsidRPr="00A55785">
        <w:rPr>
          <w:rFonts w:ascii="Times New Roman" w:hAnsi="Times New Roman"/>
          <w:sz w:val="20"/>
          <w:szCs w:val="20"/>
        </w:rPr>
        <w:fldChar w:fldCharType="end"/>
      </w:r>
      <w:r w:rsidRPr="00A55785">
        <w:rPr>
          <w:rFonts w:ascii="Times New Roman" w:hAnsi="Times New Roman"/>
          <w:sz w:val="20"/>
          <w:szCs w:val="20"/>
        </w:rPr>
        <w:t>.</w:t>
      </w:r>
    </w:p>
    <w:p w:rsidR="00243670" w:rsidRDefault="00243670" w:rsidP="00A55785">
      <w:pPr>
        <w:spacing w:after="0" w:line="240" w:lineRule="auto"/>
        <w:jc w:val="both"/>
        <w:rPr>
          <w:rFonts w:ascii="Times New Roman" w:hAnsi="Times New Roman"/>
          <w:sz w:val="20"/>
          <w:szCs w:val="20"/>
        </w:rPr>
      </w:pPr>
    </w:p>
    <w:p w:rsidR="00A55785" w:rsidRPr="00A55785" w:rsidRDefault="00A55785" w:rsidP="00A55785">
      <w:pPr>
        <w:spacing w:after="0" w:line="240" w:lineRule="auto"/>
        <w:jc w:val="both"/>
        <w:rPr>
          <w:rFonts w:ascii="Times New Roman" w:hAnsi="Times New Roman"/>
          <w:sz w:val="20"/>
          <w:szCs w:val="20"/>
        </w:rPr>
      </w:pPr>
      <w:r w:rsidRPr="00A55785">
        <w:rPr>
          <w:rFonts w:ascii="Times New Roman" w:hAnsi="Times New Roman"/>
          <w:sz w:val="20"/>
          <w:szCs w:val="20"/>
        </w:rPr>
        <w:t>In addition, 10, 20 and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present an increasing trend in both ethanol conversion and ethylene selectivity as the temperature increases. Among all the CeO</w:t>
      </w:r>
      <w:r w:rsidRPr="00A55785">
        <w:rPr>
          <w:rFonts w:ascii="Times New Roman" w:hAnsi="Times New Roman"/>
          <w:sz w:val="20"/>
          <w:szCs w:val="20"/>
          <w:vertAlign w:val="subscript"/>
        </w:rPr>
        <w:t xml:space="preserve">2 </w:t>
      </w:r>
      <w:r w:rsidRPr="00A55785">
        <w:rPr>
          <w:rFonts w:ascii="Times New Roman" w:hAnsi="Times New Roman"/>
          <w:sz w:val="20"/>
          <w:szCs w:val="20"/>
        </w:rPr>
        <w:t>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showed the best catalytic performance. With increasing reaction temperature, both ethanol conversion and ethylene selectivity increased, </w:t>
      </w:r>
      <w:r w:rsidRPr="00A55785">
        <w:rPr>
          <w:rFonts w:ascii="Times New Roman" w:hAnsi="Times New Roman"/>
          <w:i/>
          <w:sz w:val="20"/>
          <w:szCs w:val="20"/>
        </w:rPr>
        <w:t>viz</w:t>
      </w:r>
      <w:r w:rsidRPr="00A55785">
        <w:rPr>
          <w:rFonts w:ascii="Times New Roman" w:hAnsi="Times New Roman"/>
          <w:sz w:val="20"/>
          <w:szCs w:val="20"/>
        </w:rPr>
        <w:t>. conversion of ethanol increased from 15.97% at 673 K to 59.74% at 773 K, whilst the ethylene selectivity improved from a low of 96.14% at 673 K to 99% at 773 K. This showed that the dehydration activity of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improved with reaction temperature. This indicates that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 xml:space="preserve"> functioned more effectively with reaction temperature, </w:t>
      </w:r>
      <w:r w:rsidRPr="00A55785">
        <w:rPr>
          <w:rFonts w:ascii="Times New Roman" w:hAnsi="Times New Roman"/>
          <w:i/>
          <w:sz w:val="20"/>
          <w:szCs w:val="20"/>
        </w:rPr>
        <w:t>i</w:t>
      </w:r>
      <w:r w:rsidRPr="00A55785">
        <w:rPr>
          <w:rFonts w:ascii="Times New Roman" w:hAnsi="Times New Roman"/>
          <w:sz w:val="20"/>
          <w:szCs w:val="20"/>
        </w:rPr>
        <w:t>.</w:t>
      </w:r>
      <w:r w:rsidRPr="00A55785">
        <w:rPr>
          <w:rFonts w:ascii="Times New Roman" w:hAnsi="Times New Roman"/>
          <w:i/>
          <w:sz w:val="20"/>
          <w:szCs w:val="20"/>
        </w:rPr>
        <w:t>e</w:t>
      </w:r>
      <w:r w:rsidRPr="00A55785">
        <w:rPr>
          <w:rFonts w:ascii="Times New Roman" w:hAnsi="Times New Roman"/>
          <w:sz w:val="20"/>
          <w:szCs w:val="20"/>
        </w:rPr>
        <w:t>. its acidity property can be tailored to the reaction temperature and thus, able to protonate the hydroxyl group of C</w:t>
      </w:r>
      <w:r w:rsidRPr="00A55785">
        <w:rPr>
          <w:rFonts w:ascii="Times New Roman" w:hAnsi="Times New Roman"/>
          <w:sz w:val="20"/>
          <w:szCs w:val="20"/>
          <w:vertAlign w:val="subscript"/>
        </w:rPr>
        <w:t>2</w:t>
      </w:r>
      <w:r w:rsidRPr="00A55785">
        <w:rPr>
          <w:rFonts w:ascii="Times New Roman" w:hAnsi="Times New Roman"/>
          <w:sz w:val="20"/>
          <w:szCs w:val="20"/>
        </w:rPr>
        <w:t>H</w:t>
      </w:r>
      <w:r w:rsidRPr="00A55785">
        <w:rPr>
          <w:rFonts w:ascii="Times New Roman" w:hAnsi="Times New Roman"/>
          <w:sz w:val="20"/>
          <w:szCs w:val="20"/>
          <w:vertAlign w:val="subscript"/>
        </w:rPr>
        <w:t>5</w:t>
      </w:r>
      <w:r w:rsidRPr="00A55785">
        <w:rPr>
          <w:rFonts w:ascii="Times New Roman" w:hAnsi="Times New Roman"/>
          <w:sz w:val="20"/>
          <w:szCs w:val="20"/>
        </w:rPr>
        <w:t>OH molecule.</w:t>
      </w:r>
    </w:p>
    <w:p w:rsidR="00A55785" w:rsidRPr="00A55785" w:rsidRDefault="00A55785" w:rsidP="00A55785">
      <w:pPr>
        <w:spacing w:after="0" w:line="240" w:lineRule="auto"/>
        <w:jc w:val="both"/>
        <w:rPr>
          <w:rFonts w:ascii="Times New Roman" w:hAnsi="Times New Roman"/>
          <w:sz w:val="20"/>
          <w:szCs w:val="20"/>
        </w:rPr>
      </w:pPr>
    </w:p>
    <w:p w:rsidR="00A55785" w:rsidRPr="00A55785" w:rsidRDefault="00A55785" w:rsidP="00A55785">
      <w:pPr>
        <w:spacing w:after="0" w:line="240" w:lineRule="auto"/>
        <w:jc w:val="both"/>
        <w:rPr>
          <w:rFonts w:ascii="Times New Roman" w:hAnsi="Times New Roman"/>
          <w:sz w:val="20"/>
          <w:szCs w:val="20"/>
        </w:rPr>
      </w:pPr>
      <w:r w:rsidRPr="00A55785">
        <w:rPr>
          <w:rFonts w:ascii="Times New Roman" w:hAnsi="Times New Roman"/>
          <w:b/>
          <w:sz w:val="20"/>
          <w:szCs w:val="20"/>
        </w:rPr>
        <w:t>Post reaction study</w:t>
      </w:r>
    </w:p>
    <w:p w:rsidR="00A55785" w:rsidRPr="00A55785" w:rsidRDefault="00A55785" w:rsidP="00A55785">
      <w:pPr>
        <w:spacing w:after="0" w:line="240" w:lineRule="auto"/>
        <w:jc w:val="both"/>
        <w:rPr>
          <w:rFonts w:ascii="Times New Roman" w:hAnsi="Times New Roman"/>
          <w:sz w:val="20"/>
          <w:szCs w:val="20"/>
        </w:rPr>
      </w:pPr>
      <w:r w:rsidRPr="00A55785">
        <w:rPr>
          <w:rFonts w:ascii="Times New Roman" w:hAnsi="Times New Roman"/>
          <w:sz w:val="20"/>
          <w:szCs w:val="20"/>
        </w:rPr>
        <w:t>Among all CeO</w:t>
      </w:r>
      <w:r w:rsidRPr="00A55785">
        <w:rPr>
          <w:rFonts w:ascii="Times New Roman" w:hAnsi="Times New Roman"/>
          <w:sz w:val="20"/>
          <w:szCs w:val="20"/>
          <w:vertAlign w:val="subscript"/>
        </w:rPr>
        <w:t>2</w:t>
      </w:r>
      <w:r w:rsidRPr="00A55785">
        <w:rPr>
          <w:rFonts w:ascii="Times New Roman" w:hAnsi="Times New Roman"/>
          <w:sz w:val="20"/>
          <w:szCs w:val="20"/>
        </w:rPr>
        <w:t xml:space="preserve"> and H</w:t>
      </w:r>
      <w:r w:rsidRPr="00A55785">
        <w:rPr>
          <w:rFonts w:ascii="Times New Roman" w:hAnsi="Times New Roman"/>
          <w:sz w:val="20"/>
          <w:szCs w:val="20"/>
          <w:vertAlign w:val="subscript"/>
        </w:rPr>
        <w:t>3</w:t>
      </w:r>
      <w:r w:rsidRPr="00A55785">
        <w:rPr>
          <w:rFonts w:ascii="Times New Roman" w:hAnsi="Times New Roman"/>
          <w:sz w:val="20"/>
          <w:szCs w:val="20"/>
        </w:rPr>
        <w:t>PO</w:t>
      </w:r>
      <w:r w:rsidRPr="00A55785">
        <w:rPr>
          <w:rFonts w:ascii="Times New Roman" w:hAnsi="Times New Roman"/>
          <w:sz w:val="20"/>
          <w:szCs w:val="20"/>
          <w:vertAlign w:val="subscript"/>
        </w:rPr>
        <w:t>4</w:t>
      </w:r>
      <w:r w:rsidRPr="00A55785">
        <w:rPr>
          <w:rFonts w:ascii="Times New Roman" w:hAnsi="Times New Roman"/>
          <w:sz w:val="20"/>
          <w:szCs w:val="20"/>
        </w:rPr>
        <w:t>-modified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showed the best catalytic performance. The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was collected for post reaction characterization. The used 30PA-CeO</w:t>
      </w:r>
      <w:r w:rsidRPr="00A55785">
        <w:rPr>
          <w:rFonts w:ascii="Times New Roman" w:hAnsi="Times New Roman"/>
          <w:sz w:val="20"/>
          <w:szCs w:val="20"/>
          <w:vertAlign w:val="subscript"/>
        </w:rPr>
        <w:t>2</w:t>
      </w:r>
      <w:r w:rsidRPr="00A55785">
        <w:rPr>
          <w:rFonts w:ascii="Times New Roman" w:hAnsi="Times New Roman"/>
          <w:sz w:val="20"/>
          <w:szCs w:val="20"/>
        </w:rPr>
        <w:t>catalysts at different reaction temperatures (673 K, 723 K and 773 K) were collected and were subjected to further examinations. Figure 5 shows the SEM image of the post-reaction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It can be visualized that there are not much changes to the catalysts’ morphology. In addition, no visible carbon formation was found after the reaction. </w:t>
      </w:r>
      <w:r w:rsidRPr="00A55785">
        <w:rPr>
          <w:rFonts w:ascii="Times New Roman" w:eastAsia="Calibri" w:hAnsi="Times New Roman"/>
          <w:sz w:val="20"/>
          <w:szCs w:val="20"/>
        </w:rPr>
        <w:t xml:space="preserve">This result suggests that the addition of 30wt% phosphoric acid enhance the stability of catalysis by weakening the strong acidic sites into </w:t>
      </w:r>
      <w:r w:rsidRPr="00A55785">
        <w:rPr>
          <w:rFonts w:ascii="Times New Roman" w:hAnsi="Times New Roman"/>
          <w:sz w:val="20"/>
          <w:szCs w:val="20"/>
        </w:rPr>
        <w:t>moderate weak acidic sites. This prevent the double bond which is π bond found in C</w:t>
      </w:r>
      <w:r w:rsidRPr="00A55785">
        <w:rPr>
          <w:rFonts w:ascii="Times New Roman" w:hAnsi="Times New Roman"/>
          <w:sz w:val="20"/>
          <w:szCs w:val="20"/>
          <w:vertAlign w:val="subscript"/>
        </w:rPr>
        <w:t>2</w:t>
      </w:r>
      <w:r w:rsidRPr="00A55785">
        <w:rPr>
          <w:rFonts w:ascii="Times New Roman" w:hAnsi="Times New Roman"/>
          <w:sz w:val="20"/>
          <w:szCs w:val="20"/>
        </w:rPr>
        <w:t>H</w:t>
      </w:r>
      <w:r w:rsidRPr="00A55785">
        <w:rPr>
          <w:rFonts w:ascii="Times New Roman" w:hAnsi="Times New Roman"/>
          <w:sz w:val="20"/>
          <w:szCs w:val="20"/>
          <w:vertAlign w:val="subscript"/>
        </w:rPr>
        <w:t>4</w:t>
      </w:r>
      <w:r w:rsidRPr="00A55785">
        <w:rPr>
          <w:rFonts w:ascii="Times New Roman" w:hAnsi="Times New Roman"/>
          <w:sz w:val="20"/>
          <w:szCs w:val="20"/>
        </w:rPr>
        <w:t xml:space="preserve"> is electron rich from being attracted toward the acidic catalyst surface and form single C-C bond which lead to coke formation </w:t>
      </w:r>
      <w:r w:rsidRPr="00A55785">
        <w:rPr>
          <w:rFonts w:ascii="Times New Roman" w:hAnsi="Times New Roman"/>
          <w:sz w:val="20"/>
          <w:szCs w:val="20"/>
        </w:rPr>
        <w:fldChar w:fldCharType="begin" w:fldLock="1"/>
      </w:r>
      <w:r w:rsidRPr="00A55785">
        <w:rPr>
          <w:rFonts w:ascii="Times New Roman" w:hAnsi="Times New Roman"/>
          <w:sz w:val="20"/>
          <w:szCs w:val="20"/>
        </w:rPr>
        <w:instrText>ADDIN CSL_CITATION { "citationItems" : [ { "id" : "ITEM-1", "itemData" : { "DOI" : "10.1016/S0079-6816(01)00040-5", "ISSN" : "00796816", "abstract" : "A review of the major contributions from modern surface science to the understanding of the chemistry of heterogeneous catalysis is provided. A number of basic concepts, including the nature of surface bonds, the dynamics of surface reactions, and the identification of the intermediates and elemental steps that comprise the catalytic processes, are surveyed. The localized nature of the surface chemical bond, the drastic changes that varying surface coverages introduce on surface energetics and kinetics, and the key role that subtle energy barrier differences among competing reactions play in defining the overall selectivity of catalytic processes are particularly noted. A discussion on the implications of these microscopic concepts to catalysis is then provided. A critical analysis of the limitations encountered when extrapolating results from well-defined model systems to more realistic reaction conditions using supported catalysts and on the ways those problems have been addressed is also presented. A more comprehensive summary of the knowledge acquired to date on the surface chemistry of hydrocarbon conversion reactions on transition metals is provided. Finally, some ideas on the future directions of surface science in connection with catalysis are advanced.", "author" : [ { "dropping-particle" : "", "family" : "Zaera", "given" : "Francisco", "non-dropping-particle" : "", "parse-names" : false, "suffix" : "" } ], "container-title" : "Progress in Surface Science", "id" : "ITEM-1", "issue" : "1", "issued" : { "date-parts" : [ [ "2001" ] ] }, "page" : "1-98", "title" : "Probing catalytic reactions at surfaces", "type" : "article-journal", "volume" : "69" }, "uris" : [ "http://www.mendeley.com/documents/?uuid=2a2f770c-9daa-3d36-92b2-39bb96c04263" ] } ], "mendeley" : { "formattedCitation" : "[23]", "plainTextFormattedCitation" : "[23]", "previouslyFormattedCitation" : "[22]" }, "properties" : { "noteIndex" : 0 }, "schema" : "https://github.com/citation-style-language/schema/raw/master/csl-citation.json" }</w:instrText>
      </w:r>
      <w:r w:rsidRPr="00A55785">
        <w:rPr>
          <w:rFonts w:ascii="Times New Roman" w:hAnsi="Times New Roman"/>
          <w:sz w:val="20"/>
          <w:szCs w:val="20"/>
        </w:rPr>
        <w:fldChar w:fldCharType="separate"/>
      </w:r>
      <w:r w:rsidRPr="00A55785">
        <w:rPr>
          <w:rFonts w:ascii="Times New Roman" w:hAnsi="Times New Roman"/>
          <w:noProof/>
          <w:sz w:val="20"/>
          <w:szCs w:val="20"/>
        </w:rPr>
        <w:t>[23]</w:t>
      </w:r>
      <w:r w:rsidRPr="00A55785">
        <w:rPr>
          <w:rFonts w:ascii="Times New Roman" w:hAnsi="Times New Roman"/>
          <w:sz w:val="20"/>
          <w:szCs w:val="20"/>
        </w:rPr>
        <w:fldChar w:fldCharType="end"/>
      </w:r>
      <w:r w:rsidRPr="00A55785">
        <w:rPr>
          <w:rFonts w:ascii="Times New Roman" w:hAnsi="Times New Roman"/>
          <w:sz w:val="20"/>
          <w:szCs w:val="20"/>
        </w:rPr>
        <w:t>.</w:t>
      </w:r>
    </w:p>
    <w:p w:rsidR="00A55785" w:rsidRPr="00A55785" w:rsidRDefault="00A55785" w:rsidP="00243670">
      <w:pPr>
        <w:adjustRightInd w:val="0"/>
        <w:spacing w:after="120" w:line="240" w:lineRule="auto"/>
        <w:jc w:val="both"/>
        <w:rPr>
          <w:rFonts w:ascii="Times New Roman" w:hAnsi="Times New Roman"/>
          <w:sz w:val="20"/>
          <w:szCs w:val="20"/>
        </w:rPr>
      </w:pPr>
    </w:p>
    <w:p w:rsidR="00A55785" w:rsidRPr="00A55785" w:rsidRDefault="00A55785" w:rsidP="00243670">
      <w:pPr>
        <w:spacing w:after="0" w:line="240" w:lineRule="auto"/>
        <w:jc w:val="center"/>
        <w:rPr>
          <w:rFonts w:ascii="Times New Roman" w:hAnsi="Times New Roman"/>
          <w:sz w:val="20"/>
          <w:szCs w:val="20"/>
        </w:rPr>
      </w:pPr>
      <w:r w:rsidRPr="00A55785">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A30582A" wp14:editId="2BB34E7A">
                <wp:simplePos x="0" y="0"/>
                <wp:positionH relativeFrom="column">
                  <wp:posOffset>1635760</wp:posOffset>
                </wp:positionH>
                <wp:positionV relativeFrom="paragraph">
                  <wp:posOffset>1913559</wp:posOffset>
                </wp:positionV>
                <wp:extent cx="400050" cy="241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5785" w:rsidRPr="00CF212C" w:rsidRDefault="00A55785" w:rsidP="00A55785">
                            <w:pPr>
                              <w:rPr>
                                <w:rFonts w:ascii="Times New Roman" w:hAnsi="Times New Roman"/>
                                <w:b/>
                                <w:color w:val="FFFFFF" w:themeColor="background1"/>
                              </w:rPr>
                            </w:pPr>
                            <w:r w:rsidRPr="00CF212C">
                              <w:rPr>
                                <w:rFonts w:ascii="Times New Roman" w:hAnsi="Times New Roman"/>
                                <w:b/>
                                <w:color w:val="FFFFFF" w:themeColor="background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28.8pt;margin-top:150.65pt;width:31.5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" filled="f" stroked="f" strokeweight=".5pt">
                <v:path arrowok="t"/>
                <v:textbox>
                  <w:txbxContent>
                    <w:p w:rsidR="00A55785" w:rsidRPr="00CF212C" w:rsidRDefault="00A55785" w:rsidP="00A55785">
                      <w:pPr>
                        <w:rPr>
                          <w:rFonts w:ascii="Times New Roman" w:hAnsi="Times New Roman"/>
                          <w:b/>
                          <w:color w:val="FFFFFF" w:themeColor="background1"/>
                        </w:rPr>
                      </w:pPr>
                      <w:r w:rsidRPr="00CF212C">
                        <w:rPr>
                          <w:rFonts w:ascii="Times New Roman" w:hAnsi="Times New Roman"/>
                          <w:b/>
                          <w:color w:val="FFFFFF" w:themeColor="background1"/>
                        </w:rPr>
                        <w:t>(c)</w:t>
                      </w:r>
                    </w:p>
                  </w:txbxContent>
                </v:textbox>
              </v:shape>
            </w:pict>
          </mc:Fallback>
        </mc:AlternateContent>
      </w:r>
      <w:r w:rsidRPr="00A5578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8D66488" wp14:editId="73DB7072">
                <wp:simplePos x="0" y="0"/>
                <wp:positionH relativeFrom="column">
                  <wp:posOffset>2979696</wp:posOffset>
                </wp:positionH>
                <wp:positionV relativeFrom="paragraph">
                  <wp:posOffset>19243</wp:posOffset>
                </wp:positionV>
                <wp:extent cx="396875" cy="224155"/>
                <wp:effectExtent l="1270" t="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55785" w:rsidRPr="00CF212C" w:rsidRDefault="00A55785" w:rsidP="00A55785">
                            <w:pPr>
                              <w:rPr>
                                <w:rFonts w:ascii="Times New Roman" w:hAnsi="Times New Roman"/>
                                <w:b/>
                                <w:color w:val="FFFFFF" w:themeColor="background1"/>
                              </w:rPr>
                            </w:pPr>
                            <w:r w:rsidRPr="00CF212C">
                              <w:rPr>
                                <w:rFonts w:ascii="Times New Roman" w:hAnsi="Times New Roman"/>
                                <w:b/>
                                <w:color w:val="FFFFFF" w:themeColor="background1"/>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34.6pt;margin-top:1.5pt;width:31.25pt;height:1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" filled="f" stroked="f" strokecolor="white">
                <v:textbox>
                  <w:txbxContent>
                    <w:p w:rsidR="00A55785" w:rsidRPr="00CF212C" w:rsidRDefault="00A55785" w:rsidP="00A55785">
                      <w:pPr>
                        <w:rPr>
                          <w:rFonts w:ascii="Times New Roman" w:hAnsi="Times New Roman"/>
                          <w:b/>
                          <w:color w:val="FFFFFF" w:themeColor="background1"/>
                        </w:rPr>
                      </w:pPr>
                      <w:r w:rsidRPr="00CF212C">
                        <w:rPr>
                          <w:rFonts w:ascii="Times New Roman" w:hAnsi="Times New Roman"/>
                          <w:b/>
                          <w:color w:val="FFFFFF" w:themeColor="background1"/>
                        </w:rPr>
                        <w:t>(b)</w:t>
                      </w:r>
                    </w:p>
                  </w:txbxContent>
                </v:textbox>
              </v:shape>
            </w:pict>
          </mc:Fallback>
        </mc:AlternateContent>
      </w:r>
      <w:r w:rsidRPr="00A5578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475CAB6" wp14:editId="75EE8759">
                <wp:simplePos x="0" y="0"/>
                <wp:positionH relativeFrom="column">
                  <wp:posOffset>432573</wp:posOffset>
                </wp:positionH>
                <wp:positionV relativeFrom="paragraph">
                  <wp:posOffset>11292</wp:posOffset>
                </wp:positionV>
                <wp:extent cx="400050" cy="2413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5785" w:rsidRPr="00CF212C" w:rsidRDefault="00A55785" w:rsidP="00A55785">
                            <w:pPr>
                              <w:rPr>
                                <w:rFonts w:ascii="Times New Roman" w:hAnsi="Times New Roman"/>
                                <w:b/>
                                <w:color w:val="FFFFFF" w:themeColor="background1"/>
                              </w:rPr>
                            </w:pPr>
                            <w:r w:rsidRPr="00CF212C">
                              <w:rPr>
                                <w:rFonts w:ascii="Times New Roman" w:hAnsi="Times New Roman"/>
                                <w:b/>
                                <w:color w:val="FFFFFF" w:themeColor="background1"/>
                              </w:rPr>
                              <w:t>(a)</w:t>
                            </w:r>
                            <w:r w:rsidRPr="00CF212C">
                              <w:rPr>
                                <w:rFonts w:ascii="Times New Roman" w:hAnsi="Times New Roman"/>
                                <w:b/>
                                <w:noProof/>
                                <w:color w:val="FFFFFF" w:themeColor="background1"/>
                                <w:lang w:bidi="ar-SA"/>
                              </w:rPr>
                              <w:drawing>
                                <wp:inline distT="0" distB="0" distL="0" distR="0" wp14:anchorId="0CCD75B6" wp14:editId="41298888">
                                  <wp:extent cx="214630" cy="13525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630" cy="1352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4.05pt;margin-top:.9pt;width:31.5pt;height: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" filled="f" stroked="f" strokeweight=".5pt">
                <v:path arrowok="t"/>
                <v:textbox>
                  <w:txbxContent>
                    <w:p w:rsidR="00A55785" w:rsidRPr="00CF212C" w:rsidRDefault="00A55785" w:rsidP="00A55785">
                      <w:pPr>
                        <w:rPr>
                          <w:rFonts w:ascii="Times New Roman" w:hAnsi="Times New Roman"/>
                          <w:b/>
                          <w:color w:val="FFFFFF" w:themeColor="background1"/>
                        </w:rPr>
                      </w:pPr>
                      <w:r w:rsidRPr="00CF212C">
                        <w:rPr>
                          <w:rFonts w:ascii="Times New Roman" w:hAnsi="Times New Roman"/>
                          <w:b/>
                          <w:color w:val="FFFFFF" w:themeColor="background1"/>
                        </w:rPr>
                        <w:t>(a)</w:t>
                      </w:r>
                      <w:r w:rsidRPr="00CF212C">
                        <w:rPr>
                          <w:rFonts w:ascii="Times New Roman" w:hAnsi="Times New Roman"/>
                          <w:b/>
                          <w:noProof/>
                          <w:color w:val="FFFFFF" w:themeColor="background1"/>
                        </w:rPr>
                        <w:drawing>
                          <wp:inline distT="0" distB="0" distL="0" distR="0" wp14:anchorId="0CCD75B6" wp14:editId="41298888">
                            <wp:extent cx="214630" cy="135255"/>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630" cy="135255"/>
                                    </a:xfrm>
                                    <a:prstGeom prst="rect">
                                      <a:avLst/>
                                    </a:prstGeom>
                                    <a:noFill/>
                                    <a:ln>
                                      <a:noFill/>
                                    </a:ln>
                                  </pic:spPr>
                                </pic:pic>
                              </a:graphicData>
                            </a:graphic>
                          </wp:inline>
                        </w:drawing>
                      </w:r>
                    </w:p>
                  </w:txbxContent>
                </v:textbox>
              </v:shape>
            </w:pict>
          </mc:Fallback>
        </mc:AlternateContent>
      </w:r>
      <w:r w:rsidRPr="00A55785">
        <w:rPr>
          <w:rFonts w:ascii="Times New Roman" w:hAnsi="Times New Roman"/>
          <w:noProof/>
          <w:sz w:val="20"/>
          <w:szCs w:val="20"/>
          <w:lang w:bidi="ar-SA"/>
        </w:rPr>
        <w:drawing>
          <wp:inline distT="0" distB="0" distL="0" distR="0" wp14:anchorId="5ACB5C5D" wp14:editId="46A33F5D">
            <wp:extent cx="2576195" cy="191643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6195" cy="1916430"/>
                    </a:xfrm>
                    <a:prstGeom prst="rect">
                      <a:avLst/>
                    </a:prstGeom>
                    <a:noFill/>
                    <a:ln>
                      <a:noFill/>
                    </a:ln>
                  </pic:spPr>
                </pic:pic>
              </a:graphicData>
            </a:graphic>
          </wp:inline>
        </w:drawing>
      </w:r>
      <w:r w:rsidRPr="00A55785">
        <w:rPr>
          <w:rFonts w:ascii="Times New Roman" w:hAnsi="Times New Roman"/>
          <w:noProof/>
          <w:sz w:val="20"/>
          <w:szCs w:val="20"/>
          <w:lang w:bidi="ar-SA"/>
        </w:rPr>
        <w:drawing>
          <wp:inline distT="0" distB="0" distL="0" distR="0" wp14:anchorId="7FC2BBFB" wp14:editId="6CB28D48">
            <wp:extent cx="2520315" cy="19164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315" cy="1916430"/>
                    </a:xfrm>
                    <a:prstGeom prst="rect">
                      <a:avLst/>
                    </a:prstGeom>
                    <a:noFill/>
                    <a:ln>
                      <a:noFill/>
                    </a:ln>
                  </pic:spPr>
                </pic:pic>
              </a:graphicData>
            </a:graphic>
          </wp:inline>
        </w:drawing>
      </w:r>
    </w:p>
    <w:p w:rsidR="00A55785" w:rsidRPr="00A55785" w:rsidRDefault="00A55785" w:rsidP="00243670">
      <w:pPr>
        <w:spacing w:after="0" w:line="240" w:lineRule="auto"/>
        <w:jc w:val="center"/>
        <w:rPr>
          <w:rFonts w:ascii="Times New Roman" w:hAnsi="Times New Roman"/>
          <w:sz w:val="20"/>
          <w:szCs w:val="20"/>
        </w:rPr>
      </w:pPr>
      <w:r w:rsidRPr="00A55785">
        <w:rPr>
          <w:rFonts w:ascii="Times New Roman" w:hAnsi="Times New Roman"/>
          <w:noProof/>
          <w:sz w:val="20"/>
          <w:szCs w:val="20"/>
          <w:lang w:bidi="ar-SA"/>
        </w:rPr>
        <w:drawing>
          <wp:inline distT="0" distB="0" distL="0" distR="0" wp14:anchorId="18E3022A" wp14:editId="57D6B43D">
            <wp:extent cx="2417445" cy="1884680"/>
            <wp:effectExtent l="0" t="0" r="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7445" cy="1884680"/>
                    </a:xfrm>
                    <a:prstGeom prst="rect">
                      <a:avLst/>
                    </a:prstGeom>
                    <a:noFill/>
                    <a:ln>
                      <a:noFill/>
                    </a:ln>
                  </pic:spPr>
                </pic:pic>
              </a:graphicData>
            </a:graphic>
          </wp:inline>
        </w:drawing>
      </w:r>
    </w:p>
    <w:p w:rsidR="00A55785" w:rsidRPr="00A55785" w:rsidRDefault="00A55785" w:rsidP="00A55785">
      <w:pPr>
        <w:spacing w:after="0" w:line="240" w:lineRule="auto"/>
        <w:jc w:val="both"/>
        <w:outlineLvl w:val="0"/>
        <w:rPr>
          <w:rFonts w:ascii="Times New Roman" w:hAnsi="Times New Roman"/>
          <w:sz w:val="20"/>
          <w:szCs w:val="20"/>
        </w:rPr>
      </w:pPr>
    </w:p>
    <w:p w:rsidR="00A55785" w:rsidRPr="00A55785" w:rsidRDefault="00A55785" w:rsidP="00243670">
      <w:pPr>
        <w:spacing w:after="0" w:line="240" w:lineRule="auto"/>
        <w:ind w:left="851" w:hanging="851"/>
        <w:jc w:val="both"/>
        <w:outlineLvl w:val="0"/>
        <w:rPr>
          <w:rFonts w:ascii="Times New Roman" w:hAnsi="Times New Roman"/>
          <w:sz w:val="20"/>
          <w:szCs w:val="20"/>
        </w:rPr>
      </w:pPr>
      <w:r w:rsidRPr="00A55785">
        <w:rPr>
          <w:rFonts w:ascii="Times New Roman" w:hAnsi="Times New Roman"/>
          <w:sz w:val="20"/>
          <w:szCs w:val="20"/>
        </w:rPr>
        <w:t xml:space="preserve">Figure 5. </w:t>
      </w:r>
      <w:r w:rsidR="00243670">
        <w:rPr>
          <w:rFonts w:ascii="Times New Roman" w:hAnsi="Times New Roman"/>
          <w:sz w:val="20"/>
          <w:szCs w:val="20"/>
        </w:rPr>
        <w:t xml:space="preserve"> </w:t>
      </w:r>
      <w:r w:rsidR="00243670">
        <w:rPr>
          <w:rFonts w:ascii="Times New Roman" w:hAnsi="Times New Roman"/>
          <w:sz w:val="20"/>
          <w:szCs w:val="20"/>
        </w:rPr>
        <w:tab/>
      </w:r>
      <w:r w:rsidRPr="00A55785">
        <w:rPr>
          <w:rFonts w:ascii="Times New Roman" w:hAnsi="Times New Roman"/>
          <w:sz w:val="20"/>
          <w:szCs w:val="20"/>
        </w:rPr>
        <w:t>SEM images of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at ethanol partial pressure 33 kPa and (a) 673 K (b) 723 K </w:t>
      </w:r>
      <w:r w:rsidR="00243670">
        <w:rPr>
          <w:rFonts w:ascii="Times New Roman" w:hAnsi="Times New Roman"/>
          <w:sz w:val="20"/>
          <w:szCs w:val="20"/>
        </w:rPr>
        <w:t xml:space="preserve"> </w:t>
      </w:r>
      <w:r w:rsidRPr="00A55785">
        <w:rPr>
          <w:rFonts w:ascii="Times New Roman" w:hAnsi="Times New Roman"/>
          <w:sz w:val="20"/>
          <w:szCs w:val="20"/>
        </w:rPr>
        <w:t>and    (c) 773 K.</w:t>
      </w:r>
    </w:p>
    <w:p w:rsidR="00A55785" w:rsidRDefault="00A55785" w:rsidP="00A55785">
      <w:pPr>
        <w:spacing w:after="0" w:line="240" w:lineRule="auto"/>
        <w:jc w:val="both"/>
        <w:rPr>
          <w:rFonts w:ascii="Times New Roman" w:hAnsi="Times New Roman"/>
          <w:sz w:val="20"/>
          <w:szCs w:val="20"/>
        </w:rPr>
      </w:pPr>
      <w:r w:rsidRPr="00A55785">
        <w:rPr>
          <w:rFonts w:ascii="Times New Roman" w:hAnsi="Times New Roman"/>
          <w:sz w:val="20"/>
          <w:szCs w:val="20"/>
        </w:rPr>
        <w:lastRenderedPageBreak/>
        <w:t>TG analysis was performed to study the thermal profile of the spent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The TG analysis was performed from 298 K to 1173 K, each time. As shown in Figure 6, weight loss in the used catalyst at all reaction temperatures are small. Indeed, the total weight loss of used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at reaction temperature 673 K was about 0.84 wt.%. For the used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at reaction temperatures of 723 K and 773 K, the weight losses at 873 K and 1073 K were 0.86 wt.% and 0.915 wt.%, respectively. This weight loss can be ascribed to the loss of water in catalyst and was consistent with the SEM results where no visible carbon formation was found. The results obtained also indicate that 30PA-CeO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 was thermally stable.</w:t>
      </w:r>
    </w:p>
    <w:p w:rsidR="00243670" w:rsidRPr="00A55785" w:rsidRDefault="00243670" w:rsidP="00243670">
      <w:pPr>
        <w:spacing w:after="120" w:line="240" w:lineRule="auto"/>
        <w:jc w:val="both"/>
        <w:rPr>
          <w:rFonts w:ascii="Times New Roman" w:hAnsi="Times New Roman"/>
          <w:sz w:val="20"/>
          <w:szCs w:val="20"/>
        </w:rPr>
      </w:pPr>
    </w:p>
    <w:p w:rsidR="00A55785" w:rsidRPr="00A55785" w:rsidRDefault="00A55785" w:rsidP="00260355">
      <w:pPr>
        <w:spacing w:after="0" w:line="240" w:lineRule="auto"/>
        <w:jc w:val="center"/>
        <w:rPr>
          <w:rFonts w:ascii="Times New Roman" w:hAnsi="Times New Roman"/>
          <w:iCs/>
          <w:sz w:val="20"/>
          <w:szCs w:val="20"/>
        </w:rPr>
      </w:pPr>
      <w:r w:rsidRPr="00A55785">
        <w:rPr>
          <w:rFonts w:ascii="Times New Roman" w:hAnsi="Times New Roman"/>
          <w:iCs/>
          <w:noProof/>
          <w:sz w:val="20"/>
          <w:szCs w:val="20"/>
          <w:lang w:bidi="ar-SA"/>
        </w:rPr>
        <w:drawing>
          <wp:inline distT="0" distB="0" distL="0" distR="0" wp14:anchorId="62CD5DBA" wp14:editId="7B91930A">
            <wp:extent cx="3240000" cy="2286464"/>
            <wp:effectExtent l="19050" t="19050" r="17780" b="1905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11371" t="31883" r="17726" b="30962"/>
                    <a:stretch>
                      <a:fillRect/>
                    </a:stretch>
                  </pic:blipFill>
                  <pic:spPr bwMode="auto">
                    <a:xfrm>
                      <a:off x="0" y="0"/>
                      <a:ext cx="3240000" cy="2286464"/>
                    </a:xfrm>
                    <a:prstGeom prst="rect">
                      <a:avLst/>
                    </a:prstGeom>
                    <a:noFill/>
                    <a:ln>
                      <a:solidFill>
                        <a:schemeClr val="tx1"/>
                      </a:solidFill>
                    </a:ln>
                  </pic:spPr>
                </pic:pic>
              </a:graphicData>
            </a:graphic>
          </wp:inline>
        </w:drawing>
      </w:r>
    </w:p>
    <w:p w:rsidR="00A55785" w:rsidRPr="00A55785" w:rsidRDefault="00A55785" w:rsidP="00A55785">
      <w:pPr>
        <w:spacing w:after="0" w:line="240" w:lineRule="auto"/>
        <w:jc w:val="both"/>
        <w:rPr>
          <w:rFonts w:ascii="Times New Roman" w:hAnsi="Times New Roman"/>
          <w:iCs/>
          <w:sz w:val="20"/>
          <w:szCs w:val="20"/>
        </w:rPr>
      </w:pPr>
    </w:p>
    <w:p w:rsidR="00A55785" w:rsidRPr="00A55785" w:rsidRDefault="00A55785" w:rsidP="00260355">
      <w:pPr>
        <w:spacing w:after="0" w:line="240" w:lineRule="auto"/>
        <w:jc w:val="center"/>
        <w:rPr>
          <w:rFonts w:ascii="Times New Roman" w:hAnsi="Times New Roman"/>
          <w:sz w:val="20"/>
          <w:szCs w:val="20"/>
        </w:rPr>
      </w:pPr>
      <w:r w:rsidRPr="00A55785">
        <w:rPr>
          <w:rFonts w:ascii="Times New Roman" w:hAnsi="Times New Roman"/>
          <w:iCs/>
          <w:sz w:val="20"/>
          <w:szCs w:val="20"/>
        </w:rPr>
        <w:t xml:space="preserve">Figure 6. </w:t>
      </w:r>
      <w:r w:rsidR="00260355">
        <w:rPr>
          <w:rFonts w:ascii="Times New Roman" w:hAnsi="Times New Roman"/>
          <w:iCs/>
          <w:sz w:val="20"/>
          <w:szCs w:val="20"/>
        </w:rPr>
        <w:t xml:space="preserve"> </w:t>
      </w:r>
      <w:r w:rsidRPr="00A55785">
        <w:rPr>
          <w:rFonts w:ascii="Times New Roman" w:hAnsi="Times New Roman"/>
          <w:iCs/>
          <w:sz w:val="20"/>
          <w:szCs w:val="20"/>
        </w:rPr>
        <w:t xml:space="preserve">TGA profiles of used </w:t>
      </w:r>
      <w:r w:rsidRPr="00A55785">
        <w:rPr>
          <w:rFonts w:ascii="Times New Roman" w:hAnsi="Times New Roman"/>
          <w:sz w:val="20"/>
          <w:szCs w:val="20"/>
        </w:rPr>
        <w:t>30PA- CeO</w:t>
      </w:r>
      <w:r w:rsidRPr="00A55785">
        <w:rPr>
          <w:rFonts w:ascii="Times New Roman" w:hAnsi="Times New Roman"/>
          <w:sz w:val="20"/>
          <w:szCs w:val="20"/>
          <w:vertAlign w:val="subscript"/>
        </w:rPr>
        <w:t>2</w:t>
      </w:r>
      <w:r w:rsidRPr="00A55785">
        <w:rPr>
          <w:rFonts w:ascii="Times New Roman" w:hAnsi="Times New Roman"/>
          <w:sz w:val="20"/>
          <w:szCs w:val="20"/>
        </w:rPr>
        <w:t xml:space="preserve"> catalysts at (a) 673 K, (b) 723 K and (c) 773 K</w:t>
      </w:r>
    </w:p>
    <w:p w:rsidR="00AC0033" w:rsidRDefault="00AC0033" w:rsidP="00AC0033">
      <w:pPr>
        <w:spacing w:after="0" w:line="240" w:lineRule="auto"/>
        <w:jc w:val="center"/>
        <w:rPr>
          <w:rFonts w:ascii="Times New Roman" w:hAnsi="Times New Roman"/>
          <w:noProof/>
          <w:sz w:val="20"/>
          <w:szCs w:val="20"/>
          <w:lang w:bidi="ar-SA"/>
        </w:rPr>
      </w:pPr>
    </w:p>
    <w:p w:rsidR="00260355" w:rsidRPr="00F447A7" w:rsidRDefault="00260355"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93A9F" w:rsidRPr="00493A9F" w:rsidRDefault="00493A9F" w:rsidP="00493A9F">
      <w:pPr>
        <w:spacing w:after="0" w:line="240" w:lineRule="auto"/>
        <w:jc w:val="both"/>
        <w:outlineLvl w:val="0"/>
        <w:rPr>
          <w:rFonts w:ascii="Times New Roman" w:hAnsi="Times New Roman"/>
          <w:sz w:val="20"/>
          <w:szCs w:val="20"/>
        </w:rPr>
      </w:pPr>
      <w:r w:rsidRPr="00E1000A">
        <w:rPr>
          <w:rFonts w:ascii="Times New Roman" w:hAnsi="Times New Roman"/>
          <w:szCs w:val="20"/>
        </w:rPr>
        <w:t>T</w:t>
      </w:r>
      <w:r w:rsidRPr="00493A9F">
        <w:rPr>
          <w:rFonts w:ascii="Times New Roman" w:hAnsi="Times New Roman"/>
          <w:sz w:val="20"/>
          <w:szCs w:val="20"/>
        </w:rPr>
        <w:t>his</w:t>
      </w:r>
      <w:r w:rsidRPr="00493A9F">
        <w:rPr>
          <w:rFonts w:ascii="Times New Roman" w:hAnsi="Times New Roman"/>
          <w:spacing w:val="-1"/>
          <w:sz w:val="20"/>
          <w:szCs w:val="20"/>
        </w:rPr>
        <w:t xml:space="preserve"> project focuses on the </w:t>
      </w:r>
      <w:r w:rsidRPr="00493A9F">
        <w:rPr>
          <w:rFonts w:ascii="Times New Roman" w:hAnsi="Times New Roman"/>
          <w:sz w:val="20"/>
          <w:szCs w:val="20"/>
        </w:rPr>
        <w:t xml:space="preserve">catalytic performance of ethanol to ethylene on </w:t>
      </w:r>
      <w:r w:rsidRPr="00493A9F">
        <w:rPr>
          <w:rFonts w:ascii="Times New Roman" w:hAnsi="Times New Roman"/>
          <w:sz w:val="20"/>
          <w:szCs w:val="20"/>
          <w:lang w:val="en-GB"/>
        </w:rPr>
        <w:t>H</w:t>
      </w:r>
      <w:r w:rsidRPr="00493A9F">
        <w:rPr>
          <w:rFonts w:ascii="Times New Roman" w:hAnsi="Times New Roman"/>
          <w:sz w:val="20"/>
          <w:szCs w:val="20"/>
          <w:vertAlign w:val="subscript"/>
          <w:lang w:val="en-GB"/>
        </w:rPr>
        <w:t>3</w:t>
      </w:r>
      <w:r w:rsidRPr="00493A9F">
        <w:rPr>
          <w:rFonts w:ascii="Times New Roman" w:hAnsi="Times New Roman"/>
          <w:sz w:val="20"/>
          <w:szCs w:val="20"/>
          <w:lang w:val="en-GB"/>
        </w:rPr>
        <w:t>PO</w:t>
      </w:r>
      <w:r w:rsidRPr="00493A9F">
        <w:rPr>
          <w:rFonts w:ascii="Times New Roman" w:hAnsi="Times New Roman"/>
          <w:sz w:val="20"/>
          <w:szCs w:val="20"/>
          <w:vertAlign w:val="subscript"/>
          <w:lang w:val="en-GB"/>
        </w:rPr>
        <w:t>4</w:t>
      </w:r>
      <w:r w:rsidRPr="00493A9F">
        <w:rPr>
          <w:rFonts w:ascii="Times New Roman" w:hAnsi="Times New Roman"/>
          <w:sz w:val="20"/>
          <w:szCs w:val="20"/>
          <w:lang w:val="en-GB"/>
        </w:rPr>
        <w:t>-modified CeO</w:t>
      </w:r>
      <w:r w:rsidRPr="00493A9F">
        <w:rPr>
          <w:rFonts w:ascii="Times New Roman" w:hAnsi="Times New Roman"/>
          <w:sz w:val="20"/>
          <w:szCs w:val="20"/>
          <w:vertAlign w:val="subscript"/>
          <w:lang w:val="en-GB"/>
        </w:rPr>
        <w:t>2</w:t>
      </w:r>
      <w:r w:rsidRPr="00493A9F">
        <w:rPr>
          <w:rFonts w:ascii="Times New Roman" w:hAnsi="Times New Roman"/>
          <w:sz w:val="20"/>
          <w:szCs w:val="20"/>
          <w:lang w:val="en-GB"/>
        </w:rPr>
        <w:t xml:space="preserve"> (various loadings of H</w:t>
      </w:r>
      <w:r w:rsidRPr="00493A9F">
        <w:rPr>
          <w:rFonts w:ascii="Times New Roman" w:hAnsi="Times New Roman"/>
          <w:sz w:val="20"/>
          <w:szCs w:val="20"/>
          <w:vertAlign w:val="subscript"/>
          <w:lang w:val="en-GB"/>
        </w:rPr>
        <w:t>3</w:t>
      </w:r>
      <w:r w:rsidRPr="00493A9F">
        <w:rPr>
          <w:rFonts w:ascii="Times New Roman" w:hAnsi="Times New Roman"/>
          <w:sz w:val="20"/>
          <w:szCs w:val="20"/>
          <w:lang w:val="en-GB"/>
        </w:rPr>
        <w:t>PO</w:t>
      </w:r>
      <w:r w:rsidRPr="00493A9F">
        <w:rPr>
          <w:rFonts w:ascii="Times New Roman" w:hAnsi="Times New Roman"/>
          <w:sz w:val="20"/>
          <w:szCs w:val="20"/>
          <w:vertAlign w:val="subscript"/>
          <w:lang w:val="en-GB"/>
        </w:rPr>
        <w:t>4</w:t>
      </w:r>
      <w:r w:rsidRPr="00493A9F">
        <w:rPr>
          <w:rFonts w:ascii="Times New Roman" w:hAnsi="Times New Roman"/>
          <w:sz w:val="20"/>
          <w:szCs w:val="20"/>
          <w:lang w:val="en-GB"/>
        </w:rPr>
        <w:t>) catalysts and the influences of H</w:t>
      </w:r>
      <w:r w:rsidRPr="00493A9F">
        <w:rPr>
          <w:rFonts w:ascii="Times New Roman" w:hAnsi="Times New Roman"/>
          <w:sz w:val="20"/>
          <w:szCs w:val="20"/>
          <w:vertAlign w:val="subscript"/>
          <w:lang w:val="en-GB"/>
        </w:rPr>
        <w:t>3</w:t>
      </w:r>
      <w:r w:rsidRPr="00493A9F">
        <w:rPr>
          <w:rFonts w:ascii="Times New Roman" w:hAnsi="Times New Roman"/>
          <w:sz w:val="20"/>
          <w:szCs w:val="20"/>
          <w:lang w:val="en-GB"/>
        </w:rPr>
        <w:t>PO</w:t>
      </w:r>
      <w:r w:rsidRPr="00493A9F">
        <w:rPr>
          <w:rFonts w:ascii="Times New Roman" w:hAnsi="Times New Roman"/>
          <w:sz w:val="20"/>
          <w:szCs w:val="20"/>
          <w:vertAlign w:val="subscript"/>
          <w:lang w:val="en-GB"/>
        </w:rPr>
        <w:t>4</w:t>
      </w:r>
      <w:r w:rsidRPr="00493A9F">
        <w:rPr>
          <w:rFonts w:ascii="Times New Roman" w:hAnsi="Times New Roman"/>
          <w:sz w:val="20"/>
          <w:szCs w:val="20"/>
          <w:lang w:val="en-GB"/>
        </w:rPr>
        <w:t xml:space="preserve"> on ethanol conversion over the synthesized catalysts. The addition of phosphorus acid to the CeO</w:t>
      </w:r>
      <w:r w:rsidRPr="00493A9F">
        <w:rPr>
          <w:rFonts w:ascii="Times New Roman" w:hAnsi="Times New Roman"/>
          <w:sz w:val="20"/>
          <w:szCs w:val="20"/>
          <w:vertAlign w:val="subscript"/>
          <w:lang w:val="en-GB"/>
        </w:rPr>
        <w:t xml:space="preserve">2 </w:t>
      </w:r>
      <w:r w:rsidRPr="00493A9F">
        <w:rPr>
          <w:rFonts w:ascii="Times New Roman" w:hAnsi="Times New Roman"/>
          <w:sz w:val="20"/>
          <w:szCs w:val="20"/>
          <w:lang w:val="en-GB"/>
        </w:rPr>
        <w:t>catalyst improved the catalytic performance and catalyst stability for ethanol dehydration to ethylene. These improvements are due to the tuned acid sites and reduction of BET specific surface areaby preventing coke formation and blocking the accessibility of reactants to the acid sites.</w:t>
      </w:r>
      <w:r w:rsidRPr="00493A9F">
        <w:rPr>
          <w:rFonts w:ascii="Times New Roman" w:hAnsi="Times New Roman"/>
          <w:sz w:val="20"/>
          <w:szCs w:val="20"/>
        </w:rPr>
        <w:t>The H</w:t>
      </w:r>
      <w:r w:rsidRPr="00493A9F">
        <w:rPr>
          <w:rFonts w:ascii="Times New Roman" w:hAnsi="Times New Roman"/>
          <w:sz w:val="20"/>
          <w:szCs w:val="20"/>
          <w:vertAlign w:val="subscript"/>
        </w:rPr>
        <w:t>3</w:t>
      </w:r>
      <w:r w:rsidRPr="00493A9F">
        <w:rPr>
          <w:rFonts w:ascii="Times New Roman" w:hAnsi="Times New Roman"/>
          <w:sz w:val="20"/>
          <w:szCs w:val="20"/>
        </w:rPr>
        <w:t>PO</w:t>
      </w:r>
      <w:r w:rsidRPr="00493A9F">
        <w:rPr>
          <w:rFonts w:ascii="Times New Roman" w:hAnsi="Times New Roman"/>
          <w:sz w:val="20"/>
          <w:szCs w:val="20"/>
          <w:vertAlign w:val="subscript"/>
        </w:rPr>
        <w:t>4</w:t>
      </w:r>
      <w:r w:rsidRPr="00493A9F">
        <w:rPr>
          <w:rFonts w:ascii="Times New Roman" w:hAnsi="Times New Roman"/>
          <w:sz w:val="20"/>
          <w:szCs w:val="20"/>
        </w:rPr>
        <w:t>-modified CeO</w:t>
      </w:r>
      <w:r w:rsidRPr="00493A9F">
        <w:rPr>
          <w:rFonts w:ascii="Times New Roman" w:hAnsi="Times New Roman"/>
          <w:sz w:val="20"/>
          <w:szCs w:val="20"/>
          <w:vertAlign w:val="subscript"/>
        </w:rPr>
        <w:t>2</w:t>
      </w:r>
      <w:r w:rsidRPr="00493A9F">
        <w:rPr>
          <w:rFonts w:ascii="Times New Roman" w:hAnsi="Times New Roman"/>
          <w:sz w:val="20"/>
          <w:szCs w:val="20"/>
        </w:rPr>
        <w:t xml:space="preserve"> catalysts showed increasing trend in ethanol conversion and ethylene selectivity with the loading of phosphorus. The post reaction analyses on the 30PA-CeO</w:t>
      </w:r>
      <w:r w:rsidRPr="00493A9F">
        <w:rPr>
          <w:rFonts w:ascii="Times New Roman" w:hAnsi="Times New Roman"/>
          <w:sz w:val="20"/>
          <w:szCs w:val="20"/>
          <w:vertAlign w:val="subscript"/>
        </w:rPr>
        <w:t>2</w:t>
      </w:r>
      <w:r w:rsidRPr="00493A9F">
        <w:rPr>
          <w:rFonts w:ascii="Times New Roman" w:hAnsi="Times New Roman"/>
          <w:sz w:val="20"/>
          <w:szCs w:val="20"/>
        </w:rPr>
        <w:t xml:space="preserve"> catalyst (the best performing catalyst) also showed that the introduction of H</w:t>
      </w:r>
      <w:r w:rsidRPr="00493A9F">
        <w:rPr>
          <w:rFonts w:ascii="Times New Roman" w:hAnsi="Times New Roman"/>
          <w:sz w:val="20"/>
          <w:szCs w:val="20"/>
          <w:vertAlign w:val="subscript"/>
        </w:rPr>
        <w:t>3</w:t>
      </w:r>
      <w:r w:rsidRPr="00493A9F">
        <w:rPr>
          <w:rFonts w:ascii="Times New Roman" w:hAnsi="Times New Roman"/>
          <w:sz w:val="20"/>
          <w:szCs w:val="20"/>
        </w:rPr>
        <w:t>PO</w:t>
      </w:r>
      <w:r w:rsidRPr="00493A9F">
        <w:rPr>
          <w:rFonts w:ascii="Times New Roman" w:hAnsi="Times New Roman"/>
          <w:sz w:val="20"/>
          <w:szCs w:val="20"/>
          <w:vertAlign w:val="subscript"/>
        </w:rPr>
        <w:t>4</w:t>
      </w:r>
      <w:r w:rsidRPr="00493A9F">
        <w:rPr>
          <w:rFonts w:ascii="Times New Roman" w:hAnsi="Times New Roman"/>
          <w:sz w:val="20"/>
          <w:szCs w:val="20"/>
        </w:rPr>
        <w:t xml:space="preserve"> acid has helped in maintaining coke-free surface that would have otherwise caused catalyst deactivation. This can be attributed to the mild acidity sites available on the 30PA-CeO</w:t>
      </w:r>
      <w:r w:rsidRPr="00493A9F">
        <w:rPr>
          <w:rFonts w:ascii="Times New Roman" w:hAnsi="Times New Roman"/>
          <w:sz w:val="20"/>
          <w:szCs w:val="20"/>
          <w:vertAlign w:val="subscript"/>
        </w:rPr>
        <w:t>2</w:t>
      </w:r>
      <w:r w:rsidRPr="00493A9F">
        <w:rPr>
          <w:rFonts w:ascii="Times New Roman" w:hAnsi="Times New Roman"/>
          <w:sz w:val="20"/>
          <w:szCs w:val="20"/>
        </w:rPr>
        <w:t xml:space="preserve"> catalyst.</w:t>
      </w:r>
    </w:p>
    <w:p w:rsidR="00493A9F" w:rsidRPr="00493A9F" w:rsidRDefault="00493A9F" w:rsidP="00493A9F">
      <w:pPr>
        <w:spacing w:after="0" w:line="240" w:lineRule="auto"/>
        <w:jc w:val="center"/>
        <w:outlineLvl w:val="0"/>
        <w:rPr>
          <w:rFonts w:ascii="Times New Roman" w:hAnsi="Times New Roman"/>
          <w:sz w:val="20"/>
          <w:szCs w:val="20"/>
        </w:rPr>
      </w:pPr>
    </w:p>
    <w:p w:rsidR="00493A9F" w:rsidRPr="00493A9F" w:rsidRDefault="00493A9F" w:rsidP="00493A9F">
      <w:pPr>
        <w:spacing w:after="0" w:line="240" w:lineRule="auto"/>
        <w:jc w:val="center"/>
        <w:outlineLvl w:val="0"/>
        <w:rPr>
          <w:rFonts w:ascii="Times New Roman" w:hAnsi="Times New Roman"/>
          <w:b/>
          <w:sz w:val="20"/>
          <w:szCs w:val="20"/>
        </w:rPr>
      </w:pPr>
      <w:r w:rsidRPr="00493A9F">
        <w:rPr>
          <w:rFonts w:ascii="Times New Roman" w:hAnsi="Times New Roman"/>
          <w:b/>
          <w:sz w:val="20"/>
          <w:szCs w:val="20"/>
        </w:rPr>
        <w:t>Acknowledgement</w:t>
      </w:r>
    </w:p>
    <w:p w:rsidR="00AC0033" w:rsidRPr="00493A9F" w:rsidRDefault="00493A9F" w:rsidP="00493A9F">
      <w:pPr>
        <w:pStyle w:val="Default"/>
        <w:jc w:val="both"/>
        <w:rPr>
          <w:color w:val="auto"/>
          <w:sz w:val="20"/>
          <w:szCs w:val="20"/>
          <w:lang w:val="en-US"/>
        </w:rPr>
      </w:pPr>
      <w:r w:rsidRPr="00493A9F">
        <w:rPr>
          <w:color w:val="auto"/>
          <w:sz w:val="20"/>
          <w:szCs w:val="20"/>
          <w:lang w:val="en-US"/>
        </w:rPr>
        <w:t>We</w:t>
      </w:r>
      <w:r w:rsidRPr="00493A9F">
        <w:rPr>
          <w:color w:val="auto"/>
          <w:sz w:val="20"/>
          <w:szCs w:val="20"/>
          <w:lang w:val="en-GB"/>
        </w:rPr>
        <w:t xml:space="preserve"> thank Universiti Malaysia Pahang for providing UMP Short Term Grant RDU160335 to support this work.</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b/>
          <w:sz w:val="20"/>
          <w:szCs w:val="20"/>
        </w:rPr>
        <w:fldChar w:fldCharType="begin" w:fldLock="1"/>
      </w:r>
      <w:r w:rsidRPr="00493A9F">
        <w:rPr>
          <w:rFonts w:ascii="Times New Roman" w:hAnsi="Times New Roman"/>
          <w:b/>
          <w:sz w:val="20"/>
          <w:szCs w:val="20"/>
        </w:rPr>
        <w:instrText xml:space="preserve">ADDIN Mendeley Bibliography CSL_BIBLIOGRAPHY </w:instrText>
      </w:r>
      <w:r w:rsidRPr="00493A9F">
        <w:rPr>
          <w:rFonts w:ascii="Times New Roman" w:hAnsi="Times New Roman"/>
          <w:b/>
          <w:sz w:val="20"/>
          <w:szCs w:val="20"/>
        </w:rPr>
        <w:fldChar w:fldCharType="separate"/>
      </w:r>
      <w:r w:rsidRPr="00493A9F">
        <w:rPr>
          <w:rFonts w:ascii="Times New Roman" w:hAnsi="Times New Roman"/>
          <w:noProof/>
          <w:sz w:val="20"/>
          <w:szCs w:val="20"/>
        </w:rPr>
        <w:t>Morschbacker, A. (2009). Bio-ethanol based ethylene.</w:t>
      </w:r>
      <w:r w:rsidRPr="00493A9F">
        <w:rPr>
          <w:rFonts w:ascii="Times New Roman" w:hAnsi="Times New Roman"/>
          <w:i/>
          <w:iCs/>
          <w:noProof/>
          <w:sz w:val="20"/>
          <w:szCs w:val="20"/>
        </w:rPr>
        <w:t>Polymer Review</w:t>
      </w:r>
      <w:r w:rsidRPr="00493A9F">
        <w:rPr>
          <w:rFonts w:ascii="Times New Roman" w:hAnsi="Times New Roman"/>
          <w:noProof/>
          <w:sz w:val="20"/>
          <w:szCs w:val="20"/>
        </w:rPr>
        <w:t>, 49 :79 – 84.</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Takahara, I., Saito, M., Inaba, M. and Murata, K. (2005). Dehydration of ethanol into ethylene over solid acid catalysts.</w:t>
      </w:r>
      <w:r w:rsidRPr="00493A9F">
        <w:rPr>
          <w:rFonts w:ascii="Times New Roman" w:hAnsi="Times New Roman"/>
          <w:i/>
          <w:iCs/>
          <w:noProof/>
          <w:sz w:val="20"/>
          <w:szCs w:val="20"/>
        </w:rPr>
        <w:t>Catalysis Letters</w:t>
      </w:r>
      <w:r w:rsidRPr="00493A9F">
        <w:rPr>
          <w:rFonts w:ascii="Times New Roman" w:hAnsi="Times New Roman"/>
          <w:iCs/>
          <w:noProof/>
          <w:sz w:val="20"/>
          <w:szCs w:val="20"/>
        </w:rPr>
        <w:t xml:space="preserve">, </w:t>
      </w:r>
      <w:r w:rsidRPr="00493A9F">
        <w:rPr>
          <w:rFonts w:ascii="Times New Roman" w:hAnsi="Times New Roman"/>
          <w:noProof/>
          <w:sz w:val="20"/>
          <w:szCs w:val="20"/>
        </w:rPr>
        <w:t>10(3–4): 249 – 252.</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Fan, D., Dai, D.-J., and Wu, H.-S. (2012). Ethylene formation by catalytic dehydration of ethanol with industrial considerations. </w:t>
      </w:r>
      <w:r w:rsidRPr="00493A9F">
        <w:rPr>
          <w:rFonts w:ascii="Times New Roman" w:hAnsi="Times New Roman"/>
          <w:i/>
          <w:iCs/>
          <w:noProof/>
          <w:sz w:val="20"/>
          <w:szCs w:val="20"/>
        </w:rPr>
        <w:t>Materials (Basel)</w:t>
      </w:r>
      <w:r w:rsidRPr="00493A9F">
        <w:rPr>
          <w:rFonts w:ascii="Times New Roman" w:hAnsi="Times New Roman"/>
          <w:noProof/>
          <w:sz w:val="20"/>
          <w:szCs w:val="20"/>
        </w:rPr>
        <w:t>, 6(1): 101 – 115.</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Aguayo, A. T., Gayubo, A. G., Atutxa, A., Valle, B. and Bilbao, J. (2015). Regeneration of a HZSM-5 zeolite catalyst deactivated in the transformation of aqueous ethanol into hydrocarbons. </w:t>
      </w:r>
      <w:r w:rsidRPr="00493A9F">
        <w:rPr>
          <w:rFonts w:ascii="Times New Roman" w:hAnsi="Times New Roman"/>
          <w:i/>
          <w:iCs/>
          <w:noProof/>
          <w:sz w:val="20"/>
          <w:szCs w:val="20"/>
        </w:rPr>
        <w:t>Catalysis Today</w:t>
      </w:r>
      <w:r w:rsidRPr="00493A9F">
        <w:rPr>
          <w:rFonts w:ascii="Times New Roman" w:hAnsi="Times New Roman"/>
          <w:noProof/>
          <w:sz w:val="20"/>
          <w:szCs w:val="20"/>
        </w:rPr>
        <w:t>, 107 – 108: 410 – 416.</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lastRenderedPageBreak/>
        <w:t xml:space="preserve">Phung, T. K., Radikapratama, R., Garbarino, G., Lagazzo, A., Riani, P. and Busca, G. (2015). Tuning of product selectivity in the conversion of ethanol to hydrocarbons over H-ZSM-5 based zeolite catalysts. </w:t>
      </w:r>
      <w:r w:rsidRPr="00493A9F">
        <w:rPr>
          <w:rFonts w:ascii="Times New Roman" w:hAnsi="Times New Roman"/>
          <w:i/>
          <w:iCs/>
          <w:noProof/>
          <w:sz w:val="20"/>
          <w:szCs w:val="20"/>
        </w:rPr>
        <w:t>Fuel Processing Technology</w:t>
      </w:r>
      <w:r w:rsidRPr="00493A9F">
        <w:rPr>
          <w:rFonts w:ascii="Times New Roman" w:hAnsi="Times New Roman"/>
          <w:noProof/>
          <w:sz w:val="20"/>
          <w:szCs w:val="20"/>
        </w:rPr>
        <w:t>, 137: 290 – 297.</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Phung,T. K., Proietti Hernández, L.,Lagazzo, A. and Busca, G. (2015). Dehydration of ethanol over zeolites, silica alumina and alumina: Lewis acidity, Brønsted acidity and confinement effects. </w:t>
      </w:r>
      <w:r w:rsidRPr="00493A9F">
        <w:rPr>
          <w:rFonts w:ascii="Times New Roman" w:hAnsi="Times New Roman"/>
          <w:i/>
          <w:iCs/>
          <w:noProof/>
          <w:sz w:val="20"/>
          <w:szCs w:val="20"/>
        </w:rPr>
        <w:t>Applied Catalysis A General</w:t>
      </w:r>
      <w:r w:rsidRPr="00493A9F">
        <w:rPr>
          <w:rFonts w:ascii="Times New Roman" w:hAnsi="Times New Roman"/>
          <w:noProof/>
          <w:sz w:val="20"/>
          <w:szCs w:val="20"/>
        </w:rPr>
        <w:t>, 493: 77 – 89.</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Varisli, D., Dogu, T. and Dogu, G. (2007). Ethylene and diethyl-ether production by dehydration reaction of ethanol over different heteropolyacid catalysts. </w:t>
      </w:r>
      <w:r w:rsidRPr="00493A9F">
        <w:rPr>
          <w:rFonts w:ascii="Times New Roman" w:hAnsi="Times New Roman"/>
          <w:i/>
          <w:iCs/>
          <w:noProof/>
          <w:sz w:val="20"/>
          <w:szCs w:val="20"/>
        </w:rPr>
        <w:t>Chemical Engineering Science</w:t>
      </w:r>
      <w:r w:rsidRPr="00493A9F">
        <w:rPr>
          <w:rFonts w:ascii="Times New Roman" w:hAnsi="Times New Roman"/>
          <w:noProof/>
          <w:sz w:val="20"/>
          <w:szCs w:val="20"/>
        </w:rPr>
        <w:t>, 62: 5349 – 5352.</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Madeira, F. F., Gnep, N. S., Magnoux, P., Maury, S. and Cadran, N. (2009). Ethanol transformation over HFAU, HBEA and HMFI zeolites presenting similar Brønsted acidity. </w:t>
      </w:r>
      <w:r w:rsidRPr="00493A9F">
        <w:rPr>
          <w:rFonts w:ascii="Times New Roman" w:hAnsi="Times New Roman"/>
          <w:i/>
          <w:iCs/>
          <w:noProof/>
          <w:sz w:val="20"/>
          <w:szCs w:val="20"/>
        </w:rPr>
        <w:t>Applied Catalysis A General</w:t>
      </w:r>
      <w:r w:rsidRPr="00493A9F">
        <w:rPr>
          <w:rFonts w:ascii="Times New Roman" w:hAnsi="Times New Roman"/>
          <w:noProof/>
          <w:sz w:val="20"/>
          <w:szCs w:val="20"/>
        </w:rPr>
        <w:t>,  367(1–2): 39 – 46.</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Zhan, N., Hu, Y., Li, H., Yu, D., Han, Y. and Huang, H. (2010). Lanthanum-phosphorous modified HZSM-5 catalysts in dehydration of ethanol to ethylene: A comparative analysis. </w:t>
      </w:r>
      <w:r w:rsidRPr="00493A9F">
        <w:rPr>
          <w:rFonts w:ascii="Times New Roman" w:hAnsi="Times New Roman"/>
          <w:i/>
          <w:iCs/>
          <w:noProof/>
          <w:sz w:val="20"/>
          <w:szCs w:val="20"/>
        </w:rPr>
        <w:t>Catalysis Communications</w:t>
      </w:r>
      <w:r w:rsidRPr="00493A9F">
        <w:rPr>
          <w:rFonts w:ascii="Times New Roman" w:hAnsi="Times New Roman"/>
          <w:noProof/>
          <w:sz w:val="20"/>
          <w:szCs w:val="20"/>
        </w:rPr>
        <w:t>, 11(7): 633 – 637.</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DeWilde, J. F., Chiang, H., Hickman, D., Ho, C. R., and Bhan, A. (2013). Kinetics and mechanism of ethanol dehydration on γ-Al</w:t>
      </w:r>
      <w:r w:rsidRPr="00493A9F">
        <w:rPr>
          <w:rFonts w:ascii="Times New Roman" w:hAnsi="Times New Roman"/>
          <w:noProof/>
          <w:sz w:val="20"/>
          <w:szCs w:val="20"/>
          <w:vertAlign w:val="subscript"/>
        </w:rPr>
        <w:t>2</w:t>
      </w:r>
      <w:r w:rsidRPr="00493A9F">
        <w:rPr>
          <w:rFonts w:ascii="Times New Roman" w:hAnsi="Times New Roman"/>
          <w:noProof/>
          <w:sz w:val="20"/>
          <w:szCs w:val="20"/>
        </w:rPr>
        <w:t>O</w:t>
      </w:r>
      <w:r w:rsidRPr="00493A9F">
        <w:rPr>
          <w:rFonts w:ascii="Times New Roman" w:hAnsi="Times New Roman"/>
          <w:noProof/>
          <w:sz w:val="20"/>
          <w:szCs w:val="20"/>
          <w:vertAlign w:val="subscript"/>
        </w:rPr>
        <w:t>3</w:t>
      </w:r>
      <w:r w:rsidRPr="00493A9F">
        <w:rPr>
          <w:rFonts w:ascii="Times New Roman" w:hAnsi="Times New Roman"/>
          <w:noProof/>
          <w:sz w:val="20"/>
          <w:szCs w:val="20"/>
        </w:rPr>
        <w:t xml:space="preserve">: Tthe critical role of dimer inibition. </w:t>
      </w:r>
      <w:r w:rsidRPr="00493A9F">
        <w:rPr>
          <w:rFonts w:ascii="Times New Roman" w:hAnsi="Times New Roman"/>
          <w:i/>
          <w:iCs/>
          <w:noProof/>
          <w:sz w:val="20"/>
          <w:szCs w:val="20"/>
        </w:rPr>
        <w:t>ACS Catalysis</w:t>
      </w:r>
      <w:r w:rsidRPr="00493A9F">
        <w:rPr>
          <w:rFonts w:ascii="Times New Roman" w:hAnsi="Times New Roman"/>
          <w:noProof/>
          <w:sz w:val="20"/>
          <w:szCs w:val="20"/>
        </w:rPr>
        <w:t>, 3(4): 798 – 807.</w:t>
      </w:r>
    </w:p>
    <w:p w:rsidR="00493A9F" w:rsidRDefault="00493A9F" w:rsidP="00493A9F">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Cai, W., Wang, F.,Zhan, E.,Van Veen, A. C., Mirodatos, C. and Shen,W. (2008). Hydrogen production from ethanol over Ir/CeO</w:t>
      </w:r>
      <w:r w:rsidRPr="00493A9F">
        <w:rPr>
          <w:rFonts w:ascii="Times New Roman" w:hAnsi="Times New Roman"/>
          <w:noProof/>
          <w:sz w:val="20"/>
          <w:szCs w:val="20"/>
          <w:vertAlign w:val="subscript"/>
        </w:rPr>
        <w:t>2</w:t>
      </w:r>
      <w:r w:rsidRPr="00493A9F">
        <w:rPr>
          <w:rFonts w:ascii="Times New Roman" w:hAnsi="Times New Roman"/>
          <w:noProof/>
          <w:sz w:val="20"/>
          <w:szCs w:val="20"/>
        </w:rPr>
        <w:t xml:space="preserve"> catalysts: A comparative study of steam reforming, partial oxidation and oxidative steam reforming. </w:t>
      </w:r>
      <w:r w:rsidRPr="00493A9F">
        <w:rPr>
          <w:rFonts w:ascii="Times New Roman" w:hAnsi="Times New Roman"/>
          <w:i/>
          <w:iCs/>
          <w:noProof/>
          <w:sz w:val="20"/>
          <w:szCs w:val="20"/>
        </w:rPr>
        <w:t>Journal of Catalysis</w:t>
      </w:r>
      <w:r w:rsidRPr="00493A9F">
        <w:rPr>
          <w:rFonts w:ascii="Times New Roman" w:hAnsi="Times New Roman"/>
          <w:noProof/>
          <w:sz w:val="20"/>
          <w:szCs w:val="20"/>
        </w:rPr>
        <w:t>, 257(1): 96 – 107.</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Diagne, C., Idriss, H. and Kiennemann, A. (2002). Hydrogen production by ethanol reforming over Rh/CeO</w:t>
      </w:r>
      <w:r w:rsidRPr="00493A9F">
        <w:rPr>
          <w:rFonts w:ascii="Times New Roman" w:hAnsi="Times New Roman"/>
          <w:noProof/>
          <w:sz w:val="20"/>
          <w:szCs w:val="20"/>
          <w:vertAlign w:val="subscript"/>
        </w:rPr>
        <w:t>2</w:t>
      </w:r>
      <w:r w:rsidRPr="00493A9F">
        <w:rPr>
          <w:rFonts w:ascii="Times New Roman" w:hAnsi="Times New Roman"/>
          <w:noProof/>
          <w:sz w:val="20"/>
          <w:szCs w:val="20"/>
        </w:rPr>
        <w:t>–ZrO</w:t>
      </w:r>
      <w:r w:rsidRPr="00493A9F">
        <w:rPr>
          <w:rFonts w:ascii="Times New Roman" w:hAnsi="Times New Roman"/>
          <w:noProof/>
          <w:sz w:val="20"/>
          <w:szCs w:val="20"/>
          <w:vertAlign w:val="subscript"/>
        </w:rPr>
        <w:t>2</w:t>
      </w:r>
      <w:r w:rsidRPr="00493A9F">
        <w:rPr>
          <w:rFonts w:ascii="Times New Roman" w:hAnsi="Times New Roman"/>
          <w:noProof/>
          <w:sz w:val="20"/>
          <w:szCs w:val="20"/>
        </w:rPr>
        <w:t xml:space="preserve"> catalysts. </w:t>
      </w:r>
      <w:r w:rsidRPr="00493A9F">
        <w:rPr>
          <w:rFonts w:ascii="Times New Roman" w:hAnsi="Times New Roman"/>
          <w:i/>
          <w:iCs/>
          <w:noProof/>
          <w:sz w:val="20"/>
          <w:szCs w:val="20"/>
        </w:rPr>
        <w:t>Catalysis Communications</w:t>
      </w:r>
      <w:r w:rsidRPr="00493A9F">
        <w:rPr>
          <w:rFonts w:ascii="Times New Roman" w:hAnsi="Times New Roman"/>
          <w:noProof/>
          <w:sz w:val="20"/>
          <w:szCs w:val="20"/>
        </w:rPr>
        <w:t>, 3(12): 565 – 571.</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Mudiyanselage, K., Al-Shankiti, I., Foulis, A., Llorca, J. and Idriss, H. (2016). Reactions of ethanol over CeO</w:t>
      </w:r>
      <w:r w:rsidRPr="005D586A">
        <w:rPr>
          <w:rFonts w:ascii="Times New Roman" w:hAnsi="Times New Roman"/>
          <w:noProof/>
          <w:sz w:val="20"/>
          <w:szCs w:val="20"/>
          <w:vertAlign w:val="subscript"/>
        </w:rPr>
        <w:t>2</w:t>
      </w:r>
      <w:r w:rsidRPr="005D586A">
        <w:rPr>
          <w:rFonts w:ascii="Times New Roman" w:hAnsi="Times New Roman"/>
          <w:noProof/>
          <w:sz w:val="20"/>
          <w:szCs w:val="20"/>
        </w:rPr>
        <w:t xml:space="preserve"> and Ru/CeO</w:t>
      </w:r>
      <w:r w:rsidRPr="005D586A">
        <w:rPr>
          <w:rFonts w:ascii="Times New Roman" w:hAnsi="Times New Roman"/>
          <w:noProof/>
          <w:sz w:val="20"/>
          <w:szCs w:val="20"/>
          <w:vertAlign w:val="subscript"/>
        </w:rPr>
        <w:t>2</w:t>
      </w:r>
      <w:r w:rsidRPr="005D586A">
        <w:rPr>
          <w:rFonts w:ascii="Times New Roman" w:hAnsi="Times New Roman"/>
          <w:noProof/>
          <w:sz w:val="20"/>
          <w:szCs w:val="20"/>
        </w:rPr>
        <w:t xml:space="preserve"> catalysts. </w:t>
      </w:r>
      <w:r w:rsidRPr="005D586A">
        <w:rPr>
          <w:rFonts w:ascii="Times New Roman" w:hAnsi="Times New Roman"/>
          <w:i/>
          <w:iCs/>
          <w:noProof/>
          <w:sz w:val="20"/>
          <w:szCs w:val="20"/>
        </w:rPr>
        <w:t>Applied Catalysis B Environmental</w:t>
      </w:r>
      <w:r w:rsidRPr="005D586A">
        <w:rPr>
          <w:rFonts w:ascii="Times New Roman" w:hAnsi="Times New Roman"/>
          <w:noProof/>
          <w:sz w:val="20"/>
          <w:szCs w:val="20"/>
        </w:rPr>
        <w:t>, 197: 198 - 205.</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Wang, H., Ye, J., Liu, Y., Li, Y. and Qin, Y. (2007). Steam reforming of ethanol over Co</w:t>
      </w:r>
      <w:r w:rsidRPr="005D586A">
        <w:rPr>
          <w:rFonts w:ascii="Times New Roman" w:hAnsi="Times New Roman"/>
          <w:noProof/>
          <w:sz w:val="20"/>
          <w:szCs w:val="20"/>
          <w:vertAlign w:val="subscript"/>
        </w:rPr>
        <w:t>3</w:t>
      </w:r>
      <w:r w:rsidRPr="005D586A">
        <w:rPr>
          <w:rFonts w:ascii="Times New Roman" w:hAnsi="Times New Roman"/>
          <w:noProof/>
          <w:sz w:val="20"/>
          <w:szCs w:val="20"/>
        </w:rPr>
        <w:t>O</w:t>
      </w:r>
      <w:r w:rsidRPr="005D586A">
        <w:rPr>
          <w:rFonts w:ascii="Times New Roman" w:hAnsi="Times New Roman"/>
          <w:noProof/>
          <w:sz w:val="20"/>
          <w:szCs w:val="20"/>
          <w:vertAlign w:val="subscript"/>
        </w:rPr>
        <w:t>4</w:t>
      </w:r>
      <w:r w:rsidRPr="005D586A">
        <w:rPr>
          <w:rFonts w:ascii="Times New Roman" w:hAnsi="Times New Roman"/>
          <w:noProof/>
          <w:sz w:val="20"/>
          <w:szCs w:val="20"/>
        </w:rPr>
        <w:t>/CeO</w:t>
      </w:r>
      <w:r w:rsidRPr="005D586A">
        <w:rPr>
          <w:rFonts w:ascii="Times New Roman" w:hAnsi="Times New Roman"/>
          <w:noProof/>
          <w:sz w:val="20"/>
          <w:szCs w:val="20"/>
          <w:vertAlign w:val="subscript"/>
        </w:rPr>
        <w:t>2</w:t>
      </w:r>
      <w:r w:rsidRPr="005D586A">
        <w:rPr>
          <w:rFonts w:ascii="Times New Roman" w:hAnsi="Times New Roman"/>
          <w:noProof/>
          <w:sz w:val="20"/>
          <w:szCs w:val="20"/>
        </w:rPr>
        <w:t xml:space="preserve"> catalysts prepared by different methods. </w:t>
      </w:r>
      <w:r w:rsidRPr="005D586A">
        <w:rPr>
          <w:rFonts w:ascii="Times New Roman" w:hAnsi="Times New Roman"/>
          <w:i/>
          <w:iCs/>
          <w:noProof/>
          <w:sz w:val="20"/>
          <w:szCs w:val="20"/>
        </w:rPr>
        <w:t>Catalysis Today</w:t>
      </w:r>
      <w:r w:rsidRPr="005D586A">
        <w:rPr>
          <w:rFonts w:ascii="Times New Roman" w:hAnsi="Times New Roman"/>
          <w:noProof/>
          <w:sz w:val="20"/>
          <w:szCs w:val="20"/>
        </w:rPr>
        <w:t>, 129(3–4): 305 – 312.</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Zhang, B., Tang, X., Li, Y., Cai, W., Xu, Y. and Shen, W. (2006). Steam reforming of bio-ethanol for the production of hydrogen over ceria-supported Co, Ir and Ni catalysts. </w:t>
      </w:r>
      <w:r w:rsidRPr="005D586A">
        <w:rPr>
          <w:rFonts w:ascii="Times New Roman" w:hAnsi="Times New Roman"/>
          <w:i/>
          <w:iCs/>
          <w:noProof/>
          <w:sz w:val="20"/>
          <w:szCs w:val="20"/>
        </w:rPr>
        <w:t>Catalysis Communications</w:t>
      </w:r>
      <w:r w:rsidRPr="005D586A">
        <w:rPr>
          <w:rFonts w:ascii="Times New Roman" w:hAnsi="Times New Roman"/>
          <w:noProof/>
          <w:sz w:val="20"/>
          <w:szCs w:val="20"/>
        </w:rPr>
        <w:t>, 7(6): 367–372.</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Ramesh, K., Jie, C., Han, Y.  F. and Borgna, A. (2010). Synthesis, characterization, and catalytic activity of phosphorus modified H-ZSM-5 catalysts in selective ethanol dehydration. </w:t>
      </w:r>
      <w:r w:rsidRPr="005D586A">
        <w:rPr>
          <w:rFonts w:ascii="Times New Roman" w:hAnsi="Times New Roman"/>
          <w:i/>
          <w:iCs/>
          <w:noProof/>
          <w:sz w:val="20"/>
          <w:szCs w:val="20"/>
        </w:rPr>
        <w:t>Industrial Engineering Chemistry Research</w:t>
      </w:r>
      <w:r w:rsidRPr="005D586A">
        <w:rPr>
          <w:rFonts w:ascii="Times New Roman" w:hAnsi="Times New Roman"/>
          <w:noProof/>
          <w:sz w:val="20"/>
          <w:szCs w:val="20"/>
        </w:rPr>
        <w:t>, 49(9): 4080 – 4090.</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Zhang, X., Wang, R., Yang, X. and Zhang, F. (2008). Comparison of four catalysts in the catalytic dehydration of ethanol to ethylene. </w:t>
      </w:r>
      <w:r w:rsidRPr="005D586A">
        <w:rPr>
          <w:rFonts w:ascii="Times New Roman" w:hAnsi="Times New Roman"/>
          <w:i/>
          <w:iCs/>
          <w:noProof/>
          <w:sz w:val="20"/>
          <w:szCs w:val="20"/>
        </w:rPr>
        <w:t>Microporous Mesoporous Materials</w:t>
      </w:r>
      <w:r w:rsidRPr="005D586A">
        <w:rPr>
          <w:rFonts w:ascii="Times New Roman" w:hAnsi="Times New Roman"/>
          <w:noProof/>
          <w:sz w:val="20"/>
          <w:szCs w:val="20"/>
        </w:rPr>
        <w:t>, 116(1–3): 210 – 215.</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Yacob, A. R., Bello, A. M. and Kabo, K. S. (2016). The effect of polyoxyethylene (40) stearate surfactant on novel synthesis of mesoporous γ-alumina from Kano kaolin. </w:t>
      </w:r>
      <w:r w:rsidRPr="005D586A">
        <w:rPr>
          <w:rFonts w:ascii="Times New Roman" w:hAnsi="Times New Roman"/>
          <w:i/>
          <w:iCs/>
          <w:noProof/>
          <w:sz w:val="20"/>
          <w:szCs w:val="20"/>
        </w:rPr>
        <w:t>Arabian Jounal of Chemistry</w:t>
      </w:r>
      <w:r w:rsidRPr="005D586A">
        <w:rPr>
          <w:rFonts w:ascii="Times New Roman" w:hAnsi="Times New Roman"/>
          <w:noProof/>
          <w:sz w:val="20"/>
          <w:szCs w:val="20"/>
        </w:rPr>
        <w:t>, 9(2): 297 –3 04.</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White, K. M., Lee, P. L., Chupas, P. J., Chapman, K. W., Payzant, E. A., Jupe, A. C., Bassett, W.  A., Zha, C. S. and Wilkinson, A. P. (2008). Synthesis, symmetry, and physical properties of cerium pyrophosphate. </w:t>
      </w:r>
      <w:r w:rsidRPr="005D586A">
        <w:rPr>
          <w:rFonts w:ascii="Times New Roman" w:hAnsi="Times New Roman"/>
          <w:i/>
          <w:iCs/>
          <w:noProof/>
          <w:sz w:val="20"/>
          <w:szCs w:val="20"/>
        </w:rPr>
        <w:t>Chemistry of Materials</w:t>
      </w:r>
      <w:r w:rsidRPr="005D586A">
        <w:rPr>
          <w:rFonts w:ascii="Times New Roman" w:hAnsi="Times New Roman"/>
          <w:noProof/>
          <w:sz w:val="20"/>
          <w:szCs w:val="20"/>
        </w:rPr>
        <w:t>, 20(11): 3728 – 3734.</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Armaroli, T., Busca, G., Carlini, C., Giuttari, M., Raspolli Galletti, A. M. and Sbrana, G. (2000). Acid sites characterization of niobium phosphate catalysts and their activity in fructose dehydration to 5-hydroxymethyl-2-furaldehyde. </w:t>
      </w:r>
      <w:r w:rsidRPr="005D586A">
        <w:rPr>
          <w:rFonts w:ascii="Times New Roman" w:hAnsi="Times New Roman"/>
          <w:i/>
          <w:iCs/>
          <w:noProof/>
          <w:sz w:val="20"/>
          <w:szCs w:val="20"/>
        </w:rPr>
        <w:t>Journal of  Molecular Catalysis A Chemical</w:t>
      </w:r>
      <w:r w:rsidRPr="005D586A">
        <w:rPr>
          <w:rFonts w:ascii="Times New Roman" w:hAnsi="Times New Roman"/>
          <w:noProof/>
          <w:sz w:val="20"/>
          <w:szCs w:val="20"/>
        </w:rPr>
        <w:t>, 151(1): 233 – 243.</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Brandão, R. F., Quirino, R. L., Mello,V. M., Tavares, A. P., Peres, A. C.,Guinhos, F., Rubim, J. C. and Suarez, P. A. Z. (2009). Synthesis, characterization and use of Nb</w:t>
      </w:r>
      <w:r w:rsidRPr="005D586A">
        <w:rPr>
          <w:rFonts w:ascii="Times New Roman" w:hAnsi="Times New Roman"/>
          <w:noProof/>
          <w:sz w:val="20"/>
          <w:szCs w:val="20"/>
          <w:vertAlign w:val="subscript"/>
        </w:rPr>
        <w:t>2</w:t>
      </w:r>
      <w:r w:rsidRPr="005D586A">
        <w:rPr>
          <w:rFonts w:ascii="Times New Roman" w:hAnsi="Times New Roman"/>
          <w:noProof/>
          <w:sz w:val="20"/>
          <w:szCs w:val="20"/>
        </w:rPr>
        <w:t>O</w:t>
      </w:r>
      <w:r w:rsidRPr="005D586A">
        <w:rPr>
          <w:rFonts w:ascii="Times New Roman" w:hAnsi="Times New Roman"/>
          <w:noProof/>
          <w:sz w:val="20"/>
          <w:szCs w:val="20"/>
          <w:vertAlign w:val="subscript"/>
        </w:rPr>
        <w:t>5</w:t>
      </w:r>
      <w:r w:rsidRPr="005D586A">
        <w:rPr>
          <w:rFonts w:ascii="Times New Roman" w:hAnsi="Times New Roman"/>
          <w:noProof/>
          <w:sz w:val="20"/>
          <w:szCs w:val="20"/>
        </w:rPr>
        <w:t xml:space="preserve"> based catalysts in producing biofuels by transesterification, esterification and pyrolysis. </w:t>
      </w:r>
      <w:r w:rsidRPr="005D586A">
        <w:rPr>
          <w:rFonts w:ascii="Times New Roman" w:hAnsi="Times New Roman"/>
          <w:i/>
          <w:iCs/>
          <w:noProof/>
          <w:sz w:val="20"/>
          <w:szCs w:val="20"/>
        </w:rPr>
        <w:t>Journal of the Brazilian Chemical Society</w:t>
      </w:r>
      <w:r w:rsidRPr="005D586A">
        <w:rPr>
          <w:rFonts w:ascii="Times New Roman" w:hAnsi="Times New Roman"/>
          <w:noProof/>
          <w:sz w:val="20"/>
          <w:szCs w:val="20"/>
        </w:rPr>
        <w:t>, 20(5): 954 – 966.</w:t>
      </w:r>
    </w:p>
    <w:p w:rsid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Ramesh,K., Hui, L. M., Han,Y. F., and Borgna, A. (2009). Structure and reactivity of phosphorous modified H-ZSM-5 catalysts for ethanol dehydration. </w:t>
      </w:r>
      <w:r w:rsidRPr="005D586A">
        <w:rPr>
          <w:rFonts w:ascii="Times New Roman" w:hAnsi="Times New Roman"/>
          <w:i/>
          <w:iCs/>
          <w:noProof/>
          <w:sz w:val="20"/>
          <w:szCs w:val="20"/>
        </w:rPr>
        <w:t>Catalysis Communications</w:t>
      </w:r>
      <w:r w:rsidRPr="005D586A">
        <w:rPr>
          <w:rFonts w:ascii="Times New Roman" w:hAnsi="Times New Roman"/>
          <w:noProof/>
          <w:sz w:val="20"/>
          <w:szCs w:val="20"/>
        </w:rPr>
        <w:t>, 10(5): 567 – 571.</w:t>
      </w:r>
    </w:p>
    <w:p w:rsidR="00493A9F" w:rsidRPr="005D586A" w:rsidRDefault="00493A9F" w:rsidP="005D586A">
      <w:pPr>
        <w:pStyle w:val="ListParagraph"/>
        <w:numPr>
          <w:ilvl w:val="0"/>
          <w:numId w:val="3"/>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Zaera, F. (2001). Probing catalytic reactions at surfaces. </w:t>
      </w:r>
      <w:r w:rsidRPr="005D586A">
        <w:rPr>
          <w:rFonts w:ascii="Times New Roman" w:hAnsi="Times New Roman"/>
          <w:i/>
          <w:iCs/>
          <w:noProof/>
          <w:sz w:val="20"/>
          <w:szCs w:val="20"/>
        </w:rPr>
        <w:t>Progress Surface Science</w:t>
      </w:r>
      <w:r w:rsidRPr="005D586A">
        <w:rPr>
          <w:rFonts w:ascii="Times New Roman" w:hAnsi="Times New Roman"/>
          <w:noProof/>
          <w:sz w:val="20"/>
          <w:szCs w:val="20"/>
        </w:rPr>
        <w:t>, 69(1):1 – 98.</w:t>
      </w:r>
    </w:p>
    <w:p w:rsidR="00493A9F" w:rsidRPr="00493A9F" w:rsidRDefault="00493A9F" w:rsidP="00493A9F">
      <w:pPr>
        <w:adjustRightInd w:val="0"/>
        <w:spacing w:after="0" w:line="240" w:lineRule="auto"/>
        <w:ind w:left="634" w:hanging="634"/>
        <w:jc w:val="both"/>
        <w:rPr>
          <w:rFonts w:ascii="Times New Roman" w:hAnsi="Times New Roman"/>
          <w:b/>
          <w:sz w:val="20"/>
          <w:szCs w:val="20"/>
        </w:rPr>
      </w:pPr>
      <w:r w:rsidRPr="00493A9F">
        <w:rPr>
          <w:rFonts w:ascii="Times New Roman" w:hAnsi="Times New Roman"/>
          <w:b/>
          <w:sz w:val="20"/>
          <w:szCs w:val="20"/>
        </w:rPr>
        <w:fldChar w:fldCharType="end"/>
      </w: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690C69">
      <w:headerReference w:type="even" r:id="rId24"/>
      <w:headerReference w:type="default" r:id="rId25"/>
      <w:footerReference w:type="even" r:id="rId26"/>
      <w:footerReference w:type="default" r:id="rId27"/>
      <w:pgSz w:w="12240" w:h="15840" w:code="1"/>
      <w:pgMar w:top="1800" w:right="1469" w:bottom="1699" w:left="1440" w:header="706" w:footer="706" w:gutter="0"/>
      <w:pgNumType w:start="8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52034">
      <w:rPr>
        <w:rFonts w:ascii="Times New Roman" w:hAnsi="Times New Roman"/>
        <w:noProof/>
      </w:rPr>
      <w:t>848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52034">
      <w:rPr>
        <w:rFonts w:ascii="Times New Roman" w:hAnsi="Times New Roman"/>
        <w:noProof/>
      </w:rPr>
      <w:t>847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260355" w:rsidRDefault="00260355" w:rsidP="00260355">
    <w:pPr>
      <w:autoSpaceDE w:val="0"/>
      <w:autoSpaceDN w:val="0"/>
      <w:adjustRightInd w:val="0"/>
      <w:spacing w:after="0" w:line="240" w:lineRule="auto"/>
      <w:ind w:left="1170" w:hanging="1170"/>
      <w:rPr>
        <w:rFonts w:ascii="Times New Roman" w:hAnsi="Times New Roman"/>
        <w:color w:val="000000" w:themeColor="text1"/>
        <w:sz w:val="20"/>
        <w:szCs w:val="20"/>
      </w:rPr>
    </w:pPr>
    <w:r>
      <w:rPr>
        <w:rFonts w:ascii="Times New Roman" w:hAnsi="Times New Roman"/>
        <w:sz w:val="20"/>
        <w:szCs w:val="20"/>
      </w:rPr>
      <w:t>Chong et al</w:t>
    </w:r>
    <w:r w:rsidR="006B72B0" w:rsidRPr="00260355">
      <w:rPr>
        <w:rFonts w:ascii="Times New Roman" w:hAnsi="Times New Roman"/>
        <w:sz w:val="20"/>
        <w:szCs w:val="20"/>
      </w:rPr>
      <w:t xml:space="preserve">: </w:t>
    </w:r>
    <w:r w:rsidR="00070F31" w:rsidRPr="00260355">
      <w:rPr>
        <w:rFonts w:ascii="Times New Roman" w:hAnsi="Times New Roman"/>
        <w:sz w:val="20"/>
        <w:szCs w:val="20"/>
      </w:rPr>
      <w:t xml:space="preserve"> </w:t>
    </w:r>
    <w:r w:rsidRPr="00260355">
      <w:rPr>
        <w:rFonts w:ascii="Times New Roman" w:hAnsi="Times New Roman"/>
        <w:sz w:val="20"/>
        <w:szCs w:val="20"/>
      </w:rPr>
      <w:t xml:space="preserve"> </w:t>
    </w:r>
    <w:r>
      <w:rPr>
        <w:rFonts w:ascii="Times New Roman" w:hAnsi="Times New Roman"/>
        <w:sz w:val="20"/>
        <w:szCs w:val="20"/>
      </w:rPr>
      <w:tab/>
    </w:r>
    <w:r w:rsidRPr="00260355">
      <w:rPr>
        <w:rFonts w:ascii="Times New Roman" w:hAnsi="Times New Roman"/>
        <w:sz w:val="20"/>
        <w:szCs w:val="20"/>
      </w:rPr>
      <w:t>PRODUCTION OF ETHYLENE FROM ETHANOL DEHYDRATION OVER H</w:t>
    </w:r>
    <w:r w:rsidRPr="00260355">
      <w:rPr>
        <w:rFonts w:ascii="Times New Roman" w:hAnsi="Times New Roman"/>
        <w:sz w:val="20"/>
        <w:szCs w:val="20"/>
        <w:vertAlign w:val="subscript"/>
      </w:rPr>
      <w:t>3</w:t>
    </w:r>
    <w:r w:rsidRPr="00260355">
      <w:rPr>
        <w:rFonts w:ascii="Times New Roman" w:hAnsi="Times New Roman"/>
        <w:sz w:val="20"/>
        <w:szCs w:val="20"/>
      </w:rPr>
      <w:t>PO</w:t>
    </w:r>
    <w:r w:rsidRPr="00260355">
      <w:rPr>
        <w:rFonts w:ascii="Times New Roman" w:hAnsi="Times New Roman"/>
        <w:sz w:val="20"/>
        <w:szCs w:val="20"/>
        <w:vertAlign w:val="subscript"/>
      </w:rPr>
      <w:t>4</w:t>
    </w:r>
    <w:r w:rsidRPr="00260355">
      <w:rPr>
        <w:rFonts w:ascii="Times New Roman" w:hAnsi="Times New Roman"/>
        <w:sz w:val="20"/>
        <w:szCs w:val="20"/>
      </w:rPr>
      <w:t>-MODIFIED CERIUM OXIDE CATALYSTS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E16130">
      <w:rPr>
        <w:rFonts w:ascii="Times New Roman" w:hAnsi="Times New Roman"/>
        <w:i/>
        <w:lang w:val="en-US"/>
      </w:rPr>
      <w:t>No 4</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690C69">
      <w:rPr>
        <w:rFonts w:ascii="Times New Roman" w:hAnsi="Times New Roman"/>
        <w:i/>
        <w:lang w:val="en-US"/>
      </w:rPr>
      <w:t>839</w:t>
    </w:r>
    <w:r>
      <w:rPr>
        <w:rFonts w:ascii="Times New Roman" w:hAnsi="Times New Roman"/>
        <w:i/>
        <w:lang w:val="en-US"/>
      </w:rPr>
      <w:t xml:space="preserve"> </w:t>
    </w:r>
    <w:r w:rsidR="007A0583">
      <w:rPr>
        <w:rFonts w:ascii="Times New Roman" w:hAnsi="Times New Roman"/>
        <w:i/>
        <w:lang w:val="en-US"/>
      </w:rPr>
      <w:t>-</w:t>
    </w:r>
    <w:r w:rsidR="00690C69">
      <w:rPr>
        <w:rFonts w:ascii="Times New Roman" w:hAnsi="Times New Roman"/>
        <w:i/>
        <w:lang w:val="en-US"/>
      </w:rPr>
      <w:t xml:space="preserve"> 848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E16130">
      <w:rPr>
        <w:rFonts w:ascii="Times New Roman" w:hAnsi="Times New Roman"/>
        <w:i/>
        <w:lang w:val="en-US"/>
      </w:rPr>
      <w:t>4</w:t>
    </w:r>
    <w:r w:rsidR="00690C69">
      <w:rPr>
        <w:rFonts w:ascii="Times New Roman" w:hAnsi="Times New Roman"/>
        <w:i/>
        <w:lang w:val="en-US"/>
      </w:rPr>
      <w:t>-10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795"/>
    <w:multiLevelType w:val="hybridMultilevel"/>
    <w:tmpl w:val="BAA2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057"/>
    <w:rsid w:val="000029F0"/>
    <w:rsid w:val="00016385"/>
    <w:rsid w:val="0003330A"/>
    <w:rsid w:val="00070F31"/>
    <w:rsid w:val="00084936"/>
    <w:rsid w:val="000875CD"/>
    <w:rsid w:val="000A0C93"/>
    <w:rsid w:val="000C49FF"/>
    <w:rsid w:val="000D16A1"/>
    <w:rsid w:val="000D2B0C"/>
    <w:rsid w:val="000F77DA"/>
    <w:rsid w:val="001068E8"/>
    <w:rsid w:val="001106D8"/>
    <w:rsid w:val="00117BCD"/>
    <w:rsid w:val="00173073"/>
    <w:rsid w:val="001D035A"/>
    <w:rsid w:val="001D3855"/>
    <w:rsid w:val="001D6F2C"/>
    <w:rsid w:val="00243670"/>
    <w:rsid w:val="00260355"/>
    <w:rsid w:val="00277498"/>
    <w:rsid w:val="0028007D"/>
    <w:rsid w:val="00280C8F"/>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3A9F"/>
    <w:rsid w:val="00494C46"/>
    <w:rsid w:val="004B0A65"/>
    <w:rsid w:val="004B43FF"/>
    <w:rsid w:val="004D7E25"/>
    <w:rsid w:val="00502641"/>
    <w:rsid w:val="00551CFF"/>
    <w:rsid w:val="005C6768"/>
    <w:rsid w:val="005D586A"/>
    <w:rsid w:val="005E4871"/>
    <w:rsid w:val="00601C8A"/>
    <w:rsid w:val="00623CB8"/>
    <w:rsid w:val="006257E5"/>
    <w:rsid w:val="00634C25"/>
    <w:rsid w:val="006416AB"/>
    <w:rsid w:val="0065447F"/>
    <w:rsid w:val="006768E9"/>
    <w:rsid w:val="00687982"/>
    <w:rsid w:val="00690C69"/>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479E9"/>
    <w:rsid w:val="00883CC3"/>
    <w:rsid w:val="008B470E"/>
    <w:rsid w:val="008B5904"/>
    <w:rsid w:val="008B6BA9"/>
    <w:rsid w:val="008D29BF"/>
    <w:rsid w:val="008E1211"/>
    <w:rsid w:val="008E5BBF"/>
    <w:rsid w:val="008E6968"/>
    <w:rsid w:val="009211AF"/>
    <w:rsid w:val="009357B8"/>
    <w:rsid w:val="009866F6"/>
    <w:rsid w:val="009D030D"/>
    <w:rsid w:val="00A14DB9"/>
    <w:rsid w:val="00A4762A"/>
    <w:rsid w:val="00A55785"/>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2034"/>
    <w:rsid w:val="00E54D12"/>
    <w:rsid w:val="00E66197"/>
    <w:rsid w:val="00F24BFA"/>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uiPriority w:val="99"/>
    <w:semiHidden/>
    <w:rsid w:val="00493A9F"/>
    <w:pPr>
      <w:autoSpaceDE w:val="0"/>
      <w:autoSpaceDN w:val="0"/>
      <w:adjustRightInd w:val="0"/>
    </w:pPr>
    <w:rPr>
      <w:rFonts w:ascii="Times New Roman" w:eastAsia="SimSun" w:hAnsi="Times New Roman"/>
      <w:color w:val="000000"/>
      <w:sz w:val="24"/>
      <w:szCs w:val="24"/>
      <w:lang w:val="ms-M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uiPriority w:val="99"/>
    <w:semiHidden/>
    <w:rsid w:val="00493A9F"/>
    <w:pPr>
      <w:autoSpaceDE w:val="0"/>
      <w:autoSpaceDN w:val="0"/>
      <w:adjustRightInd w:val="0"/>
    </w:pPr>
    <w:rPr>
      <w:rFonts w:ascii="Times New Roman" w:eastAsia="SimSun" w:hAnsi="Times New Roman"/>
      <w:color w:val="000000"/>
      <w:sz w:val="24"/>
      <w:szCs w:val="24"/>
      <w:lang w:val="ms-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0.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8161-57C4-4A68-9E53-15B5BBC0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4529</Words>
  <Characters>25013</Characters>
  <Application>Microsoft Office Word</Application>
  <DocSecurity>0</DocSecurity>
  <Lines>551</Lines>
  <Paragraphs>245</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14</cp:revision>
  <cp:lastPrinted>2017-08-18T23:03:00Z</cp:lastPrinted>
  <dcterms:created xsi:type="dcterms:W3CDTF">2017-07-26T15:50:00Z</dcterms:created>
  <dcterms:modified xsi:type="dcterms:W3CDTF">2017-08-18T23:03:00Z</dcterms:modified>
</cp:coreProperties>
</file>