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225AA" w:rsidRPr="00E3287E" w:rsidRDefault="00A225A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225AA" w:rsidRDefault="00A225AA"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A225AA" w:rsidRPr="00E3287E" w:rsidRDefault="00A225AA"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A225AA" w:rsidRDefault="00A225AA"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1F659C" w:rsidRPr="00793436" w:rsidRDefault="001F659C" w:rsidP="001F659C">
      <w:pPr>
        <w:spacing w:after="0" w:line="240" w:lineRule="auto"/>
        <w:jc w:val="center"/>
        <w:rPr>
          <w:sz w:val="28"/>
          <w:szCs w:val="28"/>
        </w:rPr>
      </w:pPr>
      <w:r>
        <w:rPr>
          <w:rFonts w:ascii="Times New Roman" w:hAnsi="Times New Roman"/>
          <w:sz w:val="28"/>
          <w:szCs w:val="28"/>
        </w:rPr>
        <w:t>CHARACTERIZATION</w:t>
      </w:r>
      <w:r w:rsidRPr="00793436">
        <w:rPr>
          <w:rFonts w:ascii="Times New Roman" w:hAnsi="Times New Roman"/>
          <w:sz w:val="28"/>
          <w:szCs w:val="28"/>
        </w:rPr>
        <w:t xml:space="preserve">, </w:t>
      </w:r>
      <w:r>
        <w:rPr>
          <w:rFonts w:ascii="Times New Roman" w:hAnsi="Times New Roman"/>
          <w:sz w:val="28"/>
          <w:szCs w:val="28"/>
        </w:rPr>
        <w:t>CALCULATION OF CALORIFIC VALUES, AND</w:t>
      </w:r>
      <w:r w:rsidRPr="00793436">
        <w:rPr>
          <w:rFonts w:ascii="Times New Roman" w:hAnsi="Times New Roman"/>
          <w:sz w:val="28"/>
          <w:szCs w:val="28"/>
        </w:rPr>
        <w:t xml:space="preserve"> </w:t>
      </w:r>
      <w:r>
        <w:rPr>
          <w:rFonts w:ascii="Times New Roman" w:hAnsi="Times New Roman"/>
          <w:sz w:val="28"/>
          <w:szCs w:val="28"/>
        </w:rPr>
        <w:t>BIO-OIL PRODUCTION VIA THERMOCHEMICAL PROCESSES OF MUNICIPAL SOLID WASTE IN PERLIS, MALAYSIA</w:t>
      </w:r>
    </w:p>
    <w:p w:rsidR="001F659C" w:rsidRPr="001F659C" w:rsidRDefault="001F659C" w:rsidP="001F659C">
      <w:pPr>
        <w:spacing w:after="0" w:line="240" w:lineRule="auto"/>
        <w:jc w:val="center"/>
        <w:outlineLvl w:val="0"/>
        <w:rPr>
          <w:rFonts w:ascii="Times New Roman" w:hAnsi="Times New Roman"/>
          <w:sz w:val="24"/>
          <w:szCs w:val="24"/>
        </w:rPr>
      </w:pPr>
    </w:p>
    <w:p w:rsidR="001F659C" w:rsidRPr="00595DA5" w:rsidRDefault="001F659C" w:rsidP="001F65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12121"/>
          <w:sz w:val="24"/>
          <w:szCs w:val="24"/>
          <w:lang w:val="ms-MY" w:eastAsia="en-GB"/>
        </w:rPr>
      </w:pPr>
      <w:r w:rsidRPr="00C842FF">
        <w:rPr>
          <w:rFonts w:ascii="Times New Roman" w:hAnsi="Times New Roman"/>
          <w:color w:val="212121"/>
          <w:sz w:val="24"/>
          <w:szCs w:val="24"/>
          <w:lang w:val="ms-MY" w:eastAsia="en-GB"/>
        </w:rPr>
        <w:t>(Pencirian, Pen</w:t>
      </w:r>
      <w:r>
        <w:rPr>
          <w:rFonts w:ascii="Times New Roman" w:hAnsi="Times New Roman"/>
          <w:color w:val="212121"/>
          <w:sz w:val="24"/>
          <w:szCs w:val="24"/>
          <w:lang w:val="ms-MY" w:eastAsia="en-GB"/>
        </w:rPr>
        <w:t>giraan Nilai – Nilai Kalorifik d</w:t>
      </w:r>
      <w:r w:rsidRPr="00C842FF">
        <w:rPr>
          <w:rFonts w:ascii="Times New Roman" w:hAnsi="Times New Roman"/>
          <w:color w:val="212121"/>
          <w:sz w:val="24"/>
          <w:szCs w:val="24"/>
          <w:lang w:val="ms-MY" w:eastAsia="en-GB"/>
        </w:rPr>
        <w:t>an Pengeluaran Bio-Minyak Melalui Proses Termok</w:t>
      </w:r>
      <w:r>
        <w:rPr>
          <w:rFonts w:ascii="Times New Roman" w:hAnsi="Times New Roman"/>
          <w:color w:val="212121"/>
          <w:sz w:val="24"/>
          <w:szCs w:val="24"/>
          <w:lang w:val="ms-MY" w:eastAsia="en-GB"/>
        </w:rPr>
        <w:t>imia Sisa Pepejal Perbandaran di</w:t>
      </w:r>
      <w:r w:rsidRPr="00C842FF">
        <w:rPr>
          <w:rFonts w:ascii="Times New Roman" w:hAnsi="Times New Roman"/>
          <w:color w:val="212121"/>
          <w:sz w:val="24"/>
          <w:szCs w:val="24"/>
          <w:lang w:val="ms-MY" w:eastAsia="en-GB"/>
        </w:rPr>
        <w:t xml:space="preserve"> Perlis, Malaysia)</w:t>
      </w:r>
    </w:p>
    <w:p w:rsidR="001F659C" w:rsidRPr="001F659C" w:rsidRDefault="001F659C" w:rsidP="001F659C">
      <w:pPr>
        <w:spacing w:after="0" w:line="240" w:lineRule="auto"/>
        <w:jc w:val="center"/>
        <w:outlineLvl w:val="0"/>
        <w:rPr>
          <w:rFonts w:ascii="Times New Roman" w:hAnsi="Times New Roman"/>
          <w:sz w:val="20"/>
          <w:szCs w:val="20"/>
        </w:rPr>
      </w:pPr>
    </w:p>
    <w:p w:rsidR="001F659C" w:rsidRPr="00730E43" w:rsidRDefault="001F659C" w:rsidP="001F659C">
      <w:pPr>
        <w:spacing w:after="0" w:line="240" w:lineRule="auto"/>
        <w:jc w:val="center"/>
        <w:rPr>
          <w:rFonts w:ascii="Times New Roman" w:hAnsi="Times New Roman"/>
          <w:szCs w:val="20"/>
          <w:vertAlign w:val="superscript"/>
        </w:rPr>
      </w:pPr>
      <w:r w:rsidRPr="00793436">
        <w:rPr>
          <w:rFonts w:ascii="Times New Roman" w:hAnsi="Times New Roman"/>
          <w:szCs w:val="20"/>
        </w:rPr>
        <w:t>Khairuddin Md Isa</w:t>
      </w:r>
      <w:r w:rsidRPr="006B3A29">
        <w:rPr>
          <w:rFonts w:ascii="Times New Roman" w:hAnsi="Times New Roman"/>
          <w:szCs w:val="20"/>
          <w:vertAlign w:val="superscript"/>
        </w:rPr>
        <w:t>1,2</w:t>
      </w:r>
      <w:r>
        <w:rPr>
          <w:rFonts w:ascii="Times New Roman" w:hAnsi="Times New Roman"/>
          <w:szCs w:val="20"/>
        </w:rPr>
        <w:t>*</w:t>
      </w:r>
      <w:r w:rsidRPr="00793436">
        <w:rPr>
          <w:rFonts w:ascii="Times New Roman" w:hAnsi="Times New Roman"/>
          <w:szCs w:val="20"/>
        </w:rPr>
        <w:t>, Farizul Hafiz Kasim</w:t>
      </w:r>
      <w:r w:rsidRPr="001A5537">
        <w:rPr>
          <w:rFonts w:ascii="Times New Roman" w:hAnsi="Times New Roman"/>
          <w:szCs w:val="20"/>
          <w:vertAlign w:val="superscript"/>
        </w:rPr>
        <w:t>2</w:t>
      </w:r>
      <w:r>
        <w:rPr>
          <w:rFonts w:ascii="Times New Roman" w:hAnsi="Times New Roman"/>
          <w:szCs w:val="20"/>
        </w:rPr>
        <w:t>, Umi Fazara Md Ali</w:t>
      </w:r>
      <w:r w:rsidRPr="001A5537">
        <w:rPr>
          <w:rFonts w:ascii="Times New Roman" w:hAnsi="Times New Roman"/>
          <w:szCs w:val="20"/>
          <w:vertAlign w:val="superscript"/>
        </w:rPr>
        <w:t>1</w:t>
      </w:r>
      <w:r w:rsidRPr="00730E43">
        <w:rPr>
          <w:rFonts w:ascii="Times New Roman" w:hAnsi="Times New Roman"/>
          <w:szCs w:val="20"/>
        </w:rPr>
        <w:t>,</w:t>
      </w:r>
      <w:r>
        <w:rPr>
          <w:rFonts w:ascii="Times New Roman" w:hAnsi="Times New Roman"/>
          <w:szCs w:val="20"/>
        </w:rPr>
        <w:t xml:space="preserve"> Radzuwan Ab Rashid</w:t>
      </w:r>
      <w:r>
        <w:rPr>
          <w:rFonts w:ascii="Times New Roman" w:hAnsi="Times New Roman"/>
          <w:szCs w:val="20"/>
          <w:vertAlign w:val="superscript"/>
        </w:rPr>
        <w:t>3</w:t>
      </w:r>
    </w:p>
    <w:p w:rsidR="00AC0033" w:rsidRPr="00F447A7" w:rsidRDefault="00AC0033" w:rsidP="001F659C">
      <w:pPr>
        <w:spacing w:after="0" w:line="240" w:lineRule="auto"/>
        <w:jc w:val="center"/>
        <w:rPr>
          <w:rFonts w:ascii="Times New Roman" w:hAnsi="Times New Roman"/>
          <w:noProof/>
          <w:sz w:val="18"/>
          <w:szCs w:val="18"/>
          <w:lang w:bidi="ar-SA"/>
        </w:rPr>
      </w:pPr>
    </w:p>
    <w:p w:rsidR="001F659C" w:rsidRDefault="001F659C" w:rsidP="001F659C">
      <w:pPr>
        <w:spacing w:after="0" w:line="240" w:lineRule="auto"/>
        <w:jc w:val="center"/>
        <w:outlineLvl w:val="0"/>
        <w:rPr>
          <w:rFonts w:ascii="Times New Roman" w:hAnsi="Times New Roman"/>
          <w:i/>
          <w:sz w:val="18"/>
          <w:szCs w:val="18"/>
        </w:rPr>
      </w:pPr>
      <w:r w:rsidRPr="006B3A29">
        <w:rPr>
          <w:rFonts w:ascii="Times New Roman" w:hAnsi="Times New Roman"/>
          <w:i/>
          <w:sz w:val="18"/>
          <w:szCs w:val="18"/>
          <w:vertAlign w:val="superscript"/>
        </w:rPr>
        <w:t>1</w:t>
      </w:r>
      <w:r w:rsidRPr="006B3A29">
        <w:rPr>
          <w:rFonts w:ascii="Times New Roman" w:hAnsi="Times New Roman"/>
          <w:i/>
          <w:sz w:val="18"/>
          <w:szCs w:val="18"/>
        </w:rPr>
        <w:t xml:space="preserve">School of Environmental Engineering, </w:t>
      </w:r>
    </w:p>
    <w:p w:rsidR="001F659C" w:rsidRPr="006B3A29" w:rsidRDefault="001F659C" w:rsidP="001F659C">
      <w:pPr>
        <w:spacing w:after="0" w:line="240" w:lineRule="auto"/>
        <w:jc w:val="center"/>
        <w:outlineLvl w:val="0"/>
        <w:rPr>
          <w:rFonts w:ascii="Times New Roman" w:hAnsi="Times New Roman"/>
          <w:i/>
          <w:sz w:val="18"/>
          <w:szCs w:val="18"/>
        </w:rPr>
      </w:pPr>
      <w:r w:rsidRPr="006B3A29">
        <w:rPr>
          <w:rFonts w:ascii="Times New Roman" w:hAnsi="Times New Roman"/>
          <w:i/>
          <w:sz w:val="18"/>
          <w:szCs w:val="18"/>
        </w:rPr>
        <w:t>Universiti Malaysia Perlis, P.O Box 77, d/a Pejabat Pos Besar 01007, Kangar, Perlis, Malaysia</w:t>
      </w:r>
    </w:p>
    <w:p w:rsidR="001F659C" w:rsidRDefault="001F659C" w:rsidP="001F659C">
      <w:pPr>
        <w:spacing w:after="0" w:line="240" w:lineRule="auto"/>
        <w:jc w:val="center"/>
        <w:outlineLvl w:val="0"/>
        <w:rPr>
          <w:rFonts w:ascii="Times New Roman" w:hAnsi="Times New Roman"/>
          <w:i/>
          <w:sz w:val="18"/>
          <w:szCs w:val="18"/>
        </w:rPr>
      </w:pPr>
      <w:r w:rsidRPr="006B3A29">
        <w:rPr>
          <w:rFonts w:ascii="Times New Roman" w:hAnsi="Times New Roman"/>
          <w:i/>
          <w:sz w:val="18"/>
          <w:szCs w:val="18"/>
          <w:vertAlign w:val="superscript"/>
        </w:rPr>
        <w:t>2</w:t>
      </w:r>
      <w:r>
        <w:rPr>
          <w:rFonts w:ascii="Times New Roman" w:hAnsi="Times New Roman"/>
          <w:i/>
          <w:sz w:val="18"/>
          <w:szCs w:val="18"/>
        </w:rPr>
        <w:t>Centre of Excellence f</w:t>
      </w:r>
      <w:r w:rsidRPr="006B3A29">
        <w:rPr>
          <w:rFonts w:ascii="Times New Roman" w:hAnsi="Times New Roman"/>
          <w:i/>
          <w:sz w:val="18"/>
          <w:szCs w:val="18"/>
        </w:rPr>
        <w:t>or Biomass Utilisation,</w:t>
      </w:r>
      <w:r>
        <w:rPr>
          <w:rFonts w:ascii="Times New Roman" w:hAnsi="Times New Roman"/>
          <w:i/>
          <w:sz w:val="18"/>
          <w:szCs w:val="18"/>
        </w:rPr>
        <w:t xml:space="preserve"> </w:t>
      </w:r>
    </w:p>
    <w:p w:rsidR="001F659C" w:rsidRPr="0088201B" w:rsidRDefault="001F659C" w:rsidP="001F659C">
      <w:pPr>
        <w:spacing w:after="0" w:line="240" w:lineRule="auto"/>
        <w:jc w:val="center"/>
        <w:outlineLvl w:val="0"/>
        <w:rPr>
          <w:rFonts w:ascii="Times New Roman" w:hAnsi="Times New Roman"/>
          <w:i/>
          <w:sz w:val="18"/>
          <w:szCs w:val="18"/>
        </w:rPr>
      </w:pPr>
      <w:r w:rsidRPr="0088201B">
        <w:rPr>
          <w:rFonts w:ascii="Times New Roman" w:hAnsi="Times New Roman"/>
          <w:i/>
          <w:sz w:val="18"/>
          <w:szCs w:val="18"/>
        </w:rPr>
        <w:t xml:space="preserve">Universiti Malaysia Perlis, </w:t>
      </w:r>
      <w:r>
        <w:rPr>
          <w:rFonts w:ascii="Times New Roman" w:hAnsi="Times New Roman"/>
          <w:i/>
          <w:sz w:val="18"/>
          <w:szCs w:val="18"/>
        </w:rPr>
        <w:t xml:space="preserve">Kompleks Pengajian Jejawi 3, </w:t>
      </w:r>
      <w:r w:rsidRPr="0088201B">
        <w:rPr>
          <w:rFonts w:ascii="Times New Roman" w:hAnsi="Times New Roman"/>
          <w:i/>
          <w:sz w:val="18"/>
          <w:szCs w:val="18"/>
        </w:rPr>
        <w:t>02600 Jejawi, Perlis, Malaysia</w:t>
      </w:r>
    </w:p>
    <w:p w:rsidR="001F659C" w:rsidRDefault="001F659C" w:rsidP="001F659C">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3</w:t>
      </w:r>
      <w:r w:rsidRPr="00730E43">
        <w:rPr>
          <w:rFonts w:ascii="Times New Roman" w:hAnsi="Times New Roman"/>
          <w:i/>
          <w:sz w:val="18"/>
          <w:szCs w:val="18"/>
        </w:rPr>
        <w:t>F</w:t>
      </w:r>
      <w:r>
        <w:rPr>
          <w:rFonts w:ascii="Times New Roman" w:hAnsi="Times New Roman"/>
          <w:i/>
          <w:sz w:val="18"/>
          <w:szCs w:val="18"/>
        </w:rPr>
        <w:t xml:space="preserve">aculty of Languages and Communication, </w:t>
      </w:r>
    </w:p>
    <w:p w:rsidR="001F659C" w:rsidRPr="00730E43" w:rsidRDefault="001F659C" w:rsidP="001F659C">
      <w:pPr>
        <w:spacing w:after="0" w:line="240" w:lineRule="auto"/>
        <w:jc w:val="center"/>
        <w:outlineLvl w:val="0"/>
        <w:rPr>
          <w:rFonts w:ascii="Times New Roman" w:hAnsi="Times New Roman"/>
          <w:i/>
          <w:sz w:val="18"/>
          <w:szCs w:val="18"/>
          <w:vertAlign w:val="superscript"/>
        </w:rPr>
      </w:pPr>
      <w:r>
        <w:rPr>
          <w:rFonts w:ascii="Times New Roman" w:hAnsi="Times New Roman"/>
          <w:i/>
          <w:sz w:val="18"/>
          <w:szCs w:val="18"/>
        </w:rPr>
        <w:t>Universiti Sultan Zainal Abidin, 21300 Kuala Nerus, Terengganu, Malaysia</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1F659C">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sidR="001F659C">
        <w:rPr>
          <w:rFonts w:ascii="Times New Roman" w:hAnsi="Times New Roman"/>
          <w:i/>
          <w:sz w:val="18"/>
        </w:rPr>
        <w:t>khairudin@unimap.edu.my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D064A">
        <w:rPr>
          <w:rFonts w:ascii="Times New Roman" w:hAnsi="Times New Roman"/>
          <w:noProof/>
          <w:sz w:val="18"/>
          <w:szCs w:val="18"/>
          <w:lang w:bidi="ar-SA"/>
        </w:rPr>
        <w:t>9 January 2017</w:t>
      </w:r>
      <w:r>
        <w:rPr>
          <w:rFonts w:ascii="Times New Roman" w:hAnsi="Times New Roman"/>
          <w:noProof/>
          <w:sz w:val="18"/>
          <w:szCs w:val="18"/>
          <w:lang w:bidi="ar-SA"/>
        </w:rPr>
        <w:t xml:space="preserve">; Accepted: </w:t>
      </w:r>
      <w:r w:rsidR="005D064A">
        <w:rPr>
          <w:rFonts w:ascii="Times New Roman" w:hAnsi="Times New Roman"/>
          <w:noProof/>
          <w:sz w:val="18"/>
          <w:szCs w:val="18"/>
          <w:lang w:bidi="ar-SA"/>
        </w:rPr>
        <w:t>13 June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1F659C" w:rsidRPr="001A0314" w:rsidRDefault="001F659C" w:rsidP="001F659C">
      <w:pPr>
        <w:spacing w:after="0" w:line="240" w:lineRule="auto"/>
        <w:jc w:val="both"/>
        <w:outlineLvl w:val="0"/>
        <w:rPr>
          <w:rFonts w:ascii="Times New Roman" w:hAnsi="Times New Roman"/>
          <w:sz w:val="18"/>
          <w:szCs w:val="18"/>
        </w:rPr>
      </w:pPr>
      <w:r w:rsidRPr="001A0314">
        <w:rPr>
          <w:rFonts w:ascii="Times New Roman" w:hAnsi="Times New Roman"/>
          <w:sz w:val="18"/>
          <w:szCs w:val="18"/>
        </w:rPr>
        <w:t>Municipal solid wastes (MSW) collected from Padang Siding Landfill, Perlis were segregated and ch</w:t>
      </w:r>
      <w:r>
        <w:rPr>
          <w:rFonts w:ascii="Times New Roman" w:hAnsi="Times New Roman"/>
          <w:sz w:val="18"/>
          <w:szCs w:val="18"/>
        </w:rPr>
        <w:t xml:space="preserve">aracterized in the laboratory. </w:t>
      </w:r>
      <w:r w:rsidRPr="001A0314">
        <w:rPr>
          <w:rFonts w:ascii="Times New Roman" w:hAnsi="Times New Roman"/>
          <w:sz w:val="18"/>
          <w:szCs w:val="18"/>
        </w:rPr>
        <w:t>The main components of MSW found are paper, plastic, glass and larg</w:t>
      </w:r>
      <w:r>
        <w:rPr>
          <w:rFonts w:ascii="Times New Roman" w:hAnsi="Times New Roman"/>
          <w:sz w:val="18"/>
          <w:szCs w:val="18"/>
        </w:rPr>
        <w:t xml:space="preserve">e proportion of organic waste. </w:t>
      </w:r>
      <w:r w:rsidRPr="001A0314">
        <w:rPr>
          <w:rFonts w:ascii="Times New Roman" w:hAnsi="Times New Roman"/>
          <w:sz w:val="18"/>
          <w:szCs w:val="18"/>
        </w:rPr>
        <w:t>Moisture content was measured for all the components. Paper and yard wastes recorded the highest percentage of 26.7% and 28.8%, respectively.  Thermogravimetric analysis (TGA) shows that the thermal degradation of MSW samples ranged from 200</w:t>
      </w:r>
      <w:r>
        <w:rPr>
          <w:rFonts w:ascii="Times New Roman" w:hAnsi="Times New Roman"/>
          <w:sz w:val="18"/>
          <w:szCs w:val="18"/>
        </w:rPr>
        <w:t xml:space="preserve"> </w:t>
      </w:r>
      <w:r w:rsidRPr="001A0314">
        <w:rPr>
          <w:rFonts w:ascii="Times New Roman" w:hAnsi="Times New Roman"/>
          <w:sz w:val="18"/>
          <w:szCs w:val="18"/>
          <w:vertAlign w:val="superscript"/>
        </w:rPr>
        <w:t>o</w:t>
      </w:r>
      <w:r w:rsidRPr="001A0314">
        <w:rPr>
          <w:rFonts w:ascii="Times New Roman" w:hAnsi="Times New Roman"/>
          <w:sz w:val="18"/>
          <w:szCs w:val="18"/>
        </w:rPr>
        <w:t>C to 800</w:t>
      </w:r>
      <w:r>
        <w:rPr>
          <w:rFonts w:ascii="Times New Roman" w:hAnsi="Times New Roman"/>
          <w:sz w:val="18"/>
          <w:szCs w:val="18"/>
        </w:rPr>
        <w:t xml:space="preserve"> </w:t>
      </w:r>
      <w:r w:rsidRPr="001A0314">
        <w:rPr>
          <w:rFonts w:ascii="Times New Roman" w:hAnsi="Times New Roman"/>
          <w:sz w:val="18"/>
          <w:szCs w:val="18"/>
          <w:vertAlign w:val="superscript"/>
        </w:rPr>
        <w:t>o</w:t>
      </w:r>
      <w:r w:rsidRPr="001A0314">
        <w:rPr>
          <w:rFonts w:ascii="Times New Roman" w:hAnsi="Times New Roman"/>
          <w:sz w:val="18"/>
          <w:szCs w:val="18"/>
        </w:rPr>
        <w:t>C, indicating fast decomposition occurred at 370</w:t>
      </w:r>
      <w:r>
        <w:rPr>
          <w:rFonts w:ascii="Times New Roman" w:hAnsi="Times New Roman"/>
          <w:sz w:val="18"/>
          <w:szCs w:val="18"/>
        </w:rPr>
        <w:t xml:space="preserve"> </w:t>
      </w:r>
      <w:r w:rsidRPr="001A0314">
        <w:rPr>
          <w:rFonts w:ascii="Times New Roman" w:hAnsi="Times New Roman"/>
          <w:sz w:val="18"/>
          <w:szCs w:val="18"/>
          <w:vertAlign w:val="superscript"/>
        </w:rPr>
        <w:t>o</w:t>
      </w:r>
      <w:r w:rsidRPr="001A0314">
        <w:rPr>
          <w:rFonts w:ascii="Times New Roman" w:hAnsi="Times New Roman"/>
          <w:sz w:val="18"/>
          <w:szCs w:val="18"/>
        </w:rPr>
        <w:t>C, 430</w:t>
      </w:r>
      <w:r>
        <w:rPr>
          <w:rFonts w:ascii="Times New Roman" w:hAnsi="Times New Roman"/>
          <w:sz w:val="18"/>
          <w:szCs w:val="18"/>
        </w:rPr>
        <w:t xml:space="preserve"> </w:t>
      </w:r>
      <w:r w:rsidRPr="001A0314">
        <w:rPr>
          <w:rFonts w:ascii="Times New Roman" w:hAnsi="Times New Roman"/>
          <w:sz w:val="18"/>
          <w:szCs w:val="18"/>
          <w:vertAlign w:val="superscript"/>
        </w:rPr>
        <w:t>o</w:t>
      </w:r>
      <w:r w:rsidRPr="001A0314">
        <w:rPr>
          <w:rFonts w:ascii="Times New Roman" w:hAnsi="Times New Roman"/>
          <w:sz w:val="18"/>
          <w:szCs w:val="18"/>
        </w:rPr>
        <w:t>C and 700</w:t>
      </w:r>
      <w:r>
        <w:rPr>
          <w:rFonts w:ascii="Times New Roman" w:hAnsi="Times New Roman"/>
          <w:sz w:val="18"/>
          <w:szCs w:val="18"/>
        </w:rPr>
        <w:t xml:space="preserve"> </w:t>
      </w:r>
      <w:r w:rsidRPr="001A0314">
        <w:rPr>
          <w:rFonts w:ascii="Times New Roman" w:hAnsi="Times New Roman"/>
          <w:sz w:val="18"/>
          <w:szCs w:val="18"/>
          <w:vertAlign w:val="superscript"/>
        </w:rPr>
        <w:t>o</w:t>
      </w:r>
      <w:r w:rsidRPr="001A0314">
        <w:rPr>
          <w:rFonts w:ascii="Times New Roman" w:hAnsi="Times New Roman"/>
          <w:sz w:val="18"/>
          <w:szCs w:val="18"/>
        </w:rPr>
        <w:t xml:space="preserve">C.  Traditional method shows a lower error compared to the physical method in calculating the calorific values (CV) for MSW. Bio-oil production via fast pyrolysis route </w:t>
      </w:r>
      <w:r>
        <w:rPr>
          <w:rFonts w:ascii="Times New Roman" w:hAnsi="Times New Roman"/>
          <w:sz w:val="18"/>
          <w:szCs w:val="18"/>
        </w:rPr>
        <w:t>gave higher liquid yield of ~35</w:t>
      </w:r>
      <w:r w:rsidRPr="001A0314">
        <w:rPr>
          <w:rFonts w:ascii="Times New Roman" w:hAnsi="Times New Roman"/>
          <w:sz w:val="18"/>
          <w:szCs w:val="18"/>
        </w:rPr>
        <w:t>% with high oxygen content of ~49</w:t>
      </w:r>
      <w:r>
        <w:rPr>
          <w:rFonts w:ascii="Times New Roman" w:hAnsi="Times New Roman"/>
          <w:sz w:val="18"/>
          <w:szCs w:val="18"/>
        </w:rPr>
        <w:t xml:space="preserve"> – 53</w:t>
      </w:r>
      <w:r w:rsidRPr="001A0314">
        <w:rPr>
          <w:rFonts w:ascii="Times New Roman" w:hAnsi="Times New Roman"/>
          <w:sz w:val="18"/>
          <w:szCs w:val="18"/>
        </w:rPr>
        <w:t>%. Heavy oil recovered from hydrous pyrolysis experiments gave low yield of ~7</w:t>
      </w:r>
      <w:r>
        <w:rPr>
          <w:rFonts w:ascii="Times New Roman" w:hAnsi="Times New Roman"/>
          <w:sz w:val="18"/>
          <w:szCs w:val="18"/>
        </w:rPr>
        <w:t xml:space="preserve"> – 13</w:t>
      </w:r>
      <w:r w:rsidRPr="001A0314">
        <w:rPr>
          <w:rFonts w:ascii="Times New Roman" w:hAnsi="Times New Roman"/>
          <w:sz w:val="18"/>
          <w:szCs w:val="18"/>
        </w:rPr>
        <w:t>%, however with low oxygen content of ~11</w:t>
      </w:r>
      <w:r>
        <w:rPr>
          <w:rFonts w:ascii="Times New Roman" w:hAnsi="Times New Roman"/>
          <w:sz w:val="18"/>
          <w:szCs w:val="18"/>
        </w:rPr>
        <w:t xml:space="preserve"> – 18</w:t>
      </w:r>
      <w:r w:rsidRPr="001A0314">
        <w:rPr>
          <w:rFonts w:ascii="Times New Roman" w:hAnsi="Times New Roman"/>
          <w:sz w:val="18"/>
          <w:szCs w:val="18"/>
        </w:rPr>
        <w:t xml:space="preserve">%. </w:t>
      </w:r>
    </w:p>
    <w:p w:rsidR="001F659C" w:rsidRPr="001A0314" w:rsidRDefault="001F659C" w:rsidP="001F659C">
      <w:pPr>
        <w:spacing w:after="0" w:line="240" w:lineRule="auto"/>
        <w:jc w:val="both"/>
        <w:outlineLvl w:val="0"/>
        <w:rPr>
          <w:rFonts w:ascii="Times New Roman" w:hAnsi="Times New Roman"/>
          <w:sz w:val="18"/>
          <w:szCs w:val="18"/>
        </w:rPr>
      </w:pPr>
    </w:p>
    <w:p w:rsidR="001F659C" w:rsidRDefault="001F659C" w:rsidP="001F659C">
      <w:pPr>
        <w:spacing w:after="0" w:line="240" w:lineRule="auto"/>
        <w:jc w:val="both"/>
        <w:rPr>
          <w:sz w:val="18"/>
          <w:szCs w:val="18"/>
        </w:rPr>
      </w:pPr>
      <w:r w:rsidRPr="001A0314">
        <w:rPr>
          <w:rFonts w:ascii="Times New Roman" w:hAnsi="Times New Roman"/>
          <w:b/>
          <w:sz w:val="18"/>
          <w:szCs w:val="18"/>
        </w:rPr>
        <w:t>Keyword</w:t>
      </w:r>
      <w:r>
        <w:rPr>
          <w:rFonts w:ascii="Times New Roman" w:hAnsi="Times New Roman"/>
          <w:b/>
          <w:sz w:val="18"/>
          <w:szCs w:val="18"/>
        </w:rPr>
        <w:t>s</w:t>
      </w:r>
      <w:r w:rsidRPr="001A0314">
        <w:rPr>
          <w:rFonts w:ascii="Times New Roman" w:hAnsi="Times New Roman"/>
          <w:sz w:val="18"/>
          <w:szCs w:val="18"/>
        </w:rPr>
        <w:t>: Municipal solid waste, thermogravimetric analysis, calorific value, pyrolysis, hydrous pyrolysis</w:t>
      </w:r>
    </w:p>
    <w:p w:rsidR="001F659C" w:rsidRPr="001A0314" w:rsidRDefault="001F659C" w:rsidP="001F659C">
      <w:pPr>
        <w:spacing w:after="0" w:line="240" w:lineRule="auto"/>
        <w:jc w:val="center"/>
        <w:rPr>
          <w:sz w:val="18"/>
          <w:szCs w:val="18"/>
        </w:rPr>
      </w:pPr>
    </w:p>
    <w:p w:rsidR="001F659C" w:rsidRPr="001A0314" w:rsidRDefault="001F659C" w:rsidP="001F659C">
      <w:pPr>
        <w:spacing w:after="0" w:line="240" w:lineRule="auto"/>
        <w:jc w:val="center"/>
        <w:rPr>
          <w:rFonts w:ascii="Times New Roman" w:hAnsi="Times New Roman"/>
          <w:b/>
          <w:noProof/>
          <w:sz w:val="18"/>
          <w:lang w:val="ms-MY"/>
        </w:rPr>
      </w:pPr>
      <w:r w:rsidRPr="001A0314">
        <w:rPr>
          <w:rFonts w:ascii="Times New Roman" w:hAnsi="Times New Roman"/>
          <w:b/>
          <w:noProof/>
          <w:sz w:val="18"/>
          <w:lang w:val="ms-MY"/>
        </w:rPr>
        <w:t>Abstrak</w:t>
      </w:r>
    </w:p>
    <w:p w:rsidR="001F659C" w:rsidRPr="001A0314" w:rsidRDefault="001F659C" w:rsidP="001F659C">
      <w:pPr>
        <w:spacing w:after="0" w:line="240" w:lineRule="auto"/>
        <w:jc w:val="both"/>
        <w:rPr>
          <w:rFonts w:ascii="Times New Roman" w:hAnsi="Times New Roman"/>
          <w:noProof/>
          <w:sz w:val="18"/>
          <w:lang w:val="ms-MY"/>
        </w:rPr>
      </w:pPr>
      <w:r w:rsidRPr="001A0314">
        <w:rPr>
          <w:rFonts w:ascii="Times New Roman" w:hAnsi="Times New Roman"/>
          <w:noProof/>
          <w:sz w:val="18"/>
          <w:lang w:val="ms-MY"/>
        </w:rPr>
        <w:t>Sisa pepejal perbandaran (SPP) dikumpulkan dari tapak pelupusan Padang Siding, Perlis. Bahan buangan ini diasingkan dan dikategorikan di dalam makmal. Komponen utama MSW yang ditemui adalah kertas, plastik, kaca dan sebahagian besar sisa organik. Kandungan kelembapan diukur untuk semua komponen di mana kertas dan sisa dari laman telah mencatatkan peratus tertinggi sebanyak 26.7% dan</w:t>
      </w:r>
      <w:r>
        <w:rPr>
          <w:rFonts w:ascii="Times New Roman" w:hAnsi="Times New Roman"/>
          <w:noProof/>
          <w:sz w:val="18"/>
          <w:lang w:val="ms-MY"/>
        </w:rPr>
        <w:t xml:space="preserve"> 28.8% masing-masing. Analisis t</w:t>
      </w:r>
      <w:r w:rsidRPr="001A0314">
        <w:rPr>
          <w:rFonts w:ascii="Times New Roman" w:hAnsi="Times New Roman"/>
          <w:noProof/>
          <w:sz w:val="18"/>
          <w:lang w:val="ms-MY"/>
        </w:rPr>
        <w:t>ermogravimetri</w:t>
      </w:r>
      <w:r>
        <w:rPr>
          <w:rFonts w:ascii="Times New Roman" w:hAnsi="Times New Roman"/>
          <w:noProof/>
          <w:sz w:val="18"/>
          <w:lang w:val="ms-MY"/>
        </w:rPr>
        <w:t>k</w:t>
      </w:r>
      <w:r w:rsidRPr="001A0314">
        <w:rPr>
          <w:rFonts w:ascii="Times New Roman" w:hAnsi="Times New Roman"/>
          <w:noProof/>
          <w:sz w:val="18"/>
          <w:lang w:val="ms-MY"/>
        </w:rPr>
        <w:t xml:space="preserve"> menunjukkan degradasi terma sampel MSW adalah antara 200</w:t>
      </w:r>
      <w:r>
        <w:rPr>
          <w:rFonts w:ascii="Times New Roman" w:hAnsi="Times New Roman"/>
          <w:noProof/>
          <w:sz w:val="18"/>
          <w:lang w:val="ms-MY"/>
        </w:rPr>
        <w:t xml:space="preserve"> </w:t>
      </w:r>
      <w:r w:rsidRPr="001A0314">
        <w:rPr>
          <w:rFonts w:ascii="Times New Roman" w:hAnsi="Times New Roman"/>
          <w:sz w:val="18"/>
          <w:szCs w:val="18"/>
          <w:vertAlign w:val="superscript"/>
          <w:lang w:val="ms-MY"/>
        </w:rPr>
        <w:t>o</w:t>
      </w:r>
      <w:r w:rsidRPr="001A0314">
        <w:rPr>
          <w:rFonts w:ascii="Times New Roman" w:hAnsi="Times New Roman"/>
          <w:sz w:val="18"/>
          <w:szCs w:val="18"/>
          <w:lang w:val="ms-MY"/>
        </w:rPr>
        <w:t>C</w:t>
      </w:r>
      <w:r>
        <w:rPr>
          <w:rFonts w:ascii="Times New Roman" w:hAnsi="Times New Roman"/>
          <w:noProof/>
          <w:sz w:val="18"/>
          <w:lang w:val="ms-MY"/>
        </w:rPr>
        <w:t xml:space="preserve"> hingga </w:t>
      </w:r>
      <w:r w:rsidRPr="001A0314">
        <w:rPr>
          <w:rFonts w:ascii="Times New Roman" w:hAnsi="Times New Roman"/>
          <w:noProof/>
          <w:sz w:val="18"/>
          <w:lang w:val="ms-MY"/>
        </w:rPr>
        <w:t>800</w:t>
      </w:r>
      <w:r>
        <w:rPr>
          <w:rFonts w:ascii="Times New Roman" w:hAnsi="Times New Roman"/>
          <w:noProof/>
          <w:sz w:val="18"/>
          <w:lang w:val="ms-MY"/>
        </w:rPr>
        <w:t xml:space="preserve"> </w:t>
      </w:r>
      <w:r w:rsidRPr="001A0314">
        <w:rPr>
          <w:rFonts w:ascii="Times New Roman" w:hAnsi="Times New Roman"/>
          <w:sz w:val="18"/>
          <w:szCs w:val="18"/>
          <w:vertAlign w:val="superscript"/>
          <w:lang w:val="ms-MY"/>
        </w:rPr>
        <w:t>o</w:t>
      </w:r>
      <w:r w:rsidRPr="001A0314">
        <w:rPr>
          <w:rFonts w:ascii="Times New Roman" w:hAnsi="Times New Roman"/>
          <w:sz w:val="18"/>
          <w:szCs w:val="18"/>
          <w:lang w:val="ms-MY"/>
        </w:rPr>
        <w:t>C</w:t>
      </w:r>
      <w:r w:rsidRPr="001A0314">
        <w:rPr>
          <w:rFonts w:ascii="Times New Roman" w:hAnsi="Times New Roman"/>
          <w:noProof/>
          <w:sz w:val="18"/>
          <w:lang w:val="ms-MY"/>
        </w:rPr>
        <w:t>, menunjukkan penguraian cepat berlaku pada 370</w:t>
      </w:r>
      <w:r>
        <w:rPr>
          <w:rFonts w:ascii="Times New Roman" w:hAnsi="Times New Roman"/>
          <w:noProof/>
          <w:sz w:val="18"/>
          <w:lang w:val="ms-MY"/>
        </w:rPr>
        <w:t xml:space="preserve"> </w:t>
      </w:r>
      <w:r w:rsidRPr="001A0314">
        <w:rPr>
          <w:rFonts w:ascii="Times New Roman" w:hAnsi="Times New Roman"/>
          <w:sz w:val="18"/>
          <w:szCs w:val="18"/>
          <w:vertAlign w:val="superscript"/>
          <w:lang w:val="ms-MY"/>
        </w:rPr>
        <w:t>o</w:t>
      </w:r>
      <w:r w:rsidRPr="001A0314">
        <w:rPr>
          <w:rFonts w:ascii="Times New Roman" w:hAnsi="Times New Roman"/>
          <w:sz w:val="18"/>
          <w:szCs w:val="18"/>
          <w:lang w:val="ms-MY"/>
        </w:rPr>
        <w:t>C</w:t>
      </w:r>
      <w:r w:rsidRPr="001A0314">
        <w:rPr>
          <w:rFonts w:ascii="Times New Roman" w:hAnsi="Times New Roman"/>
          <w:noProof/>
          <w:sz w:val="18"/>
          <w:lang w:val="ms-MY"/>
        </w:rPr>
        <w:t>, 430</w:t>
      </w:r>
      <w:r>
        <w:rPr>
          <w:rFonts w:ascii="Times New Roman" w:hAnsi="Times New Roman"/>
          <w:noProof/>
          <w:sz w:val="18"/>
          <w:lang w:val="ms-MY"/>
        </w:rPr>
        <w:t xml:space="preserve"> </w:t>
      </w:r>
      <w:r w:rsidRPr="001A0314">
        <w:rPr>
          <w:rFonts w:ascii="Times New Roman" w:hAnsi="Times New Roman"/>
          <w:sz w:val="18"/>
          <w:szCs w:val="18"/>
          <w:vertAlign w:val="superscript"/>
          <w:lang w:val="ms-MY"/>
        </w:rPr>
        <w:t>o</w:t>
      </w:r>
      <w:r w:rsidRPr="001A0314">
        <w:rPr>
          <w:rFonts w:ascii="Times New Roman" w:hAnsi="Times New Roman"/>
          <w:sz w:val="18"/>
          <w:szCs w:val="18"/>
          <w:lang w:val="ms-MY"/>
        </w:rPr>
        <w:t>C</w:t>
      </w:r>
      <w:r w:rsidRPr="001A0314">
        <w:rPr>
          <w:rFonts w:ascii="Times New Roman" w:hAnsi="Times New Roman"/>
          <w:noProof/>
          <w:sz w:val="18"/>
          <w:lang w:val="ms-MY"/>
        </w:rPr>
        <w:t xml:space="preserve"> dan 700</w:t>
      </w:r>
      <w:r>
        <w:rPr>
          <w:rFonts w:ascii="Times New Roman" w:hAnsi="Times New Roman"/>
          <w:noProof/>
          <w:sz w:val="18"/>
          <w:lang w:val="ms-MY"/>
        </w:rPr>
        <w:t xml:space="preserve"> </w:t>
      </w:r>
      <w:r w:rsidRPr="001A0314">
        <w:rPr>
          <w:rFonts w:ascii="Times New Roman" w:hAnsi="Times New Roman"/>
          <w:sz w:val="18"/>
          <w:szCs w:val="18"/>
          <w:vertAlign w:val="superscript"/>
          <w:lang w:val="ms-MY"/>
        </w:rPr>
        <w:t>o</w:t>
      </w:r>
      <w:r w:rsidRPr="001A0314">
        <w:rPr>
          <w:rFonts w:ascii="Times New Roman" w:hAnsi="Times New Roman"/>
          <w:sz w:val="18"/>
          <w:szCs w:val="18"/>
          <w:lang w:val="ms-MY"/>
        </w:rPr>
        <w:t>C</w:t>
      </w:r>
      <w:r w:rsidRPr="001A0314">
        <w:rPr>
          <w:rFonts w:ascii="Times New Roman" w:hAnsi="Times New Roman"/>
          <w:noProof/>
          <w:sz w:val="18"/>
          <w:lang w:val="ms-MY"/>
        </w:rPr>
        <w:t>. Kaedah tradisional menunjukkan ralat yang lebih rendah berbanding dengan kaedah fizikal dalam mengira nilai kalorifik  untuk SPP. Pengeluaran bio-minyak melalui laluan pirolisis pantas memberikan hasil cecair yang lebih tinggi  ~35% dengan kandungan oksigen yang tinggi ~ 49</w:t>
      </w:r>
      <w:r>
        <w:rPr>
          <w:rFonts w:ascii="Times New Roman" w:hAnsi="Times New Roman"/>
          <w:noProof/>
          <w:sz w:val="18"/>
          <w:lang w:val="ms-MY"/>
        </w:rPr>
        <w:t xml:space="preserve"> – </w:t>
      </w:r>
      <w:r w:rsidRPr="001A0314">
        <w:rPr>
          <w:rFonts w:ascii="Times New Roman" w:hAnsi="Times New Roman"/>
          <w:noProof/>
          <w:sz w:val="18"/>
          <w:lang w:val="ms-MY"/>
        </w:rPr>
        <w:t>53%. Minyak berat diperoleh daripada eksperimen pirolisis berair memberikan hasil yang rendah ~ 7</w:t>
      </w:r>
      <w:r>
        <w:rPr>
          <w:rFonts w:ascii="Times New Roman" w:hAnsi="Times New Roman"/>
          <w:noProof/>
          <w:sz w:val="18"/>
          <w:lang w:val="ms-MY"/>
        </w:rPr>
        <w:t xml:space="preserve"> – </w:t>
      </w:r>
      <w:r w:rsidRPr="001A0314">
        <w:rPr>
          <w:rFonts w:ascii="Times New Roman" w:hAnsi="Times New Roman"/>
          <w:noProof/>
          <w:sz w:val="18"/>
          <w:lang w:val="ms-MY"/>
        </w:rPr>
        <w:t>13%, walau bagaimanapun dengan kandungan oksigen yang rendah ~ 11</w:t>
      </w:r>
      <w:r>
        <w:rPr>
          <w:rFonts w:ascii="Times New Roman" w:hAnsi="Times New Roman"/>
          <w:noProof/>
          <w:sz w:val="18"/>
          <w:lang w:val="ms-MY"/>
        </w:rPr>
        <w:t xml:space="preserve"> – </w:t>
      </w:r>
      <w:r w:rsidRPr="001A0314">
        <w:rPr>
          <w:rFonts w:ascii="Times New Roman" w:hAnsi="Times New Roman"/>
          <w:noProof/>
          <w:sz w:val="18"/>
          <w:lang w:val="ms-MY"/>
        </w:rPr>
        <w:t>18%.</w:t>
      </w:r>
    </w:p>
    <w:p w:rsidR="001F659C" w:rsidRPr="001A0314" w:rsidRDefault="001F659C" w:rsidP="001F659C">
      <w:pPr>
        <w:spacing w:after="0" w:line="240" w:lineRule="auto"/>
        <w:jc w:val="both"/>
        <w:outlineLvl w:val="0"/>
        <w:rPr>
          <w:rFonts w:ascii="Times New Roman" w:hAnsi="Times New Roman"/>
          <w:szCs w:val="20"/>
          <w:lang w:val="ms-MY"/>
        </w:rPr>
      </w:pPr>
    </w:p>
    <w:p w:rsidR="001F659C" w:rsidRPr="001A0314" w:rsidRDefault="001F659C" w:rsidP="001F659C">
      <w:pPr>
        <w:spacing w:after="0" w:line="240" w:lineRule="auto"/>
        <w:jc w:val="both"/>
        <w:outlineLvl w:val="0"/>
        <w:rPr>
          <w:rFonts w:ascii="Times New Roman" w:hAnsi="Times New Roman"/>
          <w:noProof/>
          <w:color w:val="000000" w:themeColor="text1"/>
          <w:sz w:val="18"/>
          <w:szCs w:val="18"/>
          <w:lang w:val="ms-MY"/>
        </w:rPr>
      </w:pPr>
      <w:r w:rsidRPr="001A0314">
        <w:rPr>
          <w:rFonts w:ascii="Times New Roman" w:hAnsi="Times New Roman"/>
          <w:b/>
          <w:sz w:val="18"/>
          <w:szCs w:val="18"/>
          <w:lang w:val="fr-FR"/>
        </w:rPr>
        <w:t xml:space="preserve">Kata kunci: </w:t>
      </w:r>
      <w:r w:rsidRPr="001A0314">
        <w:rPr>
          <w:rFonts w:ascii="Times New Roman" w:hAnsi="Times New Roman"/>
          <w:noProof/>
          <w:color w:val="000000" w:themeColor="text1"/>
          <w:sz w:val="18"/>
          <w:szCs w:val="18"/>
          <w:lang w:val="ms-MY"/>
        </w:rPr>
        <w:t>Sisa pepejal perba</w:t>
      </w:r>
      <w:r>
        <w:rPr>
          <w:rFonts w:ascii="Times New Roman" w:hAnsi="Times New Roman"/>
          <w:noProof/>
          <w:color w:val="000000" w:themeColor="text1"/>
          <w:sz w:val="18"/>
          <w:szCs w:val="18"/>
          <w:lang w:val="ms-MY"/>
        </w:rPr>
        <w:t>ndaran, analisa termogravimetrik</w:t>
      </w:r>
      <w:r w:rsidRPr="001A0314">
        <w:rPr>
          <w:rFonts w:ascii="Times New Roman" w:hAnsi="Times New Roman"/>
          <w:noProof/>
          <w:color w:val="000000" w:themeColor="text1"/>
          <w:sz w:val="18"/>
          <w:szCs w:val="18"/>
          <w:lang w:val="ms-MY"/>
        </w:rPr>
        <w:t>, nilai kalorifik, pirolisis, pirolisis berair</w:t>
      </w:r>
    </w:p>
    <w:p w:rsidR="00AC0033" w:rsidRDefault="00AC0033" w:rsidP="00AC0033">
      <w:pPr>
        <w:spacing w:after="0" w:line="240" w:lineRule="auto"/>
        <w:jc w:val="center"/>
        <w:rPr>
          <w:rFonts w:ascii="Times New Roman" w:hAnsi="Times New Roman"/>
          <w:noProof/>
          <w:sz w:val="20"/>
          <w:szCs w:val="20"/>
          <w:lang w:bidi="ar-SA"/>
        </w:rPr>
      </w:pPr>
    </w:p>
    <w:p w:rsidR="00AC0033" w:rsidRDefault="00AC0033" w:rsidP="00AC0033">
      <w:pPr>
        <w:spacing w:after="0" w:line="240" w:lineRule="auto"/>
        <w:jc w:val="center"/>
        <w:rPr>
          <w:rFonts w:ascii="Times New Roman" w:hAnsi="Times New Roman"/>
          <w:noProof/>
          <w:sz w:val="20"/>
          <w:szCs w:val="20"/>
          <w:lang w:bidi="ar-SA"/>
        </w:rPr>
      </w:pPr>
    </w:p>
    <w:p w:rsidR="001F659C" w:rsidRPr="00BE7C30" w:rsidRDefault="001F659C"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1F659C" w:rsidRPr="001F659C" w:rsidRDefault="001F659C" w:rsidP="001F659C">
      <w:pPr>
        <w:spacing w:after="0" w:line="240" w:lineRule="auto"/>
        <w:jc w:val="both"/>
        <w:outlineLvl w:val="0"/>
        <w:rPr>
          <w:rFonts w:ascii="Times New Roman" w:hAnsi="Times New Roman"/>
          <w:sz w:val="20"/>
          <w:szCs w:val="20"/>
        </w:rPr>
      </w:pPr>
      <w:r w:rsidRPr="001F659C">
        <w:rPr>
          <w:rFonts w:ascii="Times New Roman" w:hAnsi="Times New Roman"/>
          <w:sz w:val="20"/>
          <w:szCs w:val="20"/>
        </w:rPr>
        <w:t xml:space="preserve">Municipal solid waste (MSW), also known as urban solid waste, is a type of waste that predominantly comes from household waste (domestic waste) with a small portion of commercial waste collected by municipality of a particular area.  Generally, the solid waste is defined as the household’s refusal and non-hazardous solid waste from industrial, commercial and institutional establishments, such as hospitals, market and yard wastes, and street sweepings [1].  MSW is a heterogeneous material and its physical composition is dependent on socio-economic level and climatic conditions [2]. </w:t>
      </w:r>
    </w:p>
    <w:p w:rsidR="001F659C" w:rsidRPr="001F659C" w:rsidRDefault="001F659C" w:rsidP="001F659C">
      <w:pPr>
        <w:spacing w:after="0" w:line="240" w:lineRule="auto"/>
        <w:jc w:val="both"/>
        <w:outlineLvl w:val="0"/>
        <w:rPr>
          <w:rFonts w:ascii="Times New Roman" w:hAnsi="Times New Roman"/>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Perlis Indera Kayangan is the smallest state in Malaysia which is located at the northern part of the Peninsular Malaysia.  Its population is 227,025 as of 2010. The increase in population and industrial activities in Perlis has resulted in serious environmental problems including air quality deterioration, water and land pollutions. The amount of solid wastes generated in Perlis is approximately 221 tonnes/day [3]. The most popular disposal practice for MSW is landfilling.  Landfilling is a universal solution that provides ultimate waste disposal and can be implemented easily.  However, the setback of this approach is that it requires a large piece of land and does not employ the concepts of reduction and conversion of MSW.  The MSW disposal in Perlis is located at Padang Siding landfill with an area approximately 50.876 hectare.  Landfills face the problems of overfilling, overflowing of leachates leading to pollution of water resources, and uncontrolled dust emissions adversely affecting the human environment [4].</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 xml:space="preserve">In order to justify the feasibility of energy recovery for the use of renewable energy, it is very important to determine the calorific value (CV) of MSW. Bomb calorimeter can be used for calorimetric measurement in which combustion is conducted under conditions of constant volume. Other important methods are physical composition and traditional methods where the energy content can be calculated using physical and proximate analysis, respectively. </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One option of utilizing the MSW is energy recovery through various processes, such as combustion, pyrolysis, liquefaction and refuse-derived fuel [5]. Several researchers have pyrolyzed biomass residue to produce bio-oil under certain conditions [6 – 8]. Bio-oil is dark brown liquid which has a high heating value that can be used as fuels in boiler, diesel engines for power generation, or upgraded to produce fuels and bulk chemicals.  However, direct usage of bio-oil as conventional fuels may present some difficulties due to high viscosity, poor heating value, corrosiveness and instability. The comparison of pyrolysis and hydrous pyrolysis of MSW has not been done in earlier studies and this study attempts to fill in the gap. The comparison is beneficial for engineers and policy makers to design an alternative solution for MSW.</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A large portion of the waste has significant energy potential which can be utilized.  The energy recovered can also reduce emissions that would otherwise be produced by other energy systems, such as fossil fuel thermal power plants [9].  An important criterion for the success of waste management plan is the accurate data on the quality and quantity of the waste generation.  With this data, proper management strategies can be planned and put into actions. The data can also be used to predict the future trends of the quantity and quality of the MSW. This allows the authorities to take anticipating measures to manage MSW generated properly [10].</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 xml:space="preserve">In order to justify the feasibility of energy recovery for the use of renewable energy, it is very important to determine the calorific value (CV) of MSW. Bomb calorimeter can be used for calorimetric measurement in which combustion is conducted under the condition of constant volume. Other important methods are physical composition and traditional methods where the energy content can be calculated using physical and proximate analysis, respectively. </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In Perlis, there is less data available on the potential of MSW to be used as energy sources. To fill in the gap, this study was conducted to segregate and characterize the main components of MSW in the state. The energy contents of MSW generated were calculated. The production of bio-oil was performed via thermochemical conversion processes to investigate its potential to be used as a renewable energy.</w:t>
      </w:r>
    </w:p>
    <w:p w:rsidR="001F659C" w:rsidRDefault="001F659C" w:rsidP="001F659C">
      <w:pPr>
        <w:spacing w:after="0" w:line="240" w:lineRule="auto"/>
        <w:jc w:val="center"/>
        <w:outlineLvl w:val="0"/>
        <w:rPr>
          <w:rFonts w:ascii="Times New Roman" w:hAnsi="Times New Roman"/>
          <w:sz w:val="20"/>
          <w:szCs w:val="20"/>
        </w:rPr>
      </w:pPr>
    </w:p>
    <w:p w:rsidR="001F659C" w:rsidRPr="001F659C" w:rsidRDefault="001F659C" w:rsidP="001F659C">
      <w:pPr>
        <w:spacing w:after="0" w:line="240" w:lineRule="auto"/>
        <w:jc w:val="center"/>
        <w:outlineLvl w:val="0"/>
        <w:rPr>
          <w:rFonts w:ascii="Times New Roman" w:hAnsi="Times New Roman"/>
          <w:sz w:val="20"/>
          <w:szCs w:val="20"/>
        </w:rPr>
      </w:pPr>
    </w:p>
    <w:p w:rsidR="001F659C" w:rsidRPr="001F659C" w:rsidRDefault="001F659C" w:rsidP="001F659C">
      <w:pPr>
        <w:spacing w:after="0" w:line="240" w:lineRule="auto"/>
        <w:jc w:val="center"/>
        <w:outlineLvl w:val="0"/>
        <w:rPr>
          <w:rFonts w:ascii="Times New Roman" w:hAnsi="Times New Roman"/>
          <w:b/>
          <w:sz w:val="20"/>
          <w:szCs w:val="20"/>
        </w:rPr>
      </w:pPr>
      <w:r w:rsidRPr="001F659C">
        <w:rPr>
          <w:rFonts w:ascii="Times New Roman" w:hAnsi="Times New Roman"/>
          <w:b/>
          <w:sz w:val="20"/>
          <w:szCs w:val="20"/>
        </w:rPr>
        <w:lastRenderedPageBreak/>
        <w:t>Materials and Methods</w:t>
      </w:r>
    </w:p>
    <w:p w:rsidR="001F659C" w:rsidRPr="001F659C" w:rsidRDefault="001F659C" w:rsidP="001F659C">
      <w:pPr>
        <w:pStyle w:val="ListParagraph"/>
        <w:spacing w:after="0" w:line="240" w:lineRule="auto"/>
        <w:ind w:left="0"/>
        <w:contextualSpacing w:val="0"/>
        <w:jc w:val="both"/>
        <w:outlineLvl w:val="0"/>
        <w:rPr>
          <w:rFonts w:ascii="Times New Roman" w:hAnsi="Times New Roman"/>
          <w:b/>
          <w:sz w:val="20"/>
          <w:szCs w:val="20"/>
        </w:rPr>
      </w:pPr>
      <w:r w:rsidRPr="001F659C">
        <w:rPr>
          <w:rFonts w:ascii="Times New Roman" w:hAnsi="Times New Roman"/>
          <w:b/>
          <w:sz w:val="20"/>
          <w:szCs w:val="20"/>
        </w:rPr>
        <w:t>Sample preparation</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The solid waste samples were collected at Padang Siding landfill in Arau, Perlis.  The sampling was carried out randomly at 5 different locations within the 0.12 km</w:t>
      </w:r>
      <w:r w:rsidRPr="001F659C">
        <w:rPr>
          <w:rFonts w:ascii="Times New Roman" w:hAnsi="Times New Roman"/>
          <w:sz w:val="20"/>
          <w:szCs w:val="20"/>
          <w:vertAlign w:val="superscript"/>
        </w:rPr>
        <w:t>2</w:t>
      </w:r>
      <w:r w:rsidRPr="001F659C">
        <w:rPr>
          <w:rFonts w:ascii="Times New Roman" w:hAnsi="Times New Roman"/>
          <w:sz w:val="20"/>
          <w:szCs w:val="20"/>
        </w:rPr>
        <w:t xml:space="preserve"> landfill area of 0.6 m depth.  These samples were brought back to the laboratory for analysis.  The manual segregation process was conducted to calculate the MSW’s components.  After the completion of segregation, all the samples were mixed, washed (with water) and oven dried at 105 </w:t>
      </w:r>
      <w:r w:rsidRPr="001F659C">
        <w:rPr>
          <w:rFonts w:ascii="Times New Roman" w:hAnsi="Times New Roman"/>
          <w:sz w:val="20"/>
          <w:szCs w:val="20"/>
          <w:vertAlign w:val="superscript"/>
        </w:rPr>
        <w:t>o</w:t>
      </w:r>
      <w:r w:rsidRPr="001F659C">
        <w:rPr>
          <w:rFonts w:ascii="Times New Roman" w:hAnsi="Times New Roman"/>
          <w:sz w:val="20"/>
          <w:szCs w:val="20"/>
        </w:rPr>
        <w:t>C for 12 hours to eliminate external moisture. The samples (except glass) were shredded and sieved to obtain uniform size less than 1.5 mm for further experimental works. This sample was used for TGA analysis and pyrolysis experiments.</w:t>
      </w:r>
    </w:p>
    <w:p w:rsidR="001F659C" w:rsidRPr="001F659C" w:rsidRDefault="001F659C" w:rsidP="001F659C">
      <w:pPr>
        <w:pStyle w:val="ListParagraph"/>
        <w:spacing w:after="0" w:line="240" w:lineRule="auto"/>
        <w:ind w:left="0"/>
        <w:contextualSpacing w:val="0"/>
        <w:jc w:val="both"/>
        <w:outlineLvl w:val="0"/>
        <w:rPr>
          <w:rFonts w:ascii="Times New Roman" w:hAnsi="Times New Roman"/>
          <w:b/>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b/>
          <w:sz w:val="20"/>
          <w:szCs w:val="20"/>
        </w:rPr>
      </w:pPr>
      <w:r w:rsidRPr="001F659C">
        <w:rPr>
          <w:rFonts w:ascii="Times New Roman" w:hAnsi="Times New Roman"/>
          <w:b/>
          <w:sz w:val="20"/>
          <w:szCs w:val="20"/>
        </w:rPr>
        <w:t>Moisture-content determination</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 xml:space="preserve">The collected samples were oven-dried at 105 </w:t>
      </w:r>
      <w:r w:rsidRPr="001F659C">
        <w:rPr>
          <w:rFonts w:ascii="Times New Roman" w:hAnsi="Times New Roman"/>
          <w:sz w:val="20"/>
          <w:szCs w:val="20"/>
          <w:vertAlign w:val="superscript"/>
        </w:rPr>
        <w:t>o</w:t>
      </w:r>
      <w:r w:rsidRPr="001F659C">
        <w:rPr>
          <w:rFonts w:ascii="Times New Roman" w:hAnsi="Times New Roman"/>
          <w:sz w:val="20"/>
          <w:szCs w:val="20"/>
        </w:rPr>
        <w:t xml:space="preserve">C for 5 hours to measure moisture-content.  All the moisture content values used in this research were based on the wet basis, unless otherwise stated.  The percentage of moisture content was calculated as follow: </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m:oMath>
        <m:r>
          <w:rPr>
            <w:rFonts w:ascii="Cambria Math" w:hAnsi="Cambria Math"/>
            <w:sz w:val="20"/>
            <w:szCs w:val="20"/>
          </w:rPr>
          <m:t xml:space="preserve">              Moisture </m:t>
        </m:r>
        <m:d>
          <m:dPr>
            <m:ctrlPr>
              <w:rPr>
                <w:rFonts w:ascii="Cambria Math" w:hAnsi="Cambria Math"/>
                <w:i/>
                <w:sz w:val="20"/>
                <w:szCs w:val="20"/>
              </w:rPr>
            </m:ctrlPr>
          </m:dPr>
          <m:e>
            <m:r>
              <w:rPr>
                <w:rFonts w:ascii="Cambria Math" w:hAnsi="Cambria Math"/>
                <w:sz w:val="20"/>
                <w:szCs w:val="20"/>
              </w:rPr>
              <m:t>%</m:t>
            </m:r>
          </m:e>
        </m:d>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Wet weight-dry weight</m:t>
                </m:r>
              </m:num>
              <m:den>
                <m:r>
                  <w:rPr>
                    <w:rFonts w:ascii="Cambria Math" w:hAnsi="Cambria Math"/>
                    <w:sz w:val="20"/>
                    <w:szCs w:val="20"/>
                  </w:rPr>
                  <m:t>Wet weight</m:t>
                </m:r>
              </m:den>
            </m:f>
          </m:e>
        </m:d>
      </m:oMath>
      <w:r w:rsidRPr="001F659C">
        <w:rPr>
          <w:rFonts w:ascii="Times New Roman" w:hAnsi="Times New Roman"/>
          <w:sz w:val="20"/>
          <w:szCs w:val="20"/>
        </w:rPr>
        <w:t xml:space="preserve"> x 100% </w:t>
      </w:r>
      <w:r w:rsidRPr="001F659C">
        <w:rPr>
          <w:rFonts w:ascii="Times New Roman" w:hAnsi="Times New Roman"/>
          <w:sz w:val="20"/>
          <w:szCs w:val="20"/>
        </w:rPr>
        <w:tab/>
      </w:r>
      <w:r w:rsidRPr="001F659C">
        <w:rPr>
          <w:rFonts w:ascii="Times New Roman" w:hAnsi="Times New Roman"/>
          <w:sz w:val="20"/>
          <w:szCs w:val="20"/>
        </w:rPr>
        <w:tab/>
      </w:r>
      <w:r w:rsidRPr="001F659C">
        <w:rPr>
          <w:rFonts w:ascii="Times New Roman" w:hAnsi="Times New Roman"/>
          <w:sz w:val="20"/>
          <w:szCs w:val="20"/>
        </w:rPr>
        <w:tab/>
      </w:r>
      <w:r w:rsidRPr="001F659C">
        <w:rPr>
          <w:rFonts w:ascii="Times New Roman" w:hAnsi="Times New Roman"/>
          <w:sz w:val="20"/>
          <w:szCs w:val="20"/>
        </w:rPr>
        <w:tab/>
      </w:r>
      <w:r w:rsidRPr="001F659C">
        <w:rPr>
          <w:rFonts w:ascii="Times New Roman" w:hAnsi="Times New Roman"/>
          <w:sz w:val="20"/>
          <w:szCs w:val="20"/>
        </w:rPr>
        <w:tab/>
      </w:r>
      <w:r w:rsidRPr="001F659C">
        <w:rPr>
          <w:rFonts w:ascii="Times New Roman" w:hAnsi="Times New Roman"/>
          <w:sz w:val="20"/>
          <w:szCs w:val="20"/>
        </w:rPr>
        <w:tab/>
      </w:r>
      <w:r>
        <w:rPr>
          <w:rFonts w:ascii="Times New Roman" w:hAnsi="Times New Roman"/>
          <w:sz w:val="20"/>
          <w:szCs w:val="20"/>
        </w:rPr>
        <w:t xml:space="preserve">      </w:t>
      </w:r>
      <w:r w:rsidRPr="001F659C">
        <w:rPr>
          <w:rFonts w:ascii="Times New Roman" w:hAnsi="Times New Roman"/>
          <w:sz w:val="20"/>
          <w:szCs w:val="20"/>
        </w:rPr>
        <w:t xml:space="preserve">   (1)</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b/>
          <w:sz w:val="20"/>
          <w:szCs w:val="20"/>
        </w:rPr>
      </w:pPr>
      <w:r w:rsidRPr="001F659C">
        <w:rPr>
          <w:rFonts w:ascii="Times New Roman" w:hAnsi="Times New Roman"/>
          <w:b/>
          <w:sz w:val="20"/>
          <w:szCs w:val="20"/>
        </w:rPr>
        <w:t>Thermogravimetric analysis</w:t>
      </w:r>
    </w:p>
    <w:p w:rsid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 xml:space="preserve">The thermogravimetric analysis was carried out by using a TGA/DSC 1 Mettler Toledo.  The weight loss and the rate of weight loss were recorded continuously under dynamic conditions, as functions of time or temperature, in the range of 25 to 900 </w:t>
      </w:r>
      <w:r w:rsidRPr="001F659C">
        <w:rPr>
          <w:rFonts w:ascii="Times New Roman" w:hAnsi="Times New Roman"/>
          <w:sz w:val="20"/>
          <w:szCs w:val="20"/>
          <w:vertAlign w:val="superscript"/>
        </w:rPr>
        <w:t>o</w:t>
      </w:r>
      <w:r w:rsidRPr="001F659C">
        <w:rPr>
          <w:rFonts w:ascii="Times New Roman" w:hAnsi="Times New Roman"/>
          <w:sz w:val="20"/>
          <w:szCs w:val="20"/>
        </w:rPr>
        <w:t xml:space="preserve">C.   Purified nitrogen gas was used for the pyrolysis with a flow rate of 150 ml/min.  The heating rate of 20 </w:t>
      </w:r>
      <w:r w:rsidRPr="001F659C">
        <w:rPr>
          <w:rFonts w:ascii="Times New Roman" w:hAnsi="Times New Roman"/>
          <w:sz w:val="20"/>
          <w:szCs w:val="20"/>
          <w:vertAlign w:val="superscript"/>
        </w:rPr>
        <w:t>o</w:t>
      </w:r>
      <w:r w:rsidRPr="001F659C">
        <w:rPr>
          <w:rFonts w:ascii="Times New Roman" w:hAnsi="Times New Roman"/>
          <w:sz w:val="20"/>
          <w:szCs w:val="20"/>
        </w:rPr>
        <w:t xml:space="preserve">C/min was selected for this test.  The temperature was increased to the setting value of 900 </w:t>
      </w:r>
      <w:r w:rsidRPr="001F659C">
        <w:rPr>
          <w:rFonts w:ascii="Times New Roman" w:hAnsi="Times New Roman"/>
          <w:sz w:val="20"/>
          <w:szCs w:val="20"/>
          <w:vertAlign w:val="superscript"/>
        </w:rPr>
        <w:t>o</w:t>
      </w:r>
      <w:r w:rsidRPr="001F659C">
        <w:rPr>
          <w:rFonts w:ascii="Times New Roman" w:hAnsi="Times New Roman"/>
          <w:sz w:val="20"/>
          <w:szCs w:val="20"/>
        </w:rPr>
        <w:t>C at the pre-selected heating rate and it was kept constant at this value until steady conditions were obtained.</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b/>
          <w:sz w:val="20"/>
          <w:szCs w:val="20"/>
        </w:rPr>
      </w:pPr>
      <w:r w:rsidRPr="001F659C">
        <w:rPr>
          <w:rFonts w:ascii="Times New Roman" w:hAnsi="Times New Roman"/>
          <w:b/>
          <w:sz w:val="20"/>
          <w:szCs w:val="20"/>
        </w:rPr>
        <w:t>Proximate analysis</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 xml:space="preserve">Proximate analysis was performed according to ASTM D2974 [11] using the thermogravimetric analyzer (TGA/DSC 1, Mettler Toledo) for determination of moisture, volatile matter, fixed carbon and ash in MSW.  The experiment was performed under inert nitrogen gas and purified air with a constant flow rate of 150 ml/min and the heating rate of 20 </w:t>
      </w:r>
      <w:r w:rsidRPr="001F659C">
        <w:rPr>
          <w:rFonts w:ascii="Times New Roman" w:hAnsi="Times New Roman"/>
          <w:sz w:val="20"/>
          <w:szCs w:val="20"/>
          <w:vertAlign w:val="superscript"/>
        </w:rPr>
        <w:t>o</w:t>
      </w:r>
      <w:r w:rsidRPr="001F659C">
        <w:rPr>
          <w:rFonts w:ascii="Times New Roman" w:hAnsi="Times New Roman"/>
          <w:sz w:val="20"/>
          <w:szCs w:val="20"/>
        </w:rPr>
        <w:t>C.  The samples were weighed directly into the alumina crucible and the temperature was kept at isothermal for 0.5 minutes until a steady condition was obtained before ramping to the desired temperature [12]. The experiments were replicated at least twice to obtain reproducibility.</w:t>
      </w:r>
    </w:p>
    <w:p w:rsidR="001F659C" w:rsidRPr="001F659C" w:rsidRDefault="001F659C" w:rsidP="001F659C">
      <w:pPr>
        <w:pStyle w:val="ListParagraph"/>
        <w:spacing w:after="0" w:line="240" w:lineRule="auto"/>
        <w:ind w:left="0"/>
        <w:contextualSpacing w:val="0"/>
        <w:jc w:val="both"/>
        <w:rPr>
          <w:rFonts w:ascii="Times New Roman" w:hAnsi="Times New Roman"/>
          <w:i/>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b/>
          <w:sz w:val="20"/>
          <w:szCs w:val="20"/>
        </w:rPr>
      </w:pPr>
      <w:r w:rsidRPr="001F659C">
        <w:rPr>
          <w:rFonts w:ascii="Times New Roman" w:hAnsi="Times New Roman"/>
          <w:b/>
          <w:sz w:val="20"/>
          <w:szCs w:val="20"/>
        </w:rPr>
        <w:t>Calorific value (CV)</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The calorific values (CVs) of the samples were determined by using a bomb calorimeter (Model: C2000 basic, IKA co, Germany).  The calculation was also made according to the model developed by Khan and Abu Ghrarah [13] as reported by Abu-Qudais and Abu-Qdais [5].</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spacing w:after="0" w:line="240" w:lineRule="auto"/>
        <w:ind w:firstLine="720"/>
        <w:jc w:val="both"/>
        <w:outlineLvl w:val="0"/>
        <w:rPr>
          <w:rFonts w:ascii="Times New Roman" w:hAnsi="Times New Roman"/>
          <w:bCs/>
          <w:sz w:val="20"/>
          <w:szCs w:val="20"/>
        </w:rPr>
      </w:pPr>
      <w:r w:rsidRPr="001F659C">
        <w:rPr>
          <w:rFonts w:ascii="Times New Roman" w:hAnsi="Times New Roman"/>
          <w:bCs/>
          <w:sz w:val="20"/>
          <w:szCs w:val="20"/>
        </w:rPr>
        <w:t>E = 23 [F + 3.6 (PA)] +160 (PL)</w:t>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t xml:space="preserve">  </w:t>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t xml:space="preserve">   </w:t>
      </w:r>
      <w:r>
        <w:rPr>
          <w:rFonts w:ascii="Times New Roman" w:hAnsi="Times New Roman"/>
          <w:bCs/>
          <w:sz w:val="20"/>
          <w:szCs w:val="20"/>
        </w:rPr>
        <w:t xml:space="preserve">      </w:t>
      </w:r>
      <w:r w:rsidRPr="001F659C">
        <w:rPr>
          <w:rFonts w:ascii="Times New Roman" w:hAnsi="Times New Roman"/>
          <w:bCs/>
          <w:sz w:val="20"/>
          <w:szCs w:val="20"/>
        </w:rPr>
        <w:t>(2)</w:t>
      </w:r>
    </w:p>
    <w:p w:rsidR="001F659C" w:rsidRPr="001F659C" w:rsidRDefault="001F659C" w:rsidP="001F659C">
      <w:pPr>
        <w:spacing w:after="0" w:line="240" w:lineRule="auto"/>
        <w:jc w:val="both"/>
        <w:outlineLvl w:val="0"/>
        <w:rPr>
          <w:rFonts w:ascii="Times New Roman" w:hAnsi="Times New Roman"/>
          <w:b/>
          <w:bCs/>
          <w:sz w:val="20"/>
          <w:szCs w:val="20"/>
        </w:rPr>
      </w:pPr>
    </w:p>
    <w:p w:rsidR="001F659C" w:rsidRPr="001F659C" w:rsidRDefault="001F659C" w:rsidP="001F659C">
      <w:pPr>
        <w:spacing w:after="0" w:line="240" w:lineRule="auto"/>
        <w:jc w:val="both"/>
        <w:outlineLvl w:val="0"/>
        <w:rPr>
          <w:rFonts w:ascii="Times New Roman" w:hAnsi="Times New Roman"/>
          <w:sz w:val="20"/>
          <w:szCs w:val="20"/>
        </w:rPr>
      </w:pPr>
      <w:r w:rsidRPr="001F659C">
        <w:rPr>
          <w:rFonts w:ascii="Times New Roman" w:hAnsi="Times New Roman"/>
          <w:iCs/>
          <w:sz w:val="20"/>
          <w:szCs w:val="20"/>
        </w:rPr>
        <w:t xml:space="preserve">where E is the </w:t>
      </w:r>
      <w:r w:rsidRPr="001F659C">
        <w:rPr>
          <w:rFonts w:ascii="Times New Roman" w:hAnsi="Times New Roman"/>
          <w:sz w:val="20"/>
          <w:szCs w:val="20"/>
        </w:rPr>
        <w:t>energy content of MSW (Btu/lb), PL is the percentage of plastic by weight, F is the percentage of food waste by weight and PA is the percentage of paper waste by weight.</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r w:rsidRPr="001F659C">
        <w:rPr>
          <w:rFonts w:ascii="Times New Roman" w:hAnsi="Times New Roman"/>
          <w:sz w:val="20"/>
          <w:szCs w:val="20"/>
        </w:rPr>
        <w:t xml:space="preserve">For comparison, a traditional model reported by Abu-Qudais and Abu Qdais [5] had also been employed as follows: </w:t>
      </w:r>
    </w:p>
    <w:p w:rsidR="001F659C" w:rsidRPr="001F659C" w:rsidRDefault="001F659C" w:rsidP="001F659C">
      <w:pPr>
        <w:pStyle w:val="ListParagraph"/>
        <w:spacing w:after="0" w:line="240" w:lineRule="auto"/>
        <w:ind w:left="0"/>
        <w:contextualSpacing w:val="0"/>
        <w:jc w:val="both"/>
        <w:outlineLvl w:val="0"/>
        <w:rPr>
          <w:rFonts w:ascii="Times New Roman" w:hAnsi="Times New Roman"/>
          <w:sz w:val="20"/>
          <w:szCs w:val="20"/>
        </w:rPr>
      </w:pPr>
    </w:p>
    <w:p w:rsidR="001F659C" w:rsidRPr="001F659C" w:rsidRDefault="001F659C" w:rsidP="001F659C">
      <w:pPr>
        <w:spacing w:after="0" w:line="240" w:lineRule="auto"/>
        <w:ind w:firstLine="720"/>
        <w:jc w:val="both"/>
        <w:outlineLvl w:val="0"/>
        <w:rPr>
          <w:rFonts w:ascii="Times New Roman" w:hAnsi="Times New Roman"/>
          <w:bCs/>
          <w:sz w:val="20"/>
          <w:szCs w:val="20"/>
        </w:rPr>
      </w:pPr>
      <w:r w:rsidRPr="001F659C">
        <w:rPr>
          <w:rFonts w:ascii="Times New Roman" w:hAnsi="Times New Roman"/>
          <w:sz w:val="20"/>
          <w:szCs w:val="20"/>
        </w:rPr>
        <w:t xml:space="preserve"> </w:t>
      </w:r>
      <w:r w:rsidRPr="001F659C">
        <w:rPr>
          <w:rFonts w:ascii="Times New Roman" w:hAnsi="Times New Roman"/>
          <w:bCs/>
          <w:sz w:val="20"/>
          <w:szCs w:val="20"/>
        </w:rPr>
        <w:t>E (Kcal/kg) = 45B – 6W</w:t>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r>
      <w:r w:rsidRPr="001F659C">
        <w:rPr>
          <w:rFonts w:ascii="Times New Roman" w:hAnsi="Times New Roman"/>
          <w:bCs/>
          <w:sz w:val="20"/>
          <w:szCs w:val="20"/>
        </w:rPr>
        <w:tab/>
        <w:t xml:space="preserve">  </w:t>
      </w:r>
      <w:r>
        <w:rPr>
          <w:rFonts w:ascii="Times New Roman" w:hAnsi="Times New Roman"/>
          <w:bCs/>
          <w:sz w:val="20"/>
          <w:szCs w:val="20"/>
        </w:rPr>
        <w:t xml:space="preserve">      </w:t>
      </w:r>
      <w:r w:rsidRPr="001F659C">
        <w:rPr>
          <w:rFonts w:ascii="Times New Roman" w:hAnsi="Times New Roman"/>
          <w:bCs/>
          <w:sz w:val="20"/>
          <w:szCs w:val="20"/>
        </w:rPr>
        <w:t xml:space="preserve"> (3)</w:t>
      </w:r>
    </w:p>
    <w:p w:rsidR="001F659C" w:rsidRPr="001F659C" w:rsidRDefault="001F659C" w:rsidP="001F659C">
      <w:pPr>
        <w:spacing w:after="0" w:line="240" w:lineRule="auto"/>
        <w:jc w:val="both"/>
        <w:outlineLvl w:val="0"/>
        <w:rPr>
          <w:rFonts w:ascii="Times New Roman" w:hAnsi="Times New Roman"/>
          <w:b/>
          <w:bCs/>
          <w:sz w:val="20"/>
          <w:szCs w:val="20"/>
        </w:rPr>
      </w:pPr>
    </w:p>
    <w:p w:rsidR="001F659C" w:rsidRPr="001F659C" w:rsidRDefault="001F659C" w:rsidP="001F659C">
      <w:pPr>
        <w:spacing w:after="0" w:line="240" w:lineRule="auto"/>
        <w:jc w:val="both"/>
        <w:outlineLvl w:val="0"/>
        <w:rPr>
          <w:rFonts w:ascii="Times New Roman" w:hAnsi="Times New Roman"/>
          <w:sz w:val="20"/>
          <w:szCs w:val="20"/>
        </w:rPr>
      </w:pPr>
      <w:r w:rsidRPr="001F659C">
        <w:rPr>
          <w:rFonts w:ascii="Times New Roman" w:hAnsi="Times New Roman"/>
          <w:iCs/>
          <w:sz w:val="20"/>
          <w:szCs w:val="20"/>
        </w:rPr>
        <w:t xml:space="preserve">where B is the </w:t>
      </w:r>
      <w:r w:rsidRPr="001F659C">
        <w:rPr>
          <w:rFonts w:ascii="Times New Roman" w:hAnsi="Times New Roman"/>
          <w:sz w:val="20"/>
          <w:szCs w:val="20"/>
        </w:rPr>
        <w:t>combustible volatile matter in MSW (%) and W is the water percentage weight on dry basis (%).</w:t>
      </w:r>
    </w:p>
    <w:p w:rsidR="001F659C" w:rsidRPr="001F659C" w:rsidRDefault="001F659C" w:rsidP="001F659C">
      <w:pPr>
        <w:spacing w:after="0" w:line="240" w:lineRule="auto"/>
        <w:jc w:val="both"/>
        <w:outlineLvl w:val="0"/>
        <w:rPr>
          <w:rFonts w:ascii="Times New Roman" w:hAnsi="Times New Roman"/>
          <w:b/>
          <w:sz w:val="20"/>
          <w:szCs w:val="20"/>
        </w:rPr>
      </w:pPr>
    </w:p>
    <w:p w:rsidR="001F659C" w:rsidRPr="001F659C" w:rsidRDefault="001F659C" w:rsidP="001F659C">
      <w:pPr>
        <w:spacing w:after="0" w:line="240" w:lineRule="auto"/>
        <w:jc w:val="both"/>
        <w:outlineLvl w:val="0"/>
        <w:rPr>
          <w:rFonts w:ascii="Times New Roman" w:hAnsi="Times New Roman"/>
          <w:b/>
          <w:sz w:val="20"/>
          <w:szCs w:val="20"/>
        </w:rPr>
      </w:pPr>
      <w:r w:rsidRPr="001F659C">
        <w:rPr>
          <w:rFonts w:ascii="Times New Roman" w:hAnsi="Times New Roman"/>
          <w:b/>
          <w:sz w:val="20"/>
          <w:szCs w:val="20"/>
        </w:rPr>
        <w:t>CHNO analyses</w:t>
      </w:r>
    </w:p>
    <w:p w:rsidR="001F659C" w:rsidRPr="001F659C" w:rsidRDefault="001F659C" w:rsidP="001F659C">
      <w:pPr>
        <w:spacing w:after="0" w:line="240" w:lineRule="auto"/>
        <w:jc w:val="both"/>
        <w:outlineLvl w:val="0"/>
        <w:rPr>
          <w:rFonts w:ascii="Times New Roman" w:hAnsi="Times New Roman"/>
          <w:sz w:val="20"/>
          <w:szCs w:val="20"/>
        </w:rPr>
      </w:pPr>
      <w:r w:rsidRPr="001F659C">
        <w:rPr>
          <w:rFonts w:ascii="Times New Roman" w:hAnsi="Times New Roman"/>
          <w:sz w:val="20"/>
          <w:szCs w:val="20"/>
        </w:rPr>
        <w:t>The elemental analyses of the oils were determined using Thermo Electron FlashEA 1112 elemental analyser. Vanadium pentoxide (2-3 mg) was used to determine the Sulphur content and the amount of Sulphur found was too small and negligible for the calculation of this research.</w:t>
      </w:r>
    </w:p>
    <w:p w:rsidR="001F659C" w:rsidRPr="001F659C" w:rsidRDefault="001F659C" w:rsidP="001F659C">
      <w:pPr>
        <w:spacing w:after="0" w:line="240" w:lineRule="auto"/>
        <w:jc w:val="both"/>
        <w:outlineLvl w:val="0"/>
        <w:rPr>
          <w:rFonts w:ascii="Times New Roman" w:hAnsi="Times New Roman"/>
          <w:sz w:val="20"/>
          <w:szCs w:val="20"/>
        </w:rPr>
      </w:pPr>
    </w:p>
    <w:p w:rsidR="001F659C" w:rsidRPr="001F659C" w:rsidRDefault="001F659C" w:rsidP="001F659C">
      <w:pPr>
        <w:spacing w:after="0" w:line="240" w:lineRule="auto"/>
        <w:jc w:val="both"/>
        <w:outlineLvl w:val="0"/>
        <w:rPr>
          <w:rFonts w:ascii="Times New Roman" w:hAnsi="Times New Roman"/>
          <w:b/>
          <w:sz w:val="20"/>
          <w:szCs w:val="20"/>
        </w:rPr>
      </w:pPr>
      <w:r w:rsidRPr="001F659C">
        <w:rPr>
          <w:rFonts w:ascii="Times New Roman" w:hAnsi="Times New Roman"/>
          <w:b/>
          <w:sz w:val="20"/>
          <w:szCs w:val="20"/>
        </w:rPr>
        <w:lastRenderedPageBreak/>
        <w:t>Pyrolysis experimental procedure</w:t>
      </w:r>
    </w:p>
    <w:p w:rsidR="001F659C" w:rsidRPr="001F659C" w:rsidRDefault="001F659C" w:rsidP="001F659C">
      <w:pPr>
        <w:spacing w:after="0" w:line="240" w:lineRule="auto"/>
        <w:jc w:val="both"/>
        <w:outlineLvl w:val="0"/>
        <w:rPr>
          <w:rFonts w:ascii="Times New Roman" w:hAnsi="Times New Roman"/>
          <w:sz w:val="20"/>
          <w:szCs w:val="20"/>
        </w:rPr>
      </w:pPr>
      <w:r w:rsidRPr="001F659C">
        <w:rPr>
          <w:rFonts w:ascii="Times New Roman" w:hAnsi="Times New Roman"/>
          <w:sz w:val="20"/>
          <w:szCs w:val="20"/>
        </w:rPr>
        <w:t>Fast pyrolysis was conducted in a fixed-bed reactor as in our previous study [7]. The experimental device consisted of a tube reactor with a volume of 250 cm</w:t>
      </w:r>
      <w:r w:rsidRPr="001F659C">
        <w:rPr>
          <w:rFonts w:ascii="Times New Roman" w:hAnsi="Times New Roman"/>
          <w:sz w:val="20"/>
          <w:szCs w:val="20"/>
          <w:vertAlign w:val="superscript"/>
        </w:rPr>
        <w:t>3</w:t>
      </w:r>
      <w:r w:rsidRPr="001F659C">
        <w:rPr>
          <w:rFonts w:ascii="Times New Roman" w:hAnsi="Times New Roman"/>
          <w:sz w:val="20"/>
          <w:szCs w:val="20"/>
        </w:rPr>
        <w:t xml:space="preserve">, equipped with a K-type thermocouple , an electric heater, a nitrogen cylinder, a cold trap, water bath and product effluent. The condensation temperature was set at 0 </w:t>
      </w:r>
      <w:r w:rsidRPr="001F659C">
        <w:rPr>
          <w:rFonts w:ascii="Times New Roman" w:hAnsi="Times New Roman"/>
          <w:sz w:val="20"/>
          <w:szCs w:val="20"/>
          <w:vertAlign w:val="superscript"/>
        </w:rPr>
        <w:t>o</w:t>
      </w:r>
      <w:r w:rsidRPr="001F659C">
        <w:rPr>
          <w:rFonts w:ascii="Times New Roman" w:hAnsi="Times New Roman"/>
          <w:sz w:val="20"/>
          <w:szCs w:val="20"/>
        </w:rPr>
        <w:t xml:space="preserve">C for all experiments. The amounts of sample used in all experiments were 5 mg per run. The bio-oil yield was collected from oil collector and weighed to calculate the percentage. For all experiments, whenever the pyrolysis temperature was reached, it was immediately cooled down to 100 </w:t>
      </w:r>
      <w:r w:rsidRPr="001F659C">
        <w:rPr>
          <w:rFonts w:ascii="Times New Roman" w:hAnsi="Times New Roman"/>
          <w:sz w:val="20"/>
          <w:szCs w:val="20"/>
          <w:vertAlign w:val="superscript"/>
        </w:rPr>
        <w:t>o</w:t>
      </w:r>
      <w:r w:rsidRPr="001F659C">
        <w:rPr>
          <w:rFonts w:ascii="Times New Roman" w:hAnsi="Times New Roman"/>
          <w:sz w:val="20"/>
          <w:szCs w:val="20"/>
        </w:rPr>
        <w:t>C within 4 minutes. Experiments were repeated 5 times to ensure the reproducibility of the results.</w:t>
      </w:r>
    </w:p>
    <w:p w:rsidR="001F659C" w:rsidRPr="001F659C" w:rsidRDefault="001F659C" w:rsidP="001F659C">
      <w:pPr>
        <w:spacing w:after="0" w:line="240" w:lineRule="auto"/>
        <w:jc w:val="both"/>
        <w:outlineLvl w:val="0"/>
        <w:rPr>
          <w:rFonts w:ascii="Times New Roman" w:hAnsi="Times New Roman"/>
          <w:sz w:val="20"/>
          <w:szCs w:val="20"/>
        </w:rPr>
      </w:pPr>
    </w:p>
    <w:p w:rsidR="001F659C" w:rsidRPr="001F659C" w:rsidRDefault="001F659C" w:rsidP="001F659C">
      <w:pPr>
        <w:spacing w:after="0" w:line="240" w:lineRule="auto"/>
        <w:jc w:val="both"/>
        <w:outlineLvl w:val="0"/>
        <w:rPr>
          <w:rFonts w:ascii="Times New Roman" w:hAnsi="Times New Roman"/>
          <w:sz w:val="20"/>
          <w:szCs w:val="20"/>
        </w:rPr>
      </w:pPr>
      <w:r w:rsidRPr="001F659C">
        <w:rPr>
          <w:rFonts w:ascii="Times New Roman" w:hAnsi="Times New Roman"/>
          <w:sz w:val="20"/>
          <w:szCs w:val="20"/>
        </w:rPr>
        <w:t>Nitrogen flow rate and condensation temperature were kept constant at 100 cm</w:t>
      </w:r>
      <w:r w:rsidRPr="001F659C">
        <w:rPr>
          <w:rFonts w:ascii="Times New Roman" w:hAnsi="Times New Roman"/>
          <w:sz w:val="20"/>
          <w:szCs w:val="20"/>
          <w:vertAlign w:val="superscript"/>
        </w:rPr>
        <w:t>3</w:t>
      </w:r>
      <w:r w:rsidRPr="001F659C">
        <w:rPr>
          <w:rFonts w:ascii="Times New Roman" w:hAnsi="Times New Roman"/>
          <w:sz w:val="20"/>
          <w:szCs w:val="20"/>
        </w:rPr>
        <w:t xml:space="preserve">/min and 0 </w:t>
      </w:r>
      <w:r w:rsidRPr="001F659C">
        <w:rPr>
          <w:rFonts w:ascii="Times New Roman" w:hAnsi="Times New Roman"/>
          <w:sz w:val="20"/>
          <w:szCs w:val="20"/>
          <w:vertAlign w:val="superscript"/>
        </w:rPr>
        <w:t>o</w:t>
      </w:r>
      <w:r w:rsidRPr="001F659C">
        <w:rPr>
          <w:rFonts w:ascii="Times New Roman" w:hAnsi="Times New Roman"/>
          <w:sz w:val="20"/>
          <w:szCs w:val="20"/>
        </w:rPr>
        <w:t xml:space="preserve">C, respectively. The pyrolysis experiments were conducted using fixed bed pyrolyser at pyrolysis temperature of 470 </w:t>
      </w:r>
      <w:r w:rsidRPr="001F659C">
        <w:rPr>
          <w:rFonts w:ascii="Times New Roman" w:hAnsi="Times New Roman"/>
          <w:sz w:val="20"/>
          <w:szCs w:val="20"/>
          <w:vertAlign w:val="superscript"/>
        </w:rPr>
        <w:t>o</w:t>
      </w:r>
      <w:r w:rsidRPr="001F659C">
        <w:rPr>
          <w:rFonts w:ascii="Times New Roman" w:hAnsi="Times New Roman"/>
          <w:sz w:val="20"/>
          <w:szCs w:val="20"/>
        </w:rPr>
        <w:t xml:space="preserve">C, particle size of 0.60 mm, holding time at 1 minute. Experiments were repeated 5 times to ensure the reproducibility of the results. </w:t>
      </w:r>
    </w:p>
    <w:p w:rsidR="001F659C" w:rsidRPr="001F659C" w:rsidRDefault="001F659C" w:rsidP="001F659C">
      <w:pPr>
        <w:pStyle w:val="ListParagraph"/>
        <w:spacing w:after="0" w:line="240" w:lineRule="auto"/>
        <w:ind w:left="0"/>
        <w:contextualSpacing w:val="0"/>
        <w:jc w:val="both"/>
        <w:outlineLvl w:val="0"/>
        <w:rPr>
          <w:rFonts w:ascii="Times New Roman" w:hAnsi="Times New Roman"/>
          <w:b/>
          <w:sz w:val="20"/>
          <w:szCs w:val="20"/>
        </w:rPr>
      </w:pPr>
    </w:p>
    <w:p w:rsidR="001F659C" w:rsidRPr="001F659C" w:rsidRDefault="001F659C" w:rsidP="001F659C">
      <w:pPr>
        <w:pStyle w:val="ListParagraph"/>
        <w:spacing w:after="0" w:line="240" w:lineRule="auto"/>
        <w:ind w:left="0"/>
        <w:contextualSpacing w:val="0"/>
        <w:jc w:val="both"/>
        <w:outlineLvl w:val="0"/>
        <w:rPr>
          <w:rFonts w:ascii="Times New Roman" w:hAnsi="Times New Roman"/>
          <w:b/>
          <w:sz w:val="20"/>
          <w:szCs w:val="20"/>
        </w:rPr>
      </w:pPr>
      <w:r w:rsidRPr="001F659C">
        <w:rPr>
          <w:rFonts w:ascii="Times New Roman" w:hAnsi="Times New Roman"/>
          <w:b/>
          <w:sz w:val="20"/>
          <w:szCs w:val="20"/>
        </w:rPr>
        <w:t>Hydrous experimental procedure</w:t>
      </w:r>
    </w:p>
    <w:p w:rsidR="00AC0033" w:rsidRPr="001F659C" w:rsidRDefault="001F659C" w:rsidP="001F659C">
      <w:pPr>
        <w:spacing w:after="0" w:line="240" w:lineRule="auto"/>
        <w:jc w:val="both"/>
        <w:rPr>
          <w:rFonts w:ascii="Times New Roman" w:hAnsi="Times New Roman"/>
          <w:sz w:val="20"/>
          <w:szCs w:val="20"/>
        </w:rPr>
      </w:pPr>
      <w:r w:rsidRPr="001F659C">
        <w:rPr>
          <w:rFonts w:ascii="Times New Roman" w:hAnsi="Times New Roman"/>
          <w:sz w:val="20"/>
          <w:szCs w:val="20"/>
        </w:rPr>
        <w:t xml:space="preserve">Hydrous experiments were conducted using a Parr 4740 series stainless steel (75 ml cylindrical) pressure vessel at pre-set temperatures (380, 420 and 480 </w:t>
      </w:r>
      <w:r w:rsidRPr="001F659C">
        <w:rPr>
          <w:rFonts w:ascii="Times New Roman" w:hAnsi="Times New Roman"/>
          <w:sz w:val="20"/>
          <w:szCs w:val="20"/>
          <w:vertAlign w:val="superscript"/>
        </w:rPr>
        <w:t>o</w:t>
      </w:r>
      <w:r w:rsidRPr="001F659C">
        <w:rPr>
          <w:rFonts w:ascii="Times New Roman" w:hAnsi="Times New Roman"/>
          <w:sz w:val="20"/>
          <w:szCs w:val="20"/>
        </w:rPr>
        <w:t xml:space="preserve">C) for 1 hours. After sealing the vessel and attaching the pressure gauge, it was purged 10 times with nitrogen gas to remove the air, and then 2 bar of nitrogen gas was introduced to provide an inert atmosphere. The reactor was heated in a fluidised sand bath. Temperature was monitored by an additional K-type thermocouple which was connected to a computer and recorded every 10 s. The reacted product washing procedure had been reported in the previous study [14]. Hydrous pyrolysis was also conducted at 380, 420 and 480 </w:t>
      </w:r>
      <w:r w:rsidRPr="001F659C">
        <w:rPr>
          <w:rFonts w:ascii="Times New Roman" w:hAnsi="Times New Roman"/>
          <w:sz w:val="20"/>
          <w:szCs w:val="20"/>
          <w:vertAlign w:val="superscript"/>
        </w:rPr>
        <w:t>o</w:t>
      </w:r>
      <w:r w:rsidRPr="001F659C">
        <w:rPr>
          <w:rFonts w:ascii="Times New Roman" w:hAnsi="Times New Roman"/>
          <w:sz w:val="20"/>
          <w:szCs w:val="20"/>
        </w:rPr>
        <w:t>C with sample to water mass ratio of 1:6, using 75 ml reactor for 1 hour. The pressures recorded for these experiments were in the range of 280 – 300 bar.</w:t>
      </w:r>
    </w:p>
    <w:p w:rsidR="001F659C" w:rsidRPr="00F447A7" w:rsidRDefault="001F659C" w:rsidP="001F659C">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F659C" w:rsidRPr="00CD1814" w:rsidRDefault="001F659C" w:rsidP="00CD1814">
      <w:pPr>
        <w:pStyle w:val="ListParagraph"/>
        <w:spacing w:after="0" w:line="240" w:lineRule="auto"/>
        <w:ind w:left="0"/>
        <w:contextualSpacing w:val="0"/>
        <w:jc w:val="both"/>
        <w:outlineLvl w:val="0"/>
        <w:rPr>
          <w:rFonts w:ascii="Times New Roman" w:hAnsi="Times New Roman"/>
          <w:b/>
          <w:sz w:val="20"/>
          <w:szCs w:val="20"/>
        </w:rPr>
      </w:pPr>
      <w:r w:rsidRPr="00CD1814">
        <w:rPr>
          <w:rFonts w:ascii="Times New Roman" w:hAnsi="Times New Roman"/>
          <w:b/>
          <w:sz w:val="20"/>
          <w:szCs w:val="20"/>
        </w:rPr>
        <w:t>Waste segregation and moisture content</w:t>
      </w:r>
    </w:p>
    <w:p w:rsidR="001F659C" w:rsidRPr="00CD1814" w:rsidRDefault="001F659C" w:rsidP="00CD1814">
      <w:pPr>
        <w:pStyle w:val="ListParagraph"/>
        <w:spacing w:after="0" w:line="240" w:lineRule="auto"/>
        <w:ind w:left="0"/>
        <w:contextualSpacing w:val="0"/>
        <w:jc w:val="both"/>
        <w:outlineLvl w:val="0"/>
        <w:rPr>
          <w:rFonts w:ascii="Times New Roman" w:hAnsi="Times New Roman"/>
          <w:sz w:val="20"/>
          <w:szCs w:val="20"/>
        </w:rPr>
      </w:pPr>
      <w:r w:rsidRPr="00CD1814">
        <w:rPr>
          <w:rFonts w:ascii="Times New Roman" w:hAnsi="Times New Roman"/>
          <w:sz w:val="20"/>
          <w:szCs w:val="20"/>
        </w:rPr>
        <w:t>Table 1 shows the average compositions after the segregation process. Plastic and glass were the highest proportion in the samples collected with approximately 46%.  Similarly, papers contributed approximately 21%, ranked as the third largest component.  The other smallest components were polystyrene, yard wastes and wood with 1.4%, 3.5% and 8.0%, respectively.  Food waste consists of approximately 12%, as such, it can be inferred that the management of organic waste has not been properly done.</w:t>
      </w:r>
    </w:p>
    <w:p w:rsidR="001F659C" w:rsidRPr="00CD1814" w:rsidRDefault="001F659C" w:rsidP="00CD1814">
      <w:pPr>
        <w:spacing w:after="120" w:line="240" w:lineRule="auto"/>
        <w:jc w:val="both"/>
        <w:outlineLvl w:val="0"/>
        <w:rPr>
          <w:rFonts w:ascii="Times New Roman" w:hAnsi="Times New Roman"/>
          <w:b/>
          <w:sz w:val="20"/>
          <w:szCs w:val="20"/>
        </w:rPr>
      </w:pPr>
    </w:p>
    <w:p w:rsidR="001F659C" w:rsidRPr="00CD1814" w:rsidRDefault="001F659C" w:rsidP="00CD1814">
      <w:pPr>
        <w:spacing w:after="120" w:line="240" w:lineRule="auto"/>
        <w:jc w:val="center"/>
        <w:outlineLvl w:val="0"/>
        <w:rPr>
          <w:rFonts w:ascii="Times New Roman" w:hAnsi="Times New Roman"/>
          <w:sz w:val="20"/>
          <w:szCs w:val="20"/>
        </w:rPr>
      </w:pPr>
      <w:r w:rsidRPr="00CD1814">
        <w:rPr>
          <w:rFonts w:ascii="Times New Roman" w:hAnsi="Times New Roman"/>
          <w:sz w:val="20"/>
          <w:szCs w:val="20"/>
        </w:rPr>
        <w:t xml:space="preserve">Table 1. </w:t>
      </w:r>
      <w:r w:rsidR="00CD1814">
        <w:rPr>
          <w:rFonts w:ascii="Times New Roman" w:hAnsi="Times New Roman"/>
          <w:sz w:val="20"/>
          <w:szCs w:val="20"/>
        </w:rPr>
        <w:t xml:space="preserve"> </w:t>
      </w:r>
      <w:r w:rsidRPr="00CD1814">
        <w:rPr>
          <w:rFonts w:ascii="Times New Roman" w:hAnsi="Times New Roman"/>
          <w:sz w:val="20"/>
          <w:szCs w:val="20"/>
        </w:rPr>
        <w:t>Characterization of MSW from Padang Siding landfill</w:t>
      </w:r>
    </w:p>
    <w:tbl>
      <w:tblPr>
        <w:tblStyle w:val="Style1"/>
        <w:tblW w:w="0" w:type="auto"/>
        <w:jc w:val="center"/>
        <w:tblLook w:val="0000" w:firstRow="0" w:lastRow="0" w:firstColumn="0" w:lastColumn="0" w:noHBand="0" w:noVBand="0"/>
      </w:tblPr>
      <w:tblGrid>
        <w:gridCol w:w="894"/>
        <w:gridCol w:w="1233"/>
        <w:gridCol w:w="727"/>
        <w:gridCol w:w="783"/>
        <w:gridCol w:w="1216"/>
        <w:gridCol w:w="872"/>
        <w:gridCol w:w="1189"/>
        <w:gridCol w:w="683"/>
        <w:gridCol w:w="728"/>
      </w:tblGrid>
      <w:tr w:rsidR="001F659C" w:rsidRPr="00CD1814" w:rsidTr="00A225AA">
        <w:trPr>
          <w:trHeight w:val="268"/>
          <w:jc w:val="center"/>
        </w:trPr>
        <w:tc>
          <w:tcPr>
            <w:tcW w:w="0" w:type="auto"/>
            <w:vMerge w:val="restart"/>
            <w:noWrap/>
            <w:vAlign w:val="center"/>
          </w:tcPr>
          <w:p w:rsidR="001F659C" w:rsidRPr="00CD1814" w:rsidRDefault="001F659C" w:rsidP="00CD1814">
            <w:pPr>
              <w:spacing w:after="0" w:line="240" w:lineRule="auto"/>
              <w:jc w:val="both"/>
              <w:outlineLvl w:val="0"/>
              <w:rPr>
                <w:rFonts w:ascii="Times New Roman" w:hAnsi="Times New Roman" w:cs="Times New Roman"/>
                <w:b/>
                <w:sz w:val="20"/>
                <w:szCs w:val="20"/>
              </w:rPr>
            </w:pPr>
            <w:r w:rsidRPr="00CD1814">
              <w:rPr>
                <w:rFonts w:ascii="Times New Roman" w:hAnsi="Times New Roman" w:cs="Times New Roman"/>
                <w:b/>
                <w:sz w:val="20"/>
                <w:szCs w:val="20"/>
              </w:rPr>
              <w:t>Sample</w:t>
            </w:r>
          </w:p>
        </w:tc>
        <w:tc>
          <w:tcPr>
            <w:tcW w:w="0" w:type="auto"/>
            <w:vMerge w:val="restart"/>
            <w:noWrap/>
            <w:vAlign w:val="center"/>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Food Waste</w:t>
            </w:r>
          </w:p>
          <w:p w:rsidR="001F659C" w:rsidRPr="00CD1814" w:rsidRDefault="001F659C" w:rsidP="00CD1814">
            <w:pPr>
              <w:spacing w:after="6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Paper</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Plastic</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Polystyrene</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Rubber</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Yard waste</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Glass</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Wood</w:t>
            </w:r>
          </w:p>
        </w:tc>
      </w:tr>
      <w:tr w:rsidR="001F659C" w:rsidRPr="00CD1814" w:rsidTr="00A225AA">
        <w:trPr>
          <w:trHeight w:val="268"/>
          <w:jc w:val="center"/>
        </w:trPr>
        <w:tc>
          <w:tcPr>
            <w:tcW w:w="0" w:type="auto"/>
            <w:vMerge/>
            <w:tcBorders>
              <w:bottom w:val="single" w:sz="4" w:space="0" w:color="auto"/>
            </w:tcBorders>
            <w:noWrap/>
            <w:vAlign w:val="center"/>
          </w:tcPr>
          <w:p w:rsidR="001F659C" w:rsidRPr="00CD1814" w:rsidRDefault="001F659C" w:rsidP="00CD1814">
            <w:pPr>
              <w:spacing w:after="0" w:line="240" w:lineRule="auto"/>
              <w:jc w:val="both"/>
              <w:outlineLvl w:val="0"/>
              <w:rPr>
                <w:rFonts w:ascii="Times New Roman" w:hAnsi="Times New Roman" w:cs="Times New Roman"/>
                <w:sz w:val="20"/>
                <w:szCs w:val="20"/>
              </w:rPr>
            </w:pPr>
          </w:p>
        </w:tc>
        <w:tc>
          <w:tcPr>
            <w:tcW w:w="0" w:type="auto"/>
            <w:vMerge/>
            <w:tcBorders>
              <w:bottom w:val="single" w:sz="4" w:space="0" w:color="auto"/>
            </w:tcBorders>
            <w:noWrap/>
            <w:vAlign w:val="center"/>
          </w:tcPr>
          <w:p w:rsidR="001F659C" w:rsidRPr="00CD1814" w:rsidRDefault="001F659C" w:rsidP="00CD1814">
            <w:pPr>
              <w:spacing w:after="0" w:line="240" w:lineRule="auto"/>
              <w:jc w:val="center"/>
              <w:outlineLvl w:val="0"/>
              <w:rPr>
                <w:rFonts w:ascii="Times New Roman" w:hAnsi="Times New Roman" w:cs="Times New Roman"/>
                <w:b/>
                <w:sz w:val="20"/>
                <w:szCs w:val="20"/>
              </w:rPr>
            </w:pPr>
          </w:p>
        </w:tc>
        <w:tc>
          <w:tcPr>
            <w:tcW w:w="0" w:type="auto"/>
            <w:tcBorders>
              <w:bottom w:val="single" w:sz="4" w:space="0" w:color="auto"/>
            </w:tcBorders>
            <w:noWrap/>
            <w:vAlign w:val="center"/>
          </w:tcPr>
          <w:p w:rsidR="001F659C" w:rsidRPr="00CD1814" w:rsidRDefault="001F659C" w:rsidP="00CD1814">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w:t>
            </w:r>
          </w:p>
        </w:tc>
        <w:tc>
          <w:tcPr>
            <w:tcW w:w="0" w:type="auto"/>
            <w:tcBorders>
              <w:bottom w:val="single" w:sz="4" w:space="0" w:color="auto"/>
            </w:tcBorders>
            <w:noWrap/>
            <w:vAlign w:val="center"/>
          </w:tcPr>
          <w:p w:rsidR="001F659C" w:rsidRPr="00CD1814" w:rsidRDefault="001F659C" w:rsidP="00CD1814">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w:t>
            </w:r>
          </w:p>
        </w:tc>
        <w:tc>
          <w:tcPr>
            <w:tcW w:w="0" w:type="auto"/>
            <w:tcBorders>
              <w:bottom w:val="single" w:sz="4" w:space="0" w:color="auto"/>
            </w:tcBorders>
            <w:noWrap/>
            <w:vAlign w:val="center"/>
          </w:tcPr>
          <w:p w:rsidR="001F659C" w:rsidRPr="00CD1814" w:rsidRDefault="001F659C" w:rsidP="00CD1814">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w:t>
            </w:r>
          </w:p>
        </w:tc>
        <w:tc>
          <w:tcPr>
            <w:tcW w:w="0" w:type="auto"/>
            <w:tcBorders>
              <w:bottom w:val="single" w:sz="4" w:space="0" w:color="auto"/>
            </w:tcBorders>
            <w:noWrap/>
            <w:vAlign w:val="center"/>
          </w:tcPr>
          <w:p w:rsidR="001F659C" w:rsidRPr="00CD1814" w:rsidRDefault="001F659C" w:rsidP="00CD1814">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w:t>
            </w:r>
          </w:p>
        </w:tc>
        <w:tc>
          <w:tcPr>
            <w:tcW w:w="0" w:type="auto"/>
            <w:tcBorders>
              <w:bottom w:val="single" w:sz="4" w:space="0" w:color="auto"/>
            </w:tcBorders>
            <w:noWrap/>
            <w:vAlign w:val="center"/>
          </w:tcPr>
          <w:p w:rsidR="001F659C" w:rsidRPr="00CD1814" w:rsidRDefault="001F659C" w:rsidP="00CD1814">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w:t>
            </w:r>
          </w:p>
        </w:tc>
        <w:tc>
          <w:tcPr>
            <w:tcW w:w="0" w:type="auto"/>
            <w:tcBorders>
              <w:bottom w:val="single" w:sz="4" w:space="0" w:color="auto"/>
            </w:tcBorders>
            <w:noWrap/>
            <w:vAlign w:val="center"/>
          </w:tcPr>
          <w:p w:rsidR="001F659C" w:rsidRPr="00CD1814" w:rsidRDefault="001F659C" w:rsidP="00CD1814">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w:t>
            </w:r>
          </w:p>
        </w:tc>
        <w:tc>
          <w:tcPr>
            <w:tcW w:w="0" w:type="auto"/>
            <w:tcBorders>
              <w:bottom w:val="single" w:sz="4" w:space="0" w:color="auto"/>
            </w:tcBorders>
            <w:noWrap/>
            <w:vAlign w:val="center"/>
          </w:tcPr>
          <w:p w:rsidR="001F659C" w:rsidRPr="00CD1814" w:rsidRDefault="001F659C" w:rsidP="00CD1814">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w:t>
            </w:r>
          </w:p>
        </w:tc>
      </w:tr>
      <w:tr w:rsidR="001F659C" w:rsidRPr="00CD1814" w:rsidTr="00A225AA">
        <w:trPr>
          <w:trHeight w:val="268"/>
          <w:jc w:val="center"/>
        </w:trPr>
        <w:tc>
          <w:tcPr>
            <w:tcW w:w="0" w:type="auto"/>
            <w:tcBorders>
              <w:top w:val="single" w:sz="4" w:space="0" w:color="auto"/>
            </w:tcBorders>
            <w:noWrap/>
            <w:vAlign w:val="center"/>
          </w:tcPr>
          <w:p w:rsidR="001F659C" w:rsidRPr="00CD1814" w:rsidRDefault="001F659C" w:rsidP="00CD1814">
            <w:pPr>
              <w:spacing w:before="60" w:after="0" w:line="240" w:lineRule="auto"/>
              <w:jc w:val="both"/>
              <w:outlineLvl w:val="0"/>
              <w:rPr>
                <w:rFonts w:ascii="Times New Roman" w:hAnsi="Times New Roman" w:cs="Times New Roman"/>
                <w:sz w:val="20"/>
                <w:szCs w:val="20"/>
              </w:rPr>
            </w:pPr>
            <w:r w:rsidRPr="00CD1814">
              <w:rPr>
                <w:rFonts w:ascii="Times New Roman" w:hAnsi="Times New Roman" w:cs="Times New Roman"/>
                <w:sz w:val="20"/>
                <w:szCs w:val="20"/>
              </w:rPr>
              <w:t>1</w:t>
            </w:r>
          </w:p>
        </w:tc>
        <w:tc>
          <w:tcPr>
            <w:tcW w:w="0" w:type="auto"/>
            <w:tcBorders>
              <w:top w:val="single" w:sz="4" w:space="0" w:color="auto"/>
            </w:tcBorders>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37.80</w:t>
            </w:r>
          </w:p>
        </w:tc>
        <w:tc>
          <w:tcPr>
            <w:tcW w:w="0" w:type="auto"/>
            <w:tcBorders>
              <w:top w:val="single" w:sz="4" w:space="0" w:color="auto"/>
            </w:tcBorders>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1.50</w:t>
            </w:r>
          </w:p>
        </w:tc>
        <w:tc>
          <w:tcPr>
            <w:tcW w:w="0" w:type="auto"/>
            <w:tcBorders>
              <w:top w:val="single" w:sz="4" w:space="0" w:color="auto"/>
            </w:tcBorders>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13.90</w:t>
            </w:r>
          </w:p>
        </w:tc>
        <w:tc>
          <w:tcPr>
            <w:tcW w:w="0" w:type="auto"/>
            <w:tcBorders>
              <w:top w:val="single" w:sz="4" w:space="0" w:color="auto"/>
            </w:tcBorders>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1.20</w:t>
            </w:r>
          </w:p>
        </w:tc>
        <w:tc>
          <w:tcPr>
            <w:tcW w:w="0" w:type="auto"/>
            <w:tcBorders>
              <w:top w:val="single" w:sz="4" w:space="0" w:color="auto"/>
            </w:tcBorders>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24.70</w:t>
            </w:r>
          </w:p>
        </w:tc>
        <w:tc>
          <w:tcPr>
            <w:tcW w:w="0" w:type="auto"/>
            <w:tcBorders>
              <w:top w:val="single" w:sz="4" w:space="0" w:color="auto"/>
            </w:tcBorders>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6.40</w:t>
            </w:r>
          </w:p>
        </w:tc>
        <w:tc>
          <w:tcPr>
            <w:tcW w:w="0" w:type="auto"/>
            <w:tcBorders>
              <w:top w:val="single" w:sz="4" w:space="0" w:color="auto"/>
            </w:tcBorders>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0.00</w:t>
            </w:r>
          </w:p>
        </w:tc>
        <w:tc>
          <w:tcPr>
            <w:tcW w:w="0" w:type="auto"/>
            <w:tcBorders>
              <w:top w:val="single" w:sz="4" w:space="0" w:color="auto"/>
            </w:tcBorders>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14.50</w:t>
            </w:r>
          </w:p>
        </w:tc>
      </w:tr>
      <w:tr w:rsidR="001F659C" w:rsidRPr="00CD1814" w:rsidTr="00A225AA">
        <w:trPr>
          <w:trHeight w:val="268"/>
          <w:jc w:val="center"/>
        </w:trPr>
        <w:tc>
          <w:tcPr>
            <w:tcW w:w="0" w:type="auto"/>
            <w:noWrap/>
            <w:vAlign w:val="center"/>
          </w:tcPr>
          <w:p w:rsidR="001F659C" w:rsidRPr="00CD1814" w:rsidRDefault="001F659C" w:rsidP="00CD1814">
            <w:pPr>
              <w:spacing w:before="60" w:after="0" w:line="240" w:lineRule="auto"/>
              <w:jc w:val="both"/>
              <w:outlineLvl w:val="0"/>
              <w:rPr>
                <w:rFonts w:ascii="Times New Roman" w:hAnsi="Times New Roman" w:cs="Times New Roman"/>
                <w:sz w:val="20"/>
                <w:szCs w:val="20"/>
              </w:rPr>
            </w:pPr>
            <w:r w:rsidRPr="00CD1814">
              <w:rPr>
                <w:rFonts w:ascii="Times New Roman" w:hAnsi="Times New Roman" w:cs="Times New Roman"/>
                <w:sz w:val="20"/>
                <w:szCs w:val="20"/>
              </w:rPr>
              <w:t>2</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2.80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4.00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15.40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2.20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11.30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7.80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46.20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10.20</w:t>
            </w:r>
          </w:p>
        </w:tc>
      </w:tr>
      <w:tr w:rsidR="001F659C" w:rsidRPr="00CD1814" w:rsidTr="00A225AA">
        <w:trPr>
          <w:trHeight w:val="268"/>
          <w:jc w:val="center"/>
        </w:trPr>
        <w:tc>
          <w:tcPr>
            <w:tcW w:w="0" w:type="auto"/>
            <w:noWrap/>
            <w:vAlign w:val="center"/>
          </w:tcPr>
          <w:p w:rsidR="001F659C" w:rsidRPr="00CD1814" w:rsidRDefault="001F659C" w:rsidP="00CD1814">
            <w:pPr>
              <w:spacing w:before="60" w:after="0" w:line="240" w:lineRule="auto"/>
              <w:jc w:val="both"/>
              <w:outlineLvl w:val="0"/>
              <w:rPr>
                <w:rFonts w:ascii="Times New Roman" w:hAnsi="Times New Roman" w:cs="Times New Roman"/>
                <w:sz w:val="20"/>
                <w:szCs w:val="20"/>
              </w:rPr>
            </w:pPr>
            <w:r w:rsidRPr="00CD1814">
              <w:rPr>
                <w:rFonts w:ascii="Times New Roman" w:hAnsi="Times New Roman" w:cs="Times New Roman"/>
                <w:sz w:val="20"/>
                <w:szCs w:val="20"/>
              </w:rPr>
              <w:t>3</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12.50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16.80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14.20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0.60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6.90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43.90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5.20</w:t>
            </w:r>
          </w:p>
        </w:tc>
      </w:tr>
      <w:tr w:rsidR="001F659C" w:rsidRPr="00CD1814" w:rsidTr="00A225AA">
        <w:trPr>
          <w:trHeight w:val="268"/>
          <w:jc w:val="center"/>
        </w:trPr>
        <w:tc>
          <w:tcPr>
            <w:tcW w:w="0" w:type="auto"/>
            <w:noWrap/>
            <w:vAlign w:val="center"/>
          </w:tcPr>
          <w:p w:rsidR="001F659C" w:rsidRPr="00CD1814" w:rsidRDefault="001F659C" w:rsidP="00CD1814">
            <w:pPr>
              <w:spacing w:before="60" w:after="0" w:line="240" w:lineRule="auto"/>
              <w:jc w:val="both"/>
              <w:outlineLvl w:val="0"/>
              <w:rPr>
                <w:rFonts w:ascii="Times New Roman" w:hAnsi="Times New Roman" w:cs="Times New Roman"/>
                <w:sz w:val="20"/>
                <w:szCs w:val="20"/>
              </w:rPr>
            </w:pPr>
            <w:r w:rsidRPr="00CD1814">
              <w:rPr>
                <w:rFonts w:ascii="Times New Roman" w:hAnsi="Times New Roman" w:cs="Times New Roman"/>
                <w:sz w:val="20"/>
                <w:szCs w:val="20"/>
              </w:rPr>
              <w:t>4</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5.30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24.70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48.40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2.70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11.50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7.40</w:t>
            </w:r>
          </w:p>
        </w:tc>
      </w:tr>
      <w:tr w:rsidR="001F659C" w:rsidRPr="00CD1814" w:rsidTr="00A225AA">
        <w:trPr>
          <w:trHeight w:val="268"/>
          <w:jc w:val="center"/>
        </w:trPr>
        <w:tc>
          <w:tcPr>
            <w:tcW w:w="0" w:type="auto"/>
            <w:noWrap/>
            <w:vAlign w:val="center"/>
          </w:tcPr>
          <w:p w:rsidR="001F659C" w:rsidRPr="00CD1814" w:rsidRDefault="001F659C" w:rsidP="00CD1814">
            <w:pPr>
              <w:spacing w:before="60" w:after="0" w:line="240" w:lineRule="auto"/>
              <w:jc w:val="both"/>
              <w:outlineLvl w:val="0"/>
              <w:rPr>
                <w:rFonts w:ascii="Times New Roman" w:hAnsi="Times New Roman" w:cs="Times New Roman"/>
                <w:sz w:val="20"/>
                <w:szCs w:val="20"/>
              </w:rPr>
            </w:pPr>
            <w:r w:rsidRPr="00CD1814">
              <w:rPr>
                <w:rFonts w:ascii="Times New Roman" w:hAnsi="Times New Roman" w:cs="Times New Roman"/>
                <w:sz w:val="20"/>
                <w:szCs w:val="20"/>
              </w:rPr>
              <w:t>5</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56.20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12.40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0.30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3.40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24.90</w:t>
            </w:r>
          </w:p>
        </w:tc>
        <w:tc>
          <w:tcPr>
            <w:tcW w:w="0" w:type="auto"/>
            <w:noWrap/>
            <w:vAlign w:val="center"/>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2.90</w:t>
            </w:r>
          </w:p>
        </w:tc>
      </w:tr>
      <w:tr w:rsidR="001F659C" w:rsidRPr="00CD1814" w:rsidTr="00A225AA">
        <w:trPr>
          <w:trHeight w:val="268"/>
          <w:jc w:val="center"/>
        </w:trPr>
        <w:tc>
          <w:tcPr>
            <w:tcW w:w="0" w:type="auto"/>
            <w:noWrap/>
            <w:vAlign w:val="center"/>
          </w:tcPr>
          <w:p w:rsidR="001F659C" w:rsidRPr="00CD1814" w:rsidRDefault="001F659C" w:rsidP="00CD1814">
            <w:pPr>
              <w:spacing w:before="60" w:after="60" w:line="240" w:lineRule="auto"/>
              <w:jc w:val="both"/>
              <w:outlineLvl w:val="0"/>
              <w:rPr>
                <w:rFonts w:ascii="Times New Roman" w:hAnsi="Times New Roman" w:cs="Times New Roman"/>
                <w:sz w:val="20"/>
                <w:szCs w:val="20"/>
              </w:rPr>
            </w:pPr>
            <w:r w:rsidRPr="00CD1814">
              <w:rPr>
                <w:rFonts w:ascii="Times New Roman" w:hAnsi="Times New Roman" w:cs="Times New Roman"/>
                <w:sz w:val="20"/>
                <w:szCs w:val="20"/>
              </w:rPr>
              <w:t>Average</w:t>
            </w:r>
          </w:p>
        </w:tc>
        <w:tc>
          <w:tcPr>
            <w:tcW w:w="0" w:type="auto"/>
            <w:noWrap/>
            <w:vAlign w:val="center"/>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11.68</w:t>
            </w:r>
          </w:p>
        </w:tc>
        <w:tc>
          <w:tcPr>
            <w:tcW w:w="0" w:type="auto"/>
            <w:noWrap/>
            <w:vAlign w:val="center"/>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20.64</w:t>
            </w:r>
          </w:p>
        </w:tc>
        <w:tc>
          <w:tcPr>
            <w:tcW w:w="0" w:type="auto"/>
            <w:noWrap/>
            <w:vAlign w:val="center"/>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20.86</w:t>
            </w:r>
          </w:p>
        </w:tc>
        <w:tc>
          <w:tcPr>
            <w:tcW w:w="0" w:type="auto"/>
            <w:noWrap/>
            <w:vAlign w:val="center"/>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1.40</w:t>
            </w:r>
          </w:p>
        </w:tc>
        <w:tc>
          <w:tcPr>
            <w:tcW w:w="0" w:type="auto"/>
            <w:noWrap/>
            <w:vAlign w:val="center"/>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8.58</w:t>
            </w:r>
          </w:p>
        </w:tc>
        <w:tc>
          <w:tcPr>
            <w:tcW w:w="0" w:type="auto"/>
            <w:noWrap/>
            <w:vAlign w:val="center"/>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3.52</w:t>
            </w:r>
          </w:p>
        </w:tc>
        <w:tc>
          <w:tcPr>
            <w:tcW w:w="0" w:type="auto"/>
            <w:noWrap/>
            <w:vAlign w:val="center"/>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25.3</w:t>
            </w:r>
          </w:p>
        </w:tc>
        <w:tc>
          <w:tcPr>
            <w:tcW w:w="0" w:type="auto"/>
            <w:noWrap/>
            <w:vAlign w:val="center"/>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8.04</w:t>
            </w:r>
          </w:p>
        </w:tc>
      </w:tr>
    </w:tbl>
    <w:p w:rsidR="001F659C" w:rsidRPr="00CD1814" w:rsidRDefault="001F659C" w:rsidP="00CD1814">
      <w:pPr>
        <w:pStyle w:val="ListParagraph"/>
        <w:spacing w:before="60" w:after="0" w:line="240" w:lineRule="auto"/>
        <w:ind w:left="0" w:firstLine="547"/>
        <w:contextualSpacing w:val="0"/>
        <w:jc w:val="both"/>
        <w:outlineLvl w:val="0"/>
        <w:rPr>
          <w:rFonts w:ascii="Times New Roman" w:hAnsi="Times New Roman"/>
          <w:sz w:val="18"/>
          <w:szCs w:val="18"/>
        </w:rPr>
      </w:pPr>
      <w:r w:rsidRPr="00CD1814">
        <w:rPr>
          <w:rFonts w:ascii="Times New Roman" w:hAnsi="Times New Roman"/>
          <w:sz w:val="18"/>
          <w:szCs w:val="18"/>
        </w:rPr>
        <w:t>Note: Mud and gravel had been removed from the samples</w:t>
      </w:r>
    </w:p>
    <w:p w:rsidR="001F659C" w:rsidRPr="00CD1814" w:rsidRDefault="001F659C" w:rsidP="00CD1814">
      <w:pPr>
        <w:pStyle w:val="ListParagraph"/>
        <w:spacing w:after="120" w:line="240" w:lineRule="auto"/>
        <w:ind w:left="0"/>
        <w:contextualSpacing w:val="0"/>
        <w:jc w:val="both"/>
        <w:outlineLvl w:val="0"/>
        <w:rPr>
          <w:rFonts w:ascii="Times New Roman" w:hAnsi="Times New Roman"/>
          <w:sz w:val="20"/>
          <w:szCs w:val="20"/>
        </w:rPr>
      </w:pPr>
    </w:p>
    <w:p w:rsidR="001F659C" w:rsidRPr="00CD1814" w:rsidRDefault="001F659C" w:rsidP="00CD1814">
      <w:pPr>
        <w:pStyle w:val="ListParagraph"/>
        <w:spacing w:after="0" w:line="240" w:lineRule="auto"/>
        <w:ind w:left="0"/>
        <w:contextualSpacing w:val="0"/>
        <w:jc w:val="both"/>
        <w:outlineLvl w:val="0"/>
        <w:rPr>
          <w:rFonts w:ascii="Times New Roman" w:hAnsi="Times New Roman"/>
          <w:sz w:val="20"/>
          <w:szCs w:val="20"/>
        </w:rPr>
      </w:pPr>
      <w:r w:rsidRPr="00CD1814">
        <w:rPr>
          <w:rFonts w:ascii="Times New Roman" w:hAnsi="Times New Roman"/>
          <w:sz w:val="20"/>
          <w:szCs w:val="20"/>
        </w:rPr>
        <w:t>Moisture contents of the MSW components are summarized in Table 2.  As expected, paper, polystyrene, and yard wastes had the highest proportion with 26.7%, 25.0%, and 28.8%, respectively.  Rubber had the lowest percentage of moisture with 10.2%.  The high moisture content is normally attributed to the climate of the area. Perlis is a tropical climate state with a large amount of rainfall obtained throughout the year. The annual rainfall is approximately 2,700 mm and may increase up to 6,000 mm in the catchment region.  On top of this, the average air humidity in Perlis is above 80% [15].</w:t>
      </w:r>
    </w:p>
    <w:p w:rsidR="001F659C" w:rsidRPr="00CD1814" w:rsidRDefault="001F659C" w:rsidP="00CD1814">
      <w:pPr>
        <w:pStyle w:val="ListParagraph"/>
        <w:spacing w:after="0" w:line="240" w:lineRule="auto"/>
        <w:ind w:left="0"/>
        <w:contextualSpacing w:val="0"/>
        <w:jc w:val="both"/>
        <w:outlineLvl w:val="0"/>
        <w:rPr>
          <w:rFonts w:ascii="Times New Roman" w:hAnsi="Times New Roman"/>
          <w:sz w:val="20"/>
          <w:szCs w:val="20"/>
        </w:rPr>
      </w:pPr>
    </w:p>
    <w:p w:rsidR="001F659C" w:rsidRPr="00CD1814" w:rsidRDefault="001F659C" w:rsidP="00CD1814">
      <w:pPr>
        <w:pStyle w:val="ListParagraph"/>
        <w:spacing w:after="120" w:line="240" w:lineRule="auto"/>
        <w:ind w:left="0"/>
        <w:contextualSpacing w:val="0"/>
        <w:jc w:val="center"/>
        <w:outlineLvl w:val="0"/>
        <w:rPr>
          <w:rFonts w:ascii="Times New Roman" w:hAnsi="Times New Roman"/>
          <w:sz w:val="20"/>
          <w:szCs w:val="20"/>
        </w:rPr>
      </w:pPr>
      <w:r w:rsidRPr="00CD1814">
        <w:rPr>
          <w:rFonts w:ascii="Times New Roman" w:hAnsi="Times New Roman"/>
          <w:sz w:val="20"/>
          <w:szCs w:val="20"/>
        </w:rPr>
        <w:lastRenderedPageBreak/>
        <w:t xml:space="preserve">Table 2. </w:t>
      </w:r>
      <w:r w:rsidR="00CD1814">
        <w:rPr>
          <w:rFonts w:ascii="Times New Roman" w:hAnsi="Times New Roman"/>
          <w:sz w:val="20"/>
          <w:szCs w:val="20"/>
        </w:rPr>
        <w:t xml:space="preserve"> </w:t>
      </w:r>
      <w:r w:rsidRPr="00CD1814">
        <w:rPr>
          <w:rFonts w:ascii="Times New Roman" w:hAnsi="Times New Roman"/>
          <w:sz w:val="20"/>
          <w:szCs w:val="20"/>
        </w:rPr>
        <w:t>Moisture content of MSW components from Padang Siding, Perlis Landfill</w:t>
      </w:r>
    </w:p>
    <w:tbl>
      <w:tblPr>
        <w:tblStyle w:val="Style1"/>
        <w:tblW w:w="0" w:type="auto"/>
        <w:jc w:val="center"/>
        <w:tblLook w:val="04A0" w:firstRow="1" w:lastRow="0" w:firstColumn="1" w:lastColumn="0" w:noHBand="0" w:noVBand="1"/>
      </w:tblPr>
      <w:tblGrid>
        <w:gridCol w:w="1878"/>
        <w:gridCol w:w="1188"/>
        <w:gridCol w:w="1166"/>
        <w:gridCol w:w="1733"/>
      </w:tblGrid>
      <w:tr w:rsidR="001F659C" w:rsidRPr="00CD1814" w:rsidTr="00A225AA">
        <w:trPr>
          <w:trHeight w:val="211"/>
          <w:jc w:val="center"/>
        </w:trPr>
        <w:tc>
          <w:tcPr>
            <w:tcW w:w="0" w:type="auto"/>
            <w:tcBorders>
              <w:bottom w:val="single" w:sz="4" w:space="0" w:color="auto"/>
            </w:tcBorders>
          </w:tcPr>
          <w:p w:rsidR="001F659C" w:rsidRPr="00CD1814" w:rsidRDefault="001F659C" w:rsidP="00CD1814">
            <w:pPr>
              <w:spacing w:before="60" w:after="0" w:line="240" w:lineRule="auto"/>
              <w:jc w:val="both"/>
              <w:outlineLvl w:val="0"/>
              <w:rPr>
                <w:rFonts w:ascii="Times New Roman" w:hAnsi="Times New Roman" w:cs="Times New Roman"/>
                <w:b/>
                <w:bCs/>
                <w:sz w:val="20"/>
                <w:szCs w:val="20"/>
              </w:rPr>
            </w:pPr>
            <w:r w:rsidRPr="00CD1814">
              <w:rPr>
                <w:rFonts w:ascii="Times New Roman" w:hAnsi="Times New Roman" w:cs="Times New Roman"/>
                <w:b/>
                <w:sz w:val="20"/>
                <w:szCs w:val="20"/>
              </w:rPr>
              <w:t>Waste Components</w:t>
            </w:r>
          </w:p>
        </w:tc>
        <w:tc>
          <w:tcPr>
            <w:tcW w:w="0" w:type="auto"/>
            <w:tcBorders>
              <w:bottom w:val="single" w:sz="4" w:space="0" w:color="auto"/>
            </w:tcBorders>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Wet weight</w:t>
            </w:r>
          </w:p>
          <w:p w:rsidR="001F659C" w:rsidRPr="00CD1814" w:rsidRDefault="001F659C" w:rsidP="00CD1814">
            <w:pPr>
              <w:spacing w:after="60" w:line="240" w:lineRule="auto"/>
              <w:jc w:val="center"/>
              <w:outlineLvl w:val="0"/>
              <w:rPr>
                <w:rFonts w:ascii="Times New Roman" w:hAnsi="Times New Roman" w:cs="Times New Roman"/>
                <w:b/>
                <w:bCs/>
                <w:sz w:val="20"/>
                <w:szCs w:val="20"/>
              </w:rPr>
            </w:pPr>
            <w:r w:rsidRPr="00CD1814">
              <w:rPr>
                <w:rFonts w:ascii="Times New Roman" w:hAnsi="Times New Roman" w:cs="Times New Roman"/>
                <w:b/>
                <w:sz w:val="20"/>
                <w:szCs w:val="20"/>
              </w:rPr>
              <w:t>(kg)</w:t>
            </w:r>
          </w:p>
        </w:tc>
        <w:tc>
          <w:tcPr>
            <w:tcW w:w="0" w:type="auto"/>
            <w:tcBorders>
              <w:bottom w:val="single" w:sz="4" w:space="0" w:color="auto"/>
            </w:tcBorders>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Dry weight</w:t>
            </w:r>
          </w:p>
          <w:p w:rsidR="001F659C" w:rsidRPr="00CD1814" w:rsidRDefault="001F659C" w:rsidP="00CD1814">
            <w:pPr>
              <w:spacing w:after="0" w:line="240" w:lineRule="auto"/>
              <w:jc w:val="center"/>
              <w:outlineLvl w:val="0"/>
              <w:rPr>
                <w:rFonts w:ascii="Times New Roman" w:hAnsi="Times New Roman" w:cs="Times New Roman"/>
                <w:b/>
                <w:bCs/>
                <w:sz w:val="20"/>
                <w:szCs w:val="20"/>
              </w:rPr>
            </w:pPr>
            <w:r w:rsidRPr="00CD1814">
              <w:rPr>
                <w:rFonts w:ascii="Times New Roman" w:hAnsi="Times New Roman" w:cs="Times New Roman"/>
                <w:b/>
                <w:sz w:val="20"/>
                <w:szCs w:val="20"/>
              </w:rPr>
              <w:t>(kg)</w:t>
            </w:r>
          </w:p>
        </w:tc>
        <w:tc>
          <w:tcPr>
            <w:tcW w:w="0" w:type="auto"/>
            <w:tcBorders>
              <w:bottom w:val="single" w:sz="4" w:space="0" w:color="auto"/>
            </w:tcBorders>
          </w:tcPr>
          <w:p w:rsidR="001F659C" w:rsidRPr="00CD1814" w:rsidRDefault="001F659C" w:rsidP="00CD1814">
            <w:pPr>
              <w:spacing w:before="60"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Moisture Content</w:t>
            </w:r>
          </w:p>
          <w:p w:rsidR="001F659C" w:rsidRPr="00CD1814" w:rsidRDefault="001F659C" w:rsidP="00CD1814">
            <w:pPr>
              <w:spacing w:after="0" w:line="240" w:lineRule="auto"/>
              <w:jc w:val="center"/>
              <w:outlineLvl w:val="0"/>
              <w:rPr>
                <w:rFonts w:ascii="Times New Roman" w:hAnsi="Times New Roman" w:cs="Times New Roman"/>
                <w:b/>
                <w:bCs/>
                <w:sz w:val="20"/>
                <w:szCs w:val="20"/>
              </w:rPr>
            </w:pPr>
            <w:r w:rsidRPr="00CD1814">
              <w:rPr>
                <w:rFonts w:ascii="Times New Roman" w:hAnsi="Times New Roman" w:cs="Times New Roman"/>
                <w:b/>
                <w:sz w:val="20"/>
                <w:szCs w:val="20"/>
              </w:rPr>
              <w:t>(%)</w:t>
            </w:r>
          </w:p>
        </w:tc>
      </w:tr>
      <w:tr w:rsidR="001F659C" w:rsidRPr="00CD1814" w:rsidTr="00A225AA">
        <w:trPr>
          <w:trHeight w:val="167"/>
          <w:jc w:val="center"/>
        </w:trPr>
        <w:tc>
          <w:tcPr>
            <w:tcW w:w="0" w:type="auto"/>
            <w:tcBorders>
              <w:top w:val="single" w:sz="4" w:space="0" w:color="auto"/>
            </w:tcBorders>
          </w:tcPr>
          <w:p w:rsidR="001F659C" w:rsidRPr="00CD1814" w:rsidRDefault="001F659C" w:rsidP="00CD1814">
            <w:pPr>
              <w:spacing w:before="60" w:after="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Food waste</w:t>
            </w:r>
          </w:p>
        </w:tc>
        <w:tc>
          <w:tcPr>
            <w:tcW w:w="0" w:type="auto"/>
            <w:tcBorders>
              <w:top w:val="single" w:sz="4" w:space="0" w:color="auto"/>
            </w:tcBorders>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0.780</w:t>
            </w:r>
          </w:p>
        </w:tc>
        <w:tc>
          <w:tcPr>
            <w:tcW w:w="0" w:type="auto"/>
            <w:tcBorders>
              <w:top w:val="single" w:sz="4" w:space="0" w:color="auto"/>
            </w:tcBorders>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0.682</w:t>
            </w:r>
          </w:p>
        </w:tc>
        <w:tc>
          <w:tcPr>
            <w:tcW w:w="0" w:type="auto"/>
            <w:tcBorders>
              <w:top w:val="single" w:sz="4" w:space="0" w:color="auto"/>
            </w:tcBorders>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12.6</w:t>
            </w:r>
          </w:p>
        </w:tc>
      </w:tr>
      <w:tr w:rsidR="001F659C" w:rsidRPr="00CD1814" w:rsidTr="00A225AA">
        <w:trPr>
          <w:jc w:val="center"/>
        </w:trPr>
        <w:tc>
          <w:tcPr>
            <w:tcW w:w="0" w:type="auto"/>
          </w:tcPr>
          <w:p w:rsidR="001F659C" w:rsidRPr="00CD1814" w:rsidRDefault="001F659C" w:rsidP="00CD1814">
            <w:pPr>
              <w:spacing w:before="60" w:after="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Paper</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0.030</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0.022</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26.7</w:t>
            </w:r>
          </w:p>
        </w:tc>
      </w:tr>
      <w:tr w:rsidR="001F659C" w:rsidRPr="00CD1814" w:rsidTr="00A225AA">
        <w:trPr>
          <w:jc w:val="center"/>
        </w:trPr>
        <w:tc>
          <w:tcPr>
            <w:tcW w:w="0" w:type="auto"/>
          </w:tcPr>
          <w:p w:rsidR="001F659C" w:rsidRPr="00CD1814" w:rsidRDefault="001F659C" w:rsidP="00CD1814">
            <w:pPr>
              <w:spacing w:before="60" w:after="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Plastic</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0.286</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0.238</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16.8</w:t>
            </w:r>
          </w:p>
        </w:tc>
      </w:tr>
      <w:tr w:rsidR="001F659C" w:rsidRPr="00CD1814" w:rsidTr="00A225AA">
        <w:trPr>
          <w:jc w:val="center"/>
        </w:trPr>
        <w:tc>
          <w:tcPr>
            <w:tcW w:w="0" w:type="auto"/>
          </w:tcPr>
          <w:p w:rsidR="001F659C" w:rsidRPr="00CD1814" w:rsidRDefault="001F659C" w:rsidP="00CD1814">
            <w:pPr>
              <w:spacing w:before="60" w:after="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Polystyrene</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0.024</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0.018</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25.0</w:t>
            </w:r>
          </w:p>
        </w:tc>
      </w:tr>
      <w:tr w:rsidR="001F659C" w:rsidRPr="00CD1814" w:rsidTr="00A225AA">
        <w:trPr>
          <w:jc w:val="center"/>
        </w:trPr>
        <w:tc>
          <w:tcPr>
            <w:tcW w:w="0" w:type="auto"/>
          </w:tcPr>
          <w:p w:rsidR="001F659C" w:rsidRPr="00CD1814" w:rsidRDefault="001F659C" w:rsidP="00CD1814">
            <w:pPr>
              <w:spacing w:before="60" w:after="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Rubber</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0.510</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0.458</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10.2</w:t>
            </w:r>
          </w:p>
        </w:tc>
      </w:tr>
      <w:tr w:rsidR="001F659C" w:rsidRPr="00CD1814" w:rsidTr="00A225AA">
        <w:trPr>
          <w:jc w:val="center"/>
        </w:trPr>
        <w:tc>
          <w:tcPr>
            <w:tcW w:w="0" w:type="auto"/>
          </w:tcPr>
          <w:p w:rsidR="001F659C" w:rsidRPr="00CD1814" w:rsidRDefault="001F659C" w:rsidP="00CD1814">
            <w:pPr>
              <w:spacing w:before="60" w:after="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Yard waste</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0.132</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0.094</w:t>
            </w:r>
          </w:p>
        </w:tc>
        <w:tc>
          <w:tcPr>
            <w:tcW w:w="0" w:type="auto"/>
          </w:tcPr>
          <w:p w:rsidR="001F659C" w:rsidRPr="00CD1814" w:rsidRDefault="001F659C" w:rsidP="00CD1814">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28.8</w:t>
            </w:r>
          </w:p>
        </w:tc>
      </w:tr>
      <w:tr w:rsidR="001F659C" w:rsidRPr="00CD1814" w:rsidTr="00A225AA">
        <w:trPr>
          <w:jc w:val="center"/>
        </w:trPr>
        <w:tc>
          <w:tcPr>
            <w:tcW w:w="0" w:type="auto"/>
          </w:tcPr>
          <w:p w:rsidR="001F659C" w:rsidRPr="00CD1814" w:rsidRDefault="001F659C" w:rsidP="00CD1814">
            <w:pPr>
              <w:spacing w:before="60" w:after="6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Wood</w:t>
            </w:r>
          </w:p>
        </w:tc>
        <w:tc>
          <w:tcPr>
            <w:tcW w:w="0" w:type="auto"/>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0.300</w:t>
            </w:r>
          </w:p>
        </w:tc>
        <w:tc>
          <w:tcPr>
            <w:tcW w:w="0" w:type="auto"/>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0.268</w:t>
            </w:r>
          </w:p>
        </w:tc>
        <w:tc>
          <w:tcPr>
            <w:tcW w:w="0" w:type="auto"/>
          </w:tcPr>
          <w:p w:rsidR="001F659C" w:rsidRPr="00CD1814" w:rsidRDefault="001F659C" w:rsidP="00CD1814">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10.7</w:t>
            </w:r>
          </w:p>
        </w:tc>
      </w:tr>
    </w:tbl>
    <w:p w:rsidR="001F659C" w:rsidRPr="00CD1814" w:rsidRDefault="001F659C" w:rsidP="00CD1814">
      <w:pPr>
        <w:pStyle w:val="ListParagraph"/>
        <w:spacing w:after="120" w:line="240" w:lineRule="auto"/>
        <w:ind w:left="0"/>
        <w:contextualSpacing w:val="0"/>
        <w:jc w:val="both"/>
        <w:outlineLvl w:val="0"/>
        <w:rPr>
          <w:rFonts w:ascii="Times New Roman" w:hAnsi="Times New Roman"/>
          <w:b/>
          <w:sz w:val="20"/>
          <w:szCs w:val="20"/>
        </w:rPr>
      </w:pPr>
    </w:p>
    <w:p w:rsidR="001F659C" w:rsidRPr="00CD1814" w:rsidRDefault="001F659C" w:rsidP="00CD1814">
      <w:pPr>
        <w:pStyle w:val="ListParagraph"/>
        <w:spacing w:after="0" w:line="240" w:lineRule="auto"/>
        <w:ind w:left="0"/>
        <w:contextualSpacing w:val="0"/>
        <w:jc w:val="both"/>
        <w:outlineLvl w:val="0"/>
        <w:rPr>
          <w:rFonts w:ascii="Times New Roman" w:hAnsi="Times New Roman"/>
          <w:b/>
          <w:sz w:val="20"/>
          <w:szCs w:val="20"/>
        </w:rPr>
      </w:pPr>
      <w:r w:rsidRPr="00CD1814">
        <w:rPr>
          <w:rFonts w:ascii="Times New Roman" w:hAnsi="Times New Roman"/>
          <w:b/>
          <w:sz w:val="20"/>
          <w:szCs w:val="20"/>
        </w:rPr>
        <w:t>Proximate and TGA analysis</w:t>
      </w:r>
    </w:p>
    <w:p w:rsidR="001F659C" w:rsidRPr="00CD1814" w:rsidRDefault="001F659C" w:rsidP="00CD1814">
      <w:pPr>
        <w:spacing w:after="0" w:line="240" w:lineRule="auto"/>
        <w:jc w:val="both"/>
        <w:outlineLvl w:val="0"/>
        <w:rPr>
          <w:rFonts w:ascii="Times New Roman" w:hAnsi="Times New Roman"/>
          <w:sz w:val="20"/>
          <w:szCs w:val="20"/>
        </w:rPr>
      </w:pPr>
      <w:r w:rsidRPr="00CD1814">
        <w:rPr>
          <w:rFonts w:ascii="Times New Roman" w:hAnsi="Times New Roman"/>
          <w:sz w:val="20"/>
          <w:szCs w:val="20"/>
        </w:rPr>
        <w:t>Proximate analysis was carried out in order to determine the moisture content (dry basis), volatile matter content, fixed carbon content and ash content in the waste samples.  The analysis was conducted for the combination of yard wastes, plastic, paper, polystyrene, wood and rubber.  Table 3 tabulates the proximate analysis for 5 samples collected from Padang Siding Landfill.  Volatile matter had 68% in average and offered high percentage of condensable gas.  The thermochemical conversion method is the best option as condensable gas is promising in amount.  The proximate analysis conducted in previous studies set in Penang, Malaysia, shows that the investigated MSW comprised of 44.66% of moisture content, 44.55% of volatile matter, 8.56% of ash content and 2.23% of fixed carbon content [16].  Typically, based on the proximate percentages range for moisture content in residential, MSW is about 15% to 40%, volatile matter comprises approximately 40% to 60% and the range for fixed carbon is from 4% to 15% [17].</w:t>
      </w:r>
    </w:p>
    <w:p w:rsidR="001F659C" w:rsidRPr="00CD1814" w:rsidRDefault="001F659C" w:rsidP="00CD1814">
      <w:pPr>
        <w:spacing w:after="120" w:line="240" w:lineRule="auto"/>
        <w:jc w:val="both"/>
        <w:outlineLvl w:val="0"/>
        <w:rPr>
          <w:rFonts w:ascii="Times New Roman" w:hAnsi="Times New Roman"/>
          <w:sz w:val="20"/>
          <w:szCs w:val="20"/>
        </w:rPr>
      </w:pPr>
    </w:p>
    <w:p w:rsidR="001F659C" w:rsidRPr="00CD1814" w:rsidRDefault="001F659C" w:rsidP="00CD1814">
      <w:pPr>
        <w:spacing w:after="120" w:line="240" w:lineRule="auto"/>
        <w:jc w:val="center"/>
        <w:outlineLvl w:val="0"/>
        <w:rPr>
          <w:rFonts w:ascii="Times New Roman" w:hAnsi="Times New Roman"/>
          <w:sz w:val="20"/>
          <w:szCs w:val="20"/>
          <w:vertAlign w:val="superscript"/>
        </w:rPr>
      </w:pPr>
      <w:r w:rsidRPr="00CD1814">
        <w:rPr>
          <w:rFonts w:ascii="Times New Roman" w:hAnsi="Times New Roman"/>
          <w:bCs/>
          <w:sz w:val="20"/>
          <w:szCs w:val="20"/>
        </w:rPr>
        <w:t>Table</w:t>
      </w:r>
      <w:r w:rsidRPr="00CD1814">
        <w:rPr>
          <w:rFonts w:ascii="Times New Roman" w:hAnsi="Times New Roman"/>
          <w:b/>
          <w:bCs/>
          <w:sz w:val="20"/>
          <w:szCs w:val="20"/>
        </w:rPr>
        <w:t xml:space="preserve"> </w:t>
      </w:r>
      <w:r w:rsidRPr="00CD1814">
        <w:rPr>
          <w:rFonts w:ascii="Times New Roman" w:hAnsi="Times New Roman"/>
          <w:bCs/>
          <w:sz w:val="20"/>
          <w:szCs w:val="20"/>
        </w:rPr>
        <w:t>3.</w:t>
      </w:r>
      <w:r w:rsidRPr="00CD1814">
        <w:rPr>
          <w:rFonts w:ascii="Times New Roman" w:hAnsi="Times New Roman"/>
          <w:b/>
          <w:bCs/>
          <w:sz w:val="20"/>
          <w:szCs w:val="20"/>
        </w:rPr>
        <w:t xml:space="preserve"> </w:t>
      </w:r>
      <w:r w:rsidR="00CD1814">
        <w:rPr>
          <w:rFonts w:ascii="Times New Roman" w:hAnsi="Times New Roman"/>
          <w:b/>
          <w:bCs/>
          <w:sz w:val="20"/>
          <w:szCs w:val="20"/>
        </w:rPr>
        <w:t xml:space="preserve"> </w:t>
      </w:r>
      <w:r w:rsidRPr="00CD1814">
        <w:rPr>
          <w:rFonts w:ascii="Times New Roman" w:hAnsi="Times New Roman"/>
          <w:sz w:val="20"/>
          <w:szCs w:val="20"/>
        </w:rPr>
        <w:t>Proximate analysis of MSW from Padang Siding landfill</w:t>
      </w:r>
      <w:r w:rsidRPr="00CD1814">
        <w:rPr>
          <w:rFonts w:ascii="Times New Roman" w:hAnsi="Times New Roman"/>
          <w:sz w:val="20"/>
          <w:szCs w:val="20"/>
          <w:vertAlign w:val="superscript"/>
        </w:rPr>
        <w:t>a</w:t>
      </w:r>
    </w:p>
    <w:tbl>
      <w:tblPr>
        <w:tblStyle w:val="Style1"/>
        <w:tblW w:w="0" w:type="auto"/>
        <w:jc w:val="center"/>
        <w:tblLook w:val="04A0" w:firstRow="1" w:lastRow="0" w:firstColumn="1" w:lastColumn="0" w:noHBand="0" w:noVBand="1"/>
      </w:tblPr>
      <w:tblGrid>
        <w:gridCol w:w="1655"/>
        <w:gridCol w:w="416"/>
        <w:gridCol w:w="416"/>
        <w:gridCol w:w="416"/>
        <w:gridCol w:w="416"/>
        <w:gridCol w:w="416"/>
        <w:gridCol w:w="927"/>
      </w:tblGrid>
      <w:tr w:rsidR="001F659C" w:rsidRPr="00CD1814" w:rsidTr="00A225AA">
        <w:trPr>
          <w:trHeight w:val="319"/>
          <w:jc w:val="center"/>
        </w:trPr>
        <w:tc>
          <w:tcPr>
            <w:tcW w:w="0" w:type="auto"/>
            <w:vMerge w:val="restart"/>
          </w:tcPr>
          <w:p w:rsidR="001F659C" w:rsidRPr="00CD1814" w:rsidRDefault="001F659C" w:rsidP="009C7FEF">
            <w:pPr>
              <w:spacing w:before="120" w:after="0" w:line="240" w:lineRule="auto"/>
              <w:jc w:val="both"/>
              <w:outlineLvl w:val="0"/>
              <w:rPr>
                <w:rFonts w:ascii="Times New Roman" w:hAnsi="Times New Roman" w:cs="Times New Roman"/>
                <w:b/>
                <w:bCs/>
                <w:sz w:val="20"/>
                <w:szCs w:val="20"/>
              </w:rPr>
            </w:pPr>
            <w:r w:rsidRPr="00CD1814">
              <w:rPr>
                <w:rFonts w:ascii="Times New Roman" w:hAnsi="Times New Roman" w:cs="Times New Roman"/>
                <w:b/>
                <w:sz w:val="20"/>
                <w:szCs w:val="20"/>
              </w:rPr>
              <w:t>Variable (wt. %)</w:t>
            </w:r>
          </w:p>
        </w:tc>
        <w:tc>
          <w:tcPr>
            <w:tcW w:w="0" w:type="auto"/>
            <w:gridSpan w:val="5"/>
            <w:tcBorders>
              <w:bottom w:val="single" w:sz="4" w:space="0" w:color="auto"/>
            </w:tcBorders>
          </w:tcPr>
          <w:p w:rsidR="001F659C" w:rsidRPr="00CD1814" w:rsidRDefault="001F659C" w:rsidP="009C7FEF">
            <w:pPr>
              <w:spacing w:before="60" w:after="0" w:line="240" w:lineRule="auto"/>
              <w:jc w:val="center"/>
              <w:outlineLvl w:val="0"/>
              <w:rPr>
                <w:rFonts w:ascii="Times New Roman" w:hAnsi="Times New Roman" w:cs="Times New Roman"/>
                <w:b/>
                <w:bCs/>
                <w:sz w:val="20"/>
                <w:szCs w:val="20"/>
              </w:rPr>
            </w:pPr>
            <w:r w:rsidRPr="00CD1814">
              <w:rPr>
                <w:rFonts w:ascii="Times New Roman" w:hAnsi="Times New Roman" w:cs="Times New Roman"/>
                <w:b/>
                <w:sz w:val="20"/>
                <w:szCs w:val="20"/>
              </w:rPr>
              <w:t>Sample</w:t>
            </w:r>
          </w:p>
        </w:tc>
        <w:tc>
          <w:tcPr>
            <w:tcW w:w="0" w:type="auto"/>
            <w:vMerge w:val="restart"/>
          </w:tcPr>
          <w:p w:rsidR="001F659C" w:rsidRPr="00CD1814" w:rsidRDefault="001F659C" w:rsidP="009C7FEF">
            <w:pPr>
              <w:spacing w:before="120" w:after="0" w:line="240" w:lineRule="auto"/>
              <w:jc w:val="center"/>
              <w:outlineLvl w:val="0"/>
              <w:rPr>
                <w:rFonts w:ascii="Times New Roman" w:hAnsi="Times New Roman" w:cs="Times New Roman"/>
                <w:b/>
                <w:bCs/>
                <w:sz w:val="20"/>
                <w:szCs w:val="20"/>
              </w:rPr>
            </w:pPr>
            <w:r w:rsidRPr="00CD1814">
              <w:rPr>
                <w:rFonts w:ascii="Times New Roman" w:hAnsi="Times New Roman" w:cs="Times New Roman"/>
                <w:b/>
                <w:sz w:val="20"/>
                <w:szCs w:val="20"/>
              </w:rPr>
              <w:t>Average</w:t>
            </w:r>
          </w:p>
        </w:tc>
      </w:tr>
      <w:tr w:rsidR="001F659C" w:rsidRPr="00CD1814" w:rsidTr="00A225AA">
        <w:trPr>
          <w:trHeight w:val="139"/>
          <w:jc w:val="center"/>
        </w:trPr>
        <w:tc>
          <w:tcPr>
            <w:tcW w:w="0" w:type="auto"/>
            <w:vMerge/>
            <w:tcBorders>
              <w:bottom w:val="single" w:sz="4" w:space="0" w:color="auto"/>
            </w:tcBorders>
          </w:tcPr>
          <w:p w:rsidR="001F659C" w:rsidRPr="00CD1814" w:rsidRDefault="001F659C" w:rsidP="00CD1814">
            <w:pPr>
              <w:spacing w:after="0" w:line="240" w:lineRule="auto"/>
              <w:jc w:val="both"/>
              <w:outlineLvl w:val="0"/>
              <w:rPr>
                <w:rFonts w:ascii="Times New Roman" w:hAnsi="Times New Roman" w:cs="Times New Roman"/>
                <w:b/>
                <w:sz w:val="20"/>
                <w:szCs w:val="20"/>
              </w:rPr>
            </w:pPr>
          </w:p>
        </w:tc>
        <w:tc>
          <w:tcPr>
            <w:tcW w:w="0" w:type="auto"/>
            <w:tcBorders>
              <w:bottom w:val="single" w:sz="4" w:space="0" w:color="auto"/>
            </w:tcBorders>
          </w:tcPr>
          <w:p w:rsidR="001F659C" w:rsidRPr="00CD1814" w:rsidRDefault="001F659C" w:rsidP="009C7FEF">
            <w:pPr>
              <w:spacing w:after="6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1</w:t>
            </w:r>
          </w:p>
        </w:tc>
        <w:tc>
          <w:tcPr>
            <w:tcW w:w="0" w:type="auto"/>
            <w:tcBorders>
              <w:bottom w:val="single" w:sz="4" w:space="0" w:color="auto"/>
            </w:tcBorders>
          </w:tcPr>
          <w:p w:rsidR="001F659C" w:rsidRPr="00CD1814" w:rsidRDefault="001F659C" w:rsidP="009C7FEF">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2</w:t>
            </w:r>
          </w:p>
        </w:tc>
        <w:tc>
          <w:tcPr>
            <w:tcW w:w="0" w:type="auto"/>
            <w:tcBorders>
              <w:bottom w:val="single" w:sz="4" w:space="0" w:color="auto"/>
            </w:tcBorders>
          </w:tcPr>
          <w:p w:rsidR="001F659C" w:rsidRPr="00CD1814" w:rsidRDefault="001F659C" w:rsidP="009C7FEF">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3</w:t>
            </w:r>
          </w:p>
        </w:tc>
        <w:tc>
          <w:tcPr>
            <w:tcW w:w="0" w:type="auto"/>
            <w:tcBorders>
              <w:bottom w:val="single" w:sz="4" w:space="0" w:color="auto"/>
            </w:tcBorders>
          </w:tcPr>
          <w:p w:rsidR="001F659C" w:rsidRPr="00CD1814" w:rsidRDefault="001F659C" w:rsidP="009C7FEF">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4</w:t>
            </w:r>
          </w:p>
        </w:tc>
        <w:tc>
          <w:tcPr>
            <w:tcW w:w="0" w:type="auto"/>
            <w:tcBorders>
              <w:bottom w:val="single" w:sz="4" w:space="0" w:color="auto"/>
            </w:tcBorders>
          </w:tcPr>
          <w:p w:rsidR="001F659C" w:rsidRPr="00CD1814" w:rsidRDefault="001F659C" w:rsidP="009C7FEF">
            <w:pPr>
              <w:spacing w:after="0" w:line="240" w:lineRule="auto"/>
              <w:jc w:val="center"/>
              <w:outlineLvl w:val="0"/>
              <w:rPr>
                <w:rFonts w:ascii="Times New Roman" w:hAnsi="Times New Roman" w:cs="Times New Roman"/>
                <w:b/>
                <w:sz w:val="20"/>
                <w:szCs w:val="20"/>
              </w:rPr>
            </w:pPr>
            <w:r w:rsidRPr="00CD1814">
              <w:rPr>
                <w:rFonts w:ascii="Times New Roman" w:hAnsi="Times New Roman" w:cs="Times New Roman"/>
                <w:b/>
                <w:sz w:val="20"/>
                <w:szCs w:val="20"/>
              </w:rPr>
              <w:t>5</w:t>
            </w:r>
          </w:p>
        </w:tc>
        <w:tc>
          <w:tcPr>
            <w:tcW w:w="0" w:type="auto"/>
            <w:vMerge/>
            <w:tcBorders>
              <w:bottom w:val="single" w:sz="4" w:space="0" w:color="auto"/>
            </w:tcBorders>
          </w:tcPr>
          <w:p w:rsidR="001F659C" w:rsidRPr="00CD1814" w:rsidRDefault="001F659C" w:rsidP="00CD1814">
            <w:pPr>
              <w:spacing w:after="0" w:line="240" w:lineRule="auto"/>
              <w:jc w:val="both"/>
              <w:outlineLvl w:val="0"/>
              <w:rPr>
                <w:rFonts w:ascii="Times New Roman" w:hAnsi="Times New Roman" w:cs="Times New Roman"/>
                <w:b/>
                <w:sz w:val="20"/>
                <w:szCs w:val="20"/>
              </w:rPr>
            </w:pPr>
          </w:p>
        </w:tc>
      </w:tr>
      <w:tr w:rsidR="001F659C" w:rsidRPr="00CD1814" w:rsidTr="00A225AA">
        <w:trPr>
          <w:jc w:val="center"/>
        </w:trPr>
        <w:tc>
          <w:tcPr>
            <w:tcW w:w="0" w:type="auto"/>
            <w:tcBorders>
              <w:top w:val="single" w:sz="4" w:space="0" w:color="auto"/>
            </w:tcBorders>
          </w:tcPr>
          <w:p w:rsidR="001F659C" w:rsidRPr="00CD1814" w:rsidRDefault="001F659C" w:rsidP="009C7FEF">
            <w:pPr>
              <w:spacing w:before="60" w:after="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 xml:space="preserve">Moisture content </w:t>
            </w:r>
          </w:p>
        </w:tc>
        <w:tc>
          <w:tcPr>
            <w:tcW w:w="0" w:type="auto"/>
            <w:tcBorders>
              <w:top w:val="single" w:sz="4" w:space="0" w:color="auto"/>
            </w:tcBorders>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7</w:t>
            </w:r>
          </w:p>
        </w:tc>
        <w:tc>
          <w:tcPr>
            <w:tcW w:w="0" w:type="auto"/>
            <w:tcBorders>
              <w:top w:val="single" w:sz="4" w:space="0" w:color="auto"/>
            </w:tcBorders>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10</w:t>
            </w:r>
          </w:p>
        </w:tc>
        <w:tc>
          <w:tcPr>
            <w:tcW w:w="0" w:type="auto"/>
            <w:tcBorders>
              <w:top w:val="single" w:sz="4" w:space="0" w:color="auto"/>
            </w:tcBorders>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5</w:t>
            </w:r>
          </w:p>
        </w:tc>
        <w:tc>
          <w:tcPr>
            <w:tcW w:w="0" w:type="auto"/>
            <w:tcBorders>
              <w:top w:val="single" w:sz="4" w:space="0" w:color="auto"/>
            </w:tcBorders>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7</w:t>
            </w:r>
          </w:p>
        </w:tc>
        <w:tc>
          <w:tcPr>
            <w:tcW w:w="0" w:type="auto"/>
            <w:tcBorders>
              <w:top w:val="single" w:sz="4" w:space="0" w:color="auto"/>
            </w:tcBorders>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5</w:t>
            </w:r>
          </w:p>
        </w:tc>
        <w:tc>
          <w:tcPr>
            <w:tcW w:w="0" w:type="auto"/>
            <w:tcBorders>
              <w:top w:val="single" w:sz="4" w:space="0" w:color="auto"/>
            </w:tcBorders>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7</w:t>
            </w:r>
          </w:p>
        </w:tc>
      </w:tr>
      <w:tr w:rsidR="001F659C" w:rsidRPr="00CD1814" w:rsidTr="00A225AA">
        <w:trPr>
          <w:jc w:val="center"/>
        </w:trPr>
        <w:tc>
          <w:tcPr>
            <w:tcW w:w="0" w:type="auto"/>
          </w:tcPr>
          <w:p w:rsidR="001F659C" w:rsidRPr="00CD1814" w:rsidRDefault="001F659C" w:rsidP="009C7FEF">
            <w:pPr>
              <w:spacing w:before="60" w:after="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 xml:space="preserve">Volatile matter </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53</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71</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68</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71</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79</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68</w:t>
            </w:r>
          </w:p>
        </w:tc>
      </w:tr>
      <w:tr w:rsidR="001F659C" w:rsidRPr="00CD1814" w:rsidTr="00A225AA">
        <w:trPr>
          <w:trHeight w:val="151"/>
          <w:jc w:val="center"/>
        </w:trPr>
        <w:tc>
          <w:tcPr>
            <w:tcW w:w="0" w:type="auto"/>
          </w:tcPr>
          <w:p w:rsidR="001F659C" w:rsidRPr="00CD1814" w:rsidRDefault="001F659C" w:rsidP="009C7FEF">
            <w:pPr>
              <w:spacing w:before="60" w:after="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 xml:space="preserve">Fixed carbon </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10</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7</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10</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10</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2</w:t>
            </w:r>
          </w:p>
        </w:tc>
        <w:tc>
          <w:tcPr>
            <w:tcW w:w="0" w:type="auto"/>
          </w:tcPr>
          <w:p w:rsidR="001F659C" w:rsidRPr="00CD1814" w:rsidRDefault="001F659C" w:rsidP="009C7FEF">
            <w:pPr>
              <w:spacing w:before="60" w:after="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8</w:t>
            </w:r>
          </w:p>
        </w:tc>
      </w:tr>
      <w:tr w:rsidR="001F659C" w:rsidRPr="00CD1814" w:rsidTr="00A225AA">
        <w:trPr>
          <w:trHeight w:val="198"/>
          <w:jc w:val="center"/>
        </w:trPr>
        <w:tc>
          <w:tcPr>
            <w:tcW w:w="0" w:type="auto"/>
          </w:tcPr>
          <w:p w:rsidR="001F659C" w:rsidRPr="00CD1814" w:rsidRDefault="001F659C" w:rsidP="009C7FEF">
            <w:pPr>
              <w:spacing w:before="60" w:after="60" w:line="240" w:lineRule="auto"/>
              <w:jc w:val="both"/>
              <w:outlineLvl w:val="0"/>
              <w:rPr>
                <w:rFonts w:ascii="Times New Roman" w:hAnsi="Times New Roman" w:cs="Times New Roman"/>
                <w:b/>
                <w:sz w:val="20"/>
                <w:szCs w:val="20"/>
              </w:rPr>
            </w:pPr>
            <w:r w:rsidRPr="00CD1814">
              <w:rPr>
                <w:rFonts w:ascii="Times New Roman" w:hAnsi="Times New Roman" w:cs="Times New Roman"/>
                <w:sz w:val="20"/>
                <w:szCs w:val="20"/>
              </w:rPr>
              <w:t xml:space="preserve">Ash content </w:t>
            </w:r>
          </w:p>
        </w:tc>
        <w:tc>
          <w:tcPr>
            <w:tcW w:w="0" w:type="auto"/>
          </w:tcPr>
          <w:p w:rsidR="001F659C" w:rsidRPr="00CD1814" w:rsidRDefault="001F659C" w:rsidP="009C7FEF">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30</w:t>
            </w:r>
          </w:p>
        </w:tc>
        <w:tc>
          <w:tcPr>
            <w:tcW w:w="0" w:type="auto"/>
          </w:tcPr>
          <w:p w:rsidR="001F659C" w:rsidRPr="00CD1814" w:rsidRDefault="001F659C" w:rsidP="009C7FEF">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12</w:t>
            </w:r>
          </w:p>
        </w:tc>
        <w:tc>
          <w:tcPr>
            <w:tcW w:w="0" w:type="auto"/>
          </w:tcPr>
          <w:p w:rsidR="001F659C" w:rsidRPr="00CD1814" w:rsidRDefault="001F659C" w:rsidP="009C7FEF">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17</w:t>
            </w:r>
          </w:p>
        </w:tc>
        <w:tc>
          <w:tcPr>
            <w:tcW w:w="0" w:type="auto"/>
          </w:tcPr>
          <w:p w:rsidR="001F659C" w:rsidRPr="00CD1814" w:rsidRDefault="001F659C" w:rsidP="009C7FEF">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12</w:t>
            </w:r>
          </w:p>
        </w:tc>
        <w:tc>
          <w:tcPr>
            <w:tcW w:w="0" w:type="auto"/>
          </w:tcPr>
          <w:p w:rsidR="001F659C" w:rsidRPr="00CD1814" w:rsidRDefault="001F659C" w:rsidP="009C7FEF">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14</w:t>
            </w:r>
          </w:p>
        </w:tc>
        <w:tc>
          <w:tcPr>
            <w:tcW w:w="0" w:type="auto"/>
          </w:tcPr>
          <w:p w:rsidR="001F659C" w:rsidRPr="00CD1814" w:rsidRDefault="001F659C" w:rsidP="009C7FEF">
            <w:pPr>
              <w:spacing w:before="60" w:after="60" w:line="240" w:lineRule="auto"/>
              <w:jc w:val="center"/>
              <w:outlineLvl w:val="0"/>
              <w:rPr>
                <w:rFonts w:ascii="Times New Roman" w:hAnsi="Times New Roman" w:cs="Times New Roman"/>
                <w:sz w:val="20"/>
                <w:szCs w:val="20"/>
              </w:rPr>
            </w:pPr>
            <w:r w:rsidRPr="00CD1814">
              <w:rPr>
                <w:rFonts w:ascii="Times New Roman" w:hAnsi="Times New Roman" w:cs="Times New Roman"/>
                <w:sz w:val="20"/>
                <w:szCs w:val="20"/>
              </w:rPr>
              <w:t>17</w:t>
            </w:r>
          </w:p>
        </w:tc>
      </w:tr>
    </w:tbl>
    <w:p w:rsidR="001F659C" w:rsidRPr="009C7FEF" w:rsidRDefault="009C7FEF" w:rsidP="009C7FEF">
      <w:pPr>
        <w:pStyle w:val="ListParagraph"/>
        <w:spacing w:before="60" w:after="0" w:line="240" w:lineRule="auto"/>
        <w:ind w:left="1440" w:firstLine="720"/>
        <w:contextualSpacing w:val="0"/>
        <w:jc w:val="both"/>
        <w:rPr>
          <w:rFonts w:ascii="Times New Roman" w:hAnsi="Times New Roman"/>
          <w:sz w:val="18"/>
          <w:szCs w:val="18"/>
        </w:rPr>
      </w:pPr>
      <w:r>
        <w:rPr>
          <w:rFonts w:ascii="Times New Roman" w:hAnsi="Times New Roman"/>
          <w:sz w:val="18"/>
          <w:szCs w:val="18"/>
        </w:rPr>
        <w:t xml:space="preserve">   </w:t>
      </w:r>
      <w:r w:rsidR="001F659C" w:rsidRPr="009C7FEF">
        <w:rPr>
          <w:rFonts w:ascii="Times New Roman" w:hAnsi="Times New Roman"/>
          <w:sz w:val="18"/>
          <w:szCs w:val="18"/>
        </w:rPr>
        <w:t xml:space="preserve"> Note:  </w:t>
      </w:r>
      <w:r w:rsidR="001F659C" w:rsidRPr="009C7FEF">
        <w:rPr>
          <w:rFonts w:ascii="Times New Roman" w:hAnsi="Times New Roman"/>
          <w:sz w:val="18"/>
          <w:szCs w:val="18"/>
          <w:vertAlign w:val="superscript"/>
        </w:rPr>
        <w:t xml:space="preserve">a </w:t>
      </w:r>
      <w:r w:rsidR="001F659C" w:rsidRPr="009C7FEF">
        <w:rPr>
          <w:rFonts w:ascii="Times New Roman" w:hAnsi="Times New Roman"/>
          <w:sz w:val="18"/>
          <w:szCs w:val="18"/>
        </w:rPr>
        <w:t>dry basis</w:t>
      </w:r>
    </w:p>
    <w:p w:rsidR="009C7FEF" w:rsidRDefault="009C7FEF" w:rsidP="009C7FEF">
      <w:pPr>
        <w:pStyle w:val="ListParagraph"/>
        <w:spacing w:after="120" w:line="240" w:lineRule="auto"/>
        <w:ind w:left="0"/>
        <w:contextualSpacing w:val="0"/>
        <w:jc w:val="both"/>
        <w:outlineLvl w:val="0"/>
        <w:rPr>
          <w:rFonts w:ascii="Times New Roman" w:hAnsi="Times New Roman"/>
          <w:sz w:val="20"/>
          <w:szCs w:val="20"/>
        </w:rPr>
      </w:pPr>
    </w:p>
    <w:p w:rsidR="001F659C" w:rsidRPr="00CD1814" w:rsidRDefault="001F659C" w:rsidP="00CD1814">
      <w:pPr>
        <w:pStyle w:val="ListParagraph"/>
        <w:spacing w:after="0" w:line="240" w:lineRule="auto"/>
        <w:ind w:left="0"/>
        <w:contextualSpacing w:val="0"/>
        <w:jc w:val="both"/>
        <w:outlineLvl w:val="0"/>
        <w:rPr>
          <w:rFonts w:ascii="Times New Roman" w:hAnsi="Times New Roman"/>
          <w:sz w:val="20"/>
          <w:szCs w:val="20"/>
        </w:rPr>
      </w:pPr>
      <w:r w:rsidRPr="00CD1814">
        <w:rPr>
          <w:rFonts w:ascii="Times New Roman" w:hAnsi="Times New Roman"/>
          <w:sz w:val="20"/>
          <w:szCs w:val="20"/>
        </w:rPr>
        <w:t xml:space="preserve">The TG analysis is usually used for thermal characterization, calculation of the pyrolysis conversion and evaluation of reactivity and kinetic parameters [7].  In this research, the purpose of TG analysis was to look into the degradation profile for MSW.  Figure 1 shows the thermal decomposition of MSW. The initial curve indicates that there was moisture loss of up to 105 </w:t>
      </w:r>
      <w:r w:rsidRPr="00CD1814">
        <w:rPr>
          <w:rFonts w:ascii="Times New Roman" w:hAnsi="Times New Roman"/>
          <w:sz w:val="20"/>
          <w:szCs w:val="20"/>
          <w:vertAlign w:val="superscript"/>
        </w:rPr>
        <w:t>o</w:t>
      </w:r>
      <w:r w:rsidRPr="00CD1814">
        <w:rPr>
          <w:rFonts w:ascii="Times New Roman" w:hAnsi="Times New Roman"/>
          <w:sz w:val="20"/>
          <w:szCs w:val="20"/>
        </w:rPr>
        <w:t xml:space="preserve">C.  The decomposition was gradually increased starting from 200 </w:t>
      </w:r>
      <w:r w:rsidRPr="00CD1814">
        <w:rPr>
          <w:rFonts w:ascii="Times New Roman" w:hAnsi="Times New Roman"/>
          <w:sz w:val="20"/>
          <w:szCs w:val="20"/>
          <w:vertAlign w:val="superscript"/>
        </w:rPr>
        <w:t>o</w:t>
      </w:r>
      <w:r w:rsidRPr="00CD1814">
        <w:rPr>
          <w:rFonts w:ascii="Times New Roman" w:hAnsi="Times New Roman"/>
          <w:sz w:val="20"/>
          <w:szCs w:val="20"/>
        </w:rPr>
        <w:t xml:space="preserve">C until it had a fast decomposition reaching 350 </w:t>
      </w:r>
      <w:r w:rsidRPr="00CD1814">
        <w:rPr>
          <w:rFonts w:ascii="Times New Roman" w:hAnsi="Times New Roman"/>
          <w:sz w:val="20"/>
          <w:szCs w:val="20"/>
          <w:vertAlign w:val="superscript"/>
        </w:rPr>
        <w:t>o</w:t>
      </w:r>
      <w:r w:rsidRPr="00CD1814">
        <w:rPr>
          <w:rFonts w:ascii="Times New Roman" w:hAnsi="Times New Roman"/>
          <w:sz w:val="20"/>
          <w:szCs w:val="20"/>
        </w:rPr>
        <w:t xml:space="preserve">C.  Up to 400 </w:t>
      </w:r>
      <w:r w:rsidRPr="00CD1814">
        <w:rPr>
          <w:rFonts w:ascii="Times New Roman" w:hAnsi="Times New Roman"/>
          <w:sz w:val="20"/>
          <w:szCs w:val="20"/>
          <w:vertAlign w:val="superscript"/>
        </w:rPr>
        <w:t>o</w:t>
      </w:r>
      <w:r w:rsidRPr="00CD1814">
        <w:rPr>
          <w:rFonts w:ascii="Times New Roman" w:hAnsi="Times New Roman"/>
          <w:sz w:val="20"/>
          <w:szCs w:val="20"/>
        </w:rPr>
        <w:t xml:space="preserve">C, the remaining residue was 40% and about 60% was decomposed.  The decomposition produced approximately 15 to 17% of ash content.  This result is in agreement with the waste compositions described earlier.  The carbon residues ranged between 10 to 17% pose significant carbon deposition during refinery upgrading (e.g. catalytic cracking), whereas the values above 20% are considered problematic. The decomposition trend was observed to be influenced by the waste compositions, such as paper, wood and plastic.  For each TG experiment, the weight loss of MSW as a function of temperature cannot be simulated by considering a single decomposition reaction [18].  The remaining others slowly degraded over 350 </w:t>
      </w:r>
      <w:r w:rsidRPr="00CD1814">
        <w:rPr>
          <w:rFonts w:ascii="Times New Roman" w:hAnsi="Times New Roman"/>
          <w:sz w:val="20"/>
          <w:szCs w:val="20"/>
          <w:vertAlign w:val="superscript"/>
        </w:rPr>
        <w:t>o</w:t>
      </w:r>
      <w:r w:rsidRPr="00CD1814">
        <w:rPr>
          <w:rFonts w:ascii="Times New Roman" w:hAnsi="Times New Roman"/>
          <w:sz w:val="20"/>
          <w:szCs w:val="20"/>
        </w:rPr>
        <w:t xml:space="preserve">C until 800 </w:t>
      </w:r>
      <w:r w:rsidRPr="00CD1814">
        <w:rPr>
          <w:rFonts w:ascii="Times New Roman" w:hAnsi="Times New Roman"/>
          <w:sz w:val="20"/>
          <w:szCs w:val="20"/>
          <w:vertAlign w:val="superscript"/>
        </w:rPr>
        <w:t>o</w:t>
      </w:r>
      <w:r w:rsidRPr="00CD1814">
        <w:rPr>
          <w:rFonts w:ascii="Times New Roman" w:hAnsi="Times New Roman"/>
          <w:sz w:val="20"/>
          <w:szCs w:val="20"/>
        </w:rPr>
        <w:t>C.  They are 4 zones indicated as A, B, C and D in thermogravimetric curve and this is presented clearly in the DTG curve.</w:t>
      </w:r>
    </w:p>
    <w:p w:rsidR="001F659C" w:rsidRPr="00CD1814" w:rsidRDefault="001F659C" w:rsidP="00CD1814">
      <w:pPr>
        <w:pStyle w:val="ListParagraph"/>
        <w:spacing w:after="0" w:line="240" w:lineRule="auto"/>
        <w:ind w:left="0"/>
        <w:contextualSpacing w:val="0"/>
        <w:jc w:val="both"/>
        <w:outlineLvl w:val="0"/>
        <w:rPr>
          <w:rFonts w:ascii="Times New Roman" w:hAnsi="Times New Roman"/>
          <w:sz w:val="20"/>
          <w:szCs w:val="20"/>
        </w:rPr>
      </w:pPr>
    </w:p>
    <w:p w:rsidR="001F659C" w:rsidRPr="00CD1814" w:rsidRDefault="001F659C" w:rsidP="009C7FEF">
      <w:pPr>
        <w:pStyle w:val="ListParagraph"/>
        <w:spacing w:after="0" w:line="240" w:lineRule="auto"/>
        <w:ind w:left="0"/>
        <w:contextualSpacing w:val="0"/>
        <w:jc w:val="center"/>
        <w:rPr>
          <w:rFonts w:ascii="Times New Roman" w:hAnsi="Times New Roman"/>
          <w:noProof/>
          <w:sz w:val="20"/>
          <w:szCs w:val="20"/>
        </w:rPr>
      </w:pPr>
      <w:r w:rsidRPr="00CD1814">
        <w:rPr>
          <w:rFonts w:ascii="Times New Roman" w:hAnsi="Times New Roman"/>
          <w:noProof/>
          <w:sz w:val="20"/>
          <w:szCs w:val="20"/>
          <w:lang w:bidi="ar-SA"/>
        </w:rPr>
        <w:lastRenderedPageBreak/>
        <w:drawing>
          <wp:inline distT="0" distB="0" distL="0" distR="0" wp14:anchorId="09905837" wp14:editId="0194E843">
            <wp:extent cx="3662414" cy="2560320"/>
            <wp:effectExtent l="19050" t="19050" r="14605"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2414" cy="2560320"/>
                    </a:xfrm>
                    <a:prstGeom prst="rect">
                      <a:avLst/>
                    </a:prstGeom>
                    <a:noFill/>
                    <a:ln>
                      <a:solidFill>
                        <a:schemeClr val="tx1"/>
                      </a:solidFill>
                    </a:ln>
                  </pic:spPr>
                </pic:pic>
              </a:graphicData>
            </a:graphic>
          </wp:inline>
        </w:drawing>
      </w:r>
    </w:p>
    <w:p w:rsidR="001F659C" w:rsidRPr="00CD1814" w:rsidRDefault="009C7FEF" w:rsidP="009C7FEF">
      <w:pPr>
        <w:spacing w:before="120" w:after="0" w:line="240" w:lineRule="auto"/>
        <w:jc w:val="center"/>
        <w:rPr>
          <w:rFonts w:ascii="Times New Roman" w:hAnsi="Times New Roman"/>
          <w:sz w:val="20"/>
          <w:szCs w:val="20"/>
        </w:rPr>
      </w:pPr>
      <w:r>
        <w:rPr>
          <w:rFonts w:ascii="Times New Roman" w:hAnsi="Times New Roman"/>
          <w:sz w:val="20"/>
          <w:szCs w:val="20"/>
        </w:rPr>
        <w:t xml:space="preserve">Figure 1.  </w:t>
      </w:r>
      <w:r w:rsidR="001F659C" w:rsidRPr="00CD1814">
        <w:rPr>
          <w:rFonts w:ascii="Times New Roman" w:hAnsi="Times New Roman"/>
          <w:sz w:val="20"/>
          <w:szCs w:val="20"/>
        </w:rPr>
        <w:t>TGA curves for MSW samples</w:t>
      </w:r>
    </w:p>
    <w:p w:rsidR="001F659C" w:rsidRPr="00CD1814" w:rsidRDefault="001F659C" w:rsidP="009C7FEF">
      <w:pPr>
        <w:spacing w:after="120" w:line="240" w:lineRule="auto"/>
        <w:jc w:val="both"/>
        <w:rPr>
          <w:rFonts w:ascii="Times New Roman" w:hAnsi="Times New Roman"/>
          <w:sz w:val="20"/>
          <w:szCs w:val="20"/>
        </w:rPr>
      </w:pPr>
    </w:p>
    <w:p w:rsidR="001F659C" w:rsidRDefault="001F659C" w:rsidP="00CD1814">
      <w:pPr>
        <w:pStyle w:val="ListParagraph"/>
        <w:spacing w:after="0" w:line="240" w:lineRule="auto"/>
        <w:ind w:left="0"/>
        <w:contextualSpacing w:val="0"/>
        <w:jc w:val="both"/>
        <w:outlineLvl w:val="0"/>
        <w:rPr>
          <w:rFonts w:ascii="Times New Roman" w:hAnsi="Times New Roman"/>
          <w:sz w:val="20"/>
          <w:szCs w:val="20"/>
        </w:rPr>
      </w:pPr>
      <w:r w:rsidRPr="00CD1814">
        <w:rPr>
          <w:rFonts w:ascii="Times New Roman" w:hAnsi="Times New Roman"/>
          <w:sz w:val="20"/>
          <w:szCs w:val="20"/>
        </w:rPr>
        <w:t xml:space="preserve">Figure 2 shows the DTG evolution profiles for MSW samples.  Zone A indicated moisture loss curve while Zones B, C and D were attributed to the waste compositions.  The fast decomposition occurred at three regions which were at 350 </w:t>
      </w:r>
      <w:r w:rsidRPr="00CD1814">
        <w:rPr>
          <w:rFonts w:ascii="Times New Roman" w:hAnsi="Times New Roman"/>
          <w:sz w:val="20"/>
          <w:szCs w:val="20"/>
          <w:vertAlign w:val="superscript"/>
        </w:rPr>
        <w:t>o</w:t>
      </w:r>
      <w:r w:rsidRPr="00CD1814">
        <w:rPr>
          <w:rFonts w:ascii="Times New Roman" w:hAnsi="Times New Roman"/>
          <w:sz w:val="20"/>
          <w:szCs w:val="20"/>
        </w:rPr>
        <w:t xml:space="preserve">C, 430 </w:t>
      </w:r>
      <w:r w:rsidRPr="00CD1814">
        <w:rPr>
          <w:rFonts w:ascii="Times New Roman" w:hAnsi="Times New Roman"/>
          <w:sz w:val="20"/>
          <w:szCs w:val="20"/>
          <w:vertAlign w:val="superscript"/>
        </w:rPr>
        <w:t>o</w:t>
      </w:r>
      <w:r w:rsidRPr="00CD1814">
        <w:rPr>
          <w:rFonts w:ascii="Times New Roman" w:hAnsi="Times New Roman"/>
          <w:sz w:val="20"/>
          <w:szCs w:val="20"/>
        </w:rPr>
        <w:t xml:space="preserve">C and 700 </w:t>
      </w:r>
      <w:r w:rsidRPr="00CD1814">
        <w:rPr>
          <w:rFonts w:ascii="Times New Roman" w:hAnsi="Times New Roman"/>
          <w:sz w:val="20"/>
          <w:szCs w:val="20"/>
          <w:vertAlign w:val="superscript"/>
        </w:rPr>
        <w:t>o</w:t>
      </w:r>
      <w:r w:rsidRPr="00CD1814">
        <w:rPr>
          <w:rFonts w:ascii="Times New Roman" w:hAnsi="Times New Roman"/>
          <w:sz w:val="20"/>
          <w:szCs w:val="20"/>
        </w:rPr>
        <w:t xml:space="preserve">C.  The fast decomposition at zone B was caused by the degradation of materials, such as wood and yard wastes.  Based on the DTG evolution profiles, material at zone B started to decompose at temperature ranging from 200 </w:t>
      </w:r>
      <w:r w:rsidRPr="00CD1814">
        <w:rPr>
          <w:rFonts w:ascii="Times New Roman" w:hAnsi="Times New Roman"/>
          <w:sz w:val="20"/>
          <w:szCs w:val="20"/>
          <w:vertAlign w:val="superscript"/>
        </w:rPr>
        <w:t>o</w:t>
      </w:r>
      <w:r w:rsidRPr="00CD1814">
        <w:rPr>
          <w:rFonts w:ascii="Times New Roman" w:hAnsi="Times New Roman"/>
          <w:sz w:val="20"/>
          <w:szCs w:val="20"/>
        </w:rPr>
        <w:t xml:space="preserve">C to about 400 </w:t>
      </w:r>
      <w:r w:rsidRPr="00CD1814">
        <w:rPr>
          <w:rFonts w:ascii="Times New Roman" w:hAnsi="Times New Roman"/>
          <w:sz w:val="20"/>
          <w:szCs w:val="20"/>
          <w:vertAlign w:val="superscript"/>
        </w:rPr>
        <w:t>o</w:t>
      </w:r>
      <w:r w:rsidRPr="00CD1814">
        <w:rPr>
          <w:rFonts w:ascii="Times New Roman" w:hAnsi="Times New Roman"/>
          <w:sz w:val="20"/>
          <w:szCs w:val="20"/>
        </w:rPr>
        <w:t>C, with T</w:t>
      </w:r>
      <w:r w:rsidRPr="00CD1814">
        <w:rPr>
          <w:rFonts w:ascii="Times New Roman" w:hAnsi="Times New Roman"/>
          <w:sz w:val="20"/>
          <w:szCs w:val="20"/>
          <w:vertAlign w:val="subscript"/>
        </w:rPr>
        <w:t>max</w:t>
      </w:r>
      <w:r w:rsidRPr="00CD1814">
        <w:rPr>
          <w:rFonts w:ascii="Times New Roman" w:hAnsi="Times New Roman"/>
          <w:sz w:val="20"/>
          <w:szCs w:val="20"/>
        </w:rPr>
        <w:t xml:space="preserve"> at 350 </w:t>
      </w:r>
      <w:r w:rsidRPr="00CD1814">
        <w:rPr>
          <w:rFonts w:ascii="Times New Roman" w:hAnsi="Times New Roman"/>
          <w:sz w:val="20"/>
          <w:szCs w:val="20"/>
          <w:vertAlign w:val="superscript"/>
        </w:rPr>
        <w:t>o</w:t>
      </w:r>
      <w:r w:rsidRPr="00CD1814">
        <w:rPr>
          <w:rFonts w:ascii="Times New Roman" w:hAnsi="Times New Roman"/>
          <w:sz w:val="20"/>
          <w:szCs w:val="20"/>
        </w:rPr>
        <w:t xml:space="preserve">C.  It was followed by the degradation of plastic and the fast decomposition was shown at C.  Zone C recorded the burn-out temperature starting from 400 </w:t>
      </w:r>
      <w:r w:rsidRPr="00CD1814">
        <w:rPr>
          <w:rFonts w:ascii="Times New Roman" w:hAnsi="Times New Roman"/>
          <w:sz w:val="20"/>
          <w:szCs w:val="20"/>
          <w:vertAlign w:val="superscript"/>
        </w:rPr>
        <w:t>o</w:t>
      </w:r>
      <w:r w:rsidRPr="00CD1814">
        <w:rPr>
          <w:rFonts w:ascii="Times New Roman" w:hAnsi="Times New Roman"/>
          <w:sz w:val="20"/>
          <w:szCs w:val="20"/>
        </w:rPr>
        <w:t xml:space="preserve">C and ended at 480 </w:t>
      </w:r>
      <w:r w:rsidRPr="00CD1814">
        <w:rPr>
          <w:rFonts w:ascii="Times New Roman" w:hAnsi="Times New Roman"/>
          <w:sz w:val="20"/>
          <w:szCs w:val="20"/>
          <w:vertAlign w:val="superscript"/>
        </w:rPr>
        <w:t>o</w:t>
      </w:r>
      <w:r w:rsidRPr="00CD1814">
        <w:rPr>
          <w:rFonts w:ascii="Times New Roman" w:hAnsi="Times New Roman"/>
          <w:sz w:val="20"/>
          <w:szCs w:val="20"/>
        </w:rPr>
        <w:t xml:space="preserve">C.  The more stable materials, such as rubber, gradually degraded and recorded fast decomposition at 700 </w:t>
      </w:r>
      <w:r w:rsidRPr="00CD1814">
        <w:rPr>
          <w:rFonts w:ascii="Times New Roman" w:hAnsi="Times New Roman"/>
          <w:sz w:val="20"/>
          <w:szCs w:val="20"/>
          <w:vertAlign w:val="superscript"/>
        </w:rPr>
        <w:t>o</w:t>
      </w:r>
      <w:r w:rsidRPr="00CD1814">
        <w:rPr>
          <w:rFonts w:ascii="Times New Roman" w:hAnsi="Times New Roman"/>
          <w:sz w:val="20"/>
          <w:szCs w:val="20"/>
        </w:rPr>
        <w:t xml:space="preserve">C.  Small percentage of rubber contributed to the small peak at 700 </w:t>
      </w:r>
      <w:r w:rsidRPr="00CD1814">
        <w:rPr>
          <w:rFonts w:ascii="Times New Roman" w:hAnsi="Times New Roman"/>
          <w:sz w:val="20"/>
          <w:szCs w:val="20"/>
          <w:vertAlign w:val="superscript"/>
        </w:rPr>
        <w:t>o</w:t>
      </w:r>
      <w:r w:rsidRPr="00CD1814">
        <w:rPr>
          <w:rFonts w:ascii="Times New Roman" w:hAnsi="Times New Roman"/>
          <w:sz w:val="20"/>
          <w:szCs w:val="20"/>
        </w:rPr>
        <w:t xml:space="preserve">C.  The burn-out temperature occurred at 600 </w:t>
      </w:r>
      <w:r w:rsidRPr="00CD1814">
        <w:rPr>
          <w:rFonts w:ascii="Times New Roman" w:hAnsi="Times New Roman"/>
          <w:sz w:val="20"/>
          <w:szCs w:val="20"/>
          <w:vertAlign w:val="superscript"/>
        </w:rPr>
        <w:t>o</w:t>
      </w:r>
      <w:r w:rsidRPr="00CD1814">
        <w:rPr>
          <w:rFonts w:ascii="Times New Roman" w:hAnsi="Times New Roman"/>
          <w:sz w:val="20"/>
          <w:szCs w:val="20"/>
        </w:rPr>
        <w:t>C with T</w:t>
      </w:r>
      <w:r w:rsidRPr="00CD1814">
        <w:rPr>
          <w:rFonts w:ascii="Times New Roman" w:hAnsi="Times New Roman"/>
          <w:sz w:val="20"/>
          <w:szCs w:val="20"/>
          <w:vertAlign w:val="subscript"/>
        </w:rPr>
        <w:t>max</w:t>
      </w:r>
      <w:r w:rsidRPr="00CD1814">
        <w:rPr>
          <w:rFonts w:ascii="Times New Roman" w:hAnsi="Times New Roman"/>
          <w:sz w:val="20"/>
          <w:szCs w:val="20"/>
        </w:rPr>
        <w:t xml:space="preserve"> at 750 </w:t>
      </w:r>
      <w:r w:rsidRPr="00CD1814">
        <w:rPr>
          <w:rFonts w:ascii="Times New Roman" w:hAnsi="Times New Roman"/>
          <w:sz w:val="20"/>
          <w:szCs w:val="20"/>
          <w:vertAlign w:val="superscript"/>
        </w:rPr>
        <w:t>o</w:t>
      </w:r>
      <w:r w:rsidRPr="00CD1814">
        <w:rPr>
          <w:rFonts w:ascii="Times New Roman" w:hAnsi="Times New Roman"/>
          <w:sz w:val="20"/>
          <w:szCs w:val="20"/>
        </w:rPr>
        <w:t xml:space="preserve">C.  The differences in the DTG profiles showed the difference in the complexity of MSW components.  Shen and Qinlei reveal three steps in their previous study due to the emission and combustion of the volatiles with the char combustion [19].  </w:t>
      </w:r>
    </w:p>
    <w:p w:rsidR="009C7FEF" w:rsidRPr="00CD1814" w:rsidRDefault="009C7FEF" w:rsidP="009C7FEF">
      <w:pPr>
        <w:pStyle w:val="ListParagraph"/>
        <w:spacing w:after="120" w:line="240" w:lineRule="auto"/>
        <w:ind w:left="0"/>
        <w:contextualSpacing w:val="0"/>
        <w:jc w:val="both"/>
        <w:outlineLvl w:val="0"/>
        <w:rPr>
          <w:rFonts w:ascii="Times New Roman" w:hAnsi="Times New Roman"/>
          <w:sz w:val="20"/>
          <w:szCs w:val="20"/>
        </w:rPr>
      </w:pPr>
    </w:p>
    <w:p w:rsidR="001F659C" w:rsidRPr="00CD1814" w:rsidRDefault="001F659C" w:rsidP="009C7FEF">
      <w:pPr>
        <w:pStyle w:val="ListParagraph"/>
        <w:spacing w:after="0" w:line="240" w:lineRule="auto"/>
        <w:ind w:left="0" w:firstLine="120"/>
        <w:contextualSpacing w:val="0"/>
        <w:jc w:val="center"/>
        <w:rPr>
          <w:rFonts w:ascii="Times New Roman" w:hAnsi="Times New Roman"/>
          <w:noProof/>
          <w:sz w:val="20"/>
          <w:szCs w:val="20"/>
        </w:rPr>
      </w:pPr>
      <w:r w:rsidRPr="00CD1814">
        <w:rPr>
          <w:rFonts w:ascii="Times New Roman" w:hAnsi="Times New Roman"/>
          <w:noProof/>
          <w:sz w:val="20"/>
          <w:szCs w:val="20"/>
          <w:lang w:bidi="ar-SA"/>
        </w:rPr>
        <w:drawing>
          <wp:inline distT="0" distB="0" distL="0" distR="0" wp14:anchorId="489F013F" wp14:editId="16FF9C7E">
            <wp:extent cx="3786902" cy="2651760"/>
            <wp:effectExtent l="19050" t="19050" r="2349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86902" cy="2651760"/>
                    </a:xfrm>
                    <a:prstGeom prst="rect">
                      <a:avLst/>
                    </a:prstGeom>
                    <a:noFill/>
                    <a:ln>
                      <a:solidFill>
                        <a:schemeClr val="tx1"/>
                      </a:solidFill>
                    </a:ln>
                  </pic:spPr>
                </pic:pic>
              </a:graphicData>
            </a:graphic>
          </wp:inline>
        </w:drawing>
      </w:r>
    </w:p>
    <w:p w:rsidR="001F659C" w:rsidRPr="00CD1814" w:rsidRDefault="001F659C" w:rsidP="009C7FEF">
      <w:pPr>
        <w:spacing w:before="120" w:after="0" w:line="240" w:lineRule="auto"/>
        <w:jc w:val="center"/>
        <w:rPr>
          <w:rFonts w:ascii="Times New Roman" w:hAnsi="Times New Roman"/>
          <w:sz w:val="20"/>
          <w:szCs w:val="20"/>
        </w:rPr>
      </w:pPr>
      <w:r w:rsidRPr="00CD1814">
        <w:rPr>
          <w:rFonts w:ascii="Times New Roman" w:hAnsi="Times New Roman"/>
          <w:sz w:val="20"/>
          <w:szCs w:val="20"/>
        </w:rPr>
        <w:t xml:space="preserve">Figure 2. </w:t>
      </w:r>
      <w:r w:rsidR="009C7FEF">
        <w:rPr>
          <w:rFonts w:ascii="Times New Roman" w:hAnsi="Times New Roman"/>
          <w:sz w:val="20"/>
          <w:szCs w:val="20"/>
        </w:rPr>
        <w:t xml:space="preserve"> </w:t>
      </w:r>
      <w:r w:rsidRPr="00CD1814">
        <w:rPr>
          <w:rFonts w:ascii="Times New Roman" w:hAnsi="Times New Roman"/>
          <w:sz w:val="20"/>
          <w:szCs w:val="20"/>
        </w:rPr>
        <w:t>DTG curves for MSW samples</w:t>
      </w:r>
    </w:p>
    <w:p w:rsidR="001F659C" w:rsidRPr="00CD1814" w:rsidRDefault="001F659C" w:rsidP="00CD1814">
      <w:pPr>
        <w:spacing w:after="0" w:line="240" w:lineRule="auto"/>
        <w:jc w:val="both"/>
        <w:outlineLvl w:val="0"/>
        <w:rPr>
          <w:rFonts w:ascii="Times New Roman" w:hAnsi="Times New Roman"/>
          <w:b/>
          <w:sz w:val="20"/>
          <w:szCs w:val="20"/>
        </w:rPr>
      </w:pPr>
      <w:r w:rsidRPr="00CD1814">
        <w:rPr>
          <w:rFonts w:ascii="Times New Roman" w:hAnsi="Times New Roman"/>
          <w:b/>
          <w:sz w:val="20"/>
          <w:szCs w:val="20"/>
        </w:rPr>
        <w:lastRenderedPageBreak/>
        <w:t>Calorific values (CVs)</w:t>
      </w:r>
    </w:p>
    <w:p w:rsidR="001F659C" w:rsidRPr="00CD1814" w:rsidRDefault="001F659C" w:rsidP="00CD1814">
      <w:pPr>
        <w:spacing w:after="0" w:line="240" w:lineRule="auto"/>
        <w:jc w:val="both"/>
        <w:outlineLvl w:val="0"/>
        <w:rPr>
          <w:rFonts w:ascii="Times New Roman" w:hAnsi="Times New Roman"/>
          <w:sz w:val="20"/>
          <w:szCs w:val="20"/>
        </w:rPr>
      </w:pPr>
      <w:r w:rsidRPr="00CD1814">
        <w:rPr>
          <w:rFonts w:ascii="Times New Roman" w:hAnsi="Times New Roman"/>
          <w:sz w:val="20"/>
          <w:szCs w:val="20"/>
        </w:rPr>
        <w:t>Table 4 shows the calorific values of MSW by using bomb calorimeter, calculations employing physical composition and proximate analysis techniques.  The calorific values ranging from 2200 to 4500 kcal/kg were obtained for all samples by using bomb calorimeter.  Sample No. 4 had the highest value while sample No.1 recorded the lowest.  Kathirvale et al. reported that the calorific values of the Malaysian MSW ranged between 1500 and 2600 kcal/kg [20].  The CVs calculated employing physical composition gave values ranging from 1601 to 5550 kcal/kg while proximate analysis technique gave values ranging from 2343 to 4000 kcal/kg.  In physical composition, sample No. 4 gave the highest value with 5550 kcal/kg.  This was attributed to the composition of paper and plastic and it is in agreement with PL/PA ratio as reported by Abu-Qudais and Abu-Qdais [5]. Traditional method shows a lower error compared to the physical method. The result from traditional method analysis is useful in calculating CVs in MSW study compared to the physical method.</w:t>
      </w:r>
    </w:p>
    <w:p w:rsidR="001F659C" w:rsidRPr="00CD1814" w:rsidRDefault="001F659C" w:rsidP="00421061">
      <w:pPr>
        <w:spacing w:after="0" w:line="240" w:lineRule="auto"/>
        <w:jc w:val="both"/>
        <w:outlineLvl w:val="0"/>
        <w:rPr>
          <w:rFonts w:ascii="Times New Roman" w:hAnsi="Times New Roman"/>
          <w:sz w:val="20"/>
          <w:szCs w:val="20"/>
        </w:rPr>
      </w:pPr>
    </w:p>
    <w:p w:rsidR="001F659C" w:rsidRPr="00CD1814" w:rsidRDefault="001F659C" w:rsidP="009C7FEF">
      <w:pPr>
        <w:spacing w:after="120" w:line="240" w:lineRule="auto"/>
        <w:jc w:val="center"/>
        <w:outlineLvl w:val="0"/>
        <w:rPr>
          <w:rFonts w:ascii="Times New Roman" w:hAnsi="Times New Roman"/>
          <w:sz w:val="20"/>
          <w:szCs w:val="20"/>
        </w:rPr>
      </w:pPr>
      <w:r w:rsidRPr="00CD1814">
        <w:rPr>
          <w:rFonts w:ascii="Times New Roman" w:hAnsi="Times New Roman"/>
          <w:sz w:val="20"/>
          <w:szCs w:val="20"/>
        </w:rPr>
        <w:t xml:space="preserve">Table 4. </w:t>
      </w:r>
      <w:r w:rsidR="009C7FEF">
        <w:rPr>
          <w:rFonts w:ascii="Times New Roman" w:hAnsi="Times New Roman"/>
          <w:sz w:val="20"/>
          <w:szCs w:val="20"/>
        </w:rPr>
        <w:t xml:space="preserve"> </w:t>
      </w:r>
      <w:r w:rsidRPr="00CD1814">
        <w:rPr>
          <w:rFonts w:ascii="Times New Roman" w:hAnsi="Times New Roman"/>
          <w:sz w:val="20"/>
          <w:szCs w:val="20"/>
        </w:rPr>
        <w:t>Comparison of CVs determined by different methods</w:t>
      </w:r>
    </w:p>
    <w:tbl>
      <w:tblPr>
        <w:tblStyle w:val="Style1"/>
        <w:tblW w:w="0" w:type="auto"/>
        <w:jc w:val="center"/>
        <w:tblLook w:val="04A0" w:firstRow="1" w:lastRow="0" w:firstColumn="1" w:lastColumn="0" w:noHBand="0" w:noVBand="1"/>
      </w:tblPr>
      <w:tblGrid>
        <w:gridCol w:w="850"/>
        <w:gridCol w:w="1822"/>
        <w:gridCol w:w="2067"/>
        <w:gridCol w:w="1911"/>
      </w:tblGrid>
      <w:tr w:rsidR="001F659C" w:rsidRPr="00CD1814" w:rsidTr="00A225AA">
        <w:trPr>
          <w:trHeight w:val="300"/>
          <w:jc w:val="center"/>
        </w:trPr>
        <w:tc>
          <w:tcPr>
            <w:tcW w:w="0" w:type="auto"/>
            <w:vMerge w:val="restart"/>
            <w:noWrap/>
            <w:vAlign w:val="center"/>
            <w:hideMark/>
          </w:tcPr>
          <w:p w:rsidR="001F659C" w:rsidRPr="00CD1814" w:rsidRDefault="001F659C" w:rsidP="00CD1814">
            <w:pPr>
              <w:spacing w:after="0" w:line="240" w:lineRule="auto"/>
              <w:jc w:val="both"/>
              <w:outlineLvl w:val="0"/>
              <w:rPr>
                <w:rFonts w:ascii="Times New Roman" w:hAnsi="Times New Roman" w:cs="Times New Roman"/>
                <w:b/>
                <w:color w:val="000000"/>
                <w:sz w:val="20"/>
                <w:szCs w:val="20"/>
                <w:lang w:eastAsia="en-GB"/>
              </w:rPr>
            </w:pPr>
            <w:r w:rsidRPr="00CD1814">
              <w:rPr>
                <w:rFonts w:ascii="Times New Roman" w:hAnsi="Times New Roman" w:cs="Times New Roman"/>
                <w:b/>
                <w:color w:val="000000"/>
                <w:sz w:val="20"/>
                <w:szCs w:val="20"/>
                <w:lang w:eastAsia="en-GB"/>
              </w:rPr>
              <w:t xml:space="preserve">Waste </w:t>
            </w:r>
          </w:p>
          <w:p w:rsidR="001F659C" w:rsidRPr="00CD1814" w:rsidRDefault="001F659C" w:rsidP="00CD1814">
            <w:pPr>
              <w:spacing w:after="0" w:line="240" w:lineRule="auto"/>
              <w:jc w:val="both"/>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eastAsia="en-GB"/>
              </w:rPr>
              <w:t>Sample</w:t>
            </w:r>
          </w:p>
        </w:tc>
        <w:tc>
          <w:tcPr>
            <w:tcW w:w="0" w:type="auto"/>
            <w:gridSpan w:val="3"/>
            <w:tcBorders>
              <w:bottom w:val="single" w:sz="4" w:space="0" w:color="auto"/>
            </w:tcBorders>
            <w:vAlign w:val="center"/>
          </w:tcPr>
          <w:p w:rsidR="001F659C" w:rsidRPr="00CD1814" w:rsidRDefault="001F659C" w:rsidP="009C7FEF">
            <w:pPr>
              <w:spacing w:after="0" w:line="240" w:lineRule="auto"/>
              <w:jc w:val="center"/>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val="en-GB" w:eastAsia="en-GB"/>
              </w:rPr>
              <w:t>Calorific Value (kcal/kg)</w:t>
            </w:r>
          </w:p>
        </w:tc>
      </w:tr>
      <w:tr w:rsidR="001F659C" w:rsidRPr="00CD1814" w:rsidTr="00A225AA">
        <w:trPr>
          <w:trHeight w:val="315"/>
          <w:jc w:val="center"/>
        </w:trPr>
        <w:tc>
          <w:tcPr>
            <w:tcW w:w="0" w:type="auto"/>
            <w:vMerge/>
            <w:tcBorders>
              <w:bottom w:val="single" w:sz="4" w:space="0" w:color="auto"/>
            </w:tcBorders>
            <w:noWrap/>
            <w:hideMark/>
          </w:tcPr>
          <w:p w:rsidR="001F659C" w:rsidRPr="00CD1814" w:rsidRDefault="001F659C" w:rsidP="00CD1814">
            <w:pPr>
              <w:spacing w:after="0" w:line="240" w:lineRule="auto"/>
              <w:jc w:val="both"/>
              <w:outlineLvl w:val="0"/>
              <w:rPr>
                <w:rFonts w:ascii="Times New Roman" w:hAnsi="Times New Roman" w:cs="Times New Roman"/>
                <w:b/>
                <w:color w:val="000000"/>
                <w:sz w:val="20"/>
                <w:szCs w:val="20"/>
                <w:lang w:val="en-GB" w:eastAsia="en-GB"/>
              </w:rPr>
            </w:pPr>
          </w:p>
        </w:tc>
        <w:tc>
          <w:tcPr>
            <w:tcW w:w="0" w:type="auto"/>
            <w:tcBorders>
              <w:top w:val="single" w:sz="4" w:space="0" w:color="auto"/>
              <w:bottom w:val="single" w:sz="4" w:space="0" w:color="auto"/>
            </w:tcBorders>
            <w:noWrap/>
            <w:hideMark/>
          </w:tcPr>
          <w:p w:rsidR="001F659C" w:rsidRPr="00CD1814" w:rsidRDefault="001F659C" w:rsidP="009C7FEF">
            <w:pPr>
              <w:spacing w:after="0" w:line="240" w:lineRule="auto"/>
              <w:jc w:val="center"/>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eastAsia="en-GB"/>
              </w:rPr>
              <w:t>Bomb Calorimeter</w:t>
            </w:r>
          </w:p>
        </w:tc>
        <w:tc>
          <w:tcPr>
            <w:tcW w:w="0" w:type="auto"/>
            <w:tcBorders>
              <w:top w:val="single" w:sz="4" w:space="0" w:color="auto"/>
              <w:bottom w:val="single" w:sz="4" w:space="0" w:color="auto"/>
            </w:tcBorders>
            <w:noWrap/>
            <w:hideMark/>
          </w:tcPr>
          <w:p w:rsidR="001F659C" w:rsidRPr="00CD1814" w:rsidRDefault="001F659C" w:rsidP="009C7FEF">
            <w:pPr>
              <w:spacing w:after="0" w:line="240" w:lineRule="auto"/>
              <w:jc w:val="center"/>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eastAsia="en-GB"/>
              </w:rPr>
              <w:t>Physical Composition</w:t>
            </w:r>
          </w:p>
        </w:tc>
        <w:tc>
          <w:tcPr>
            <w:tcW w:w="0" w:type="auto"/>
            <w:tcBorders>
              <w:top w:val="single" w:sz="4" w:space="0" w:color="auto"/>
              <w:bottom w:val="single" w:sz="4" w:space="0" w:color="auto"/>
            </w:tcBorders>
            <w:noWrap/>
            <w:hideMark/>
          </w:tcPr>
          <w:p w:rsidR="001F659C" w:rsidRPr="00CD1814" w:rsidRDefault="001F659C" w:rsidP="009C7FEF">
            <w:pPr>
              <w:spacing w:after="0" w:line="240" w:lineRule="auto"/>
              <w:jc w:val="center"/>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val="en-GB" w:eastAsia="en-GB"/>
              </w:rPr>
              <w:t>Traditional Method</w:t>
            </w:r>
          </w:p>
        </w:tc>
      </w:tr>
      <w:tr w:rsidR="001F659C" w:rsidRPr="00CD1814" w:rsidTr="00A225AA">
        <w:trPr>
          <w:trHeight w:val="315"/>
          <w:jc w:val="center"/>
        </w:trPr>
        <w:tc>
          <w:tcPr>
            <w:tcW w:w="0" w:type="auto"/>
            <w:tcBorders>
              <w:top w:val="single" w:sz="4" w:space="0" w:color="auto"/>
            </w:tcBorders>
            <w:noWrap/>
            <w:hideMark/>
          </w:tcPr>
          <w:p w:rsidR="001F659C" w:rsidRPr="00CD1814" w:rsidRDefault="001F659C" w:rsidP="009C7FEF">
            <w:pPr>
              <w:spacing w:before="60" w:after="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1</w:t>
            </w:r>
          </w:p>
        </w:tc>
        <w:tc>
          <w:tcPr>
            <w:tcW w:w="0" w:type="auto"/>
            <w:tcBorders>
              <w:top w:val="single" w:sz="4" w:space="0" w:color="auto"/>
            </w:tcBorders>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2200</w:t>
            </w:r>
          </w:p>
        </w:tc>
        <w:tc>
          <w:tcPr>
            <w:tcW w:w="0" w:type="auto"/>
            <w:tcBorders>
              <w:top w:val="single" w:sz="4" w:space="0" w:color="auto"/>
            </w:tcBorders>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1802</w:t>
            </w:r>
          </w:p>
        </w:tc>
        <w:tc>
          <w:tcPr>
            <w:tcW w:w="0" w:type="auto"/>
            <w:tcBorders>
              <w:top w:val="single" w:sz="4" w:space="0" w:color="auto"/>
            </w:tcBorders>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2343</w:t>
            </w:r>
          </w:p>
        </w:tc>
      </w:tr>
      <w:tr w:rsidR="001F659C" w:rsidRPr="00CD1814" w:rsidTr="00A225AA">
        <w:trPr>
          <w:trHeight w:val="315"/>
          <w:jc w:val="center"/>
        </w:trPr>
        <w:tc>
          <w:tcPr>
            <w:tcW w:w="0" w:type="auto"/>
            <w:noWrap/>
            <w:hideMark/>
          </w:tcPr>
          <w:p w:rsidR="001F659C" w:rsidRPr="00CD1814" w:rsidRDefault="001F659C" w:rsidP="009C7FEF">
            <w:pPr>
              <w:spacing w:before="60" w:after="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2</w:t>
            </w:r>
          </w:p>
        </w:tc>
        <w:tc>
          <w:tcPr>
            <w:tcW w:w="0" w:type="auto"/>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2500</w:t>
            </w:r>
          </w:p>
        </w:tc>
        <w:tc>
          <w:tcPr>
            <w:tcW w:w="0" w:type="auto"/>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1601</w:t>
            </w:r>
          </w:p>
        </w:tc>
        <w:tc>
          <w:tcPr>
            <w:tcW w:w="0" w:type="auto"/>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3135</w:t>
            </w:r>
          </w:p>
        </w:tc>
      </w:tr>
      <w:tr w:rsidR="001F659C" w:rsidRPr="00CD1814" w:rsidTr="00A225AA">
        <w:trPr>
          <w:trHeight w:val="315"/>
          <w:jc w:val="center"/>
        </w:trPr>
        <w:tc>
          <w:tcPr>
            <w:tcW w:w="0" w:type="auto"/>
            <w:noWrap/>
            <w:hideMark/>
          </w:tcPr>
          <w:p w:rsidR="001F659C" w:rsidRPr="00CD1814" w:rsidRDefault="001F659C" w:rsidP="009C7FEF">
            <w:pPr>
              <w:spacing w:before="60" w:after="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3</w:t>
            </w:r>
          </w:p>
        </w:tc>
        <w:tc>
          <w:tcPr>
            <w:tcW w:w="0" w:type="auto"/>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3451</w:t>
            </w:r>
          </w:p>
        </w:tc>
        <w:tc>
          <w:tcPr>
            <w:tcW w:w="0" w:type="auto"/>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2212</w:t>
            </w:r>
          </w:p>
        </w:tc>
        <w:tc>
          <w:tcPr>
            <w:tcW w:w="0" w:type="auto"/>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3030</w:t>
            </w:r>
          </w:p>
        </w:tc>
      </w:tr>
      <w:tr w:rsidR="001F659C" w:rsidRPr="00CD1814" w:rsidTr="00A225AA">
        <w:trPr>
          <w:trHeight w:val="315"/>
          <w:jc w:val="center"/>
        </w:trPr>
        <w:tc>
          <w:tcPr>
            <w:tcW w:w="0" w:type="auto"/>
            <w:noWrap/>
            <w:hideMark/>
          </w:tcPr>
          <w:p w:rsidR="001F659C" w:rsidRPr="00CD1814" w:rsidRDefault="001F659C" w:rsidP="009C7FEF">
            <w:pPr>
              <w:spacing w:before="60" w:after="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4</w:t>
            </w:r>
          </w:p>
        </w:tc>
        <w:tc>
          <w:tcPr>
            <w:tcW w:w="0" w:type="auto"/>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4500</w:t>
            </w:r>
          </w:p>
        </w:tc>
        <w:tc>
          <w:tcPr>
            <w:tcW w:w="0" w:type="auto"/>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5550</w:t>
            </w:r>
          </w:p>
        </w:tc>
        <w:tc>
          <w:tcPr>
            <w:tcW w:w="0" w:type="auto"/>
            <w:noWrap/>
            <w:hideMark/>
          </w:tcPr>
          <w:p w:rsidR="001F659C" w:rsidRPr="00CD1814" w:rsidRDefault="001F659C" w:rsidP="009C7FEF">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4000</w:t>
            </w:r>
          </w:p>
        </w:tc>
      </w:tr>
      <w:tr w:rsidR="001F659C" w:rsidRPr="00CD1814" w:rsidTr="00A225AA">
        <w:trPr>
          <w:trHeight w:val="315"/>
          <w:jc w:val="center"/>
        </w:trPr>
        <w:tc>
          <w:tcPr>
            <w:tcW w:w="0" w:type="auto"/>
            <w:noWrap/>
            <w:hideMark/>
          </w:tcPr>
          <w:p w:rsidR="001F659C" w:rsidRPr="00CD1814" w:rsidRDefault="001F659C" w:rsidP="009C7FEF">
            <w:pPr>
              <w:spacing w:before="60" w:after="6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5</w:t>
            </w:r>
          </w:p>
        </w:tc>
        <w:tc>
          <w:tcPr>
            <w:tcW w:w="0" w:type="auto"/>
            <w:noWrap/>
            <w:hideMark/>
          </w:tcPr>
          <w:p w:rsidR="001F659C" w:rsidRPr="00CD1814" w:rsidRDefault="001F659C" w:rsidP="009C7FEF">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3480</w:t>
            </w:r>
          </w:p>
        </w:tc>
        <w:tc>
          <w:tcPr>
            <w:tcW w:w="0" w:type="auto"/>
            <w:noWrap/>
            <w:hideMark/>
          </w:tcPr>
          <w:p w:rsidR="001F659C" w:rsidRPr="00CD1814" w:rsidRDefault="001F659C" w:rsidP="009C7FEF">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eastAsia="en-GB"/>
              </w:rPr>
              <w:t>3717</w:t>
            </w:r>
          </w:p>
        </w:tc>
        <w:tc>
          <w:tcPr>
            <w:tcW w:w="0" w:type="auto"/>
            <w:noWrap/>
            <w:hideMark/>
          </w:tcPr>
          <w:p w:rsidR="001F659C" w:rsidRPr="00CD1814" w:rsidRDefault="001F659C" w:rsidP="009C7FEF">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3525</w:t>
            </w:r>
          </w:p>
        </w:tc>
      </w:tr>
    </w:tbl>
    <w:p w:rsidR="001F659C" w:rsidRPr="009C7FEF" w:rsidRDefault="001F659C" w:rsidP="009C62BB">
      <w:pPr>
        <w:spacing w:after="0" w:line="240" w:lineRule="auto"/>
        <w:jc w:val="both"/>
        <w:outlineLvl w:val="0"/>
        <w:rPr>
          <w:rFonts w:ascii="Times New Roman" w:hAnsi="Times New Roman"/>
          <w:sz w:val="20"/>
          <w:szCs w:val="20"/>
        </w:rPr>
      </w:pPr>
    </w:p>
    <w:p w:rsidR="009C7FEF" w:rsidRPr="00CD1814" w:rsidRDefault="009C7FEF" w:rsidP="009C7FEF">
      <w:pPr>
        <w:spacing w:after="0" w:line="240" w:lineRule="auto"/>
        <w:jc w:val="both"/>
        <w:outlineLvl w:val="0"/>
        <w:rPr>
          <w:rFonts w:ascii="Times New Roman" w:hAnsi="Times New Roman"/>
          <w:b/>
          <w:sz w:val="20"/>
          <w:szCs w:val="20"/>
        </w:rPr>
      </w:pPr>
      <w:r w:rsidRPr="00CD1814">
        <w:rPr>
          <w:rFonts w:ascii="Times New Roman" w:hAnsi="Times New Roman"/>
          <w:b/>
          <w:sz w:val="20"/>
          <w:szCs w:val="20"/>
        </w:rPr>
        <w:t>Thermochemical processes</w:t>
      </w:r>
    </w:p>
    <w:p w:rsidR="009C7FEF" w:rsidRPr="00CD1814" w:rsidRDefault="009C7FEF" w:rsidP="009C7FEF">
      <w:pPr>
        <w:spacing w:after="0" w:line="240" w:lineRule="auto"/>
        <w:jc w:val="both"/>
        <w:outlineLvl w:val="0"/>
        <w:rPr>
          <w:rFonts w:ascii="Times New Roman" w:hAnsi="Times New Roman"/>
          <w:sz w:val="20"/>
          <w:szCs w:val="20"/>
        </w:rPr>
      </w:pPr>
      <w:r w:rsidRPr="00CD1814">
        <w:rPr>
          <w:rFonts w:ascii="Times New Roman" w:hAnsi="Times New Roman"/>
          <w:sz w:val="20"/>
          <w:szCs w:val="20"/>
        </w:rPr>
        <w:t xml:space="preserve">The pyrolysis experiments were conducted using fixed bed pyrolyser at pyrolysis temperature of 470 </w:t>
      </w:r>
      <w:r w:rsidRPr="00CD1814">
        <w:rPr>
          <w:rFonts w:ascii="Times New Roman" w:hAnsi="Times New Roman"/>
          <w:sz w:val="20"/>
          <w:szCs w:val="20"/>
          <w:vertAlign w:val="superscript"/>
        </w:rPr>
        <w:t>o</w:t>
      </w:r>
      <w:r w:rsidRPr="00CD1814">
        <w:rPr>
          <w:rFonts w:ascii="Times New Roman" w:hAnsi="Times New Roman"/>
          <w:sz w:val="20"/>
          <w:szCs w:val="20"/>
        </w:rPr>
        <w:t xml:space="preserve">C and the bio-oil produced was ~ 35%. The hydrous pyrolysis were conducted at 380, 420 and 480 </w:t>
      </w:r>
      <w:r w:rsidRPr="00CD1814">
        <w:rPr>
          <w:rFonts w:ascii="Times New Roman" w:hAnsi="Times New Roman"/>
          <w:sz w:val="20"/>
          <w:szCs w:val="20"/>
          <w:vertAlign w:val="superscript"/>
        </w:rPr>
        <w:t>o</w:t>
      </w:r>
      <w:r w:rsidRPr="00CD1814">
        <w:rPr>
          <w:rFonts w:ascii="Times New Roman" w:hAnsi="Times New Roman"/>
          <w:sz w:val="20"/>
          <w:szCs w:val="20"/>
        </w:rPr>
        <w:t xml:space="preserve">C to investigate the effect of temperature on product distribution (Figure 3). The high gas yield obtained at 480 </w:t>
      </w:r>
      <w:r w:rsidRPr="00CD1814">
        <w:rPr>
          <w:rFonts w:ascii="Times New Roman" w:hAnsi="Times New Roman"/>
          <w:sz w:val="20"/>
          <w:szCs w:val="20"/>
          <w:vertAlign w:val="superscript"/>
        </w:rPr>
        <w:t>o</w:t>
      </w:r>
      <w:r w:rsidRPr="00CD1814">
        <w:rPr>
          <w:rFonts w:ascii="Times New Roman" w:hAnsi="Times New Roman"/>
          <w:sz w:val="20"/>
          <w:szCs w:val="20"/>
        </w:rPr>
        <w:t xml:space="preserve">C (42%) had resulted in the decrease of liquid products due to the further thermal decomposition [21]. As decomposition to form gas occurred when the temperature had increased to 480 </w:t>
      </w:r>
      <w:r w:rsidRPr="00CD1814">
        <w:rPr>
          <w:rFonts w:ascii="Times New Roman" w:hAnsi="Times New Roman"/>
          <w:sz w:val="20"/>
          <w:szCs w:val="20"/>
          <w:vertAlign w:val="superscript"/>
        </w:rPr>
        <w:t>o</w:t>
      </w:r>
      <w:r w:rsidRPr="00CD1814">
        <w:rPr>
          <w:rFonts w:ascii="Times New Roman" w:hAnsi="Times New Roman"/>
          <w:sz w:val="20"/>
          <w:szCs w:val="20"/>
        </w:rPr>
        <w:t xml:space="preserve">C, the oil plus water yield decreased to 42%. Of this, 6% was recovered as heavy oil while approximately 10 – 12% of heavy oil was recovered at 380 and 420 </w:t>
      </w:r>
      <w:r w:rsidRPr="00CD1814">
        <w:rPr>
          <w:rFonts w:ascii="Times New Roman" w:hAnsi="Times New Roman"/>
          <w:sz w:val="20"/>
          <w:szCs w:val="20"/>
          <w:vertAlign w:val="superscript"/>
        </w:rPr>
        <w:t>o</w:t>
      </w:r>
      <w:r w:rsidRPr="00CD1814">
        <w:rPr>
          <w:rFonts w:ascii="Times New Roman" w:hAnsi="Times New Roman"/>
          <w:sz w:val="20"/>
          <w:szCs w:val="20"/>
        </w:rPr>
        <w:t xml:space="preserve">C. </w:t>
      </w:r>
    </w:p>
    <w:p w:rsidR="001F659C" w:rsidRPr="00CD1814" w:rsidRDefault="001F659C" w:rsidP="00421061">
      <w:pPr>
        <w:spacing w:after="120" w:line="240" w:lineRule="auto"/>
        <w:jc w:val="both"/>
        <w:outlineLvl w:val="0"/>
        <w:rPr>
          <w:rFonts w:ascii="Times New Roman" w:hAnsi="Times New Roman"/>
          <w:sz w:val="20"/>
          <w:szCs w:val="20"/>
        </w:rPr>
      </w:pPr>
    </w:p>
    <w:p w:rsidR="001F659C" w:rsidRPr="00CD1814" w:rsidRDefault="001F659C" w:rsidP="009C62BB">
      <w:pPr>
        <w:spacing w:after="120" w:line="240" w:lineRule="auto"/>
        <w:jc w:val="center"/>
        <w:rPr>
          <w:rFonts w:ascii="Times New Roman" w:hAnsi="Times New Roman"/>
          <w:sz w:val="20"/>
          <w:szCs w:val="20"/>
        </w:rPr>
      </w:pPr>
      <w:r w:rsidRPr="00CD1814">
        <w:rPr>
          <w:rFonts w:ascii="Times New Roman" w:hAnsi="Times New Roman"/>
          <w:noProof/>
          <w:sz w:val="20"/>
          <w:szCs w:val="20"/>
          <w:lang w:bidi="ar-SA"/>
        </w:rPr>
        <w:drawing>
          <wp:inline distT="0" distB="0" distL="0" distR="0" wp14:anchorId="67233B1A" wp14:editId="4D9F5087">
            <wp:extent cx="3981450" cy="25908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7FEF" w:rsidRDefault="001F659C" w:rsidP="009C62BB">
      <w:pPr>
        <w:spacing w:after="0" w:line="240" w:lineRule="auto"/>
        <w:ind w:left="900" w:hanging="900"/>
        <w:jc w:val="both"/>
        <w:rPr>
          <w:rFonts w:ascii="Times New Roman" w:hAnsi="Times New Roman"/>
          <w:sz w:val="20"/>
          <w:szCs w:val="20"/>
        </w:rPr>
      </w:pPr>
      <w:r w:rsidRPr="00CD1814">
        <w:rPr>
          <w:rFonts w:ascii="Times New Roman" w:hAnsi="Times New Roman"/>
          <w:sz w:val="20"/>
          <w:szCs w:val="20"/>
        </w:rPr>
        <w:t xml:space="preserve">Figure 3. </w:t>
      </w:r>
      <w:r w:rsidR="009C7FEF">
        <w:rPr>
          <w:rFonts w:ascii="Times New Roman" w:hAnsi="Times New Roman"/>
          <w:sz w:val="20"/>
          <w:szCs w:val="20"/>
        </w:rPr>
        <w:t xml:space="preserve"> </w:t>
      </w:r>
      <w:r w:rsidRPr="00CD1814">
        <w:rPr>
          <w:rFonts w:ascii="Times New Roman" w:hAnsi="Times New Roman"/>
          <w:sz w:val="20"/>
          <w:szCs w:val="20"/>
        </w:rPr>
        <w:t>Effect of reaction temperature on product yields using MSW sample to water mass ratio of 1:6 for                1 hour</w:t>
      </w:r>
    </w:p>
    <w:p w:rsidR="009C7FEF" w:rsidRPr="00CD1814" w:rsidRDefault="009C7FEF" w:rsidP="009C7FEF">
      <w:pPr>
        <w:spacing w:after="0" w:line="240" w:lineRule="auto"/>
        <w:jc w:val="both"/>
        <w:outlineLvl w:val="0"/>
        <w:rPr>
          <w:rFonts w:ascii="Times New Roman" w:hAnsi="Times New Roman"/>
          <w:sz w:val="20"/>
          <w:szCs w:val="20"/>
        </w:rPr>
      </w:pPr>
      <w:r w:rsidRPr="00CD1814">
        <w:rPr>
          <w:rFonts w:ascii="Times New Roman" w:hAnsi="Times New Roman"/>
          <w:sz w:val="20"/>
          <w:szCs w:val="20"/>
        </w:rPr>
        <w:lastRenderedPageBreak/>
        <w:t>Table 5 presents the elemental compositions of the bio-oils and heavy oils obtained from pyrolysis and hydrous experiments. An increase in temperature gave low oxygen contents (~11%) for heavy oil from hydrous pyrolysis and bio-oils obtained from direct fast pyrolysis had high oxygen content (~49 – 53%).</w:t>
      </w:r>
    </w:p>
    <w:p w:rsidR="009C7FEF" w:rsidRPr="00CD1814" w:rsidRDefault="009C7FEF" w:rsidP="009C62BB">
      <w:pPr>
        <w:spacing w:after="120" w:line="240" w:lineRule="auto"/>
        <w:jc w:val="both"/>
        <w:rPr>
          <w:rFonts w:ascii="Times New Roman" w:hAnsi="Times New Roman"/>
          <w:sz w:val="20"/>
          <w:szCs w:val="20"/>
        </w:rPr>
      </w:pPr>
    </w:p>
    <w:p w:rsidR="001F659C" w:rsidRPr="00CD1814" w:rsidRDefault="001F659C" w:rsidP="009C62BB">
      <w:pPr>
        <w:spacing w:after="120" w:line="240" w:lineRule="auto"/>
        <w:jc w:val="center"/>
        <w:outlineLvl w:val="0"/>
        <w:rPr>
          <w:rFonts w:ascii="Times New Roman" w:hAnsi="Times New Roman"/>
          <w:sz w:val="20"/>
          <w:szCs w:val="20"/>
        </w:rPr>
      </w:pPr>
      <w:r w:rsidRPr="00CD1814">
        <w:rPr>
          <w:rFonts w:ascii="Times New Roman" w:hAnsi="Times New Roman"/>
          <w:sz w:val="20"/>
          <w:szCs w:val="20"/>
        </w:rPr>
        <w:t>Table 5.</w:t>
      </w:r>
      <w:r w:rsidR="009C62BB">
        <w:rPr>
          <w:rFonts w:ascii="Times New Roman" w:hAnsi="Times New Roman"/>
          <w:sz w:val="20"/>
          <w:szCs w:val="20"/>
        </w:rPr>
        <w:t xml:space="preserve"> </w:t>
      </w:r>
      <w:r w:rsidRPr="00CD1814">
        <w:rPr>
          <w:rFonts w:ascii="Times New Roman" w:hAnsi="Times New Roman"/>
          <w:b/>
          <w:sz w:val="20"/>
          <w:szCs w:val="20"/>
        </w:rPr>
        <w:t xml:space="preserve"> </w:t>
      </w:r>
      <w:r w:rsidRPr="00CD1814">
        <w:rPr>
          <w:rFonts w:ascii="Times New Roman" w:hAnsi="Times New Roman"/>
          <w:sz w:val="20"/>
          <w:szCs w:val="20"/>
        </w:rPr>
        <w:t>Elemental analyses of bio-oils and heavy oils from pyrolysis and hydrous pyrolysis experiments</w:t>
      </w:r>
    </w:p>
    <w:tbl>
      <w:tblPr>
        <w:tblStyle w:val="Style1"/>
        <w:tblW w:w="0" w:type="auto"/>
        <w:jc w:val="center"/>
        <w:tblLook w:val="04A0" w:firstRow="1" w:lastRow="0" w:firstColumn="1" w:lastColumn="0" w:noHBand="0" w:noVBand="1"/>
      </w:tblPr>
      <w:tblGrid>
        <w:gridCol w:w="1689"/>
        <w:gridCol w:w="1731"/>
        <w:gridCol w:w="744"/>
        <w:gridCol w:w="755"/>
        <w:gridCol w:w="744"/>
        <w:gridCol w:w="855"/>
      </w:tblGrid>
      <w:tr w:rsidR="001F659C" w:rsidRPr="00CD1814" w:rsidTr="00A225AA">
        <w:trPr>
          <w:trHeight w:val="300"/>
          <w:jc w:val="center"/>
        </w:trPr>
        <w:tc>
          <w:tcPr>
            <w:tcW w:w="0" w:type="auto"/>
            <w:tcBorders>
              <w:bottom w:val="single" w:sz="4" w:space="0" w:color="auto"/>
            </w:tcBorders>
            <w:noWrap/>
            <w:hideMark/>
          </w:tcPr>
          <w:p w:rsidR="001F659C" w:rsidRPr="00CD1814" w:rsidRDefault="001F659C" w:rsidP="009C62BB">
            <w:pPr>
              <w:spacing w:before="60" w:after="60" w:line="240" w:lineRule="auto"/>
              <w:jc w:val="both"/>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val="en-GB" w:eastAsia="en-GB"/>
              </w:rPr>
              <w:t>Runs</w:t>
            </w:r>
          </w:p>
        </w:tc>
        <w:tc>
          <w:tcPr>
            <w:tcW w:w="0" w:type="auto"/>
            <w:tcBorders>
              <w:bottom w:val="single" w:sz="4" w:space="0" w:color="auto"/>
            </w:tcBorders>
            <w:noWrap/>
            <w:hideMark/>
          </w:tcPr>
          <w:p w:rsidR="001F659C" w:rsidRPr="00CD1814" w:rsidRDefault="001F659C" w:rsidP="009C62BB">
            <w:pPr>
              <w:spacing w:before="60" w:after="60" w:line="240" w:lineRule="auto"/>
              <w:jc w:val="both"/>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val="en-GB" w:eastAsia="en-GB"/>
              </w:rPr>
              <w:t>Samples</w:t>
            </w:r>
          </w:p>
        </w:tc>
        <w:tc>
          <w:tcPr>
            <w:tcW w:w="0" w:type="auto"/>
            <w:tcBorders>
              <w:bottom w:val="single" w:sz="4" w:space="0" w:color="auto"/>
            </w:tcBorders>
            <w:noWrap/>
            <w:hideMark/>
          </w:tcPr>
          <w:p w:rsidR="001F659C" w:rsidRPr="00CD1814" w:rsidRDefault="001F659C" w:rsidP="009C62BB">
            <w:pPr>
              <w:spacing w:before="60" w:after="60" w:line="240" w:lineRule="auto"/>
              <w:jc w:val="center"/>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val="en-GB" w:eastAsia="en-GB"/>
              </w:rPr>
              <w:t>C (%)</w:t>
            </w:r>
          </w:p>
        </w:tc>
        <w:tc>
          <w:tcPr>
            <w:tcW w:w="0" w:type="auto"/>
            <w:tcBorders>
              <w:bottom w:val="single" w:sz="4" w:space="0" w:color="auto"/>
            </w:tcBorders>
            <w:noWrap/>
            <w:hideMark/>
          </w:tcPr>
          <w:p w:rsidR="001F659C" w:rsidRPr="00CD1814" w:rsidRDefault="001F659C" w:rsidP="009C62BB">
            <w:pPr>
              <w:spacing w:before="60" w:after="60" w:line="240" w:lineRule="auto"/>
              <w:jc w:val="center"/>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val="en-GB" w:eastAsia="en-GB"/>
              </w:rPr>
              <w:t>H (%)</w:t>
            </w:r>
          </w:p>
        </w:tc>
        <w:tc>
          <w:tcPr>
            <w:tcW w:w="0" w:type="auto"/>
            <w:tcBorders>
              <w:bottom w:val="single" w:sz="4" w:space="0" w:color="auto"/>
            </w:tcBorders>
            <w:noWrap/>
            <w:hideMark/>
          </w:tcPr>
          <w:p w:rsidR="001F659C" w:rsidRPr="00CD1814" w:rsidRDefault="001F659C" w:rsidP="009C62BB">
            <w:pPr>
              <w:spacing w:before="60" w:after="60" w:line="240" w:lineRule="auto"/>
              <w:jc w:val="center"/>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val="en-GB" w:eastAsia="en-GB"/>
              </w:rPr>
              <w:t>N (%)</w:t>
            </w:r>
          </w:p>
        </w:tc>
        <w:tc>
          <w:tcPr>
            <w:tcW w:w="0" w:type="auto"/>
            <w:tcBorders>
              <w:bottom w:val="single" w:sz="4" w:space="0" w:color="auto"/>
            </w:tcBorders>
            <w:noWrap/>
            <w:hideMark/>
          </w:tcPr>
          <w:p w:rsidR="001F659C" w:rsidRPr="00CD1814" w:rsidRDefault="001F659C" w:rsidP="009C62BB">
            <w:pPr>
              <w:spacing w:before="60" w:after="60" w:line="240" w:lineRule="auto"/>
              <w:jc w:val="center"/>
              <w:outlineLvl w:val="0"/>
              <w:rPr>
                <w:rFonts w:ascii="Times New Roman" w:hAnsi="Times New Roman" w:cs="Times New Roman"/>
                <w:b/>
                <w:color w:val="000000"/>
                <w:sz w:val="20"/>
                <w:szCs w:val="20"/>
                <w:lang w:val="en-GB" w:eastAsia="en-GB"/>
              </w:rPr>
            </w:pPr>
            <w:r w:rsidRPr="00CD1814">
              <w:rPr>
                <w:rFonts w:ascii="Times New Roman" w:hAnsi="Times New Roman" w:cs="Times New Roman"/>
                <w:b/>
                <w:color w:val="000000"/>
                <w:sz w:val="20"/>
                <w:szCs w:val="20"/>
                <w:lang w:val="en-GB" w:eastAsia="en-GB"/>
              </w:rPr>
              <w:t>*O (%)</w:t>
            </w:r>
          </w:p>
        </w:tc>
      </w:tr>
      <w:tr w:rsidR="001F659C" w:rsidRPr="00CD1814" w:rsidTr="00A225AA">
        <w:trPr>
          <w:trHeight w:val="64"/>
          <w:jc w:val="center"/>
        </w:trPr>
        <w:tc>
          <w:tcPr>
            <w:tcW w:w="0" w:type="auto"/>
            <w:tcBorders>
              <w:top w:val="single" w:sz="4" w:space="0" w:color="auto"/>
            </w:tcBorders>
            <w:noWrap/>
            <w:hideMark/>
          </w:tcPr>
          <w:p w:rsidR="001F659C" w:rsidRPr="00CD1814" w:rsidRDefault="001F659C" w:rsidP="009C62BB">
            <w:pPr>
              <w:spacing w:before="60" w:after="0" w:line="240" w:lineRule="auto"/>
              <w:jc w:val="both"/>
              <w:outlineLvl w:val="0"/>
              <w:rPr>
                <w:rFonts w:ascii="Times New Roman" w:hAnsi="Times New Roman" w:cs="Times New Roman"/>
                <w:b/>
                <w:color w:val="000000"/>
                <w:sz w:val="20"/>
                <w:szCs w:val="20"/>
                <w:lang w:val="en-GB" w:eastAsia="en-GB"/>
              </w:rPr>
            </w:pPr>
            <w:r w:rsidRPr="00CD1814">
              <w:rPr>
                <w:rFonts w:ascii="Times New Roman" w:hAnsi="Times New Roman" w:cs="Times New Roman"/>
                <w:color w:val="000000"/>
                <w:sz w:val="20"/>
                <w:szCs w:val="20"/>
                <w:lang w:val="en-GB" w:eastAsia="en-GB"/>
              </w:rPr>
              <w:t>Pyrolysis</w:t>
            </w:r>
          </w:p>
        </w:tc>
        <w:tc>
          <w:tcPr>
            <w:tcW w:w="0" w:type="auto"/>
            <w:tcBorders>
              <w:top w:val="single" w:sz="4" w:space="0" w:color="auto"/>
            </w:tcBorders>
            <w:noWrap/>
            <w:hideMark/>
          </w:tcPr>
          <w:p w:rsidR="001F659C" w:rsidRPr="00CD1814" w:rsidRDefault="001F659C" w:rsidP="009C62BB">
            <w:pPr>
              <w:spacing w:before="60" w:after="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Bio-oil 1</w:t>
            </w:r>
          </w:p>
        </w:tc>
        <w:tc>
          <w:tcPr>
            <w:tcW w:w="0" w:type="auto"/>
            <w:tcBorders>
              <w:top w:val="single" w:sz="4" w:space="0" w:color="auto"/>
            </w:tcBorders>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42.0</w:t>
            </w:r>
          </w:p>
        </w:tc>
        <w:tc>
          <w:tcPr>
            <w:tcW w:w="0" w:type="auto"/>
            <w:tcBorders>
              <w:top w:val="single" w:sz="4" w:space="0" w:color="auto"/>
            </w:tcBorders>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7.0</w:t>
            </w:r>
          </w:p>
        </w:tc>
        <w:tc>
          <w:tcPr>
            <w:tcW w:w="0" w:type="auto"/>
            <w:tcBorders>
              <w:top w:val="single" w:sz="4" w:space="0" w:color="auto"/>
            </w:tcBorders>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0.3</w:t>
            </w:r>
          </w:p>
        </w:tc>
        <w:tc>
          <w:tcPr>
            <w:tcW w:w="0" w:type="auto"/>
            <w:tcBorders>
              <w:top w:val="single" w:sz="4" w:space="0" w:color="auto"/>
            </w:tcBorders>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50.7</w:t>
            </w:r>
          </w:p>
        </w:tc>
      </w:tr>
      <w:tr w:rsidR="001F659C" w:rsidRPr="00CD1814" w:rsidTr="00A225AA">
        <w:trPr>
          <w:trHeight w:val="74"/>
          <w:jc w:val="center"/>
        </w:trPr>
        <w:tc>
          <w:tcPr>
            <w:tcW w:w="0" w:type="auto"/>
            <w:noWrap/>
            <w:hideMark/>
          </w:tcPr>
          <w:p w:rsidR="001F659C" w:rsidRPr="00CD1814" w:rsidRDefault="001F659C" w:rsidP="009C62BB">
            <w:pPr>
              <w:spacing w:before="60" w:after="0" w:line="240" w:lineRule="auto"/>
              <w:jc w:val="both"/>
              <w:outlineLvl w:val="0"/>
              <w:rPr>
                <w:rFonts w:ascii="Times New Roman" w:hAnsi="Times New Roman" w:cs="Times New Roman"/>
                <w:b/>
                <w:color w:val="000000"/>
                <w:sz w:val="20"/>
                <w:szCs w:val="20"/>
                <w:lang w:val="en-GB" w:eastAsia="en-GB"/>
              </w:rPr>
            </w:pPr>
          </w:p>
        </w:tc>
        <w:tc>
          <w:tcPr>
            <w:tcW w:w="0" w:type="auto"/>
            <w:noWrap/>
            <w:hideMark/>
          </w:tcPr>
          <w:p w:rsidR="001F659C" w:rsidRPr="00CD1814" w:rsidRDefault="001F659C" w:rsidP="009C62BB">
            <w:pPr>
              <w:spacing w:before="60" w:after="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Bio-oil 2</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43.0</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6.9</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0.4</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49.7</w:t>
            </w:r>
          </w:p>
        </w:tc>
      </w:tr>
      <w:tr w:rsidR="001F659C" w:rsidRPr="00CD1814" w:rsidTr="00A225AA">
        <w:trPr>
          <w:trHeight w:val="300"/>
          <w:jc w:val="center"/>
        </w:trPr>
        <w:tc>
          <w:tcPr>
            <w:tcW w:w="0" w:type="auto"/>
            <w:noWrap/>
            <w:hideMark/>
          </w:tcPr>
          <w:p w:rsidR="001F659C" w:rsidRPr="00CD1814" w:rsidRDefault="001F659C" w:rsidP="009C62BB">
            <w:pPr>
              <w:spacing w:before="60" w:after="60" w:line="240" w:lineRule="auto"/>
              <w:jc w:val="both"/>
              <w:outlineLvl w:val="0"/>
              <w:rPr>
                <w:rFonts w:ascii="Times New Roman" w:hAnsi="Times New Roman" w:cs="Times New Roman"/>
                <w:b/>
                <w:color w:val="000000"/>
                <w:sz w:val="20"/>
                <w:szCs w:val="20"/>
                <w:lang w:val="en-GB" w:eastAsia="en-GB"/>
              </w:rPr>
            </w:pPr>
          </w:p>
        </w:tc>
        <w:tc>
          <w:tcPr>
            <w:tcW w:w="0" w:type="auto"/>
            <w:noWrap/>
            <w:hideMark/>
          </w:tcPr>
          <w:p w:rsidR="001F659C" w:rsidRPr="00CD1814" w:rsidRDefault="001F659C" w:rsidP="009C62BB">
            <w:pPr>
              <w:spacing w:before="60" w:after="6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Bio-oil 3</w:t>
            </w:r>
          </w:p>
        </w:tc>
        <w:tc>
          <w:tcPr>
            <w:tcW w:w="0" w:type="auto"/>
            <w:noWrap/>
            <w:hideMark/>
          </w:tcPr>
          <w:p w:rsidR="001F659C" w:rsidRPr="00CD1814" w:rsidRDefault="001F659C" w:rsidP="009C62BB">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40.0</w:t>
            </w:r>
          </w:p>
        </w:tc>
        <w:tc>
          <w:tcPr>
            <w:tcW w:w="0" w:type="auto"/>
            <w:noWrap/>
            <w:hideMark/>
          </w:tcPr>
          <w:p w:rsidR="001F659C" w:rsidRPr="00CD1814" w:rsidRDefault="001F659C" w:rsidP="009C62BB">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7.0</w:t>
            </w:r>
          </w:p>
        </w:tc>
        <w:tc>
          <w:tcPr>
            <w:tcW w:w="0" w:type="auto"/>
            <w:noWrap/>
            <w:hideMark/>
          </w:tcPr>
          <w:p w:rsidR="001F659C" w:rsidRPr="00CD1814" w:rsidRDefault="001F659C" w:rsidP="009C62BB">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0.3</w:t>
            </w:r>
          </w:p>
        </w:tc>
        <w:tc>
          <w:tcPr>
            <w:tcW w:w="0" w:type="auto"/>
            <w:noWrap/>
            <w:hideMark/>
          </w:tcPr>
          <w:p w:rsidR="001F659C" w:rsidRPr="00CD1814" w:rsidRDefault="001F659C" w:rsidP="009C62BB">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52.7</w:t>
            </w:r>
          </w:p>
        </w:tc>
      </w:tr>
      <w:tr w:rsidR="001F659C" w:rsidRPr="00CD1814" w:rsidTr="00A225AA">
        <w:trPr>
          <w:trHeight w:val="74"/>
          <w:jc w:val="center"/>
        </w:trPr>
        <w:tc>
          <w:tcPr>
            <w:tcW w:w="0" w:type="auto"/>
            <w:noWrap/>
            <w:hideMark/>
          </w:tcPr>
          <w:p w:rsidR="001F659C" w:rsidRPr="00CD1814" w:rsidRDefault="001F659C" w:rsidP="009C62BB">
            <w:pPr>
              <w:spacing w:before="60" w:after="0" w:line="240" w:lineRule="auto"/>
              <w:jc w:val="both"/>
              <w:outlineLvl w:val="0"/>
              <w:rPr>
                <w:rFonts w:ascii="Times New Roman" w:hAnsi="Times New Roman" w:cs="Times New Roman"/>
                <w:b/>
                <w:color w:val="000000"/>
                <w:sz w:val="20"/>
                <w:szCs w:val="20"/>
                <w:lang w:val="en-GB" w:eastAsia="en-GB"/>
              </w:rPr>
            </w:pPr>
            <w:r w:rsidRPr="00CD1814">
              <w:rPr>
                <w:rFonts w:ascii="Times New Roman" w:hAnsi="Times New Roman" w:cs="Times New Roman"/>
                <w:color w:val="000000"/>
                <w:sz w:val="20"/>
                <w:szCs w:val="20"/>
                <w:lang w:val="en-GB" w:eastAsia="en-GB"/>
              </w:rPr>
              <w:t>Hydrous pyrolysis</w:t>
            </w:r>
          </w:p>
        </w:tc>
        <w:tc>
          <w:tcPr>
            <w:tcW w:w="0" w:type="auto"/>
            <w:noWrap/>
            <w:hideMark/>
          </w:tcPr>
          <w:p w:rsidR="001F659C" w:rsidRPr="00CD1814" w:rsidRDefault="001F659C" w:rsidP="009C62BB">
            <w:pPr>
              <w:spacing w:before="60" w:after="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 xml:space="preserve">Heavy oil (380 </w:t>
            </w:r>
            <w:r w:rsidRPr="00CD1814">
              <w:rPr>
                <w:rFonts w:ascii="Times New Roman" w:hAnsi="Times New Roman" w:cs="Times New Roman"/>
                <w:color w:val="000000"/>
                <w:sz w:val="20"/>
                <w:szCs w:val="20"/>
                <w:vertAlign w:val="superscript"/>
                <w:lang w:val="en-GB" w:eastAsia="en-GB"/>
              </w:rPr>
              <w:t>o</w:t>
            </w:r>
            <w:r w:rsidRPr="00CD1814">
              <w:rPr>
                <w:rFonts w:ascii="Times New Roman" w:hAnsi="Times New Roman" w:cs="Times New Roman"/>
                <w:color w:val="000000"/>
                <w:sz w:val="20"/>
                <w:szCs w:val="20"/>
                <w:lang w:val="en-GB" w:eastAsia="en-GB"/>
              </w:rPr>
              <w:t>C)</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74.0</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6.8</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0.6</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18.6</w:t>
            </w:r>
          </w:p>
        </w:tc>
      </w:tr>
      <w:tr w:rsidR="001F659C" w:rsidRPr="00CD1814" w:rsidTr="00A225AA">
        <w:trPr>
          <w:trHeight w:val="74"/>
          <w:jc w:val="center"/>
        </w:trPr>
        <w:tc>
          <w:tcPr>
            <w:tcW w:w="0" w:type="auto"/>
            <w:noWrap/>
            <w:hideMark/>
          </w:tcPr>
          <w:p w:rsidR="001F659C" w:rsidRPr="00CD1814" w:rsidRDefault="001F659C" w:rsidP="009C62BB">
            <w:pPr>
              <w:spacing w:before="60" w:after="0" w:line="240" w:lineRule="auto"/>
              <w:jc w:val="both"/>
              <w:outlineLvl w:val="0"/>
              <w:rPr>
                <w:rFonts w:ascii="Times New Roman" w:hAnsi="Times New Roman" w:cs="Times New Roman"/>
                <w:color w:val="000000"/>
                <w:sz w:val="20"/>
                <w:szCs w:val="20"/>
                <w:lang w:val="en-GB" w:eastAsia="en-GB"/>
              </w:rPr>
            </w:pPr>
          </w:p>
        </w:tc>
        <w:tc>
          <w:tcPr>
            <w:tcW w:w="0" w:type="auto"/>
            <w:noWrap/>
            <w:hideMark/>
          </w:tcPr>
          <w:p w:rsidR="001F659C" w:rsidRPr="00CD1814" w:rsidRDefault="001F659C" w:rsidP="009C62BB">
            <w:pPr>
              <w:spacing w:before="60" w:after="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 xml:space="preserve">Heavy oil (420 </w:t>
            </w:r>
            <w:r w:rsidRPr="00CD1814">
              <w:rPr>
                <w:rFonts w:ascii="Times New Roman" w:hAnsi="Times New Roman" w:cs="Times New Roman"/>
                <w:color w:val="000000"/>
                <w:sz w:val="20"/>
                <w:szCs w:val="20"/>
                <w:vertAlign w:val="superscript"/>
                <w:lang w:val="en-GB" w:eastAsia="en-GB"/>
              </w:rPr>
              <w:t>o</w:t>
            </w:r>
            <w:r w:rsidRPr="00CD1814">
              <w:rPr>
                <w:rFonts w:ascii="Times New Roman" w:hAnsi="Times New Roman" w:cs="Times New Roman"/>
                <w:color w:val="000000"/>
                <w:sz w:val="20"/>
                <w:szCs w:val="20"/>
                <w:lang w:val="en-GB" w:eastAsia="en-GB"/>
              </w:rPr>
              <w:t>C)</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77.0</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7.1</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0.6</w:t>
            </w:r>
          </w:p>
        </w:tc>
        <w:tc>
          <w:tcPr>
            <w:tcW w:w="0" w:type="auto"/>
            <w:noWrap/>
            <w:hideMark/>
          </w:tcPr>
          <w:p w:rsidR="001F659C" w:rsidRPr="00CD1814" w:rsidRDefault="001F659C" w:rsidP="009C62BB">
            <w:pPr>
              <w:spacing w:before="60" w:after="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15.3</w:t>
            </w:r>
          </w:p>
        </w:tc>
      </w:tr>
      <w:tr w:rsidR="001F659C" w:rsidRPr="00CD1814" w:rsidTr="00A225AA">
        <w:trPr>
          <w:trHeight w:val="345"/>
          <w:jc w:val="center"/>
        </w:trPr>
        <w:tc>
          <w:tcPr>
            <w:tcW w:w="0" w:type="auto"/>
            <w:noWrap/>
            <w:hideMark/>
          </w:tcPr>
          <w:p w:rsidR="001F659C" w:rsidRPr="00CD1814" w:rsidRDefault="001F659C" w:rsidP="009C62BB">
            <w:pPr>
              <w:spacing w:before="60" w:after="6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 </w:t>
            </w:r>
          </w:p>
        </w:tc>
        <w:tc>
          <w:tcPr>
            <w:tcW w:w="0" w:type="auto"/>
            <w:noWrap/>
            <w:hideMark/>
          </w:tcPr>
          <w:p w:rsidR="001F659C" w:rsidRPr="00CD1814" w:rsidRDefault="001F659C" w:rsidP="009C62BB">
            <w:pPr>
              <w:spacing w:before="60" w:after="60" w:line="240" w:lineRule="auto"/>
              <w:jc w:val="both"/>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 xml:space="preserve">Heavy oil (480 </w:t>
            </w:r>
            <w:r w:rsidRPr="00CD1814">
              <w:rPr>
                <w:rFonts w:ascii="Times New Roman" w:hAnsi="Times New Roman" w:cs="Times New Roman"/>
                <w:color w:val="000000"/>
                <w:sz w:val="20"/>
                <w:szCs w:val="20"/>
                <w:vertAlign w:val="superscript"/>
                <w:lang w:val="en-GB" w:eastAsia="en-GB"/>
              </w:rPr>
              <w:t>o</w:t>
            </w:r>
            <w:r w:rsidRPr="00CD1814">
              <w:rPr>
                <w:rFonts w:ascii="Times New Roman" w:hAnsi="Times New Roman" w:cs="Times New Roman"/>
                <w:color w:val="000000"/>
                <w:sz w:val="20"/>
                <w:szCs w:val="20"/>
                <w:lang w:val="en-GB" w:eastAsia="en-GB"/>
              </w:rPr>
              <w:t>C)</w:t>
            </w:r>
          </w:p>
        </w:tc>
        <w:tc>
          <w:tcPr>
            <w:tcW w:w="0" w:type="auto"/>
            <w:noWrap/>
            <w:hideMark/>
          </w:tcPr>
          <w:p w:rsidR="001F659C" w:rsidRPr="00CD1814" w:rsidRDefault="001F659C" w:rsidP="009C62BB">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81.0</w:t>
            </w:r>
          </w:p>
        </w:tc>
        <w:tc>
          <w:tcPr>
            <w:tcW w:w="0" w:type="auto"/>
            <w:noWrap/>
            <w:hideMark/>
          </w:tcPr>
          <w:p w:rsidR="001F659C" w:rsidRPr="00CD1814" w:rsidRDefault="001F659C" w:rsidP="009C62BB">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7.3</w:t>
            </w:r>
          </w:p>
        </w:tc>
        <w:tc>
          <w:tcPr>
            <w:tcW w:w="0" w:type="auto"/>
            <w:noWrap/>
            <w:hideMark/>
          </w:tcPr>
          <w:p w:rsidR="001F659C" w:rsidRPr="00CD1814" w:rsidRDefault="001F659C" w:rsidP="009C62BB">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0.5</w:t>
            </w:r>
          </w:p>
        </w:tc>
        <w:tc>
          <w:tcPr>
            <w:tcW w:w="0" w:type="auto"/>
            <w:noWrap/>
            <w:hideMark/>
          </w:tcPr>
          <w:p w:rsidR="001F659C" w:rsidRPr="00CD1814" w:rsidRDefault="001F659C" w:rsidP="009C62BB">
            <w:pPr>
              <w:spacing w:before="60" w:after="60" w:line="240" w:lineRule="auto"/>
              <w:jc w:val="center"/>
              <w:outlineLvl w:val="0"/>
              <w:rPr>
                <w:rFonts w:ascii="Times New Roman" w:hAnsi="Times New Roman" w:cs="Times New Roman"/>
                <w:color w:val="000000"/>
                <w:sz w:val="20"/>
                <w:szCs w:val="20"/>
                <w:lang w:val="en-GB" w:eastAsia="en-GB"/>
              </w:rPr>
            </w:pPr>
            <w:r w:rsidRPr="00CD1814">
              <w:rPr>
                <w:rFonts w:ascii="Times New Roman" w:hAnsi="Times New Roman" w:cs="Times New Roman"/>
                <w:color w:val="000000"/>
                <w:sz w:val="20"/>
                <w:szCs w:val="20"/>
                <w:lang w:val="en-GB" w:eastAsia="en-GB"/>
              </w:rPr>
              <w:t>11.2</w:t>
            </w:r>
          </w:p>
        </w:tc>
      </w:tr>
    </w:tbl>
    <w:p w:rsidR="001F659C" w:rsidRPr="009C62BB" w:rsidRDefault="001F659C" w:rsidP="009C62BB">
      <w:pPr>
        <w:spacing w:before="60" w:after="0" w:line="240" w:lineRule="auto"/>
        <w:ind w:left="720"/>
        <w:jc w:val="both"/>
        <w:outlineLvl w:val="0"/>
        <w:rPr>
          <w:rFonts w:ascii="Times New Roman" w:hAnsi="Times New Roman"/>
          <w:sz w:val="18"/>
          <w:szCs w:val="18"/>
        </w:rPr>
      </w:pPr>
      <w:r w:rsidRPr="009C62BB">
        <w:rPr>
          <w:rFonts w:ascii="Times New Roman" w:hAnsi="Times New Roman"/>
          <w:sz w:val="18"/>
          <w:szCs w:val="18"/>
        </w:rPr>
        <w:t xml:space="preserve">     </w:t>
      </w:r>
      <w:r w:rsidR="009C62BB">
        <w:rPr>
          <w:rFonts w:ascii="Times New Roman" w:hAnsi="Times New Roman"/>
          <w:sz w:val="18"/>
          <w:szCs w:val="18"/>
        </w:rPr>
        <w:t xml:space="preserve">     </w:t>
      </w:r>
      <w:r w:rsidRPr="009C62BB">
        <w:rPr>
          <w:rFonts w:ascii="Times New Roman" w:hAnsi="Times New Roman"/>
          <w:sz w:val="18"/>
          <w:szCs w:val="18"/>
        </w:rPr>
        <w:t xml:space="preserve">    *Oxygen by difference</w:t>
      </w:r>
    </w:p>
    <w:p w:rsidR="00AC0033" w:rsidRDefault="00AC0033" w:rsidP="00AC0033">
      <w:pPr>
        <w:spacing w:after="0" w:line="240" w:lineRule="auto"/>
        <w:jc w:val="center"/>
        <w:rPr>
          <w:rFonts w:ascii="Times New Roman" w:hAnsi="Times New Roman"/>
          <w:noProof/>
          <w:sz w:val="20"/>
          <w:szCs w:val="20"/>
          <w:lang w:bidi="ar-SA"/>
        </w:rPr>
      </w:pPr>
    </w:p>
    <w:p w:rsidR="009C62BB" w:rsidRPr="009C62BB" w:rsidRDefault="009C62BB" w:rsidP="009C62BB">
      <w:pPr>
        <w:spacing w:after="0" w:line="240" w:lineRule="auto"/>
        <w:jc w:val="center"/>
        <w:rPr>
          <w:rFonts w:ascii="Times New Roman" w:hAnsi="Times New Roman"/>
          <w:noProof/>
          <w:sz w:val="20"/>
          <w:szCs w:val="20"/>
          <w:lang w:bidi="ar-SA"/>
        </w:rPr>
      </w:pPr>
    </w:p>
    <w:p w:rsidR="00AC0033" w:rsidRPr="009C62BB" w:rsidRDefault="00AC0033" w:rsidP="009C62BB">
      <w:pPr>
        <w:spacing w:after="0" w:line="240" w:lineRule="auto"/>
        <w:jc w:val="center"/>
        <w:rPr>
          <w:rFonts w:ascii="Times New Roman" w:hAnsi="Times New Roman"/>
          <w:b/>
          <w:noProof/>
          <w:sz w:val="20"/>
          <w:szCs w:val="20"/>
          <w:lang w:bidi="ar-SA"/>
        </w:rPr>
      </w:pPr>
      <w:r w:rsidRPr="009C62BB">
        <w:rPr>
          <w:rFonts w:ascii="Times New Roman" w:hAnsi="Times New Roman"/>
          <w:b/>
          <w:noProof/>
          <w:sz w:val="20"/>
          <w:szCs w:val="20"/>
          <w:lang w:bidi="ar-SA"/>
        </w:rPr>
        <w:t>Conclusion</w:t>
      </w:r>
    </w:p>
    <w:p w:rsidR="009C62BB" w:rsidRPr="009C62BB" w:rsidRDefault="009C62BB" w:rsidP="009C62BB">
      <w:pPr>
        <w:spacing w:after="0" w:line="240" w:lineRule="auto"/>
        <w:jc w:val="both"/>
        <w:outlineLvl w:val="0"/>
        <w:rPr>
          <w:rFonts w:ascii="Times New Roman" w:hAnsi="Times New Roman"/>
          <w:sz w:val="20"/>
          <w:szCs w:val="20"/>
        </w:rPr>
      </w:pPr>
      <w:r w:rsidRPr="009C62BB">
        <w:rPr>
          <w:rFonts w:ascii="Times New Roman" w:hAnsi="Times New Roman"/>
          <w:sz w:val="20"/>
          <w:szCs w:val="20"/>
        </w:rPr>
        <w:t xml:space="preserve">The MSW in Perlis mainly consists of plastic and paper followed by food waste, wood, yard waste and polystyrene. Referring to the wide range of wastes, the thermogravimetric analysis displays a broad range of degradation temperature starting from 200 </w:t>
      </w:r>
      <w:r w:rsidRPr="009C62BB">
        <w:rPr>
          <w:rFonts w:ascii="Times New Roman" w:hAnsi="Times New Roman"/>
          <w:sz w:val="20"/>
          <w:szCs w:val="20"/>
          <w:vertAlign w:val="superscript"/>
        </w:rPr>
        <w:t>o</w:t>
      </w:r>
      <w:r w:rsidRPr="009C62BB">
        <w:rPr>
          <w:rFonts w:ascii="Times New Roman" w:hAnsi="Times New Roman"/>
          <w:sz w:val="20"/>
          <w:szCs w:val="20"/>
        </w:rPr>
        <w:t xml:space="preserve">C to 800 </w:t>
      </w:r>
      <w:r w:rsidRPr="009C62BB">
        <w:rPr>
          <w:rFonts w:ascii="Times New Roman" w:hAnsi="Times New Roman"/>
          <w:sz w:val="20"/>
          <w:szCs w:val="20"/>
          <w:vertAlign w:val="superscript"/>
        </w:rPr>
        <w:t>o</w:t>
      </w:r>
      <w:r w:rsidRPr="009C62BB">
        <w:rPr>
          <w:rFonts w:ascii="Times New Roman" w:hAnsi="Times New Roman"/>
          <w:sz w:val="20"/>
          <w:szCs w:val="20"/>
        </w:rPr>
        <w:t xml:space="preserve">C.  DTG curves illustrate the fast decompositions that occurred at 350 </w:t>
      </w:r>
      <w:r w:rsidRPr="009C62BB">
        <w:rPr>
          <w:rFonts w:ascii="Times New Roman" w:hAnsi="Times New Roman"/>
          <w:sz w:val="20"/>
          <w:szCs w:val="20"/>
          <w:vertAlign w:val="superscript"/>
        </w:rPr>
        <w:t>o</w:t>
      </w:r>
      <w:r w:rsidRPr="009C62BB">
        <w:rPr>
          <w:rFonts w:ascii="Times New Roman" w:hAnsi="Times New Roman"/>
          <w:sz w:val="20"/>
          <w:szCs w:val="20"/>
        </w:rPr>
        <w:t xml:space="preserve">C, 430 </w:t>
      </w:r>
      <w:r w:rsidRPr="009C62BB">
        <w:rPr>
          <w:rFonts w:ascii="Times New Roman" w:hAnsi="Times New Roman"/>
          <w:sz w:val="20"/>
          <w:szCs w:val="20"/>
          <w:vertAlign w:val="superscript"/>
        </w:rPr>
        <w:t>o</w:t>
      </w:r>
      <w:r w:rsidRPr="009C62BB">
        <w:rPr>
          <w:rFonts w:ascii="Times New Roman" w:hAnsi="Times New Roman"/>
          <w:sz w:val="20"/>
          <w:szCs w:val="20"/>
        </w:rPr>
        <w:t xml:space="preserve">C and 700 </w:t>
      </w:r>
      <w:r w:rsidRPr="009C62BB">
        <w:rPr>
          <w:rFonts w:ascii="Times New Roman" w:hAnsi="Times New Roman"/>
          <w:sz w:val="20"/>
          <w:szCs w:val="20"/>
          <w:vertAlign w:val="superscript"/>
        </w:rPr>
        <w:t>o</w:t>
      </w:r>
      <w:r w:rsidRPr="009C62BB">
        <w:rPr>
          <w:rFonts w:ascii="Times New Roman" w:hAnsi="Times New Roman"/>
          <w:sz w:val="20"/>
          <w:szCs w:val="20"/>
        </w:rPr>
        <w:t xml:space="preserve">C which represent different waste components.  For each TG experiment, the weight loss of MSW due to temperature cannot be simulated by considering a single decomposition reaction. CVs calculation employing traditional method gave a lower error compared to the physical method. The physical composition method could be employed for MSW CVs calculation if the MSW compositions are influenced by ratio of plastic to paper.  Bio-oil production via fast pyrolysis route gave higher liquid yield of ~35% with high oxygen content of ~49 – 53%. Heavy oil recovered from hydrous pyrolysis experiments gave low yield of ~7 –12%, however with low oxygen content of ~11 – 18%. </w:t>
      </w:r>
    </w:p>
    <w:p w:rsidR="009C62BB" w:rsidRPr="009C62BB" w:rsidRDefault="009C62BB" w:rsidP="009C62BB">
      <w:pPr>
        <w:spacing w:after="0" w:line="240" w:lineRule="auto"/>
        <w:jc w:val="center"/>
        <w:outlineLvl w:val="0"/>
        <w:rPr>
          <w:rFonts w:ascii="Times New Roman" w:hAnsi="Times New Roman"/>
          <w:b/>
          <w:sz w:val="20"/>
          <w:szCs w:val="20"/>
        </w:rPr>
      </w:pPr>
    </w:p>
    <w:p w:rsidR="009C62BB" w:rsidRPr="009C62BB" w:rsidRDefault="009C62BB" w:rsidP="009C62BB">
      <w:pPr>
        <w:spacing w:after="0" w:line="240" w:lineRule="auto"/>
        <w:jc w:val="center"/>
        <w:outlineLvl w:val="0"/>
        <w:rPr>
          <w:rFonts w:ascii="Times New Roman" w:hAnsi="Times New Roman"/>
          <w:b/>
          <w:sz w:val="20"/>
          <w:szCs w:val="20"/>
        </w:rPr>
      </w:pPr>
      <w:r w:rsidRPr="009C62BB">
        <w:rPr>
          <w:rFonts w:ascii="Times New Roman" w:hAnsi="Times New Roman"/>
          <w:b/>
          <w:sz w:val="20"/>
          <w:szCs w:val="20"/>
        </w:rPr>
        <w:t>Acknowledgement</w:t>
      </w:r>
    </w:p>
    <w:p w:rsidR="00AC0033" w:rsidRPr="00F447A7" w:rsidRDefault="009C62BB" w:rsidP="009C62BB">
      <w:pPr>
        <w:spacing w:after="0" w:line="240" w:lineRule="auto"/>
        <w:jc w:val="both"/>
        <w:rPr>
          <w:rFonts w:ascii="Times New Roman" w:hAnsi="Times New Roman"/>
          <w:sz w:val="20"/>
          <w:szCs w:val="20"/>
        </w:rPr>
      </w:pPr>
      <w:r w:rsidRPr="009C62BB">
        <w:rPr>
          <w:rFonts w:ascii="Times New Roman" w:hAnsi="Times New Roman"/>
          <w:sz w:val="20"/>
          <w:szCs w:val="20"/>
        </w:rPr>
        <w:t>The researchers thank Universiti Malaysia Perlis for funding this work.</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C62BB" w:rsidRPr="009C62BB" w:rsidRDefault="009C62BB" w:rsidP="009C62BB">
      <w:pPr>
        <w:pStyle w:val="ListParagraph"/>
        <w:widowControl w:val="0"/>
        <w:numPr>
          <w:ilvl w:val="0"/>
          <w:numId w:val="3"/>
        </w:numPr>
        <w:tabs>
          <w:tab w:val="left" w:pos="540"/>
        </w:tabs>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Hannan, M. A., </w:t>
      </w:r>
      <w:r>
        <w:rPr>
          <w:rFonts w:ascii="Times New Roman" w:hAnsi="Times New Roman"/>
          <w:sz w:val="20"/>
          <w:szCs w:val="20"/>
        </w:rPr>
        <w:t xml:space="preserve"> </w:t>
      </w:r>
      <w:r w:rsidRPr="009C62BB">
        <w:rPr>
          <w:rFonts w:ascii="Times New Roman" w:hAnsi="Times New Roman"/>
          <w:sz w:val="20"/>
          <w:szCs w:val="20"/>
        </w:rPr>
        <w:t xml:space="preserve">Arebey, M., </w:t>
      </w:r>
      <w:r>
        <w:rPr>
          <w:rFonts w:ascii="Times New Roman" w:hAnsi="Times New Roman"/>
          <w:sz w:val="20"/>
          <w:szCs w:val="20"/>
        </w:rPr>
        <w:t xml:space="preserve"> </w:t>
      </w:r>
      <w:r w:rsidRPr="009C62BB">
        <w:rPr>
          <w:rFonts w:ascii="Times New Roman" w:hAnsi="Times New Roman"/>
          <w:sz w:val="20"/>
          <w:szCs w:val="20"/>
        </w:rPr>
        <w:t xml:space="preserve">Basri, H. and </w:t>
      </w:r>
      <w:r>
        <w:rPr>
          <w:rFonts w:ascii="Times New Roman" w:hAnsi="Times New Roman"/>
          <w:sz w:val="20"/>
          <w:szCs w:val="20"/>
        </w:rPr>
        <w:t xml:space="preserve"> </w:t>
      </w:r>
      <w:r w:rsidRPr="009C62BB">
        <w:rPr>
          <w:rFonts w:ascii="Times New Roman" w:hAnsi="Times New Roman"/>
          <w:sz w:val="20"/>
          <w:szCs w:val="20"/>
        </w:rPr>
        <w:t>Begum, R. A. (2010).</w:t>
      </w:r>
      <w:r>
        <w:rPr>
          <w:rFonts w:ascii="Times New Roman" w:hAnsi="Times New Roman"/>
          <w:sz w:val="20"/>
          <w:szCs w:val="20"/>
        </w:rPr>
        <w:t xml:space="preserve"> </w:t>
      </w:r>
      <w:r w:rsidRPr="009C62BB">
        <w:rPr>
          <w:rFonts w:ascii="Times New Roman" w:hAnsi="Times New Roman"/>
          <w:sz w:val="20"/>
          <w:szCs w:val="20"/>
        </w:rPr>
        <w:t xml:space="preserve"> Intelligent </w:t>
      </w:r>
      <w:r>
        <w:rPr>
          <w:rFonts w:ascii="Times New Roman" w:hAnsi="Times New Roman"/>
          <w:sz w:val="20"/>
          <w:szCs w:val="20"/>
        </w:rPr>
        <w:t xml:space="preserve"> </w:t>
      </w:r>
      <w:r w:rsidRPr="009C62BB">
        <w:rPr>
          <w:rFonts w:ascii="Times New Roman" w:hAnsi="Times New Roman"/>
          <w:sz w:val="20"/>
          <w:szCs w:val="20"/>
        </w:rPr>
        <w:t xml:space="preserve">solid waste bin monitoring and management system. </w:t>
      </w:r>
      <w:r w:rsidRPr="009C62BB">
        <w:rPr>
          <w:rFonts w:ascii="Times New Roman" w:hAnsi="Times New Roman"/>
          <w:i/>
          <w:sz w:val="20"/>
          <w:szCs w:val="20"/>
        </w:rPr>
        <w:t>Australian Journal of Basic and Applied Sciences</w:t>
      </w:r>
      <w:r w:rsidRPr="009C62BB">
        <w:rPr>
          <w:rFonts w:ascii="Times New Roman" w:hAnsi="Times New Roman"/>
          <w:sz w:val="20"/>
          <w:szCs w:val="20"/>
        </w:rPr>
        <w:t>, 4(10): 5314 – 5319.</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Cheng, H. and </w:t>
      </w:r>
      <w:r>
        <w:rPr>
          <w:rFonts w:ascii="Times New Roman" w:hAnsi="Times New Roman"/>
          <w:sz w:val="20"/>
          <w:szCs w:val="20"/>
        </w:rPr>
        <w:t xml:space="preserve"> </w:t>
      </w:r>
      <w:r w:rsidRPr="009C62BB">
        <w:rPr>
          <w:rFonts w:ascii="Times New Roman" w:hAnsi="Times New Roman"/>
          <w:sz w:val="20"/>
          <w:szCs w:val="20"/>
        </w:rPr>
        <w:t>Hu, Y. (2010).</w:t>
      </w:r>
      <w:r>
        <w:rPr>
          <w:rFonts w:ascii="Times New Roman" w:hAnsi="Times New Roman"/>
          <w:sz w:val="20"/>
          <w:szCs w:val="20"/>
        </w:rPr>
        <w:t xml:space="preserve"> </w:t>
      </w:r>
      <w:r w:rsidRPr="009C62BB">
        <w:rPr>
          <w:rFonts w:ascii="Times New Roman" w:hAnsi="Times New Roman"/>
          <w:sz w:val="20"/>
          <w:szCs w:val="20"/>
        </w:rPr>
        <w:t xml:space="preserve"> Municipal </w:t>
      </w:r>
      <w:r>
        <w:rPr>
          <w:rFonts w:ascii="Times New Roman" w:hAnsi="Times New Roman"/>
          <w:sz w:val="20"/>
          <w:szCs w:val="20"/>
        </w:rPr>
        <w:t xml:space="preserve"> </w:t>
      </w:r>
      <w:r w:rsidRPr="009C62BB">
        <w:rPr>
          <w:rFonts w:ascii="Times New Roman" w:hAnsi="Times New Roman"/>
          <w:sz w:val="20"/>
          <w:szCs w:val="20"/>
        </w:rPr>
        <w:t xml:space="preserve">solid </w:t>
      </w:r>
      <w:r>
        <w:rPr>
          <w:rFonts w:ascii="Times New Roman" w:hAnsi="Times New Roman"/>
          <w:sz w:val="20"/>
          <w:szCs w:val="20"/>
        </w:rPr>
        <w:t xml:space="preserve"> </w:t>
      </w:r>
      <w:r w:rsidRPr="009C62BB">
        <w:rPr>
          <w:rFonts w:ascii="Times New Roman" w:hAnsi="Times New Roman"/>
          <w:sz w:val="20"/>
          <w:szCs w:val="20"/>
        </w:rPr>
        <w:t xml:space="preserve">waste </w:t>
      </w:r>
      <w:r>
        <w:rPr>
          <w:rFonts w:ascii="Times New Roman" w:hAnsi="Times New Roman"/>
          <w:sz w:val="20"/>
          <w:szCs w:val="20"/>
        </w:rPr>
        <w:t xml:space="preserve"> </w:t>
      </w:r>
      <w:r w:rsidRPr="009C62BB">
        <w:rPr>
          <w:rFonts w:ascii="Times New Roman" w:hAnsi="Times New Roman"/>
          <w:sz w:val="20"/>
          <w:szCs w:val="20"/>
        </w:rPr>
        <w:t>(MSW) as a renewable</w:t>
      </w:r>
      <w:r>
        <w:rPr>
          <w:rFonts w:ascii="Times New Roman" w:hAnsi="Times New Roman"/>
          <w:sz w:val="20"/>
          <w:szCs w:val="20"/>
        </w:rPr>
        <w:t xml:space="preserve"> </w:t>
      </w:r>
      <w:r w:rsidRPr="009C62BB">
        <w:rPr>
          <w:rFonts w:ascii="Times New Roman" w:hAnsi="Times New Roman"/>
          <w:sz w:val="20"/>
          <w:szCs w:val="20"/>
        </w:rPr>
        <w:t xml:space="preserve"> source of</w:t>
      </w:r>
      <w:r>
        <w:rPr>
          <w:rFonts w:ascii="Times New Roman" w:hAnsi="Times New Roman"/>
          <w:sz w:val="20"/>
          <w:szCs w:val="20"/>
        </w:rPr>
        <w:t xml:space="preserve"> </w:t>
      </w:r>
      <w:r w:rsidRPr="009C62BB">
        <w:rPr>
          <w:rFonts w:ascii="Times New Roman" w:hAnsi="Times New Roman"/>
          <w:sz w:val="20"/>
          <w:szCs w:val="20"/>
        </w:rPr>
        <w:t xml:space="preserve"> energy: Current and future practices in China. </w:t>
      </w:r>
      <w:r w:rsidRPr="009C62BB">
        <w:rPr>
          <w:rFonts w:ascii="Times New Roman" w:hAnsi="Times New Roman"/>
          <w:i/>
          <w:sz w:val="20"/>
          <w:szCs w:val="20"/>
        </w:rPr>
        <w:t>Bioresource Technology</w:t>
      </w:r>
      <w:r w:rsidRPr="009C62BB">
        <w:rPr>
          <w:rFonts w:ascii="Times New Roman" w:hAnsi="Times New Roman"/>
          <w:sz w:val="20"/>
          <w:szCs w:val="20"/>
        </w:rPr>
        <w:t xml:space="preserve">, 101(11): 3816 – 3824. </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Johari, A., </w:t>
      </w:r>
      <w:r>
        <w:rPr>
          <w:rFonts w:ascii="Times New Roman" w:hAnsi="Times New Roman"/>
          <w:sz w:val="20"/>
          <w:szCs w:val="20"/>
        </w:rPr>
        <w:t xml:space="preserve"> </w:t>
      </w:r>
      <w:r w:rsidRPr="009C62BB">
        <w:rPr>
          <w:rFonts w:ascii="Times New Roman" w:hAnsi="Times New Roman"/>
          <w:sz w:val="20"/>
          <w:szCs w:val="20"/>
        </w:rPr>
        <w:t xml:space="preserve">Alkali, H., </w:t>
      </w:r>
      <w:r>
        <w:rPr>
          <w:rFonts w:ascii="Times New Roman" w:hAnsi="Times New Roman"/>
          <w:sz w:val="20"/>
          <w:szCs w:val="20"/>
        </w:rPr>
        <w:t xml:space="preserve"> </w:t>
      </w:r>
      <w:r w:rsidRPr="009C62BB">
        <w:rPr>
          <w:rFonts w:ascii="Times New Roman" w:hAnsi="Times New Roman"/>
          <w:sz w:val="20"/>
          <w:szCs w:val="20"/>
        </w:rPr>
        <w:t xml:space="preserve">Hasyim, H., Ahmed, S. and </w:t>
      </w:r>
      <w:r>
        <w:rPr>
          <w:rFonts w:ascii="Times New Roman" w:hAnsi="Times New Roman"/>
          <w:sz w:val="20"/>
          <w:szCs w:val="20"/>
        </w:rPr>
        <w:t xml:space="preserve"> </w:t>
      </w:r>
      <w:r w:rsidRPr="009C62BB">
        <w:rPr>
          <w:rFonts w:ascii="Times New Roman" w:hAnsi="Times New Roman"/>
          <w:sz w:val="20"/>
          <w:szCs w:val="20"/>
        </w:rPr>
        <w:t>Mat, R.</w:t>
      </w:r>
      <w:r>
        <w:rPr>
          <w:rFonts w:ascii="Times New Roman" w:hAnsi="Times New Roman"/>
          <w:sz w:val="20"/>
          <w:szCs w:val="20"/>
        </w:rPr>
        <w:t xml:space="preserve"> </w:t>
      </w:r>
      <w:r w:rsidRPr="009C62BB">
        <w:rPr>
          <w:rFonts w:ascii="Times New Roman" w:hAnsi="Times New Roman"/>
          <w:sz w:val="20"/>
          <w:szCs w:val="20"/>
        </w:rPr>
        <w:t xml:space="preserve"> (2014). </w:t>
      </w:r>
      <w:r>
        <w:rPr>
          <w:rFonts w:ascii="Times New Roman" w:hAnsi="Times New Roman"/>
          <w:sz w:val="20"/>
          <w:szCs w:val="20"/>
        </w:rPr>
        <w:t xml:space="preserve"> </w:t>
      </w:r>
      <w:r w:rsidRPr="009C62BB">
        <w:rPr>
          <w:rFonts w:ascii="Times New Roman" w:hAnsi="Times New Roman"/>
          <w:sz w:val="20"/>
          <w:szCs w:val="20"/>
        </w:rPr>
        <w:t>Municipal</w:t>
      </w:r>
      <w:r>
        <w:rPr>
          <w:rFonts w:ascii="Times New Roman" w:hAnsi="Times New Roman"/>
          <w:sz w:val="20"/>
          <w:szCs w:val="20"/>
        </w:rPr>
        <w:t xml:space="preserve"> </w:t>
      </w:r>
      <w:r w:rsidRPr="009C62BB">
        <w:rPr>
          <w:rFonts w:ascii="Times New Roman" w:hAnsi="Times New Roman"/>
          <w:sz w:val="20"/>
          <w:szCs w:val="20"/>
        </w:rPr>
        <w:t xml:space="preserve"> solid </w:t>
      </w:r>
      <w:r>
        <w:rPr>
          <w:rFonts w:ascii="Times New Roman" w:hAnsi="Times New Roman"/>
          <w:sz w:val="20"/>
          <w:szCs w:val="20"/>
        </w:rPr>
        <w:t xml:space="preserve"> </w:t>
      </w:r>
      <w:r w:rsidRPr="009C62BB">
        <w:rPr>
          <w:rFonts w:ascii="Times New Roman" w:hAnsi="Times New Roman"/>
          <w:sz w:val="20"/>
          <w:szCs w:val="20"/>
        </w:rPr>
        <w:t xml:space="preserve">waste management and potential revenue from recycling in Malaysia. </w:t>
      </w:r>
      <w:r w:rsidRPr="009C62BB">
        <w:rPr>
          <w:rFonts w:ascii="Times New Roman" w:hAnsi="Times New Roman"/>
          <w:i/>
          <w:sz w:val="20"/>
          <w:szCs w:val="20"/>
        </w:rPr>
        <w:t>Modern Applied Science</w:t>
      </w:r>
      <w:r w:rsidRPr="009C62BB">
        <w:rPr>
          <w:rFonts w:ascii="Times New Roman" w:hAnsi="Times New Roman"/>
          <w:sz w:val="20"/>
          <w:szCs w:val="20"/>
        </w:rPr>
        <w:t>, 8(4): 37 – 49.</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Syed, A. K. S. A., Abidin, H. Z., Sulaiman, M. R., Khoo, K. H. and Ali, H. (2008). Combustion characteristics of Malaysian municipal solid waste and predictions of air flow in a rotary kiln incinerator. </w:t>
      </w:r>
      <w:r w:rsidRPr="009C62BB">
        <w:rPr>
          <w:rFonts w:ascii="Times New Roman" w:hAnsi="Times New Roman"/>
          <w:i/>
          <w:sz w:val="20"/>
          <w:szCs w:val="20"/>
        </w:rPr>
        <w:t xml:space="preserve">Journal of Material Cycles Waste Management, </w:t>
      </w:r>
      <w:r w:rsidRPr="009C62BB">
        <w:rPr>
          <w:rFonts w:ascii="Times New Roman" w:hAnsi="Times New Roman"/>
          <w:sz w:val="20"/>
          <w:szCs w:val="20"/>
        </w:rPr>
        <w:t xml:space="preserve">10: 116 – 123. </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Abu-Qudais, M. and </w:t>
      </w:r>
      <w:r w:rsidR="000D2E06">
        <w:rPr>
          <w:rFonts w:ascii="Times New Roman" w:hAnsi="Times New Roman"/>
          <w:sz w:val="20"/>
          <w:szCs w:val="20"/>
        </w:rPr>
        <w:t xml:space="preserve"> </w:t>
      </w:r>
      <w:r w:rsidRPr="009C62BB">
        <w:rPr>
          <w:rFonts w:ascii="Times New Roman" w:hAnsi="Times New Roman"/>
          <w:sz w:val="20"/>
          <w:szCs w:val="20"/>
        </w:rPr>
        <w:t>Abu-Qdais, H. A.</w:t>
      </w:r>
      <w:r w:rsidR="000D2E06">
        <w:rPr>
          <w:rFonts w:ascii="Times New Roman" w:hAnsi="Times New Roman"/>
          <w:sz w:val="20"/>
          <w:szCs w:val="20"/>
        </w:rPr>
        <w:t xml:space="preserve"> </w:t>
      </w:r>
      <w:r w:rsidRPr="009C62BB">
        <w:rPr>
          <w:rFonts w:ascii="Times New Roman" w:hAnsi="Times New Roman"/>
          <w:sz w:val="20"/>
          <w:szCs w:val="20"/>
        </w:rPr>
        <w:t xml:space="preserve"> (2000). </w:t>
      </w:r>
      <w:r w:rsidR="000D2E06">
        <w:rPr>
          <w:rFonts w:ascii="Times New Roman" w:hAnsi="Times New Roman"/>
          <w:sz w:val="20"/>
          <w:szCs w:val="20"/>
        </w:rPr>
        <w:t xml:space="preserve"> </w:t>
      </w:r>
      <w:r w:rsidRPr="009C62BB">
        <w:rPr>
          <w:rFonts w:ascii="Times New Roman" w:hAnsi="Times New Roman"/>
          <w:sz w:val="20"/>
          <w:szCs w:val="20"/>
        </w:rPr>
        <w:t xml:space="preserve">Energy </w:t>
      </w:r>
      <w:r w:rsidR="000D2E06">
        <w:rPr>
          <w:rFonts w:ascii="Times New Roman" w:hAnsi="Times New Roman"/>
          <w:sz w:val="20"/>
          <w:szCs w:val="20"/>
        </w:rPr>
        <w:t xml:space="preserve"> </w:t>
      </w:r>
      <w:r w:rsidRPr="009C62BB">
        <w:rPr>
          <w:rFonts w:ascii="Times New Roman" w:hAnsi="Times New Roman"/>
          <w:sz w:val="20"/>
          <w:szCs w:val="20"/>
        </w:rPr>
        <w:t xml:space="preserve">content of </w:t>
      </w:r>
      <w:r w:rsidR="000D2E06">
        <w:rPr>
          <w:rFonts w:ascii="Times New Roman" w:hAnsi="Times New Roman"/>
          <w:sz w:val="20"/>
          <w:szCs w:val="20"/>
        </w:rPr>
        <w:t xml:space="preserve"> </w:t>
      </w:r>
      <w:r w:rsidRPr="009C62BB">
        <w:rPr>
          <w:rFonts w:ascii="Times New Roman" w:hAnsi="Times New Roman"/>
          <w:sz w:val="20"/>
          <w:szCs w:val="20"/>
        </w:rPr>
        <w:t xml:space="preserve">municipal </w:t>
      </w:r>
      <w:r w:rsidR="000D2E06">
        <w:rPr>
          <w:rFonts w:ascii="Times New Roman" w:hAnsi="Times New Roman"/>
          <w:sz w:val="20"/>
          <w:szCs w:val="20"/>
        </w:rPr>
        <w:t xml:space="preserve"> </w:t>
      </w:r>
      <w:r w:rsidRPr="009C62BB">
        <w:rPr>
          <w:rFonts w:ascii="Times New Roman" w:hAnsi="Times New Roman"/>
          <w:sz w:val="20"/>
          <w:szCs w:val="20"/>
        </w:rPr>
        <w:t xml:space="preserve">solid </w:t>
      </w:r>
      <w:r w:rsidR="000D2E06">
        <w:rPr>
          <w:rFonts w:ascii="Times New Roman" w:hAnsi="Times New Roman"/>
          <w:sz w:val="20"/>
          <w:szCs w:val="20"/>
        </w:rPr>
        <w:t xml:space="preserve"> </w:t>
      </w:r>
      <w:r w:rsidRPr="009C62BB">
        <w:rPr>
          <w:rFonts w:ascii="Times New Roman" w:hAnsi="Times New Roman"/>
          <w:sz w:val="20"/>
          <w:szCs w:val="20"/>
        </w:rPr>
        <w:t xml:space="preserve">waste </w:t>
      </w:r>
      <w:r w:rsidR="000D2E06">
        <w:rPr>
          <w:rFonts w:ascii="Times New Roman" w:hAnsi="Times New Roman"/>
          <w:sz w:val="20"/>
          <w:szCs w:val="20"/>
        </w:rPr>
        <w:t xml:space="preserve"> </w:t>
      </w:r>
      <w:r w:rsidRPr="009C62BB">
        <w:rPr>
          <w:rFonts w:ascii="Times New Roman" w:hAnsi="Times New Roman"/>
          <w:sz w:val="20"/>
          <w:szCs w:val="20"/>
        </w:rPr>
        <w:t>in</w:t>
      </w:r>
      <w:r w:rsidR="000D2E06">
        <w:rPr>
          <w:rFonts w:ascii="Times New Roman" w:hAnsi="Times New Roman"/>
          <w:sz w:val="20"/>
          <w:szCs w:val="20"/>
        </w:rPr>
        <w:t xml:space="preserve"> </w:t>
      </w:r>
      <w:r w:rsidRPr="009C62BB">
        <w:rPr>
          <w:rFonts w:ascii="Times New Roman" w:hAnsi="Times New Roman"/>
          <w:sz w:val="20"/>
          <w:szCs w:val="20"/>
        </w:rPr>
        <w:t xml:space="preserve"> Jordan and its potential utilization. </w:t>
      </w:r>
      <w:r w:rsidRPr="009C62BB">
        <w:rPr>
          <w:rFonts w:ascii="Times New Roman" w:hAnsi="Times New Roman"/>
          <w:i/>
          <w:sz w:val="20"/>
          <w:szCs w:val="20"/>
        </w:rPr>
        <w:t>Energy Conversion &amp; Management,</w:t>
      </w:r>
      <w:r w:rsidRPr="009C62BB">
        <w:rPr>
          <w:rFonts w:ascii="Times New Roman" w:hAnsi="Times New Roman"/>
          <w:sz w:val="20"/>
          <w:szCs w:val="20"/>
        </w:rPr>
        <w:t xml:space="preserve"> 41(9), 983 – 991. </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Isa, K. M., Ying, L. J., Saad, S. A., Kasim, F. H. and Rahim, M. A. A. (2016). Pyrolysis of oil palm fronds in a fixed bed reactor and optimisation of bio-oil using Box-Behnken Design.</w:t>
      </w:r>
      <w:r w:rsidR="000D2E06">
        <w:rPr>
          <w:rFonts w:ascii="Times New Roman" w:hAnsi="Times New Roman"/>
          <w:sz w:val="20"/>
          <w:szCs w:val="20"/>
        </w:rPr>
        <w:t xml:space="preserve"> </w:t>
      </w:r>
      <w:r w:rsidRPr="009C62BB">
        <w:rPr>
          <w:rFonts w:ascii="Times New Roman" w:hAnsi="Times New Roman"/>
          <w:sz w:val="20"/>
          <w:szCs w:val="20"/>
        </w:rPr>
        <w:t xml:space="preserve"> </w:t>
      </w:r>
      <w:r w:rsidRPr="009C62BB">
        <w:rPr>
          <w:rFonts w:ascii="Times New Roman" w:hAnsi="Times New Roman"/>
          <w:i/>
          <w:sz w:val="20"/>
          <w:szCs w:val="20"/>
        </w:rPr>
        <w:t xml:space="preserve">Journal </w:t>
      </w:r>
      <w:r w:rsidR="000D2E06">
        <w:rPr>
          <w:rFonts w:ascii="Times New Roman" w:hAnsi="Times New Roman"/>
          <w:i/>
          <w:sz w:val="20"/>
          <w:szCs w:val="20"/>
        </w:rPr>
        <w:t xml:space="preserve"> </w:t>
      </w:r>
      <w:r w:rsidRPr="009C62BB">
        <w:rPr>
          <w:rFonts w:ascii="Times New Roman" w:hAnsi="Times New Roman"/>
          <w:i/>
          <w:sz w:val="20"/>
          <w:szCs w:val="20"/>
        </w:rPr>
        <w:t xml:space="preserve">of </w:t>
      </w:r>
      <w:r w:rsidR="000D2E06">
        <w:rPr>
          <w:rFonts w:ascii="Times New Roman" w:hAnsi="Times New Roman"/>
          <w:i/>
          <w:sz w:val="20"/>
          <w:szCs w:val="20"/>
        </w:rPr>
        <w:t xml:space="preserve"> </w:t>
      </w:r>
      <w:r w:rsidRPr="009C62BB">
        <w:rPr>
          <w:rFonts w:ascii="Times New Roman" w:hAnsi="Times New Roman"/>
          <w:i/>
          <w:sz w:val="20"/>
          <w:szCs w:val="20"/>
        </w:rPr>
        <w:t xml:space="preserve">Advanced </w:t>
      </w:r>
      <w:r w:rsidR="000D2E06">
        <w:rPr>
          <w:rFonts w:ascii="Times New Roman" w:hAnsi="Times New Roman"/>
          <w:i/>
          <w:sz w:val="20"/>
          <w:szCs w:val="20"/>
        </w:rPr>
        <w:t xml:space="preserve"> </w:t>
      </w:r>
      <w:r w:rsidRPr="009C62BB">
        <w:rPr>
          <w:rFonts w:ascii="Times New Roman" w:hAnsi="Times New Roman"/>
          <w:i/>
          <w:sz w:val="20"/>
          <w:szCs w:val="20"/>
        </w:rPr>
        <w:t xml:space="preserve">Research </w:t>
      </w:r>
      <w:r w:rsidR="000D2E06">
        <w:rPr>
          <w:rFonts w:ascii="Times New Roman" w:hAnsi="Times New Roman"/>
          <w:i/>
          <w:sz w:val="20"/>
          <w:szCs w:val="20"/>
        </w:rPr>
        <w:t xml:space="preserve"> </w:t>
      </w:r>
      <w:r w:rsidRPr="009C62BB">
        <w:rPr>
          <w:rFonts w:ascii="Times New Roman" w:hAnsi="Times New Roman"/>
          <w:i/>
          <w:sz w:val="20"/>
          <w:szCs w:val="20"/>
        </w:rPr>
        <w:t>in Fluid Mechanics and Thermal Sciences,</w:t>
      </w:r>
      <w:r w:rsidRPr="009C62BB">
        <w:rPr>
          <w:rFonts w:ascii="Times New Roman" w:hAnsi="Times New Roman"/>
          <w:sz w:val="20"/>
          <w:szCs w:val="20"/>
        </w:rPr>
        <w:t xml:space="preserve"> 27(1), 12 – 18. </w:t>
      </w:r>
    </w:p>
    <w:p w:rsid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Isa, K. M., </w:t>
      </w:r>
      <w:r w:rsidR="000D2E06">
        <w:rPr>
          <w:rFonts w:ascii="Times New Roman" w:hAnsi="Times New Roman"/>
          <w:sz w:val="20"/>
          <w:szCs w:val="20"/>
        </w:rPr>
        <w:t xml:space="preserve"> </w:t>
      </w:r>
      <w:r w:rsidRPr="009C62BB">
        <w:rPr>
          <w:rFonts w:ascii="Times New Roman" w:hAnsi="Times New Roman"/>
          <w:sz w:val="20"/>
          <w:szCs w:val="20"/>
        </w:rPr>
        <w:t xml:space="preserve">Daud, S., </w:t>
      </w:r>
      <w:r w:rsidR="000D2E06">
        <w:rPr>
          <w:rFonts w:ascii="Times New Roman" w:hAnsi="Times New Roman"/>
          <w:sz w:val="20"/>
          <w:szCs w:val="20"/>
        </w:rPr>
        <w:t xml:space="preserve"> </w:t>
      </w:r>
      <w:r w:rsidRPr="009C62BB">
        <w:rPr>
          <w:rFonts w:ascii="Times New Roman" w:hAnsi="Times New Roman"/>
          <w:sz w:val="20"/>
          <w:szCs w:val="20"/>
        </w:rPr>
        <w:t xml:space="preserve">Hamidin, N., Ismail, K. and </w:t>
      </w:r>
      <w:r w:rsidR="000D2E06">
        <w:rPr>
          <w:rFonts w:ascii="Times New Roman" w:hAnsi="Times New Roman"/>
          <w:sz w:val="20"/>
          <w:szCs w:val="20"/>
        </w:rPr>
        <w:t xml:space="preserve"> </w:t>
      </w:r>
      <w:r w:rsidRPr="009C62BB">
        <w:rPr>
          <w:rFonts w:ascii="Times New Roman" w:hAnsi="Times New Roman"/>
          <w:sz w:val="20"/>
          <w:szCs w:val="20"/>
        </w:rPr>
        <w:t>Kasim, F. K. (2011).</w:t>
      </w:r>
      <w:r w:rsidR="000D2E06">
        <w:rPr>
          <w:rFonts w:ascii="Times New Roman" w:hAnsi="Times New Roman"/>
          <w:sz w:val="20"/>
          <w:szCs w:val="20"/>
        </w:rPr>
        <w:t xml:space="preserve"> </w:t>
      </w:r>
      <w:r w:rsidRPr="009C62BB">
        <w:rPr>
          <w:rFonts w:ascii="Times New Roman" w:hAnsi="Times New Roman"/>
          <w:sz w:val="20"/>
          <w:szCs w:val="20"/>
        </w:rPr>
        <w:t xml:space="preserve">Thermogravimetric </w:t>
      </w:r>
      <w:r w:rsidR="000D2E06">
        <w:rPr>
          <w:rFonts w:ascii="Times New Roman" w:hAnsi="Times New Roman"/>
          <w:sz w:val="20"/>
          <w:szCs w:val="20"/>
        </w:rPr>
        <w:t xml:space="preserve"> </w:t>
      </w:r>
      <w:r w:rsidRPr="009C62BB">
        <w:rPr>
          <w:rFonts w:ascii="Times New Roman" w:hAnsi="Times New Roman"/>
          <w:sz w:val="20"/>
          <w:szCs w:val="20"/>
        </w:rPr>
        <w:t xml:space="preserve">analysis </w:t>
      </w:r>
      <w:r w:rsidR="000D2E06">
        <w:rPr>
          <w:rFonts w:ascii="Times New Roman" w:hAnsi="Times New Roman"/>
          <w:sz w:val="20"/>
          <w:szCs w:val="20"/>
        </w:rPr>
        <w:t xml:space="preserve"> </w:t>
      </w:r>
      <w:r w:rsidRPr="009C62BB">
        <w:rPr>
          <w:rFonts w:ascii="Times New Roman" w:hAnsi="Times New Roman"/>
          <w:sz w:val="20"/>
          <w:szCs w:val="20"/>
        </w:rPr>
        <w:t>and</w:t>
      </w:r>
      <w:r w:rsidR="000D2E06">
        <w:rPr>
          <w:rFonts w:ascii="Times New Roman" w:hAnsi="Times New Roman"/>
          <w:sz w:val="20"/>
          <w:szCs w:val="20"/>
        </w:rPr>
        <w:t xml:space="preserve"> </w:t>
      </w:r>
      <w:r w:rsidRPr="009C62BB">
        <w:rPr>
          <w:rFonts w:ascii="Times New Roman" w:hAnsi="Times New Roman"/>
          <w:sz w:val="20"/>
          <w:szCs w:val="20"/>
        </w:rPr>
        <w:t xml:space="preserve"> the optimisation of bio-oil yield from fixed-bed pyrolysis of rice husk using response surface methodology (RSM). </w:t>
      </w:r>
      <w:r w:rsidRPr="009C62BB">
        <w:rPr>
          <w:rFonts w:ascii="Times New Roman" w:hAnsi="Times New Roman"/>
          <w:i/>
          <w:sz w:val="20"/>
          <w:szCs w:val="20"/>
        </w:rPr>
        <w:t>Industrial Crops and Products</w:t>
      </w:r>
      <w:r w:rsidRPr="009C62BB">
        <w:rPr>
          <w:rFonts w:ascii="Times New Roman" w:hAnsi="Times New Roman"/>
          <w:sz w:val="20"/>
          <w:szCs w:val="20"/>
        </w:rPr>
        <w:t>, 33(2): 481 – 487.</w:t>
      </w:r>
    </w:p>
    <w:p w:rsidR="000D2E06" w:rsidRPr="000D2E06" w:rsidRDefault="000D2E06" w:rsidP="000D2E06">
      <w:pPr>
        <w:widowControl w:val="0"/>
        <w:wordWrap w:val="0"/>
        <w:autoSpaceDE w:val="0"/>
        <w:autoSpaceDN w:val="0"/>
        <w:spacing w:after="0" w:line="240" w:lineRule="auto"/>
        <w:jc w:val="both"/>
        <w:outlineLvl w:val="0"/>
        <w:rPr>
          <w:rFonts w:ascii="Times New Roman" w:hAnsi="Times New Roman"/>
          <w:sz w:val="20"/>
          <w:szCs w:val="20"/>
        </w:rPr>
      </w:pP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lastRenderedPageBreak/>
        <w:t xml:space="preserve">Chen, X., Chen, Y., Yang, H., Chen, W., Wang, X. and Chen, H. (2017). </w:t>
      </w:r>
      <w:r w:rsidRPr="009C62BB">
        <w:rPr>
          <w:rFonts w:ascii="Times New Roman" w:hAnsi="Times New Roman"/>
          <w:sz w:val="20"/>
          <w:szCs w:val="20"/>
          <w:lang w:val="en-GB"/>
        </w:rPr>
        <w:t xml:space="preserve">Fast </w:t>
      </w:r>
      <w:r w:rsidRPr="009C62BB">
        <w:rPr>
          <w:rFonts w:ascii="Times New Roman" w:hAnsi="Times New Roman"/>
          <w:sz w:val="20"/>
          <w:szCs w:val="20"/>
        </w:rPr>
        <w:t>pyrolysis of cotton stalk biomass using calcium oxide</w:t>
      </w:r>
      <w:r w:rsidRPr="009C62BB">
        <w:rPr>
          <w:rFonts w:ascii="Times New Roman" w:hAnsi="Times New Roman"/>
          <w:sz w:val="20"/>
          <w:szCs w:val="20"/>
          <w:lang w:val="en-GB"/>
        </w:rPr>
        <w:t xml:space="preserve">, </w:t>
      </w:r>
      <w:r w:rsidRPr="009C62BB">
        <w:rPr>
          <w:rFonts w:ascii="Times New Roman" w:hAnsi="Times New Roman"/>
          <w:i/>
          <w:sz w:val="20"/>
          <w:szCs w:val="20"/>
        </w:rPr>
        <w:t>Bioresource Technology</w:t>
      </w:r>
      <w:r w:rsidRPr="009C62BB">
        <w:rPr>
          <w:rFonts w:ascii="Times New Roman" w:hAnsi="Times New Roman"/>
          <w:sz w:val="20"/>
          <w:szCs w:val="20"/>
        </w:rPr>
        <w:t>, 233: 15 – 20.</w:t>
      </w:r>
    </w:p>
    <w:p w:rsidR="009C62BB" w:rsidRPr="000D2E06" w:rsidRDefault="009C62BB" w:rsidP="000D2E06">
      <w:pPr>
        <w:pStyle w:val="ListParagraph"/>
        <w:widowControl w:val="0"/>
        <w:numPr>
          <w:ilvl w:val="0"/>
          <w:numId w:val="3"/>
        </w:numPr>
        <w:wordWrap w:val="0"/>
        <w:autoSpaceDE w:val="0"/>
        <w:autoSpaceDN w:val="0"/>
        <w:spacing w:after="0" w:line="240" w:lineRule="auto"/>
        <w:ind w:left="360"/>
        <w:jc w:val="both"/>
        <w:rPr>
          <w:rFonts w:ascii="Times New Roman" w:hAnsi="Times New Roman"/>
          <w:sz w:val="20"/>
          <w:szCs w:val="20"/>
          <w:lang w:val="en-GB"/>
        </w:rPr>
      </w:pPr>
      <w:r w:rsidRPr="009C62BB">
        <w:rPr>
          <w:rFonts w:ascii="Times New Roman" w:hAnsi="Times New Roman"/>
          <w:sz w:val="20"/>
          <w:szCs w:val="20"/>
        </w:rPr>
        <w:t xml:space="preserve">Liamsanguan, C. and Gheewala, S. H. (2007). Environmental assessment of energy production from municipal solid waste incineration. </w:t>
      </w:r>
      <w:hyperlink r:id="rId14" w:tooltip="The International Journal of Life Cycle Assessment" w:history="1">
        <w:r w:rsidRPr="009C62BB">
          <w:rPr>
            <w:rStyle w:val="journaltitle"/>
            <w:rFonts w:ascii="Times New Roman" w:hAnsi="Times New Roman"/>
            <w:spacing w:val="4"/>
            <w:sz w:val="20"/>
            <w:szCs w:val="20"/>
            <w:shd w:val="clear" w:color="auto" w:fill="FCFCFC"/>
          </w:rPr>
          <w:t>The International Journal of Life Cycle Assessment</w:t>
        </w:r>
      </w:hyperlink>
      <w:r w:rsidRPr="009C62BB">
        <w:rPr>
          <w:rFonts w:ascii="Times New Roman" w:hAnsi="Times New Roman"/>
          <w:i/>
          <w:sz w:val="20"/>
          <w:szCs w:val="20"/>
        </w:rPr>
        <w:t>,</w:t>
      </w:r>
      <w:r w:rsidRPr="009C62BB">
        <w:rPr>
          <w:rFonts w:ascii="Times New Roman" w:hAnsi="Times New Roman"/>
          <w:sz w:val="20"/>
          <w:szCs w:val="20"/>
        </w:rPr>
        <w:t xml:space="preserve"> 12(7): 529 –</w:t>
      </w:r>
      <w:r w:rsidR="000D2E06">
        <w:rPr>
          <w:rFonts w:ascii="Times New Roman" w:hAnsi="Times New Roman"/>
          <w:sz w:val="20"/>
          <w:szCs w:val="20"/>
        </w:rPr>
        <w:t xml:space="preserve"> </w:t>
      </w:r>
      <w:r w:rsidRPr="000D2E06">
        <w:rPr>
          <w:rFonts w:ascii="Times New Roman" w:hAnsi="Times New Roman"/>
          <w:sz w:val="20"/>
          <w:szCs w:val="20"/>
        </w:rPr>
        <w:t>536.</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Kathirvale, S. </w:t>
      </w:r>
      <w:r w:rsidR="000D2E06">
        <w:rPr>
          <w:rFonts w:ascii="Times New Roman" w:hAnsi="Times New Roman"/>
          <w:sz w:val="20"/>
          <w:szCs w:val="20"/>
        </w:rPr>
        <w:t xml:space="preserve"> </w:t>
      </w:r>
      <w:r w:rsidRPr="009C62BB">
        <w:rPr>
          <w:rFonts w:ascii="Times New Roman" w:hAnsi="Times New Roman"/>
          <w:sz w:val="20"/>
          <w:szCs w:val="20"/>
        </w:rPr>
        <w:t>Yunus,</w:t>
      </w:r>
      <w:r w:rsidR="000D2E06">
        <w:rPr>
          <w:rFonts w:ascii="Times New Roman" w:hAnsi="Times New Roman"/>
          <w:sz w:val="20"/>
          <w:szCs w:val="20"/>
        </w:rPr>
        <w:t xml:space="preserve"> </w:t>
      </w:r>
      <w:r w:rsidRPr="009C62BB">
        <w:rPr>
          <w:rFonts w:ascii="Times New Roman" w:hAnsi="Times New Roman"/>
          <w:sz w:val="20"/>
          <w:szCs w:val="20"/>
        </w:rPr>
        <w:t xml:space="preserve"> M. N. M., </w:t>
      </w:r>
      <w:r w:rsidR="000D2E06">
        <w:rPr>
          <w:rFonts w:ascii="Times New Roman" w:hAnsi="Times New Roman"/>
          <w:sz w:val="20"/>
          <w:szCs w:val="20"/>
        </w:rPr>
        <w:t xml:space="preserve"> </w:t>
      </w:r>
      <w:r w:rsidRPr="009C62BB">
        <w:rPr>
          <w:rFonts w:ascii="Times New Roman" w:hAnsi="Times New Roman"/>
          <w:sz w:val="20"/>
          <w:szCs w:val="20"/>
        </w:rPr>
        <w:t xml:space="preserve">Sopian, </w:t>
      </w:r>
      <w:r w:rsidR="000D2E06">
        <w:rPr>
          <w:rFonts w:ascii="Times New Roman" w:hAnsi="Times New Roman"/>
          <w:sz w:val="20"/>
          <w:szCs w:val="20"/>
        </w:rPr>
        <w:t xml:space="preserve"> </w:t>
      </w:r>
      <w:r w:rsidRPr="009C62BB">
        <w:rPr>
          <w:rFonts w:ascii="Times New Roman" w:hAnsi="Times New Roman"/>
          <w:sz w:val="20"/>
          <w:szCs w:val="20"/>
        </w:rPr>
        <w:t xml:space="preserve">K., </w:t>
      </w:r>
      <w:r w:rsidR="000D2E06">
        <w:rPr>
          <w:rFonts w:ascii="Times New Roman" w:hAnsi="Times New Roman"/>
          <w:sz w:val="20"/>
          <w:szCs w:val="20"/>
        </w:rPr>
        <w:t xml:space="preserve"> </w:t>
      </w:r>
      <w:r w:rsidRPr="009C62BB">
        <w:rPr>
          <w:rFonts w:ascii="Times New Roman" w:hAnsi="Times New Roman"/>
          <w:sz w:val="20"/>
          <w:szCs w:val="20"/>
        </w:rPr>
        <w:t xml:space="preserve">Samsuddin, </w:t>
      </w:r>
      <w:r w:rsidR="000D2E06">
        <w:rPr>
          <w:rFonts w:ascii="Times New Roman" w:hAnsi="Times New Roman"/>
          <w:sz w:val="20"/>
          <w:szCs w:val="20"/>
        </w:rPr>
        <w:t xml:space="preserve"> </w:t>
      </w:r>
      <w:r w:rsidRPr="009C62BB">
        <w:rPr>
          <w:rFonts w:ascii="Times New Roman" w:hAnsi="Times New Roman"/>
          <w:sz w:val="20"/>
          <w:szCs w:val="20"/>
        </w:rPr>
        <w:t xml:space="preserve">A. H. and </w:t>
      </w:r>
      <w:r w:rsidR="000D2E06">
        <w:rPr>
          <w:rFonts w:ascii="Times New Roman" w:hAnsi="Times New Roman"/>
          <w:sz w:val="20"/>
          <w:szCs w:val="20"/>
        </w:rPr>
        <w:t xml:space="preserve"> </w:t>
      </w:r>
      <w:r w:rsidRPr="009C62BB">
        <w:rPr>
          <w:rFonts w:ascii="Times New Roman" w:hAnsi="Times New Roman"/>
          <w:sz w:val="20"/>
          <w:szCs w:val="20"/>
        </w:rPr>
        <w:t xml:space="preserve">Rakmi, </w:t>
      </w:r>
      <w:r w:rsidR="000D2E06">
        <w:rPr>
          <w:rFonts w:ascii="Times New Roman" w:hAnsi="Times New Roman"/>
          <w:sz w:val="20"/>
          <w:szCs w:val="20"/>
        </w:rPr>
        <w:t xml:space="preserve"> </w:t>
      </w:r>
      <w:r w:rsidRPr="009C62BB">
        <w:rPr>
          <w:rFonts w:ascii="Times New Roman" w:hAnsi="Times New Roman"/>
          <w:sz w:val="20"/>
          <w:szCs w:val="20"/>
        </w:rPr>
        <w:t>A.R.</w:t>
      </w:r>
      <w:r w:rsidR="000D2E06">
        <w:rPr>
          <w:rFonts w:ascii="Times New Roman" w:hAnsi="Times New Roman"/>
          <w:sz w:val="20"/>
          <w:szCs w:val="20"/>
        </w:rPr>
        <w:t xml:space="preserve"> </w:t>
      </w:r>
      <w:r w:rsidRPr="009C62BB">
        <w:rPr>
          <w:rFonts w:ascii="Times New Roman" w:hAnsi="Times New Roman"/>
          <w:sz w:val="20"/>
          <w:szCs w:val="20"/>
        </w:rPr>
        <w:t xml:space="preserve"> (2002). </w:t>
      </w:r>
      <w:r w:rsidR="000D2E06">
        <w:rPr>
          <w:rFonts w:ascii="Times New Roman" w:hAnsi="Times New Roman"/>
          <w:sz w:val="20"/>
          <w:szCs w:val="20"/>
        </w:rPr>
        <w:t xml:space="preserve"> </w:t>
      </w:r>
      <w:r w:rsidRPr="009C62BB">
        <w:rPr>
          <w:rFonts w:ascii="Times New Roman" w:hAnsi="Times New Roman"/>
          <w:sz w:val="20"/>
          <w:szCs w:val="20"/>
        </w:rPr>
        <w:t>Comprehensive characteristic of</w:t>
      </w:r>
      <w:r w:rsidR="000D2E06">
        <w:rPr>
          <w:rFonts w:ascii="Times New Roman" w:hAnsi="Times New Roman"/>
          <w:sz w:val="20"/>
          <w:szCs w:val="20"/>
        </w:rPr>
        <w:t xml:space="preserve"> </w:t>
      </w:r>
      <w:r w:rsidRPr="009C62BB">
        <w:rPr>
          <w:rFonts w:ascii="Times New Roman" w:hAnsi="Times New Roman"/>
          <w:sz w:val="20"/>
          <w:szCs w:val="20"/>
        </w:rPr>
        <w:t xml:space="preserve"> the</w:t>
      </w:r>
      <w:r w:rsidR="000D2E06">
        <w:rPr>
          <w:rFonts w:ascii="Times New Roman" w:hAnsi="Times New Roman"/>
          <w:sz w:val="20"/>
          <w:szCs w:val="20"/>
        </w:rPr>
        <w:t xml:space="preserve"> </w:t>
      </w:r>
      <w:r w:rsidRPr="009C62BB">
        <w:rPr>
          <w:rFonts w:ascii="Times New Roman" w:hAnsi="Times New Roman"/>
          <w:sz w:val="20"/>
          <w:szCs w:val="20"/>
        </w:rPr>
        <w:t xml:space="preserve"> municipal</w:t>
      </w:r>
      <w:r w:rsidR="000D2E06">
        <w:rPr>
          <w:rFonts w:ascii="Times New Roman" w:hAnsi="Times New Roman"/>
          <w:sz w:val="20"/>
          <w:szCs w:val="20"/>
        </w:rPr>
        <w:t xml:space="preserve"> </w:t>
      </w:r>
      <w:r w:rsidRPr="009C62BB">
        <w:rPr>
          <w:rFonts w:ascii="Times New Roman" w:hAnsi="Times New Roman"/>
          <w:sz w:val="20"/>
          <w:szCs w:val="20"/>
        </w:rPr>
        <w:t xml:space="preserve"> solid </w:t>
      </w:r>
      <w:r w:rsidR="000D2E06">
        <w:rPr>
          <w:rFonts w:ascii="Times New Roman" w:hAnsi="Times New Roman"/>
          <w:sz w:val="20"/>
          <w:szCs w:val="20"/>
        </w:rPr>
        <w:t xml:space="preserve"> </w:t>
      </w:r>
      <w:r w:rsidRPr="009C62BB">
        <w:rPr>
          <w:rFonts w:ascii="Times New Roman" w:hAnsi="Times New Roman"/>
          <w:sz w:val="20"/>
          <w:szCs w:val="20"/>
        </w:rPr>
        <w:t>waste</w:t>
      </w:r>
      <w:r w:rsidR="000D2E06">
        <w:rPr>
          <w:rFonts w:ascii="Times New Roman" w:hAnsi="Times New Roman"/>
          <w:sz w:val="20"/>
          <w:szCs w:val="20"/>
        </w:rPr>
        <w:t xml:space="preserve"> </w:t>
      </w:r>
      <w:r w:rsidRPr="009C62BB">
        <w:rPr>
          <w:rFonts w:ascii="Times New Roman" w:hAnsi="Times New Roman"/>
          <w:sz w:val="20"/>
          <w:szCs w:val="20"/>
        </w:rPr>
        <w:t xml:space="preserve"> generated</w:t>
      </w:r>
      <w:r w:rsidR="000D2E06">
        <w:rPr>
          <w:rFonts w:ascii="Times New Roman" w:hAnsi="Times New Roman"/>
          <w:sz w:val="20"/>
          <w:szCs w:val="20"/>
        </w:rPr>
        <w:t xml:space="preserve"> </w:t>
      </w:r>
      <w:r w:rsidRPr="009C62BB">
        <w:rPr>
          <w:rFonts w:ascii="Times New Roman" w:hAnsi="Times New Roman"/>
          <w:sz w:val="20"/>
          <w:szCs w:val="20"/>
        </w:rPr>
        <w:t xml:space="preserve"> in</w:t>
      </w:r>
      <w:r w:rsidR="000D2E06">
        <w:rPr>
          <w:rFonts w:ascii="Times New Roman" w:hAnsi="Times New Roman"/>
          <w:sz w:val="20"/>
          <w:szCs w:val="20"/>
        </w:rPr>
        <w:t xml:space="preserve"> </w:t>
      </w:r>
      <w:r w:rsidRPr="009C62BB">
        <w:rPr>
          <w:rFonts w:ascii="Times New Roman" w:hAnsi="Times New Roman"/>
          <w:sz w:val="20"/>
          <w:szCs w:val="20"/>
        </w:rPr>
        <w:t xml:space="preserve"> Kuala Lumpur. </w:t>
      </w:r>
      <w:r w:rsidR="000D2E06">
        <w:rPr>
          <w:rFonts w:ascii="Times New Roman" w:hAnsi="Times New Roman"/>
          <w:sz w:val="20"/>
          <w:szCs w:val="20"/>
        </w:rPr>
        <w:t xml:space="preserve">  </w:t>
      </w:r>
      <w:r w:rsidRPr="009C62BB">
        <w:rPr>
          <w:rFonts w:ascii="Times New Roman" w:hAnsi="Times New Roman"/>
          <w:i/>
          <w:sz w:val="20"/>
          <w:szCs w:val="20"/>
        </w:rPr>
        <w:t xml:space="preserve">In Proceedings </w:t>
      </w:r>
      <w:r w:rsidR="000D2E06">
        <w:rPr>
          <w:rFonts w:ascii="Times New Roman" w:hAnsi="Times New Roman"/>
          <w:i/>
          <w:sz w:val="20"/>
          <w:szCs w:val="20"/>
        </w:rPr>
        <w:t xml:space="preserve"> </w:t>
      </w:r>
      <w:r w:rsidRPr="009C62BB">
        <w:rPr>
          <w:rFonts w:ascii="Times New Roman" w:hAnsi="Times New Roman"/>
          <w:i/>
          <w:sz w:val="20"/>
          <w:szCs w:val="20"/>
        </w:rPr>
        <w:t xml:space="preserve">of </w:t>
      </w:r>
      <w:r w:rsidR="000D2E06">
        <w:rPr>
          <w:rFonts w:ascii="Times New Roman" w:hAnsi="Times New Roman"/>
          <w:i/>
          <w:sz w:val="20"/>
          <w:szCs w:val="20"/>
        </w:rPr>
        <w:t xml:space="preserve"> </w:t>
      </w:r>
      <w:r w:rsidRPr="009C62BB">
        <w:rPr>
          <w:rFonts w:ascii="Times New Roman" w:hAnsi="Times New Roman"/>
          <w:i/>
          <w:sz w:val="20"/>
          <w:szCs w:val="20"/>
        </w:rPr>
        <w:t xml:space="preserve">the </w:t>
      </w:r>
      <w:r w:rsidR="000D2E06">
        <w:rPr>
          <w:rFonts w:ascii="Times New Roman" w:hAnsi="Times New Roman"/>
          <w:i/>
          <w:sz w:val="20"/>
          <w:szCs w:val="20"/>
        </w:rPr>
        <w:t xml:space="preserve">  </w:t>
      </w:r>
      <w:r w:rsidRPr="009C62BB">
        <w:rPr>
          <w:rFonts w:ascii="Times New Roman" w:hAnsi="Times New Roman"/>
          <w:i/>
          <w:sz w:val="20"/>
          <w:szCs w:val="20"/>
        </w:rPr>
        <w:t>Regional Symposium on Environment and Natural Resources</w:t>
      </w:r>
      <w:r w:rsidRPr="009C62BB">
        <w:rPr>
          <w:rFonts w:ascii="Times New Roman" w:hAnsi="Times New Roman"/>
          <w:sz w:val="20"/>
          <w:szCs w:val="20"/>
        </w:rPr>
        <w:t>, Kuala Lumpur, Malaysia: pp. 359 – 368.</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Annual </w:t>
      </w:r>
      <w:r w:rsidR="000D2E06">
        <w:rPr>
          <w:rFonts w:ascii="Times New Roman" w:hAnsi="Times New Roman"/>
          <w:sz w:val="20"/>
          <w:szCs w:val="20"/>
        </w:rPr>
        <w:t xml:space="preserve"> </w:t>
      </w:r>
      <w:r w:rsidRPr="009C62BB">
        <w:rPr>
          <w:rFonts w:ascii="Times New Roman" w:hAnsi="Times New Roman"/>
          <w:sz w:val="20"/>
          <w:szCs w:val="20"/>
        </w:rPr>
        <w:t xml:space="preserve">Book of </w:t>
      </w:r>
      <w:r w:rsidR="000D2E06">
        <w:rPr>
          <w:rFonts w:ascii="Times New Roman" w:hAnsi="Times New Roman"/>
          <w:sz w:val="20"/>
          <w:szCs w:val="20"/>
        </w:rPr>
        <w:t xml:space="preserve"> </w:t>
      </w:r>
      <w:r w:rsidRPr="009C62BB">
        <w:rPr>
          <w:rFonts w:ascii="Times New Roman" w:hAnsi="Times New Roman"/>
          <w:sz w:val="20"/>
          <w:szCs w:val="20"/>
        </w:rPr>
        <w:t xml:space="preserve">ASTM </w:t>
      </w:r>
      <w:r w:rsidR="000D2E06">
        <w:rPr>
          <w:rFonts w:ascii="Times New Roman" w:hAnsi="Times New Roman"/>
          <w:sz w:val="20"/>
          <w:szCs w:val="20"/>
        </w:rPr>
        <w:t xml:space="preserve"> </w:t>
      </w:r>
      <w:r w:rsidRPr="009C62BB">
        <w:rPr>
          <w:rFonts w:ascii="Times New Roman" w:hAnsi="Times New Roman"/>
          <w:sz w:val="20"/>
          <w:szCs w:val="20"/>
        </w:rPr>
        <w:t xml:space="preserve">Standards, </w:t>
      </w:r>
      <w:r w:rsidR="000D2E06">
        <w:rPr>
          <w:rFonts w:ascii="Times New Roman" w:hAnsi="Times New Roman"/>
          <w:sz w:val="20"/>
          <w:szCs w:val="20"/>
        </w:rPr>
        <w:t xml:space="preserve"> </w:t>
      </w:r>
      <w:r w:rsidRPr="009C62BB">
        <w:rPr>
          <w:rFonts w:ascii="Times New Roman" w:hAnsi="Times New Roman"/>
          <w:sz w:val="20"/>
          <w:szCs w:val="20"/>
        </w:rPr>
        <w:t>D2974</w:t>
      </w:r>
      <w:r w:rsidR="000D2E06">
        <w:rPr>
          <w:rFonts w:ascii="Times New Roman" w:hAnsi="Times New Roman"/>
          <w:sz w:val="20"/>
          <w:szCs w:val="20"/>
        </w:rPr>
        <w:t xml:space="preserve"> </w:t>
      </w:r>
      <w:r w:rsidRPr="009C62BB">
        <w:rPr>
          <w:rFonts w:ascii="Times New Roman" w:hAnsi="Times New Roman"/>
          <w:sz w:val="20"/>
          <w:szCs w:val="20"/>
        </w:rPr>
        <w:t xml:space="preserve"> volume </w:t>
      </w:r>
      <w:r w:rsidR="000D2E06">
        <w:rPr>
          <w:rFonts w:ascii="Times New Roman" w:hAnsi="Times New Roman"/>
          <w:sz w:val="20"/>
          <w:szCs w:val="20"/>
        </w:rPr>
        <w:t xml:space="preserve"> </w:t>
      </w:r>
      <w:r w:rsidRPr="009C62BB">
        <w:rPr>
          <w:rFonts w:ascii="Times New Roman" w:hAnsi="Times New Roman"/>
          <w:sz w:val="20"/>
          <w:szCs w:val="20"/>
        </w:rPr>
        <w:t xml:space="preserve">5.05. </w:t>
      </w:r>
      <w:r w:rsidR="000D2E06">
        <w:rPr>
          <w:rFonts w:ascii="Times New Roman" w:hAnsi="Times New Roman"/>
          <w:sz w:val="20"/>
          <w:szCs w:val="20"/>
        </w:rPr>
        <w:t xml:space="preserve"> </w:t>
      </w:r>
      <w:r w:rsidRPr="009C62BB">
        <w:rPr>
          <w:rFonts w:ascii="Times New Roman" w:hAnsi="Times New Roman"/>
          <w:sz w:val="20"/>
          <w:szCs w:val="20"/>
        </w:rPr>
        <w:t xml:space="preserve">The </w:t>
      </w:r>
      <w:r w:rsidR="000D2E06">
        <w:rPr>
          <w:rFonts w:ascii="Times New Roman" w:hAnsi="Times New Roman"/>
          <w:sz w:val="20"/>
          <w:szCs w:val="20"/>
        </w:rPr>
        <w:t xml:space="preserve"> </w:t>
      </w:r>
      <w:r w:rsidRPr="009C62BB">
        <w:rPr>
          <w:rFonts w:ascii="Times New Roman" w:hAnsi="Times New Roman"/>
          <w:sz w:val="20"/>
          <w:szCs w:val="20"/>
        </w:rPr>
        <w:t xml:space="preserve">American </w:t>
      </w:r>
      <w:r w:rsidR="000D2E06">
        <w:rPr>
          <w:rFonts w:ascii="Times New Roman" w:hAnsi="Times New Roman"/>
          <w:sz w:val="20"/>
          <w:szCs w:val="20"/>
        </w:rPr>
        <w:t xml:space="preserve"> </w:t>
      </w:r>
      <w:r w:rsidRPr="009C62BB">
        <w:rPr>
          <w:rFonts w:ascii="Times New Roman" w:hAnsi="Times New Roman"/>
          <w:sz w:val="20"/>
          <w:szCs w:val="20"/>
        </w:rPr>
        <w:t xml:space="preserve">Society </w:t>
      </w:r>
      <w:r w:rsidR="000D2E06">
        <w:rPr>
          <w:rFonts w:ascii="Times New Roman" w:hAnsi="Times New Roman"/>
          <w:sz w:val="20"/>
          <w:szCs w:val="20"/>
        </w:rPr>
        <w:t xml:space="preserve"> </w:t>
      </w:r>
      <w:r w:rsidRPr="009C62BB">
        <w:rPr>
          <w:rFonts w:ascii="Times New Roman" w:hAnsi="Times New Roman"/>
          <w:sz w:val="20"/>
          <w:szCs w:val="20"/>
        </w:rPr>
        <w:t xml:space="preserve">for </w:t>
      </w:r>
      <w:r w:rsidR="000D2E06">
        <w:rPr>
          <w:rFonts w:ascii="Times New Roman" w:hAnsi="Times New Roman"/>
          <w:sz w:val="20"/>
          <w:szCs w:val="20"/>
        </w:rPr>
        <w:t xml:space="preserve"> </w:t>
      </w:r>
      <w:r w:rsidRPr="009C62BB">
        <w:rPr>
          <w:rFonts w:ascii="Times New Roman" w:hAnsi="Times New Roman"/>
          <w:sz w:val="20"/>
          <w:szCs w:val="20"/>
        </w:rPr>
        <w:t>Testing and Material (ASTM), Philadelphia, PA.</w:t>
      </w:r>
    </w:p>
    <w:p w:rsidR="009C62BB" w:rsidRPr="009C62BB" w:rsidRDefault="009C62BB" w:rsidP="009C62BB">
      <w:pPr>
        <w:pStyle w:val="ListParagraph"/>
        <w:widowControl w:val="0"/>
        <w:numPr>
          <w:ilvl w:val="0"/>
          <w:numId w:val="3"/>
        </w:numPr>
        <w:wordWrap w:val="0"/>
        <w:autoSpaceDE w:val="0"/>
        <w:autoSpaceDN w:val="0"/>
        <w:adjustRightInd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Ismail, </w:t>
      </w:r>
      <w:r w:rsidR="000D2E06">
        <w:rPr>
          <w:rFonts w:ascii="Times New Roman" w:hAnsi="Times New Roman"/>
          <w:sz w:val="20"/>
          <w:szCs w:val="20"/>
        </w:rPr>
        <w:t xml:space="preserve"> </w:t>
      </w:r>
      <w:r w:rsidRPr="009C62BB">
        <w:rPr>
          <w:rFonts w:ascii="Times New Roman" w:hAnsi="Times New Roman"/>
          <w:sz w:val="20"/>
          <w:szCs w:val="20"/>
        </w:rPr>
        <w:t xml:space="preserve">K., </w:t>
      </w:r>
      <w:r w:rsidR="000D2E06">
        <w:rPr>
          <w:rFonts w:ascii="Times New Roman" w:hAnsi="Times New Roman"/>
          <w:sz w:val="20"/>
          <w:szCs w:val="20"/>
        </w:rPr>
        <w:t xml:space="preserve"> </w:t>
      </w:r>
      <w:r w:rsidRPr="009C62BB">
        <w:rPr>
          <w:rFonts w:ascii="Times New Roman" w:hAnsi="Times New Roman"/>
          <w:sz w:val="20"/>
          <w:szCs w:val="20"/>
        </w:rPr>
        <w:t>Zakaria, Z. and</w:t>
      </w:r>
      <w:r w:rsidR="000D2E06">
        <w:rPr>
          <w:rFonts w:ascii="Times New Roman" w:hAnsi="Times New Roman"/>
          <w:sz w:val="20"/>
          <w:szCs w:val="20"/>
        </w:rPr>
        <w:t xml:space="preserve"> </w:t>
      </w:r>
      <w:r w:rsidRPr="009C62BB">
        <w:rPr>
          <w:rFonts w:ascii="Times New Roman" w:hAnsi="Times New Roman"/>
          <w:sz w:val="20"/>
          <w:szCs w:val="20"/>
        </w:rPr>
        <w:t xml:space="preserve"> Ishak, </w:t>
      </w:r>
      <w:r w:rsidR="000D2E06">
        <w:rPr>
          <w:rFonts w:ascii="Times New Roman" w:hAnsi="Times New Roman"/>
          <w:sz w:val="20"/>
          <w:szCs w:val="20"/>
        </w:rPr>
        <w:t xml:space="preserve"> </w:t>
      </w:r>
      <w:r w:rsidRPr="009C62BB">
        <w:rPr>
          <w:rFonts w:ascii="Times New Roman" w:hAnsi="Times New Roman"/>
          <w:sz w:val="20"/>
          <w:szCs w:val="20"/>
        </w:rPr>
        <w:t>M. A. M.</w:t>
      </w:r>
      <w:r w:rsidR="000D2E06">
        <w:rPr>
          <w:rFonts w:ascii="Times New Roman" w:hAnsi="Times New Roman"/>
          <w:sz w:val="20"/>
          <w:szCs w:val="20"/>
        </w:rPr>
        <w:t xml:space="preserve"> </w:t>
      </w:r>
      <w:r w:rsidRPr="009C62BB">
        <w:rPr>
          <w:rFonts w:ascii="Times New Roman" w:hAnsi="Times New Roman"/>
          <w:sz w:val="20"/>
          <w:szCs w:val="20"/>
        </w:rPr>
        <w:t xml:space="preserve"> (2005). </w:t>
      </w:r>
      <w:r w:rsidR="000D2E06">
        <w:rPr>
          <w:rFonts w:ascii="Times New Roman" w:hAnsi="Times New Roman"/>
          <w:sz w:val="20"/>
          <w:szCs w:val="20"/>
        </w:rPr>
        <w:t xml:space="preserve"> </w:t>
      </w:r>
      <w:r w:rsidRPr="009C62BB">
        <w:rPr>
          <w:rFonts w:ascii="Times New Roman" w:hAnsi="Times New Roman"/>
          <w:i/>
          <w:sz w:val="20"/>
          <w:szCs w:val="20"/>
        </w:rPr>
        <w:t xml:space="preserve">Proceeding </w:t>
      </w:r>
      <w:r w:rsidR="000D2E06">
        <w:rPr>
          <w:rFonts w:ascii="Times New Roman" w:hAnsi="Times New Roman"/>
          <w:i/>
          <w:sz w:val="20"/>
          <w:szCs w:val="20"/>
        </w:rPr>
        <w:t xml:space="preserve"> </w:t>
      </w:r>
      <w:r w:rsidRPr="009C62BB">
        <w:rPr>
          <w:rFonts w:ascii="Times New Roman" w:hAnsi="Times New Roman"/>
          <w:i/>
          <w:sz w:val="20"/>
          <w:szCs w:val="20"/>
        </w:rPr>
        <w:t xml:space="preserve">of </w:t>
      </w:r>
      <w:r w:rsidR="000D2E06">
        <w:rPr>
          <w:rFonts w:ascii="Times New Roman" w:hAnsi="Times New Roman"/>
          <w:i/>
          <w:sz w:val="20"/>
          <w:szCs w:val="20"/>
        </w:rPr>
        <w:t xml:space="preserve"> </w:t>
      </w:r>
      <w:r w:rsidRPr="009C62BB">
        <w:rPr>
          <w:rFonts w:ascii="Times New Roman" w:hAnsi="Times New Roman"/>
          <w:i/>
          <w:sz w:val="20"/>
          <w:szCs w:val="20"/>
        </w:rPr>
        <w:t>22</w:t>
      </w:r>
      <w:r w:rsidRPr="009C62BB">
        <w:rPr>
          <w:rFonts w:ascii="Times New Roman" w:hAnsi="Times New Roman"/>
          <w:i/>
          <w:sz w:val="20"/>
          <w:szCs w:val="20"/>
          <w:vertAlign w:val="superscript"/>
        </w:rPr>
        <w:t>nd</w:t>
      </w:r>
      <w:r w:rsidRPr="009C62BB">
        <w:rPr>
          <w:rFonts w:ascii="Times New Roman" w:hAnsi="Times New Roman"/>
          <w:i/>
          <w:sz w:val="20"/>
          <w:szCs w:val="20"/>
        </w:rPr>
        <w:t xml:space="preserve">, </w:t>
      </w:r>
      <w:r w:rsidR="000D2E06">
        <w:rPr>
          <w:rFonts w:ascii="Times New Roman" w:hAnsi="Times New Roman"/>
          <w:i/>
          <w:sz w:val="20"/>
          <w:szCs w:val="20"/>
        </w:rPr>
        <w:t xml:space="preserve"> </w:t>
      </w:r>
      <w:r w:rsidRPr="009C62BB">
        <w:rPr>
          <w:rFonts w:ascii="Times New Roman" w:hAnsi="Times New Roman"/>
          <w:i/>
          <w:sz w:val="20"/>
          <w:szCs w:val="20"/>
        </w:rPr>
        <w:t xml:space="preserve">International </w:t>
      </w:r>
      <w:r w:rsidR="000D2E06">
        <w:rPr>
          <w:rFonts w:ascii="Times New Roman" w:hAnsi="Times New Roman"/>
          <w:i/>
          <w:sz w:val="20"/>
          <w:szCs w:val="20"/>
        </w:rPr>
        <w:t xml:space="preserve"> </w:t>
      </w:r>
      <w:r w:rsidRPr="009C62BB">
        <w:rPr>
          <w:rFonts w:ascii="Times New Roman" w:hAnsi="Times New Roman"/>
          <w:i/>
          <w:sz w:val="20"/>
          <w:szCs w:val="20"/>
        </w:rPr>
        <w:t>Pittsburgh Coal     Conference</w:t>
      </w:r>
      <w:r w:rsidRPr="009C62BB">
        <w:rPr>
          <w:rFonts w:ascii="Times New Roman" w:hAnsi="Times New Roman"/>
          <w:sz w:val="20"/>
          <w:szCs w:val="20"/>
        </w:rPr>
        <w:t xml:space="preserve">, Pittsburgh, USA.                </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Khan, </w:t>
      </w:r>
      <w:r w:rsidR="000D2E06">
        <w:rPr>
          <w:rFonts w:ascii="Times New Roman" w:hAnsi="Times New Roman"/>
          <w:sz w:val="20"/>
          <w:szCs w:val="20"/>
        </w:rPr>
        <w:t xml:space="preserve"> </w:t>
      </w:r>
      <w:r w:rsidRPr="009C62BB">
        <w:rPr>
          <w:rFonts w:ascii="Times New Roman" w:hAnsi="Times New Roman"/>
          <w:sz w:val="20"/>
          <w:szCs w:val="20"/>
        </w:rPr>
        <w:t xml:space="preserve">A. M. Z. and </w:t>
      </w:r>
      <w:r w:rsidR="000D2E06">
        <w:rPr>
          <w:rFonts w:ascii="Times New Roman" w:hAnsi="Times New Roman"/>
          <w:sz w:val="20"/>
          <w:szCs w:val="20"/>
        </w:rPr>
        <w:t xml:space="preserve"> </w:t>
      </w:r>
      <w:r w:rsidRPr="009C62BB">
        <w:rPr>
          <w:rFonts w:ascii="Times New Roman" w:hAnsi="Times New Roman"/>
          <w:sz w:val="20"/>
          <w:szCs w:val="20"/>
        </w:rPr>
        <w:t>Abu Ghrarah,</w:t>
      </w:r>
      <w:r w:rsidR="000D2E06">
        <w:rPr>
          <w:rFonts w:ascii="Times New Roman" w:hAnsi="Times New Roman"/>
          <w:sz w:val="20"/>
          <w:szCs w:val="20"/>
        </w:rPr>
        <w:t xml:space="preserve"> </w:t>
      </w:r>
      <w:r w:rsidRPr="009C62BB">
        <w:rPr>
          <w:rFonts w:ascii="Times New Roman" w:hAnsi="Times New Roman"/>
          <w:sz w:val="20"/>
          <w:szCs w:val="20"/>
        </w:rPr>
        <w:t xml:space="preserve"> Z. H. </w:t>
      </w:r>
      <w:r w:rsidR="000D2E06">
        <w:rPr>
          <w:rFonts w:ascii="Times New Roman" w:hAnsi="Times New Roman"/>
          <w:sz w:val="20"/>
          <w:szCs w:val="20"/>
        </w:rPr>
        <w:t xml:space="preserve"> </w:t>
      </w:r>
      <w:r w:rsidRPr="009C62BB">
        <w:rPr>
          <w:rFonts w:ascii="Times New Roman" w:hAnsi="Times New Roman"/>
          <w:sz w:val="20"/>
          <w:szCs w:val="20"/>
        </w:rPr>
        <w:t xml:space="preserve">(1991). </w:t>
      </w:r>
      <w:r w:rsidR="000D2E06">
        <w:rPr>
          <w:rFonts w:ascii="Times New Roman" w:hAnsi="Times New Roman"/>
          <w:sz w:val="20"/>
          <w:szCs w:val="20"/>
        </w:rPr>
        <w:t xml:space="preserve">  </w:t>
      </w:r>
      <w:r w:rsidRPr="009C62BB">
        <w:rPr>
          <w:rFonts w:ascii="Times New Roman" w:hAnsi="Times New Roman"/>
          <w:sz w:val="20"/>
          <w:szCs w:val="20"/>
        </w:rPr>
        <w:t xml:space="preserve">New approach for estimating energy content of   municipal solid waste. </w:t>
      </w:r>
      <w:r w:rsidRPr="009C62BB">
        <w:rPr>
          <w:rFonts w:ascii="Times New Roman" w:hAnsi="Times New Roman"/>
          <w:i/>
          <w:sz w:val="20"/>
          <w:szCs w:val="20"/>
        </w:rPr>
        <w:t>Journal Environmental Engineering</w:t>
      </w:r>
      <w:r w:rsidRPr="009C62BB">
        <w:rPr>
          <w:rFonts w:ascii="Times New Roman" w:hAnsi="Times New Roman"/>
          <w:sz w:val="20"/>
          <w:szCs w:val="20"/>
        </w:rPr>
        <w:t>, 117(3), 376 – 380.</w:t>
      </w:r>
    </w:p>
    <w:p w:rsidR="009C62BB" w:rsidRPr="009C62BB" w:rsidRDefault="009C62BB" w:rsidP="009C62BB">
      <w:pPr>
        <w:pStyle w:val="ListParagraph"/>
        <w:widowControl w:val="0"/>
        <w:numPr>
          <w:ilvl w:val="0"/>
          <w:numId w:val="3"/>
        </w:numPr>
        <w:wordWrap w:val="0"/>
        <w:autoSpaceDE w:val="0"/>
        <w:autoSpaceDN w:val="0"/>
        <w:adjustRightInd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Isa, Md. K., Snape, C. E., Uguna, C. and Meredith, W. (2015). High conversions of miscanthus using sub- and supercritical water above 400 </w:t>
      </w:r>
      <w:r w:rsidRPr="009C62BB">
        <w:rPr>
          <w:rFonts w:ascii="Times New Roman" w:hAnsi="Times New Roman"/>
          <w:sz w:val="20"/>
          <w:szCs w:val="20"/>
          <w:vertAlign w:val="superscript"/>
        </w:rPr>
        <w:t>o</w:t>
      </w:r>
      <w:r w:rsidRPr="009C62BB">
        <w:rPr>
          <w:rFonts w:ascii="Times New Roman" w:hAnsi="Times New Roman"/>
          <w:sz w:val="20"/>
          <w:szCs w:val="20"/>
        </w:rPr>
        <w:t xml:space="preserve">C. </w:t>
      </w:r>
      <w:r w:rsidRPr="009C62BB">
        <w:rPr>
          <w:rFonts w:ascii="Times New Roman" w:hAnsi="Times New Roman"/>
          <w:i/>
          <w:sz w:val="20"/>
          <w:szCs w:val="20"/>
        </w:rPr>
        <w:t>Journal of Analytical and Applied Pyrolysis</w:t>
      </w:r>
      <w:r w:rsidRPr="009C62BB">
        <w:rPr>
          <w:rFonts w:ascii="Times New Roman" w:hAnsi="Times New Roman"/>
          <w:sz w:val="20"/>
          <w:szCs w:val="20"/>
        </w:rPr>
        <w:t>, 113: 646 – 654.</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Hamatschek, E., Tee, S. S. and Faulstich, M. (2010). Current practice of municipal solid waste management in Malaysia and the potential for waste-to-energy implementation. </w:t>
      </w:r>
      <w:r w:rsidRPr="009C62BB">
        <w:rPr>
          <w:rFonts w:ascii="Times New Roman" w:hAnsi="Times New Roman"/>
          <w:i/>
          <w:sz w:val="20"/>
          <w:szCs w:val="20"/>
        </w:rPr>
        <w:t>ISWA World Congress,</w:t>
      </w:r>
      <w:r w:rsidRPr="009C62BB">
        <w:rPr>
          <w:rFonts w:ascii="Times New Roman" w:hAnsi="Times New Roman"/>
          <w:sz w:val="20"/>
          <w:szCs w:val="20"/>
        </w:rPr>
        <w:t xml:space="preserve"> 1 – 13.</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lang w:val="pl-PL"/>
        </w:rPr>
        <w:t xml:space="preserve">Chai, </w:t>
      </w:r>
      <w:r w:rsidR="000D2E06">
        <w:rPr>
          <w:rFonts w:ascii="Times New Roman" w:hAnsi="Times New Roman"/>
          <w:sz w:val="20"/>
          <w:szCs w:val="20"/>
          <w:lang w:val="pl-PL"/>
        </w:rPr>
        <w:t xml:space="preserve"> </w:t>
      </w:r>
      <w:r w:rsidRPr="009C62BB">
        <w:rPr>
          <w:rFonts w:ascii="Times New Roman" w:hAnsi="Times New Roman"/>
          <w:sz w:val="20"/>
          <w:szCs w:val="20"/>
          <w:lang w:val="pl-PL"/>
        </w:rPr>
        <w:t xml:space="preserve">S. P. and </w:t>
      </w:r>
      <w:r w:rsidR="000D2E06">
        <w:rPr>
          <w:rFonts w:ascii="Times New Roman" w:hAnsi="Times New Roman"/>
          <w:sz w:val="20"/>
          <w:szCs w:val="20"/>
          <w:lang w:val="pl-PL"/>
        </w:rPr>
        <w:t xml:space="preserve"> </w:t>
      </w:r>
      <w:r w:rsidRPr="009C62BB">
        <w:rPr>
          <w:rFonts w:ascii="Times New Roman" w:hAnsi="Times New Roman"/>
          <w:sz w:val="20"/>
          <w:szCs w:val="20"/>
          <w:lang w:val="pl-PL"/>
        </w:rPr>
        <w:t xml:space="preserve">Zakaria, R. (2006). </w:t>
      </w:r>
      <w:r w:rsidR="000D2E06">
        <w:rPr>
          <w:rFonts w:ascii="Times New Roman" w:hAnsi="Times New Roman"/>
          <w:sz w:val="20"/>
          <w:szCs w:val="20"/>
          <w:lang w:val="pl-PL"/>
        </w:rPr>
        <w:t xml:space="preserve"> </w:t>
      </w:r>
      <w:r w:rsidRPr="009C62BB">
        <w:rPr>
          <w:rFonts w:ascii="Times New Roman" w:hAnsi="Times New Roman"/>
          <w:sz w:val="20"/>
          <w:szCs w:val="20"/>
        </w:rPr>
        <w:t>Investigation</w:t>
      </w:r>
      <w:r w:rsidR="000D2E06">
        <w:rPr>
          <w:rFonts w:ascii="Times New Roman" w:hAnsi="Times New Roman"/>
          <w:sz w:val="20"/>
          <w:szCs w:val="20"/>
        </w:rPr>
        <w:t xml:space="preserve"> </w:t>
      </w:r>
      <w:r w:rsidRPr="009C62BB">
        <w:rPr>
          <w:rFonts w:ascii="Times New Roman" w:hAnsi="Times New Roman"/>
          <w:sz w:val="20"/>
          <w:szCs w:val="20"/>
        </w:rPr>
        <w:t xml:space="preserve"> of combustion characteristic of municipal solid waste from Penang </w:t>
      </w:r>
      <w:r w:rsidR="000D2E06">
        <w:rPr>
          <w:rFonts w:ascii="Times New Roman" w:hAnsi="Times New Roman"/>
          <w:sz w:val="20"/>
          <w:szCs w:val="20"/>
        </w:rPr>
        <w:t xml:space="preserve"> </w:t>
      </w:r>
      <w:r w:rsidRPr="009C62BB">
        <w:rPr>
          <w:rFonts w:ascii="Times New Roman" w:hAnsi="Times New Roman"/>
          <w:sz w:val="20"/>
          <w:szCs w:val="20"/>
        </w:rPr>
        <w:t xml:space="preserve">State </w:t>
      </w:r>
      <w:r w:rsidR="000D2E06">
        <w:rPr>
          <w:rFonts w:ascii="Times New Roman" w:hAnsi="Times New Roman"/>
          <w:sz w:val="20"/>
          <w:szCs w:val="20"/>
        </w:rPr>
        <w:t xml:space="preserve"> </w:t>
      </w:r>
      <w:r w:rsidRPr="009C62BB">
        <w:rPr>
          <w:rFonts w:ascii="Times New Roman" w:hAnsi="Times New Roman"/>
          <w:sz w:val="20"/>
          <w:szCs w:val="20"/>
        </w:rPr>
        <w:t xml:space="preserve">Malaysia. </w:t>
      </w:r>
      <w:r w:rsidR="000D2E06">
        <w:rPr>
          <w:rFonts w:ascii="Times New Roman" w:hAnsi="Times New Roman"/>
          <w:sz w:val="20"/>
          <w:szCs w:val="20"/>
        </w:rPr>
        <w:t xml:space="preserve"> </w:t>
      </w:r>
      <w:r w:rsidRPr="009C62BB">
        <w:rPr>
          <w:rFonts w:ascii="Times New Roman" w:hAnsi="Times New Roman"/>
          <w:sz w:val="20"/>
          <w:szCs w:val="20"/>
        </w:rPr>
        <w:t>4</w:t>
      </w:r>
      <w:r w:rsidRPr="009C62BB">
        <w:rPr>
          <w:rFonts w:ascii="Times New Roman" w:hAnsi="Times New Roman"/>
          <w:sz w:val="20"/>
          <w:szCs w:val="20"/>
          <w:vertAlign w:val="superscript"/>
        </w:rPr>
        <w:t>th</w:t>
      </w:r>
      <w:r w:rsidRPr="009C62BB">
        <w:rPr>
          <w:rFonts w:ascii="Times New Roman" w:hAnsi="Times New Roman"/>
          <w:sz w:val="20"/>
          <w:szCs w:val="20"/>
        </w:rPr>
        <w:t xml:space="preserve"> </w:t>
      </w:r>
      <w:r w:rsidR="000D2E06">
        <w:rPr>
          <w:rFonts w:ascii="Times New Roman" w:hAnsi="Times New Roman"/>
          <w:sz w:val="20"/>
          <w:szCs w:val="20"/>
        </w:rPr>
        <w:t xml:space="preserve"> </w:t>
      </w:r>
      <w:r w:rsidRPr="009C62BB">
        <w:rPr>
          <w:rFonts w:ascii="Times New Roman" w:hAnsi="Times New Roman"/>
          <w:i/>
          <w:sz w:val="20"/>
          <w:szCs w:val="20"/>
        </w:rPr>
        <w:t>International</w:t>
      </w:r>
      <w:r w:rsidR="000D2E06">
        <w:rPr>
          <w:rFonts w:ascii="Times New Roman" w:hAnsi="Times New Roman"/>
          <w:i/>
          <w:sz w:val="20"/>
          <w:szCs w:val="20"/>
        </w:rPr>
        <w:t xml:space="preserve"> </w:t>
      </w:r>
      <w:r w:rsidRPr="009C62BB">
        <w:rPr>
          <w:rFonts w:ascii="Times New Roman" w:hAnsi="Times New Roman"/>
          <w:i/>
          <w:sz w:val="20"/>
          <w:szCs w:val="20"/>
        </w:rPr>
        <w:t xml:space="preserve"> Conference </w:t>
      </w:r>
      <w:r w:rsidR="000D2E06">
        <w:rPr>
          <w:rFonts w:ascii="Times New Roman" w:hAnsi="Times New Roman"/>
          <w:i/>
          <w:sz w:val="20"/>
          <w:szCs w:val="20"/>
        </w:rPr>
        <w:t xml:space="preserve"> </w:t>
      </w:r>
      <w:r w:rsidRPr="009C62BB">
        <w:rPr>
          <w:rFonts w:ascii="Times New Roman" w:hAnsi="Times New Roman"/>
          <w:i/>
          <w:sz w:val="20"/>
          <w:szCs w:val="20"/>
        </w:rPr>
        <w:t>on Combustion, Incineration/Pyrolysis and Emission Control: Waste to Wealth</w:t>
      </w:r>
      <w:r w:rsidRPr="009C62BB">
        <w:rPr>
          <w:rFonts w:ascii="Times New Roman" w:hAnsi="Times New Roman"/>
          <w:sz w:val="20"/>
          <w:szCs w:val="20"/>
        </w:rPr>
        <w:t>, Kyoto, Japan.</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Tchobanoglous, G., </w:t>
      </w:r>
      <w:r w:rsidR="000D2E06">
        <w:rPr>
          <w:rFonts w:ascii="Times New Roman" w:hAnsi="Times New Roman"/>
          <w:sz w:val="20"/>
          <w:szCs w:val="20"/>
        </w:rPr>
        <w:t xml:space="preserve"> </w:t>
      </w:r>
      <w:r w:rsidRPr="009C62BB">
        <w:rPr>
          <w:rFonts w:ascii="Times New Roman" w:hAnsi="Times New Roman"/>
          <w:sz w:val="20"/>
          <w:szCs w:val="20"/>
        </w:rPr>
        <w:t xml:space="preserve">Theisen, </w:t>
      </w:r>
      <w:r w:rsidR="000D2E06">
        <w:rPr>
          <w:rFonts w:ascii="Times New Roman" w:hAnsi="Times New Roman"/>
          <w:sz w:val="20"/>
          <w:szCs w:val="20"/>
        </w:rPr>
        <w:t xml:space="preserve"> </w:t>
      </w:r>
      <w:r w:rsidRPr="009C62BB">
        <w:rPr>
          <w:rFonts w:ascii="Times New Roman" w:hAnsi="Times New Roman"/>
          <w:sz w:val="20"/>
          <w:szCs w:val="20"/>
        </w:rPr>
        <w:t xml:space="preserve">H. and </w:t>
      </w:r>
      <w:r w:rsidR="000D2E06">
        <w:rPr>
          <w:rFonts w:ascii="Times New Roman" w:hAnsi="Times New Roman"/>
          <w:sz w:val="20"/>
          <w:szCs w:val="20"/>
        </w:rPr>
        <w:t xml:space="preserve"> </w:t>
      </w:r>
      <w:r w:rsidRPr="009C62BB">
        <w:rPr>
          <w:rFonts w:ascii="Times New Roman" w:hAnsi="Times New Roman"/>
          <w:sz w:val="20"/>
          <w:szCs w:val="20"/>
        </w:rPr>
        <w:t xml:space="preserve">Vigil, </w:t>
      </w:r>
      <w:r w:rsidR="000D2E06">
        <w:rPr>
          <w:rFonts w:ascii="Times New Roman" w:hAnsi="Times New Roman"/>
          <w:sz w:val="20"/>
          <w:szCs w:val="20"/>
        </w:rPr>
        <w:t xml:space="preserve"> </w:t>
      </w:r>
      <w:r w:rsidRPr="009C62BB">
        <w:rPr>
          <w:rFonts w:ascii="Times New Roman" w:hAnsi="Times New Roman"/>
          <w:sz w:val="20"/>
          <w:szCs w:val="20"/>
        </w:rPr>
        <w:t xml:space="preserve">A. S. </w:t>
      </w:r>
      <w:r w:rsidR="000D2E06">
        <w:rPr>
          <w:rFonts w:ascii="Times New Roman" w:hAnsi="Times New Roman"/>
          <w:sz w:val="20"/>
          <w:szCs w:val="20"/>
        </w:rPr>
        <w:t xml:space="preserve"> </w:t>
      </w:r>
      <w:r w:rsidRPr="009C62BB">
        <w:rPr>
          <w:rFonts w:ascii="Times New Roman" w:hAnsi="Times New Roman"/>
          <w:sz w:val="20"/>
          <w:szCs w:val="20"/>
        </w:rPr>
        <w:t>(1993).</w:t>
      </w:r>
      <w:r w:rsidR="000D2E06">
        <w:rPr>
          <w:rFonts w:ascii="Times New Roman" w:hAnsi="Times New Roman"/>
          <w:sz w:val="20"/>
          <w:szCs w:val="20"/>
        </w:rPr>
        <w:t xml:space="preserve">  </w:t>
      </w:r>
      <w:r w:rsidRPr="009C62BB">
        <w:rPr>
          <w:rFonts w:ascii="Times New Roman" w:hAnsi="Times New Roman"/>
          <w:sz w:val="20"/>
          <w:szCs w:val="20"/>
        </w:rPr>
        <w:t xml:space="preserve"> Integrated </w:t>
      </w:r>
      <w:r w:rsidR="000D2E06">
        <w:rPr>
          <w:rFonts w:ascii="Times New Roman" w:hAnsi="Times New Roman"/>
          <w:sz w:val="20"/>
          <w:szCs w:val="20"/>
        </w:rPr>
        <w:t xml:space="preserve"> </w:t>
      </w:r>
      <w:r w:rsidRPr="009C62BB">
        <w:rPr>
          <w:rFonts w:ascii="Times New Roman" w:hAnsi="Times New Roman"/>
          <w:sz w:val="20"/>
          <w:szCs w:val="20"/>
        </w:rPr>
        <w:t xml:space="preserve">solid </w:t>
      </w:r>
      <w:r w:rsidR="000D2E06">
        <w:rPr>
          <w:rFonts w:ascii="Times New Roman" w:hAnsi="Times New Roman"/>
          <w:sz w:val="20"/>
          <w:szCs w:val="20"/>
        </w:rPr>
        <w:t xml:space="preserve"> </w:t>
      </w:r>
      <w:r w:rsidRPr="009C62BB">
        <w:rPr>
          <w:rFonts w:ascii="Times New Roman" w:hAnsi="Times New Roman"/>
          <w:sz w:val="20"/>
          <w:szCs w:val="20"/>
        </w:rPr>
        <w:t>waste management, engineering principles and management issues. Mc Graw-Hill, New York.</w:t>
      </w:r>
    </w:p>
    <w:p w:rsidR="009C62BB" w:rsidRPr="009C62BB" w:rsidRDefault="009C62BB" w:rsidP="009C62BB">
      <w:pPr>
        <w:pStyle w:val="ListParagraph"/>
        <w:widowControl w:val="0"/>
        <w:numPr>
          <w:ilvl w:val="0"/>
          <w:numId w:val="3"/>
        </w:numPr>
        <w:wordWrap w:val="0"/>
        <w:autoSpaceDE w:val="0"/>
        <w:autoSpaceDN w:val="0"/>
        <w:adjustRightInd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Garcia, </w:t>
      </w:r>
      <w:r w:rsidR="000D2E06">
        <w:rPr>
          <w:rFonts w:ascii="Times New Roman" w:hAnsi="Times New Roman"/>
          <w:sz w:val="20"/>
          <w:szCs w:val="20"/>
        </w:rPr>
        <w:t xml:space="preserve"> </w:t>
      </w:r>
      <w:r w:rsidRPr="009C62BB">
        <w:rPr>
          <w:rFonts w:ascii="Times New Roman" w:hAnsi="Times New Roman"/>
          <w:sz w:val="20"/>
          <w:szCs w:val="20"/>
        </w:rPr>
        <w:t xml:space="preserve">A. </w:t>
      </w:r>
      <w:r w:rsidR="00371112">
        <w:rPr>
          <w:rFonts w:ascii="Times New Roman" w:hAnsi="Times New Roman"/>
          <w:sz w:val="20"/>
          <w:szCs w:val="20"/>
        </w:rPr>
        <w:t xml:space="preserve"> </w:t>
      </w:r>
      <w:r w:rsidRPr="009C62BB">
        <w:rPr>
          <w:rFonts w:ascii="Times New Roman" w:hAnsi="Times New Roman"/>
          <w:sz w:val="20"/>
          <w:szCs w:val="20"/>
        </w:rPr>
        <w:t xml:space="preserve">N., </w:t>
      </w:r>
      <w:r w:rsidR="000D2E06">
        <w:rPr>
          <w:rFonts w:ascii="Times New Roman" w:hAnsi="Times New Roman"/>
          <w:sz w:val="20"/>
          <w:szCs w:val="20"/>
        </w:rPr>
        <w:t xml:space="preserve"> </w:t>
      </w:r>
      <w:r w:rsidRPr="009C62BB">
        <w:rPr>
          <w:rFonts w:ascii="Times New Roman" w:hAnsi="Times New Roman"/>
          <w:sz w:val="20"/>
          <w:szCs w:val="20"/>
        </w:rPr>
        <w:t xml:space="preserve">Marcilla, </w:t>
      </w:r>
      <w:r w:rsidR="000D2E06">
        <w:rPr>
          <w:rFonts w:ascii="Times New Roman" w:hAnsi="Times New Roman"/>
          <w:sz w:val="20"/>
          <w:szCs w:val="20"/>
        </w:rPr>
        <w:t xml:space="preserve"> </w:t>
      </w:r>
      <w:r w:rsidRPr="009C62BB">
        <w:rPr>
          <w:rFonts w:ascii="Times New Roman" w:hAnsi="Times New Roman"/>
          <w:sz w:val="20"/>
          <w:szCs w:val="20"/>
        </w:rPr>
        <w:t xml:space="preserve">A. </w:t>
      </w:r>
      <w:r w:rsidR="00371112">
        <w:rPr>
          <w:rFonts w:ascii="Times New Roman" w:hAnsi="Times New Roman"/>
          <w:sz w:val="20"/>
          <w:szCs w:val="20"/>
        </w:rPr>
        <w:t xml:space="preserve"> </w:t>
      </w:r>
      <w:r w:rsidRPr="009C62BB">
        <w:rPr>
          <w:rFonts w:ascii="Times New Roman" w:hAnsi="Times New Roman"/>
          <w:sz w:val="20"/>
          <w:szCs w:val="20"/>
        </w:rPr>
        <w:t xml:space="preserve">and </w:t>
      </w:r>
      <w:r w:rsidR="000D2E06">
        <w:rPr>
          <w:rFonts w:ascii="Times New Roman" w:hAnsi="Times New Roman"/>
          <w:sz w:val="20"/>
          <w:szCs w:val="20"/>
        </w:rPr>
        <w:t xml:space="preserve"> </w:t>
      </w:r>
      <w:r w:rsidR="00371112">
        <w:rPr>
          <w:rFonts w:ascii="Times New Roman" w:hAnsi="Times New Roman"/>
          <w:sz w:val="20"/>
          <w:szCs w:val="20"/>
        </w:rPr>
        <w:t xml:space="preserve"> </w:t>
      </w:r>
      <w:r w:rsidRPr="009C62BB">
        <w:rPr>
          <w:rFonts w:ascii="Times New Roman" w:hAnsi="Times New Roman"/>
          <w:sz w:val="20"/>
          <w:szCs w:val="20"/>
        </w:rPr>
        <w:t>ont,</w:t>
      </w:r>
      <w:r w:rsidR="000D2E06">
        <w:rPr>
          <w:rFonts w:ascii="Times New Roman" w:hAnsi="Times New Roman"/>
          <w:sz w:val="20"/>
          <w:szCs w:val="20"/>
        </w:rPr>
        <w:t xml:space="preserve"> </w:t>
      </w:r>
      <w:r w:rsidRPr="009C62BB">
        <w:rPr>
          <w:rFonts w:ascii="Times New Roman" w:hAnsi="Times New Roman"/>
          <w:sz w:val="20"/>
          <w:szCs w:val="20"/>
        </w:rPr>
        <w:t xml:space="preserve"> R.</w:t>
      </w:r>
      <w:r w:rsidR="00371112">
        <w:rPr>
          <w:rFonts w:ascii="Times New Roman" w:hAnsi="Times New Roman"/>
          <w:sz w:val="20"/>
          <w:szCs w:val="20"/>
        </w:rPr>
        <w:t xml:space="preserve"> </w:t>
      </w:r>
      <w:r w:rsidRPr="009C62BB">
        <w:rPr>
          <w:rFonts w:ascii="Times New Roman" w:hAnsi="Times New Roman"/>
          <w:sz w:val="20"/>
          <w:szCs w:val="20"/>
        </w:rPr>
        <w:t xml:space="preserve"> </w:t>
      </w:r>
      <w:r w:rsidR="000D2E06">
        <w:rPr>
          <w:rFonts w:ascii="Times New Roman" w:hAnsi="Times New Roman"/>
          <w:sz w:val="20"/>
          <w:szCs w:val="20"/>
        </w:rPr>
        <w:t xml:space="preserve"> </w:t>
      </w:r>
      <w:r w:rsidRPr="009C62BB">
        <w:rPr>
          <w:rFonts w:ascii="Times New Roman" w:hAnsi="Times New Roman"/>
          <w:sz w:val="20"/>
          <w:szCs w:val="20"/>
        </w:rPr>
        <w:t xml:space="preserve">(1995). </w:t>
      </w:r>
      <w:r w:rsidR="000D2E06">
        <w:rPr>
          <w:rFonts w:ascii="Times New Roman" w:hAnsi="Times New Roman"/>
          <w:sz w:val="20"/>
          <w:szCs w:val="20"/>
        </w:rPr>
        <w:t xml:space="preserve"> </w:t>
      </w:r>
      <w:r w:rsidR="00371112">
        <w:rPr>
          <w:rFonts w:ascii="Times New Roman" w:hAnsi="Times New Roman"/>
          <w:sz w:val="20"/>
          <w:szCs w:val="20"/>
        </w:rPr>
        <w:t xml:space="preserve"> </w:t>
      </w:r>
      <w:r w:rsidRPr="009C62BB">
        <w:rPr>
          <w:rFonts w:ascii="Times New Roman" w:hAnsi="Times New Roman"/>
          <w:sz w:val="20"/>
          <w:szCs w:val="20"/>
        </w:rPr>
        <w:t xml:space="preserve">Thermogravimetric </w:t>
      </w:r>
      <w:r w:rsidR="00371112">
        <w:rPr>
          <w:rFonts w:ascii="Times New Roman" w:hAnsi="Times New Roman"/>
          <w:sz w:val="20"/>
          <w:szCs w:val="20"/>
        </w:rPr>
        <w:t xml:space="preserve"> </w:t>
      </w:r>
      <w:r w:rsidRPr="009C62BB">
        <w:rPr>
          <w:rFonts w:ascii="Times New Roman" w:hAnsi="Times New Roman"/>
          <w:sz w:val="20"/>
          <w:szCs w:val="20"/>
        </w:rPr>
        <w:t xml:space="preserve">kinetic </w:t>
      </w:r>
      <w:r w:rsidR="00371112">
        <w:rPr>
          <w:rFonts w:ascii="Times New Roman" w:hAnsi="Times New Roman"/>
          <w:sz w:val="20"/>
          <w:szCs w:val="20"/>
        </w:rPr>
        <w:t xml:space="preserve"> </w:t>
      </w:r>
      <w:r w:rsidRPr="009C62BB">
        <w:rPr>
          <w:rFonts w:ascii="Times New Roman" w:hAnsi="Times New Roman"/>
          <w:sz w:val="20"/>
          <w:szCs w:val="20"/>
        </w:rPr>
        <w:t>study</w:t>
      </w:r>
      <w:r w:rsidR="00371112">
        <w:rPr>
          <w:rFonts w:ascii="Times New Roman" w:hAnsi="Times New Roman"/>
          <w:sz w:val="20"/>
          <w:szCs w:val="20"/>
        </w:rPr>
        <w:t xml:space="preserve"> </w:t>
      </w:r>
      <w:r w:rsidRPr="009C62BB">
        <w:rPr>
          <w:rFonts w:ascii="Times New Roman" w:hAnsi="Times New Roman"/>
          <w:sz w:val="20"/>
          <w:szCs w:val="20"/>
        </w:rPr>
        <w:t xml:space="preserve"> of </w:t>
      </w:r>
      <w:r w:rsidR="00371112">
        <w:rPr>
          <w:rFonts w:ascii="Times New Roman" w:hAnsi="Times New Roman"/>
          <w:sz w:val="20"/>
          <w:szCs w:val="20"/>
        </w:rPr>
        <w:t xml:space="preserve"> </w:t>
      </w:r>
      <w:r w:rsidRPr="009C62BB">
        <w:rPr>
          <w:rFonts w:ascii="Times New Roman" w:hAnsi="Times New Roman"/>
          <w:sz w:val="20"/>
          <w:szCs w:val="20"/>
        </w:rPr>
        <w:t xml:space="preserve">the </w:t>
      </w:r>
      <w:r w:rsidR="00371112">
        <w:rPr>
          <w:rFonts w:ascii="Times New Roman" w:hAnsi="Times New Roman"/>
          <w:sz w:val="20"/>
          <w:szCs w:val="20"/>
        </w:rPr>
        <w:t xml:space="preserve"> </w:t>
      </w:r>
      <w:r w:rsidRPr="009C62BB">
        <w:rPr>
          <w:rFonts w:ascii="Times New Roman" w:hAnsi="Times New Roman"/>
          <w:sz w:val="20"/>
          <w:szCs w:val="20"/>
        </w:rPr>
        <w:t xml:space="preserve">pyrolysis </w:t>
      </w:r>
      <w:r w:rsidR="00371112">
        <w:rPr>
          <w:rFonts w:ascii="Times New Roman" w:hAnsi="Times New Roman"/>
          <w:sz w:val="20"/>
          <w:szCs w:val="20"/>
        </w:rPr>
        <w:t xml:space="preserve"> </w:t>
      </w:r>
      <w:r w:rsidRPr="009C62BB">
        <w:rPr>
          <w:rFonts w:ascii="Times New Roman" w:hAnsi="Times New Roman"/>
          <w:sz w:val="20"/>
          <w:szCs w:val="20"/>
        </w:rPr>
        <w:t xml:space="preserve">of municipal solid waste. </w:t>
      </w:r>
      <w:r w:rsidRPr="009C62BB">
        <w:rPr>
          <w:rFonts w:ascii="Times New Roman" w:hAnsi="Times New Roman"/>
          <w:i/>
          <w:sz w:val="20"/>
          <w:szCs w:val="20"/>
        </w:rPr>
        <w:t>Thermochimica Acta</w:t>
      </w:r>
      <w:r w:rsidRPr="009C62BB">
        <w:rPr>
          <w:rFonts w:ascii="Times New Roman" w:hAnsi="Times New Roman"/>
          <w:sz w:val="20"/>
          <w:szCs w:val="20"/>
        </w:rPr>
        <w:t>, 254: 277 – 304.</w:t>
      </w:r>
    </w:p>
    <w:p w:rsidR="009C62BB" w:rsidRPr="009C62BB" w:rsidRDefault="009C62BB" w:rsidP="009C62BB">
      <w:pPr>
        <w:pStyle w:val="ListParagraph"/>
        <w:widowControl w:val="0"/>
        <w:numPr>
          <w:ilvl w:val="0"/>
          <w:numId w:val="3"/>
        </w:numPr>
        <w:wordWrap w:val="0"/>
        <w:autoSpaceDE w:val="0"/>
        <w:autoSpaceDN w:val="0"/>
        <w:adjustRightInd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Shen, B. and Qinlei. (2006). Study on MSW catalytic combustion by TGA. </w:t>
      </w:r>
      <w:r w:rsidRPr="009C62BB">
        <w:rPr>
          <w:rFonts w:ascii="Times New Roman" w:hAnsi="Times New Roman"/>
          <w:i/>
          <w:sz w:val="20"/>
          <w:szCs w:val="20"/>
        </w:rPr>
        <w:t xml:space="preserve">Energy Conversion &amp; Management, </w:t>
      </w:r>
      <w:r w:rsidRPr="009C62BB">
        <w:rPr>
          <w:rFonts w:ascii="Times New Roman" w:hAnsi="Times New Roman"/>
          <w:sz w:val="20"/>
          <w:szCs w:val="20"/>
        </w:rPr>
        <w:t>47(11-12): 1429 – 1437.</w:t>
      </w:r>
    </w:p>
    <w:p w:rsidR="009C62BB" w:rsidRPr="009C62BB" w:rsidRDefault="009C62BB" w:rsidP="009C62BB">
      <w:pPr>
        <w:pStyle w:val="ListParagraph"/>
        <w:widowControl w:val="0"/>
        <w:numPr>
          <w:ilvl w:val="0"/>
          <w:numId w:val="3"/>
        </w:numPr>
        <w:wordWrap w:val="0"/>
        <w:autoSpaceDE w:val="0"/>
        <w:autoSpaceDN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lang w:val="fi-FI"/>
        </w:rPr>
        <w:t xml:space="preserve">Kathirvale, S., </w:t>
      </w:r>
      <w:r w:rsidR="000D2E06">
        <w:rPr>
          <w:rFonts w:ascii="Times New Roman" w:hAnsi="Times New Roman"/>
          <w:sz w:val="20"/>
          <w:szCs w:val="20"/>
          <w:lang w:val="fi-FI"/>
        </w:rPr>
        <w:t xml:space="preserve"> </w:t>
      </w:r>
      <w:r w:rsidRPr="009C62BB">
        <w:rPr>
          <w:rFonts w:ascii="Times New Roman" w:hAnsi="Times New Roman"/>
          <w:sz w:val="20"/>
          <w:szCs w:val="20"/>
          <w:lang w:val="fi-FI"/>
        </w:rPr>
        <w:t xml:space="preserve">Yunus, M. N. M., </w:t>
      </w:r>
      <w:r w:rsidR="000D2E06">
        <w:rPr>
          <w:rFonts w:ascii="Times New Roman" w:hAnsi="Times New Roman"/>
          <w:sz w:val="20"/>
          <w:szCs w:val="20"/>
          <w:lang w:val="fi-FI"/>
        </w:rPr>
        <w:t xml:space="preserve"> </w:t>
      </w:r>
      <w:r w:rsidRPr="009C62BB">
        <w:rPr>
          <w:rFonts w:ascii="Times New Roman" w:hAnsi="Times New Roman"/>
          <w:sz w:val="20"/>
          <w:szCs w:val="20"/>
          <w:lang w:val="fi-FI"/>
        </w:rPr>
        <w:t xml:space="preserve">Sopian, K. and </w:t>
      </w:r>
      <w:r w:rsidR="000D2E06">
        <w:rPr>
          <w:rFonts w:ascii="Times New Roman" w:hAnsi="Times New Roman"/>
          <w:sz w:val="20"/>
          <w:szCs w:val="20"/>
          <w:lang w:val="fi-FI"/>
        </w:rPr>
        <w:t xml:space="preserve"> </w:t>
      </w:r>
      <w:r w:rsidRPr="009C62BB">
        <w:rPr>
          <w:rFonts w:ascii="Times New Roman" w:hAnsi="Times New Roman"/>
          <w:sz w:val="20"/>
          <w:szCs w:val="20"/>
          <w:lang w:val="fi-FI"/>
        </w:rPr>
        <w:t xml:space="preserve">Samsuddin, A. H. (2003). </w:t>
      </w:r>
      <w:r w:rsidR="000D2E06">
        <w:rPr>
          <w:rFonts w:ascii="Times New Roman" w:hAnsi="Times New Roman"/>
          <w:sz w:val="20"/>
          <w:szCs w:val="20"/>
          <w:lang w:val="fi-FI"/>
        </w:rPr>
        <w:t xml:space="preserve"> </w:t>
      </w:r>
      <w:r w:rsidRPr="009C62BB">
        <w:rPr>
          <w:rFonts w:ascii="Times New Roman" w:hAnsi="Times New Roman"/>
          <w:sz w:val="20"/>
          <w:szCs w:val="20"/>
        </w:rPr>
        <w:t xml:space="preserve">Energy potential from municipal solid waste in Malaysia. </w:t>
      </w:r>
      <w:r w:rsidRPr="009C62BB">
        <w:rPr>
          <w:rFonts w:ascii="Times New Roman" w:hAnsi="Times New Roman"/>
          <w:i/>
          <w:sz w:val="20"/>
          <w:szCs w:val="20"/>
        </w:rPr>
        <w:t>Renewable Energy</w:t>
      </w:r>
      <w:r w:rsidRPr="009C62BB">
        <w:rPr>
          <w:rFonts w:ascii="Times New Roman" w:hAnsi="Times New Roman"/>
          <w:sz w:val="20"/>
          <w:szCs w:val="20"/>
        </w:rPr>
        <w:t>, 29(4): 559 – 567.</w:t>
      </w:r>
    </w:p>
    <w:p w:rsidR="009C62BB" w:rsidRPr="009C62BB" w:rsidRDefault="009C62BB" w:rsidP="009C62BB">
      <w:pPr>
        <w:pStyle w:val="ListParagraph"/>
        <w:widowControl w:val="0"/>
        <w:numPr>
          <w:ilvl w:val="0"/>
          <w:numId w:val="3"/>
        </w:numPr>
        <w:wordWrap w:val="0"/>
        <w:autoSpaceDE w:val="0"/>
        <w:autoSpaceDN w:val="0"/>
        <w:adjustRightInd w:val="0"/>
        <w:spacing w:after="0" w:line="240" w:lineRule="auto"/>
        <w:ind w:left="360"/>
        <w:jc w:val="both"/>
        <w:outlineLvl w:val="0"/>
        <w:rPr>
          <w:rFonts w:ascii="Times New Roman" w:hAnsi="Times New Roman"/>
          <w:sz w:val="20"/>
          <w:szCs w:val="20"/>
        </w:rPr>
      </w:pPr>
      <w:r w:rsidRPr="009C62BB">
        <w:rPr>
          <w:rFonts w:ascii="Times New Roman" w:hAnsi="Times New Roman"/>
          <w:sz w:val="20"/>
          <w:szCs w:val="20"/>
        </w:rPr>
        <w:t xml:space="preserve">Onsri, K., </w:t>
      </w:r>
      <w:r w:rsidR="000D2E06">
        <w:rPr>
          <w:rFonts w:ascii="Times New Roman" w:hAnsi="Times New Roman"/>
          <w:sz w:val="20"/>
          <w:szCs w:val="20"/>
        </w:rPr>
        <w:t xml:space="preserve"> </w:t>
      </w:r>
      <w:r w:rsidRPr="009C62BB">
        <w:rPr>
          <w:rFonts w:ascii="Times New Roman" w:hAnsi="Times New Roman"/>
          <w:sz w:val="20"/>
          <w:szCs w:val="20"/>
        </w:rPr>
        <w:t xml:space="preserve">Prasassarakich, P. and </w:t>
      </w:r>
      <w:r w:rsidR="000D2E06">
        <w:rPr>
          <w:rFonts w:ascii="Times New Roman" w:hAnsi="Times New Roman"/>
          <w:sz w:val="20"/>
          <w:szCs w:val="20"/>
        </w:rPr>
        <w:t xml:space="preserve"> </w:t>
      </w:r>
      <w:r w:rsidRPr="009C62BB">
        <w:rPr>
          <w:rFonts w:ascii="Times New Roman" w:hAnsi="Times New Roman"/>
          <w:sz w:val="20"/>
          <w:szCs w:val="20"/>
        </w:rPr>
        <w:t>Ngamprasertsith, S.</w:t>
      </w:r>
      <w:r w:rsidR="000D2E06">
        <w:rPr>
          <w:rFonts w:ascii="Times New Roman" w:hAnsi="Times New Roman"/>
          <w:sz w:val="20"/>
          <w:szCs w:val="20"/>
        </w:rPr>
        <w:t xml:space="preserve"> </w:t>
      </w:r>
      <w:r w:rsidRPr="009C62BB">
        <w:rPr>
          <w:rFonts w:ascii="Times New Roman" w:hAnsi="Times New Roman"/>
          <w:sz w:val="20"/>
          <w:szCs w:val="20"/>
        </w:rPr>
        <w:t xml:space="preserve"> (2010). </w:t>
      </w:r>
      <w:r w:rsidR="000D2E06">
        <w:rPr>
          <w:rFonts w:ascii="Times New Roman" w:hAnsi="Times New Roman"/>
          <w:sz w:val="20"/>
          <w:szCs w:val="20"/>
        </w:rPr>
        <w:t xml:space="preserve"> </w:t>
      </w:r>
      <w:r w:rsidRPr="009C62BB">
        <w:rPr>
          <w:rFonts w:ascii="Times New Roman" w:hAnsi="Times New Roman"/>
          <w:sz w:val="20"/>
          <w:szCs w:val="20"/>
        </w:rPr>
        <w:t>Co-liquefac</w:t>
      </w:r>
      <w:r w:rsidR="000D2E06">
        <w:rPr>
          <w:rFonts w:ascii="Times New Roman" w:hAnsi="Times New Roman"/>
          <w:sz w:val="20"/>
          <w:szCs w:val="20"/>
        </w:rPr>
        <w:t xml:space="preserve">tion of coal and used tire in  </w:t>
      </w:r>
      <w:r w:rsidRPr="009C62BB">
        <w:rPr>
          <w:rFonts w:ascii="Times New Roman" w:hAnsi="Times New Roman"/>
          <w:sz w:val="20"/>
          <w:szCs w:val="20"/>
        </w:rPr>
        <w:t xml:space="preserve"> super</w:t>
      </w:r>
      <w:r w:rsidR="000D2E06">
        <w:rPr>
          <w:rFonts w:ascii="Times New Roman" w:hAnsi="Times New Roman"/>
          <w:sz w:val="20"/>
          <w:szCs w:val="20"/>
        </w:rPr>
        <w:t>-</w:t>
      </w:r>
      <w:r w:rsidRPr="009C62BB">
        <w:rPr>
          <w:rFonts w:ascii="Times New Roman" w:hAnsi="Times New Roman"/>
          <w:sz w:val="20"/>
          <w:szCs w:val="20"/>
        </w:rPr>
        <w:t xml:space="preserve">critical water. </w:t>
      </w:r>
      <w:r w:rsidRPr="009C62BB">
        <w:rPr>
          <w:rFonts w:ascii="Times New Roman" w:hAnsi="Times New Roman"/>
          <w:i/>
          <w:sz w:val="20"/>
          <w:szCs w:val="20"/>
        </w:rPr>
        <w:t>Energy Power Engineering</w:t>
      </w:r>
      <w:r w:rsidRPr="009C62BB">
        <w:rPr>
          <w:rFonts w:ascii="Times New Roman" w:hAnsi="Times New Roman"/>
          <w:sz w:val="20"/>
          <w:szCs w:val="20"/>
        </w:rPr>
        <w:t>, 2: 95 – 102.</w:t>
      </w:r>
    </w:p>
    <w:p w:rsidR="00AC0033" w:rsidRPr="009C62BB" w:rsidRDefault="00AC0033" w:rsidP="009C62BB">
      <w:pPr>
        <w:spacing w:after="0" w:line="240" w:lineRule="auto"/>
        <w:ind w:left="360" w:hanging="360"/>
        <w:jc w:val="both"/>
        <w:rPr>
          <w:rFonts w:ascii="Times New Roman" w:hAnsi="Times New Roman"/>
          <w:noProof/>
          <w:sz w:val="20"/>
          <w:szCs w:val="20"/>
          <w:lang w:bidi="ar-SA"/>
        </w:rPr>
      </w:pPr>
    </w:p>
    <w:sectPr w:rsidR="00AC0033" w:rsidRPr="009C62BB" w:rsidSect="00A225AA">
      <w:headerReference w:type="even" r:id="rId15"/>
      <w:headerReference w:type="default" r:id="rId16"/>
      <w:footerReference w:type="even" r:id="rId17"/>
      <w:footerReference w:type="default" r:id="rId18"/>
      <w:pgSz w:w="12240" w:h="15840" w:code="1"/>
      <w:pgMar w:top="1800" w:right="1469" w:bottom="1699" w:left="1440" w:header="706" w:footer="706" w:gutter="0"/>
      <w:pgNumType w:start="8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5AA" w:rsidRDefault="00A225AA" w:rsidP="00FB4C59">
      <w:pPr>
        <w:spacing w:after="0" w:line="240" w:lineRule="auto"/>
      </w:pPr>
      <w:r>
        <w:separator/>
      </w:r>
    </w:p>
  </w:endnote>
  <w:endnote w:type="continuationSeparator" w:id="0">
    <w:p w:rsidR="00A225AA" w:rsidRDefault="00A225A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AA" w:rsidRPr="008B5904" w:rsidRDefault="00A225AA">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10D9B">
      <w:rPr>
        <w:rFonts w:ascii="Times New Roman" w:hAnsi="Times New Roman"/>
        <w:noProof/>
      </w:rPr>
      <w:t>808</w:t>
    </w:r>
    <w:r w:rsidRPr="008B5904">
      <w:rPr>
        <w:rFonts w:ascii="Times New Roman" w:hAnsi="Times New Roman"/>
        <w:noProof/>
      </w:rPr>
      <w:fldChar w:fldCharType="end"/>
    </w:r>
  </w:p>
  <w:p w:rsidR="00A225AA" w:rsidRDefault="00A22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AA" w:rsidRPr="008B5904" w:rsidRDefault="00A225AA">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10D9B">
      <w:rPr>
        <w:rFonts w:ascii="Times New Roman" w:hAnsi="Times New Roman"/>
        <w:noProof/>
      </w:rPr>
      <w:t>809</w:t>
    </w:r>
    <w:r w:rsidRPr="008B5904">
      <w:rPr>
        <w:rFonts w:ascii="Times New Roman" w:hAnsi="Times New Roman"/>
        <w:noProof/>
      </w:rPr>
      <w:fldChar w:fldCharType="end"/>
    </w:r>
  </w:p>
  <w:p w:rsidR="00A225AA" w:rsidRPr="004B43FF" w:rsidRDefault="00A225AA">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5AA" w:rsidRDefault="00A225AA" w:rsidP="00FB4C59">
      <w:pPr>
        <w:spacing w:after="0" w:line="240" w:lineRule="auto"/>
      </w:pPr>
      <w:r>
        <w:separator/>
      </w:r>
    </w:p>
  </w:footnote>
  <w:footnote w:type="continuationSeparator" w:id="0">
    <w:p w:rsidR="00A225AA" w:rsidRDefault="00A225A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AA" w:rsidRPr="001F659C" w:rsidRDefault="00A225AA" w:rsidP="001F659C">
    <w:pPr>
      <w:spacing w:after="0" w:line="240" w:lineRule="auto"/>
      <w:ind w:left="1530" w:hanging="1530"/>
      <w:rPr>
        <w:sz w:val="20"/>
        <w:szCs w:val="20"/>
      </w:rPr>
    </w:pPr>
    <w:r>
      <w:rPr>
        <w:rFonts w:ascii="Times New Roman" w:hAnsi="Times New Roman"/>
        <w:sz w:val="20"/>
        <w:szCs w:val="20"/>
      </w:rPr>
      <w:t>Khairuddin et al</w:t>
    </w:r>
    <w:r w:rsidRPr="001F659C">
      <w:rPr>
        <w:rFonts w:ascii="Times New Roman" w:hAnsi="Times New Roman"/>
        <w:sz w:val="20"/>
        <w:szCs w:val="20"/>
      </w:rPr>
      <w:t xml:space="preserve">:   </w:t>
    </w:r>
    <w:r>
      <w:rPr>
        <w:rFonts w:ascii="Times New Roman" w:hAnsi="Times New Roman"/>
        <w:sz w:val="20"/>
        <w:szCs w:val="20"/>
      </w:rPr>
      <w:tab/>
    </w:r>
    <w:r w:rsidRPr="001F659C">
      <w:rPr>
        <w:rFonts w:ascii="Times New Roman" w:hAnsi="Times New Roman"/>
        <w:sz w:val="20"/>
        <w:szCs w:val="20"/>
      </w:rPr>
      <w:t>CHARACTERIZATION, CALCULATION OF CALORIFIC VALUES, AND BIO-OIL PRODUCTION VIA THERMOCHEMICAL PROCESSES OF MUNICIPAL SOLID WASTE IN PERLIS, MALAYSIA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5AA" w:rsidRDefault="00A225AA" w:rsidP="006B72B0">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4</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sidR="006363CC">
      <w:rPr>
        <w:rFonts w:ascii="Times New Roman" w:hAnsi="Times New Roman"/>
        <w:i/>
        <w:lang w:val="en-US"/>
      </w:rPr>
      <w:t>801</w:t>
    </w:r>
    <w:r>
      <w:rPr>
        <w:rFonts w:ascii="Times New Roman" w:hAnsi="Times New Roman"/>
        <w:i/>
        <w:lang w:val="en-US"/>
      </w:rPr>
      <w:t xml:space="preserve"> -</w:t>
    </w:r>
    <w:r w:rsidR="006363CC">
      <w:rPr>
        <w:rFonts w:ascii="Times New Roman" w:hAnsi="Times New Roman"/>
        <w:i/>
        <w:lang w:val="en-US"/>
      </w:rPr>
      <w:t xml:space="preserve"> 809</w:t>
    </w:r>
  </w:p>
  <w:p w:rsidR="00A225AA" w:rsidRDefault="00A225AA" w:rsidP="00F4760B">
    <w:pPr>
      <w:pStyle w:val="Header"/>
      <w:jc w:val="right"/>
      <w:rPr>
        <w:rFonts w:ascii="Times New Roman" w:hAnsi="Times New Roman"/>
        <w:i/>
        <w:lang w:val="en-US"/>
      </w:rPr>
    </w:pPr>
    <w:r>
      <w:rPr>
        <w:rFonts w:ascii="Times New Roman" w:hAnsi="Times New Roman"/>
        <w:i/>
        <w:lang w:val="en-US"/>
      </w:rPr>
      <w:t>DOI: https://doi.org/10.17576/mjas-2017-2104</w:t>
    </w:r>
    <w:r w:rsidR="006363CC">
      <w:rPr>
        <w:rFonts w:ascii="Times New Roman" w:hAnsi="Times New Roman"/>
        <w:i/>
        <w:lang w:val="en-US"/>
      </w:rPr>
      <w:t>-06</w:t>
    </w:r>
  </w:p>
  <w:p w:rsidR="00A225AA" w:rsidRPr="00F4760B" w:rsidRDefault="00A225AA"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9693AC5"/>
    <w:multiLevelType w:val="hybridMultilevel"/>
    <w:tmpl w:val="2FF2B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70F31"/>
    <w:rsid w:val="00084936"/>
    <w:rsid w:val="000875CD"/>
    <w:rsid w:val="000C49FF"/>
    <w:rsid w:val="000D16A1"/>
    <w:rsid w:val="000D2B0C"/>
    <w:rsid w:val="000D2E06"/>
    <w:rsid w:val="000F4572"/>
    <w:rsid w:val="000F77DA"/>
    <w:rsid w:val="001068E8"/>
    <w:rsid w:val="001106D8"/>
    <w:rsid w:val="00117BCD"/>
    <w:rsid w:val="001D035A"/>
    <w:rsid w:val="001D3855"/>
    <w:rsid w:val="001D6F2C"/>
    <w:rsid w:val="001F659C"/>
    <w:rsid w:val="00210D9B"/>
    <w:rsid w:val="00277498"/>
    <w:rsid w:val="0028007D"/>
    <w:rsid w:val="00285EB4"/>
    <w:rsid w:val="002860B7"/>
    <w:rsid w:val="00290F4D"/>
    <w:rsid w:val="002A2FC0"/>
    <w:rsid w:val="002B188F"/>
    <w:rsid w:val="002B3BD8"/>
    <w:rsid w:val="002F3F91"/>
    <w:rsid w:val="00304767"/>
    <w:rsid w:val="00304B34"/>
    <w:rsid w:val="00361BAF"/>
    <w:rsid w:val="00362FCE"/>
    <w:rsid w:val="00367D1F"/>
    <w:rsid w:val="00371112"/>
    <w:rsid w:val="003B6019"/>
    <w:rsid w:val="003D4CDD"/>
    <w:rsid w:val="003D585B"/>
    <w:rsid w:val="003E7DA6"/>
    <w:rsid w:val="003F12FF"/>
    <w:rsid w:val="00401EB9"/>
    <w:rsid w:val="00421061"/>
    <w:rsid w:val="004760D4"/>
    <w:rsid w:val="00494C46"/>
    <w:rsid w:val="004B43FF"/>
    <w:rsid w:val="004D7E25"/>
    <w:rsid w:val="00502641"/>
    <w:rsid w:val="005C6768"/>
    <w:rsid w:val="005D064A"/>
    <w:rsid w:val="005E4871"/>
    <w:rsid w:val="00601C8A"/>
    <w:rsid w:val="00623CB8"/>
    <w:rsid w:val="006257E5"/>
    <w:rsid w:val="00634C25"/>
    <w:rsid w:val="006363CC"/>
    <w:rsid w:val="006416AB"/>
    <w:rsid w:val="0065447F"/>
    <w:rsid w:val="006768E9"/>
    <w:rsid w:val="00687982"/>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C62BB"/>
    <w:rsid w:val="009C7FEF"/>
    <w:rsid w:val="009D030D"/>
    <w:rsid w:val="00A14DB9"/>
    <w:rsid w:val="00A225AA"/>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D1814"/>
    <w:rsid w:val="00CF05FF"/>
    <w:rsid w:val="00D340BB"/>
    <w:rsid w:val="00D37690"/>
    <w:rsid w:val="00D505D5"/>
    <w:rsid w:val="00D75B35"/>
    <w:rsid w:val="00D76E09"/>
    <w:rsid w:val="00D9736F"/>
    <w:rsid w:val="00D9792A"/>
    <w:rsid w:val="00DD377F"/>
    <w:rsid w:val="00E13FE6"/>
    <w:rsid w:val="00E16130"/>
    <w:rsid w:val="00E25547"/>
    <w:rsid w:val="00E3287E"/>
    <w:rsid w:val="00E54D12"/>
    <w:rsid w:val="00E66197"/>
    <w:rsid w:val="00F31093"/>
    <w:rsid w:val="00F412AF"/>
    <w:rsid w:val="00F43667"/>
    <w:rsid w:val="00F447A7"/>
    <w:rsid w:val="00F4760B"/>
    <w:rsid w:val="00F75DC8"/>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customStyle="1" w:styleId="Style1">
    <w:name w:val="Style1"/>
    <w:basedOn w:val="TableNormal"/>
    <w:uiPriority w:val="99"/>
    <w:rsid w:val="001F659C"/>
    <w:rPr>
      <w:rFonts w:asciiTheme="minorHAnsi" w:eastAsiaTheme="minorHAnsi" w:hAnsiTheme="minorHAnsi" w:cstheme="minorBidi"/>
      <w:sz w:val="22"/>
      <w:szCs w:val="22"/>
    </w:rPr>
    <w:tblPr>
      <w:tblBorders>
        <w:top w:val="single" w:sz="4" w:space="0" w:color="auto"/>
        <w:bottom w:val="single" w:sz="4" w:space="0" w:color="auto"/>
      </w:tblBorders>
    </w:tblPr>
  </w:style>
  <w:style w:type="character" w:customStyle="1" w:styleId="journaltitle">
    <w:name w:val="journaltitle"/>
    <w:basedOn w:val="DefaultParagraphFont"/>
    <w:rsid w:val="009C6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customStyle="1" w:styleId="Style1">
    <w:name w:val="Style1"/>
    <w:basedOn w:val="TableNormal"/>
    <w:uiPriority w:val="99"/>
    <w:rsid w:val="001F659C"/>
    <w:rPr>
      <w:rFonts w:asciiTheme="minorHAnsi" w:eastAsiaTheme="minorHAnsi" w:hAnsiTheme="minorHAnsi" w:cstheme="minorBidi"/>
      <w:sz w:val="22"/>
      <w:szCs w:val="22"/>
    </w:rPr>
    <w:tblPr>
      <w:tblBorders>
        <w:top w:val="single" w:sz="4" w:space="0" w:color="auto"/>
        <w:bottom w:val="single" w:sz="4" w:space="0" w:color="auto"/>
      </w:tblBorders>
    </w:tblPr>
  </w:style>
  <w:style w:type="character" w:customStyle="1" w:styleId="journaltitle">
    <w:name w:val="journaltitle"/>
    <w:basedOn w:val="DefaultParagraphFont"/>
    <w:rsid w:val="009C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ink.springer.com/journal/11367"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esktop\grap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857330333708296E-2"/>
          <c:y val="0.13677997090754535"/>
          <c:w val="0.66926627850876164"/>
          <c:h val="0.78498976731971692"/>
        </c:manualLayout>
      </c:layout>
      <c:barChart>
        <c:barDir val="col"/>
        <c:grouping val="clustered"/>
        <c:varyColors val="0"/>
        <c:ser>
          <c:idx val="0"/>
          <c:order val="0"/>
          <c:tx>
            <c:strRef>
              <c:f>Sheet1!$C$3</c:f>
              <c:strCache>
                <c:ptCount val="1"/>
                <c:pt idx="0">
                  <c:v>Conversion</c:v>
                </c:pt>
              </c:strCache>
            </c:strRef>
          </c:tx>
          <c:spPr>
            <a:solidFill>
              <a:srgbClr val="7030A0"/>
            </a:solidFill>
            <a:ln>
              <a:noFill/>
            </a:ln>
            <a:effectLst/>
          </c:spPr>
          <c:invertIfNegative val="0"/>
          <c:cat>
            <c:numRef>
              <c:f>Sheet1!$B$4:$B$6</c:f>
              <c:numCache>
                <c:formatCode>General</c:formatCode>
                <c:ptCount val="3"/>
                <c:pt idx="0">
                  <c:v>380</c:v>
                </c:pt>
                <c:pt idx="1">
                  <c:v>420</c:v>
                </c:pt>
                <c:pt idx="2">
                  <c:v>480</c:v>
                </c:pt>
              </c:numCache>
            </c:numRef>
          </c:cat>
          <c:val>
            <c:numRef>
              <c:f>Sheet1!$C$4:$C$6</c:f>
              <c:numCache>
                <c:formatCode>General</c:formatCode>
                <c:ptCount val="3"/>
                <c:pt idx="0">
                  <c:v>76</c:v>
                </c:pt>
                <c:pt idx="1">
                  <c:v>82</c:v>
                </c:pt>
                <c:pt idx="2">
                  <c:v>84</c:v>
                </c:pt>
              </c:numCache>
            </c:numRef>
          </c:val>
        </c:ser>
        <c:ser>
          <c:idx val="1"/>
          <c:order val="1"/>
          <c:tx>
            <c:strRef>
              <c:f>Sheet1!$D$3</c:f>
              <c:strCache>
                <c:ptCount val="1"/>
                <c:pt idx="0">
                  <c:v>Bio-oil + water</c:v>
                </c:pt>
              </c:strCache>
            </c:strRef>
          </c:tx>
          <c:spPr>
            <a:solidFill>
              <a:schemeClr val="accent5"/>
            </a:solidFill>
            <a:ln>
              <a:noFill/>
            </a:ln>
            <a:effectLst/>
          </c:spPr>
          <c:invertIfNegative val="0"/>
          <c:cat>
            <c:numRef>
              <c:f>Sheet1!$B$4:$B$6</c:f>
              <c:numCache>
                <c:formatCode>General</c:formatCode>
                <c:ptCount val="3"/>
                <c:pt idx="0">
                  <c:v>380</c:v>
                </c:pt>
                <c:pt idx="1">
                  <c:v>420</c:v>
                </c:pt>
                <c:pt idx="2">
                  <c:v>480</c:v>
                </c:pt>
              </c:numCache>
            </c:numRef>
          </c:cat>
          <c:val>
            <c:numRef>
              <c:f>Sheet1!$D$4:$D$6</c:f>
              <c:numCache>
                <c:formatCode>General</c:formatCode>
                <c:ptCount val="3"/>
                <c:pt idx="0">
                  <c:v>56</c:v>
                </c:pt>
                <c:pt idx="1">
                  <c:v>55</c:v>
                </c:pt>
                <c:pt idx="2">
                  <c:v>42</c:v>
                </c:pt>
              </c:numCache>
            </c:numRef>
          </c:val>
        </c:ser>
        <c:ser>
          <c:idx val="2"/>
          <c:order val="2"/>
          <c:tx>
            <c:strRef>
              <c:f>Sheet1!$E$3</c:f>
              <c:strCache>
                <c:ptCount val="1"/>
                <c:pt idx="0">
                  <c:v>Gas </c:v>
                </c:pt>
              </c:strCache>
            </c:strRef>
          </c:tx>
          <c:spPr>
            <a:solidFill>
              <a:schemeClr val="accent4"/>
            </a:solidFill>
            <a:ln>
              <a:noFill/>
            </a:ln>
            <a:effectLst/>
          </c:spPr>
          <c:invertIfNegative val="0"/>
          <c:cat>
            <c:numRef>
              <c:f>Sheet1!$B$4:$B$6</c:f>
              <c:numCache>
                <c:formatCode>General</c:formatCode>
                <c:ptCount val="3"/>
                <c:pt idx="0">
                  <c:v>380</c:v>
                </c:pt>
                <c:pt idx="1">
                  <c:v>420</c:v>
                </c:pt>
                <c:pt idx="2">
                  <c:v>480</c:v>
                </c:pt>
              </c:numCache>
            </c:numRef>
          </c:cat>
          <c:val>
            <c:numRef>
              <c:f>Sheet1!$E$4:$E$6</c:f>
              <c:numCache>
                <c:formatCode>General</c:formatCode>
                <c:ptCount val="3"/>
                <c:pt idx="0">
                  <c:v>20</c:v>
                </c:pt>
                <c:pt idx="1">
                  <c:v>27</c:v>
                </c:pt>
                <c:pt idx="2">
                  <c:v>42</c:v>
                </c:pt>
              </c:numCache>
            </c:numRef>
          </c:val>
        </c:ser>
        <c:ser>
          <c:idx val="3"/>
          <c:order val="3"/>
          <c:tx>
            <c:strRef>
              <c:f>Sheet1!$F$3</c:f>
              <c:strCache>
                <c:ptCount val="1"/>
                <c:pt idx="0">
                  <c:v>Char</c:v>
                </c:pt>
              </c:strCache>
            </c:strRef>
          </c:tx>
          <c:spPr>
            <a:solidFill>
              <a:schemeClr val="accent6">
                <a:lumMod val="60000"/>
              </a:schemeClr>
            </a:solidFill>
            <a:ln>
              <a:noFill/>
            </a:ln>
            <a:effectLst/>
          </c:spPr>
          <c:invertIfNegative val="0"/>
          <c:cat>
            <c:numRef>
              <c:f>Sheet1!$B$4:$B$6</c:f>
              <c:numCache>
                <c:formatCode>General</c:formatCode>
                <c:ptCount val="3"/>
                <c:pt idx="0">
                  <c:v>380</c:v>
                </c:pt>
                <c:pt idx="1">
                  <c:v>420</c:v>
                </c:pt>
                <c:pt idx="2">
                  <c:v>480</c:v>
                </c:pt>
              </c:numCache>
            </c:numRef>
          </c:cat>
          <c:val>
            <c:numRef>
              <c:f>Sheet1!$F$4:$F$6</c:f>
              <c:numCache>
                <c:formatCode>General</c:formatCode>
                <c:ptCount val="3"/>
                <c:pt idx="0">
                  <c:v>23</c:v>
                </c:pt>
                <c:pt idx="1">
                  <c:v>16</c:v>
                </c:pt>
                <c:pt idx="2">
                  <c:v>14</c:v>
                </c:pt>
              </c:numCache>
            </c:numRef>
          </c:val>
        </c:ser>
        <c:dLbls>
          <c:showLegendKey val="0"/>
          <c:showVal val="0"/>
          <c:showCatName val="0"/>
          <c:showSerName val="0"/>
          <c:showPercent val="0"/>
          <c:showBubbleSize val="0"/>
        </c:dLbls>
        <c:gapWidth val="300"/>
        <c:axId val="104360576"/>
        <c:axId val="119564544"/>
      </c:barChart>
      <c:catAx>
        <c:axId val="104360576"/>
        <c:scaling>
          <c:orientation val="minMax"/>
        </c:scaling>
        <c:delete val="0"/>
        <c:axPos val="b"/>
        <c:title>
          <c:tx>
            <c:rich>
              <a:bodyPr rot="0" spcFirstLastPara="1" vertOverflow="ellipsis" vert="horz" wrap="square" anchor="ctr" anchorCtr="1"/>
              <a:lstStyle/>
              <a:p>
                <a:pPr algn="ctr" rtl="0">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Reaction temperature (</a:t>
                </a:r>
                <a:r>
                  <a:rPr lang="en-US" sz="900" b="1">
                    <a:latin typeface="Times New Roman" panose="02020603050405020304" pitchFamily="18" charset="0"/>
                    <a:cs typeface="Times New Roman" panose="02020603050405020304" pitchFamily="18" charset="0"/>
                  </a:rPr>
                  <a:t>℃</a:t>
                </a:r>
                <a:r>
                  <a:rPr lang="en-MY" sz="900" b="1">
                    <a:latin typeface="Times New Roman" panose="02020603050405020304" pitchFamily="18" charset="0"/>
                    <a:cs typeface="Times New Roman" panose="02020603050405020304" pitchFamily="18" charset="0"/>
                  </a:rPr>
                  <a:t>)</a:t>
                </a:r>
              </a:p>
            </c:rich>
          </c:tx>
          <c:layout>
            <c:manualLayout>
              <c:xMode val="edge"/>
              <c:yMode val="edge"/>
              <c:x val="0.35750265598955228"/>
              <c:y val="0.9072744539411206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9564544"/>
        <c:crosses val="autoZero"/>
        <c:auto val="1"/>
        <c:lblAlgn val="ctr"/>
        <c:lblOffset val="100"/>
        <c:noMultiLvlLbl val="0"/>
      </c:catAx>
      <c:valAx>
        <c:axId val="119564544"/>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MY" sz="1100" b="1">
                    <a:latin typeface="Times New Roman" panose="02020603050405020304" pitchFamily="18" charset="0"/>
                    <a:cs typeface="Times New Roman" panose="02020603050405020304" pitchFamily="18" charset="0"/>
                  </a:rPr>
                  <a:t>(wt.%)</a:t>
                </a:r>
              </a:p>
            </c:rich>
          </c:tx>
          <c:layout>
            <c:manualLayout>
              <c:xMode val="edge"/>
              <c:yMode val="edge"/>
              <c:x val="2.1333333333333333E-2"/>
              <c:y val="0.36726578028714896"/>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4360576"/>
        <c:crosses val="autoZero"/>
        <c:crossBetween val="between"/>
      </c:valAx>
      <c:spPr>
        <a:noFill/>
        <a:ln w="25400">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lumMod val="50000"/>
          <a:lumOff val="50000"/>
        </a:sysClr>
      </a:solidFill>
      <a:round/>
    </a:ln>
    <a:effectLst/>
  </c:spPr>
  <c:txPr>
    <a:bodyPr/>
    <a:lstStyle/>
    <a:p>
      <a:pPr>
        <a:defRPr>
          <a:solidFill>
            <a:sysClr val="windowText" lastClr="000000"/>
          </a:solidFil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AB3F-749D-451E-86B9-735EA6FB5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4323</Words>
  <Characters>22957</Characters>
  <Application>Microsoft Office Word</Application>
  <DocSecurity>0</DocSecurity>
  <Lines>573</Lines>
  <Paragraphs>368</Paragraphs>
  <ScaleCrop>false</ScaleCrop>
  <HeadingPairs>
    <vt:vector size="2" baseType="variant">
      <vt:variant>
        <vt:lpstr>Title</vt:lpstr>
      </vt:variant>
      <vt:variant>
        <vt:i4>1</vt:i4>
      </vt:variant>
    </vt:vector>
  </HeadingPairs>
  <TitlesOfParts>
    <vt:vector size="1" baseType="lpstr">
      <vt:lpstr>MJAS Vol 21 No 4 (2017)</vt:lpstr>
    </vt:vector>
  </TitlesOfParts>
  <Company>UKM</Company>
  <LinksUpToDate>false</LinksUpToDate>
  <CharactersWithSpaces>26912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4 (2017)</dc:title>
  <dc:creator>Harun Hj Hamzah</dc:creator>
  <cp:lastModifiedBy>Harun Hamzah</cp:lastModifiedBy>
  <cp:revision>13</cp:revision>
  <cp:lastPrinted>2017-08-18T23:28:00Z</cp:lastPrinted>
  <dcterms:created xsi:type="dcterms:W3CDTF">2017-07-22T03:25:00Z</dcterms:created>
  <dcterms:modified xsi:type="dcterms:W3CDTF">2017-08-18T23:29:00Z</dcterms:modified>
</cp:coreProperties>
</file>