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C9BAD" w14:textId="215FEFCF" w:rsidR="00785CA6" w:rsidRDefault="00263AFA" w:rsidP="00AE068F">
      <w:pPr>
        <w:jc w:val="center"/>
        <w:outlineLvl w:val="0"/>
        <w:rPr>
          <w:sz w:val="28"/>
          <w:szCs w:val="28"/>
        </w:rPr>
      </w:pPr>
      <w:r w:rsidRPr="00185B97">
        <w:rPr>
          <w:sz w:val="28"/>
          <w:szCs w:val="28"/>
        </w:rPr>
        <w:t>POROSITY CONTROL OF HOLLOW FIBER MEMBRANES USING A MODEL REFERENCE ADAPTIVE CONTROLLER</w:t>
      </w:r>
    </w:p>
    <w:p w14:paraId="787F99FC" w14:textId="77777777" w:rsidR="00AE068F" w:rsidRPr="00AE068F" w:rsidRDefault="00AE068F" w:rsidP="00AE068F">
      <w:pPr>
        <w:jc w:val="center"/>
        <w:outlineLvl w:val="0"/>
        <w:rPr>
          <w:sz w:val="28"/>
          <w:szCs w:val="28"/>
        </w:rPr>
      </w:pPr>
    </w:p>
    <w:p w14:paraId="727A7A6D" w14:textId="77777777" w:rsidR="00AE068F" w:rsidRPr="00AE068F" w:rsidRDefault="00185B97" w:rsidP="00B71AA6">
      <w:pPr>
        <w:jc w:val="center"/>
        <w:outlineLvl w:val="0"/>
        <w:rPr>
          <w:sz w:val="28"/>
        </w:rPr>
      </w:pPr>
      <w:r w:rsidRPr="00AE068F">
        <w:rPr>
          <w:sz w:val="28"/>
        </w:rPr>
        <w:t>(</w:t>
      </w:r>
      <w:r w:rsidR="00C871BE" w:rsidRPr="00AE068F">
        <w:rPr>
          <w:sz w:val="28"/>
        </w:rPr>
        <w:t xml:space="preserve">Kawalan Keliangan Membran Serat Berongga Menggunakan </w:t>
      </w:r>
    </w:p>
    <w:p w14:paraId="507D48A3" w14:textId="5FB79870" w:rsidR="00785CA6" w:rsidRPr="00AE068F" w:rsidRDefault="00C871BE" w:rsidP="00B71AA6">
      <w:pPr>
        <w:jc w:val="center"/>
        <w:outlineLvl w:val="0"/>
        <w:rPr>
          <w:sz w:val="28"/>
        </w:rPr>
      </w:pPr>
      <w:r w:rsidRPr="00AE068F">
        <w:rPr>
          <w:sz w:val="28"/>
        </w:rPr>
        <w:t>Model Pengawal Rujukan Adaptif</w:t>
      </w:r>
      <w:r w:rsidR="00185B97" w:rsidRPr="00AE068F">
        <w:rPr>
          <w:sz w:val="28"/>
        </w:rPr>
        <w:t>)</w:t>
      </w:r>
    </w:p>
    <w:p w14:paraId="71587ABD" w14:textId="77777777" w:rsidR="00B71AA6" w:rsidRPr="00001D81" w:rsidRDefault="00B71AA6" w:rsidP="00785CA6">
      <w:pPr>
        <w:jc w:val="center"/>
        <w:outlineLvl w:val="0"/>
        <w:rPr>
          <w:b/>
          <w:color w:val="548DD4" w:themeColor="text2" w:themeTint="99"/>
        </w:rPr>
      </w:pPr>
    </w:p>
    <w:p w14:paraId="3C559032" w14:textId="59C17102" w:rsidR="00AE068F" w:rsidRDefault="00AE068F" w:rsidP="00263AFA">
      <w:pPr>
        <w:jc w:val="center"/>
        <w:outlineLvl w:val="0"/>
        <w:rPr>
          <w:sz w:val="20"/>
          <w:szCs w:val="20"/>
        </w:rPr>
      </w:pPr>
      <w:r>
        <w:rPr>
          <w:sz w:val="20"/>
          <w:szCs w:val="20"/>
        </w:rPr>
        <w:t>Mohammad</w:t>
      </w:r>
      <w:r w:rsidR="00263AFA" w:rsidRPr="00C573F2">
        <w:rPr>
          <w:sz w:val="20"/>
          <w:szCs w:val="20"/>
        </w:rPr>
        <w:t xml:space="preserve"> Abbasgholipourghadim</w:t>
      </w:r>
      <w:r w:rsidR="00263AFA" w:rsidRPr="00C573F2">
        <w:rPr>
          <w:sz w:val="20"/>
          <w:szCs w:val="20"/>
          <w:vertAlign w:val="superscript"/>
        </w:rPr>
        <w:t>1*</w:t>
      </w:r>
      <w:r>
        <w:rPr>
          <w:sz w:val="20"/>
          <w:szCs w:val="20"/>
        </w:rPr>
        <w:t>, Musa B</w:t>
      </w:r>
      <w:r w:rsidR="00263AFA" w:rsidRPr="00C573F2">
        <w:rPr>
          <w:sz w:val="20"/>
          <w:szCs w:val="20"/>
        </w:rPr>
        <w:t>in Mailah</w:t>
      </w:r>
      <w:r>
        <w:rPr>
          <w:sz w:val="20"/>
          <w:szCs w:val="20"/>
          <w:vertAlign w:val="superscript"/>
        </w:rPr>
        <w:t>1</w:t>
      </w:r>
      <w:r w:rsidR="00263AFA" w:rsidRPr="00C573F2">
        <w:rPr>
          <w:sz w:val="20"/>
          <w:szCs w:val="20"/>
        </w:rPr>
        <w:t>, Intan Z. Mat Darus</w:t>
      </w:r>
      <w:r>
        <w:rPr>
          <w:sz w:val="20"/>
          <w:szCs w:val="20"/>
          <w:vertAlign w:val="superscript"/>
        </w:rPr>
        <w:t>1</w:t>
      </w:r>
      <w:r>
        <w:rPr>
          <w:sz w:val="20"/>
          <w:szCs w:val="20"/>
        </w:rPr>
        <w:t xml:space="preserve">, </w:t>
      </w:r>
    </w:p>
    <w:p w14:paraId="6A69A995" w14:textId="4F396A0B" w:rsidR="00263AFA" w:rsidRPr="00C573F2" w:rsidRDefault="00AE068F" w:rsidP="00263AFA">
      <w:pPr>
        <w:jc w:val="center"/>
        <w:outlineLvl w:val="0"/>
        <w:rPr>
          <w:sz w:val="20"/>
          <w:szCs w:val="20"/>
          <w:vertAlign w:val="superscript"/>
        </w:rPr>
      </w:pPr>
      <w:r>
        <w:rPr>
          <w:sz w:val="20"/>
          <w:szCs w:val="20"/>
        </w:rPr>
        <w:t>Masood</w:t>
      </w:r>
      <w:r w:rsidR="00263AFA" w:rsidRPr="00C573F2">
        <w:rPr>
          <w:sz w:val="20"/>
          <w:szCs w:val="20"/>
        </w:rPr>
        <w:t xml:space="preserve"> Rezaei-Dasht</w:t>
      </w:r>
      <w:r w:rsidR="002968B3" w:rsidRPr="00C573F2">
        <w:rPr>
          <w:sz w:val="20"/>
          <w:szCs w:val="20"/>
        </w:rPr>
        <w:t xml:space="preserve"> </w:t>
      </w:r>
      <w:r w:rsidR="00263AFA" w:rsidRPr="00C573F2">
        <w:rPr>
          <w:sz w:val="20"/>
          <w:szCs w:val="20"/>
        </w:rPr>
        <w:t>Arzhandi</w:t>
      </w:r>
      <w:r>
        <w:rPr>
          <w:sz w:val="20"/>
          <w:szCs w:val="20"/>
          <w:vertAlign w:val="superscript"/>
        </w:rPr>
        <w:t>2</w:t>
      </w:r>
      <w:r>
        <w:rPr>
          <w:sz w:val="20"/>
          <w:szCs w:val="20"/>
        </w:rPr>
        <w:t>, Ahmad Fauzi</w:t>
      </w:r>
      <w:r w:rsidR="00263AFA" w:rsidRPr="00C573F2">
        <w:rPr>
          <w:sz w:val="20"/>
          <w:szCs w:val="20"/>
        </w:rPr>
        <w:t xml:space="preserve"> Ismail</w:t>
      </w:r>
      <w:r>
        <w:rPr>
          <w:sz w:val="20"/>
          <w:szCs w:val="20"/>
          <w:vertAlign w:val="superscript"/>
        </w:rPr>
        <w:t>2</w:t>
      </w:r>
    </w:p>
    <w:p w14:paraId="729B9BF5" w14:textId="77777777" w:rsidR="00785CA6" w:rsidRDefault="00785CA6" w:rsidP="00785CA6">
      <w:pPr>
        <w:jc w:val="center"/>
        <w:outlineLvl w:val="0"/>
        <w:rPr>
          <w:b/>
          <w:color w:val="FF0000"/>
        </w:rPr>
      </w:pPr>
    </w:p>
    <w:p w14:paraId="524344D1" w14:textId="606F0AC6" w:rsidR="00AE068F" w:rsidRDefault="00785CA6" w:rsidP="00185B97">
      <w:pPr>
        <w:jc w:val="center"/>
        <w:outlineLvl w:val="0"/>
        <w:rPr>
          <w:i/>
          <w:sz w:val="18"/>
          <w:szCs w:val="18"/>
        </w:rPr>
      </w:pPr>
      <w:r w:rsidRPr="00A415C1">
        <w:rPr>
          <w:i/>
          <w:sz w:val="18"/>
          <w:szCs w:val="18"/>
          <w:vertAlign w:val="superscript"/>
        </w:rPr>
        <w:t>1</w:t>
      </w:r>
      <w:r w:rsidR="00263AFA" w:rsidRPr="00263AFA">
        <w:rPr>
          <w:i/>
          <w:sz w:val="18"/>
          <w:szCs w:val="18"/>
        </w:rPr>
        <w:t xml:space="preserve">Department of </w:t>
      </w:r>
      <w:r w:rsidR="00263AFA" w:rsidRPr="00886A33">
        <w:rPr>
          <w:i/>
          <w:sz w:val="18"/>
          <w:szCs w:val="18"/>
        </w:rPr>
        <w:t>Applied Mechanics</w:t>
      </w:r>
      <w:r w:rsidR="00903071" w:rsidRPr="00886A33">
        <w:rPr>
          <w:i/>
          <w:sz w:val="18"/>
          <w:szCs w:val="18"/>
        </w:rPr>
        <w:t xml:space="preserve"> and Design</w:t>
      </w:r>
      <w:r w:rsidR="00263AFA" w:rsidRPr="00886A33">
        <w:rPr>
          <w:i/>
          <w:sz w:val="18"/>
          <w:szCs w:val="18"/>
        </w:rPr>
        <w:t xml:space="preserve">, </w:t>
      </w:r>
      <w:r w:rsidR="00903071" w:rsidRPr="00886A33">
        <w:rPr>
          <w:i/>
          <w:sz w:val="18"/>
          <w:szCs w:val="18"/>
        </w:rPr>
        <w:t xml:space="preserve">Faculty of </w:t>
      </w:r>
      <w:r w:rsidR="00263AFA" w:rsidRPr="00886A33">
        <w:rPr>
          <w:i/>
          <w:sz w:val="18"/>
          <w:szCs w:val="18"/>
        </w:rPr>
        <w:t xml:space="preserve">Mechanical </w:t>
      </w:r>
      <w:r w:rsidR="00263AFA" w:rsidRPr="00263AFA">
        <w:rPr>
          <w:i/>
          <w:sz w:val="18"/>
          <w:szCs w:val="18"/>
        </w:rPr>
        <w:t xml:space="preserve">Engineering, </w:t>
      </w:r>
    </w:p>
    <w:p w14:paraId="5D85AC9F" w14:textId="79B3F1E5" w:rsidR="00785CA6" w:rsidRPr="00A415C1" w:rsidRDefault="00263AFA" w:rsidP="00185B97">
      <w:pPr>
        <w:jc w:val="center"/>
        <w:outlineLvl w:val="0"/>
        <w:rPr>
          <w:i/>
          <w:sz w:val="18"/>
          <w:szCs w:val="18"/>
        </w:rPr>
      </w:pPr>
      <w:r w:rsidRPr="00263AFA">
        <w:rPr>
          <w:i/>
          <w:sz w:val="18"/>
          <w:szCs w:val="18"/>
        </w:rPr>
        <w:t>Universiti Teknologi Malaysia, 81310 Skudai, Johor, Malaysia</w:t>
      </w:r>
    </w:p>
    <w:p w14:paraId="1EFD41FF" w14:textId="77777777" w:rsidR="00AE068F" w:rsidRDefault="00AE068F" w:rsidP="0020061C">
      <w:pPr>
        <w:jc w:val="center"/>
        <w:outlineLvl w:val="0"/>
        <w:rPr>
          <w:i/>
          <w:sz w:val="18"/>
          <w:szCs w:val="18"/>
        </w:rPr>
      </w:pPr>
      <w:r>
        <w:rPr>
          <w:i/>
          <w:sz w:val="18"/>
          <w:szCs w:val="18"/>
          <w:vertAlign w:val="superscript"/>
        </w:rPr>
        <w:t>2</w:t>
      </w:r>
      <w:r w:rsidR="0020061C" w:rsidRPr="0020061C">
        <w:rPr>
          <w:i/>
          <w:sz w:val="18"/>
          <w:szCs w:val="18"/>
        </w:rPr>
        <w:t xml:space="preserve">Advanced Membrane Technology Research Centre (AMTEC), </w:t>
      </w:r>
    </w:p>
    <w:p w14:paraId="6C3C3284" w14:textId="5A34FD48" w:rsidR="00785CA6" w:rsidRPr="00A415C1" w:rsidRDefault="0020061C" w:rsidP="00AE068F">
      <w:pPr>
        <w:jc w:val="center"/>
        <w:outlineLvl w:val="0"/>
        <w:rPr>
          <w:i/>
          <w:sz w:val="18"/>
          <w:szCs w:val="18"/>
        </w:rPr>
      </w:pPr>
      <w:r w:rsidRPr="0020061C">
        <w:rPr>
          <w:i/>
          <w:sz w:val="18"/>
          <w:szCs w:val="18"/>
        </w:rPr>
        <w:t>Universiti Teknologi Malaysia, 81310 Skudai, Johor, Malaysia</w:t>
      </w:r>
    </w:p>
    <w:p w14:paraId="5C6ADB3A" w14:textId="77777777" w:rsidR="00A415C1" w:rsidRDefault="00A415C1" w:rsidP="00785CA6">
      <w:pPr>
        <w:jc w:val="center"/>
        <w:outlineLvl w:val="0"/>
        <w:rPr>
          <w:b/>
          <w:color w:val="548DD4" w:themeColor="text2" w:themeTint="99"/>
        </w:rPr>
      </w:pPr>
    </w:p>
    <w:p w14:paraId="0A6921DB" w14:textId="77777777" w:rsidR="00A415C1" w:rsidRPr="00747021" w:rsidRDefault="00A415C1" w:rsidP="00A43EFE">
      <w:pPr>
        <w:jc w:val="center"/>
        <w:outlineLvl w:val="0"/>
        <w:rPr>
          <w:i/>
          <w:color w:val="548DD4" w:themeColor="text2" w:themeTint="99"/>
          <w:sz w:val="18"/>
        </w:rPr>
      </w:pPr>
      <w:r w:rsidRPr="00747021">
        <w:rPr>
          <w:i/>
          <w:sz w:val="18"/>
          <w:vertAlign w:val="superscript"/>
        </w:rPr>
        <w:t>*</w:t>
      </w:r>
      <w:r w:rsidRPr="00747021">
        <w:rPr>
          <w:i/>
          <w:sz w:val="18"/>
        </w:rPr>
        <w:t xml:space="preserve">Corresponding author: </w:t>
      </w:r>
      <w:r w:rsidR="00A43EFE" w:rsidRPr="00A43EFE">
        <w:rPr>
          <w:i/>
          <w:sz w:val="18"/>
        </w:rPr>
        <w:t xml:space="preserve">m.gholipour2010@gmail.com </w:t>
      </w:r>
    </w:p>
    <w:p w14:paraId="3E46F50E" w14:textId="77777777" w:rsidR="00C573F2" w:rsidRDefault="00C573F2" w:rsidP="00185B97">
      <w:pPr>
        <w:outlineLvl w:val="0"/>
        <w:rPr>
          <w:b/>
          <w:color w:val="FF0000"/>
        </w:rPr>
      </w:pPr>
    </w:p>
    <w:p w14:paraId="2579C23A" w14:textId="77777777" w:rsidR="00785CA6" w:rsidRPr="00185B97" w:rsidRDefault="00785CA6" w:rsidP="00785CA6">
      <w:pPr>
        <w:jc w:val="center"/>
        <w:outlineLvl w:val="0"/>
        <w:rPr>
          <w:b/>
          <w:sz w:val="18"/>
          <w:szCs w:val="18"/>
        </w:rPr>
      </w:pPr>
      <w:r w:rsidRPr="00185B97">
        <w:rPr>
          <w:b/>
          <w:sz w:val="18"/>
          <w:szCs w:val="18"/>
        </w:rPr>
        <w:t>Abstract</w:t>
      </w:r>
    </w:p>
    <w:p w14:paraId="4B1CFAB8" w14:textId="77777777" w:rsidR="00785CA6" w:rsidRPr="00185B97" w:rsidRDefault="00A43EFE" w:rsidP="00C573F2">
      <w:pPr>
        <w:jc w:val="both"/>
        <w:outlineLvl w:val="0"/>
        <w:rPr>
          <w:sz w:val="18"/>
          <w:szCs w:val="18"/>
        </w:rPr>
      </w:pPr>
      <w:r w:rsidRPr="00185B97">
        <w:rPr>
          <w:sz w:val="18"/>
          <w:szCs w:val="18"/>
        </w:rPr>
        <w:t xml:space="preserve">The conventional simple feedback controllers are not sometimes capable to properly perform online due to different dynamics during </w:t>
      </w:r>
      <w:r w:rsidR="0061434D" w:rsidRPr="00185B97">
        <w:rPr>
          <w:sz w:val="18"/>
          <w:szCs w:val="18"/>
        </w:rPr>
        <w:t>porous hollow fiber membranes (HFMs) fabrication process.</w:t>
      </w:r>
      <w:r w:rsidRPr="00185B97">
        <w:rPr>
          <w:sz w:val="18"/>
          <w:szCs w:val="18"/>
        </w:rPr>
        <w:t xml:space="preserve"> </w:t>
      </w:r>
      <w:r w:rsidR="00B75EFE" w:rsidRPr="00185B97">
        <w:rPr>
          <w:sz w:val="18"/>
          <w:szCs w:val="18"/>
        </w:rPr>
        <w:t>T</w:t>
      </w:r>
      <w:r w:rsidRPr="00185B97">
        <w:rPr>
          <w:sz w:val="18"/>
          <w:szCs w:val="18"/>
        </w:rPr>
        <w:t>his study implemented a model reference adaptive control (MRAC) for fabricating HFMs with the desired overall porosity. The artificial neural network (ANN) was used to identify the spinneret</w:t>
      </w:r>
      <w:r w:rsidR="00B75EFE" w:rsidRPr="00185B97">
        <w:rPr>
          <w:sz w:val="18"/>
          <w:szCs w:val="18"/>
        </w:rPr>
        <w:t xml:space="preserve"> dynamic model</w:t>
      </w:r>
      <w:r w:rsidRPr="00185B97">
        <w:rPr>
          <w:sz w:val="18"/>
          <w:szCs w:val="18"/>
        </w:rPr>
        <w:t xml:space="preserve">. The developed ANN model was used as the plant model in the implemented MRAC to control the overall porosity of the HFMs. </w:t>
      </w:r>
      <w:r w:rsidR="005C7B11" w:rsidRPr="00185B97">
        <w:rPr>
          <w:sz w:val="18"/>
          <w:szCs w:val="18"/>
        </w:rPr>
        <w:t xml:space="preserve">The proposed algorithms for </w:t>
      </w:r>
      <w:r w:rsidR="00471AD6" w:rsidRPr="00185B97">
        <w:rPr>
          <w:sz w:val="18"/>
          <w:szCs w:val="18"/>
        </w:rPr>
        <w:t xml:space="preserve">controlling </w:t>
      </w:r>
      <w:r w:rsidR="005C7B11" w:rsidRPr="00185B97">
        <w:rPr>
          <w:sz w:val="18"/>
          <w:szCs w:val="18"/>
        </w:rPr>
        <w:t xml:space="preserve">HFM overall porosity were simulated in </w:t>
      </w:r>
      <w:r w:rsidR="00974881" w:rsidRPr="00185B97">
        <w:rPr>
          <w:sz w:val="18"/>
          <w:szCs w:val="18"/>
        </w:rPr>
        <w:t>MATLAB/</w:t>
      </w:r>
      <w:r w:rsidR="005C7B11" w:rsidRPr="00185B97">
        <w:rPr>
          <w:sz w:val="18"/>
          <w:szCs w:val="18"/>
        </w:rPr>
        <w:t xml:space="preserve">Simulink. </w:t>
      </w:r>
      <w:r w:rsidRPr="00185B97">
        <w:rPr>
          <w:sz w:val="18"/>
          <w:szCs w:val="18"/>
        </w:rPr>
        <w:t xml:space="preserve">The </w:t>
      </w:r>
      <w:r w:rsidR="004F1D47" w:rsidRPr="00185B97">
        <w:rPr>
          <w:sz w:val="18"/>
          <w:szCs w:val="18"/>
        </w:rPr>
        <w:t xml:space="preserve">Massachusetts Institute </w:t>
      </w:r>
      <w:r w:rsidR="005E3400" w:rsidRPr="00185B97">
        <w:rPr>
          <w:sz w:val="18"/>
          <w:szCs w:val="18"/>
        </w:rPr>
        <w:t>o</w:t>
      </w:r>
      <w:r w:rsidR="004F1D47" w:rsidRPr="00185B97">
        <w:rPr>
          <w:sz w:val="18"/>
          <w:szCs w:val="18"/>
        </w:rPr>
        <w:t>f Technology</w:t>
      </w:r>
      <w:r w:rsidR="0061073B" w:rsidRPr="00185B97">
        <w:rPr>
          <w:sz w:val="18"/>
          <w:szCs w:val="18"/>
        </w:rPr>
        <w:t xml:space="preserve"> </w:t>
      </w:r>
      <w:r w:rsidR="00B75EFE" w:rsidRPr="00185B97">
        <w:rPr>
          <w:sz w:val="18"/>
          <w:szCs w:val="18"/>
        </w:rPr>
        <w:t>(</w:t>
      </w:r>
      <w:r w:rsidRPr="00185B97">
        <w:rPr>
          <w:sz w:val="18"/>
          <w:szCs w:val="18"/>
        </w:rPr>
        <w:t>MIT</w:t>
      </w:r>
      <w:r w:rsidR="00B75EFE" w:rsidRPr="00185B97">
        <w:rPr>
          <w:sz w:val="18"/>
          <w:szCs w:val="18"/>
        </w:rPr>
        <w:t>)</w:t>
      </w:r>
      <w:r w:rsidRPr="00185B97">
        <w:rPr>
          <w:sz w:val="18"/>
          <w:szCs w:val="18"/>
        </w:rPr>
        <w:t xml:space="preserve"> rule was used for adaptive mechanism in the MRAC, where an appropriate cost function was determined as a function of error between the </w:t>
      </w:r>
      <w:r w:rsidR="00217484" w:rsidRPr="00185B97">
        <w:rPr>
          <w:sz w:val="18"/>
          <w:szCs w:val="18"/>
        </w:rPr>
        <w:t>dynamic system</w:t>
      </w:r>
      <w:r w:rsidRPr="00185B97">
        <w:rPr>
          <w:sz w:val="18"/>
          <w:szCs w:val="18"/>
        </w:rPr>
        <w:t xml:space="preserve"> and the reference output</w:t>
      </w:r>
      <w:r w:rsidR="00217484" w:rsidRPr="00185B97">
        <w:rPr>
          <w:sz w:val="18"/>
          <w:szCs w:val="18"/>
        </w:rPr>
        <w:t xml:space="preserve"> model</w:t>
      </w:r>
      <w:r w:rsidRPr="00185B97">
        <w:rPr>
          <w:sz w:val="18"/>
          <w:szCs w:val="18"/>
        </w:rPr>
        <w:t xml:space="preserve">. The controller parameters were adjusted after minimizing the selected cost function. The obtained results from the implemented MRAC scheme </w:t>
      </w:r>
      <w:r w:rsidR="00217484" w:rsidRPr="00185B97">
        <w:rPr>
          <w:sz w:val="18"/>
          <w:szCs w:val="18"/>
        </w:rPr>
        <w:t>with</w:t>
      </w:r>
      <w:r w:rsidRPr="00185B97">
        <w:rPr>
          <w:sz w:val="18"/>
          <w:szCs w:val="18"/>
        </w:rPr>
        <w:t xml:space="preserve"> MIT </w:t>
      </w:r>
      <w:r w:rsidR="00217484" w:rsidRPr="00185B97">
        <w:rPr>
          <w:sz w:val="18"/>
          <w:szCs w:val="18"/>
        </w:rPr>
        <w:t xml:space="preserve">rule is found to be effective in </w:t>
      </w:r>
      <w:r w:rsidRPr="00185B97">
        <w:rPr>
          <w:sz w:val="18"/>
          <w:szCs w:val="18"/>
        </w:rPr>
        <w:t>control</w:t>
      </w:r>
      <w:r w:rsidR="00217484" w:rsidRPr="00185B97">
        <w:rPr>
          <w:sz w:val="18"/>
          <w:szCs w:val="18"/>
        </w:rPr>
        <w:t>ling the</w:t>
      </w:r>
      <w:r w:rsidRPr="00185B97">
        <w:rPr>
          <w:sz w:val="18"/>
          <w:szCs w:val="18"/>
        </w:rPr>
        <w:t xml:space="preserve"> porosity of the membranes. However, it was revealed that the system response is quite depend</w:t>
      </w:r>
      <w:r w:rsidR="00217484" w:rsidRPr="00185B97">
        <w:rPr>
          <w:sz w:val="18"/>
          <w:szCs w:val="18"/>
        </w:rPr>
        <w:t>ent</w:t>
      </w:r>
      <w:r w:rsidRPr="00185B97">
        <w:rPr>
          <w:sz w:val="18"/>
          <w:szCs w:val="18"/>
        </w:rPr>
        <w:t xml:space="preserve"> on the changes of the input signal amplitude (overall porosity). In addition, </w:t>
      </w:r>
      <w:r w:rsidR="00B75EFE" w:rsidRPr="00185B97">
        <w:rPr>
          <w:sz w:val="18"/>
          <w:szCs w:val="18"/>
        </w:rPr>
        <w:t xml:space="preserve">large adaptation values reduced </w:t>
      </w:r>
      <w:r w:rsidR="005C7B11" w:rsidRPr="00185B97">
        <w:rPr>
          <w:sz w:val="18"/>
          <w:szCs w:val="18"/>
        </w:rPr>
        <w:t xml:space="preserve">the </w:t>
      </w:r>
      <w:r w:rsidRPr="00185B97">
        <w:rPr>
          <w:sz w:val="18"/>
          <w:szCs w:val="18"/>
        </w:rPr>
        <w:t xml:space="preserve">stability </w:t>
      </w:r>
      <w:r w:rsidR="005C7B11" w:rsidRPr="00185B97">
        <w:rPr>
          <w:sz w:val="18"/>
          <w:szCs w:val="18"/>
        </w:rPr>
        <w:t>of the system</w:t>
      </w:r>
      <w:r w:rsidRPr="00185B97">
        <w:rPr>
          <w:sz w:val="18"/>
          <w:szCs w:val="18"/>
        </w:rPr>
        <w:t>. Therefore, the MIT rule was normalized called as the normalized MIT towards the system response to be independent from differe</w:t>
      </w:r>
      <w:r w:rsidR="00B71AA6" w:rsidRPr="00185B97">
        <w:rPr>
          <w:sz w:val="18"/>
          <w:szCs w:val="18"/>
        </w:rPr>
        <w:t>nt values of the porosity rule.</w:t>
      </w:r>
    </w:p>
    <w:p w14:paraId="31CB41E8" w14:textId="77777777" w:rsidR="0089108C" w:rsidRPr="00185B97" w:rsidRDefault="0089108C" w:rsidP="00C573F2">
      <w:pPr>
        <w:jc w:val="both"/>
        <w:outlineLvl w:val="0"/>
        <w:rPr>
          <w:sz w:val="18"/>
          <w:szCs w:val="18"/>
        </w:rPr>
      </w:pPr>
    </w:p>
    <w:p w14:paraId="5DAC2BAF" w14:textId="68AB6690" w:rsidR="00785CA6" w:rsidRPr="00185B97" w:rsidRDefault="00785CA6" w:rsidP="00C573F2">
      <w:pPr>
        <w:jc w:val="both"/>
        <w:outlineLvl w:val="0"/>
        <w:rPr>
          <w:sz w:val="18"/>
          <w:szCs w:val="18"/>
        </w:rPr>
      </w:pPr>
      <w:r w:rsidRPr="00185B97">
        <w:rPr>
          <w:b/>
          <w:sz w:val="18"/>
          <w:szCs w:val="18"/>
        </w:rPr>
        <w:t>Keyword</w:t>
      </w:r>
      <w:r w:rsidR="00AE068F">
        <w:rPr>
          <w:b/>
          <w:sz w:val="18"/>
          <w:szCs w:val="18"/>
        </w:rPr>
        <w:t>s</w:t>
      </w:r>
      <w:r w:rsidRPr="00185B97">
        <w:rPr>
          <w:sz w:val="18"/>
          <w:szCs w:val="18"/>
        </w:rPr>
        <w:t xml:space="preserve">: </w:t>
      </w:r>
      <w:r w:rsidR="00DE0442" w:rsidRPr="00185B97">
        <w:rPr>
          <w:sz w:val="18"/>
          <w:szCs w:val="18"/>
        </w:rPr>
        <w:t>H</w:t>
      </w:r>
      <w:r w:rsidR="00033E61" w:rsidRPr="00185B97">
        <w:rPr>
          <w:sz w:val="18"/>
          <w:szCs w:val="18"/>
        </w:rPr>
        <w:t xml:space="preserve">ollow </w:t>
      </w:r>
      <w:r w:rsidR="00AE068F" w:rsidRPr="00185B97">
        <w:rPr>
          <w:sz w:val="18"/>
          <w:szCs w:val="18"/>
        </w:rPr>
        <w:t xml:space="preserve">fiber </w:t>
      </w:r>
      <w:r w:rsidR="00AE068F">
        <w:rPr>
          <w:sz w:val="18"/>
          <w:szCs w:val="18"/>
        </w:rPr>
        <w:t xml:space="preserve">membrane, overall porosity, </w:t>
      </w:r>
      <w:r w:rsidR="00AE068F" w:rsidRPr="00185B97">
        <w:rPr>
          <w:sz w:val="18"/>
          <w:szCs w:val="18"/>
        </w:rPr>
        <w:t>model reference adaptive control, artificial neural network</w:t>
      </w:r>
    </w:p>
    <w:p w14:paraId="03110058" w14:textId="77777777" w:rsidR="00C573F2" w:rsidRPr="00185B97" w:rsidRDefault="00C573F2" w:rsidP="00C573F2">
      <w:pPr>
        <w:jc w:val="both"/>
        <w:outlineLvl w:val="0"/>
        <w:rPr>
          <w:sz w:val="18"/>
          <w:szCs w:val="18"/>
        </w:rPr>
      </w:pPr>
    </w:p>
    <w:p w14:paraId="042CA5BE" w14:textId="77777777" w:rsidR="00B71AA6" w:rsidRPr="00AE068F" w:rsidRDefault="00B71AA6" w:rsidP="00B71AA6">
      <w:pPr>
        <w:jc w:val="center"/>
        <w:outlineLvl w:val="0"/>
        <w:rPr>
          <w:b/>
          <w:noProof/>
          <w:sz w:val="18"/>
          <w:szCs w:val="18"/>
          <w:lang w:val="ms-MY"/>
        </w:rPr>
      </w:pPr>
      <w:r w:rsidRPr="00AE068F">
        <w:rPr>
          <w:b/>
          <w:noProof/>
          <w:sz w:val="18"/>
          <w:szCs w:val="18"/>
          <w:lang w:val="ms-MY"/>
        </w:rPr>
        <w:t>Abstrak</w:t>
      </w:r>
    </w:p>
    <w:p w14:paraId="3FDF1170" w14:textId="3857C8BF" w:rsidR="00B71AA6" w:rsidRDefault="00471AD6" w:rsidP="00C573F2">
      <w:pPr>
        <w:jc w:val="both"/>
        <w:outlineLvl w:val="0"/>
        <w:rPr>
          <w:noProof/>
          <w:sz w:val="18"/>
          <w:szCs w:val="18"/>
          <w:lang w:val="ms-MY"/>
        </w:rPr>
      </w:pPr>
      <w:r w:rsidRPr="00AE068F">
        <w:rPr>
          <w:noProof/>
          <w:sz w:val="18"/>
          <w:szCs w:val="18"/>
          <w:lang w:val="ms-MY"/>
        </w:rPr>
        <w:t>P</w:t>
      </w:r>
      <w:r w:rsidR="00B71AA6" w:rsidRPr="00AE068F">
        <w:rPr>
          <w:noProof/>
          <w:sz w:val="18"/>
          <w:szCs w:val="18"/>
          <w:lang w:val="ms-MY"/>
        </w:rPr>
        <w:t xml:space="preserve">engawal konvensional </w:t>
      </w:r>
      <w:r w:rsidR="00F86D0C" w:rsidRPr="00AE068F">
        <w:rPr>
          <w:noProof/>
          <w:sz w:val="18"/>
          <w:szCs w:val="18"/>
          <w:lang w:val="ms-MY"/>
        </w:rPr>
        <w:t xml:space="preserve">tindak balas </w:t>
      </w:r>
      <w:r w:rsidRPr="00AE068F">
        <w:rPr>
          <w:noProof/>
          <w:sz w:val="18"/>
          <w:szCs w:val="18"/>
          <w:lang w:val="ms-MY"/>
        </w:rPr>
        <w:t xml:space="preserve">mudah </w:t>
      </w:r>
      <w:r w:rsidR="00B71AA6" w:rsidRPr="00AE068F">
        <w:rPr>
          <w:noProof/>
          <w:sz w:val="18"/>
          <w:szCs w:val="18"/>
          <w:lang w:val="ms-MY"/>
        </w:rPr>
        <w:t>kadang</w:t>
      </w:r>
      <w:r w:rsidRPr="00AE068F">
        <w:rPr>
          <w:noProof/>
          <w:sz w:val="18"/>
          <w:szCs w:val="18"/>
          <w:lang w:val="ms-MY"/>
        </w:rPr>
        <w:t xml:space="preserve">kala tidak </w:t>
      </w:r>
      <w:r w:rsidR="00B71AA6" w:rsidRPr="00AE068F">
        <w:rPr>
          <w:noProof/>
          <w:sz w:val="18"/>
          <w:szCs w:val="18"/>
          <w:lang w:val="ms-MY"/>
        </w:rPr>
        <w:t xml:space="preserve">mampu untuk melaksanakan </w:t>
      </w:r>
      <w:r w:rsidRPr="00AE068F">
        <w:rPr>
          <w:noProof/>
          <w:sz w:val="18"/>
          <w:szCs w:val="18"/>
          <w:lang w:val="ms-MY"/>
        </w:rPr>
        <w:t xml:space="preserve">tugas dalam </w:t>
      </w:r>
      <w:r w:rsidR="00B71AA6" w:rsidRPr="00AE068F">
        <w:rPr>
          <w:noProof/>
          <w:sz w:val="18"/>
          <w:szCs w:val="18"/>
          <w:lang w:val="ms-MY"/>
        </w:rPr>
        <w:t xml:space="preserve">talian kerana faktor dinamik yang berbeza semasa </w:t>
      </w:r>
      <w:r w:rsidRPr="00AE068F">
        <w:rPr>
          <w:noProof/>
          <w:sz w:val="18"/>
          <w:szCs w:val="18"/>
          <w:lang w:val="ms-MY"/>
        </w:rPr>
        <w:t xml:space="preserve">proses fabrikasi terhadap bahan membran serat </w:t>
      </w:r>
      <w:r w:rsidR="00B71AA6" w:rsidRPr="00AE068F">
        <w:rPr>
          <w:noProof/>
          <w:sz w:val="18"/>
          <w:szCs w:val="18"/>
          <w:lang w:val="ms-MY"/>
        </w:rPr>
        <w:t>ber</w:t>
      </w:r>
      <w:r w:rsidR="00903071" w:rsidRPr="00AE068F">
        <w:rPr>
          <w:noProof/>
          <w:sz w:val="18"/>
          <w:szCs w:val="18"/>
          <w:lang w:val="ms-MY"/>
        </w:rPr>
        <w:t>ongga</w:t>
      </w:r>
      <w:r w:rsidR="00B71AA6" w:rsidRPr="00AE068F">
        <w:rPr>
          <w:noProof/>
          <w:sz w:val="18"/>
          <w:szCs w:val="18"/>
          <w:lang w:val="ms-MY"/>
        </w:rPr>
        <w:t xml:space="preserve"> (HFM). Kajian ini </w:t>
      </w:r>
      <w:r w:rsidRPr="00AE068F">
        <w:rPr>
          <w:noProof/>
          <w:sz w:val="18"/>
          <w:szCs w:val="18"/>
          <w:lang w:val="ms-MY"/>
        </w:rPr>
        <w:t xml:space="preserve">menggunakan kawalan adaptif model rujukan </w:t>
      </w:r>
      <w:r w:rsidR="00B71AA6" w:rsidRPr="00AE068F">
        <w:rPr>
          <w:noProof/>
          <w:sz w:val="18"/>
          <w:szCs w:val="18"/>
          <w:lang w:val="ms-MY"/>
        </w:rPr>
        <w:t>(MRAC) untuk me</w:t>
      </w:r>
      <w:r w:rsidRPr="00AE068F">
        <w:rPr>
          <w:noProof/>
          <w:sz w:val="18"/>
          <w:szCs w:val="18"/>
          <w:lang w:val="ms-MY"/>
        </w:rPr>
        <w:t xml:space="preserve">nghasilkan </w:t>
      </w:r>
      <w:r w:rsidR="00B71AA6" w:rsidRPr="00AE068F">
        <w:rPr>
          <w:noProof/>
          <w:sz w:val="18"/>
          <w:szCs w:val="18"/>
          <w:lang w:val="ms-MY"/>
        </w:rPr>
        <w:t xml:space="preserve">HFM dengan keliangan keseluruhan yang dikehendaki. </w:t>
      </w:r>
      <w:r w:rsidRPr="00AE068F">
        <w:rPr>
          <w:noProof/>
          <w:sz w:val="18"/>
          <w:szCs w:val="18"/>
          <w:lang w:val="ms-MY"/>
        </w:rPr>
        <w:t xml:space="preserve">Rangkaian </w:t>
      </w:r>
      <w:r w:rsidR="00AE068F">
        <w:rPr>
          <w:iCs/>
          <w:noProof/>
          <w:sz w:val="18"/>
          <w:szCs w:val="18"/>
          <w:lang w:val="ms-MY"/>
        </w:rPr>
        <w:t>neural buatan</w:t>
      </w:r>
      <w:r w:rsidR="00B71AA6" w:rsidRPr="00AE068F">
        <w:rPr>
          <w:noProof/>
          <w:sz w:val="18"/>
          <w:szCs w:val="18"/>
          <w:lang w:val="ms-MY"/>
        </w:rPr>
        <w:t xml:space="preserve"> (ANN) telah digunakan untuk mengenal pasti model dinamik </w:t>
      </w:r>
      <w:r w:rsidRPr="00AE068F">
        <w:rPr>
          <w:noProof/>
          <w:sz w:val="18"/>
          <w:szCs w:val="18"/>
          <w:lang w:val="ms-MY"/>
        </w:rPr>
        <w:t>s</w:t>
      </w:r>
      <w:r w:rsidR="00B71AA6" w:rsidRPr="00AE068F">
        <w:rPr>
          <w:noProof/>
          <w:sz w:val="18"/>
          <w:szCs w:val="18"/>
          <w:lang w:val="ms-MY"/>
        </w:rPr>
        <w:t xml:space="preserve">pinneret. </w:t>
      </w:r>
      <w:r w:rsidRPr="00AE068F">
        <w:rPr>
          <w:noProof/>
          <w:sz w:val="18"/>
          <w:szCs w:val="18"/>
          <w:lang w:val="ms-MY"/>
        </w:rPr>
        <w:t>M</w:t>
      </w:r>
      <w:r w:rsidR="00B71AA6" w:rsidRPr="00AE068F">
        <w:rPr>
          <w:noProof/>
          <w:sz w:val="18"/>
          <w:szCs w:val="18"/>
          <w:lang w:val="ms-MY"/>
        </w:rPr>
        <w:t>odel ANN telah di</w:t>
      </w:r>
      <w:r w:rsidRPr="00AE068F">
        <w:rPr>
          <w:noProof/>
          <w:sz w:val="18"/>
          <w:szCs w:val="18"/>
          <w:lang w:val="ms-MY"/>
        </w:rPr>
        <w:t xml:space="preserve">bangunkan </w:t>
      </w:r>
      <w:r w:rsidR="00B71AA6" w:rsidRPr="00AE068F">
        <w:rPr>
          <w:noProof/>
          <w:sz w:val="18"/>
          <w:szCs w:val="18"/>
          <w:lang w:val="ms-MY"/>
        </w:rPr>
        <w:t xml:space="preserve">sebagai model </w:t>
      </w:r>
      <w:r w:rsidR="00217484" w:rsidRPr="00AE068F">
        <w:rPr>
          <w:noProof/>
          <w:sz w:val="18"/>
          <w:szCs w:val="18"/>
          <w:lang w:val="ms-MY"/>
        </w:rPr>
        <w:t>sistem dinamik</w:t>
      </w:r>
      <w:r w:rsidRPr="00AE068F">
        <w:rPr>
          <w:noProof/>
          <w:sz w:val="18"/>
          <w:szCs w:val="18"/>
          <w:lang w:val="ms-MY"/>
        </w:rPr>
        <w:t xml:space="preserve"> dalam </w:t>
      </w:r>
      <w:r w:rsidR="00B71AA6" w:rsidRPr="00AE068F">
        <w:rPr>
          <w:noProof/>
          <w:sz w:val="18"/>
          <w:szCs w:val="18"/>
          <w:lang w:val="ms-MY"/>
        </w:rPr>
        <w:t>MRAC untuk mengaw</w:t>
      </w:r>
      <w:r w:rsidRPr="00AE068F">
        <w:rPr>
          <w:noProof/>
          <w:sz w:val="18"/>
          <w:szCs w:val="18"/>
          <w:lang w:val="ms-MY"/>
        </w:rPr>
        <w:t>al keliangan keseluruhan HFMs. A</w:t>
      </w:r>
      <w:r w:rsidR="00B71AA6" w:rsidRPr="00AE068F">
        <w:rPr>
          <w:noProof/>
          <w:sz w:val="18"/>
          <w:szCs w:val="18"/>
          <w:lang w:val="ms-MY"/>
        </w:rPr>
        <w:t xml:space="preserve">lgoritma yang dicadangkan untuk </w:t>
      </w:r>
      <w:r w:rsidR="00974881" w:rsidRPr="00AE068F">
        <w:rPr>
          <w:noProof/>
          <w:sz w:val="18"/>
          <w:szCs w:val="18"/>
          <w:lang w:val="ms-MY"/>
        </w:rPr>
        <w:t xml:space="preserve">mengawal keliangan keseluruhan </w:t>
      </w:r>
      <w:r w:rsidR="00B71AA6" w:rsidRPr="00AE068F">
        <w:rPr>
          <w:noProof/>
          <w:sz w:val="18"/>
          <w:szCs w:val="18"/>
          <w:lang w:val="ms-MY"/>
        </w:rPr>
        <w:t xml:space="preserve">HFM </w:t>
      </w:r>
      <w:r w:rsidR="00217484" w:rsidRPr="00AE068F">
        <w:rPr>
          <w:noProof/>
          <w:sz w:val="18"/>
          <w:szCs w:val="18"/>
          <w:lang w:val="ms-MY"/>
        </w:rPr>
        <w:t xml:space="preserve">telah </w:t>
      </w:r>
      <w:r w:rsidR="00B71AA6" w:rsidRPr="00AE068F">
        <w:rPr>
          <w:noProof/>
          <w:sz w:val="18"/>
          <w:szCs w:val="18"/>
          <w:lang w:val="ms-MY"/>
        </w:rPr>
        <w:t xml:space="preserve">disimulasikan dalam </w:t>
      </w:r>
      <w:r w:rsidR="00974881" w:rsidRPr="00AE068F">
        <w:rPr>
          <w:noProof/>
          <w:sz w:val="18"/>
          <w:szCs w:val="18"/>
          <w:lang w:val="ms-MY"/>
        </w:rPr>
        <w:t>MATLAB/Simulink</w:t>
      </w:r>
      <w:r w:rsidR="00B71AA6" w:rsidRPr="00AE068F">
        <w:rPr>
          <w:noProof/>
          <w:sz w:val="18"/>
          <w:szCs w:val="18"/>
          <w:lang w:val="ms-MY"/>
        </w:rPr>
        <w:t xml:space="preserve">. </w:t>
      </w:r>
      <w:r w:rsidR="00974881" w:rsidRPr="00AE068F">
        <w:rPr>
          <w:noProof/>
          <w:sz w:val="18"/>
          <w:szCs w:val="18"/>
          <w:lang w:val="ms-MY"/>
        </w:rPr>
        <w:t xml:space="preserve">Peraturan </w:t>
      </w:r>
      <w:r w:rsidR="00B71AA6" w:rsidRPr="00AE068F">
        <w:rPr>
          <w:noProof/>
          <w:sz w:val="18"/>
          <w:szCs w:val="18"/>
          <w:lang w:val="ms-MY"/>
        </w:rPr>
        <w:t xml:space="preserve">MIT telah digunakan untuk mekanisme </w:t>
      </w:r>
      <w:r w:rsidR="00974881" w:rsidRPr="00AE068F">
        <w:rPr>
          <w:noProof/>
          <w:sz w:val="18"/>
          <w:szCs w:val="18"/>
          <w:lang w:val="ms-MY"/>
        </w:rPr>
        <w:t>adaptif</w:t>
      </w:r>
      <w:r w:rsidR="00B71AA6" w:rsidRPr="00AE068F">
        <w:rPr>
          <w:noProof/>
          <w:sz w:val="18"/>
          <w:szCs w:val="18"/>
          <w:lang w:val="ms-MY"/>
        </w:rPr>
        <w:t xml:space="preserve"> dalam MRAC d</w:t>
      </w:r>
      <w:r w:rsidR="00974881" w:rsidRPr="00AE068F">
        <w:rPr>
          <w:noProof/>
          <w:sz w:val="18"/>
          <w:szCs w:val="18"/>
          <w:lang w:val="ms-MY"/>
        </w:rPr>
        <w:t>engan</w:t>
      </w:r>
      <w:r w:rsidR="00B71AA6" w:rsidRPr="00AE068F">
        <w:rPr>
          <w:noProof/>
          <w:sz w:val="18"/>
          <w:szCs w:val="18"/>
          <w:lang w:val="ms-MY"/>
        </w:rPr>
        <w:t xml:space="preserve"> fungsi kos yang sesuai ditentukan sebagai fungsi ralat </w:t>
      </w:r>
      <w:r w:rsidR="00974881" w:rsidRPr="00AE068F">
        <w:rPr>
          <w:noProof/>
          <w:sz w:val="18"/>
          <w:szCs w:val="18"/>
          <w:lang w:val="ms-MY"/>
        </w:rPr>
        <w:t xml:space="preserve">di </w:t>
      </w:r>
      <w:r w:rsidR="00B71AA6" w:rsidRPr="00AE068F">
        <w:rPr>
          <w:noProof/>
          <w:sz w:val="18"/>
          <w:szCs w:val="18"/>
          <w:lang w:val="ms-MY"/>
        </w:rPr>
        <w:t xml:space="preserve">antara </w:t>
      </w:r>
      <w:r w:rsidR="00974881" w:rsidRPr="00AE068F">
        <w:rPr>
          <w:noProof/>
          <w:sz w:val="18"/>
          <w:szCs w:val="18"/>
          <w:lang w:val="ms-MY"/>
        </w:rPr>
        <w:t>model sistem</w:t>
      </w:r>
      <w:r w:rsidR="00B71AA6" w:rsidRPr="00AE068F">
        <w:rPr>
          <w:noProof/>
          <w:sz w:val="18"/>
          <w:szCs w:val="18"/>
          <w:lang w:val="ms-MY"/>
        </w:rPr>
        <w:t xml:space="preserve"> </w:t>
      </w:r>
      <w:r w:rsidR="00217484" w:rsidRPr="00AE068F">
        <w:rPr>
          <w:noProof/>
          <w:sz w:val="18"/>
          <w:szCs w:val="18"/>
          <w:lang w:val="ms-MY"/>
        </w:rPr>
        <w:t xml:space="preserve">dinamik </w:t>
      </w:r>
      <w:r w:rsidR="00B71AA6" w:rsidRPr="00AE068F">
        <w:rPr>
          <w:noProof/>
          <w:sz w:val="18"/>
          <w:szCs w:val="18"/>
          <w:lang w:val="ms-MY"/>
        </w:rPr>
        <w:t xml:space="preserve">dan rujukan </w:t>
      </w:r>
      <w:r w:rsidR="00974881" w:rsidRPr="00AE068F">
        <w:rPr>
          <w:noProof/>
          <w:sz w:val="18"/>
          <w:szCs w:val="18"/>
          <w:lang w:val="ms-MY"/>
        </w:rPr>
        <w:t>keluaran</w:t>
      </w:r>
      <w:r w:rsidR="00B71AA6" w:rsidRPr="00AE068F">
        <w:rPr>
          <w:noProof/>
          <w:sz w:val="18"/>
          <w:szCs w:val="18"/>
          <w:lang w:val="ms-MY"/>
        </w:rPr>
        <w:t xml:space="preserve">. Parameter pengawal telah </w:t>
      </w:r>
      <w:r w:rsidR="00217484" w:rsidRPr="00AE068F">
        <w:rPr>
          <w:noProof/>
          <w:sz w:val="18"/>
          <w:szCs w:val="18"/>
          <w:lang w:val="ms-MY"/>
        </w:rPr>
        <w:t xml:space="preserve">dapat </w:t>
      </w:r>
      <w:r w:rsidR="00B71AA6" w:rsidRPr="00AE068F">
        <w:rPr>
          <w:noProof/>
          <w:sz w:val="18"/>
          <w:szCs w:val="18"/>
          <w:lang w:val="ms-MY"/>
        </w:rPr>
        <w:t xml:space="preserve">diselaraskan selepas meminimumkan fungsi kos yang dipilih. Keputusan yang diperolehi daripada skim MRAC </w:t>
      </w:r>
      <w:r w:rsidR="00217484" w:rsidRPr="00AE068F">
        <w:rPr>
          <w:noProof/>
          <w:sz w:val="18"/>
          <w:szCs w:val="18"/>
          <w:lang w:val="ms-MY"/>
        </w:rPr>
        <w:t>dengan</w:t>
      </w:r>
      <w:r w:rsidR="00B71AA6" w:rsidRPr="00AE068F">
        <w:rPr>
          <w:noProof/>
          <w:sz w:val="18"/>
          <w:szCs w:val="18"/>
          <w:lang w:val="ms-MY"/>
        </w:rPr>
        <w:t xml:space="preserve"> </w:t>
      </w:r>
      <w:r w:rsidR="00217484" w:rsidRPr="00AE068F">
        <w:rPr>
          <w:noProof/>
          <w:sz w:val="18"/>
          <w:szCs w:val="18"/>
          <w:lang w:val="ms-MY"/>
        </w:rPr>
        <w:t xml:space="preserve">peraturan </w:t>
      </w:r>
      <w:r w:rsidR="00B71AA6" w:rsidRPr="00AE068F">
        <w:rPr>
          <w:noProof/>
          <w:sz w:val="18"/>
          <w:szCs w:val="18"/>
          <w:lang w:val="ms-MY"/>
        </w:rPr>
        <w:t xml:space="preserve">MIT </w:t>
      </w:r>
      <w:r w:rsidR="00217484" w:rsidRPr="00AE068F">
        <w:rPr>
          <w:noProof/>
          <w:sz w:val="18"/>
          <w:szCs w:val="18"/>
          <w:lang w:val="ms-MY"/>
        </w:rPr>
        <w:t xml:space="preserve">menunjukkan bahawa ia </w:t>
      </w:r>
      <w:r w:rsidR="00B71AA6" w:rsidRPr="00AE068F">
        <w:rPr>
          <w:noProof/>
          <w:sz w:val="18"/>
          <w:szCs w:val="18"/>
          <w:lang w:val="ms-MY"/>
        </w:rPr>
        <w:t xml:space="preserve">dapat mengawal keliangan </w:t>
      </w:r>
      <w:r w:rsidR="00217484" w:rsidRPr="00AE068F">
        <w:rPr>
          <w:noProof/>
          <w:sz w:val="18"/>
          <w:szCs w:val="18"/>
          <w:lang w:val="ms-MY"/>
        </w:rPr>
        <w:t>membrane dengan berkesan</w:t>
      </w:r>
      <w:r w:rsidR="00B71AA6" w:rsidRPr="00AE068F">
        <w:rPr>
          <w:noProof/>
          <w:sz w:val="18"/>
          <w:szCs w:val="18"/>
          <w:lang w:val="ms-MY"/>
        </w:rPr>
        <w:t xml:space="preserve">. Walau bagaimanapun, tindak balas sistem ini </w:t>
      </w:r>
      <w:r w:rsidR="00217484" w:rsidRPr="00AE068F">
        <w:rPr>
          <w:noProof/>
          <w:sz w:val="18"/>
          <w:szCs w:val="18"/>
          <w:lang w:val="ms-MY"/>
        </w:rPr>
        <w:t xml:space="preserve">didapati </w:t>
      </w:r>
      <w:r w:rsidR="00B71AA6" w:rsidRPr="00AE068F">
        <w:rPr>
          <w:noProof/>
          <w:sz w:val="18"/>
          <w:szCs w:val="18"/>
          <w:lang w:val="ms-MY"/>
        </w:rPr>
        <w:t xml:space="preserve">agak bergantung kepada perubahan amplitud isyarat </w:t>
      </w:r>
      <w:r w:rsidR="00217484" w:rsidRPr="00AE068F">
        <w:rPr>
          <w:noProof/>
          <w:sz w:val="18"/>
          <w:szCs w:val="18"/>
          <w:lang w:val="ms-MY"/>
        </w:rPr>
        <w:t>masukan</w:t>
      </w:r>
      <w:r w:rsidR="00B71AA6" w:rsidRPr="00AE068F">
        <w:rPr>
          <w:noProof/>
          <w:sz w:val="18"/>
          <w:szCs w:val="18"/>
          <w:lang w:val="ms-MY"/>
        </w:rPr>
        <w:t xml:space="preserve"> (keliangan keseluruhan). Di samping itu, nilai adaptasi </w:t>
      </w:r>
      <w:r w:rsidR="00217484" w:rsidRPr="00AE068F">
        <w:rPr>
          <w:noProof/>
          <w:sz w:val="18"/>
          <w:szCs w:val="18"/>
          <w:lang w:val="ms-MY"/>
        </w:rPr>
        <w:t xml:space="preserve">tinggi </w:t>
      </w:r>
      <w:r w:rsidR="00B71AA6" w:rsidRPr="00AE068F">
        <w:rPr>
          <w:noProof/>
          <w:sz w:val="18"/>
          <w:szCs w:val="18"/>
          <w:lang w:val="ms-MY"/>
        </w:rPr>
        <w:t xml:space="preserve">mengurangkan kestabilan sistem. </w:t>
      </w:r>
      <w:r w:rsidR="00217484" w:rsidRPr="00AE068F">
        <w:rPr>
          <w:noProof/>
          <w:sz w:val="18"/>
          <w:szCs w:val="18"/>
          <w:lang w:val="ms-MY"/>
        </w:rPr>
        <w:t>Dengan yang demikian</w:t>
      </w:r>
      <w:r w:rsidR="00B71AA6" w:rsidRPr="00AE068F">
        <w:rPr>
          <w:noProof/>
          <w:sz w:val="18"/>
          <w:szCs w:val="18"/>
          <w:lang w:val="ms-MY"/>
        </w:rPr>
        <w:t>, peraturan MIT telah di</w:t>
      </w:r>
      <w:r w:rsidR="00F86D0C" w:rsidRPr="00AE068F">
        <w:rPr>
          <w:noProof/>
          <w:sz w:val="18"/>
          <w:szCs w:val="18"/>
          <w:lang w:val="ms-MY"/>
        </w:rPr>
        <w:t>selaraskan</w:t>
      </w:r>
      <w:r w:rsidR="00B71AA6" w:rsidRPr="00AE068F">
        <w:rPr>
          <w:noProof/>
          <w:sz w:val="18"/>
          <w:szCs w:val="18"/>
          <w:lang w:val="ms-MY"/>
        </w:rPr>
        <w:t xml:space="preserve"> dipanggil sebagai MIT </w:t>
      </w:r>
      <w:r w:rsidR="00F86D0C" w:rsidRPr="00AE068F">
        <w:rPr>
          <w:noProof/>
          <w:sz w:val="18"/>
          <w:szCs w:val="18"/>
          <w:lang w:val="ms-MY"/>
        </w:rPr>
        <w:t>diselaras</w:t>
      </w:r>
      <w:r w:rsidR="00B71AA6" w:rsidRPr="00AE068F">
        <w:rPr>
          <w:noProof/>
          <w:sz w:val="18"/>
          <w:szCs w:val="18"/>
          <w:lang w:val="ms-MY"/>
        </w:rPr>
        <w:t xml:space="preserve"> ke arah </w:t>
      </w:r>
      <w:r w:rsidR="00F86D0C" w:rsidRPr="00AE068F">
        <w:rPr>
          <w:noProof/>
          <w:sz w:val="18"/>
          <w:szCs w:val="18"/>
          <w:lang w:val="ms-MY"/>
        </w:rPr>
        <w:t xml:space="preserve">menghasilkan </w:t>
      </w:r>
      <w:r w:rsidR="00B71AA6" w:rsidRPr="00AE068F">
        <w:rPr>
          <w:noProof/>
          <w:sz w:val="18"/>
          <w:szCs w:val="18"/>
          <w:lang w:val="ms-MY"/>
        </w:rPr>
        <w:t xml:space="preserve">tindak balas sistem </w:t>
      </w:r>
      <w:r w:rsidR="00F86D0C" w:rsidRPr="00AE068F">
        <w:rPr>
          <w:noProof/>
          <w:sz w:val="18"/>
          <w:szCs w:val="18"/>
          <w:lang w:val="ms-MY"/>
        </w:rPr>
        <w:t>yang</w:t>
      </w:r>
      <w:r w:rsidR="00B71AA6" w:rsidRPr="00AE068F">
        <w:rPr>
          <w:noProof/>
          <w:sz w:val="18"/>
          <w:szCs w:val="18"/>
          <w:lang w:val="ms-MY"/>
        </w:rPr>
        <w:t xml:space="preserve"> bebas daripada </w:t>
      </w:r>
      <w:r w:rsidR="00F86D0C" w:rsidRPr="00AE068F">
        <w:rPr>
          <w:noProof/>
          <w:sz w:val="18"/>
          <w:szCs w:val="18"/>
          <w:lang w:val="ms-MY"/>
        </w:rPr>
        <w:t xml:space="preserve">perbezaan </w:t>
      </w:r>
      <w:r w:rsidR="00B71AA6" w:rsidRPr="00AE068F">
        <w:rPr>
          <w:noProof/>
          <w:sz w:val="18"/>
          <w:szCs w:val="18"/>
          <w:lang w:val="ms-MY"/>
        </w:rPr>
        <w:t xml:space="preserve">nilai </w:t>
      </w:r>
      <w:r w:rsidR="00F86D0C" w:rsidRPr="00AE068F">
        <w:rPr>
          <w:noProof/>
          <w:sz w:val="18"/>
          <w:szCs w:val="18"/>
          <w:lang w:val="ms-MY"/>
        </w:rPr>
        <w:t xml:space="preserve">peraturan </w:t>
      </w:r>
      <w:r w:rsidR="00B71AA6" w:rsidRPr="00AE068F">
        <w:rPr>
          <w:noProof/>
          <w:sz w:val="18"/>
          <w:szCs w:val="18"/>
          <w:lang w:val="ms-MY"/>
        </w:rPr>
        <w:t>keliangan.</w:t>
      </w:r>
    </w:p>
    <w:p w14:paraId="4EFFF1E3" w14:textId="77777777" w:rsidR="00AE068F" w:rsidRDefault="00AE068F" w:rsidP="00C573F2">
      <w:pPr>
        <w:jc w:val="both"/>
        <w:outlineLvl w:val="0"/>
        <w:rPr>
          <w:noProof/>
          <w:sz w:val="18"/>
          <w:szCs w:val="18"/>
          <w:lang w:val="ms-MY"/>
        </w:rPr>
      </w:pPr>
    </w:p>
    <w:p w14:paraId="3EA8F655" w14:textId="6EED826C" w:rsidR="00AE068F" w:rsidRPr="00185B97" w:rsidRDefault="00AE068F" w:rsidP="00AE068F">
      <w:pPr>
        <w:jc w:val="both"/>
        <w:outlineLvl w:val="0"/>
        <w:rPr>
          <w:sz w:val="18"/>
          <w:szCs w:val="18"/>
        </w:rPr>
      </w:pPr>
      <w:r>
        <w:rPr>
          <w:b/>
          <w:sz w:val="18"/>
          <w:szCs w:val="18"/>
        </w:rPr>
        <w:t>Kata kunci</w:t>
      </w:r>
      <w:r w:rsidRPr="00185B97">
        <w:rPr>
          <w:sz w:val="18"/>
          <w:szCs w:val="18"/>
        </w:rPr>
        <w:t xml:space="preserve">: </w:t>
      </w:r>
      <w:r w:rsidRPr="00AE068F">
        <w:rPr>
          <w:noProof/>
          <w:sz w:val="18"/>
          <w:szCs w:val="18"/>
          <w:lang w:val="ms-MY"/>
        </w:rPr>
        <w:t>membran serat berongga</w:t>
      </w:r>
      <w:r>
        <w:rPr>
          <w:sz w:val="18"/>
          <w:szCs w:val="18"/>
        </w:rPr>
        <w:t>, keliangan keseluruhan, kawalan adaptif model rujukan, rangkaian neural buatan</w:t>
      </w:r>
    </w:p>
    <w:p w14:paraId="4333DFB2" w14:textId="77777777" w:rsidR="00C573F2" w:rsidRPr="00463E6D" w:rsidRDefault="00C573F2" w:rsidP="00785CA6">
      <w:pPr>
        <w:outlineLvl w:val="0"/>
        <w:rPr>
          <w:b/>
          <w:color w:val="FF0000"/>
        </w:rPr>
      </w:pPr>
    </w:p>
    <w:p w14:paraId="5D019DFA" w14:textId="77777777" w:rsidR="00785CA6" w:rsidRPr="00C573F2" w:rsidRDefault="00785CA6" w:rsidP="00C573F2">
      <w:pPr>
        <w:jc w:val="center"/>
        <w:outlineLvl w:val="0"/>
        <w:rPr>
          <w:b/>
          <w:sz w:val="20"/>
          <w:szCs w:val="20"/>
        </w:rPr>
      </w:pPr>
      <w:r w:rsidRPr="00C573F2">
        <w:rPr>
          <w:b/>
          <w:sz w:val="20"/>
          <w:szCs w:val="20"/>
        </w:rPr>
        <w:t>Introduction</w:t>
      </w:r>
    </w:p>
    <w:p w14:paraId="22165E75" w14:textId="2FA97242" w:rsidR="0060031D" w:rsidRPr="00C573F2" w:rsidRDefault="0060031D" w:rsidP="00C573F2">
      <w:pPr>
        <w:jc w:val="both"/>
        <w:outlineLvl w:val="0"/>
        <w:rPr>
          <w:sz w:val="20"/>
          <w:szCs w:val="20"/>
        </w:rPr>
      </w:pPr>
      <w:r w:rsidRPr="00C573F2">
        <w:rPr>
          <w:sz w:val="20"/>
          <w:szCs w:val="20"/>
        </w:rPr>
        <w:t xml:space="preserve">The </w:t>
      </w:r>
      <w:r w:rsidR="00310675" w:rsidRPr="00C573F2">
        <w:rPr>
          <w:sz w:val="20"/>
          <w:szCs w:val="20"/>
        </w:rPr>
        <w:t>classical</w:t>
      </w:r>
      <w:r w:rsidRPr="00C573F2">
        <w:rPr>
          <w:sz w:val="20"/>
          <w:szCs w:val="20"/>
        </w:rPr>
        <w:t xml:space="preserve"> </w:t>
      </w:r>
      <w:r w:rsidR="0089333C" w:rsidRPr="00C573F2">
        <w:rPr>
          <w:sz w:val="20"/>
          <w:szCs w:val="20"/>
        </w:rPr>
        <w:t xml:space="preserve">proportional integral derivative (PID) </w:t>
      </w:r>
      <w:r w:rsidRPr="00C573F2">
        <w:rPr>
          <w:sz w:val="20"/>
          <w:szCs w:val="20"/>
        </w:rPr>
        <w:t xml:space="preserve">controllers with fixed gain are </w:t>
      </w:r>
      <w:r w:rsidR="00310675" w:rsidRPr="00C573F2">
        <w:rPr>
          <w:sz w:val="20"/>
          <w:szCs w:val="20"/>
        </w:rPr>
        <w:t>not capable</w:t>
      </w:r>
      <w:r w:rsidRPr="00C573F2">
        <w:rPr>
          <w:sz w:val="20"/>
          <w:szCs w:val="20"/>
        </w:rPr>
        <w:t xml:space="preserve"> to </w:t>
      </w:r>
      <w:r w:rsidR="0089333C" w:rsidRPr="00C573F2">
        <w:rPr>
          <w:sz w:val="20"/>
          <w:szCs w:val="20"/>
        </w:rPr>
        <w:t>be used in systems with high complexity and uncurtains</w:t>
      </w:r>
      <w:r w:rsidR="00B74B0E" w:rsidRPr="00C573F2">
        <w:rPr>
          <w:sz w:val="20"/>
          <w:szCs w:val="20"/>
        </w:rPr>
        <w:t xml:space="preserve"> (nonlinear actuators and varied ambient conditions)</w:t>
      </w:r>
      <w:r w:rsidRPr="00C573F2">
        <w:rPr>
          <w:sz w:val="20"/>
          <w:szCs w:val="20"/>
        </w:rPr>
        <w:t xml:space="preserve">. </w:t>
      </w:r>
      <w:hyperlink w:anchor="_ENREF_1" w:tooltip="Hwang, 2000 #271" w:history="1">
        <w:r w:rsidR="003378CC" w:rsidRPr="00C573F2">
          <w:rPr>
            <w:sz w:val="20"/>
            <w:szCs w:val="20"/>
          </w:rPr>
          <w:fldChar w:fldCharType="begin"/>
        </w:r>
        <w:r w:rsidR="003378CC" w:rsidRPr="00C573F2">
          <w:rPr>
            <w:sz w:val="20"/>
            <w:szCs w:val="20"/>
          </w:rPr>
          <w:instrText xml:space="preserve"> ADDIN EN.CITE &lt;EndNote&gt;&lt;Cite AuthorYear="1"&gt;&lt;Author&gt;Hwang&lt;/Author&gt;&lt;Year&gt;2000&lt;/Year&gt;&lt;RecNum&gt;271&lt;/RecNum&gt;&lt;DisplayText&gt;Hwang, et al. [1]&lt;/DisplayText&gt;&lt;record&gt;&lt;rec-number&gt;271&lt;/rec-number&gt;&lt;foreign-keys&gt;&lt;key app="EN" db-id="2dz5xpdxnxt0skesrx5vassad0av9deaef5r" timestamp="1465232765"&gt;271&lt;/key&gt;&lt;/foreign-keys&gt;&lt;ref-type name="Conference Proceedings"&gt;10&lt;/ref-type&gt;&lt;contributors&gt;&lt;authors&gt;&lt;author&gt;Hwang, Rey-Chue&lt;/author&gt;&lt;author&gt;Huang, Huang-Chu&lt;/author&gt;&lt;author&gt;Chi, Wei-Shen&lt;/author&gt;&lt;/authors&gt;&lt;/contributors&gt;&lt;titles&gt;&lt;title&gt;A new fuzzy PID-like controller&lt;/title&gt;&lt;secondary-title&gt;Systems, Man, and Cybernetics, 2000 IEEE International Conference on&lt;/secondary-title&gt;&lt;/titles&gt;&lt;pages&gt;3629-3634&lt;/pages&gt;&lt;volume&gt;5&lt;/volume&gt;&lt;dates&gt;&lt;year&gt;2000&lt;/year&gt;&lt;/dates&gt;&lt;publisher&gt;IEEE&lt;/publisher&gt;&lt;isbn&gt;0780365836&lt;/isbn&gt;&lt;urls&gt;&lt;/urls&gt;&lt;/record&gt;&lt;/Cite&gt;&lt;/EndNote&gt;</w:instrText>
        </w:r>
        <w:r w:rsidR="003378CC" w:rsidRPr="00C573F2">
          <w:rPr>
            <w:sz w:val="20"/>
            <w:szCs w:val="20"/>
          </w:rPr>
          <w:fldChar w:fldCharType="separate"/>
        </w:r>
        <w:r w:rsidR="00AE068F">
          <w:rPr>
            <w:noProof/>
            <w:sz w:val="20"/>
            <w:szCs w:val="20"/>
          </w:rPr>
          <w:t>Hwang</w:t>
        </w:r>
        <w:r w:rsidR="003378CC" w:rsidRPr="00C573F2">
          <w:rPr>
            <w:noProof/>
            <w:sz w:val="20"/>
            <w:szCs w:val="20"/>
          </w:rPr>
          <w:t xml:space="preserve"> et al. [1]</w:t>
        </w:r>
        <w:r w:rsidR="003378CC" w:rsidRPr="00C573F2">
          <w:rPr>
            <w:sz w:val="20"/>
            <w:szCs w:val="20"/>
          </w:rPr>
          <w:fldChar w:fldCharType="end"/>
        </w:r>
      </w:hyperlink>
      <w:r w:rsidRPr="00C573F2">
        <w:rPr>
          <w:sz w:val="20"/>
          <w:szCs w:val="20"/>
        </w:rPr>
        <w:t xml:space="preserve"> and </w:t>
      </w:r>
      <w:hyperlink w:anchor="_ENREF_2" w:tooltip="Tang, 2001 #270" w:history="1">
        <w:r w:rsidR="003378CC" w:rsidRPr="00C573F2">
          <w:rPr>
            <w:sz w:val="20"/>
            <w:szCs w:val="20"/>
          </w:rPr>
          <w:fldChar w:fldCharType="begin"/>
        </w:r>
        <w:r w:rsidR="003378CC" w:rsidRPr="00C573F2">
          <w:rPr>
            <w:sz w:val="20"/>
            <w:szCs w:val="20"/>
          </w:rPr>
          <w:instrText xml:space="preserve"> ADDIN EN.CITE &lt;EndNote&gt;&lt;Cite AuthorYear="1"&gt;&lt;Author&gt;Tang&lt;/Author&gt;&lt;Year&gt;2001&lt;/Year&gt;&lt;RecNum&gt;270&lt;/RecNum&gt;&lt;DisplayText&gt;Tang, et al. [2]&lt;/DisplayText&gt;&lt;record&gt;&lt;rec-number&gt;270&lt;/rec-number&gt;&lt;foreign-keys&gt;&lt;key app="EN" db-id="2dz5xpdxnxt0skesrx5vassad0av9deaef5r" timestamp="1465232661"&gt;270&lt;/key&gt;&lt;/foreign-keys&gt;&lt;ref-type name="Journal Article"&gt;17&lt;/ref-type&gt;&lt;contributors&gt;&lt;authors&gt;&lt;author&gt;Tang, Kit-Sang&lt;/author&gt;&lt;author&gt;Man, Kim Fung&lt;/author&gt;&lt;author&gt;Chen, Guanrong&lt;/author&gt;&lt;author&gt;Kwong, Sam&lt;/author&gt;&lt;/authors&gt;&lt;/contributors&gt;&lt;titles&gt;&lt;title&gt;An optimal fuzzy PID controller&lt;/title&gt;&lt;secondary-title&gt;Industrial Electronics, IEEE Transactions on&lt;/secondary-title&gt;&lt;/titles&gt;&lt;periodical&gt;&lt;full-title&gt;Industrial Electronics, IEEE Transactions on&lt;/full-title&gt;&lt;/periodical&gt;&lt;pages&gt;757-765&lt;/pages&gt;&lt;volume&gt;48&lt;/volume&gt;&lt;number&gt;4&lt;/number&gt;&lt;dates&gt;&lt;year&gt;2001&lt;/year&gt;&lt;/dates&gt;&lt;isbn&gt;0278-0046&lt;/isbn&gt;&lt;urls&gt;&lt;/urls&gt;&lt;/record&gt;&lt;/Cite&gt;&lt;/EndNote&gt;</w:instrText>
        </w:r>
        <w:r w:rsidR="003378CC" w:rsidRPr="00C573F2">
          <w:rPr>
            <w:sz w:val="20"/>
            <w:szCs w:val="20"/>
          </w:rPr>
          <w:fldChar w:fldCharType="separate"/>
        </w:r>
        <w:r w:rsidR="00AE068F">
          <w:rPr>
            <w:noProof/>
            <w:sz w:val="20"/>
            <w:szCs w:val="20"/>
          </w:rPr>
          <w:t>Tang</w:t>
        </w:r>
        <w:r w:rsidR="003378CC" w:rsidRPr="00C573F2">
          <w:rPr>
            <w:noProof/>
            <w:sz w:val="20"/>
            <w:szCs w:val="20"/>
          </w:rPr>
          <w:t xml:space="preserve"> et al. [2]</w:t>
        </w:r>
        <w:r w:rsidR="003378CC" w:rsidRPr="00C573F2">
          <w:rPr>
            <w:sz w:val="20"/>
            <w:szCs w:val="20"/>
          </w:rPr>
          <w:fldChar w:fldCharType="end"/>
        </w:r>
      </w:hyperlink>
      <w:r w:rsidRPr="00C573F2">
        <w:rPr>
          <w:sz w:val="20"/>
          <w:szCs w:val="20"/>
        </w:rPr>
        <w:t xml:space="preserve"> gave the concept of fuzzy PID controller</w:t>
      </w:r>
      <w:r w:rsidR="0089333C" w:rsidRPr="00C573F2">
        <w:rPr>
          <w:sz w:val="20"/>
          <w:szCs w:val="20"/>
        </w:rPr>
        <w:t xml:space="preserve"> to deal with such problems for electrical and mechanical systems</w:t>
      </w:r>
      <w:r w:rsidRPr="00C573F2">
        <w:rPr>
          <w:sz w:val="20"/>
          <w:szCs w:val="20"/>
        </w:rPr>
        <w:t xml:space="preserve">. </w:t>
      </w:r>
      <w:hyperlink w:anchor="_ENREF_3" w:tooltip="Rubaai, 2008 #272" w:history="1">
        <w:r w:rsidR="003378CC" w:rsidRPr="00C573F2">
          <w:rPr>
            <w:sz w:val="20"/>
            <w:szCs w:val="20"/>
          </w:rPr>
          <w:fldChar w:fldCharType="begin"/>
        </w:r>
        <w:r w:rsidR="003378CC" w:rsidRPr="00C573F2">
          <w:rPr>
            <w:sz w:val="20"/>
            <w:szCs w:val="20"/>
          </w:rPr>
          <w:instrText xml:space="preserve"> ADDIN EN.CITE &lt;EndNote&gt;&lt;Cite AuthorYear="1"&gt;&lt;Author&gt;Rubaai&lt;/Author&gt;&lt;Year&gt;2008&lt;/Year&gt;&lt;RecNum&gt;272&lt;/RecNum&gt;&lt;DisplayText&gt;Rubaai, et al. [3]&lt;/DisplayText&gt;&lt;record&gt;&lt;rec-number&gt;272&lt;/rec-number&gt;&lt;foreign-keys&gt;&lt;key app="EN" db-id="2dz5xpdxnxt0skesrx5vassad0av9deaef5r" timestamp="1465232837"&gt;272&lt;/key&gt;&lt;/foreign-keys&gt;&lt;ref-type name="Journal Article"&gt;17&lt;/ref-type&gt;&lt;contributors&gt;&lt;authors&gt;&lt;author&gt;Rubaai, Ahmed&lt;/author&gt;&lt;author&gt;Castro-Sitiriche, Marcel J&lt;/author&gt;&lt;author&gt;Ofoli, Abdul R&lt;/author&gt;&lt;/authors&gt;&lt;/contributors&gt;&lt;titles&gt;&lt;title&gt;DSP-based laboratory implementation of hybrid fuzzy-PID controller using genetic optimization for high-performance motor drives&lt;/title&gt;&lt;secondary-title&gt;Industry Applications, IEEE Transactions on&lt;/secondary-title&gt;&lt;/titles&gt;&lt;periodical&gt;&lt;full-title&gt;Industry Applications, IEEE Transactions on&lt;/full-title&gt;&lt;/periodical&gt;&lt;pages&gt;1977-1986&lt;/pages&gt;&lt;volume&gt;44&lt;/volume&gt;&lt;number&gt;6&lt;/number&gt;&lt;dates&gt;&lt;year&gt;2008&lt;/year&gt;&lt;/dates&gt;&lt;isbn&gt;0093-9994&lt;/isbn&gt;&lt;urls&gt;&lt;/urls&gt;&lt;/record&gt;&lt;/Cite&gt;&lt;/EndNote&gt;</w:instrText>
        </w:r>
        <w:r w:rsidR="003378CC" w:rsidRPr="00C573F2">
          <w:rPr>
            <w:sz w:val="20"/>
            <w:szCs w:val="20"/>
          </w:rPr>
          <w:fldChar w:fldCharType="separate"/>
        </w:r>
        <w:r w:rsidR="003378CC" w:rsidRPr="00C573F2">
          <w:rPr>
            <w:noProof/>
            <w:sz w:val="20"/>
            <w:szCs w:val="20"/>
          </w:rPr>
          <w:t>Rubaai, et al. [3]</w:t>
        </w:r>
        <w:r w:rsidR="003378CC" w:rsidRPr="00C573F2">
          <w:rPr>
            <w:sz w:val="20"/>
            <w:szCs w:val="20"/>
          </w:rPr>
          <w:fldChar w:fldCharType="end"/>
        </w:r>
      </w:hyperlink>
      <w:r w:rsidRPr="00C573F2">
        <w:rPr>
          <w:sz w:val="20"/>
          <w:szCs w:val="20"/>
        </w:rPr>
        <w:t xml:space="preserve"> developed the DSP-Based Laboratory model of Hybrid Fuzzy-PID Controller Using Genetic optimization for high-performance Motor Drives. Later on the concept of neural network is applied to develop the PID controllers to enhance the dynamic characteristics of controller. </w:t>
      </w:r>
      <w:hyperlink w:anchor="_ENREF_4" w:tooltip="Sun, 2006 #273" w:history="1">
        <w:r w:rsidR="003378CC" w:rsidRPr="00C573F2">
          <w:rPr>
            <w:sz w:val="20"/>
            <w:szCs w:val="20"/>
          </w:rPr>
          <w:fldChar w:fldCharType="begin"/>
        </w:r>
        <w:r w:rsidR="003378CC" w:rsidRPr="00C573F2">
          <w:rPr>
            <w:sz w:val="20"/>
            <w:szCs w:val="20"/>
          </w:rPr>
          <w:instrText xml:space="preserve"> ADDIN EN.CITE &lt;EndNote&gt;&lt;Cite AuthorYear="1"&gt;&lt;Author&gt;Sun&lt;/Author&gt;&lt;Year&gt;2006&lt;/Year&gt;&lt;RecNum&gt;273&lt;/RecNum&gt;&lt;DisplayText&gt;Sun and Meng [4]&lt;/DisplayText&gt;&lt;record&gt;&lt;rec-number&gt;273&lt;/rec-number&gt;&lt;foreign-keys&gt;&lt;key app="EN" db-id="2dz5xpdxnxt0skesrx5vassad0av9deaef5r" timestamp="1465232909"&gt;273&lt;/key&gt;&lt;/foreign-keys&gt;&lt;ref-type name="Conference Proceedings"&gt;10&lt;/ref-type&gt;&lt;contributors&gt;&lt;authors&gt;&lt;author&gt;Sun, Dan&lt;/author&gt;&lt;author&gt;Meng, Jun&lt;/author&gt;&lt;/authors&gt;&lt;/contributors&gt;&lt;titles&gt;&lt;title&gt;A single neuron PID controller based PMSM DTC drive system fed by fault tolerant 4-switch 3-phase inverter&lt;/title&gt;&lt;secondary-title&gt;Industrial Electronics and Applications, 2006 1ST IEEE Conference on&lt;/secondary-title&gt;&lt;/titles&gt;&lt;pages&gt;1-5&lt;/pages&gt;&lt;dates&gt;&lt;year&gt;2006&lt;/year&gt;&lt;/dates&gt;&lt;publisher&gt;IEEE&lt;/publisher&gt;&lt;isbn&gt;0780395131&lt;/isbn&gt;&lt;urls&gt;&lt;/urls&gt;&lt;/record&gt;&lt;/Cite&gt;&lt;/EndNote&gt;</w:instrText>
        </w:r>
        <w:r w:rsidR="003378CC" w:rsidRPr="00C573F2">
          <w:rPr>
            <w:sz w:val="20"/>
            <w:szCs w:val="20"/>
          </w:rPr>
          <w:fldChar w:fldCharType="separate"/>
        </w:r>
        <w:r w:rsidR="003378CC" w:rsidRPr="00C573F2">
          <w:rPr>
            <w:noProof/>
            <w:sz w:val="20"/>
            <w:szCs w:val="20"/>
          </w:rPr>
          <w:t>Sun and Meng [4]</w:t>
        </w:r>
        <w:r w:rsidR="003378CC" w:rsidRPr="00C573F2">
          <w:rPr>
            <w:sz w:val="20"/>
            <w:szCs w:val="20"/>
          </w:rPr>
          <w:fldChar w:fldCharType="end"/>
        </w:r>
      </w:hyperlink>
      <w:r w:rsidRPr="00C573F2">
        <w:rPr>
          <w:sz w:val="20"/>
          <w:szCs w:val="20"/>
        </w:rPr>
        <w:t xml:space="preserve"> and </w:t>
      </w:r>
      <w:hyperlink w:anchor="_ENREF_5" w:tooltip="Yao, 2008 #274" w:history="1">
        <w:r w:rsidR="003378CC" w:rsidRPr="00C573F2">
          <w:rPr>
            <w:sz w:val="20"/>
            <w:szCs w:val="20"/>
          </w:rPr>
          <w:fldChar w:fldCharType="begin"/>
        </w:r>
        <w:r w:rsidR="003378CC" w:rsidRPr="00C573F2">
          <w:rPr>
            <w:sz w:val="20"/>
            <w:szCs w:val="20"/>
          </w:rPr>
          <w:instrText xml:space="preserve"> ADDIN EN.CITE &lt;EndNote&gt;&lt;Cite AuthorYear="1"&gt;&lt;Author&gt;Yao&lt;/Author&gt;&lt;Year&gt;2008&lt;/Year&gt;&lt;RecNum&gt;274&lt;/RecNum&gt;&lt;DisplayText&gt;Yao, et al. [5]&lt;/DisplayText&gt;&lt;record&gt;&lt;rec-number&gt;274&lt;/rec-number&gt;&lt;foreign-keys&gt;&lt;key app="EN" db-id="2dz5xpdxnxt0skesrx5vassad0av9deaef5r" timestamp="1465232961"&gt;274&lt;/key&gt;&lt;/foreign-keys&gt;&lt;ref-type name="Conference Proceedings"&gt;10&lt;/ref-type&gt;&lt;contributors&gt;&lt;authors&gt;&lt;author&gt;Yao, Jianjun&lt;/author&gt;&lt;author&gt;Wang, Liquan&lt;/author&gt;&lt;author&gt;Wang, Caidong&lt;/author&gt;&lt;author&gt;Zhang, Zhonglin&lt;/author&gt;&lt;author&gt;Jia, Peng&lt;/author&gt;&lt;/authors&gt;&lt;/contributors&gt;&lt;titles&gt;&lt;title&gt;ANN-based PID controller for an electro-hydraulic servo system&lt;/title&gt;&lt;secondary-title&gt;Automation and Logistics, 2008. ICAL 2008. IEEE International Conference on&lt;/secondary-title&gt;&lt;/titles&gt;&lt;pages&gt;18-22&lt;/pages&gt;&lt;dates&gt;&lt;year&gt;2008&lt;/year&gt;&lt;/dates&gt;&lt;publisher&gt;IEEE&lt;/publisher&gt;&lt;isbn&gt;1424425026&lt;/isbn&gt;&lt;urls&gt;&lt;/urls&gt;&lt;/record&gt;&lt;/Cite&gt;&lt;/EndNote&gt;</w:instrText>
        </w:r>
        <w:r w:rsidR="003378CC" w:rsidRPr="00C573F2">
          <w:rPr>
            <w:sz w:val="20"/>
            <w:szCs w:val="20"/>
          </w:rPr>
          <w:fldChar w:fldCharType="separate"/>
        </w:r>
        <w:r w:rsidR="00AE068F">
          <w:rPr>
            <w:noProof/>
            <w:sz w:val="20"/>
            <w:szCs w:val="20"/>
          </w:rPr>
          <w:t>Yao</w:t>
        </w:r>
        <w:r w:rsidR="003378CC" w:rsidRPr="00C573F2">
          <w:rPr>
            <w:noProof/>
            <w:sz w:val="20"/>
            <w:szCs w:val="20"/>
          </w:rPr>
          <w:t xml:space="preserve"> et al. [5]</w:t>
        </w:r>
        <w:r w:rsidR="003378CC" w:rsidRPr="00C573F2">
          <w:rPr>
            <w:sz w:val="20"/>
            <w:szCs w:val="20"/>
          </w:rPr>
          <w:fldChar w:fldCharType="end"/>
        </w:r>
      </w:hyperlink>
      <w:r w:rsidRPr="00C573F2">
        <w:rPr>
          <w:sz w:val="20"/>
          <w:szCs w:val="20"/>
        </w:rPr>
        <w:t xml:space="preserve"> developed such PID controllers based on the artificial </w:t>
      </w:r>
      <w:r w:rsidR="0089333C" w:rsidRPr="00C573F2">
        <w:rPr>
          <w:sz w:val="20"/>
          <w:szCs w:val="20"/>
        </w:rPr>
        <w:t xml:space="preserve">neural network </w:t>
      </w:r>
      <w:r w:rsidRPr="00C573F2">
        <w:rPr>
          <w:sz w:val="20"/>
          <w:szCs w:val="20"/>
        </w:rPr>
        <w:t xml:space="preserve">technique. Still to obtain the complete adaptive nature, specific adaptive control techniques are needed. Out of many adaptive control schemes, this research mainly deals with the model reference adaptive control (MRAC) approach. In MRAC, the output response is forced to track the response of a reference model irrespective of </w:t>
      </w:r>
      <w:r w:rsidRPr="00C573F2">
        <w:rPr>
          <w:sz w:val="20"/>
          <w:szCs w:val="20"/>
        </w:rPr>
        <w:lastRenderedPageBreak/>
        <w:t xml:space="preserve">plant parameter variations. The controller parameters are adjusted to give a desired closed-loop performance. </w:t>
      </w:r>
      <w:hyperlink w:anchor="_ENREF_6" w:tooltip="Koo, 2001 #275" w:history="1">
        <w:r w:rsidR="003378CC" w:rsidRPr="00C573F2">
          <w:rPr>
            <w:sz w:val="20"/>
            <w:szCs w:val="20"/>
          </w:rPr>
          <w:fldChar w:fldCharType="begin"/>
        </w:r>
        <w:r w:rsidR="003378CC" w:rsidRPr="00C573F2">
          <w:rPr>
            <w:sz w:val="20"/>
            <w:szCs w:val="20"/>
          </w:rPr>
          <w:instrText xml:space="preserve"> ADDIN EN.CITE &lt;EndNote&gt;&lt;Cite AuthorYear="1"&gt;&lt;Author&gt;Koo&lt;/Author&gt;&lt;Year&gt;2001&lt;/Year&gt;&lt;RecNum&gt;275&lt;/RecNum&gt;&lt;DisplayText&gt;Koo [6]&lt;/DisplayText&gt;&lt;record&gt;&lt;rec-number&gt;275&lt;/rec-number&gt;&lt;foreign-keys&gt;&lt;key app="EN" db-id="2dz5xpdxnxt0skesrx5vassad0av9deaef5r" timestamp="1465233082"&gt;275&lt;/key&gt;&lt;/foreign-keys&gt;&lt;ref-type name="Journal Article"&gt;17&lt;/ref-type&gt;&lt;contributors&gt;&lt;authors&gt;&lt;author&gt;Koo, T John&lt;/author&gt;&lt;/authors&gt;&lt;/contributors&gt;&lt;titles&gt;&lt;title&gt;Stable model reference adaptive fuzzy control of a class of nonlinear systems&lt;/title&gt;&lt;secondary-title&gt;Fuzzy Systems, IEEE Transactions on&lt;/secondary-title&gt;&lt;/titles&gt;&lt;periodical&gt;&lt;full-title&gt;Fuzzy Systems, IEEE Transactions on&lt;/full-title&gt;&lt;/periodical&gt;&lt;pages&gt;624-636&lt;/pages&gt;&lt;volume&gt;9&lt;/volume&gt;&lt;number&gt;4&lt;/number&gt;&lt;dates&gt;&lt;year&gt;2001&lt;/year&gt;&lt;/dates&gt;&lt;isbn&gt;1063-6706&lt;/isbn&gt;&lt;urls&gt;&lt;/urls&gt;&lt;/record&gt;&lt;/Cite&gt;&lt;/EndNote&gt;</w:instrText>
        </w:r>
        <w:r w:rsidR="003378CC" w:rsidRPr="00C573F2">
          <w:rPr>
            <w:sz w:val="20"/>
            <w:szCs w:val="20"/>
          </w:rPr>
          <w:fldChar w:fldCharType="separate"/>
        </w:r>
        <w:r w:rsidR="003378CC" w:rsidRPr="00C573F2">
          <w:rPr>
            <w:noProof/>
            <w:sz w:val="20"/>
            <w:szCs w:val="20"/>
          </w:rPr>
          <w:t>Koo [6]</w:t>
        </w:r>
        <w:r w:rsidR="003378CC" w:rsidRPr="00C573F2">
          <w:rPr>
            <w:sz w:val="20"/>
            <w:szCs w:val="20"/>
          </w:rPr>
          <w:fldChar w:fldCharType="end"/>
        </w:r>
      </w:hyperlink>
      <w:r w:rsidRPr="00C573F2">
        <w:rPr>
          <w:sz w:val="20"/>
          <w:szCs w:val="20"/>
        </w:rPr>
        <w:t xml:space="preserve"> and </w:t>
      </w:r>
      <w:hyperlink w:anchor="_ENREF_7" w:tooltip="Tsai, 2004 #276" w:history="1">
        <w:r w:rsidR="003378CC" w:rsidRPr="00C573F2">
          <w:rPr>
            <w:sz w:val="20"/>
            <w:szCs w:val="20"/>
          </w:rPr>
          <w:fldChar w:fldCharType="begin"/>
        </w:r>
        <w:r w:rsidR="003378CC" w:rsidRPr="00C573F2">
          <w:rPr>
            <w:sz w:val="20"/>
            <w:szCs w:val="20"/>
          </w:rPr>
          <w:instrText xml:space="preserve"> ADDIN EN.CITE &lt;EndNote&gt;&lt;Cite AuthorYear="1"&gt;&lt;Author&gt;Tsai&lt;/Author&gt;&lt;Year&gt;2004&lt;/Year&gt;&lt;RecNum&gt;276&lt;/RecNum&gt;&lt;DisplayText&gt;Tsai, et al. [7]&lt;/DisplayText&gt;&lt;record&gt;&lt;rec-number&gt;276&lt;/rec-number&gt;&lt;foreign-keys&gt;&lt;key app="EN" db-id="2dz5xpdxnxt0skesrx5vassad0av9deaef5r" timestamp="1465233122"&gt;276&lt;/key&gt;&lt;/foreign-keys&gt;&lt;ref-type name="Conference Proceedings"&gt;10&lt;/ref-type&gt;&lt;contributors&gt;&lt;authors&gt;&lt;author&gt;Tsai, Pin-Yan&lt;/author&gt;&lt;author&gt;Huang, Huang-Chu&lt;/author&gt;&lt;author&gt;Chen, Yu-Ju&lt;/author&gt;&lt;author&gt;Hwang, Rey-Chue&lt;/author&gt;&lt;/authors&gt;&lt;/contributors&gt;&lt;titles&gt;&lt;title&gt;The model reference control by auto-tuning PID-like fuzzy controller&lt;/title&gt;&lt;secondary-title&gt;Control Applications, 2004. Proceedings of the 2004 IEEE International Conference on&lt;/secondary-title&gt;&lt;/titles&gt;&lt;pages&gt;406-411&lt;/pages&gt;&lt;volume&gt;1&lt;/volume&gt;&lt;dates&gt;&lt;year&gt;2004&lt;/year&gt;&lt;/dates&gt;&lt;publisher&gt;IEEE&lt;/publisher&gt;&lt;isbn&gt;0780386337&lt;/isbn&gt;&lt;urls&gt;&lt;/urls&gt;&lt;/record&gt;&lt;/Cite&gt;&lt;/EndNote&gt;</w:instrText>
        </w:r>
        <w:r w:rsidR="003378CC" w:rsidRPr="00C573F2">
          <w:rPr>
            <w:sz w:val="20"/>
            <w:szCs w:val="20"/>
          </w:rPr>
          <w:fldChar w:fldCharType="separate"/>
        </w:r>
        <w:r w:rsidR="00AE068F">
          <w:rPr>
            <w:noProof/>
            <w:sz w:val="20"/>
            <w:szCs w:val="20"/>
          </w:rPr>
          <w:t>Tsai</w:t>
        </w:r>
        <w:r w:rsidR="003378CC" w:rsidRPr="00C573F2">
          <w:rPr>
            <w:noProof/>
            <w:sz w:val="20"/>
            <w:szCs w:val="20"/>
          </w:rPr>
          <w:t xml:space="preserve"> et al. [7]</w:t>
        </w:r>
        <w:r w:rsidR="003378CC" w:rsidRPr="00C573F2">
          <w:rPr>
            <w:sz w:val="20"/>
            <w:szCs w:val="20"/>
          </w:rPr>
          <w:fldChar w:fldCharType="end"/>
        </w:r>
      </w:hyperlink>
      <w:r w:rsidRPr="00C573F2">
        <w:rPr>
          <w:sz w:val="20"/>
          <w:szCs w:val="20"/>
        </w:rPr>
        <w:t xml:space="preserve"> developed the concept of MRAC by using Fuzzy logic. The model reference adaptive controllers are mainly designed by using different approaches like MIT rule, Lyapunov theory and theory of augmented error. </w:t>
      </w:r>
      <w:hyperlink w:anchor="_ENREF_8" w:tooltip="Ehsani, 2007 #277" w:history="1">
        <w:r w:rsidR="003378CC" w:rsidRPr="00C573F2">
          <w:rPr>
            <w:sz w:val="20"/>
            <w:szCs w:val="20"/>
          </w:rPr>
          <w:fldChar w:fldCharType="begin"/>
        </w:r>
        <w:r w:rsidR="003378CC" w:rsidRPr="00C573F2">
          <w:rPr>
            <w:sz w:val="20"/>
            <w:szCs w:val="20"/>
          </w:rPr>
          <w:instrText xml:space="preserve"> ADDIN EN.CITE &lt;EndNote&gt;&lt;Cite AuthorYear="1"&gt;&lt;Author&gt;Ehsani&lt;/Author&gt;&lt;Year&gt;2007&lt;/Year&gt;&lt;RecNum&gt;277&lt;/RecNum&gt;&lt;DisplayText&gt;Ehsani [8]&lt;/DisplayText&gt;&lt;record&gt;&lt;rec-number&gt;277&lt;/rec-number&gt;&lt;foreign-keys&gt;&lt;key app="EN" db-id="2dz5xpdxnxt0skesrx5vassad0av9deaef5r" timestamp="1465233215"&gt;277&lt;/key&gt;&lt;/foreign-keys&gt;&lt;ref-type name="Conference Proceedings"&gt;10&lt;/ref-type&gt;&lt;contributors&gt;&lt;authors&gt;&lt;author&gt;Ehsani, MS&lt;/author&gt;&lt;/authors&gt;&lt;/contributors&gt;&lt;titles&gt;&lt;title&gt;Adaptive control of servo motor by MRAC method&lt;/title&gt;&lt;secondary-title&gt;Vehicle Power and Propulsion Conference, 2007. VPPC 2007. IEEE&lt;/secondary-title&gt;&lt;/titles&gt;&lt;pages&gt;78-83&lt;/pages&gt;&lt;dates&gt;&lt;year&gt;2007&lt;/year&gt;&lt;/dates&gt;&lt;publisher&gt;IEEE&lt;/publisher&gt;&lt;isbn&gt;0780397606&lt;/isbn&gt;&lt;urls&gt;&lt;/urls&gt;&lt;/record&gt;&lt;/Cite&gt;&lt;/EndNote&gt;</w:instrText>
        </w:r>
        <w:r w:rsidR="003378CC" w:rsidRPr="00C573F2">
          <w:rPr>
            <w:sz w:val="20"/>
            <w:szCs w:val="20"/>
          </w:rPr>
          <w:fldChar w:fldCharType="separate"/>
        </w:r>
        <w:r w:rsidR="003378CC" w:rsidRPr="00C573F2">
          <w:rPr>
            <w:noProof/>
            <w:sz w:val="20"/>
            <w:szCs w:val="20"/>
          </w:rPr>
          <w:t>Ehsani [8]</w:t>
        </w:r>
        <w:r w:rsidR="003378CC" w:rsidRPr="00C573F2">
          <w:rPr>
            <w:sz w:val="20"/>
            <w:szCs w:val="20"/>
          </w:rPr>
          <w:fldChar w:fldCharType="end"/>
        </w:r>
      </w:hyperlink>
      <w:r w:rsidRPr="00C573F2">
        <w:rPr>
          <w:sz w:val="20"/>
          <w:szCs w:val="20"/>
        </w:rPr>
        <w:t xml:space="preserve"> used the MIT rule to control the DC servo motor. </w:t>
      </w:r>
      <w:hyperlink w:anchor="_ENREF_9" w:tooltip="Swarnkar, 2010 #278" w:history="1">
        <w:r w:rsidR="003378CC" w:rsidRPr="00C573F2">
          <w:rPr>
            <w:sz w:val="20"/>
            <w:szCs w:val="20"/>
          </w:rPr>
          <w:fldChar w:fldCharType="begin"/>
        </w:r>
        <w:r w:rsidR="003378CC" w:rsidRPr="00C573F2">
          <w:rPr>
            <w:sz w:val="20"/>
            <w:szCs w:val="20"/>
          </w:rPr>
          <w:instrText xml:space="preserve"> ADDIN EN.CITE &lt;EndNote&gt;&lt;Cite AuthorYear="1"&gt;&lt;Author&gt;Swarnkar&lt;/Author&gt;&lt;Year&gt;2010&lt;/Year&gt;&lt;RecNum&gt;278&lt;/RecNum&gt;&lt;DisplayText&gt;Swarnkar, et al. [9]&lt;/DisplayText&gt;&lt;record&gt;&lt;rec-number&gt;278&lt;/rec-number&gt;&lt;foreign-keys&gt;&lt;key app="EN" db-id="2dz5xpdxnxt0skesrx5vassad0av9deaef5r" timestamp="1465233285"&gt;278&lt;/key&gt;&lt;/foreign-keys&gt;&lt;ref-type name="Conference Proceedings"&gt;10&lt;/ref-type&gt;&lt;contributors&gt;&lt;authors&gt;&lt;author&gt;Swarnkar, Pankaj&lt;/author&gt;&lt;author&gt;Jain, Shailendra&lt;/author&gt;&lt;author&gt;Nema, RK&lt;/author&gt;&lt;/authors&gt;&lt;/contributors&gt;&lt;titles&gt;&lt;title&gt;Application of Model reference adaptive control scheme to second order system using MIT rule&lt;/title&gt;&lt;secondary-title&gt;International Conference on Electrical Power and Energy Systems (ICEPES-2010), MANIT, Bhopal, India&lt;/secondary-title&gt;&lt;/titles&gt;&lt;dates&gt;&lt;year&gt;2010&lt;/year&gt;&lt;/dates&gt;&lt;urls&gt;&lt;/urls&gt;&lt;/record&gt;&lt;/Cite&gt;&lt;/EndNote&gt;</w:instrText>
        </w:r>
        <w:r w:rsidR="003378CC" w:rsidRPr="00C573F2">
          <w:rPr>
            <w:sz w:val="20"/>
            <w:szCs w:val="20"/>
          </w:rPr>
          <w:fldChar w:fldCharType="separate"/>
        </w:r>
        <w:r w:rsidR="00AE068F">
          <w:rPr>
            <w:noProof/>
            <w:sz w:val="20"/>
            <w:szCs w:val="20"/>
          </w:rPr>
          <w:t>Swarnkar</w:t>
        </w:r>
        <w:r w:rsidR="003378CC" w:rsidRPr="00C573F2">
          <w:rPr>
            <w:noProof/>
            <w:sz w:val="20"/>
            <w:szCs w:val="20"/>
          </w:rPr>
          <w:t xml:space="preserve"> et al. [9]</w:t>
        </w:r>
        <w:r w:rsidR="003378CC" w:rsidRPr="00C573F2">
          <w:rPr>
            <w:sz w:val="20"/>
            <w:szCs w:val="20"/>
          </w:rPr>
          <w:fldChar w:fldCharType="end"/>
        </w:r>
      </w:hyperlink>
      <w:r w:rsidRPr="00C573F2">
        <w:rPr>
          <w:sz w:val="20"/>
          <w:szCs w:val="20"/>
        </w:rPr>
        <w:t xml:space="preserve"> applied this rule to systems of different order and compare the results with the conventional techniques for the same systems. </w:t>
      </w:r>
      <w:hyperlink w:anchor="_ENREF_10" w:tooltip="Chen, 2004 #279" w:history="1">
        <w:r w:rsidR="003378CC" w:rsidRPr="00C573F2">
          <w:rPr>
            <w:sz w:val="20"/>
            <w:szCs w:val="20"/>
          </w:rPr>
          <w:fldChar w:fldCharType="begin"/>
        </w:r>
        <w:r w:rsidR="003378CC" w:rsidRPr="00C573F2">
          <w:rPr>
            <w:sz w:val="20"/>
            <w:szCs w:val="20"/>
          </w:rPr>
          <w:instrText xml:space="preserve"> ADDIN EN.CITE &lt;EndNote&gt;&lt;Cite AuthorYear="1"&gt;&lt;Author&gt;Chen&lt;/Author&gt;&lt;Year&gt;2004&lt;/Year&gt;&lt;RecNum&gt;279&lt;/RecNum&gt;&lt;DisplayText&gt;Chen, et al. [10]&lt;/DisplayText&gt;&lt;record&gt;&lt;rec-number&gt;279&lt;/rec-number&gt;&lt;foreign-keys&gt;&lt;key app="EN" db-id="2dz5xpdxnxt0skesrx5vassad0av9deaef5r" timestamp="1465233452"&gt;279&lt;/key&gt;&lt;/foreign-keys&gt;&lt;ref-type name="Journal Article"&gt;17&lt;/ref-type&gt;&lt;contributors&gt;&lt;authors&gt;&lt;author&gt;Chen, Yuanrui&lt;/author&gt;&lt;author&gt;Wu, Jie&lt;/author&gt;&lt;author&gt;Cheung, C Norbert&lt;/author&gt;&lt;/authors&gt;&lt;/contributors&gt;&lt;titles&gt;&lt;title&gt;Lyapunov’s stability theory-based model reference adaptive control for permanent magnet linear motor drives&lt;/title&gt;&lt;/titles&gt;&lt;dates&gt;&lt;year&gt;2004&lt;/year&gt;&lt;/dates&gt;&lt;isbn&gt;9623674341&lt;/isbn&gt;&lt;urls&gt;&lt;/urls&gt;&lt;/record&gt;&lt;/Cite&gt;&lt;/EndNote&gt;</w:instrText>
        </w:r>
        <w:r w:rsidR="003378CC" w:rsidRPr="00C573F2">
          <w:rPr>
            <w:sz w:val="20"/>
            <w:szCs w:val="20"/>
          </w:rPr>
          <w:fldChar w:fldCharType="separate"/>
        </w:r>
        <w:r w:rsidR="00AE068F">
          <w:rPr>
            <w:noProof/>
            <w:sz w:val="20"/>
            <w:szCs w:val="20"/>
          </w:rPr>
          <w:t>Chen</w:t>
        </w:r>
        <w:r w:rsidR="003378CC" w:rsidRPr="00C573F2">
          <w:rPr>
            <w:noProof/>
            <w:sz w:val="20"/>
            <w:szCs w:val="20"/>
          </w:rPr>
          <w:t xml:space="preserve"> et al. [10]</w:t>
        </w:r>
        <w:r w:rsidR="003378CC" w:rsidRPr="00C573F2">
          <w:rPr>
            <w:sz w:val="20"/>
            <w:szCs w:val="20"/>
          </w:rPr>
          <w:fldChar w:fldCharType="end"/>
        </w:r>
      </w:hyperlink>
      <w:r w:rsidRPr="00C573F2">
        <w:rPr>
          <w:sz w:val="20"/>
          <w:szCs w:val="20"/>
        </w:rPr>
        <w:t xml:space="preserve"> used the concept of Lyapunov theory to develop the MRAC system of Linear motor drive. </w:t>
      </w:r>
      <w:hyperlink w:anchor="_ENREF_11" w:tooltip="Stefanello, 2008 #280" w:history="1">
        <w:r w:rsidR="003378CC" w:rsidRPr="00C573F2">
          <w:rPr>
            <w:sz w:val="20"/>
            <w:szCs w:val="20"/>
          </w:rPr>
          <w:fldChar w:fldCharType="begin"/>
        </w:r>
        <w:r w:rsidR="003378CC" w:rsidRPr="00C573F2">
          <w:rPr>
            <w:sz w:val="20"/>
            <w:szCs w:val="20"/>
          </w:rPr>
          <w:instrText xml:space="preserve"> ADDIN EN.CITE &lt;EndNote&gt;&lt;Cite AuthorYear="1"&gt;&lt;Author&gt;Stefanello&lt;/Author&gt;&lt;Year&gt;2008&lt;/Year&gt;&lt;RecNum&gt;280&lt;/RecNum&gt;&lt;DisplayText&gt;Stefanello, et al. [11]&lt;/DisplayText&gt;&lt;record&gt;&lt;rec-number&gt;280&lt;/rec-number&gt;&lt;foreign-keys&gt;&lt;key app="EN" db-id="2dz5xpdxnxt0skesrx5vassad0av9deaef5r" timestamp="1465233528"&gt;280&lt;/key&gt;&lt;/foreign-keys&gt;&lt;ref-type name="Conference Proceedings"&gt;10&lt;/ref-type&gt;&lt;contributors&gt;&lt;authors&gt;&lt;author&gt;Stefanello, Márcio&lt;/author&gt;&lt;author&gt;Kanieski, João Marcos&lt;/author&gt;&lt;author&gt;Cardoso, Rafael&lt;/author&gt;&lt;author&gt;Gründling, Hilton Abílio&lt;/author&gt;&lt;/authors&gt;&lt;/contributors&gt;&lt;titles&gt;&lt;title&gt;Design of a robust model reference adaptive control for a shunt active power filter&lt;/title&gt;&lt;secondary-title&gt;Industrial Electronics, 2008. IECON 2008. 34th Annual Conference of IEEE&lt;/secondary-title&gt;&lt;/titles&gt;&lt;pages&gt;158-163&lt;/pages&gt;&lt;dates&gt;&lt;year&gt;2008&lt;/year&gt;&lt;/dates&gt;&lt;publisher&gt;IEEE&lt;/publisher&gt;&lt;isbn&gt;1424417678&lt;/isbn&gt;&lt;urls&gt;&lt;/urls&gt;&lt;/record&gt;&lt;/Cite&gt;&lt;/EndNote&gt;</w:instrText>
        </w:r>
        <w:r w:rsidR="003378CC" w:rsidRPr="00C573F2">
          <w:rPr>
            <w:sz w:val="20"/>
            <w:szCs w:val="20"/>
          </w:rPr>
          <w:fldChar w:fldCharType="separate"/>
        </w:r>
        <w:r w:rsidR="00AE068F">
          <w:rPr>
            <w:noProof/>
            <w:sz w:val="20"/>
            <w:szCs w:val="20"/>
          </w:rPr>
          <w:t>Stefanello</w:t>
        </w:r>
        <w:r w:rsidR="003378CC" w:rsidRPr="00C573F2">
          <w:rPr>
            <w:noProof/>
            <w:sz w:val="20"/>
            <w:szCs w:val="20"/>
          </w:rPr>
          <w:t xml:space="preserve"> et al. [11]</w:t>
        </w:r>
        <w:r w:rsidR="003378CC" w:rsidRPr="00C573F2">
          <w:rPr>
            <w:sz w:val="20"/>
            <w:szCs w:val="20"/>
          </w:rPr>
          <w:fldChar w:fldCharType="end"/>
        </w:r>
      </w:hyperlink>
      <w:r w:rsidRPr="00C573F2">
        <w:rPr>
          <w:sz w:val="20"/>
          <w:szCs w:val="20"/>
        </w:rPr>
        <w:t xml:space="preserve"> used the Lyapunov theory for improving the performance of shunt active power filter.</w:t>
      </w:r>
    </w:p>
    <w:p w14:paraId="48B6D4C6" w14:textId="77777777" w:rsidR="00C573F2" w:rsidRDefault="00C573F2" w:rsidP="00C573F2">
      <w:pPr>
        <w:jc w:val="both"/>
        <w:outlineLvl w:val="0"/>
        <w:rPr>
          <w:sz w:val="20"/>
          <w:szCs w:val="20"/>
        </w:rPr>
      </w:pPr>
    </w:p>
    <w:p w14:paraId="4F3271CA" w14:textId="77777777" w:rsidR="00ED0B31" w:rsidRPr="00C573F2" w:rsidRDefault="00ED0B31" w:rsidP="00C573F2">
      <w:pPr>
        <w:jc w:val="both"/>
        <w:outlineLvl w:val="0"/>
        <w:rPr>
          <w:sz w:val="20"/>
          <w:szCs w:val="20"/>
        </w:rPr>
      </w:pPr>
      <w:r w:rsidRPr="00C573F2">
        <w:rPr>
          <w:sz w:val="20"/>
          <w:szCs w:val="20"/>
        </w:rPr>
        <w:t xml:space="preserve">Separation and filtration processes using porous membranes have become one of the emerging technologies that undergo a rapid development throughout the past few decades. The membrane has drowned the attention of the world wide, especially in filtration technology field </w:t>
      </w:r>
      <w:r w:rsidRPr="00C573F2">
        <w:rPr>
          <w:sz w:val="20"/>
          <w:szCs w:val="20"/>
        </w:rPr>
        <w:fldChar w:fldCharType="begin"/>
      </w:r>
      <w:r w:rsidR="00B104AA" w:rsidRPr="00C573F2">
        <w:rPr>
          <w:sz w:val="20"/>
          <w:szCs w:val="20"/>
        </w:rPr>
        <w:instrText xml:space="preserve"> ADDIN EN.CITE &lt;EndNote&gt;&lt;Cite&gt;&lt;Author&gt;Liu&lt;/Author&gt;&lt;Year&gt;2014&lt;/Year&gt;&lt;RecNum&gt;287&lt;/RecNum&gt;&lt;DisplayText&gt;[12]&lt;/DisplayText&gt;&lt;record&gt;&lt;rec-number&gt;287&lt;/rec-number&gt;&lt;foreign-keys&gt;&lt;key app="EN" db-id="2dz5xpdxnxt0skesrx5vassad0av9deaef5r" timestamp="1467437399"&gt;287&lt;/key&gt;&lt;/foreign-keys&gt;&lt;ref-type name="Conference Proceedings"&gt;10&lt;/ref-type&gt;&lt;contributors&gt;&lt;authors&gt;&lt;author&gt;Liu, Yanghe&lt;/author&gt;&lt;author&gt;Sheng, Chenguang&lt;/author&gt;&lt;author&gt;Nnanna, George Agbai&lt;/author&gt;&lt;/authors&gt;&lt;/contributors&gt;&lt;titles&gt;&lt;title&gt;Detection of Selected Pharmaceutical Contaminants and Removal Efficiency of Emerging Contaminants by Application of Membrane Filtration Technology&lt;/title&gt;&lt;secondary-title&gt;ASME 2014 International Mechanical Engineering Congress and Exposition&lt;/secondary-title&gt;&lt;/titles&gt;&lt;pages&gt;V007T09A058-V007T09A058&lt;/pages&gt;&lt;dates&gt;&lt;year&gt;2014&lt;/year&gt;&lt;/dates&gt;&lt;publisher&gt;American Society of Mechanical Engineers&lt;/publisher&gt;&lt;urls&gt;&lt;/urls&gt;&lt;/record&gt;&lt;/Cite&gt;&lt;/EndNote&gt;</w:instrText>
      </w:r>
      <w:r w:rsidRPr="00C573F2">
        <w:rPr>
          <w:sz w:val="20"/>
          <w:szCs w:val="20"/>
        </w:rPr>
        <w:fldChar w:fldCharType="separate"/>
      </w:r>
      <w:r w:rsidR="00B104AA" w:rsidRPr="00C573F2">
        <w:rPr>
          <w:noProof/>
          <w:sz w:val="20"/>
          <w:szCs w:val="20"/>
        </w:rPr>
        <w:t>[</w:t>
      </w:r>
      <w:hyperlink w:anchor="_ENREF_12" w:tooltip="Liu, 2014 #287" w:history="1">
        <w:r w:rsidR="003378CC" w:rsidRPr="00C573F2">
          <w:rPr>
            <w:noProof/>
            <w:sz w:val="20"/>
            <w:szCs w:val="20"/>
          </w:rPr>
          <w:t>12</w:t>
        </w:r>
      </w:hyperlink>
      <w:r w:rsidR="00B104AA" w:rsidRPr="00C573F2">
        <w:rPr>
          <w:noProof/>
          <w:sz w:val="20"/>
          <w:szCs w:val="20"/>
        </w:rPr>
        <w:t>]</w:t>
      </w:r>
      <w:r w:rsidRPr="00C573F2">
        <w:rPr>
          <w:sz w:val="20"/>
          <w:szCs w:val="20"/>
        </w:rPr>
        <w:fldChar w:fldCharType="end"/>
      </w:r>
      <w:r w:rsidRPr="00C573F2">
        <w:rPr>
          <w:sz w:val="20"/>
          <w:szCs w:val="20"/>
        </w:rPr>
        <w:t xml:space="preserve">. Porous HFMs are preferred as an efficient technology in terms of filtration and separation due to high recovery in individual units, higher productivity per unit volume and self-supporting </w:t>
      </w:r>
      <w:r w:rsidRPr="00C573F2">
        <w:rPr>
          <w:sz w:val="20"/>
          <w:szCs w:val="20"/>
        </w:rPr>
        <w:fldChar w:fldCharType="begin"/>
      </w:r>
      <w:r w:rsidR="00B104AA" w:rsidRPr="00C573F2">
        <w:rPr>
          <w:sz w:val="20"/>
          <w:szCs w:val="20"/>
        </w:rPr>
        <w:instrText xml:space="preserve"> ADDIN EN.CITE &lt;EndNote&gt;&lt;Cite&gt;&lt;Author&gt;Watari&lt;/Author&gt;&lt;Year&gt;2002&lt;/Year&gt;&lt;RecNum&gt;121&lt;/RecNum&gt;&lt;DisplayText&gt;[13, 14]&lt;/DisplayText&gt;&lt;record&gt;&lt;rec-number&gt;121&lt;/rec-number&gt;&lt;foreign-keys&gt;&lt;key app="EN" db-id="2dz5xpdxnxt0skesrx5vassad0av9deaef5r" timestamp="1460267731"&gt;121&lt;/key&gt;&lt;/foreign-keys&gt;&lt;ref-type name="Generic"&gt;13&lt;/ref-type&gt;&lt;contributors&gt;&lt;authors&gt;&lt;author&gt;Watari, Kenji&lt;/author&gt;&lt;author&gt;Takeda, Satoshi&lt;/author&gt;&lt;author&gt;Kobayashi, Masumi&lt;/author&gt;&lt;author&gt;Uchida, Makoto&lt;/author&gt;&lt;author&gt;Uenishi, Masamoto&lt;/author&gt;&lt;author&gt;Fukushima, Noriaki&lt;/author&gt;&lt;author&gt;Hayashi, Seiji&lt;/author&gt;&lt;/authors&gt;&lt;/contributors&gt;&lt;titles&gt;&lt;title&gt;Hollow fiber membrane&lt;/title&gt;&lt;/titles&gt;&lt;dates&gt;&lt;year&gt;2002&lt;/year&gt;&lt;/dates&gt;&lt;publisher&gt;Google Patents&lt;/publisher&gt;&lt;urls&gt;&lt;/urls&gt;&lt;/record&gt;&lt;/Cite&gt;&lt;Cite&gt;&lt;Author&gt;Kopp&lt;/Author&gt;&lt;Year&gt;1997&lt;/Year&gt;&lt;RecNum&gt;122&lt;/RecNum&gt;&lt;record&gt;&lt;rec-number&gt;122&lt;/rec-number&gt;&lt;foreign-keys&gt;&lt;key app="EN" db-id="2dz5xpdxnxt0skesrx5vassad0av9deaef5r" timestamp="1460267780"&gt;122&lt;/key&gt;&lt;/foreign-keys&gt;&lt;ref-type name="Generic"&gt;13&lt;/ref-type&gt;&lt;contributors&gt;&lt;authors&gt;&lt;author&gt;Kopp, Clinton V&lt;/author&gt;&lt;author&gt;Streeton, Robert JW&lt;/author&gt;&lt;author&gt;Khoo, Paul S&lt;/author&gt;&lt;/authors&gt;&lt;/contributors&gt;&lt;titles&gt;&lt;title&gt;Hollow fiber membranes&lt;/title&gt;&lt;/titles&gt;&lt;dates&gt;&lt;year&gt;1997&lt;/year&gt;&lt;/dates&gt;&lt;publisher&gt;Google Patents&lt;/publisher&gt;&lt;urls&gt;&lt;/urls&gt;&lt;/record&gt;&lt;/Cite&gt;&lt;/EndNote&gt;</w:instrText>
      </w:r>
      <w:r w:rsidRPr="00C573F2">
        <w:rPr>
          <w:sz w:val="20"/>
          <w:szCs w:val="20"/>
        </w:rPr>
        <w:fldChar w:fldCharType="separate"/>
      </w:r>
      <w:r w:rsidR="00B104AA" w:rsidRPr="00C573F2">
        <w:rPr>
          <w:noProof/>
          <w:sz w:val="20"/>
          <w:szCs w:val="20"/>
        </w:rPr>
        <w:t>[</w:t>
      </w:r>
      <w:hyperlink w:anchor="_ENREF_13" w:tooltip="Watari, 2002 #121" w:history="1">
        <w:r w:rsidR="003378CC" w:rsidRPr="00C573F2">
          <w:rPr>
            <w:noProof/>
            <w:sz w:val="20"/>
            <w:szCs w:val="20"/>
          </w:rPr>
          <w:t>13</w:t>
        </w:r>
      </w:hyperlink>
      <w:r w:rsidR="00B104AA" w:rsidRPr="00C573F2">
        <w:rPr>
          <w:noProof/>
          <w:sz w:val="20"/>
          <w:szCs w:val="20"/>
        </w:rPr>
        <w:t xml:space="preserve">, </w:t>
      </w:r>
      <w:hyperlink w:anchor="_ENREF_14" w:tooltip="Kopp, 1997 #122" w:history="1">
        <w:r w:rsidR="003378CC" w:rsidRPr="00C573F2">
          <w:rPr>
            <w:noProof/>
            <w:sz w:val="20"/>
            <w:szCs w:val="20"/>
          </w:rPr>
          <w:t>14</w:t>
        </w:r>
      </w:hyperlink>
      <w:r w:rsidR="00B104AA" w:rsidRPr="00C573F2">
        <w:rPr>
          <w:noProof/>
          <w:sz w:val="20"/>
          <w:szCs w:val="20"/>
        </w:rPr>
        <w:t>]</w:t>
      </w:r>
      <w:r w:rsidRPr="00C573F2">
        <w:rPr>
          <w:sz w:val="20"/>
          <w:szCs w:val="20"/>
        </w:rPr>
        <w:fldChar w:fldCharType="end"/>
      </w:r>
      <w:r w:rsidRPr="00C573F2">
        <w:rPr>
          <w:sz w:val="20"/>
          <w:szCs w:val="20"/>
        </w:rPr>
        <w:t xml:space="preserve">. The membranes productivity and performance are recognized by several properties in which porosity is considered as a crucial factor in the design of porous membranes applied in any application. The aforementioned parameter is considered as an important parameter since it significantly affects the performance of the final membranes </w:t>
      </w:r>
      <w:r w:rsidRPr="00C573F2">
        <w:rPr>
          <w:sz w:val="20"/>
          <w:szCs w:val="20"/>
        </w:rPr>
        <w:fldChar w:fldCharType="begin"/>
      </w:r>
      <w:r w:rsidR="00B104AA" w:rsidRPr="00C573F2">
        <w:rPr>
          <w:sz w:val="20"/>
          <w:szCs w:val="20"/>
        </w:rPr>
        <w:instrText xml:space="preserve"> ADDIN EN.CITE &lt;EndNote&gt;&lt;Cite&gt;&lt;Author&gt;Tweddle&lt;/Author&gt;&lt;Year&gt;1992&lt;/Year&gt;&lt;RecNum&gt;40&lt;/RecNum&gt;&lt;DisplayText&gt;[15]&lt;/DisplayText&gt;&lt;record&gt;&lt;rec-number&gt;40&lt;/rec-number&gt;&lt;foreign-keys&gt;&lt;key app="EN" db-id="2dz5xpdxnxt0skesrx5vassad0av9deaef5r" timestamp="1433052050"&gt;40&lt;/key&gt;&lt;/foreign-keys&gt;&lt;ref-type name="Journal Article"&gt;17&lt;/ref-type&gt;&lt;contributors&gt;&lt;authors&gt;&lt;author&gt;Tweddle, TA&lt;/author&gt;&lt;author&gt;Striez, C&lt;/author&gt;&lt;author&gt;Tam, CM&lt;/author&gt;&lt;author&gt;Hazlett, JD&lt;/author&gt;&lt;/authors&gt;&lt;/contributors&gt;&lt;titles&gt;&lt;title&gt;Polysulfone membranes I. Performance comparison of commercially available ultrafiltration membranes&lt;/title&gt;&lt;secondary-title&gt;Desalination&lt;/secondary-title&gt;&lt;/titles&gt;&lt;periodical&gt;&lt;full-title&gt;Desalination&lt;/full-title&gt;&lt;/periodical&gt;&lt;pages&gt;27-41&lt;/pages&gt;&lt;volume&gt;86&lt;/volume&gt;&lt;number&gt;1&lt;/number&gt;&lt;dates&gt;&lt;year&gt;1992&lt;/year&gt;&lt;/dates&gt;&lt;isbn&gt;0011-9164&lt;/isbn&gt;&lt;urls&gt;&lt;/urls&gt;&lt;/record&gt;&lt;/Cite&gt;&lt;/EndNote&gt;</w:instrText>
      </w:r>
      <w:r w:rsidRPr="00C573F2">
        <w:rPr>
          <w:sz w:val="20"/>
          <w:szCs w:val="20"/>
        </w:rPr>
        <w:fldChar w:fldCharType="separate"/>
      </w:r>
      <w:r w:rsidR="00B104AA" w:rsidRPr="00C573F2">
        <w:rPr>
          <w:noProof/>
          <w:sz w:val="20"/>
          <w:szCs w:val="20"/>
        </w:rPr>
        <w:t>[</w:t>
      </w:r>
      <w:hyperlink w:anchor="_ENREF_15" w:tooltip="Tweddle, 1992 #40" w:history="1">
        <w:r w:rsidR="003378CC" w:rsidRPr="00C573F2">
          <w:rPr>
            <w:noProof/>
            <w:sz w:val="20"/>
            <w:szCs w:val="20"/>
          </w:rPr>
          <w:t>15</w:t>
        </w:r>
      </w:hyperlink>
      <w:r w:rsidR="00B104AA" w:rsidRPr="00C573F2">
        <w:rPr>
          <w:noProof/>
          <w:sz w:val="20"/>
          <w:szCs w:val="20"/>
        </w:rPr>
        <w:t>]</w:t>
      </w:r>
      <w:r w:rsidRPr="00C573F2">
        <w:rPr>
          <w:sz w:val="20"/>
          <w:szCs w:val="20"/>
        </w:rPr>
        <w:fldChar w:fldCharType="end"/>
      </w:r>
      <w:r w:rsidRPr="00C573F2">
        <w:rPr>
          <w:sz w:val="20"/>
          <w:szCs w:val="20"/>
        </w:rPr>
        <w:t>.</w:t>
      </w:r>
    </w:p>
    <w:p w14:paraId="5D443091" w14:textId="77777777" w:rsidR="00ED0B31" w:rsidRPr="00C573F2" w:rsidRDefault="00ED0B31" w:rsidP="00C573F2">
      <w:pPr>
        <w:jc w:val="both"/>
        <w:outlineLvl w:val="0"/>
        <w:rPr>
          <w:sz w:val="20"/>
          <w:szCs w:val="20"/>
        </w:rPr>
      </w:pPr>
    </w:p>
    <w:p w14:paraId="1C0810E1" w14:textId="77777777" w:rsidR="001376BF" w:rsidRPr="00C573F2" w:rsidRDefault="0060031D" w:rsidP="00C573F2">
      <w:pPr>
        <w:jc w:val="both"/>
        <w:outlineLvl w:val="0"/>
        <w:rPr>
          <w:sz w:val="20"/>
          <w:szCs w:val="20"/>
        </w:rPr>
      </w:pPr>
      <w:r w:rsidRPr="00C573F2">
        <w:rPr>
          <w:sz w:val="20"/>
          <w:szCs w:val="20"/>
        </w:rPr>
        <w:t xml:space="preserve">Since the HFM manufacturing system is quite complex, difficult in modeling and undefined disturbances, the simple feedback controllers are not able to control this process. Therefore, proper implementation of a suitable adaptive control strategy will result in improving the performance of the HFM manufacturing plant to produce the standard membrane in terms of overall porosity. Thus, this chapter presents the model reference adaptive control (MRAC) scheme for controlling the HFM overall porosity. The Massachusetts Institute of Technology (MIT) rule was first used for applying the MRAC scheme. The system response was highly depended to adaptation gain and amplitude of the input signal (overall porosity). The normalized MIT rule was then applied to overcome these problems in which the system response was sensitive to overall porosity values. Finally, the best results were obtained when the Lyapunov stability theory was utilized to adjust the control parameter in the MRAC. For this research, the controller design focused on the simple PID controller algorithm as benchmark to the implemented MRAC performance. The main reason to choose the PID controller is that it much easier to design and widely used compared to other controllers. The method </w:t>
      </w:r>
      <w:r w:rsidR="006056A4" w:rsidRPr="00C573F2">
        <w:rPr>
          <w:sz w:val="20"/>
          <w:szCs w:val="20"/>
        </w:rPr>
        <w:t>used</w:t>
      </w:r>
      <w:r w:rsidRPr="00C573F2">
        <w:rPr>
          <w:sz w:val="20"/>
          <w:szCs w:val="20"/>
        </w:rPr>
        <w:t xml:space="preserve"> for tuning PID is trial and error algorithm. Trial and error method works by tuning the PID parameters until output response follow the desired value.</w:t>
      </w:r>
    </w:p>
    <w:p w14:paraId="7C7C5848" w14:textId="77777777" w:rsidR="001376BF" w:rsidRPr="00C573F2" w:rsidRDefault="001376BF" w:rsidP="00C573F2">
      <w:pPr>
        <w:jc w:val="both"/>
        <w:outlineLvl w:val="0"/>
        <w:rPr>
          <w:sz w:val="20"/>
          <w:szCs w:val="20"/>
        </w:rPr>
      </w:pPr>
    </w:p>
    <w:p w14:paraId="4953CC79" w14:textId="7C85CF24" w:rsidR="001376BF" w:rsidRPr="00C573F2" w:rsidRDefault="00AE068F" w:rsidP="008641D3">
      <w:pPr>
        <w:jc w:val="center"/>
        <w:outlineLvl w:val="0"/>
        <w:rPr>
          <w:b/>
          <w:sz w:val="20"/>
          <w:szCs w:val="20"/>
        </w:rPr>
      </w:pPr>
      <w:r>
        <w:rPr>
          <w:b/>
          <w:sz w:val="20"/>
          <w:szCs w:val="20"/>
        </w:rPr>
        <w:t>Materials and Methods</w:t>
      </w:r>
    </w:p>
    <w:p w14:paraId="2ED823C9" w14:textId="77777777" w:rsidR="007B05F5" w:rsidRPr="00C573F2" w:rsidRDefault="001376BF" w:rsidP="00C573F2">
      <w:pPr>
        <w:jc w:val="both"/>
        <w:outlineLvl w:val="0"/>
        <w:rPr>
          <w:sz w:val="20"/>
          <w:szCs w:val="20"/>
        </w:rPr>
      </w:pPr>
      <w:r w:rsidRPr="00C573F2">
        <w:rPr>
          <w:sz w:val="20"/>
          <w:szCs w:val="20"/>
        </w:rPr>
        <w:t xml:space="preserve">This section describes the various underlying principles, methods, techniques and tools that are used in the undertaken research. </w:t>
      </w:r>
      <w:r w:rsidR="007B05F5" w:rsidRPr="00C573F2">
        <w:rPr>
          <w:sz w:val="20"/>
          <w:szCs w:val="20"/>
        </w:rPr>
        <w:t>The operational framework of the propose</w:t>
      </w:r>
      <w:r w:rsidR="00CD4500" w:rsidRPr="00C573F2">
        <w:rPr>
          <w:sz w:val="20"/>
          <w:szCs w:val="20"/>
        </w:rPr>
        <w:t xml:space="preserve">d research is shown in Figure </w:t>
      </w:r>
      <w:r w:rsidR="007B05F5" w:rsidRPr="00C573F2">
        <w:rPr>
          <w:sz w:val="20"/>
          <w:szCs w:val="20"/>
        </w:rPr>
        <w:t>1. The major activities are described briefly in the next section.</w:t>
      </w:r>
    </w:p>
    <w:p w14:paraId="34E1AA17" w14:textId="77777777" w:rsidR="00CD4500" w:rsidRPr="00C573F2" w:rsidRDefault="00CD4500" w:rsidP="00C573F2">
      <w:pPr>
        <w:jc w:val="both"/>
        <w:outlineLvl w:val="0"/>
        <w:rPr>
          <w:sz w:val="20"/>
          <w:szCs w:val="20"/>
        </w:rPr>
      </w:pPr>
    </w:p>
    <w:p w14:paraId="5047068D" w14:textId="77777777" w:rsidR="001376BF" w:rsidRPr="00C573F2" w:rsidRDefault="007B05F5" w:rsidP="006F54FB">
      <w:pPr>
        <w:jc w:val="center"/>
        <w:outlineLvl w:val="0"/>
        <w:rPr>
          <w:sz w:val="20"/>
          <w:szCs w:val="20"/>
        </w:rPr>
      </w:pPr>
      <w:r w:rsidRPr="00C573F2">
        <w:rPr>
          <w:noProof/>
          <w:sz w:val="20"/>
          <w:szCs w:val="20"/>
          <w:lang w:val="en-US" w:eastAsia="en-US"/>
        </w:rPr>
        <w:drawing>
          <wp:inline distT="0" distB="0" distL="0" distR="0" wp14:anchorId="3C8341C3" wp14:editId="3F0803EE">
            <wp:extent cx="2671445" cy="300559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w.jpg"/>
                    <pic:cNvPicPr/>
                  </pic:nvPicPr>
                  <pic:blipFill>
                    <a:blip r:embed="rId8">
                      <a:extLst>
                        <a:ext uri="{28A0092B-C50C-407E-A947-70E740481C1C}">
                          <a14:useLocalDpi xmlns:a14="http://schemas.microsoft.com/office/drawing/2010/main" val="0"/>
                        </a:ext>
                      </a:extLst>
                    </a:blip>
                    <a:stretch>
                      <a:fillRect/>
                    </a:stretch>
                  </pic:blipFill>
                  <pic:spPr>
                    <a:xfrm>
                      <a:off x="0" y="0"/>
                      <a:ext cx="2679670" cy="3014846"/>
                    </a:xfrm>
                    <a:prstGeom prst="rect">
                      <a:avLst/>
                    </a:prstGeom>
                  </pic:spPr>
                </pic:pic>
              </a:graphicData>
            </a:graphic>
          </wp:inline>
        </w:drawing>
      </w:r>
    </w:p>
    <w:p w14:paraId="43EC17CD" w14:textId="77777777" w:rsidR="009F1EAF" w:rsidRDefault="009F1EAF" w:rsidP="00C573F2">
      <w:pPr>
        <w:jc w:val="center"/>
        <w:outlineLvl w:val="0"/>
        <w:rPr>
          <w:rFonts w:eastAsia="Times New Roman"/>
          <w:sz w:val="20"/>
          <w:szCs w:val="20"/>
          <w:lang w:eastAsia="en-US"/>
        </w:rPr>
      </w:pPr>
    </w:p>
    <w:p w14:paraId="4FD33307" w14:textId="37A2EF3B" w:rsidR="001376BF" w:rsidRPr="00C573F2" w:rsidRDefault="00CD4500" w:rsidP="00C573F2">
      <w:pPr>
        <w:jc w:val="center"/>
        <w:outlineLvl w:val="0"/>
        <w:rPr>
          <w:rFonts w:eastAsia="Times New Roman"/>
          <w:sz w:val="20"/>
          <w:szCs w:val="20"/>
          <w:lang w:eastAsia="en-US"/>
        </w:rPr>
      </w:pPr>
      <w:r w:rsidRPr="00C573F2">
        <w:rPr>
          <w:rFonts w:eastAsia="Times New Roman"/>
          <w:sz w:val="20"/>
          <w:szCs w:val="20"/>
          <w:lang w:eastAsia="en-US"/>
        </w:rPr>
        <w:t>Figure 1</w:t>
      </w:r>
      <w:r w:rsidR="00185B97">
        <w:rPr>
          <w:rFonts w:eastAsia="Times New Roman"/>
          <w:sz w:val="20"/>
          <w:szCs w:val="20"/>
          <w:lang w:eastAsia="en-US"/>
        </w:rPr>
        <w:t>.</w:t>
      </w:r>
      <w:r w:rsidRPr="00C573F2">
        <w:rPr>
          <w:rFonts w:eastAsia="Times New Roman"/>
          <w:sz w:val="20"/>
          <w:szCs w:val="20"/>
          <w:lang w:eastAsia="en-US"/>
        </w:rPr>
        <w:t xml:space="preserve"> The operational framework</w:t>
      </w:r>
    </w:p>
    <w:p w14:paraId="74596B48" w14:textId="18DF0BE3" w:rsidR="001376BF" w:rsidRPr="00C573F2" w:rsidRDefault="001376BF" w:rsidP="00C573F2">
      <w:pPr>
        <w:keepNext/>
        <w:tabs>
          <w:tab w:val="left" w:pos="720"/>
        </w:tabs>
        <w:suppressAutoHyphens/>
        <w:jc w:val="both"/>
        <w:outlineLvl w:val="1"/>
        <w:rPr>
          <w:rFonts w:eastAsia="Times New Roman"/>
          <w:b/>
          <w:bCs/>
          <w:iCs/>
          <w:spacing w:val="-8"/>
          <w:sz w:val="20"/>
          <w:szCs w:val="20"/>
          <w:lang w:eastAsia="en-US"/>
        </w:rPr>
      </w:pPr>
      <w:r w:rsidRPr="00C573F2">
        <w:rPr>
          <w:rFonts w:eastAsia="Times New Roman"/>
          <w:b/>
          <w:bCs/>
          <w:iCs/>
          <w:spacing w:val="-8"/>
          <w:sz w:val="20"/>
          <w:szCs w:val="20"/>
          <w:lang w:eastAsia="en-US"/>
        </w:rPr>
        <w:lastRenderedPageBreak/>
        <w:t xml:space="preserve">Polymer </w:t>
      </w:r>
      <w:r w:rsidR="00A34128">
        <w:rPr>
          <w:rFonts w:eastAsia="Times New Roman"/>
          <w:b/>
          <w:bCs/>
          <w:iCs/>
          <w:spacing w:val="-8"/>
          <w:sz w:val="20"/>
          <w:szCs w:val="20"/>
          <w:lang w:eastAsia="en-US"/>
        </w:rPr>
        <w:t>c</w:t>
      </w:r>
      <w:r w:rsidRPr="00C573F2">
        <w:rPr>
          <w:rFonts w:eastAsia="Times New Roman"/>
          <w:b/>
          <w:bCs/>
          <w:iCs/>
          <w:spacing w:val="-8"/>
          <w:sz w:val="20"/>
          <w:szCs w:val="20"/>
          <w:lang w:eastAsia="en-US"/>
        </w:rPr>
        <w:t xml:space="preserve">omposition </w:t>
      </w:r>
      <w:r w:rsidR="00A34128">
        <w:rPr>
          <w:rFonts w:eastAsia="Times New Roman"/>
          <w:b/>
          <w:bCs/>
          <w:iCs/>
          <w:spacing w:val="-8"/>
          <w:sz w:val="20"/>
          <w:szCs w:val="20"/>
          <w:lang w:eastAsia="en-US"/>
        </w:rPr>
        <w:t>p</w:t>
      </w:r>
      <w:r w:rsidRPr="00C573F2">
        <w:rPr>
          <w:rFonts w:eastAsia="Times New Roman"/>
          <w:b/>
          <w:bCs/>
          <w:iCs/>
          <w:spacing w:val="-8"/>
          <w:sz w:val="20"/>
          <w:szCs w:val="20"/>
          <w:lang w:eastAsia="en-US"/>
        </w:rPr>
        <w:t>reparation</w:t>
      </w:r>
    </w:p>
    <w:p w14:paraId="25759DE6" w14:textId="77777777" w:rsidR="001376BF" w:rsidRPr="00C573F2" w:rsidRDefault="001376BF" w:rsidP="00C573F2">
      <w:pPr>
        <w:jc w:val="both"/>
        <w:outlineLvl w:val="0"/>
        <w:rPr>
          <w:sz w:val="20"/>
          <w:szCs w:val="20"/>
        </w:rPr>
      </w:pPr>
      <w:r w:rsidRPr="00C573F2">
        <w:rPr>
          <w:sz w:val="20"/>
          <w:szCs w:val="20"/>
        </w:rPr>
        <w:t xml:space="preserve">Commercial polyvinylidene fluoride (PVDF) polymer pellets were purchased from Arkema Inc., PA, USA. 1-Methyl-2pyrrolidone (NMP) and Lithium chloride (LiCl) were used as solvent and non-solvent additives in the </w:t>
      </w:r>
      <w:r w:rsidR="008C5014" w:rsidRPr="00C573F2">
        <w:rPr>
          <w:sz w:val="20"/>
          <w:szCs w:val="20"/>
        </w:rPr>
        <w:t>polymer solution, respectively.</w:t>
      </w:r>
    </w:p>
    <w:p w14:paraId="2C373408" w14:textId="77777777" w:rsidR="001376BF" w:rsidRPr="00C573F2" w:rsidRDefault="001376BF" w:rsidP="00C573F2">
      <w:pPr>
        <w:jc w:val="both"/>
        <w:outlineLvl w:val="0"/>
        <w:rPr>
          <w:sz w:val="20"/>
          <w:szCs w:val="20"/>
        </w:rPr>
      </w:pPr>
    </w:p>
    <w:p w14:paraId="5CD3E894" w14:textId="02FDECD0" w:rsidR="001376BF" w:rsidRPr="00C573F2" w:rsidRDefault="001376BF" w:rsidP="00C573F2">
      <w:pPr>
        <w:jc w:val="both"/>
        <w:outlineLvl w:val="0"/>
        <w:rPr>
          <w:b/>
          <w:bCs/>
          <w:sz w:val="20"/>
          <w:szCs w:val="20"/>
        </w:rPr>
      </w:pPr>
      <w:r w:rsidRPr="00C573F2">
        <w:rPr>
          <w:b/>
          <w:bCs/>
          <w:sz w:val="20"/>
          <w:szCs w:val="20"/>
        </w:rPr>
        <w:t xml:space="preserve">Membranes </w:t>
      </w:r>
      <w:r w:rsidR="00A34128">
        <w:rPr>
          <w:b/>
          <w:bCs/>
          <w:sz w:val="20"/>
          <w:szCs w:val="20"/>
        </w:rPr>
        <w:t>f</w:t>
      </w:r>
      <w:r w:rsidRPr="00C573F2">
        <w:rPr>
          <w:b/>
          <w:bCs/>
          <w:sz w:val="20"/>
          <w:szCs w:val="20"/>
        </w:rPr>
        <w:t>abrication</w:t>
      </w:r>
    </w:p>
    <w:p w14:paraId="488E4F28" w14:textId="02A2520D" w:rsidR="001376BF" w:rsidRPr="00C573F2" w:rsidRDefault="001376BF" w:rsidP="00C573F2">
      <w:pPr>
        <w:jc w:val="both"/>
        <w:outlineLvl w:val="0"/>
        <w:rPr>
          <w:sz w:val="20"/>
          <w:szCs w:val="20"/>
        </w:rPr>
      </w:pPr>
      <w:r w:rsidRPr="00C573F2">
        <w:rPr>
          <w:sz w:val="20"/>
          <w:szCs w:val="20"/>
        </w:rPr>
        <w:t>The HFMs were fabricated at ambient temperature (22</w:t>
      </w:r>
      <w:r w:rsidR="00AE068F">
        <w:rPr>
          <w:sz w:val="20"/>
          <w:szCs w:val="20"/>
        </w:rPr>
        <w:t xml:space="preserve"> – </w:t>
      </w:r>
      <w:r w:rsidRPr="00C573F2">
        <w:rPr>
          <w:sz w:val="20"/>
          <w:szCs w:val="20"/>
        </w:rPr>
        <w:t xml:space="preserve">25 </w:t>
      </w:r>
      <w:r w:rsidR="00AE068F">
        <w:rPr>
          <w:sz w:val="20"/>
          <w:szCs w:val="20"/>
        </w:rPr>
        <w:t>°</w:t>
      </w:r>
      <w:r w:rsidRPr="00C573F2">
        <w:rPr>
          <w:sz w:val="20"/>
          <w:szCs w:val="20"/>
        </w:rPr>
        <w:t xml:space="preserve">Ċ). Polymer concentration </w:t>
      </w:r>
      <w:r w:rsidR="0061073B" w:rsidRPr="00C573F2">
        <w:rPr>
          <w:sz w:val="20"/>
          <w:szCs w:val="20"/>
        </w:rPr>
        <w:t>(PVDF = 12</w:t>
      </w:r>
      <w:r w:rsidR="00AE068F">
        <w:rPr>
          <w:sz w:val="20"/>
          <w:szCs w:val="20"/>
        </w:rPr>
        <w:t xml:space="preserve"> – </w:t>
      </w:r>
      <w:r w:rsidR="0061073B" w:rsidRPr="00C573F2">
        <w:rPr>
          <w:sz w:val="20"/>
          <w:szCs w:val="20"/>
        </w:rPr>
        <w:t>22 wt.% NMP = 75.5</w:t>
      </w:r>
      <w:r w:rsidR="00AE068F">
        <w:rPr>
          <w:sz w:val="20"/>
          <w:szCs w:val="20"/>
        </w:rPr>
        <w:t xml:space="preserve"> </w:t>
      </w:r>
      <w:r w:rsidR="0061073B" w:rsidRPr="00C573F2">
        <w:rPr>
          <w:sz w:val="20"/>
          <w:szCs w:val="20"/>
        </w:rPr>
        <w:t>–</w:t>
      </w:r>
      <w:r w:rsidR="00AE068F">
        <w:rPr>
          <w:sz w:val="20"/>
          <w:szCs w:val="20"/>
        </w:rPr>
        <w:t xml:space="preserve"> </w:t>
      </w:r>
      <w:r w:rsidR="0061073B" w:rsidRPr="00C573F2">
        <w:rPr>
          <w:sz w:val="20"/>
          <w:szCs w:val="20"/>
        </w:rPr>
        <w:t xml:space="preserve">85.5 wt.% and LiCl = 2.5 wt.% ) </w:t>
      </w:r>
      <w:r w:rsidRPr="00C573F2">
        <w:rPr>
          <w:sz w:val="20"/>
          <w:szCs w:val="20"/>
        </w:rPr>
        <w:t>and dope extrusion were assumed as variables. Water was used as external coagulant bath and the temperature was kept constant during the spinning. The fabricated HFMs were immersed in water for 72</w:t>
      </w:r>
      <w:r w:rsidR="00EB0C5B">
        <w:rPr>
          <w:sz w:val="20"/>
          <w:szCs w:val="20"/>
        </w:rPr>
        <w:t xml:space="preserve"> </w:t>
      </w:r>
      <w:r w:rsidRPr="00C573F2">
        <w:rPr>
          <w:sz w:val="20"/>
          <w:szCs w:val="20"/>
        </w:rPr>
        <w:t>h</w:t>
      </w:r>
      <w:r w:rsidR="00EB0C5B">
        <w:rPr>
          <w:sz w:val="20"/>
          <w:szCs w:val="20"/>
        </w:rPr>
        <w:t>ours</w:t>
      </w:r>
      <w:r w:rsidRPr="00C573F2">
        <w:rPr>
          <w:sz w:val="20"/>
          <w:szCs w:val="20"/>
        </w:rPr>
        <w:t xml:space="preserve"> to remove the rest of NMP and LiCl inside the spun HFMs. Table </w:t>
      </w:r>
      <w:r w:rsidR="0061434D" w:rsidRPr="00C573F2">
        <w:rPr>
          <w:sz w:val="20"/>
          <w:szCs w:val="20"/>
        </w:rPr>
        <w:t>1</w:t>
      </w:r>
      <w:r w:rsidRPr="00C573F2">
        <w:rPr>
          <w:sz w:val="20"/>
          <w:szCs w:val="20"/>
        </w:rPr>
        <w:t xml:space="preserve"> lis</w:t>
      </w:r>
      <w:r w:rsidR="00EB0C5B">
        <w:rPr>
          <w:sz w:val="20"/>
          <w:szCs w:val="20"/>
        </w:rPr>
        <w:t>ts specific detailed spinning as it was explained in previous study</w:t>
      </w:r>
      <w:r w:rsidRPr="00C573F2">
        <w:rPr>
          <w:sz w:val="20"/>
          <w:szCs w:val="20"/>
        </w:rPr>
        <w:t xml:space="preserve"> </w:t>
      </w:r>
      <w:r w:rsidRPr="00C573F2">
        <w:rPr>
          <w:sz w:val="20"/>
          <w:szCs w:val="20"/>
        </w:rPr>
        <w:fldChar w:fldCharType="begin"/>
      </w:r>
      <w:r w:rsidR="00B104AA" w:rsidRPr="00C573F2">
        <w:rPr>
          <w:sz w:val="20"/>
          <w:szCs w:val="20"/>
        </w:rPr>
        <w:instrText xml:space="preserve"> ADDIN EN.CITE &lt;EndNote&gt;&lt;Cite&gt;&lt;Author&gt;Rezaei&lt;/Author&gt;&lt;Year&gt;2014&lt;/Year&gt;&lt;RecNum&gt;5&lt;/RecNum&gt;&lt;DisplayText&gt;[16]&lt;/DisplayText&gt;&lt;record&gt;&lt;rec-number&gt;5&lt;/rec-number&gt;&lt;foreign-keys&gt;&lt;key app="EN" db-id="2dz5xpdxnxt0skesrx5vassad0av9deaef5r" timestamp="1424433844"&gt;5&lt;/key&gt;&lt;/foreign-keys&gt;&lt;ref-type name="Journal Article"&gt;17&lt;/ref-type&gt;&lt;contributors&gt;&lt;authors&gt;&lt;author&gt;Rezaei, M&lt;/author&gt;&lt;author&gt;Ismail, AF&lt;/author&gt;&lt;author&gt;Hashemifard, SA&lt;/author&gt;&lt;author&gt;Bakeri, Gh&lt;/author&gt;&lt;author&gt;Matsuura, T&lt;/author&gt;&lt;/authors&gt;&lt;/contributors&gt;&lt;titles&gt;&lt;title&gt;Experimental study on the performance and long-term stability of PVDF/montmorillonite hollow fiber mixed matrix membranes for CO 2 separation process&lt;/title&gt;&lt;secondary-title&gt;International Journal of Greenhouse Gas Control&lt;/secondary-title&gt;&lt;/titles&gt;&lt;periodical&gt;&lt;full-title&gt;International Journal of Greenhouse Gas Control&lt;/full-title&gt;&lt;/periodical&gt;&lt;pages&gt;147-157&lt;/pages&gt;&lt;volume&gt;26&lt;/volume&gt;&lt;dates&gt;&lt;year&gt;2014&lt;/year&gt;&lt;/dates&gt;&lt;isbn&gt;1750-5836&lt;/isbn&gt;&lt;urls&gt;&lt;/urls&gt;&lt;/record&gt;&lt;/Cite&gt;&lt;/EndNote&gt;</w:instrText>
      </w:r>
      <w:r w:rsidRPr="00C573F2">
        <w:rPr>
          <w:sz w:val="20"/>
          <w:szCs w:val="20"/>
        </w:rPr>
        <w:fldChar w:fldCharType="separate"/>
      </w:r>
      <w:r w:rsidR="00B104AA" w:rsidRPr="00C573F2">
        <w:rPr>
          <w:noProof/>
          <w:sz w:val="20"/>
          <w:szCs w:val="20"/>
        </w:rPr>
        <w:t>[</w:t>
      </w:r>
      <w:hyperlink w:anchor="_ENREF_16" w:tooltip="Rezaei, 2014 #5" w:history="1">
        <w:r w:rsidR="003378CC" w:rsidRPr="00C573F2">
          <w:rPr>
            <w:noProof/>
            <w:sz w:val="20"/>
            <w:szCs w:val="20"/>
          </w:rPr>
          <w:t>16</w:t>
        </w:r>
      </w:hyperlink>
      <w:r w:rsidR="00B104AA" w:rsidRPr="00C573F2">
        <w:rPr>
          <w:noProof/>
          <w:sz w:val="20"/>
          <w:szCs w:val="20"/>
        </w:rPr>
        <w:t>]</w:t>
      </w:r>
      <w:r w:rsidRPr="00C573F2">
        <w:rPr>
          <w:sz w:val="20"/>
          <w:szCs w:val="20"/>
        </w:rPr>
        <w:fldChar w:fldCharType="end"/>
      </w:r>
      <w:r w:rsidRPr="00C573F2">
        <w:rPr>
          <w:sz w:val="20"/>
          <w:szCs w:val="20"/>
        </w:rPr>
        <w:t>.</w:t>
      </w:r>
    </w:p>
    <w:p w14:paraId="167F7FC2" w14:textId="77777777" w:rsidR="001376BF" w:rsidRPr="00C573F2" w:rsidRDefault="001376BF" w:rsidP="00C573F2">
      <w:pPr>
        <w:jc w:val="both"/>
        <w:outlineLvl w:val="0"/>
        <w:rPr>
          <w:sz w:val="20"/>
          <w:szCs w:val="20"/>
        </w:rPr>
      </w:pPr>
    </w:p>
    <w:p w14:paraId="3455013B" w14:textId="0EADE9BC" w:rsidR="001376BF" w:rsidRDefault="001376BF" w:rsidP="00EB0C5B">
      <w:pPr>
        <w:jc w:val="center"/>
        <w:outlineLvl w:val="0"/>
        <w:rPr>
          <w:sz w:val="20"/>
          <w:szCs w:val="20"/>
        </w:rPr>
      </w:pPr>
      <w:r w:rsidRPr="00C573F2">
        <w:rPr>
          <w:sz w:val="20"/>
          <w:szCs w:val="20"/>
        </w:rPr>
        <w:t>Table 1</w:t>
      </w:r>
      <w:r w:rsidR="00185B97">
        <w:rPr>
          <w:sz w:val="20"/>
          <w:szCs w:val="20"/>
        </w:rPr>
        <w:t>.</w:t>
      </w:r>
      <w:r w:rsidRPr="00C573F2">
        <w:rPr>
          <w:sz w:val="20"/>
          <w:szCs w:val="20"/>
        </w:rPr>
        <w:t xml:space="preserve"> HFMs </w:t>
      </w:r>
      <w:r w:rsidR="00EB0C5B" w:rsidRPr="00C573F2">
        <w:rPr>
          <w:sz w:val="20"/>
          <w:szCs w:val="20"/>
        </w:rPr>
        <w:t>spinning conditions</w:t>
      </w:r>
    </w:p>
    <w:p w14:paraId="05228FDF" w14:textId="77777777" w:rsidR="00EB0C5B" w:rsidRPr="00C573F2" w:rsidRDefault="00EB0C5B" w:rsidP="00EB0C5B">
      <w:pPr>
        <w:jc w:val="center"/>
        <w:outlineLvl w:val="0"/>
        <w:rPr>
          <w:sz w:val="20"/>
          <w:szCs w:val="20"/>
        </w:rPr>
      </w:pPr>
    </w:p>
    <w:tbl>
      <w:tblPr>
        <w:tblW w:w="5178" w:type="dxa"/>
        <w:jc w:val="center"/>
        <w:tblLook w:val="04A0" w:firstRow="1" w:lastRow="0" w:firstColumn="1" w:lastColumn="0" w:noHBand="0" w:noVBand="1"/>
      </w:tblPr>
      <w:tblGrid>
        <w:gridCol w:w="4236"/>
        <w:gridCol w:w="52"/>
        <w:gridCol w:w="864"/>
        <w:gridCol w:w="26"/>
      </w:tblGrid>
      <w:tr w:rsidR="001376BF" w:rsidRPr="00C573F2" w14:paraId="4F85EA10" w14:textId="77777777" w:rsidTr="00EB0C5B">
        <w:trPr>
          <w:trHeight w:val="50"/>
          <w:jc w:val="center"/>
        </w:trPr>
        <w:tc>
          <w:tcPr>
            <w:tcW w:w="4318" w:type="dxa"/>
            <w:gridSpan w:val="2"/>
            <w:tcBorders>
              <w:top w:val="single" w:sz="4" w:space="0" w:color="000000"/>
              <w:left w:val="nil"/>
              <w:bottom w:val="nil"/>
              <w:right w:val="nil"/>
            </w:tcBorders>
            <w:hideMark/>
          </w:tcPr>
          <w:p w14:paraId="3C1D0069" w14:textId="77777777" w:rsidR="001376BF" w:rsidRPr="00C573F2" w:rsidRDefault="001376BF" w:rsidP="00C573F2">
            <w:pPr>
              <w:jc w:val="both"/>
              <w:outlineLvl w:val="0"/>
              <w:rPr>
                <w:sz w:val="20"/>
                <w:szCs w:val="20"/>
              </w:rPr>
            </w:pPr>
            <w:r w:rsidRPr="00C573F2">
              <w:rPr>
                <w:sz w:val="20"/>
                <w:szCs w:val="20"/>
              </w:rPr>
              <w:t>Dope extrusion rate (</w:t>
            </w:r>
            <w:r w:rsidR="007B05F5" w:rsidRPr="00C573F2">
              <w:rPr>
                <w:sz w:val="20"/>
                <w:szCs w:val="20"/>
              </w:rPr>
              <w:t>cm</w:t>
            </w:r>
            <w:r w:rsidR="007B05F5" w:rsidRPr="00C573F2">
              <w:rPr>
                <w:sz w:val="20"/>
                <w:szCs w:val="20"/>
                <w:vertAlign w:val="superscript"/>
              </w:rPr>
              <w:t>3</w:t>
            </w:r>
            <w:r w:rsidRPr="00C573F2">
              <w:rPr>
                <w:sz w:val="20"/>
                <w:szCs w:val="20"/>
              </w:rPr>
              <w:t>/min)</w:t>
            </w:r>
          </w:p>
        </w:tc>
        <w:tc>
          <w:tcPr>
            <w:tcW w:w="860" w:type="dxa"/>
            <w:gridSpan w:val="2"/>
            <w:tcBorders>
              <w:top w:val="single" w:sz="4" w:space="0" w:color="000000"/>
              <w:left w:val="nil"/>
              <w:bottom w:val="nil"/>
              <w:right w:val="nil"/>
            </w:tcBorders>
            <w:hideMark/>
          </w:tcPr>
          <w:p w14:paraId="3FA59D07" w14:textId="77777777" w:rsidR="001376BF" w:rsidRPr="00C573F2" w:rsidRDefault="001376BF" w:rsidP="00C573F2">
            <w:pPr>
              <w:jc w:val="both"/>
              <w:outlineLvl w:val="0"/>
              <w:rPr>
                <w:sz w:val="20"/>
                <w:szCs w:val="20"/>
              </w:rPr>
            </w:pPr>
            <w:r w:rsidRPr="00C573F2">
              <w:rPr>
                <w:sz w:val="20"/>
                <w:szCs w:val="20"/>
              </w:rPr>
              <w:t>1.5-</w:t>
            </w:r>
            <w:r w:rsidR="007B05F5" w:rsidRPr="00C573F2">
              <w:rPr>
                <w:sz w:val="20"/>
                <w:szCs w:val="20"/>
              </w:rPr>
              <w:t>6.5</w:t>
            </w:r>
          </w:p>
        </w:tc>
      </w:tr>
      <w:tr w:rsidR="001376BF" w:rsidRPr="00C573F2" w14:paraId="026B3A1F" w14:textId="77777777" w:rsidTr="001376BF">
        <w:trPr>
          <w:gridAfter w:val="1"/>
          <w:wAfter w:w="26" w:type="dxa"/>
          <w:trHeight w:val="273"/>
          <w:jc w:val="center"/>
        </w:trPr>
        <w:tc>
          <w:tcPr>
            <w:tcW w:w="4266" w:type="dxa"/>
            <w:vAlign w:val="center"/>
            <w:hideMark/>
          </w:tcPr>
          <w:p w14:paraId="5F713D74" w14:textId="77777777" w:rsidR="001376BF" w:rsidRPr="00C573F2" w:rsidRDefault="001376BF" w:rsidP="00C573F2">
            <w:pPr>
              <w:jc w:val="both"/>
              <w:outlineLvl w:val="0"/>
              <w:rPr>
                <w:sz w:val="20"/>
                <w:szCs w:val="20"/>
              </w:rPr>
            </w:pPr>
            <w:r w:rsidRPr="00C573F2">
              <w:rPr>
                <w:sz w:val="20"/>
                <w:szCs w:val="20"/>
              </w:rPr>
              <w:t>Bore flow rate (</w:t>
            </w:r>
            <w:r w:rsidR="007B05F5" w:rsidRPr="00C573F2">
              <w:rPr>
                <w:sz w:val="20"/>
                <w:szCs w:val="20"/>
              </w:rPr>
              <w:t>cm</w:t>
            </w:r>
            <w:r w:rsidR="007B05F5" w:rsidRPr="00C573F2">
              <w:rPr>
                <w:sz w:val="20"/>
                <w:szCs w:val="20"/>
                <w:vertAlign w:val="superscript"/>
              </w:rPr>
              <w:t>3</w:t>
            </w:r>
            <w:r w:rsidRPr="00C573F2">
              <w:rPr>
                <w:sz w:val="20"/>
                <w:szCs w:val="20"/>
              </w:rPr>
              <w:t>/min)</w:t>
            </w:r>
          </w:p>
        </w:tc>
        <w:tc>
          <w:tcPr>
            <w:tcW w:w="886" w:type="dxa"/>
            <w:gridSpan w:val="2"/>
            <w:vAlign w:val="center"/>
            <w:hideMark/>
          </w:tcPr>
          <w:p w14:paraId="164F7C96" w14:textId="77777777" w:rsidR="001376BF" w:rsidRPr="00C573F2" w:rsidRDefault="001376BF" w:rsidP="00C573F2">
            <w:pPr>
              <w:jc w:val="both"/>
              <w:outlineLvl w:val="0"/>
              <w:rPr>
                <w:sz w:val="20"/>
                <w:szCs w:val="20"/>
              </w:rPr>
            </w:pPr>
            <w:r w:rsidRPr="00C573F2">
              <w:rPr>
                <w:sz w:val="20"/>
                <w:szCs w:val="20"/>
              </w:rPr>
              <w:t>0.7-1.4</w:t>
            </w:r>
          </w:p>
        </w:tc>
      </w:tr>
      <w:tr w:rsidR="001376BF" w:rsidRPr="00C573F2" w14:paraId="158FD4DB" w14:textId="77777777" w:rsidTr="001376BF">
        <w:trPr>
          <w:gridAfter w:val="1"/>
          <w:wAfter w:w="26" w:type="dxa"/>
          <w:jc w:val="center"/>
        </w:trPr>
        <w:tc>
          <w:tcPr>
            <w:tcW w:w="4266" w:type="dxa"/>
            <w:vAlign w:val="center"/>
            <w:hideMark/>
          </w:tcPr>
          <w:p w14:paraId="66A17081" w14:textId="77777777" w:rsidR="001376BF" w:rsidRPr="00C573F2" w:rsidRDefault="001376BF" w:rsidP="00C573F2">
            <w:pPr>
              <w:jc w:val="both"/>
              <w:outlineLvl w:val="0"/>
              <w:rPr>
                <w:sz w:val="20"/>
                <w:szCs w:val="20"/>
              </w:rPr>
            </w:pPr>
            <w:r w:rsidRPr="00C573F2">
              <w:rPr>
                <w:sz w:val="20"/>
                <w:szCs w:val="20"/>
              </w:rPr>
              <w:t xml:space="preserve">Bore </w:t>
            </w:r>
            <w:r w:rsidR="00A74CC2" w:rsidRPr="00C573F2">
              <w:rPr>
                <w:sz w:val="20"/>
                <w:szCs w:val="20"/>
              </w:rPr>
              <w:t>fluid</w:t>
            </w:r>
          </w:p>
        </w:tc>
        <w:tc>
          <w:tcPr>
            <w:tcW w:w="886" w:type="dxa"/>
            <w:gridSpan w:val="2"/>
            <w:vAlign w:val="center"/>
            <w:hideMark/>
          </w:tcPr>
          <w:p w14:paraId="5A65FC60" w14:textId="77777777" w:rsidR="001376BF" w:rsidRPr="00C573F2" w:rsidRDefault="001376BF" w:rsidP="00C573F2">
            <w:pPr>
              <w:jc w:val="both"/>
              <w:outlineLvl w:val="0"/>
              <w:rPr>
                <w:sz w:val="20"/>
                <w:szCs w:val="20"/>
              </w:rPr>
            </w:pPr>
            <w:r w:rsidRPr="00C573F2">
              <w:rPr>
                <w:sz w:val="20"/>
                <w:szCs w:val="20"/>
              </w:rPr>
              <w:t>Water</w:t>
            </w:r>
          </w:p>
        </w:tc>
      </w:tr>
      <w:tr w:rsidR="001376BF" w:rsidRPr="00C573F2" w14:paraId="2FEAE006" w14:textId="77777777" w:rsidTr="001376BF">
        <w:trPr>
          <w:gridAfter w:val="1"/>
          <w:wAfter w:w="26" w:type="dxa"/>
          <w:jc w:val="center"/>
        </w:trPr>
        <w:tc>
          <w:tcPr>
            <w:tcW w:w="4266" w:type="dxa"/>
            <w:vAlign w:val="center"/>
            <w:hideMark/>
          </w:tcPr>
          <w:p w14:paraId="49E59134" w14:textId="77777777" w:rsidR="001376BF" w:rsidRPr="00C573F2" w:rsidRDefault="001376BF" w:rsidP="00C573F2">
            <w:pPr>
              <w:jc w:val="both"/>
              <w:outlineLvl w:val="0"/>
              <w:rPr>
                <w:sz w:val="20"/>
                <w:szCs w:val="20"/>
              </w:rPr>
            </w:pPr>
            <w:r w:rsidRPr="00C573F2">
              <w:rPr>
                <w:sz w:val="20"/>
                <w:szCs w:val="20"/>
              </w:rPr>
              <w:t>External coagulant</w:t>
            </w:r>
          </w:p>
        </w:tc>
        <w:tc>
          <w:tcPr>
            <w:tcW w:w="886" w:type="dxa"/>
            <w:gridSpan w:val="2"/>
            <w:vAlign w:val="center"/>
            <w:hideMark/>
          </w:tcPr>
          <w:p w14:paraId="070041D9" w14:textId="77777777" w:rsidR="001376BF" w:rsidRPr="00C573F2" w:rsidRDefault="001376BF" w:rsidP="00C573F2">
            <w:pPr>
              <w:jc w:val="both"/>
              <w:outlineLvl w:val="0"/>
              <w:rPr>
                <w:sz w:val="20"/>
                <w:szCs w:val="20"/>
              </w:rPr>
            </w:pPr>
            <w:r w:rsidRPr="00C573F2">
              <w:rPr>
                <w:sz w:val="20"/>
                <w:szCs w:val="20"/>
              </w:rPr>
              <w:t>Water</w:t>
            </w:r>
          </w:p>
        </w:tc>
      </w:tr>
      <w:tr w:rsidR="001376BF" w:rsidRPr="00C573F2" w14:paraId="1826EB24" w14:textId="77777777" w:rsidTr="001376BF">
        <w:trPr>
          <w:gridAfter w:val="1"/>
          <w:wAfter w:w="26" w:type="dxa"/>
          <w:jc w:val="center"/>
        </w:trPr>
        <w:tc>
          <w:tcPr>
            <w:tcW w:w="4266" w:type="dxa"/>
            <w:vAlign w:val="center"/>
            <w:hideMark/>
          </w:tcPr>
          <w:p w14:paraId="60A116E0" w14:textId="77777777" w:rsidR="001376BF" w:rsidRPr="00C573F2" w:rsidRDefault="001376BF" w:rsidP="00C573F2">
            <w:pPr>
              <w:jc w:val="both"/>
              <w:outlineLvl w:val="0"/>
              <w:rPr>
                <w:sz w:val="20"/>
                <w:szCs w:val="20"/>
              </w:rPr>
            </w:pPr>
            <w:r w:rsidRPr="00C573F2">
              <w:rPr>
                <w:sz w:val="20"/>
                <w:szCs w:val="20"/>
              </w:rPr>
              <w:t>Air gap distance (cm)</w:t>
            </w:r>
          </w:p>
        </w:tc>
        <w:tc>
          <w:tcPr>
            <w:tcW w:w="886" w:type="dxa"/>
            <w:gridSpan w:val="2"/>
            <w:vAlign w:val="center"/>
            <w:hideMark/>
          </w:tcPr>
          <w:p w14:paraId="1EF78145" w14:textId="77777777" w:rsidR="001376BF" w:rsidRPr="00C573F2" w:rsidRDefault="001376BF" w:rsidP="00C573F2">
            <w:pPr>
              <w:jc w:val="both"/>
              <w:outlineLvl w:val="0"/>
              <w:rPr>
                <w:sz w:val="20"/>
                <w:szCs w:val="20"/>
              </w:rPr>
            </w:pPr>
            <w:r w:rsidRPr="00C573F2">
              <w:rPr>
                <w:sz w:val="20"/>
                <w:szCs w:val="20"/>
              </w:rPr>
              <w:t>0</w:t>
            </w:r>
          </w:p>
        </w:tc>
      </w:tr>
      <w:tr w:rsidR="001376BF" w:rsidRPr="00C573F2" w14:paraId="2DB4630D" w14:textId="77777777" w:rsidTr="001376BF">
        <w:trPr>
          <w:gridAfter w:val="1"/>
          <w:wAfter w:w="26" w:type="dxa"/>
          <w:jc w:val="center"/>
        </w:trPr>
        <w:tc>
          <w:tcPr>
            <w:tcW w:w="4266" w:type="dxa"/>
            <w:vAlign w:val="center"/>
            <w:hideMark/>
          </w:tcPr>
          <w:p w14:paraId="28178AF6" w14:textId="77777777" w:rsidR="001376BF" w:rsidRPr="00C573F2" w:rsidRDefault="001376BF" w:rsidP="00C573F2">
            <w:pPr>
              <w:jc w:val="both"/>
              <w:outlineLvl w:val="0"/>
              <w:rPr>
                <w:sz w:val="20"/>
                <w:szCs w:val="20"/>
              </w:rPr>
            </w:pPr>
            <w:r w:rsidRPr="00C573F2">
              <w:rPr>
                <w:sz w:val="20"/>
                <w:szCs w:val="20"/>
              </w:rPr>
              <w:t>Collection drum speed (</w:t>
            </w:r>
            <w:r w:rsidR="00A74CC2" w:rsidRPr="00C573F2">
              <w:rPr>
                <w:sz w:val="20"/>
                <w:szCs w:val="20"/>
              </w:rPr>
              <w:t>m/min</w:t>
            </w:r>
            <w:r w:rsidRPr="00C573F2">
              <w:rPr>
                <w:sz w:val="20"/>
                <w:szCs w:val="20"/>
              </w:rPr>
              <w:t>)</w:t>
            </w:r>
          </w:p>
        </w:tc>
        <w:tc>
          <w:tcPr>
            <w:tcW w:w="886" w:type="dxa"/>
            <w:gridSpan w:val="2"/>
            <w:vAlign w:val="center"/>
            <w:hideMark/>
          </w:tcPr>
          <w:p w14:paraId="2A3AD2C4" w14:textId="77777777" w:rsidR="001376BF" w:rsidRPr="00C573F2" w:rsidRDefault="00A74CC2" w:rsidP="00C573F2">
            <w:pPr>
              <w:jc w:val="both"/>
              <w:outlineLvl w:val="0"/>
              <w:rPr>
                <w:sz w:val="20"/>
                <w:szCs w:val="20"/>
              </w:rPr>
            </w:pPr>
            <w:r w:rsidRPr="00C573F2">
              <w:rPr>
                <w:sz w:val="20"/>
                <w:szCs w:val="20"/>
              </w:rPr>
              <w:t>4-8</w:t>
            </w:r>
          </w:p>
        </w:tc>
      </w:tr>
      <w:tr w:rsidR="001376BF" w:rsidRPr="00C573F2" w14:paraId="46DB9C62" w14:textId="77777777" w:rsidTr="001376BF">
        <w:trPr>
          <w:gridAfter w:val="1"/>
          <w:wAfter w:w="26" w:type="dxa"/>
          <w:jc w:val="center"/>
        </w:trPr>
        <w:tc>
          <w:tcPr>
            <w:tcW w:w="4266" w:type="dxa"/>
            <w:vAlign w:val="center"/>
            <w:hideMark/>
          </w:tcPr>
          <w:p w14:paraId="7C48A5E3" w14:textId="77777777" w:rsidR="001376BF" w:rsidRPr="00C573F2" w:rsidRDefault="001376BF" w:rsidP="00C573F2">
            <w:pPr>
              <w:jc w:val="both"/>
              <w:outlineLvl w:val="0"/>
              <w:rPr>
                <w:sz w:val="20"/>
                <w:szCs w:val="20"/>
              </w:rPr>
            </w:pPr>
            <w:r w:rsidRPr="00C573F2">
              <w:rPr>
                <w:sz w:val="20"/>
                <w:szCs w:val="20"/>
              </w:rPr>
              <w:t>Spinneret OD/ID (mm)</w:t>
            </w:r>
          </w:p>
        </w:tc>
        <w:tc>
          <w:tcPr>
            <w:tcW w:w="886" w:type="dxa"/>
            <w:gridSpan w:val="2"/>
            <w:vAlign w:val="center"/>
            <w:hideMark/>
          </w:tcPr>
          <w:p w14:paraId="0A10F033" w14:textId="77777777" w:rsidR="001376BF" w:rsidRPr="00C573F2" w:rsidRDefault="001376BF" w:rsidP="00C573F2">
            <w:pPr>
              <w:jc w:val="both"/>
              <w:outlineLvl w:val="0"/>
              <w:rPr>
                <w:sz w:val="20"/>
                <w:szCs w:val="20"/>
              </w:rPr>
            </w:pPr>
            <w:r w:rsidRPr="00C573F2">
              <w:rPr>
                <w:sz w:val="20"/>
                <w:szCs w:val="20"/>
              </w:rPr>
              <w:t>1.1/0.55</w:t>
            </w:r>
          </w:p>
        </w:tc>
      </w:tr>
      <w:tr w:rsidR="001376BF" w:rsidRPr="00C573F2" w14:paraId="609FE2D8" w14:textId="77777777" w:rsidTr="001376BF">
        <w:trPr>
          <w:gridAfter w:val="1"/>
          <w:wAfter w:w="26" w:type="dxa"/>
          <w:jc w:val="center"/>
        </w:trPr>
        <w:tc>
          <w:tcPr>
            <w:tcW w:w="4266" w:type="dxa"/>
            <w:vAlign w:val="center"/>
            <w:hideMark/>
          </w:tcPr>
          <w:p w14:paraId="720B3CDB" w14:textId="77777777" w:rsidR="001376BF" w:rsidRPr="00C573F2" w:rsidRDefault="001376BF" w:rsidP="00C573F2">
            <w:pPr>
              <w:jc w:val="both"/>
              <w:outlineLvl w:val="0"/>
              <w:rPr>
                <w:sz w:val="20"/>
                <w:szCs w:val="20"/>
              </w:rPr>
            </w:pPr>
            <w:r w:rsidRPr="00C573F2">
              <w:rPr>
                <w:sz w:val="20"/>
                <w:szCs w:val="20"/>
              </w:rPr>
              <w:t>Spinning dope temperature (◦C)</w:t>
            </w:r>
          </w:p>
        </w:tc>
        <w:tc>
          <w:tcPr>
            <w:tcW w:w="886" w:type="dxa"/>
            <w:gridSpan w:val="2"/>
            <w:vAlign w:val="center"/>
            <w:hideMark/>
          </w:tcPr>
          <w:p w14:paraId="342A94EC" w14:textId="77777777" w:rsidR="001376BF" w:rsidRPr="00C573F2" w:rsidRDefault="00CC441D" w:rsidP="00C573F2">
            <w:pPr>
              <w:jc w:val="both"/>
              <w:outlineLvl w:val="0"/>
              <w:rPr>
                <w:sz w:val="20"/>
                <w:szCs w:val="20"/>
              </w:rPr>
            </w:pPr>
            <w:r w:rsidRPr="00C573F2">
              <w:rPr>
                <w:sz w:val="20"/>
                <w:szCs w:val="20"/>
              </w:rPr>
              <w:t>A</w:t>
            </w:r>
            <w:r w:rsidR="001376BF" w:rsidRPr="00C573F2">
              <w:rPr>
                <w:sz w:val="20"/>
                <w:szCs w:val="20"/>
              </w:rPr>
              <w:t>mbient</w:t>
            </w:r>
          </w:p>
        </w:tc>
      </w:tr>
      <w:tr w:rsidR="001376BF" w:rsidRPr="00C573F2" w14:paraId="33A19AA2" w14:textId="77777777" w:rsidTr="00EB0C5B">
        <w:trPr>
          <w:gridAfter w:val="1"/>
          <w:wAfter w:w="26" w:type="dxa"/>
          <w:jc w:val="center"/>
        </w:trPr>
        <w:tc>
          <w:tcPr>
            <w:tcW w:w="4266" w:type="dxa"/>
            <w:tcBorders>
              <w:top w:val="nil"/>
              <w:left w:val="nil"/>
              <w:bottom w:val="single" w:sz="4" w:space="0" w:color="000000"/>
              <w:right w:val="nil"/>
            </w:tcBorders>
            <w:vAlign w:val="center"/>
            <w:hideMark/>
          </w:tcPr>
          <w:p w14:paraId="70CE72C0" w14:textId="77777777" w:rsidR="001376BF" w:rsidRPr="00C573F2" w:rsidRDefault="001376BF" w:rsidP="00C573F2">
            <w:pPr>
              <w:jc w:val="both"/>
              <w:outlineLvl w:val="0"/>
              <w:rPr>
                <w:sz w:val="20"/>
                <w:szCs w:val="20"/>
              </w:rPr>
            </w:pPr>
            <w:r w:rsidRPr="00C573F2">
              <w:rPr>
                <w:sz w:val="20"/>
                <w:szCs w:val="20"/>
              </w:rPr>
              <w:t>External coagulant temperature (◦C)</w:t>
            </w:r>
          </w:p>
        </w:tc>
        <w:tc>
          <w:tcPr>
            <w:tcW w:w="886" w:type="dxa"/>
            <w:gridSpan w:val="2"/>
            <w:tcBorders>
              <w:top w:val="nil"/>
              <w:left w:val="nil"/>
              <w:bottom w:val="single" w:sz="4" w:space="0" w:color="000000"/>
              <w:right w:val="nil"/>
            </w:tcBorders>
            <w:vAlign w:val="center"/>
            <w:hideMark/>
          </w:tcPr>
          <w:p w14:paraId="3B151A60" w14:textId="77777777" w:rsidR="001376BF" w:rsidRPr="00C573F2" w:rsidRDefault="00CC441D" w:rsidP="00C573F2">
            <w:pPr>
              <w:jc w:val="both"/>
              <w:outlineLvl w:val="0"/>
              <w:rPr>
                <w:sz w:val="20"/>
                <w:szCs w:val="20"/>
              </w:rPr>
            </w:pPr>
            <w:r w:rsidRPr="00C573F2">
              <w:rPr>
                <w:sz w:val="20"/>
                <w:szCs w:val="20"/>
              </w:rPr>
              <w:t>A</w:t>
            </w:r>
            <w:r w:rsidR="001376BF" w:rsidRPr="00C573F2">
              <w:rPr>
                <w:sz w:val="20"/>
                <w:szCs w:val="20"/>
              </w:rPr>
              <w:t>mbient</w:t>
            </w:r>
          </w:p>
        </w:tc>
      </w:tr>
    </w:tbl>
    <w:p w14:paraId="59B616CF" w14:textId="77777777" w:rsidR="001376BF" w:rsidRPr="00C573F2" w:rsidRDefault="001376BF" w:rsidP="00C573F2">
      <w:pPr>
        <w:spacing w:before="240"/>
        <w:jc w:val="both"/>
        <w:outlineLvl w:val="0"/>
        <w:rPr>
          <w:sz w:val="20"/>
          <w:szCs w:val="20"/>
        </w:rPr>
      </w:pPr>
    </w:p>
    <w:p w14:paraId="3995FADC" w14:textId="2360E0EA" w:rsidR="00A1528E" w:rsidRPr="00C573F2" w:rsidRDefault="00A1528E" w:rsidP="00C573F2">
      <w:pPr>
        <w:jc w:val="both"/>
        <w:outlineLvl w:val="0"/>
        <w:rPr>
          <w:b/>
          <w:bCs/>
          <w:sz w:val="20"/>
          <w:szCs w:val="20"/>
        </w:rPr>
      </w:pPr>
      <w:r w:rsidRPr="00C573F2">
        <w:rPr>
          <w:b/>
          <w:bCs/>
          <w:sz w:val="20"/>
          <w:szCs w:val="20"/>
        </w:rPr>
        <w:t xml:space="preserve">Overall </w:t>
      </w:r>
      <w:r w:rsidR="00A34128">
        <w:rPr>
          <w:b/>
          <w:bCs/>
          <w:sz w:val="20"/>
          <w:szCs w:val="20"/>
        </w:rPr>
        <w:t>p</w:t>
      </w:r>
      <w:r w:rsidRPr="00C573F2">
        <w:rPr>
          <w:b/>
          <w:bCs/>
          <w:sz w:val="20"/>
          <w:szCs w:val="20"/>
        </w:rPr>
        <w:t>orosity of HFMs</w:t>
      </w:r>
    </w:p>
    <w:p w14:paraId="49C5A6D5" w14:textId="275A77C7" w:rsidR="00A1528E" w:rsidRPr="00C573F2" w:rsidRDefault="00A1528E" w:rsidP="00C573F2">
      <w:pPr>
        <w:jc w:val="both"/>
        <w:outlineLvl w:val="0"/>
        <w:rPr>
          <w:sz w:val="20"/>
          <w:szCs w:val="20"/>
        </w:rPr>
      </w:pPr>
      <w:r w:rsidRPr="00C573F2">
        <w:rPr>
          <w:sz w:val="20"/>
          <w:szCs w:val="20"/>
        </w:rPr>
        <w:t>The porosity of the membrane has been d</w:t>
      </w:r>
      <w:r w:rsidR="007B05F5" w:rsidRPr="00C573F2">
        <w:rPr>
          <w:sz w:val="20"/>
          <w:szCs w:val="20"/>
        </w:rPr>
        <w:t>efined as the ratio of the pore</w:t>
      </w:r>
      <w:r w:rsidRPr="00C573F2">
        <w:rPr>
          <w:sz w:val="20"/>
          <w:szCs w:val="20"/>
        </w:rPr>
        <w:t xml:space="preserve"> volume to the total volume of the membrane</w:t>
      </w:r>
      <w:r w:rsidR="00B104AA" w:rsidRPr="00C573F2">
        <w:rPr>
          <w:sz w:val="20"/>
          <w:szCs w:val="20"/>
        </w:rPr>
        <w:fldChar w:fldCharType="begin"/>
      </w:r>
      <w:r w:rsidR="00B104AA" w:rsidRPr="00C573F2">
        <w:rPr>
          <w:sz w:val="20"/>
          <w:szCs w:val="20"/>
        </w:rPr>
        <w:instrText xml:space="preserve"> ADDIN EN.CITE &lt;EndNote&gt;&lt;Cite&gt;&lt;Author&gt;Arthanareeswaran&lt;/Author&gt;&lt;Year&gt;2009&lt;/Year&gt;&lt;RecNum&gt;162&lt;/RecNum&gt;&lt;DisplayText&gt;[17]&lt;/DisplayText&gt;&lt;record&gt;&lt;rec-number&gt;162&lt;/rec-number&gt;&lt;foreign-keys&gt;&lt;key app="EN" db-id="2dz5xpdxnxt0skesrx5vassad0av9deaef5r" timestamp="1460459604"&gt;162&lt;/key&gt;&lt;/foreign-keys&gt;&lt;ref-type name="Journal Article"&gt;17&lt;/ref-type&gt;&lt;contributors&gt;&lt;authors&gt;&lt;author&gt;Arthanareeswaran, G&lt;/author&gt;&lt;author&gt;Devi, TK Sriyamuna&lt;/author&gt;&lt;author&gt;Mohan, D&lt;/author&gt;&lt;/authors&gt;&lt;/contributors&gt;&lt;titles&gt;&lt;title&gt;Development, characterization and separation performance of organic–inorganic membranes: part II. Effect of additives&lt;/title&gt;&lt;secondary-title&gt;Separation and Purification Technology&lt;/secondary-title&gt;&lt;/titles&gt;&lt;periodical&gt;&lt;full-title&gt;Separation and purification technology&lt;/full-title&gt;&lt;/periodical&gt;&lt;pages&gt;271-281&lt;/pages&gt;&lt;volume&gt;67&lt;/volume&gt;&lt;number&gt;3&lt;/number&gt;&lt;dates&gt;&lt;year&gt;2009&lt;/year&gt;&lt;/dates&gt;&lt;isbn&gt;1383-5866&lt;/isbn&gt;&lt;urls&gt;&lt;/urls&gt;&lt;/record&gt;&lt;/Cite&gt;&lt;/EndNote&gt;</w:instrText>
      </w:r>
      <w:r w:rsidR="00B104AA" w:rsidRPr="00C573F2">
        <w:rPr>
          <w:sz w:val="20"/>
          <w:szCs w:val="20"/>
        </w:rPr>
        <w:fldChar w:fldCharType="separate"/>
      </w:r>
      <w:r w:rsidR="00B104AA" w:rsidRPr="00C573F2">
        <w:rPr>
          <w:noProof/>
          <w:sz w:val="20"/>
          <w:szCs w:val="20"/>
        </w:rPr>
        <w:t>[</w:t>
      </w:r>
      <w:hyperlink w:anchor="_ENREF_17" w:tooltip="Arthanareeswaran, 2009 #162" w:history="1">
        <w:r w:rsidR="003378CC" w:rsidRPr="00C573F2">
          <w:rPr>
            <w:noProof/>
            <w:sz w:val="20"/>
            <w:szCs w:val="20"/>
          </w:rPr>
          <w:t>17</w:t>
        </w:r>
      </w:hyperlink>
      <w:r w:rsidR="00B104AA" w:rsidRPr="00C573F2">
        <w:rPr>
          <w:noProof/>
          <w:sz w:val="20"/>
          <w:szCs w:val="20"/>
        </w:rPr>
        <w:t>]</w:t>
      </w:r>
      <w:r w:rsidR="00B104AA" w:rsidRPr="00C573F2">
        <w:rPr>
          <w:sz w:val="20"/>
          <w:szCs w:val="20"/>
        </w:rPr>
        <w:fldChar w:fldCharType="end"/>
      </w:r>
      <w:r w:rsidRPr="00C573F2">
        <w:rPr>
          <w:sz w:val="20"/>
          <w:szCs w:val="20"/>
        </w:rPr>
        <w:t xml:space="preserve">. The </w:t>
      </w:r>
      <w:r w:rsidR="001941D9" w:rsidRPr="00C573F2">
        <w:rPr>
          <w:sz w:val="20"/>
          <w:szCs w:val="20"/>
        </w:rPr>
        <w:t>overall</w:t>
      </w:r>
      <w:r w:rsidRPr="00C573F2">
        <w:rPr>
          <w:sz w:val="20"/>
          <w:szCs w:val="20"/>
        </w:rPr>
        <w:t xml:space="preserve"> porosity of the HFM can be calculated using the following </w:t>
      </w:r>
      <w:r w:rsidR="001941D9" w:rsidRPr="00C573F2">
        <w:rPr>
          <w:sz w:val="20"/>
          <w:szCs w:val="20"/>
        </w:rPr>
        <w:t>equation</w:t>
      </w:r>
      <w:r w:rsidR="00EB0C5B">
        <w:rPr>
          <w:sz w:val="20"/>
          <w:szCs w:val="20"/>
        </w:rPr>
        <w:t xml:space="preserve"> 1 </w:t>
      </w:r>
      <w:r w:rsidR="00B104AA" w:rsidRPr="00C573F2">
        <w:rPr>
          <w:sz w:val="20"/>
          <w:szCs w:val="20"/>
        </w:rPr>
        <w:fldChar w:fldCharType="begin"/>
      </w:r>
      <w:r w:rsidR="00B104AA" w:rsidRPr="00C573F2">
        <w:rPr>
          <w:sz w:val="20"/>
          <w:szCs w:val="20"/>
        </w:rPr>
        <w:instrText xml:space="preserve"> ADDIN EN.CITE &lt;EndNote&gt;&lt;Cite&gt;&lt;Author&gt;Mansourizadeh&lt;/Author&gt;&lt;Year&gt;2010&lt;/Year&gt;&lt;RecNum&gt;180&lt;/RecNum&gt;&lt;DisplayText&gt;[18]&lt;/DisplayText&gt;&lt;record&gt;&lt;rec-number&gt;180&lt;/rec-number&gt;&lt;foreign-keys&gt;&lt;key app="EN" db-id="2dz5xpdxnxt0skesrx5vassad0av9deaef5r" timestamp="1460958032"&gt;180&lt;/key&gt;&lt;/foreign-keys&gt;&lt;ref-type name="Journal Article"&gt;17&lt;/ref-type&gt;&lt;contributors&gt;&lt;authors&gt;&lt;author&gt;Mansourizadeh, Amir&lt;/author&gt;&lt;author&gt;Ismail, Ahmad Fauzi&lt;/author&gt;&lt;/authors&gt;&lt;/contributors&gt;&lt;titles&gt;&lt;title&gt;Effect of additives on the structure and performance of polysulfone hollow fiber membranes for CO 2 absorption&lt;/title&gt;&lt;secondary-title&gt;Journal of Membrane Science&lt;/secondary-title&gt;&lt;/titles&gt;&lt;periodical&gt;&lt;full-title&gt;Journal of membrane science&lt;/full-title&gt;&lt;/periodical&gt;&lt;pages&gt;260-267&lt;/pages&gt;&lt;volume&gt;348&lt;/volume&gt;&lt;number&gt;1&lt;/number&gt;&lt;dates&gt;&lt;year&gt;2010&lt;/year&gt;&lt;/dates&gt;&lt;isbn&gt;0376-7388&lt;/isbn&gt;&lt;urls&gt;&lt;/urls&gt;&lt;/record&gt;&lt;/Cite&gt;&lt;/EndNote&gt;</w:instrText>
      </w:r>
      <w:r w:rsidR="00B104AA" w:rsidRPr="00C573F2">
        <w:rPr>
          <w:sz w:val="20"/>
          <w:szCs w:val="20"/>
        </w:rPr>
        <w:fldChar w:fldCharType="separate"/>
      </w:r>
      <w:r w:rsidR="00B104AA" w:rsidRPr="00C573F2">
        <w:rPr>
          <w:noProof/>
          <w:sz w:val="20"/>
          <w:szCs w:val="20"/>
        </w:rPr>
        <w:t>[</w:t>
      </w:r>
      <w:hyperlink w:anchor="_ENREF_18" w:tooltip="Mansourizadeh, 2010 #180" w:history="1">
        <w:r w:rsidR="003378CC" w:rsidRPr="00C573F2">
          <w:rPr>
            <w:noProof/>
            <w:sz w:val="20"/>
            <w:szCs w:val="20"/>
          </w:rPr>
          <w:t>18</w:t>
        </w:r>
      </w:hyperlink>
      <w:r w:rsidR="00B104AA" w:rsidRPr="00C573F2">
        <w:rPr>
          <w:noProof/>
          <w:sz w:val="20"/>
          <w:szCs w:val="20"/>
        </w:rPr>
        <w:t>]</w:t>
      </w:r>
      <w:r w:rsidR="00B104AA" w:rsidRPr="00C573F2">
        <w:rPr>
          <w:sz w:val="20"/>
          <w:szCs w:val="20"/>
        </w:rPr>
        <w:fldChar w:fldCharType="end"/>
      </w:r>
      <w:r w:rsidRPr="00C573F2">
        <w:rPr>
          <w:sz w:val="20"/>
          <w:szCs w:val="20"/>
        </w:rPr>
        <w:t>:</w:t>
      </w:r>
    </w:p>
    <w:p w14:paraId="3E9E1C36" w14:textId="77777777" w:rsidR="00A1528E" w:rsidRPr="00C573F2" w:rsidRDefault="00A1528E" w:rsidP="00C573F2">
      <w:pPr>
        <w:suppressAutoHyphens/>
        <w:adjustRightInd w:val="0"/>
        <w:jc w:val="both"/>
        <w:rPr>
          <w:rFonts w:eastAsia="Times New Roman"/>
          <w:sz w:val="20"/>
          <w:szCs w:val="20"/>
          <w:lang w:eastAsia="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8"/>
        <w:gridCol w:w="584"/>
      </w:tblGrid>
      <w:tr w:rsidR="00A1528E" w:rsidRPr="00C573F2" w14:paraId="1134F407" w14:textId="77777777" w:rsidTr="00F013E5">
        <w:tc>
          <w:tcPr>
            <w:tcW w:w="8658" w:type="dxa"/>
            <w:vAlign w:val="center"/>
          </w:tcPr>
          <w:p w14:paraId="52AD0D7F" w14:textId="56F9AA69" w:rsidR="00A1528E" w:rsidRPr="00EB0C5B" w:rsidRDefault="00EB0C5B" w:rsidP="00C573F2">
            <w:pPr>
              <w:jc w:val="both"/>
              <w:outlineLvl w:val="0"/>
              <w:rPr>
                <w:sz w:val="20"/>
                <w:szCs w:val="20"/>
              </w:rPr>
            </w:pPr>
            <m:oMathPara>
              <m:oMathParaPr>
                <m:jc m:val="left"/>
              </m:oMathParaPr>
              <m:oMath>
                <m:r>
                  <w:rPr>
                    <w:rFonts w:ascii="Cambria Math" w:eastAsia="Calibri" w:hAnsi="Cambria Math"/>
                    <w:sz w:val="20"/>
                    <w:szCs w:val="20"/>
                    <w:lang w:eastAsia="en-US"/>
                  </w:rPr>
                  <m:t xml:space="preserve">              </m:t>
                </m:r>
                <m:sSub>
                  <m:sSubPr>
                    <m:ctrlPr>
                      <w:rPr>
                        <w:rFonts w:ascii="Cambria Math" w:eastAsia="Calibri" w:hAnsi="Cambria Math"/>
                        <w:i/>
                        <w:sz w:val="20"/>
                        <w:szCs w:val="20"/>
                        <w:lang w:eastAsia="en-US"/>
                      </w:rPr>
                    </m:ctrlPr>
                  </m:sSubPr>
                  <m:e>
                    <m:r>
                      <w:rPr>
                        <w:rFonts w:ascii="Cambria Math" w:eastAsia="Calibri" w:hAnsi="Cambria Math"/>
                        <w:sz w:val="20"/>
                        <w:szCs w:val="20"/>
                        <w:lang w:eastAsia="en-US"/>
                      </w:rPr>
                      <m:t>ε</m:t>
                    </m:r>
                  </m:e>
                  <m:sub>
                    <m:r>
                      <w:rPr>
                        <w:rFonts w:ascii="Cambria Math" w:eastAsia="Calibri" w:hAnsi="Cambria Math"/>
                        <w:sz w:val="20"/>
                        <w:szCs w:val="20"/>
                        <w:lang w:eastAsia="en-US"/>
                      </w:rPr>
                      <m:t>m</m:t>
                    </m:r>
                  </m:sub>
                </m:sSub>
                <m:r>
                  <w:rPr>
                    <w:rFonts w:ascii="Cambria Math" w:eastAsia="Calibri" w:hAnsi="Cambria Math"/>
                    <w:sz w:val="20"/>
                    <w:szCs w:val="20"/>
                    <w:lang w:eastAsia="en-US"/>
                  </w:rPr>
                  <m:t>=</m:t>
                </m:r>
                <m:f>
                  <m:fPr>
                    <m:ctrlPr>
                      <w:rPr>
                        <w:rFonts w:ascii="Cambria Math" w:eastAsia="Calibri" w:hAnsi="Cambria Math"/>
                        <w:i/>
                        <w:sz w:val="20"/>
                        <w:szCs w:val="20"/>
                        <w:lang w:eastAsia="en-US"/>
                      </w:rPr>
                    </m:ctrlPr>
                  </m:fPr>
                  <m:num>
                    <m:sSub>
                      <m:sSubPr>
                        <m:ctrlPr>
                          <w:rPr>
                            <w:rFonts w:ascii="Cambria Math" w:eastAsia="Calibri" w:hAnsi="Cambria Math"/>
                            <w:i/>
                            <w:sz w:val="20"/>
                            <w:szCs w:val="20"/>
                            <w:lang w:eastAsia="en-US"/>
                          </w:rPr>
                        </m:ctrlPr>
                      </m:sSubPr>
                      <m:e>
                        <m:r>
                          <w:rPr>
                            <w:rFonts w:ascii="Cambria Math" w:eastAsia="Calibri" w:hAnsi="Cambria Math"/>
                            <w:sz w:val="20"/>
                            <w:szCs w:val="20"/>
                            <w:lang w:eastAsia="en-US"/>
                          </w:rPr>
                          <m:t>ρ</m:t>
                        </m:r>
                      </m:e>
                      <m:sub>
                        <m:r>
                          <w:rPr>
                            <w:rFonts w:ascii="Cambria Math" w:eastAsia="Calibri" w:hAnsi="Cambria Math"/>
                            <w:sz w:val="20"/>
                            <w:szCs w:val="20"/>
                            <w:lang w:eastAsia="en-US"/>
                          </w:rPr>
                          <m:t>w</m:t>
                        </m:r>
                      </m:sub>
                    </m:sSub>
                    <m:r>
                      <w:rPr>
                        <w:rFonts w:ascii="Cambria Math" w:eastAsia="Calibri" w:hAnsi="Cambria Math"/>
                        <w:sz w:val="20"/>
                        <w:szCs w:val="20"/>
                        <w:lang w:eastAsia="en-US"/>
                      </w:rPr>
                      <m:t>(</m:t>
                    </m:r>
                    <m:sSub>
                      <m:sSubPr>
                        <m:ctrlPr>
                          <w:rPr>
                            <w:rFonts w:ascii="Cambria Math" w:eastAsia="Calibri" w:hAnsi="Cambria Math"/>
                            <w:i/>
                            <w:sz w:val="20"/>
                            <w:szCs w:val="20"/>
                            <w:lang w:eastAsia="en-US"/>
                          </w:rPr>
                        </m:ctrlPr>
                      </m:sSubPr>
                      <m:e>
                        <m:r>
                          <w:rPr>
                            <w:rFonts w:ascii="Cambria Math" w:eastAsia="Calibri" w:hAnsi="Cambria Math"/>
                            <w:sz w:val="20"/>
                            <w:szCs w:val="20"/>
                            <w:lang w:eastAsia="en-US"/>
                          </w:rPr>
                          <m:t>w</m:t>
                        </m:r>
                      </m:e>
                      <m:sub>
                        <m:r>
                          <w:rPr>
                            <w:rFonts w:ascii="Cambria Math" w:eastAsia="Calibri" w:hAnsi="Cambria Math"/>
                            <w:sz w:val="20"/>
                            <w:szCs w:val="20"/>
                            <w:lang w:eastAsia="en-US"/>
                          </w:rPr>
                          <m:t>1</m:t>
                        </m:r>
                      </m:sub>
                    </m:sSub>
                    <m:r>
                      <w:rPr>
                        <w:rFonts w:ascii="Cambria Math" w:eastAsia="Calibri" w:hAnsi="Cambria Math"/>
                        <w:sz w:val="20"/>
                        <w:szCs w:val="20"/>
                        <w:lang w:eastAsia="en-US"/>
                      </w:rPr>
                      <m:t>-</m:t>
                    </m:r>
                    <m:sSub>
                      <m:sSubPr>
                        <m:ctrlPr>
                          <w:rPr>
                            <w:rFonts w:ascii="Cambria Math" w:eastAsia="Calibri" w:hAnsi="Cambria Math"/>
                            <w:i/>
                            <w:sz w:val="20"/>
                            <w:szCs w:val="20"/>
                            <w:lang w:eastAsia="en-US"/>
                          </w:rPr>
                        </m:ctrlPr>
                      </m:sSubPr>
                      <m:e>
                        <m:r>
                          <w:rPr>
                            <w:rFonts w:ascii="Cambria Math" w:eastAsia="Calibri" w:hAnsi="Cambria Math"/>
                            <w:sz w:val="20"/>
                            <w:szCs w:val="20"/>
                            <w:lang w:eastAsia="en-US"/>
                          </w:rPr>
                          <m:t>w</m:t>
                        </m:r>
                      </m:e>
                      <m:sub>
                        <m:r>
                          <w:rPr>
                            <w:rFonts w:ascii="Cambria Math" w:eastAsia="Calibri" w:hAnsi="Cambria Math"/>
                            <w:sz w:val="20"/>
                            <w:szCs w:val="20"/>
                            <w:lang w:eastAsia="en-US"/>
                          </w:rPr>
                          <m:t>2</m:t>
                        </m:r>
                      </m:sub>
                    </m:sSub>
                    <m:r>
                      <w:rPr>
                        <w:rFonts w:ascii="Cambria Math" w:eastAsia="Calibri" w:hAnsi="Cambria Math"/>
                        <w:sz w:val="20"/>
                        <w:szCs w:val="20"/>
                        <w:lang w:eastAsia="en-US"/>
                      </w:rPr>
                      <m:t>)</m:t>
                    </m:r>
                  </m:num>
                  <m:den>
                    <m:sSub>
                      <m:sSubPr>
                        <m:ctrlPr>
                          <w:rPr>
                            <w:rFonts w:ascii="Cambria Math" w:eastAsia="Calibri" w:hAnsi="Cambria Math"/>
                            <w:i/>
                            <w:sz w:val="20"/>
                            <w:szCs w:val="20"/>
                            <w:lang w:eastAsia="en-US"/>
                          </w:rPr>
                        </m:ctrlPr>
                      </m:sSubPr>
                      <m:e>
                        <m:r>
                          <w:rPr>
                            <w:rFonts w:ascii="Cambria Math" w:eastAsia="Calibri" w:hAnsi="Cambria Math"/>
                            <w:sz w:val="20"/>
                            <w:szCs w:val="20"/>
                            <w:lang w:eastAsia="en-US"/>
                          </w:rPr>
                          <m:t>ρ</m:t>
                        </m:r>
                      </m:e>
                      <m:sub>
                        <m:r>
                          <w:rPr>
                            <w:rFonts w:ascii="Cambria Math" w:eastAsia="Calibri" w:hAnsi="Cambria Math"/>
                            <w:sz w:val="20"/>
                            <w:szCs w:val="20"/>
                            <w:lang w:eastAsia="en-US"/>
                          </w:rPr>
                          <m:t>p</m:t>
                        </m:r>
                      </m:sub>
                    </m:sSub>
                    <m:d>
                      <m:dPr>
                        <m:ctrlPr>
                          <w:rPr>
                            <w:rFonts w:ascii="Cambria Math" w:eastAsia="Calibri" w:hAnsi="Cambria Math"/>
                            <w:i/>
                            <w:sz w:val="20"/>
                            <w:szCs w:val="20"/>
                            <w:lang w:eastAsia="en-US"/>
                          </w:rPr>
                        </m:ctrlPr>
                      </m:dPr>
                      <m:e>
                        <m:sSub>
                          <m:sSubPr>
                            <m:ctrlPr>
                              <w:rPr>
                                <w:rFonts w:ascii="Cambria Math" w:eastAsia="Calibri" w:hAnsi="Cambria Math"/>
                                <w:i/>
                                <w:sz w:val="20"/>
                                <w:szCs w:val="20"/>
                                <w:lang w:eastAsia="en-US"/>
                              </w:rPr>
                            </m:ctrlPr>
                          </m:sSubPr>
                          <m:e>
                            <m:r>
                              <w:rPr>
                                <w:rFonts w:ascii="Cambria Math" w:eastAsia="Calibri" w:hAnsi="Cambria Math"/>
                                <w:sz w:val="20"/>
                                <w:szCs w:val="20"/>
                                <w:lang w:eastAsia="en-US"/>
                              </w:rPr>
                              <m:t>w</m:t>
                            </m:r>
                          </m:e>
                          <m:sub>
                            <m:r>
                              <w:rPr>
                                <w:rFonts w:ascii="Cambria Math" w:eastAsia="Calibri" w:hAnsi="Cambria Math"/>
                                <w:sz w:val="20"/>
                                <w:szCs w:val="20"/>
                                <w:lang w:eastAsia="en-US"/>
                              </w:rPr>
                              <m:t>1</m:t>
                            </m:r>
                          </m:sub>
                        </m:sSub>
                        <m:r>
                          <w:rPr>
                            <w:rFonts w:ascii="Cambria Math" w:eastAsia="Calibri" w:hAnsi="Cambria Math"/>
                            <w:sz w:val="20"/>
                            <w:szCs w:val="20"/>
                            <w:lang w:eastAsia="en-US"/>
                          </w:rPr>
                          <m:t>-</m:t>
                        </m:r>
                        <m:sSub>
                          <m:sSubPr>
                            <m:ctrlPr>
                              <w:rPr>
                                <w:rFonts w:ascii="Cambria Math" w:eastAsia="Calibri" w:hAnsi="Cambria Math"/>
                                <w:i/>
                                <w:sz w:val="20"/>
                                <w:szCs w:val="20"/>
                                <w:lang w:eastAsia="en-US"/>
                              </w:rPr>
                            </m:ctrlPr>
                          </m:sSubPr>
                          <m:e>
                            <m:r>
                              <w:rPr>
                                <w:rFonts w:ascii="Cambria Math" w:eastAsia="Calibri" w:hAnsi="Cambria Math"/>
                                <w:sz w:val="20"/>
                                <w:szCs w:val="20"/>
                                <w:lang w:eastAsia="en-US"/>
                              </w:rPr>
                              <m:t>w</m:t>
                            </m:r>
                          </m:e>
                          <m:sub>
                            <m:r>
                              <w:rPr>
                                <w:rFonts w:ascii="Cambria Math" w:eastAsia="Calibri" w:hAnsi="Cambria Math"/>
                                <w:sz w:val="20"/>
                                <w:szCs w:val="20"/>
                                <w:lang w:eastAsia="en-US"/>
                              </w:rPr>
                              <m:t>2</m:t>
                            </m:r>
                          </m:sub>
                        </m:sSub>
                      </m:e>
                    </m:d>
                    <m:r>
                      <w:rPr>
                        <w:rFonts w:ascii="Cambria Math" w:eastAsia="Calibri" w:hAnsi="Cambria Math"/>
                        <w:sz w:val="20"/>
                        <w:szCs w:val="20"/>
                        <w:lang w:eastAsia="en-US"/>
                      </w:rPr>
                      <m:t>-</m:t>
                    </m:r>
                    <m:sSub>
                      <m:sSubPr>
                        <m:ctrlPr>
                          <w:rPr>
                            <w:rFonts w:ascii="Cambria Math" w:eastAsia="Calibri" w:hAnsi="Cambria Math"/>
                            <w:i/>
                            <w:sz w:val="20"/>
                            <w:szCs w:val="20"/>
                            <w:lang w:eastAsia="en-US"/>
                          </w:rPr>
                        </m:ctrlPr>
                      </m:sSubPr>
                      <m:e>
                        <m:r>
                          <w:rPr>
                            <w:rFonts w:ascii="Cambria Math" w:eastAsia="Calibri" w:hAnsi="Cambria Math"/>
                            <w:sz w:val="20"/>
                            <w:szCs w:val="20"/>
                            <w:lang w:eastAsia="en-US"/>
                          </w:rPr>
                          <m:t>ρ</m:t>
                        </m:r>
                      </m:e>
                      <m:sub>
                        <m:r>
                          <w:rPr>
                            <w:rFonts w:ascii="Cambria Math" w:eastAsia="Calibri" w:hAnsi="Cambria Math"/>
                            <w:sz w:val="20"/>
                            <w:szCs w:val="20"/>
                            <w:lang w:eastAsia="en-US"/>
                          </w:rPr>
                          <m:t>w</m:t>
                        </m:r>
                      </m:sub>
                    </m:sSub>
                    <m:r>
                      <w:rPr>
                        <w:rFonts w:ascii="Cambria Math" w:eastAsia="Calibri" w:hAnsi="Cambria Math"/>
                        <w:sz w:val="20"/>
                        <w:szCs w:val="20"/>
                        <w:lang w:eastAsia="en-US"/>
                      </w:rPr>
                      <m:t>(</m:t>
                    </m:r>
                    <m:sSub>
                      <m:sSubPr>
                        <m:ctrlPr>
                          <w:rPr>
                            <w:rFonts w:ascii="Cambria Math" w:eastAsia="Calibri" w:hAnsi="Cambria Math"/>
                            <w:i/>
                            <w:sz w:val="20"/>
                            <w:szCs w:val="20"/>
                            <w:lang w:eastAsia="en-US"/>
                          </w:rPr>
                        </m:ctrlPr>
                      </m:sSubPr>
                      <m:e>
                        <m:r>
                          <w:rPr>
                            <w:rFonts w:ascii="Cambria Math" w:eastAsia="Calibri" w:hAnsi="Cambria Math"/>
                            <w:sz w:val="20"/>
                            <w:szCs w:val="20"/>
                            <w:lang w:eastAsia="en-US"/>
                          </w:rPr>
                          <m:t>w</m:t>
                        </m:r>
                      </m:e>
                      <m:sub>
                        <m:r>
                          <w:rPr>
                            <w:rFonts w:ascii="Cambria Math" w:eastAsia="Calibri" w:hAnsi="Cambria Math"/>
                            <w:sz w:val="20"/>
                            <w:szCs w:val="20"/>
                            <w:lang w:eastAsia="en-US"/>
                          </w:rPr>
                          <m:t>2</m:t>
                        </m:r>
                      </m:sub>
                    </m:sSub>
                    <m:r>
                      <w:rPr>
                        <w:rFonts w:ascii="Cambria Math" w:eastAsia="Calibri" w:hAnsi="Cambria Math"/>
                        <w:sz w:val="20"/>
                        <w:szCs w:val="20"/>
                        <w:lang w:eastAsia="en-US"/>
                      </w:rPr>
                      <m:t>)</m:t>
                    </m:r>
                  </m:den>
                </m:f>
              </m:oMath>
            </m:oMathPara>
          </w:p>
        </w:tc>
        <w:tc>
          <w:tcPr>
            <w:tcW w:w="584" w:type="dxa"/>
            <w:vAlign w:val="center"/>
          </w:tcPr>
          <w:p w14:paraId="53EB9EB9" w14:textId="430B6625" w:rsidR="00A1528E" w:rsidRPr="00C573F2" w:rsidRDefault="00EB0C5B" w:rsidP="00EB0C5B">
            <w:pPr>
              <w:jc w:val="right"/>
              <w:outlineLvl w:val="0"/>
              <w:rPr>
                <w:sz w:val="20"/>
                <w:szCs w:val="20"/>
              </w:rPr>
            </w:pPr>
            <w:r>
              <w:rPr>
                <w:rFonts w:eastAsia="Times New Roman"/>
                <w:sz w:val="20"/>
                <w:szCs w:val="20"/>
                <w:lang w:eastAsia="en-US"/>
              </w:rPr>
              <w:t xml:space="preserve">      </w:t>
            </w:r>
            <w:r w:rsidR="00A1528E" w:rsidRPr="00C573F2">
              <w:rPr>
                <w:rFonts w:eastAsia="Times New Roman"/>
                <w:sz w:val="20"/>
                <w:szCs w:val="20"/>
                <w:lang w:eastAsia="en-US"/>
              </w:rPr>
              <w:t>(</w:t>
            </w:r>
            <w:r w:rsidR="001941D9" w:rsidRPr="00C573F2">
              <w:rPr>
                <w:rFonts w:eastAsia="Times New Roman"/>
                <w:sz w:val="20"/>
                <w:szCs w:val="20"/>
                <w:lang w:eastAsia="en-US"/>
              </w:rPr>
              <w:t>1</w:t>
            </w:r>
            <w:r w:rsidR="00A1528E" w:rsidRPr="00C573F2">
              <w:rPr>
                <w:rFonts w:eastAsia="Times New Roman"/>
                <w:sz w:val="20"/>
                <w:szCs w:val="20"/>
                <w:lang w:eastAsia="en-US"/>
              </w:rPr>
              <w:t>)</w:t>
            </w:r>
          </w:p>
        </w:tc>
      </w:tr>
    </w:tbl>
    <w:p w14:paraId="37827BB2" w14:textId="77777777" w:rsidR="00A1528E" w:rsidRPr="00C573F2" w:rsidRDefault="00A1528E" w:rsidP="00C573F2">
      <w:pPr>
        <w:suppressAutoHyphens/>
        <w:adjustRightInd w:val="0"/>
        <w:ind w:firstLine="142"/>
        <w:jc w:val="both"/>
        <w:rPr>
          <w:rFonts w:eastAsia="Times New Roman"/>
          <w:sz w:val="20"/>
          <w:szCs w:val="20"/>
          <w:lang w:eastAsia="el-GR"/>
        </w:rPr>
      </w:pPr>
    </w:p>
    <w:p w14:paraId="23D03CA0" w14:textId="77777777" w:rsidR="00A1528E" w:rsidRPr="00C573F2" w:rsidRDefault="001941D9" w:rsidP="00C573F2">
      <w:pPr>
        <w:jc w:val="both"/>
        <w:outlineLvl w:val="0"/>
        <w:rPr>
          <w:sz w:val="20"/>
          <w:szCs w:val="20"/>
        </w:rPr>
      </w:pPr>
      <w:r w:rsidRPr="00C573F2">
        <w:rPr>
          <w:sz w:val="20"/>
          <w:szCs w:val="20"/>
        </w:rPr>
        <w:t>where</w:t>
      </w:r>
      <w:r w:rsidR="00A1528E" w:rsidRPr="00C573F2">
        <w:rPr>
          <w:sz w:val="20"/>
          <w:szCs w:val="20"/>
        </w:rPr>
        <w:t xml:space="preserve">, </w:t>
      </w:r>
      <w:r w:rsidR="00A1528E" w:rsidRPr="00C573F2">
        <w:rPr>
          <w:i/>
          <w:iCs/>
          <w:sz w:val="20"/>
          <w:szCs w:val="20"/>
        </w:rPr>
        <w:t>w</w:t>
      </w:r>
      <w:r w:rsidR="00A1528E" w:rsidRPr="00C573F2">
        <w:rPr>
          <w:i/>
          <w:iCs/>
          <w:sz w:val="20"/>
          <w:szCs w:val="20"/>
          <w:vertAlign w:val="subscript"/>
        </w:rPr>
        <w:t>1</w:t>
      </w:r>
      <w:r w:rsidR="00A1528E" w:rsidRPr="00C573F2">
        <w:rPr>
          <w:sz w:val="20"/>
          <w:szCs w:val="20"/>
          <w:vertAlign w:val="subscript"/>
        </w:rPr>
        <w:t xml:space="preserve"> </w:t>
      </w:r>
      <w:r w:rsidR="00A1528E" w:rsidRPr="00C573F2">
        <w:rPr>
          <w:sz w:val="20"/>
          <w:szCs w:val="20"/>
        </w:rPr>
        <w:t xml:space="preserve">and </w:t>
      </w:r>
      <w:r w:rsidR="00A1528E" w:rsidRPr="00C573F2">
        <w:rPr>
          <w:i/>
          <w:iCs/>
          <w:sz w:val="20"/>
          <w:szCs w:val="20"/>
        </w:rPr>
        <w:t>w</w:t>
      </w:r>
      <w:r w:rsidR="00A1528E" w:rsidRPr="00C573F2">
        <w:rPr>
          <w:i/>
          <w:iCs/>
          <w:sz w:val="20"/>
          <w:szCs w:val="20"/>
          <w:vertAlign w:val="subscript"/>
        </w:rPr>
        <w:t>2</w:t>
      </w:r>
      <w:r w:rsidR="00A1528E" w:rsidRPr="00C573F2">
        <w:rPr>
          <w:sz w:val="20"/>
          <w:szCs w:val="20"/>
        </w:rPr>
        <w:t xml:space="preserve"> are the weights of the wet and the dry membrane, respectively while ρw and ρp are density of the water and polymer solution, respectively. Based on the mentioned equation, the porosity εm can be described as a non-dimensional parameter and in most literature; it is written as a percentage concentrate (%).</w:t>
      </w:r>
    </w:p>
    <w:p w14:paraId="06B27B41" w14:textId="77777777" w:rsidR="00A1528E" w:rsidRPr="00C573F2" w:rsidRDefault="00A1528E" w:rsidP="00C573F2">
      <w:pPr>
        <w:jc w:val="both"/>
        <w:outlineLvl w:val="0"/>
        <w:rPr>
          <w:rFonts w:eastAsia="Times New Roman"/>
          <w:sz w:val="20"/>
          <w:szCs w:val="20"/>
          <w:lang w:eastAsia="el-GR"/>
        </w:rPr>
      </w:pPr>
    </w:p>
    <w:p w14:paraId="082F17C7" w14:textId="77777777" w:rsidR="00A1528E" w:rsidRPr="00C573F2" w:rsidRDefault="00A1528E" w:rsidP="00C573F2">
      <w:pPr>
        <w:suppressAutoHyphens/>
        <w:jc w:val="both"/>
        <w:rPr>
          <w:rFonts w:eastAsia="Times New Roman"/>
          <w:b/>
          <w:bCs/>
          <w:iCs/>
          <w:spacing w:val="-8"/>
          <w:sz w:val="20"/>
          <w:szCs w:val="20"/>
          <w:lang w:eastAsia="en-US"/>
        </w:rPr>
      </w:pPr>
      <w:bookmarkStart w:id="0" w:name="tableCaptions"/>
      <w:bookmarkEnd w:id="0"/>
      <w:r w:rsidRPr="00C573F2">
        <w:rPr>
          <w:rFonts w:eastAsia="Times New Roman"/>
          <w:b/>
          <w:bCs/>
          <w:iCs/>
          <w:spacing w:val="-8"/>
          <w:sz w:val="20"/>
          <w:szCs w:val="20"/>
          <w:lang w:eastAsia="en-US"/>
        </w:rPr>
        <w:t>Application of ANN</w:t>
      </w:r>
    </w:p>
    <w:p w14:paraId="11AFD263" w14:textId="4E9BAACB" w:rsidR="002C5B11" w:rsidRPr="00C573F2" w:rsidRDefault="00A1528E" w:rsidP="00C573F2">
      <w:pPr>
        <w:jc w:val="both"/>
        <w:outlineLvl w:val="0"/>
        <w:rPr>
          <w:sz w:val="20"/>
          <w:szCs w:val="20"/>
        </w:rPr>
      </w:pPr>
      <w:r w:rsidRPr="00C573F2">
        <w:rPr>
          <w:sz w:val="20"/>
          <w:szCs w:val="20"/>
        </w:rPr>
        <w:t xml:space="preserve">The objective of </w:t>
      </w:r>
      <w:r w:rsidR="009F3A47" w:rsidRPr="00C573F2">
        <w:rPr>
          <w:sz w:val="20"/>
          <w:szCs w:val="20"/>
        </w:rPr>
        <w:t>the</w:t>
      </w:r>
      <w:r w:rsidRPr="00C573F2">
        <w:rPr>
          <w:sz w:val="20"/>
          <w:szCs w:val="20"/>
        </w:rPr>
        <w:t xml:space="preserve"> neural network is to estimate the overall porosity values of HFMs by some internal calculations and weights</w:t>
      </w:r>
      <w:r w:rsidR="00561023" w:rsidRPr="00C573F2">
        <w:rPr>
          <w:sz w:val="20"/>
          <w:szCs w:val="20"/>
        </w:rPr>
        <w:t xml:space="preserve"> </w:t>
      </w:r>
      <w:r w:rsidR="00561023" w:rsidRPr="00C573F2">
        <w:rPr>
          <w:sz w:val="20"/>
          <w:szCs w:val="20"/>
        </w:rPr>
        <w:fldChar w:fldCharType="begin"/>
      </w:r>
      <w:r w:rsidR="00561023" w:rsidRPr="00C573F2">
        <w:rPr>
          <w:sz w:val="20"/>
          <w:szCs w:val="20"/>
        </w:rPr>
        <w:instrText xml:space="preserve"> ADDIN EN.CITE &lt;EndNote&gt;&lt;Cite&gt;&lt;Author&gt;Cartwright&lt;/Author&gt;&lt;Year&gt;2015&lt;/Year&gt;&lt;RecNum&gt;190&lt;/RecNum&gt;&lt;DisplayText&gt;[19]&lt;/DisplayText&gt;&lt;record&gt;&lt;rec-number&gt;190&lt;/rec-number&gt;&lt;foreign-keys&gt;&lt;key app="EN" db-id="2dz5xpdxnxt0skesrx5vassad0av9deaef5r" timestamp="1461489146"&gt;190&lt;/key&gt;&lt;/foreign-keys&gt;&lt;ref-type name="Book"&gt;6&lt;/ref-type&gt;&lt;contributors&gt;&lt;authors&gt;&lt;author&gt;Cartwright, Hugh&lt;/author&gt;&lt;/authors&gt;&lt;/contributors&gt;&lt;titles&gt;&lt;title&gt;Artificial neural networks&lt;/title&gt;&lt;/titles&gt;&lt;dates&gt;&lt;year&gt;2015&lt;/year&gt;&lt;/dates&gt;&lt;publisher&gt;Springer&lt;/publisher&gt;&lt;isbn&gt;1493922386&lt;/isbn&gt;&lt;urls&gt;&lt;/urls&gt;&lt;/record&gt;&lt;/Cite&gt;&lt;/EndNote&gt;</w:instrText>
      </w:r>
      <w:r w:rsidR="00561023" w:rsidRPr="00C573F2">
        <w:rPr>
          <w:sz w:val="20"/>
          <w:szCs w:val="20"/>
        </w:rPr>
        <w:fldChar w:fldCharType="separate"/>
      </w:r>
      <w:r w:rsidR="00561023" w:rsidRPr="00C573F2">
        <w:rPr>
          <w:sz w:val="20"/>
          <w:szCs w:val="20"/>
        </w:rPr>
        <w:t>[</w:t>
      </w:r>
      <w:hyperlink w:anchor="_ENREF_19" w:tooltip="Cartwright, 2015 #190" w:history="1">
        <w:r w:rsidR="003378CC" w:rsidRPr="00C573F2">
          <w:rPr>
            <w:sz w:val="20"/>
            <w:szCs w:val="20"/>
          </w:rPr>
          <w:t>19</w:t>
        </w:r>
      </w:hyperlink>
      <w:r w:rsidR="00561023" w:rsidRPr="00C573F2">
        <w:rPr>
          <w:sz w:val="20"/>
          <w:szCs w:val="20"/>
        </w:rPr>
        <w:t>]</w:t>
      </w:r>
      <w:r w:rsidR="00561023" w:rsidRPr="00C573F2">
        <w:rPr>
          <w:sz w:val="20"/>
          <w:szCs w:val="20"/>
        </w:rPr>
        <w:fldChar w:fldCharType="end"/>
      </w:r>
      <w:r w:rsidRPr="00C573F2">
        <w:rPr>
          <w:sz w:val="20"/>
          <w:szCs w:val="20"/>
        </w:rPr>
        <w:t>. Neurons (or cells) are processing elements that carry out simple computations from a vector of composition and dope extrusion flow rates</w:t>
      </w:r>
      <w:r w:rsidR="00561023" w:rsidRPr="00C573F2">
        <w:rPr>
          <w:sz w:val="20"/>
          <w:szCs w:val="20"/>
        </w:rPr>
        <w:t xml:space="preserve"> </w:t>
      </w:r>
      <w:r w:rsidR="00561023" w:rsidRPr="00C573F2">
        <w:rPr>
          <w:sz w:val="20"/>
          <w:szCs w:val="20"/>
        </w:rPr>
        <w:fldChar w:fldCharType="begin"/>
      </w:r>
      <w:r w:rsidR="00561023" w:rsidRPr="00C573F2">
        <w:rPr>
          <w:sz w:val="20"/>
          <w:szCs w:val="20"/>
        </w:rPr>
        <w:instrText xml:space="preserve"> ADDIN EN.CITE &lt;EndNote&gt;&lt;Cite&gt;&lt;Author&gt;Cartwright&lt;/Author&gt;&lt;Year&gt;2015&lt;/Year&gt;&lt;RecNum&gt;190&lt;/RecNum&gt;&lt;DisplayText&gt;[19]&lt;/DisplayText&gt;&lt;record&gt;&lt;rec-number&gt;190&lt;/rec-number&gt;&lt;foreign-keys&gt;&lt;key app="EN" db-id="2dz5xpdxnxt0skesrx5vassad0av9deaef5r" timestamp="1461489146"&gt;190&lt;/key&gt;&lt;/foreign-keys&gt;&lt;ref-type name="Book"&gt;6&lt;/ref-type&gt;&lt;contributors&gt;&lt;authors&gt;&lt;author&gt;Cartwright, Hugh&lt;/author&gt;&lt;/authors&gt;&lt;/contributors&gt;&lt;titles&gt;&lt;title&gt;Artificial neural networks&lt;/title&gt;&lt;/titles&gt;&lt;dates&gt;&lt;year&gt;2015&lt;/year&gt;&lt;/dates&gt;&lt;publisher&gt;Springer&lt;/publisher&gt;&lt;isbn&gt;1493922386&lt;/isbn&gt;&lt;urls&gt;&lt;/urls&gt;&lt;/record&gt;&lt;/Cite&gt;&lt;/EndNote&gt;</w:instrText>
      </w:r>
      <w:r w:rsidR="00561023" w:rsidRPr="00C573F2">
        <w:rPr>
          <w:sz w:val="20"/>
          <w:szCs w:val="20"/>
        </w:rPr>
        <w:fldChar w:fldCharType="separate"/>
      </w:r>
      <w:r w:rsidR="00561023" w:rsidRPr="00C573F2">
        <w:rPr>
          <w:sz w:val="20"/>
          <w:szCs w:val="20"/>
        </w:rPr>
        <w:t>[</w:t>
      </w:r>
      <w:hyperlink w:anchor="_ENREF_19" w:tooltip="Cartwright, 2015 #190" w:history="1">
        <w:r w:rsidR="003378CC" w:rsidRPr="00C573F2">
          <w:rPr>
            <w:sz w:val="20"/>
            <w:szCs w:val="20"/>
          </w:rPr>
          <w:t>19</w:t>
        </w:r>
      </w:hyperlink>
      <w:r w:rsidR="00561023" w:rsidRPr="00C573F2">
        <w:rPr>
          <w:sz w:val="20"/>
          <w:szCs w:val="20"/>
        </w:rPr>
        <w:t>]</w:t>
      </w:r>
      <w:r w:rsidR="00561023" w:rsidRPr="00C573F2">
        <w:rPr>
          <w:sz w:val="20"/>
          <w:szCs w:val="20"/>
        </w:rPr>
        <w:fldChar w:fldCharType="end"/>
      </w:r>
      <w:r w:rsidRPr="00C573F2">
        <w:rPr>
          <w:sz w:val="20"/>
          <w:szCs w:val="20"/>
        </w:rPr>
        <w:t xml:space="preserve">. A neuron performs a non-linear transformation of the weighted sum of the incoming neuron inputs to produce the output of the neuron. Generally, the ANNs based on networks are classified into three groups including feedforward (FFNN), feedback (FBNN) and recurrent (RNN). The feedforward network is the commonly used with high accuracy </w:t>
      </w:r>
      <w:r w:rsidR="00E02049" w:rsidRPr="00C573F2">
        <w:rPr>
          <w:sz w:val="20"/>
          <w:szCs w:val="20"/>
        </w:rPr>
        <w:t>and the lowest error in comparison</w:t>
      </w:r>
      <w:r w:rsidRPr="00C573F2">
        <w:rPr>
          <w:sz w:val="20"/>
          <w:szCs w:val="20"/>
        </w:rPr>
        <w:t xml:space="preserve"> with others</w:t>
      </w:r>
      <w:r w:rsidR="00372264" w:rsidRPr="00C573F2">
        <w:rPr>
          <w:sz w:val="20"/>
          <w:szCs w:val="20"/>
        </w:rPr>
        <w:t xml:space="preserve"> </w:t>
      </w:r>
      <w:r w:rsidR="00372264" w:rsidRPr="00C573F2">
        <w:rPr>
          <w:sz w:val="20"/>
          <w:szCs w:val="20"/>
        </w:rPr>
        <w:fldChar w:fldCharType="begin"/>
      </w:r>
      <w:r w:rsidR="00561023" w:rsidRPr="00C573F2">
        <w:rPr>
          <w:sz w:val="20"/>
          <w:szCs w:val="20"/>
        </w:rPr>
        <w:instrText xml:space="preserve"> ADDIN EN.CITE &lt;EndNote&gt;&lt;Cite&gt;&lt;Author&gt;Karayiannis&lt;/Author&gt;&lt;Year&gt;2013&lt;/Year&gt;&lt;RecNum&gt;212&lt;/RecNum&gt;&lt;DisplayText&gt;[20]&lt;/DisplayText&gt;&lt;record&gt;&lt;rec-number&gt;212&lt;/rec-number&gt;&lt;foreign-keys&gt;&lt;key app="EN" db-id="2dz5xpdxnxt0skesrx5vassad0av9deaef5r" timestamp="1461832511"&gt;212&lt;/key&gt;&lt;/foreign-keys&gt;&lt;ref-type name="Book"&gt;6&lt;/ref-type&gt;&lt;contributors&gt;&lt;authors&gt;&lt;author&gt;Karayiannis, Nicolaos&lt;/author&gt;&lt;author&gt;Venetsanopoulos, Anastasios N&lt;/author&gt;&lt;/authors&gt;&lt;/contributors&gt;&lt;titles&gt;&lt;title&gt;Artificial neural networks: learning algorithms, performance evaluation, and applications&lt;/title&gt;&lt;/titles&gt;&lt;volume&gt;209&lt;/volume&gt;&lt;dates&gt;&lt;year&gt;2013&lt;/year&gt;&lt;/dates&gt;&lt;publisher&gt;Springer Science &amp;amp; Business Media&lt;/publisher&gt;&lt;isbn&gt;1475745478&lt;/isbn&gt;&lt;urls&gt;&lt;/urls&gt;&lt;/record&gt;&lt;/Cite&gt;&lt;/EndNote&gt;</w:instrText>
      </w:r>
      <w:r w:rsidR="00372264" w:rsidRPr="00C573F2">
        <w:rPr>
          <w:sz w:val="20"/>
          <w:szCs w:val="20"/>
        </w:rPr>
        <w:fldChar w:fldCharType="separate"/>
      </w:r>
      <w:r w:rsidR="00561023" w:rsidRPr="00C573F2">
        <w:rPr>
          <w:sz w:val="20"/>
          <w:szCs w:val="20"/>
        </w:rPr>
        <w:t>[</w:t>
      </w:r>
      <w:hyperlink w:anchor="_ENREF_20" w:tooltip="Karayiannis, 2013 #212" w:history="1">
        <w:r w:rsidR="003378CC" w:rsidRPr="00C573F2">
          <w:rPr>
            <w:sz w:val="20"/>
            <w:szCs w:val="20"/>
          </w:rPr>
          <w:t>20</w:t>
        </w:r>
      </w:hyperlink>
      <w:r w:rsidR="00561023" w:rsidRPr="00C573F2">
        <w:rPr>
          <w:sz w:val="20"/>
          <w:szCs w:val="20"/>
        </w:rPr>
        <w:t>]</w:t>
      </w:r>
      <w:r w:rsidR="00372264" w:rsidRPr="00C573F2">
        <w:rPr>
          <w:sz w:val="20"/>
          <w:szCs w:val="20"/>
        </w:rPr>
        <w:fldChar w:fldCharType="end"/>
      </w:r>
      <w:r w:rsidRPr="00C573F2">
        <w:rPr>
          <w:sz w:val="20"/>
          <w:szCs w:val="20"/>
        </w:rPr>
        <w:t xml:space="preserve">. </w:t>
      </w:r>
      <w:r w:rsidR="003378CC" w:rsidRPr="00C573F2">
        <w:rPr>
          <w:sz w:val="20"/>
          <w:szCs w:val="20"/>
        </w:rPr>
        <w:t xml:space="preserve">At present, and to the best of our knowledge, no study has yet been done on the application of </w:t>
      </w:r>
      <w:r w:rsidR="00507A9F" w:rsidRPr="00C573F2">
        <w:rPr>
          <w:sz w:val="20"/>
          <w:szCs w:val="20"/>
        </w:rPr>
        <w:t>A</w:t>
      </w:r>
      <w:r w:rsidR="003378CC" w:rsidRPr="00C573F2">
        <w:rPr>
          <w:sz w:val="20"/>
          <w:szCs w:val="20"/>
        </w:rPr>
        <w:t xml:space="preserve">NN and MRAC to produce the HFMs with the desired overall porosity. Therefore, </w:t>
      </w:r>
      <w:r w:rsidR="002F1637" w:rsidRPr="00C573F2">
        <w:rPr>
          <w:sz w:val="20"/>
          <w:szCs w:val="20"/>
        </w:rPr>
        <w:t xml:space="preserve">using ANN and MRAC to predict and control the HFM overall porosity is a novel approach and </w:t>
      </w:r>
      <w:r w:rsidR="003378CC" w:rsidRPr="00C573F2">
        <w:rPr>
          <w:sz w:val="20"/>
          <w:szCs w:val="20"/>
        </w:rPr>
        <w:t>some publications</w:t>
      </w:r>
      <w:r w:rsidR="002F1637" w:rsidRPr="00C573F2">
        <w:rPr>
          <w:sz w:val="20"/>
          <w:szCs w:val="20"/>
        </w:rPr>
        <w:t xml:space="preserve"> which</w:t>
      </w:r>
      <w:r w:rsidR="003378CC" w:rsidRPr="00C573F2">
        <w:rPr>
          <w:sz w:val="20"/>
          <w:szCs w:val="20"/>
        </w:rPr>
        <w:t xml:space="preserve"> are</w:t>
      </w:r>
      <w:r w:rsidR="002F1637" w:rsidRPr="00C573F2">
        <w:rPr>
          <w:sz w:val="20"/>
          <w:szCs w:val="20"/>
        </w:rPr>
        <w:t xml:space="preserve"> related to other aspect of membranes</w:t>
      </w:r>
      <w:r w:rsidR="003378CC" w:rsidRPr="00C573F2">
        <w:rPr>
          <w:sz w:val="20"/>
          <w:szCs w:val="20"/>
        </w:rPr>
        <w:t xml:space="preserve"> replaced </w:t>
      </w:r>
      <w:r w:rsidR="00507A9F" w:rsidRPr="00C573F2">
        <w:rPr>
          <w:sz w:val="20"/>
          <w:szCs w:val="20"/>
        </w:rPr>
        <w:t>as literature. F</w:t>
      </w:r>
      <w:r w:rsidR="003378CC" w:rsidRPr="00C573F2">
        <w:rPr>
          <w:sz w:val="20"/>
          <w:szCs w:val="20"/>
        </w:rPr>
        <w:t xml:space="preserve">or example, </w:t>
      </w:r>
      <w:hyperlink w:anchor="_ENREF_21" w:tooltip="Tardast, 2014 #308" w:history="1">
        <w:r w:rsidR="003378CC" w:rsidRPr="00C573F2">
          <w:rPr>
            <w:sz w:val="20"/>
            <w:szCs w:val="20"/>
          </w:rPr>
          <w:fldChar w:fldCharType="begin"/>
        </w:r>
        <w:r w:rsidR="003378CC" w:rsidRPr="00C573F2">
          <w:rPr>
            <w:sz w:val="20"/>
            <w:szCs w:val="20"/>
          </w:rPr>
          <w:instrText xml:space="preserve"> ADDIN EN.CITE &lt;EndNote&gt;&lt;Cite AuthorYear="1"&gt;&lt;Author&gt;Tardast&lt;/Author&gt;&lt;Year&gt;2014&lt;/Year&gt;&lt;RecNum&gt;308&lt;/RecNum&gt;&lt;DisplayText&gt;Tardast, et al. [21]&lt;/DisplayText&gt;&lt;record&gt;&lt;rec-number&gt;308&lt;/rec-number&gt;&lt;foreign-keys&gt;&lt;key app="EN" db-id="2dz5xpdxnxt0skesrx5vassad0av9deaef5r" timestamp="1474814852"&gt;308&lt;/key&gt;&lt;/foreign-keys&gt;&lt;ref-type name="Journal Article"&gt;17&lt;/ref-type&gt;&lt;contributors&gt;&lt;authors&gt;&lt;author&gt;Tardast, Ali&lt;/author&gt;&lt;author&gt;Rahimnejad, Mostafa&lt;/author&gt;&lt;author&gt;Najafpour, Ghasem&lt;/author&gt;&lt;author&gt;Ghoreyshi, Ali&lt;/author&gt;&lt;author&gt;Premier, Giuliano C&lt;/author&gt;&lt;author&gt;Bakeri, Gholamreza&lt;/author&gt;&lt;author&gt;Oh, Sang-Eun&lt;/author&gt;&lt;/authors&gt;&lt;/contributors&gt;&lt;titles&gt;&lt;title&gt;Use of artificial neural network for the prediction of bioelectricity production in a membrane less microbial fuel cell&lt;/title&gt;&lt;secondary-title&gt;Fuel&lt;/secondary-title&gt;&lt;/titles&gt;&lt;periodical&gt;&lt;full-title&gt;Fuel&lt;/full-title&gt;&lt;/periodical&gt;&lt;pages&gt;697-703&lt;/pages&gt;&lt;volume&gt;117&lt;/volume&gt;&lt;dates&gt;&lt;year&gt;2014&lt;/year&gt;&lt;/dates&gt;&lt;isbn&gt;0016-2361&lt;/isbn&gt;&lt;urls&gt;&lt;/urls&gt;&lt;/record&gt;&lt;/Cite&gt;&lt;/EndNote&gt;</w:instrText>
        </w:r>
        <w:r w:rsidR="003378CC" w:rsidRPr="00C573F2">
          <w:rPr>
            <w:sz w:val="20"/>
            <w:szCs w:val="20"/>
          </w:rPr>
          <w:fldChar w:fldCharType="separate"/>
        </w:r>
        <w:r w:rsidR="00EB0C5B">
          <w:rPr>
            <w:sz w:val="20"/>
            <w:szCs w:val="20"/>
          </w:rPr>
          <w:t>Tardast</w:t>
        </w:r>
        <w:r w:rsidR="003378CC" w:rsidRPr="00C573F2">
          <w:rPr>
            <w:sz w:val="20"/>
            <w:szCs w:val="20"/>
          </w:rPr>
          <w:t xml:space="preserve"> et al. [21]</w:t>
        </w:r>
        <w:r w:rsidR="003378CC" w:rsidRPr="00C573F2">
          <w:rPr>
            <w:sz w:val="20"/>
            <w:szCs w:val="20"/>
          </w:rPr>
          <w:fldChar w:fldCharType="end"/>
        </w:r>
      </w:hyperlink>
      <w:r w:rsidR="003378CC" w:rsidRPr="00C573F2">
        <w:rPr>
          <w:sz w:val="20"/>
          <w:szCs w:val="20"/>
        </w:rPr>
        <w:t xml:space="preserve"> used </w:t>
      </w:r>
      <w:r w:rsidR="00507A9F" w:rsidRPr="00C573F2">
        <w:rPr>
          <w:sz w:val="20"/>
          <w:szCs w:val="20"/>
        </w:rPr>
        <w:t>A</w:t>
      </w:r>
      <w:r w:rsidR="003378CC" w:rsidRPr="00C573F2">
        <w:rPr>
          <w:sz w:val="20"/>
          <w:szCs w:val="20"/>
        </w:rPr>
        <w:t>NN to predict the of bioelectricity production in a me</w:t>
      </w:r>
      <w:r w:rsidR="00EB0C5B">
        <w:rPr>
          <w:sz w:val="20"/>
          <w:szCs w:val="20"/>
        </w:rPr>
        <w:t>mbrane less microbial fuel cell.</w:t>
      </w:r>
      <w:r w:rsidR="003378CC" w:rsidRPr="00C573F2">
        <w:rPr>
          <w:sz w:val="20"/>
          <w:szCs w:val="20"/>
        </w:rPr>
        <w:t xml:space="preserve"> </w:t>
      </w:r>
      <w:hyperlink w:anchor="_ENREF_22" w:tooltip="Mirbagheri, 2015 #310" w:history="1">
        <w:r w:rsidR="003378CC" w:rsidRPr="00C573F2">
          <w:rPr>
            <w:sz w:val="20"/>
            <w:szCs w:val="20"/>
          </w:rPr>
          <w:fldChar w:fldCharType="begin"/>
        </w:r>
        <w:r w:rsidR="003378CC" w:rsidRPr="00C573F2">
          <w:rPr>
            <w:sz w:val="20"/>
            <w:szCs w:val="20"/>
          </w:rPr>
          <w:instrText xml:space="preserve"> ADDIN EN.CITE &lt;EndNote&gt;&lt;Cite AuthorYear="1"&gt;&lt;Author&gt;Mirbagheri&lt;/Author&gt;&lt;Year&gt;2015&lt;/Year&gt;&lt;RecNum&gt;310&lt;/RecNum&gt;&lt;DisplayText&gt;Mirbagheri, et al. [22]&lt;/DisplayText&gt;&lt;record&gt;&lt;rec-number&gt;310&lt;/rec-number&gt;&lt;foreign-keys&gt;&lt;key app="EN" db-id="2dz5xpdxnxt0skesrx5vassad0av9deaef5r" timestamp="1474815500"&gt;310&lt;/key&gt;&lt;/foreign-keys&gt;&lt;ref-type name="Journal Article"&gt;17&lt;/ref-type&gt;&lt;contributors&gt;&lt;authors&gt;&lt;author&gt;Mirbagheri, Seyed Ahmad&lt;/author&gt;&lt;author&gt;Bagheri, Majid&lt;/author&gt;&lt;author&gt;Bagheri, Zahra&lt;/author&gt;&lt;author&gt;Kamarkhani, Ali Morad&lt;/author&gt;&lt;/authors&gt;&lt;/contributors&gt;&lt;titles&gt;&lt;title&gt;Evaluation and prediction of membrane fouling in a submerged membrane bioreactor with simultaneous upward and downward aeration using artificial neural network-genetic algorithm&lt;/title&gt;&lt;secondary-title&gt;Process Safety and Environmental Protection&lt;/secondary-title&gt;&lt;/titles&gt;&lt;periodical&gt;&lt;full-title&gt;Process Safety and Environmental Protection&lt;/full-title&gt;&lt;/periodical&gt;&lt;pages&gt;111-124&lt;/pages&gt;&lt;volume&gt;96&lt;/volume&gt;&lt;dates&gt;&lt;year&gt;2015&lt;/year&gt;&lt;/dates&gt;&lt;isbn&gt;0957-5820&lt;/isbn&gt;&lt;urls&gt;&lt;/urls&gt;&lt;/record&gt;&lt;/Cite&gt;&lt;/EndNote&gt;</w:instrText>
        </w:r>
        <w:r w:rsidR="003378CC" w:rsidRPr="00C573F2">
          <w:rPr>
            <w:sz w:val="20"/>
            <w:szCs w:val="20"/>
          </w:rPr>
          <w:fldChar w:fldCharType="separate"/>
        </w:r>
        <w:r w:rsidR="00EB0C5B">
          <w:rPr>
            <w:sz w:val="20"/>
            <w:szCs w:val="20"/>
          </w:rPr>
          <w:t>Mirbagheri</w:t>
        </w:r>
        <w:r w:rsidR="003378CC" w:rsidRPr="00C573F2">
          <w:rPr>
            <w:sz w:val="20"/>
            <w:szCs w:val="20"/>
          </w:rPr>
          <w:t xml:space="preserve"> et al. [22]</w:t>
        </w:r>
        <w:r w:rsidR="003378CC" w:rsidRPr="00C573F2">
          <w:rPr>
            <w:sz w:val="20"/>
            <w:szCs w:val="20"/>
          </w:rPr>
          <w:fldChar w:fldCharType="end"/>
        </w:r>
      </w:hyperlink>
      <w:r w:rsidR="003378CC" w:rsidRPr="00C573F2">
        <w:rPr>
          <w:sz w:val="20"/>
          <w:szCs w:val="20"/>
        </w:rPr>
        <w:t xml:space="preserve"> studied about the evaluation and prediction of membrane fouling and </w:t>
      </w:r>
      <w:hyperlink w:anchor="_ENREF_23" w:tooltip="Basile, 2015 #309" w:history="1">
        <w:r w:rsidR="003378CC" w:rsidRPr="00C573F2">
          <w:rPr>
            <w:sz w:val="20"/>
            <w:szCs w:val="20"/>
          </w:rPr>
          <w:fldChar w:fldCharType="begin"/>
        </w:r>
        <w:r w:rsidR="003378CC" w:rsidRPr="00C573F2">
          <w:rPr>
            <w:sz w:val="20"/>
            <w:szCs w:val="20"/>
          </w:rPr>
          <w:instrText xml:space="preserve"> ADDIN EN.CITE &lt;EndNote&gt;&lt;Cite AuthorYear="1"&gt;&lt;Author&gt;Basile&lt;/Author&gt;&lt;Year&gt;2015&lt;/Year&gt;&lt;RecNum&gt;309&lt;/RecNum&gt;&lt;DisplayText&gt;Basile, et al. [23]&lt;/DisplayText&gt;&lt;record&gt;&lt;rec-number&gt;309&lt;/rec-number&gt;&lt;foreign-keys&gt;&lt;key app="EN" db-id="2dz5xpdxnxt0skesrx5vassad0av9deaef5r" timestamp="1474815274"&gt;309&lt;/key&gt;&lt;/foreign-keys&gt;&lt;ref-type name="Journal Article"&gt;17&lt;/ref-type&gt;&lt;contributors&gt;&lt;authors&gt;&lt;author&gt;Basile, Angelo&lt;/author&gt;&lt;author&gt;Curcio, Stefano&lt;/author&gt;&lt;author&gt;Bagnato, Giuseppe&lt;/author&gt;&lt;author&gt;Liguori, Simona&lt;/author&gt;&lt;author&gt;Jokar, SM&lt;/author&gt;&lt;author&gt;Iulianelli, Adolfo&lt;/author&gt;&lt;/authors&gt;&lt;/contributors&gt;&lt;titles&gt;&lt;title&gt;Water gas shift reaction in membrane reactors: Theoretical investigation by artificial neural networks model and experimental validation&lt;/title&gt;&lt;secondary-title&gt;International Journal of Hydrogen Energy&lt;/secondary-title&gt;&lt;/titles&gt;&lt;periodical&gt;&lt;full-title&gt;International Journal of Hydrogen Energy&lt;/full-title&gt;&lt;/periodical&gt;&lt;pages&gt;5897-5906&lt;/pages&gt;&lt;volume&gt;40&lt;/volume&gt;&lt;number&gt;17&lt;/number&gt;&lt;dates&gt;&lt;year&gt;2015&lt;/year&gt;&lt;/dates&gt;&lt;isbn&gt;0360-3199&lt;/isbn&gt;&lt;urls&gt;&lt;/urls&gt;&lt;/record&gt;&lt;/Cite&gt;&lt;/EndNote&gt;</w:instrText>
        </w:r>
        <w:r w:rsidR="003378CC" w:rsidRPr="00C573F2">
          <w:rPr>
            <w:sz w:val="20"/>
            <w:szCs w:val="20"/>
          </w:rPr>
          <w:fldChar w:fldCharType="separate"/>
        </w:r>
        <w:r w:rsidR="00EB0C5B">
          <w:rPr>
            <w:sz w:val="20"/>
            <w:szCs w:val="20"/>
          </w:rPr>
          <w:t>Basile</w:t>
        </w:r>
        <w:r w:rsidR="003378CC" w:rsidRPr="00C573F2">
          <w:rPr>
            <w:sz w:val="20"/>
            <w:szCs w:val="20"/>
          </w:rPr>
          <w:t xml:space="preserve"> et al. [23]</w:t>
        </w:r>
        <w:r w:rsidR="003378CC" w:rsidRPr="00C573F2">
          <w:rPr>
            <w:sz w:val="20"/>
            <w:szCs w:val="20"/>
          </w:rPr>
          <w:fldChar w:fldCharType="end"/>
        </w:r>
      </w:hyperlink>
      <w:r w:rsidR="003378CC" w:rsidRPr="00C573F2">
        <w:rPr>
          <w:sz w:val="20"/>
          <w:szCs w:val="20"/>
        </w:rPr>
        <w:t xml:space="preserve"> investigated theoretically </w:t>
      </w:r>
      <w:r w:rsidR="00EB0C5B" w:rsidRPr="00C573F2">
        <w:rPr>
          <w:sz w:val="20"/>
          <w:szCs w:val="20"/>
        </w:rPr>
        <w:t>modelling</w:t>
      </w:r>
      <w:r w:rsidR="003378CC" w:rsidRPr="00C573F2">
        <w:rPr>
          <w:sz w:val="20"/>
          <w:szCs w:val="20"/>
        </w:rPr>
        <w:t xml:space="preserve"> using NN and experimental validation. </w:t>
      </w:r>
      <w:r w:rsidRPr="00C573F2">
        <w:rPr>
          <w:sz w:val="20"/>
          <w:szCs w:val="20"/>
        </w:rPr>
        <w:t xml:space="preserve">The model was trained, taking into account the obtained overall porosity of membranes differing in polymer concentration and dope extrusion flow rates. </w:t>
      </w:r>
      <w:r w:rsidR="00561023" w:rsidRPr="00C573F2">
        <w:rPr>
          <w:sz w:val="20"/>
          <w:szCs w:val="20"/>
        </w:rPr>
        <w:t>In this study</w:t>
      </w:r>
      <w:r w:rsidR="00E02049" w:rsidRPr="00C573F2">
        <w:rPr>
          <w:sz w:val="20"/>
          <w:szCs w:val="20"/>
        </w:rPr>
        <w:t>,</w:t>
      </w:r>
      <w:r w:rsidRPr="00C573F2">
        <w:rPr>
          <w:sz w:val="20"/>
          <w:szCs w:val="20"/>
        </w:rPr>
        <w:t xml:space="preserve"> 75% </w:t>
      </w:r>
      <w:r w:rsidR="00E02049" w:rsidRPr="00C573F2">
        <w:rPr>
          <w:sz w:val="20"/>
          <w:szCs w:val="20"/>
        </w:rPr>
        <w:t xml:space="preserve">of the obtained data </w:t>
      </w:r>
      <w:r w:rsidRPr="00C573F2">
        <w:rPr>
          <w:sz w:val="20"/>
          <w:szCs w:val="20"/>
        </w:rPr>
        <w:t>was used as the training data, 15% as testing data and the rest w</w:t>
      </w:r>
      <w:r w:rsidR="001941D9" w:rsidRPr="00C573F2">
        <w:rPr>
          <w:sz w:val="20"/>
          <w:szCs w:val="20"/>
        </w:rPr>
        <w:t>as utilized as validation data.</w:t>
      </w:r>
    </w:p>
    <w:p w14:paraId="2126D012" w14:textId="77777777" w:rsidR="001941D9" w:rsidRPr="00C573F2" w:rsidRDefault="001941D9" w:rsidP="00C573F2">
      <w:pPr>
        <w:jc w:val="both"/>
        <w:outlineLvl w:val="0"/>
        <w:rPr>
          <w:rFonts w:eastAsia="Times New Roman"/>
          <w:sz w:val="20"/>
          <w:szCs w:val="20"/>
          <w:lang w:eastAsia="en-US"/>
        </w:rPr>
      </w:pPr>
    </w:p>
    <w:p w14:paraId="69090D8A" w14:textId="7FDFE4DD" w:rsidR="002C5B11" w:rsidRPr="00C573F2" w:rsidRDefault="002C5B11" w:rsidP="00C573F2">
      <w:pPr>
        <w:suppressAutoHyphens/>
        <w:jc w:val="both"/>
        <w:rPr>
          <w:rFonts w:eastAsia="Times New Roman"/>
          <w:b/>
          <w:bCs/>
          <w:iCs/>
          <w:spacing w:val="-8"/>
          <w:sz w:val="20"/>
          <w:szCs w:val="20"/>
          <w:lang w:eastAsia="en-US"/>
        </w:rPr>
      </w:pPr>
      <w:r w:rsidRPr="00C573F2">
        <w:rPr>
          <w:rFonts w:eastAsia="Times New Roman"/>
          <w:b/>
          <w:bCs/>
          <w:iCs/>
          <w:spacing w:val="-8"/>
          <w:sz w:val="20"/>
          <w:szCs w:val="20"/>
          <w:lang w:eastAsia="en-US"/>
        </w:rPr>
        <w:t xml:space="preserve">Model </w:t>
      </w:r>
      <w:r w:rsidR="00A34128">
        <w:rPr>
          <w:rFonts w:eastAsia="Times New Roman"/>
          <w:b/>
          <w:bCs/>
          <w:iCs/>
          <w:spacing w:val="-8"/>
          <w:sz w:val="20"/>
          <w:szCs w:val="20"/>
          <w:lang w:eastAsia="en-US"/>
        </w:rPr>
        <w:t>r</w:t>
      </w:r>
      <w:r w:rsidRPr="00C573F2">
        <w:rPr>
          <w:rFonts w:eastAsia="Times New Roman"/>
          <w:b/>
          <w:bCs/>
          <w:iCs/>
          <w:spacing w:val="-8"/>
          <w:sz w:val="20"/>
          <w:szCs w:val="20"/>
          <w:lang w:eastAsia="en-US"/>
        </w:rPr>
        <w:t xml:space="preserve">eference </w:t>
      </w:r>
      <w:r w:rsidR="00A34128">
        <w:rPr>
          <w:rFonts w:eastAsia="Times New Roman"/>
          <w:b/>
          <w:bCs/>
          <w:iCs/>
          <w:spacing w:val="-8"/>
          <w:sz w:val="20"/>
          <w:szCs w:val="20"/>
          <w:lang w:eastAsia="en-US"/>
        </w:rPr>
        <w:t>a</w:t>
      </w:r>
      <w:r w:rsidRPr="00C573F2">
        <w:rPr>
          <w:rFonts w:eastAsia="Times New Roman"/>
          <w:b/>
          <w:bCs/>
          <w:iCs/>
          <w:spacing w:val="-8"/>
          <w:sz w:val="20"/>
          <w:szCs w:val="20"/>
          <w:lang w:eastAsia="en-US"/>
        </w:rPr>
        <w:t xml:space="preserve">daptive </w:t>
      </w:r>
      <w:r w:rsidR="00A34128">
        <w:rPr>
          <w:rFonts w:eastAsia="Times New Roman"/>
          <w:b/>
          <w:bCs/>
          <w:iCs/>
          <w:spacing w:val="-8"/>
          <w:sz w:val="20"/>
          <w:szCs w:val="20"/>
          <w:lang w:eastAsia="en-US"/>
        </w:rPr>
        <w:t>c</w:t>
      </w:r>
      <w:r w:rsidRPr="00C573F2">
        <w:rPr>
          <w:rFonts w:eastAsia="Times New Roman"/>
          <w:b/>
          <w:bCs/>
          <w:iCs/>
          <w:spacing w:val="-8"/>
          <w:sz w:val="20"/>
          <w:szCs w:val="20"/>
          <w:lang w:eastAsia="en-US"/>
        </w:rPr>
        <w:t>ontrol</w:t>
      </w:r>
    </w:p>
    <w:p w14:paraId="1B596085" w14:textId="77777777" w:rsidR="00753A06" w:rsidRPr="00C573F2" w:rsidRDefault="002C5B11" w:rsidP="00C573F2">
      <w:pPr>
        <w:jc w:val="both"/>
        <w:outlineLvl w:val="0"/>
        <w:rPr>
          <w:sz w:val="20"/>
          <w:szCs w:val="20"/>
        </w:rPr>
      </w:pPr>
      <w:r w:rsidRPr="00C573F2">
        <w:rPr>
          <w:sz w:val="20"/>
          <w:szCs w:val="20"/>
        </w:rPr>
        <w:t>The MRAC technique comes under the non-dual adaptive control category that the system performance is described by a proper reference model. It has two interconnected loops; first is the regulator or inner loop involving the ANN model for HFM manufacturing system and adjustment mechanism while the second is the adaptation or outer loop, which regulates the adjustment mechanism parameters with minimizing the error</w:t>
      </w:r>
      <w:r w:rsidR="001941D9" w:rsidRPr="00C573F2">
        <w:rPr>
          <w:sz w:val="20"/>
          <w:szCs w:val="20"/>
        </w:rPr>
        <w:t>. It is obtained from the difference among the outputs of the reference model and real plant</w:t>
      </w:r>
      <w:r w:rsidR="00F013E5" w:rsidRPr="00C573F2">
        <w:rPr>
          <w:sz w:val="20"/>
          <w:szCs w:val="20"/>
        </w:rPr>
        <w:t>.</w:t>
      </w:r>
    </w:p>
    <w:p w14:paraId="4ED88BAF" w14:textId="77777777" w:rsidR="00753A06" w:rsidRPr="00C573F2" w:rsidRDefault="00753A06" w:rsidP="00C573F2">
      <w:pPr>
        <w:jc w:val="both"/>
        <w:outlineLvl w:val="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8"/>
        <w:gridCol w:w="584"/>
      </w:tblGrid>
      <w:tr w:rsidR="00753A06" w:rsidRPr="00C573F2" w14:paraId="3778B755" w14:textId="77777777" w:rsidTr="007B05F5">
        <w:tc>
          <w:tcPr>
            <w:tcW w:w="8658" w:type="dxa"/>
            <w:vAlign w:val="center"/>
          </w:tcPr>
          <w:p w14:paraId="64738958" w14:textId="27960A0F" w:rsidR="00753A06" w:rsidRPr="00EB0C5B" w:rsidRDefault="00EB0C5B" w:rsidP="00C573F2">
            <w:pPr>
              <w:jc w:val="both"/>
              <w:outlineLvl w:val="0"/>
              <w:rPr>
                <w:sz w:val="20"/>
                <w:szCs w:val="20"/>
              </w:rPr>
            </w:pPr>
            <m:oMathPara>
              <m:oMathParaPr>
                <m:jc m:val="left"/>
              </m:oMathParaPr>
              <m:oMath>
                <m:r>
                  <w:rPr>
                    <w:rFonts w:ascii="Cambria Math" w:eastAsia="Calibri" w:hAnsi="Cambria Math"/>
                    <w:sz w:val="20"/>
                    <w:szCs w:val="20"/>
                    <w:lang w:eastAsia="en-US"/>
                  </w:rPr>
                  <m:t xml:space="preserve">             </m:t>
                </m:r>
                <m:r>
                  <w:rPr>
                    <w:rFonts w:ascii="Cambria Math" w:eastAsia="Calibri" w:hAnsi="Cambria Math"/>
                    <w:sz w:val="20"/>
                    <w:szCs w:val="20"/>
                    <w:lang w:eastAsia="en-US"/>
                  </w:rPr>
                  <m:t>e=y-</m:t>
                </m:r>
                <m:sSub>
                  <m:sSubPr>
                    <m:ctrlPr>
                      <w:rPr>
                        <w:rFonts w:ascii="Cambria Math" w:eastAsia="Times New Roman" w:hAnsi="Cambria Math"/>
                        <w:i/>
                        <w:sz w:val="20"/>
                        <w:szCs w:val="20"/>
                        <w:lang w:eastAsia="en-US"/>
                      </w:rPr>
                    </m:ctrlPr>
                  </m:sSubPr>
                  <m:e>
                    <m:r>
                      <w:rPr>
                        <w:rFonts w:ascii="Cambria Math" w:eastAsia="Calibri" w:hAnsi="Cambria Math"/>
                        <w:sz w:val="20"/>
                        <w:szCs w:val="20"/>
                        <w:lang w:eastAsia="en-US"/>
                      </w:rPr>
                      <m:t>y</m:t>
                    </m:r>
                  </m:e>
                  <m:sub>
                    <m:r>
                      <w:rPr>
                        <w:rFonts w:ascii="Cambria Math" w:eastAsia="Calibri" w:hAnsi="Cambria Math"/>
                        <w:sz w:val="20"/>
                        <w:szCs w:val="20"/>
                        <w:lang w:eastAsia="en-US"/>
                      </w:rPr>
                      <m:t>m</m:t>
                    </m:r>
                  </m:sub>
                </m:sSub>
              </m:oMath>
            </m:oMathPara>
          </w:p>
        </w:tc>
        <w:tc>
          <w:tcPr>
            <w:tcW w:w="584" w:type="dxa"/>
            <w:vAlign w:val="center"/>
          </w:tcPr>
          <w:p w14:paraId="3F68EDD4" w14:textId="77777777" w:rsidR="00753A06" w:rsidRPr="00C573F2" w:rsidRDefault="00753A06" w:rsidP="00C573F2">
            <w:pPr>
              <w:jc w:val="both"/>
              <w:outlineLvl w:val="0"/>
              <w:rPr>
                <w:sz w:val="20"/>
                <w:szCs w:val="20"/>
              </w:rPr>
            </w:pPr>
            <w:r w:rsidRPr="00C573F2">
              <w:rPr>
                <w:rFonts w:eastAsia="Times New Roman"/>
                <w:sz w:val="20"/>
                <w:szCs w:val="20"/>
                <w:lang w:eastAsia="en-US"/>
              </w:rPr>
              <w:t>(2)</w:t>
            </w:r>
          </w:p>
        </w:tc>
      </w:tr>
    </w:tbl>
    <w:p w14:paraId="2D1DFF23" w14:textId="77777777" w:rsidR="00753A06" w:rsidRPr="00C573F2" w:rsidRDefault="00753A06" w:rsidP="00C573F2">
      <w:pPr>
        <w:jc w:val="both"/>
        <w:outlineLvl w:val="0"/>
        <w:rPr>
          <w:rFonts w:eastAsia="Times New Roman"/>
          <w:sz w:val="20"/>
          <w:szCs w:val="20"/>
          <w:lang w:eastAsia="en-US"/>
        </w:rPr>
      </w:pPr>
    </w:p>
    <w:p w14:paraId="72D1B196" w14:textId="77777777" w:rsidR="002C5B11" w:rsidRDefault="002C5B11" w:rsidP="00C573F2">
      <w:pPr>
        <w:jc w:val="both"/>
        <w:outlineLvl w:val="0"/>
        <w:rPr>
          <w:sz w:val="20"/>
          <w:szCs w:val="20"/>
        </w:rPr>
      </w:pPr>
      <w:r w:rsidRPr="00C573F2">
        <w:rPr>
          <w:sz w:val="20"/>
          <w:szCs w:val="20"/>
        </w:rPr>
        <w:t xml:space="preserve">The HFM manufacturing system as HFM manufacturing system was considered as the plant to develop the MRAC. </w:t>
      </w:r>
      <w:r w:rsidR="00F013E5" w:rsidRPr="00C573F2">
        <w:rPr>
          <w:sz w:val="20"/>
          <w:szCs w:val="20"/>
        </w:rPr>
        <w:t>The</w:t>
      </w:r>
      <w:r w:rsidRPr="00C573F2">
        <w:rPr>
          <w:sz w:val="20"/>
          <w:szCs w:val="20"/>
        </w:rPr>
        <w:t xml:space="preserve"> polymer concentration and dope extrusion flow rate were selected as the input variables as well as the HFM overall porosity was considered as output variable. The selected input-output variables were used to identify the HFM manufacturing system. The developed ANN model for HFM manufacturing system was used as plant model in designing the MRAC. It should be mentioned that the ANN model for HFM manufacturing system has two inputs, namely, the polymer concentration and dope extrusion flow rate. It means that in order to produce the HFMs with the desired overall porosity, the mentioned inputs should be changed during the membrane fabrication process.</w:t>
      </w:r>
      <w:r w:rsidR="00726543" w:rsidRPr="00C573F2">
        <w:rPr>
          <w:sz w:val="20"/>
          <w:szCs w:val="20"/>
        </w:rPr>
        <w:t xml:space="preserve"> Therefore, the proposed approach helps membrane researchers to control the HFMs overall porosity during fabricate process and produce the HFMs with the desired overall without drying and any experiments.</w:t>
      </w:r>
      <w:r w:rsidRPr="00C573F2">
        <w:rPr>
          <w:sz w:val="20"/>
          <w:szCs w:val="20"/>
        </w:rPr>
        <w:t xml:space="preserve"> Since the concentration of the polymer inside the dope solution cannot be changed easily and simultaneously, it was predicted using the ANN as shown in Figure </w:t>
      </w:r>
      <w:r w:rsidR="00CD4500" w:rsidRPr="00C573F2">
        <w:rPr>
          <w:sz w:val="20"/>
          <w:szCs w:val="20"/>
        </w:rPr>
        <w:t>2</w:t>
      </w:r>
      <w:r w:rsidRPr="00C573F2">
        <w:rPr>
          <w:sz w:val="20"/>
          <w:szCs w:val="20"/>
        </w:rPr>
        <w:t>.</w:t>
      </w:r>
      <w:r w:rsidR="00507A9F" w:rsidRPr="00C573F2">
        <w:rPr>
          <w:sz w:val="20"/>
          <w:szCs w:val="20"/>
        </w:rPr>
        <w:t xml:space="preserve"> In fact, the obtained data </w:t>
      </w:r>
      <w:r w:rsidR="002F1637" w:rsidRPr="00C573F2">
        <w:rPr>
          <w:sz w:val="20"/>
          <w:szCs w:val="20"/>
        </w:rPr>
        <w:t xml:space="preserve">from the membrane characterization </w:t>
      </w:r>
      <w:r w:rsidR="00507A9F" w:rsidRPr="00C573F2">
        <w:rPr>
          <w:sz w:val="20"/>
          <w:szCs w:val="20"/>
        </w:rPr>
        <w:t xml:space="preserve">was again used to train the other ANN in which membrane overall porosity was </w:t>
      </w:r>
      <w:r w:rsidR="002F1637" w:rsidRPr="00C573F2">
        <w:rPr>
          <w:sz w:val="20"/>
          <w:szCs w:val="20"/>
        </w:rPr>
        <w:t xml:space="preserve">used </w:t>
      </w:r>
      <w:r w:rsidR="00507A9F" w:rsidRPr="00C573F2">
        <w:rPr>
          <w:sz w:val="20"/>
          <w:szCs w:val="20"/>
        </w:rPr>
        <w:t xml:space="preserve">as input layer data and dope extrusion flow rate calculated </w:t>
      </w:r>
      <w:r w:rsidR="002F1637" w:rsidRPr="00C573F2">
        <w:rPr>
          <w:sz w:val="20"/>
          <w:szCs w:val="20"/>
        </w:rPr>
        <w:t>by the ANN.</w:t>
      </w:r>
    </w:p>
    <w:p w14:paraId="420CA3C3" w14:textId="77777777" w:rsidR="00EB0C5B" w:rsidRPr="00C573F2" w:rsidRDefault="00EB0C5B" w:rsidP="00C573F2">
      <w:pPr>
        <w:jc w:val="both"/>
        <w:outlineLvl w:val="0"/>
        <w:rPr>
          <w:sz w:val="20"/>
          <w:szCs w:val="20"/>
        </w:rPr>
      </w:pPr>
    </w:p>
    <w:p w14:paraId="7196B975" w14:textId="77777777" w:rsidR="00372264" w:rsidRPr="00C573F2" w:rsidRDefault="00372264" w:rsidP="00C573F2">
      <w:pPr>
        <w:jc w:val="both"/>
        <w:outlineLvl w:val="0"/>
        <w:rPr>
          <w:rFonts w:eastAsia="Times New Roman"/>
          <w:sz w:val="20"/>
          <w:szCs w:val="20"/>
          <w:lang w:eastAsia="en-US"/>
        </w:rPr>
      </w:pPr>
    </w:p>
    <w:p w14:paraId="3E55A1FC" w14:textId="77777777" w:rsidR="002C5B11" w:rsidRPr="00C573F2" w:rsidRDefault="002C5B11" w:rsidP="004819EC">
      <w:pPr>
        <w:keepNext/>
        <w:spacing w:afterLines="100" w:after="240"/>
        <w:jc w:val="center"/>
        <w:rPr>
          <w:rFonts w:eastAsia="Calibri" w:cs="Calibri"/>
          <w:noProof/>
          <w:sz w:val="20"/>
          <w:szCs w:val="20"/>
          <w:lang w:eastAsia="en-US"/>
        </w:rPr>
      </w:pPr>
      <w:r w:rsidRPr="00C573F2">
        <w:rPr>
          <w:rFonts w:eastAsia="Calibri" w:cs="Calibri"/>
          <w:noProof/>
          <w:sz w:val="20"/>
          <w:szCs w:val="20"/>
          <w:lang w:val="en-US" w:eastAsia="en-US"/>
        </w:rPr>
        <w:drawing>
          <wp:inline distT="0" distB="0" distL="0" distR="0" wp14:anchorId="206020CF" wp14:editId="22D7680A">
            <wp:extent cx="4305300" cy="1819275"/>
            <wp:effectExtent l="0" t="0" r="0" b="9525"/>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5300" cy="1819275"/>
                    </a:xfrm>
                    <a:prstGeom prst="rect">
                      <a:avLst/>
                    </a:prstGeom>
                    <a:noFill/>
                    <a:ln>
                      <a:noFill/>
                    </a:ln>
                  </pic:spPr>
                </pic:pic>
              </a:graphicData>
            </a:graphic>
          </wp:inline>
        </w:drawing>
      </w:r>
    </w:p>
    <w:p w14:paraId="76340A59" w14:textId="6BA52E7E" w:rsidR="002C5B11" w:rsidRPr="00C573F2" w:rsidRDefault="00E65F2A" w:rsidP="0043755F">
      <w:pPr>
        <w:jc w:val="center"/>
        <w:outlineLvl w:val="0"/>
        <w:rPr>
          <w:rFonts w:eastAsia="Times New Roman"/>
          <w:sz w:val="20"/>
          <w:szCs w:val="20"/>
          <w:lang w:eastAsia="en-US"/>
        </w:rPr>
      </w:pPr>
      <w:bookmarkStart w:id="1" w:name="_Toc457174342"/>
      <w:bookmarkStart w:id="2" w:name="_Toc457058933"/>
      <w:r w:rsidRPr="00C573F2">
        <w:rPr>
          <w:rFonts w:eastAsia="Times New Roman"/>
          <w:sz w:val="20"/>
          <w:szCs w:val="20"/>
          <w:lang w:eastAsia="en-US"/>
        </w:rPr>
        <w:t xml:space="preserve">Figure </w:t>
      </w:r>
      <w:r w:rsidR="00CD4500" w:rsidRPr="00C573F2">
        <w:rPr>
          <w:rFonts w:eastAsia="Times New Roman"/>
          <w:sz w:val="20"/>
          <w:szCs w:val="20"/>
          <w:lang w:eastAsia="en-US"/>
        </w:rPr>
        <w:t>2</w:t>
      </w:r>
      <w:r w:rsidR="00185B97">
        <w:rPr>
          <w:rFonts w:eastAsia="Times New Roman"/>
          <w:sz w:val="20"/>
          <w:szCs w:val="20"/>
          <w:lang w:eastAsia="en-US"/>
        </w:rPr>
        <w:t>.</w:t>
      </w:r>
      <w:r w:rsidR="002C5B11" w:rsidRPr="00C573F2">
        <w:rPr>
          <w:rFonts w:eastAsia="Times New Roman"/>
          <w:sz w:val="20"/>
          <w:szCs w:val="20"/>
          <w:lang w:eastAsia="en-US"/>
        </w:rPr>
        <w:t xml:space="preserve"> The MRAC using ANN model</w:t>
      </w:r>
      <w:bookmarkEnd w:id="1"/>
      <w:bookmarkEnd w:id="2"/>
    </w:p>
    <w:p w14:paraId="457DF550" w14:textId="77777777" w:rsidR="002C5B11" w:rsidRPr="00C573F2" w:rsidRDefault="002C5B11" w:rsidP="00C573F2">
      <w:pPr>
        <w:jc w:val="both"/>
        <w:outlineLvl w:val="0"/>
        <w:rPr>
          <w:rFonts w:eastAsia="Times New Roman"/>
          <w:sz w:val="20"/>
          <w:szCs w:val="20"/>
          <w:lang w:eastAsia="en-US"/>
        </w:rPr>
      </w:pPr>
    </w:p>
    <w:p w14:paraId="0C38D702" w14:textId="77777777" w:rsidR="002C5B11" w:rsidRPr="00C573F2" w:rsidRDefault="002C5B11" w:rsidP="00C573F2">
      <w:pPr>
        <w:jc w:val="both"/>
        <w:outlineLvl w:val="0"/>
        <w:rPr>
          <w:rFonts w:eastAsia="Times New Roman"/>
          <w:sz w:val="20"/>
          <w:szCs w:val="20"/>
          <w:lang w:eastAsia="en-US"/>
        </w:rPr>
      </w:pPr>
      <w:r w:rsidRPr="00C573F2">
        <w:rPr>
          <w:sz w:val="20"/>
          <w:szCs w:val="20"/>
        </w:rPr>
        <w:t xml:space="preserve">The parameter in the control law was adjusted using an adjustment mechanism. The control parameter was searched through an adaptation law until the error between the HFM manufacturing system and reference model responses was minimized. It was designed to guarantee the control system well stability as well as conversance of tracking error to zero. Furthermore, </w:t>
      </w:r>
      <w:r w:rsidR="001F5BAB" w:rsidRPr="00C573F2">
        <w:rPr>
          <w:sz w:val="20"/>
          <w:szCs w:val="20"/>
        </w:rPr>
        <w:t>two</w:t>
      </w:r>
      <w:r w:rsidRPr="00C573F2">
        <w:rPr>
          <w:sz w:val="20"/>
          <w:szCs w:val="20"/>
        </w:rPr>
        <w:t xml:space="preserve"> different mathematica</w:t>
      </w:r>
      <w:r w:rsidR="001F5BAB" w:rsidRPr="00C573F2">
        <w:rPr>
          <w:sz w:val="20"/>
          <w:szCs w:val="20"/>
        </w:rPr>
        <w:t>l techniques including MIT and</w:t>
      </w:r>
      <w:r w:rsidRPr="00C573F2">
        <w:rPr>
          <w:sz w:val="20"/>
          <w:szCs w:val="20"/>
        </w:rPr>
        <w:t xml:space="preserve"> normalized MIT rule</w:t>
      </w:r>
      <w:r w:rsidR="001F5BAB" w:rsidRPr="00C573F2">
        <w:rPr>
          <w:sz w:val="20"/>
          <w:szCs w:val="20"/>
        </w:rPr>
        <w:t>s</w:t>
      </w:r>
      <w:r w:rsidRPr="00C573F2">
        <w:rPr>
          <w:sz w:val="20"/>
          <w:szCs w:val="20"/>
        </w:rPr>
        <w:t xml:space="preserve"> were used to de</w:t>
      </w:r>
      <w:r w:rsidR="001F5BAB" w:rsidRPr="00C573F2">
        <w:rPr>
          <w:sz w:val="20"/>
          <w:szCs w:val="20"/>
        </w:rPr>
        <w:t>velop the adaptation mechanism</w:t>
      </w:r>
      <w:r w:rsidR="00372264" w:rsidRPr="00C573F2">
        <w:rPr>
          <w:sz w:val="20"/>
          <w:szCs w:val="20"/>
        </w:rPr>
        <w:t xml:space="preserve"> </w:t>
      </w:r>
      <w:r w:rsidR="00372264" w:rsidRPr="00C573F2">
        <w:rPr>
          <w:sz w:val="20"/>
          <w:szCs w:val="20"/>
        </w:rPr>
        <w:fldChar w:fldCharType="begin"/>
      </w:r>
      <w:r w:rsidR="003378CC" w:rsidRPr="00C573F2">
        <w:rPr>
          <w:sz w:val="20"/>
          <w:szCs w:val="20"/>
        </w:rPr>
        <w:instrText xml:space="preserve"> ADDIN EN.CITE &lt;EndNote&gt;&lt;Cite&gt;&lt;Author&gt;Ioannou&lt;/Author&gt;&lt;Year&gt;2012&lt;/Year&gt;&lt;RecNum&gt;146&lt;/RecNum&gt;&lt;DisplayText&gt;[24]&lt;/DisplayText&gt;&lt;record&gt;&lt;rec-number&gt;146&lt;/rec-number&gt;&lt;foreign-keys&gt;&lt;key app="EN" db-id="2dz5xpdxnxt0skesrx5vassad0av9deaef5r" timestamp="1460361780"&gt;146&lt;/key&gt;&lt;/foreign-keys&gt;&lt;ref-type name="Book"&gt;6&lt;/ref-type&gt;&lt;contributors&gt;&lt;authors&gt;&lt;author&gt;Ioannou, Petros A&lt;/author&gt;&lt;author&gt;Sun, Jing&lt;/author&gt;&lt;/authors&gt;&lt;/contributors&gt;&lt;titles&gt;&lt;title&gt;Robust adaptive control&lt;/title&gt;&lt;/titles&gt;&lt;dates&gt;&lt;year&gt;2012&lt;/year&gt;&lt;/dates&gt;&lt;publisher&gt;Courier Corporation&lt;/publisher&gt;&lt;isbn&gt;0486498174&lt;/isbn&gt;&lt;urls&gt;&lt;/urls&gt;&lt;/record&gt;&lt;/Cite&gt;&lt;/EndNote&gt;</w:instrText>
      </w:r>
      <w:r w:rsidR="00372264" w:rsidRPr="00C573F2">
        <w:rPr>
          <w:sz w:val="20"/>
          <w:szCs w:val="20"/>
        </w:rPr>
        <w:fldChar w:fldCharType="separate"/>
      </w:r>
      <w:r w:rsidR="003378CC" w:rsidRPr="00C573F2">
        <w:rPr>
          <w:noProof/>
          <w:sz w:val="20"/>
          <w:szCs w:val="20"/>
        </w:rPr>
        <w:t>[</w:t>
      </w:r>
      <w:hyperlink w:anchor="_ENREF_24" w:tooltip="Ioannou, 2012 #146" w:history="1">
        <w:r w:rsidR="003378CC" w:rsidRPr="00C573F2">
          <w:rPr>
            <w:noProof/>
            <w:sz w:val="20"/>
            <w:szCs w:val="20"/>
          </w:rPr>
          <w:t>24</w:t>
        </w:r>
      </w:hyperlink>
      <w:r w:rsidR="003378CC" w:rsidRPr="00C573F2">
        <w:rPr>
          <w:noProof/>
          <w:sz w:val="20"/>
          <w:szCs w:val="20"/>
        </w:rPr>
        <w:t>]</w:t>
      </w:r>
      <w:r w:rsidR="00372264" w:rsidRPr="00C573F2">
        <w:rPr>
          <w:sz w:val="20"/>
          <w:szCs w:val="20"/>
        </w:rPr>
        <w:fldChar w:fldCharType="end"/>
      </w:r>
      <w:r w:rsidR="00372264" w:rsidRPr="00C573F2">
        <w:rPr>
          <w:rFonts w:eastAsia="Times New Roman"/>
          <w:sz w:val="20"/>
          <w:szCs w:val="20"/>
          <w:lang w:eastAsia="en-US"/>
        </w:rPr>
        <w:t xml:space="preserve"> </w:t>
      </w:r>
      <w:r w:rsidR="001F5BAB" w:rsidRPr="00C573F2">
        <w:rPr>
          <w:rFonts w:eastAsia="Times New Roman"/>
          <w:sz w:val="20"/>
          <w:szCs w:val="20"/>
          <w:lang w:eastAsia="en-US"/>
        </w:rPr>
        <w:t>.</w:t>
      </w:r>
    </w:p>
    <w:p w14:paraId="7B9D0C23" w14:textId="77777777" w:rsidR="00E65F2A" w:rsidRPr="00C573F2" w:rsidRDefault="00E65F2A" w:rsidP="00C573F2">
      <w:pPr>
        <w:jc w:val="both"/>
        <w:outlineLvl w:val="0"/>
        <w:rPr>
          <w:rFonts w:eastAsia="Times New Roman"/>
          <w:sz w:val="20"/>
          <w:szCs w:val="20"/>
          <w:lang w:eastAsia="en-US"/>
        </w:rPr>
      </w:pPr>
    </w:p>
    <w:p w14:paraId="52E7A58E" w14:textId="2EA15F6A" w:rsidR="00E65F2A" w:rsidRPr="00C573F2" w:rsidRDefault="00E65F2A" w:rsidP="00C573F2">
      <w:pPr>
        <w:suppressAutoHyphens/>
        <w:jc w:val="both"/>
        <w:rPr>
          <w:rFonts w:eastAsia="Times New Roman"/>
          <w:b/>
          <w:bCs/>
          <w:iCs/>
          <w:spacing w:val="-8"/>
          <w:sz w:val="20"/>
          <w:szCs w:val="20"/>
          <w:lang w:eastAsia="en-US"/>
        </w:rPr>
      </w:pPr>
      <w:r w:rsidRPr="00C573F2">
        <w:rPr>
          <w:rFonts w:eastAsia="Times New Roman"/>
          <w:b/>
          <w:bCs/>
          <w:iCs/>
          <w:spacing w:val="-8"/>
          <w:sz w:val="20"/>
          <w:szCs w:val="20"/>
          <w:lang w:eastAsia="en-US"/>
        </w:rPr>
        <w:t xml:space="preserve">MIT </w:t>
      </w:r>
      <w:r w:rsidR="00A34128">
        <w:rPr>
          <w:rFonts w:eastAsia="Times New Roman"/>
          <w:b/>
          <w:bCs/>
          <w:iCs/>
          <w:spacing w:val="-8"/>
          <w:sz w:val="20"/>
          <w:szCs w:val="20"/>
          <w:lang w:eastAsia="en-US"/>
        </w:rPr>
        <w:t>r</w:t>
      </w:r>
      <w:r w:rsidRPr="00C573F2">
        <w:rPr>
          <w:rFonts w:eastAsia="Times New Roman"/>
          <w:b/>
          <w:bCs/>
          <w:iCs/>
          <w:spacing w:val="-8"/>
          <w:sz w:val="20"/>
          <w:szCs w:val="20"/>
          <w:lang w:eastAsia="en-US"/>
        </w:rPr>
        <w:t>ule</w:t>
      </w:r>
    </w:p>
    <w:p w14:paraId="1BC728C2" w14:textId="5D447FEF" w:rsidR="00E65F2A" w:rsidRPr="00C573F2" w:rsidRDefault="00E65F2A" w:rsidP="00C573F2">
      <w:pPr>
        <w:jc w:val="both"/>
        <w:outlineLvl w:val="0"/>
        <w:rPr>
          <w:sz w:val="20"/>
          <w:szCs w:val="20"/>
        </w:rPr>
      </w:pPr>
      <w:r w:rsidRPr="00C573F2">
        <w:rPr>
          <w:sz w:val="20"/>
          <w:szCs w:val="20"/>
        </w:rPr>
        <w:t>The MIT rule has been developed in Massachusetts Institute of Technology and was used to apply the MRAC approach to any practical system. In this rule, the cost function or loss function is defined as</w:t>
      </w:r>
      <w:r w:rsidR="00EB0C5B">
        <w:rPr>
          <w:sz w:val="20"/>
          <w:szCs w:val="20"/>
        </w:rPr>
        <w:t xml:space="preserve"> equation 3</w:t>
      </w:r>
      <w:r w:rsidRPr="00C573F2">
        <w:rPr>
          <w:sz w:val="20"/>
          <w:szCs w:val="20"/>
        </w:rPr>
        <w:t>:</w:t>
      </w:r>
    </w:p>
    <w:p w14:paraId="42734ABB" w14:textId="77777777" w:rsidR="00753A06" w:rsidRPr="00C573F2" w:rsidRDefault="00753A06" w:rsidP="00C573F2">
      <w:pPr>
        <w:jc w:val="both"/>
        <w:outlineLvl w:val="0"/>
        <w:rPr>
          <w:rFonts w:eastAsia="Times New Roman"/>
          <w:sz w:val="20"/>
          <w:szCs w:val="20"/>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8"/>
        <w:gridCol w:w="584"/>
      </w:tblGrid>
      <w:tr w:rsidR="00753A06" w:rsidRPr="00C573F2" w14:paraId="599EE8A5" w14:textId="77777777" w:rsidTr="007B05F5">
        <w:tc>
          <w:tcPr>
            <w:tcW w:w="8658" w:type="dxa"/>
            <w:vAlign w:val="center"/>
          </w:tcPr>
          <w:p w14:paraId="5C06C0DF" w14:textId="29D7F7A7" w:rsidR="00753A06" w:rsidRPr="00EB0C5B" w:rsidRDefault="00EB0C5B" w:rsidP="00C573F2">
            <w:pPr>
              <w:jc w:val="both"/>
              <w:outlineLvl w:val="0"/>
              <w:rPr>
                <w:sz w:val="20"/>
                <w:szCs w:val="20"/>
              </w:rPr>
            </w:pPr>
            <m:oMathPara>
              <m:oMathParaPr>
                <m:jc m:val="left"/>
              </m:oMathParaPr>
              <m:oMath>
                <m:r>
                  <w:rPr>
                    <w:rFonts w:ascii="Cambria Math" w:eastAsia="Calibri" w:hAnsi="Cambria Math"/>
                    <w:sz w:val="20"/>
                    <w:szCs w:val="20"/>
                    <w:lang w:eastAsia="en-US"/>
                  </w:rPr>
                  <m:t xml:space="preserve">              </m:t>
                </m:r>
                <m:r>
                  <w:rPr>
                    <w:rFonts w:ascii="Cambria Math" w:eastAsia="Calibri" w:hAnsi="Cambria Math"/>
                    <w:sz w:val="20"/>
                    <w:szCs w:val="20"/>
                    <w:lang w:eastAsia="en-US"/>
                  </w:rPr>
                  <m:t>f</m:t>
                </m:r>
                <m:d>
                  <m:dPr>
                    <m:ctrlPr>
                      <w:rPr>
                        <w:rFonts w:ascii="Cambria Math" w:eastAsia="Times New Roman" w:hAnsi="Cambria Math"/>
                        <w:i/>
                        <w:sz w:val="20"/>
                        <w:szCs w:val="20"/>
                        <w:lang w:eastAsia="en-US"/>
                      </w:rPr>
                    </m:ctrlPr>
                  </m:dPr>
                  <m:e>
                    <m:r>
                      <w:rPr>
                        <w:rFonts w:ascii="Cambria Math" w:eastAsia="Calibri" w:hAnsi="Cambria Math"/>
                        <w:sz w:val="20"/>
                        <w:szCs w:val="20"/>
                        <w:lang w:eastAsia="en-US"/>
                      </w:rPr>
                      <m:t>θ</m:t>
                    </m:r>
                  </m:e>
                </m:d>
                <m:r>
                  <w:rPr>
                    <w:rFonts w:ascii="Cambria Math" w:eastAsia="Calibri" w:hAnsi="Cambria Math"/>
                    <w:sz w:val="20"/>
                    <w:szCs w:val="20"/>
                    <w:lang w:eastAsia="en-US"/>
                  </w:rPr>
                  <m:t>=</m:t>
                </m:r>
                <m:sSup>
                  <m:sSupPr>
                    <m:ctrlPr>
                      <w:rPr>
                        <w:rFonts w:ascii="Cambria Math" w:eastAsia="Times New Roman" w:hAnsi="Cambria Math"/>
                        <w:i/>
                        <w:sz w:val="20"/>
                        <w:szCs w:val="20"/>
                        <w:lang w:eastAsia="en-US"/>
                      </w:rPr>
                    </m:ctrlPr>
                  </m:sSupPr>
                  <m:e>
                    <m:r>
                      <w:rPr>
                        <w:rFonts w:ascii="Cambria Math" w:eastAsia="Calibri" w:hAnsi="Cambria Math"/>
                        <w:sz w:val="20"/>
                        <w:szCs w:val="20"/>
                        <w:lang w:eastAsia="en-US"/>
                      </w:rPr>
                      <m:t>e</m:t>
                    </m:r>
                  </m:e>
                  <m:sup>
                    <m:r>
                      <w:rPr>
                        <w:rFonts w:ascii="Cambria Math" w:eastAsia="Calibri" w:hAnsi="Cambria Math"/>
                        <w:sz w:val="20"/>
                        <w:szCs w:val="20"/>
                        <w:lang w:eastAsia="en-US"/>
                      </w:rPr>
                      <m:t>2</m:t>
                    </m:r>
                  </m:sup>
                </m:sSup>
                <m:r>
                  <w:rPr>
                    <w:rFonts w:ascii="Cambria Math" w:eastAsia="Calibri" w:hAnsi="Cambria Math"/>
                    <w:sz w:val="20"/>
                    <w:szCs w:val="20"/>
                    <w:lang w:eastAsia="en-US"/>
                  </w:rPr>
                  <m:t>/</m:t>
                </m:r>
                <m:r>
                  <w:rPr>
                    <w:rFonts w:ascii="Cambria Math" w:eastAsia="Calibri" w:hAnsi="Cambria Math"/>
                    <w:sz w:val="20"/>
                    <w:szCs w:val="20"/>
                    <w:lang w:eastAsia="en-US"/>
                  </w:rPr>
                  <m:t>2</m:t>
                </m:r>
              </m:oMath>
            </m:oMathPara>
          </w:p>
        </w:tc>
        <w:tc>
          <w:tcPr>
            <w:tcW w:w="584" w:type="dxa"/>
            <w:vAlign w:val="center"/>
          </w:tcPr>
          <w:p w14:paraId="0A221C28" w14:textId="77777777" w:rsidR="00753A06" w:rsidRPr="00C573F2" w:rsidRDefault="00753A06" w:rsidP="00C573F2">
            <w:pPr>
              <w:jc w:val="both"/>
              <w:outlineLvl w:val="0"/>
              <w:rPr>
                <w:sz w:val="20"/>
                <w:szCs w:val="20"/>
              </w:rPr>
            </w:pPr>
            <w:r w:rsidRPr="00C573F2">
              <w:rPr>
                <w:rFonts w:eastAsia="Times New Roman"/>
                <w:sz w:val="20"/>
                <w:szCs w:val="20"/>
                <w:lang w:eastAsia="en-US"/>
              </w:rPr>
              <w:t>(3)</w:t>
            </w:r>
          </w:p>
        </w:tc>
      </w:tr>
    </w:tbl>
    <w:p w14:paraId="404FF209" w14:textId="77777777" w:rsidR="00753A06" w:rsidRPr="00C573F2" w:rsidRDefault="00753A06" w:rsidP="00C573F2">
      <w:pPr>
        <w:jc w:val="both"/>
        <w:outlineLvl w:val="0"/>
        <w:rPr>
          <w:rFonts w:eastAsia="Times New Roman"/>
          <w:sz w:val="20"/>
          <w:szCs w:val="20"/>
          <w:lang w:eastAsia="en-US"/>
        </w:rPr>
      </w:pPr>
    </w:p>
    <w:p w14:paraId="560512EB" w14:textId="72DD4659" w:rsidR="00E65F2A" w:rsidRPr="00C573F2" w:rsidRDefault="00E65F2A" w:rsidP="00C573F2">
      <w:pPr>
        <w:jc w:val="both"/>
        <w:outlineLvl w:val="0"/>
        <w:rPr>
          <w:rFonts w:eastAsia="Times New Roman"/>
          <w:sz w:val="20"/>
          <w:szCs w:val="20"/>
          <w:lang w:eastAsia="en-US"/>
        </w:rPr>
      </w:pPr>
      <w:r w:rsidRPr="00C573F2">
        <w:rPr>
          <w:sz w:val="20"/>
          <w:szCs w:val="20"/>
        </w:rPr>
        <w:t xml:space="preserve">where, </w:t>
      </w:r>
      <w:r w:rsidRPr="00C573F2">
        <w:rPr>
          <w:i/>
          <w:iCs/>
          <w:sz w:val="20"/>
          <w:szCs w:val="20"/>
        </w:rPr>
        <w:t>θ</w:t>
      </w:r>
      <w:r w:rsidRPr="00C573F2">
        <w:rPr>
          <w:sz w:val="20"/>
          <w:szCs w:val="20"/>
        </w:rPr>
        <w:t xml:space="preserve"> and e are the adjustable control parameter and the error between the reference model and HFM manu</w:t>
      </w:r>
      <w:r w:rsidR="00753A06" w:rsidRPr="00C573F2">
        <w:rPr>
          <w:sz w:val="20"/>
          <w:szCs w:val="20"/>
        </w:rPr>
        <w:t xml:space="preserve">facturing system respectively. </w:t>
      </w:r>
      <w:r w:rsidRPr="00C573F2">
        <w:rPr>
          <w:sz w:val="20"/>
          <w:szCs w:val="20"/>
        </w:rPr>
        <w:t xml:space="preserve">The control parameter </w:t>
      </w:r>
      <w:r w:rsidRPr="00C573F2">
        <w:rPr>
          <w:i/>
          <w:iCs/>
          <w:sz w:val="20"/>
          <w:szCs w:val="20"/>
        </w:rPr>
        <w:t xml:space="preserve">θ </w:t>
      </w:r>
      <w:r w:rsidRPr="00C573F2">
        <w:rPr>
          <w:sz w:val="20"/>
          <w:szCs w:val="20"/>
        </w:rPr>
        <w:t>in this rule was adjusted based on minimizing the selected cost function. To do this, the control parameter was chan</w:t>
      </w:r>
      <w:r w:rsidR="00EB0C5B">
        <w:rPr>
          <w:sz w:val="20"/>
          <w:szCs w:val="20"/>
        </w:rPr>
        <w:t xml:space="preserve">ged in the negative gradient of </w:t>
      </w:r>
      <w:r w:rsidRPr="00C573F2">
        <w:rPr>
          <w:i/>
          <w:iCs/>
          <w:sz w:val="20"/>
          <w:szCs w:val="20"/>
        </w:rPr>
        <w:t>f</w:t>
      </w:r>
      <w:r w:rsidR="00EB0C5B">
        <w:rPr>
          <w:sz w:val="20"/>
          <w:szCs w:val="20"/>
        </w:rPr>
        <w:t xml:space="preserve"> </w:t>
      </w:r>
      <w:r w:rsidRPr="00C573F2">
        <w:rPr>
          <w:sz w:val="20"/>
          <w:szCs w:val="20"/>
        </w:rPr>
        <w:t>direction, as follows</w:t>
      </w:r>
      <w:r w:rsidR="00EB0C5B">
        <w:rPr>
          <w:sz w:val="20"/>
          <w:szCs w:val="20"/>
        </w:rPr>
        <w:t xml:space="preserve"> (equation 4)</w:t>
      </w:r>
      <w:r w:rsidRPr="00C573F2">
        <w:rPr>
          <w:rFonts w:eastAsia="Times New Roman"/>
          <w:sz w:val="20"/>
          <w:szCs w:val="20"/>
          <w:lang w:eastAsia="en-US"/>
        </w:rPr>
        <w:t>:</w:t>
      </w:r>
    </w:p>
    <w:p w14:paraId="1BB39E6F" w14:textId="77777777" w:rsidR="00753A06" w:rsidRPr="00C573F2" w:rsidRDefault="00753A06" w:rsidP="00C573F2">
      <w:pPr>
        <w:jc w:val="both"/>
        <w:outlineLvl w:val="0"/>
        <w:rPr>
          <w:rFonts w:eastAsia="Times New Roman"/>
          <w:sz w:val="20"/>
          <w:szCs w:val="20"/>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8"/>
        <w:gridCol w:w="584"/>
      </w:tblGrid>
      <w:tr w:rsidR="00753A06" w:rsidRPr="00C573F2" w14:paraId="3544EC60" w14:textId="77777777" w:rsidTr="007B05F5">
        <w:tc>
          <w:tcPr>
            <w:tcW w:w="8658" w:type="dxa"/>
            <w:vAlign w:val="center"/>
          </w:tcPr>
          <w:p w14:paraId="54D1D2BA" w14:textId="5FA17A77" w:rsidR="00753A06" w:rsidRPr="00EB0C5B" w:rsidRDefault="00EB0C5B" w:rsidP="00C573F2">
            <w:pPr>
              <w:jc w:val="both"/>
              <w:outlineLvl w:val="0"/>
              <w:rPr>
                <w:sz w:val="20"/>
                <w:szCs w:val="20"/>
              </w:rPr>
            </w:pPr>
            <m:oMathPara>
              <m:oMathParaPr>
                <m:jc m:val="left"/>
              </m:oMathParaPr>
              <m:oMath>
                <m:r>
                  <w:rPr>
                    <w:rFonts w:ascii="Cambria Math" w:eastAsia="Times New Roman" w:hAnsi="Cambria Math"/>
                    <w:sz w:val="20"/>
                    <w:szCs w:val="20"/>
                    <w:lang w:eastAsia="en-US"/>
                  </w:rPr>
                  <m:t xml:space="preserve">             </m:t>
                </m:r>
                <m:f>
                  <m:fPr>
                    <m:ctrlPr>
                      <w:rPr>
                        <w:rFonts w:ascii="Cambria Math" w:eastAsia="Times New Roman" w:hAnsi="Cambria Math"/>
                        <w:i/>
                        <w:sz w:val="20"/>
                        <w:szCs w:val="20"/>
                        <w:lang w:eastAsia="en-US"/>
                      </w:rPr>
                    </m:ctrlPr>
                  </m:fPr>
                  <m:num>
                    <m:r>
                      <w:rPr>
                        <w:rFonts w:ascii="Cambria Math" w:eastAsia="Times New Roman" w:hAnsi="Cambria Math"/>
                        <w:sz w:val="20"/>
                        <w:szCs w:val="20"/>
                        <w:lang w:eastAsia="en-US"/>
                      </w:rPr>
                      <m:t>dθ</m:t>
                    </m:r>
                  </m:num>
                  <m:den>
                    <m:r>
                      <w:rPr>
                        <w:rFonts w:ascii="Cambria Math" w:eastAsia="Times New Roman" w:hAnsi="Cambria Math"/>
                        <w:sz w:val="20"/>
                        <w:szCs w:val="20"/>
                        <w:lang w:eastAsia="en-US"/>
                      </w:rPr>
                      <m:t>dt</m:t>
                    </m:r>
                  </m:den>
                </m:f>
                <m:r>
                  <w:rPr>
                    <w:rFonts w:ascii="Cambria Math" w:eastAsia="Times New Roman" w:hAnsi="Cambria Math"/>
                    <w:sz w:val="20"/>
                    <w:szCs w:val="20"/>
                    <w:lang w:eastAsia="en-US"/>
                  </w:rPr>
                  <m:t>=-γ</m:t>
                </m:r>
                <m:f>
                  <m:fPr>
                    <m:ctrlPr>
                      <w:rPr>
                        <w:rFonts w:ascii="Cambria Math" w:eastAsia="Times New Roman" w:hAnsi="Cambria Math"/>
                        <w:i/>
                        <w:sz w:val="20"/>
                        <w:szCs w:val="20"/>
                        <w:lang w:eastAsia="en-US"/>
                      </w:rPr>
                    </m:ctrlPr>
                  </m:fPr>
                  <m:num>
                    <m:r>
                      <w:rPr>
                        <w:rFonts w:ascii="Cambria Math" w:eastAsia="Times New Roman" w:hAnsi="Cambria Math"/>
                        <w:sz w:val="20"/>
                        <w:szCs w:val="20"/>
                        <w:lang w:eastAsia="en-US"/>
                      </w:rPr>
                      <m:t>∂f</m:t>
                    </m:r>
                  </m:num>
                  <m:den>
                    <m:r>
                      <w:rPr>
                        <w:rFonts w:ascii="Cambria Math" w:eastAsia="Times New Roman" w:hAnsi="Cambria Math"/>
                        <w:sz w:val="20"/>
                        <w:szCs w:val="20"/>
                        <w:lang w:eastAsia="en-US"/>
                      </w:rPr>
                      <m:t>∂θ</m:t>
                    </m:r>
                  </m:den>
                </m:f>
              </m:oMath>
            </m:oMathPara>
          </w:p>
        </w:tc>
        <w:tc>
          <w:tcPr>
            <w:tcW w:w="584" w:type="dxa"/>
            <w:vAlign w:val="center"/>
          </w:tcPr>
          <w:p w14:paraId="108E1193" w14:textId="77777777" w:rsidR="00753A06" w:rsidRPr="00C573F2" w:rsidRDefault="00753A06" w:rsidP="00C573F2">
            <w:pPr>
              <w:jc w:val="both"/>
              <w:outlineLvl w:val="0"/>
              <w:rPr>
                <w:sz w:val="20"/>
                <w:szCs w:val="20"/>
              </w:rPr>
            </w:pPr>
            <w:r w:rsidRPr="00C573F2">
              <w:rPr>
                <w:rFonts w:eastAsia="Times New Roman"/>
                <w:sz w:val="20"/>
                <w:szCs w:val="20"/>
                <w:lang w:eastAsia="en-US"/>
              </w:rPr>
              <w:t>(4)</w:t>
            </w:r>
          </w:p>
        </w:tc>
      </w:tr>
    </w:tbl>
    <w:p w14:paraId="302CECA7" w14:textId="77777777" w:rsidR="00753A06" w:rsidRPr="00C573F2" w:rsidRDefault="00753A06" w:rsidP="00C573F2">
      <w:pPr>
        <w:jc w:val="both"/>
        <w:outlineLvl w:val="0"/>
        <w:rPr>
          <w:rFonts w:eastAsia="Times New Roman"/>
          <w:sz w:val="20"/>
          <w:szCs w:val="20"/>
          <w:lang w:eastAsia="en-US"/>
        </w:rPr>
      </w:pPr>
    </w:p>
    <w:p w14:paraId="467F8AF9" w14:textId="77777777" w:rsidR="00E65F2A" w:rsidRPr="00C573F2" w:rsidRDefault="00E65F2A" w:rsidP="00C573F2">
      <w:pPr>
        <w:jc w:val="both"/>
        <w:outlineLvl w:val="0"/>
        <w:rPr>
          <w:rFonts w:eastAsia="Times New Roman"/>
          <w:sz w:val="20"/>
          <w:szCs w:val="20"/>
          <w:lang w:eastAsia="en-US"/>
        </w:rPr>
      </w:pPr>
      <w:r w:rsidRPr="00C573F2">
        <w:rPr>
          <w:rFonts w:eastAsia="Times New Roman"/>
          <w:sz w:val="20"/>
          <w:szCs w:val="20"/>
          <w:lang w:eastAsia="en-US"/>
        </w:rPr>
        <w:t>Substituting Eq. (</w:t>
      </w:r>
      <w:r w:rsidR="00753A06" w:rsidRPr="00C573F2">
        <w:rPr>
          <w:rFonts w:eastAsia="Times New Roman"/>
          <w:sz w:val="20"/>
          <w:szCs w:val="20"/>
          <w:lang w:eastAsia="en-US"/>
        </w:rPr>
        <w:t>3</w:t>
      </w:r>
      <w:r w:rsidRPr="00C573F2">
        <w:rPr>
          <w:rFonts w:eastAsia="Times New Roman"/>
          <w:sz w:val="20"/>
          <w:szCs w:val="20"/>
          <w:lang w:eastAsia="en-US"/>
        </w:rPr>
        <w:t>) in Eq. (</w:t>
      </w:r>
      <w:r w:rsidR="00753A06" w:rsidRPr="00C573F2">
        <w:rPr>
          <w:rFonts w:eastAsia="Times New Roman"/>
          <w:sz w:val="20"/>
          <w:szCs w:val="20"/>
          <w:lang w:eastAsia="en-US"/>
        </w:rPr>
        <w:t>4</w:t>
      </w:r>
      <w:r w:rsidRPr="00C573F2">
        <w:rPr>
          <w:rFonts w:eastAsia="Times New Roman"/>
          <w:sz w:val="20"/>
          <w:szCs w:val="20"/>
          <w:lang w:eastAsia="en-US"/>
        </w:rPr>
        <w:t>):</w:t>
      </w:r>
    </w:p>
    <w:p w14:paraId="2603572A" w14:textId="77777777" w:rsidR="00753A06" w:rsidRPr="00C573F2" w:rsidRDefault="00753A06" w:rsidP="00C573F2">
      <w:pPr>
        <w:jc w:val="both"/>
        <w:outlineLvl w:val="0"/>
        <w:rPr>
          <w:rFonts w:eastAsia="Times New Roman"/>
          <w:sz w:val="20"/>
          <w:szCs w:val="20"/>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8"/>
        <w:gridCol w:w="584"/>
      </w:tblGrid>
      <w:tr w:rsidR="00753A06" w:rsidRPr="00C573F2" w14:paraId="78B6867C" w14:textId="77777777" w:rsidTr="007B05F5">
        <w:tc>
          <w:tcPr>
            <w:tcW w:w="8658" w:type="dxa"/>
            <w:vAlign w:val="center"/>
          </w:tcPr>
          <w:p w14:paraId="69339E87" w14:textId="77777777" w:rsidR="00753A06" w:rsidRPr="00C573F2" w:rsidRDefault="00EB0C5B" w:rsidP="00C573F2">
            <w:pPr>
              <w:jc w:val="both"/>
              <w:outlineLvl w:val="0"/>
              <w:rPr>
                <w:sz w:val="20"/>
                <w:szCs w:val="20"/>
              </w:rPr>
            </w:pPr>
            <m:oMathPara>
              <m:oMath>
                <m:f>
                  <m:fPr>
                    <m:ctrlPr>
                      <w:rPr>
                        <w:rFonts w:ascii="Cambria Math" w:eastAsia="Times New Roman" w:hAnsi="Cambria Math"/>
                        <w:i/>
                        <w:sz w:val="20"/>
                        <w:szCs w:val="20"/>
                        <w:lang w:eastAsia="en-US"/>
                      </w:rPr>
                    </m:ctrlPr>
                  </m:fPr>
                  <m:num>
                    <m:r>
                      <w:rPr>
                        <w:rFonts w:ascii="Cambria Math" w:eastAsia="Times New Roman" w:hAnsi="Cambria Math"/>
                        <w:sz w:val="20"/>
                        <w:szCs w:val="20"/>
                        <w:lang w:eastAsia="en-US"/>
                      </w:rPr>
                      <m:t>dθ</m:t>
                    </m:r>
                  </m:num>
                  <m:den>
                    <m:r>
                      <w:rPr>
                        <w:rFonts w:ascii="Cambria Math" w:eastAsia="Times New Roman" w:hAnsi="Cambria Math"/>
                        <w:sz w:val="20"/>
                        <w:szCs w:val="20"/>
                        <w:lang w:eastAsia="en-US"/>
                      </w:rPr>
                      <m:t>dt</m:t>
                    </m:r>
                  </m:den>
                </m:f>
                <m:r>
                  <w:rPr>
                    <w:rFonts w:ascii="Cambria Math" w:eastAsia="Times New Roman" w:hAnsi="Cambria Math"/>
                    <w:sz w:val="20"/>
                    <w:szCs w:val="20"/>
                    <w:lang w:eastAsia="en-US"/>
                  </w:rPr>
                  <m:t>=-γe</m:t>
                </m:r>
                <m:f>
                  <m:fPr>
                    <m:ctrlPr>
                      <w:rPr>
                        <w:rFonts w:ascii="Cambria Math" w:eastAsia="Times New Roman" w:hAnsi="Cambria Math"/>
                        <w:i/>
                        <w:sz w:val="20"/>
                        <w:szCs w:val="20"/>
                        <w:lang w:eastAsia="en-US"/>
                      </w:rPr>
                    </m:ctrlPr>
                  </m:fPr>
                  <m:num>
                    <m:r>
                      <w:rPr>
                        <w:rFonts w:ascii="Cambria Math" w:eastAsia="Times New Roman" w:hAnsi="Cambria Math"/>
                        <w:sz w:val="20"/>
                        <w:szCs w:val="20"/>
                        <w:lang w:eastAsia="en-US"/>
                      </w:rPr>
                      <m:t>∂e</m:t>
                    </m:r>
                  </m:num>
                  <m:den>
                    <m:r>
                      <w:rPr>
                        <w:rFonts w:ascii="Cambria Math" w:eastAsia="Times New Roman" w:hAnsi="Cambria Math"/>
                        <w:sz w:val="20"/>
                        <w:szCs w:val="20"/>
                        <w:lang w:eastAsia="en-US"/>
                      </w:rPr>
                      <m:t>∂θ</m:t>
                    </m:r>
                  </m:den>
                </m:f>
              </m:oMath>
            </m:oMathPara>
          </w:p>
        </w:tc>
        <w:tc>
          <w:tcPr>
            <w:tcW w:w="584" w:type="dxa"/>
            <w:vAlign w:val="center"/>
          </w:tcPr>
          <w:p w14:paraId="7C558AB0" w14:textId="77777777" w:rsidR="00753A06" w:rsidRPr="00C573F2" w:rsidRDefault="00753A06" w:rsidP="00C573F2">
            <w:pPr>
              <w:jc w:val="both"/>
              <w:outlineLvl w:val="0"/>
              <w:rPr>
                <w:sz w:val="20"/>
                <w:szCs w:val="20"/>
              </w:rPr>
            </w:pPr>
            <w:r w:rsidRPr="00C573F2">
              <w:rPr>
                <w:rFonts w:eastAsia="Times New Roman"/>
                <w:sz w:val="20"/>
                <w:szCs w:val="20"/>
                <w:lang w:eastAsia="en-US"/>
              </w:rPr>
              <w:t>(5)</w:t>
            </w:r>
          </w:p>
        </w:tc>
      </w:tr>
    </w:tbl>
    <w:p w14:paraId="0D522954" w14:textId="77777777" w:rsidR="00753A06" w:rsidRPr="00C573F2" w:rsidRDefault="00753A06" w:rsidP="00C573F2">
      <w:pPr>
        <w:jc w:val="both"/>
        <w:outlineLvl w:val="0"/>
        <w:rPr>
          <w:rFonts w:eastAsia="Times New Roman"/>
          <w:sz w:val="20"/>
          <w:szCs w:val="20"/>
          <w:lang w:eastAsia="en-US"/>
        </w:rPr>
      </w:pPr>
    </w:p>
    <w:p w14:paraId="24082CBF" w14:textId="77777777" w:rsidR="00E65F2A" w:rsidRDefault="00E65F2A" w:rsidP="00C573F2">
      <w:pPr>
        <w:jc w:val="both"/>
        <w:outlineLvl w:val="0"/>
        <w:rPr>
          <w:sz w:val="20"/>
          <w:szCs w:val="20"/>
        </w:rPr>
      </w:pPr>
      <w:r w:rsidRPr="00C573F2">
        <w:rPr>
          <w:sz w:val="20"/>
          <w:szCs w:val="20"/>
        </w:rPr>
        <w:t xml:space="preserve">The system sensitivity derivative is usually defined by the achieved partial derivative term </w:t>
      </w:r>
      <w:r w:rsidRPr="00C573F2">
        <w:rPr>
          <w:i/>
          <w:iCs/>
          <w:sz w:val="20"/>
          <w:szCs w:val="20"/>
        </w:rPr>
        <w:t>(∂e/∂θ)</w:t>
      </w:r>
      <w:r w:rsidRPr="00C573F2">
        <w:rPr>
          <w:sz w:val="20"/>
          <w:szCs w:val="20"/>
        </w:rPr>
        <w:t xml:space="preserve"> from the Eq. (</w:t>
      </w:r>
      <w:r w:rsidR="00753A06" w:rsidRPr="00C573F2">
        <w:rPr>
          <w:sz w:val="20"/>
          <w:szCs w:val="20"/>
        </w:rPr>
        <w:t>5</w:t>
      </w:r>
      <w:r w:rsidRPr="00C573F2">
        <w:rPr>
          <w:sz w:val="20"/>
          <w:szCs w:val="20"/>
        </w:rPr>
        <w:t xml:space="preserve">). It can be clearly figured out that the error is dependent on the adjustable control parameter. Several </w:t>
      </w:r>
      <w:r w:rsidRPr="00C573F2">
        <w:rPr>
          <w:sz w:val="20"/>
          <w:szCs w:val="20"/>
        </w:rPr>
        <w:lastRenderedPageBreak/>
        <w:t xml:space="preserve">alternative techniques can be used for choosing the cost function, for example, it can also be taken as mode of error. Similarly, the term </w:t>
      </w:r>
      <w:r w:rsidRPr="00C573F2">
        <w:rPr>
          <w:i/>
          <w:iCs/>
          <w:sz w:val="20"/>
          <w:szCs w:val="20"/>
        </w:rPr>
        <w:t>dθ/dt</w:t>
      </w:r>
      <w:r w:rsidRPr="00C573F2">
        <w:rPr>
          <w:sz w:val="20"/>
          <w:szCs w:val="20"/>
        </w:rPr>
        <w:t xml:space="preserve"> can also have different relations for different applications and describes the changes in parameter </w:t>
      </w:r>
      <w:r w:rsidRPr="00C573F2">
        <w:rPr>
          <w:i/>
          <w:iCs/>
          <w:sz w:val="20"/>
          <w:szCs w:val="20"/>
        </w:rPr>
        <w:t>θ</w:t>
      </w:r>
      <w:r w:rsidRPr="00C573F2">
        <w:rPr>
          <w:sz w:val="20"/>
          <w:szCs w:val="20"/>
        </w:rPr>
        <w:t xml:space="preserve"> with respect to time so that the cost function </w:t>
      </w:r>
      <w:r w:rsidRPr="00C573F2">
        <w:rPr>
          <w:i/>
          <w:iCs/>
          <w:sz w:val="20"/>
          <w:szCs w:val="20"/>
        </w:rPr>
        <w:t>f(θ)</w:t>
      </w:r>
      <w:r w:rsidRPr="00C573F2">
        <w:rPr>
          <w:sz w:val="20"/>
          <w:szCs w:val="20"/>
        </w:rPr>
        <w:t xml:space="preserve"> can be reduced to zero. The adaptation gain of the MRAC is depicted by </w:t>
      </w:r>
      <w:r w:rsidRPr="00C573F2">
        <w:rPr>
          <w:i/>
          <w:iCs/>
          <w:sz w:val="20"/>
          <w:szCs w:val="20"/>
        </w:rPr>
        <w:t>γ</w:t>
      </w:r>
      <w:r w:rsidRPr="00C573F2">
        <w:rPr>
          <w:sz w:val="20"/>
          <w:szCs w:val="20"/>
        </w:rPr>
        <w:t>, which is positive quantity.</w:t>
      </w:r>
    </w:p>
    <w:p w14:paraId="3AF5949B" w14:textId="77777777" w:rsidR="00185B97" w:rsidRPr="00C573F2" w:rsidRDefault="00185B97" w:rsidP="00C573F2">
      <w:pPr>
        <w:jc w:val="both"/>
        <w:outlineLvl w:val="0"/>
        <w:rPr>
          <w:sz w:val="20"/>
          <w:szCs w:val="20"/>
        </w:rPr>
      </w:pPr>
    </w:p>
    <w:p w14:paraId="68A95BD3" w14:textId="77777777" w:rsidR="00E65F2A" w:rsidRPr="00C573F2" w:rsidRDefault="00E65F2A" w:rsidP="00C573F2">
      <w:pPr>
        <w:jc w:val="both"/>
        <w:outlineLvl w:val="0"/>
        <w:rPr>
          <w:sz w:val="20"/>
          <w:szCs w:val="20"/>
        </w:rPr>
      </w:pPr>
      <w:r w:rsidRPr="00C573F2">
        <w:rPr>
          <w:sz w:val="20"/>
          <w:szCs w:val="20"/>
        </w:rPr>
        <w:t xml:space="preserve">For designing, the </w:t>
      </w:r>
      <w:r w:rsidRPr="00C573F2">
        <w:rPr>
          <w:i/>
          <w:iCs/>
          <w:sz w:val="20"/>
          <w:szCs w:val="20"/>
        </w:rPr>
        <w:t>KG(s)</w:t>
      </w:r>
      <w:r w:rsidRPr="00C573F2">
        <w:rPr>
          <w:sz w:val="20"/>
          <w:szCs w:val="20"/>
        </w:rPr>
        <w:t xml:space="preserve"> was assumed as transfer function for the process that </w:t>
      </w:r>
      <w:r w:rsidRPr="00C573F2">
        <w:rPr>
          <w:i/>
          <w:iCs/>
          <w:sz w:val="20"/>
          <w:szCs w:val="20"/>
        </w:rPr>
        <w:t>G(s)</w:t>
      </w:r>
      <w:r w:rsidRPr="00C573F2">
        <w:rPr>
          <w:sz w:val="20"/>
          <w:szCs w:val="20"/>
        </w:rPr>
        <w:t xml:space="preserve"> is the known transfer function as well as </w:t>
      </w:r>
      <w:r w:rsidRPr="00C573F2">
        <w:rPr>
          <w:i/>
          <w:iCs/>
          <w:sz w:val="20"/>
          <w:szCs w:val="20"/>
        </w:rPr>
        <w:t>K</w:t>
      </w:r>
      <w:r w:rsidRPr="00C573F2">
        <w:rPr>
          <w:sz w:val="20"/>
          <w:szCs w:val="20"/>
        </w:rPr>
        <w:t xml:space="preserve"> is the unknown parameter. In MRAC, the purpose is designing an appropriate controller which the plant could track the reference model. Here </w:t>
      </w:r>
      <w:r w:rsidRPr="00C573F2">
        <w:rPr>
          <w:i/>
          <w:iCs/>
          <w:sz w:val="20"/>
          <w:szCs w:val="20"/>
        </w:rPr>
        <w:t>G(s)</w:t>
      </w:r>
      <w:r w:rsidRPr="00C573F2">
        <w:rPr>
          <w:sz w:val="20"/>
          <w:szCs w:val="20"/>
        </w:rPr>
        <w:t xml:space="preserve"> is the reference model transfer function as well as the </w:t>
      </w:r>
      <w:r w:rsidR="00753A06" w:rsidRPr="00C573F2">
        <w:rPr>
          <w:sz w:val="20"/>
          <w:szCs w:val="20"/>
        </w:rPr>
        <w:t xml:space="preserve">known parameter is shown by </w:t>
      </w:r>
      <w:r w:rsidR="00753A06" w:rsidRPr="00C573F2">
        <w:rPr>
          <w:i/>
          <w:iCs/>
          <w:sz w:val="20"/>
          <w:szCs w:val="20"/>
        </w:rPr>
        <w:t>K</w:t>
      </w:r>
      <w:r w:rsidR="00753A06" w:rsidRPr="00C573F2">
        <w:rPr>
          <w:i/>
          <w:iCs/>
          <w:sz w:val="20"/>
          <w:szCs w:val="20"/>
          <w:vertAlign w:val="subscript"/>
        </w:rPr>
        <w:t>m</w:t>
      </w:r>
      <w:r w:rsidR="00753A06" w:rsidRPr="00C573F2">
        <w:rPr>
          <w:sz w:val="20"/>
          <w:szCs w:val="20"/>
        </w:rPr>
        <w:t xml:space="preserve">. </w:t>
      </w:r>
      <w:r w:rsidRPr="00C573F2">
        <w:rPr>
          <w:sz w:val="20"/>
          <w:szCs w:val="20"/>
        </w:rPr>
        <w:t>Then, from the Eq. (</w:t>
      </w:r>
      <w:r w:rsidR="00753A06" w:rsidRPr="00C573F2">
        <w:rPr>
          <w:sz w:val="20"/>
          <w:szCs w:val="20"/>
        </w:rPr>
        <w:t>2</w:t>
      </w:r>
      <w:r w:rsidRPr="00C573F2">
        <w:rPr>
          <w:sz w:val="20"/>
          <w:szCs w:val="20"/>
        </w:rPr>
        <w:t>),</w:t>
      </w:r>
    </w:p>
    <w:p w14:paraId="44348F95" w14:textId="77777777" w:rsidR="00B01298" w:rsidRPr="00C573F2" w:rsidRDefault="00B01298" w:rsidP="00C573F2">
      <w:pPr>
        <w:jc w:val="both"/>
        <w:outlineLvl w:val="0"/>
        <w:rPr>
          <w:rFonts w:eastAsia="Times New Roman"/>
          <w:sz w:val="20"/>
          <w:szCs w:val="20"/>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8"/>
        <w:gridCol w:w="584"/>
      </w:tblGrid>
      <w:tr w:rsidR="00753A06" w:rsidRPr="00C573F2" w14:paraId="2E1A26F6" w14:textId="77777777" w:rsidTr="007B05F5">
        <w:tc>
          <w:tcPr>
            <w:tcW w:w="8658" w:type="dxa"/>
            <w:vAlign w:val="center"/>
          </w:tcPr>
          <w:p w14:paraId="2F75307B" w14:textId="55523EC5" w:rsidR="00753A06" w:rsidRPr="00EB0C5B" w:rsidRDefault="00EB0C5B" w:rsidP="00C573F2">
            <w:pPr>
              <w:jc w:val="both"/>
              <w:outlineLvl w:val="0"/>
              <w:rPr>
                <w:sz w:val="20"/>
                <w:szCs w:val="20"/>
              </w:rPr>
            </w:pPr>
            <m:oMathPara>
              <m:oMathParaPr>
                <m:jc m:val="left"/>
              </m:oMathParaPr>
              <m:oMath>
                <m:r>
                  <w:rPr>
                    <w:rFonts w:ascii="Cambria Math" w:eastAsia="Calibri" w:hAnsi="Cambria Math"/>
                    <w:sz w:val="20"/>
                    <w:szCs w:val="20"/>
                    <w:lang w:eastAsia="en-US"/>
                  </w:rPr>
                  <m:t xml:space="preserve">             </m:t>
                </m:r>
                <m:r>
                  <w:rPr>
                    <w:rFonts w:ascii="Cambria Math" w:eastAsia="Calibri" w:hAnsi="Cambria Math"/>
                    <w:sz w:val="20"/>
                    <w:szCs w:val="20"/>
                    <w:lang w:eastAsia="en-US"/>
                  </w:rPr>
                  <m:t>E</m:t>
                </m:r>
                <m:d>
                  <m:dPr>
                    <m:ctrlPr>
                      <w:rPr>
                        <w:rFonts w:ascii="Cambria Math" w:eastAsia="Times New Roman" w:hAnsi="Cambria Math"/>
                        <w:i/>
                        <w:sz w:val="20"/>
                        <w:szCs w:val="20"/>
                        <w:lang w:eastAsia="en-US"/>
                      </w:rPr>
                    </m:ctrlPr>
                  </m:dPr>
                  <m:e>
                    <m:r>
                      <w:rPr>
                        <w:rFonts w:ascii="Cambria Math" w:eastAsia="Calibri" w:hAnsi="Cambria Math"/>
                        <w:sz w:val="20"/>
                        <w:szCs w:val="20"/>
                        <w:lang w:eastAsia="en-US"/>
                      </w:rPr>
                      <m:t>s</m:t>
                    </m:r>
                  </m:e>
                </m:d>
                <m:r>
                  <w:rPr>
                    <w:rFonts w:ascii="Cambria Math" w:eastAsia="Calibri" w:hAnsi="Cambria Math"/>
                    <w:sz w:val="20"/>
                    <w:szCs w:val="20"/>
                    <w:lang w:eastAsia="en-US"/>
                  </w:rPr>
                  <m:t>=KG</m:t>
                </m:r>
                <m:d>
                  <m:dPr>
                    <m:ctrlPr>
                      <w:rPr>
                        <w:rFonts w:ascii="Cambria Math" w:eastAsia="Times New Roman" w:hAnsi="Cambria Math"/>
                        <w:i/>
                        <w:sz w:val="20"/>
                        <w:szCs w:val="20"/>
                        <w:lang w:eastAsia="en-US"/>
                      </w:rPr>
                    </m:ctrlPr>
                  </m:dPr>
                  <m:e>
                    <m:r>
                      <w:rPr>
                        <w:rFonts w:ascii="Cambria Math" w:eastAsia="Calibri" w:hAnsi="Cambria Math"/>
                        <w:sz w:val="20"/>
                        <w:szCs w:val="20"/>
                        <w:lang w:eastAsia="en-US"/>
                      </w:rPr>
                      <m:t>s</m:t>
                    </m:r>
                  </m:e>
                </m:d>
                <m:r>
                  <w:rPr>
                    <w:rFonts w:ascii="Cambria Math" w:eastAsia="Calibri" w:hAnsi="Cambria Math"/>
                    <w:sz w:val="20"/>
                    <w:szCs w:val="20"/>
                    <w:lang w:eastAsia="en-US"/>
                  </w:rPr>
                  <m:t>U</m:t>
                </m:r>
                <m:d>
                  <m:dPr>
                    <m:ctrlPr>
                      <w:rPr>
                        <w:rFonts w:ascii="Cambria Math" w:eastAsia="Times New Roman" w:hAnsi="Cambria Math"/>
                        <w:i/>
                        <w:sz w:val="20"/>
                        <w:szCs w:val="20"/>
                        <w:lang w:eastAsia="en-US"/>
                      </w:rPr>
                    </m:ctrlPr>
                  </m:dPr>
                  <m:e>
                    <m:r>
                      <w:rPr>
                        <w:rFonts w:ascii="Cambria Math" w:eastAsia="Calibri" w:hAnsi="Cambria Math"/>
                        <w:sz w:val="20"/>
                        <w:szCs w:val="20"/>
                        <w:lang w:eastAsia="en-US"/>
                      </w:rPr>
                      <m:t>s</m:t>
                    </m:r>
                  </m:e>
                </m:d>
                <m:r>
                  <w:rPr>
                    <w:rFonts w:ascii="Cambria Math" w:eastAsia="Calibri" w:hAnsi="Cambria Math"/>
                    <w:sz w:val="20"/>
                    <w:szCs w:val="20"/>
                    <w:lang w:eastAsia="en-US"/>
                  </w:rPr>
                  <m:t>-</m:t>
                </m:r>
                <m:sSub>
                  <m:sSubPr>
                    <m:ctrlPr>
                      <w:rPr>
                        <w:rFonts w:ascii="Cambria Math" w:eastAsia="Times New Roman" w:hAnsi="Cambria Math"/>
                        <w:i/>
                        <w:sz w:val="20"/>
                        <w:szCs w:val="20"/>
                        <w:lang w:eastAsia="en-US"/>
                      </w:rPr>
                    </m:ctrlPr>
                  </m:sSubPr>
                  <m:e>
                    <m:r>
                      <w:rPr>
                        <w:rFonts w:ascii="Cambria Math" w:eastAsia="Calibri" w:hAnsi="Cambria Math"/>
                        <w:sz w:val="20"/>
                        <w:szCs w:val="20"/>
                        <w:lang w:eastAsia="en-US"/>
                      </w:rPr>
                      <m:t>K</m:t>
                    </m:r>
                  </m:e>
                  <m:sub>
                    <m:r>
                      <w:rPr>
                        <w:rFonts w:ascii="Cambria Math" w:eastAsia="Calibri" w:hAnsi="Cambria Math"/>
                        <w:sz w:val="20"/>
                        <w:szCs w:val="20"/>
                        <w:lang w:eastAsia="en-US"/>
                      </w:rPr>
                      <m:t>m</m:t>
                    </m:r>
                  </m:sub>
                </m:sSub>
                <m:r>
                  <w:rPr>
                    <w:rFonts w:ascii="Cambria Math" w:eastAsia="Calibri" w:hAnsi="Cambria Math"/>
                    <w:sz w:val="20"/>
                    <w:szCs w:val="20"/>
                    <w:lang w:eastAsia="en-US"/>
                  </w:rPr>
                  <m:t>G(s)</m:t>
                </m:r>
                <m:sSub>
                  <m:sSubPr>
                    <m:ctrlPr>
                      <w:rPr>
                        <w:rFonts w:ascii="Cambria Math" w:eastAsia="Times New Roman" w:hAnsi="Cambria Math"/>
                        <w:i/>
                        <w:sz w:val="20"/>
                        <w:szCs w:val="20"/>
                        <w:lang w:eastAsia="en-US"/>
                      </w:rPr>
                    </m:ctrlPr>
                  </m:sSubPr>
                  <m:e>
                    <m:r>
                      <w:rPr>
                        <w:rFonts w:ascii="Cambria Math" w:eastAsia="Calibri" w:hAnsi="Cambria Math"/>
                        <w:sz w:val="20"/>
                        <w:szCs w:val="20"/>
                        <w:lang w:eastAsia="en-US"/>
                      </w:rPr>
                      <m:t>U</m:t>
                    </m:r>
                  </m:e>
                  <m:sub>
                    <m:r>
                      <w:rPr>
                        <w:rFonts w:ascii="Cambria Math" w:eastAsia="Calibri" w:hAnsi="Cambria Math"/>
                        <w:sz w:val="20"/>
                        <w:szCs w:val="20"/>
                        <w:lang w:eastAsia="en-US"/>
                      </w:rPr>
                      <m:t>c</m:t>
                    </m:r>
                  </m:sub>
                </m:sSub>
                <m:r>
                  <w:rPr>
                    <w:rFonts w:ascii="Cambria Math" w:eastAsia="Calibri" w:hAnsi="Cambria Math"/>
                    <w:sz w:val="20"/>
                    <w:szCs w:val="20"/>
                    <w:lang w:eastAsia="en-US"/>
                  </w:rPr>
                  <m:t>(s</m:t>
                </m:r>
                <m:r>
                  <w:rPr>
                    <w:rFonts w:ascii="Cambria Math" w:eastAsia="Calibri" w:hAnsi="Cambria Math"/>
                    <w:sz w:val="20"/>
                    <w:szCs w:val="20"/>
                    <w:lang w:eastAsia="en-US"/>
                  </w:rPr>
                  <m:t>)</m:t>
                </m:r>
              </m:oMath>
            </m:oMathPara>
          </w:p>
        </w:tc>
        <w:tc>
          <w:tcPr>
            <w:tcW w:w="584" w:type="dxa"/>
            <w:vAlign w:val="center"/>
          </w:tcPr>
          <w:p w14:paraId="3DD1A0FF" w14:textId="77777777" w:rsidR="00753A06" w:rsidRPr="00C573F2" w:rsidRDefault="00753A06" w:rsidP="00C573F2">
            <w:pPr>
              <w:jc w:val="both"/>
              <w:outlineLvl w:val="0"/>
              <w:rPr>
                <w:sz w:val="20"/>
                <w:szCs w:val="20"/>
              </w:rPr>
            </w:pPr>
            <w:r w:rsidRPr="00C573F2">
              <w:rPr>
                <w:rFonts w:eastAsia="Times New Roman"/>
                <w:sz w:val="20"/>
                <w:szCs w:val="20"/>
                <w:lang w:eastAsia="en-US"/>
              </w:rPr>
              <w:t>(</w:t>
            </w:r>
            <w:r w:rsidR="00B01298" w:rsidRPr="00C573F2">
              <w:rPr>
                <w:rFonts w:eastAsia="Times New Roman"/>
                <w:sz w:val="20"/>
                <w:szCs w:val="20"/>
                <w:lang w:eastAsia="en-US"/>
              </w:rPr>
              <w:t>6</w:t>
            </w:r>
            <w:r w:rsidRPr="00C573F2">
              <w:rPr>
                <w:rFonts w:eastAsia="Times New Roman"/>
                <w:sz w:val="20"/>
                <w:szCs w:val="20"/>
                <w:lang w:eastAsia="en-US"/>
              </w:rPr>
              <w:t>)</w:t>
            </w:r>
          </w:p>
        </w:tc>
      </w:tr>
    </w:tbl>
    <w:p w14:paraId="3C557A6B" w14:textId="77777777" w:rsidR="00753A06" w:rsidRPr="00C573F2" w:rsidRDefault="00753A06" w:rsidP="00C573F2">
      <w:pPr>
        <w:jc w:val="both"/>
        <w:outlineLvl w:val="0"/>
        <w:rPr>
          <w:rFonts w:eastAsia="Times New Roman"/>
          <w:sz w:val="20"/>
          <w:szCs w:val="20"/>
          <w:lang w:eastAsia="en-US"/>
        </w:rPr>
      </w:pPr>
    </w:p>
    <w:p w14:paraId="3646268D" w14:textId="77777777" w:rsidR="00E65F2A" w:rsidRPr="00C573F2" w:rsidRDefault="00E65F2A" w:rsidP="00C573F2">
      <w:pPr>
        <w:jc w:val="both"/>
        <w:outlineLvl w:val="0"/>
        <w:rPr>
          <w:sz w:val="20"/>
          <w:szCs w:val="20"/>
        </w:rPr>
      </w:pPr>
      <w:r w:rsidRPr="00C573F2">
        <w:rPr>
          <w:sz w:val="20"/>
          <w:szCs w:val="20"/>
        </w:rPr>
        <w:t>The control law is defined as:</w:t>
      </w:r>
    </w:p>
    <w:p w14:paraId="3C41B43B" w14:textId="77777777" w:rsidR="00B01298" w:rsidRPr="00C573F2" w:rsidRDefault="00B01298" w:rsidP="00C573F2">
      <w:pPr>
        <w:jc w:val="both"/>
        <w:outlineLvl w:val="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8"/>
        <w:gridCol w:w="584"/>
      </w:tblGrid>
      <w:tr w:rsidR="00B01298" w:rsidRPr="00C573F2" w14:paraId="4BDB908B" w14:textId="77777777" w:rsidTr="007B05F5">
        <w:tc>
          <w:tcPr>
            <w:tcW w:w="8658" w:type="dxa"/>
            <w:vAlign w:val="center"/>
          </w:tcPr>
          <w:p w14:paraId="3FAC2070" w14:textId="1EC910DE" w:rsidR="00B01298" w:rsidRPr="00EB0C5B" w:rsidRDefault="00EB0C5B" w:rsidP="00C573F2">
            <w:pPr>
              <w:jc w:val="both"/>
              <w:outlineLvl w:val="0"/>
              <w:rPr>
                <w:sz w:val="20"/>
                <w:szCs w:val="20"/>
              </w:rPr>
            </w:pPr>
            <m:oMathPara>
              <m:oMathParaPr>
                <m:jc m:val="left"/>
              </m:oMathParaPr>
              <m:oMath>
                <m:r>
                  <w:rPr>
                    <w:rFonts w:ascii="Cambria Math" w:eastAsia="Calibri" w:hAnsi="Cambria Math"/>
                    <w:sz w:val="20"/>
                    <w:szCs w:val="20"/>
                    <w:lang w:eastAsia="en-US"/>
                  </w:rPr>
                  <m:t xml:space="preserve">              </m:t>
                </m:r>
                <m:r>
                  <w:rPr>
                    <w:rFonts w:ascii="Cambria Math" w:eastAsia="Calibri" w:hAnsi="Cambria Math"/>
                    <w:sz w:val="20"/>
                    <w:szCs w:val="20"/>
                    <w:lang w:eastAsia="en-US"/>
                  </w:rPr>
                  <m:t>u</m:t>
                </m:r>
                <m:d>
                  <m:dPr>
                    <m:ctrlPr>
                      <w:rPr>
                        <w:rFonts w:ascii="Cambria Math" w:eastAsia="Times New Roman" w:hAnsi="Cambria Math"/>
                        <w:i/>
                        <w:sz w:val="20"/>
                        <w:szCs w:val="20"/>
                        <w:lang w:eastAsia="en-US"/>
                      </w:rPr>
                    </m:ctrlPr>
                  </m:dPr>
                  <m:e>
                    <m:r>
                      <w:rPr>
                        <w:rFonts w:ascii="Cambria Math" w:eastAsia="Calibri" w:hAnsi="Cambria Math"/>
                        <w:sz w:val="20"/>
                        <w:szCs w:val="20"/>
                        <w:lang w:eastAsia="en-US"/>
                      </w:rPr>
                      <m:t>t</m:t>
                    </m:r>
                  </m:e>
                </m:d>
                <m:r>
                  <w:rPr>
                    <w:rFonts w:ascii="Cambria Math" w:eastAsia="Calibri" w:hAnsi="Cambria Math"/>
                    <w:sz w:val="20"/>
                    <w:szCs w:val="20"/>
                    <w:lang w:eastAsia="en-US"/>
                  </w:rPr>
                  <m:t>=θ</m:t>
                </m:r>
                <m:sSub>
                  <m:sSubPr>
                    <m:ctrlPr>
                      <w:rPr>
                        <w:rFonts w:ascii="Cambria Math" w:eastAsia="Times New Roman" w:hAnsi="Cambria Math"/>
                        <w:i/>
                        <w:sz w:val="20"/>
                        <w:szCs w:val="20"/>
                        <w:lang w:eastAsia="en-US"/>
                      </w:rPr>
                    </m:ctrlPr>
                  </m:sSubPr>
                  <m:e>
                    <m:r>
                      <w:rPr>
                        <w:rFonts w:ascii="Cambria Math" w:eastAsia="Calibri" w:hAnsi="Cambria Math"/>
                        <w:sz w:val="20"/>
                        <w:szCs w:val="20"/>
                        <w:lang w:eastAsia="en-US"/>
                      </w:rPr>
                      <m:t>.U</m:t>
                    </m:r>
                  </m:e>
                  <m:sub>
                    <m:r>
                      <w:rPr>
                        <w:rFonts w:ascii="Cambria Math" w:eastAsia="Calibri" w:hAnsi="Cambria Math"/>
                        <w:sz w:val="20"/>
                        <w:szCs w:val="20"/>
                        <w:lang w:eastAsia="en-US"/>
                      </w:rPr>
                      <m:t>c</m:t>
                    </m:r>
                  </m:sub>
                </m:sSub>
              </m:oMath>
            </m:oMathPara>
          </w:p>
        </w:tc>
        <w:tc>
          <w:tcPr>
            <w:tcW w:w="584" w:type="dxa"/>
            <w:vAlign w:val="center"/>
          </w:tcPr>
          <w:p w14:paraId="49653CD5" w14:textId="77777777" w:rsidR="00B01298" w:rsidRPr="00C573F2" w:rsidRDefault="00B01298" w:rsidP="00C573F2">
            <w:pPr>
              <w:jc w:val="both"/>
              <w:outlineLvl w:val="0"/>
              <w:rPr>
                <w:sz w:val="20"/>
                <w:szCs w:val="20"/>
              </w:rPr>
            </w:pPr>
            <w:r w:rsidRPr="00C573F2">
              <w:rPr>
                <w:rFonts w:eastAsia="Times New Roman"/>
                <w:sz w:val="20"/>
                <w:szCs w:val="20"/>
                <w:lang w:eastAsia="en-US"/>
              </w:rPr>
              <w:t>(7)</w:t>
            </w:r>
          </w:p>
        </w:tc>
      </w:tr>
    </w:tbl>
    <w:p w14:paraId="4145042E" w14:textId="77777777" w:rsidR="00B01298" w:rsidRPr="00C573F2" w:rsidRDefault="00B01298" w:rsidP="00C573F2">
      <w:pPr>
        <w:jc w:val="both"/>
        <w:outlineLvl w:val="0"/>
        <w:rPr>
          <w:rFonts w:eastAsia="Times New Roman"/>
          <w:sz w:val="20"/>
          <w:szCs w:val="20"/>
          <w:lang w:eastAsia="en-US"/>
        </w:rPr>
      </w:pPr>
    </w:p>
    <w:p w14:paraId="0FBE30D4" w14:textId="77777777" w:rsidR="00E65F2A" w:rsidRPr="00C573F2" w:rsidRDefault="00E65F2A" w:rsidP="00C573F2">
      <w:pPr>
        <w:jc w:val="both"/>
        <w:outlineLvl w:val="0"/>
        <w:rPr>
          <w:sz w:val="20"/>
          <w:szCs w:val="20"/>
        </w:rPr>
      </w:pPr>
      <w:r w:rsidRPr="00C573F2">
        <w:rPr>
          <w:sz w:val="20"/>
          <w:szCs w:val="20"/>
        </w:rPr>
        <w:t>From Eq. (</w:t>
      </w:r>
      <w:r w:rsidR="00753A06" w:rsidRPr="00C573F2">
        <w:rPr>
          <w:sz w:val="20"/>
          <w:szCs w:val="20"/>
        </w:rPr>
        <w:t>6</w:t>
      </w:r>
      <w:r w:rsidRPr="00C573F2">
        <w:rPr>
          <w:sz w:val="20"/>
          <w:szCs w:val="20"/>
        </w:rPr>
        <w:t>) and (</w:t>
      </w:r>
      <w:r w:rsidR="00753A06" w:rsidRPr="00C573F2">
        <w:rPr>
          <w:sz w:val="20"/>
          <w:szCs w:val="20"/>
        </w:rPr>
        <w:t>7</w:t>
      </w:r>
      <w:r w:rsidRPr="00C573F2">
        <w:rPr>
          <w:sz w:val="20"/>
          <w:szCs w:val="20"/>
        </w:rPr>
        <w:t>) as well as taking partial derivative,</w:t>
      </w:r>
    </w:p>
    <w:p w14:paraId="0E63FFDF" w14:textId="77777777" w:rsidR="00B01298" w:rsidRPr="00C573F2" w:rsidRDefault="00B01298" w:rsidP="00C573F2">
      <w:pPr>
        <w:jc w:val="both"/>
        <w:outlineLvl w:val="0"/>
        <w:rPr>
          <w:rFonts w:eastAsia="Times New Roman"/>
          <w:sz w:val="20"/>
          <w:szCs w:val="20"/>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8"/>
        <w:gridCol w:w="584"/>
      </w:tblGrid>
      <w:tr w:rsidR="00B01298" w:rsidRPr="00C573F2" w14:paraId="389EF553" w14:textId="77777777" w:rsidTr="007B05F5">
        <w:tc>
          <w:tcPr>
            <w:tcW w:w="8658" w:type="dxa"/>
            <w:vAlign w:val="center"/>
          </w:tcPr>
          <w:p w14:paraId="2D5BD319" w14:textId="5CB2F613" w:rsidR="00B01298" w:rsidRPr="00EB0C5B" w:rsidRDefault="00EB0C5B" w:rsidP="00C573F2">
            <w:pPr>
              <w:jc w:val="both"/>
              <w:outlineLvl w:val="0"/>
              <w:rPr>
                <w:sz w:val="20"/>
                <w:szCs w:val="20"/>
              </w:rPr>
            </w:pPr>
            <m:oMathPara>
              <m:oMathParaPr>
                <m:jc m:val="left"/>
              </m:oMathParaPr>
              <m:oMath>
                <m:r>
                  <w:rPr>
                    <w:rFonts w:ascii="Cambria Math" w:eastAsia="Times New Roman" w:hAnsi="Cambria Math"/>
                    <w:sz w:val="20"/>
                    <w:szCs w:val="20"/>
                    <w:lang w:eastAsia="en-US"/>
                  </w:rPr>
                  <m:t xml:space="preserve">            </m:t>
                </m:r>
                <m:f>
                  <m:fPr>
                    <m:ctrlPr>
                      <w:rPr>
                        <w:rFonts w:ascii="Cambria Math" w:eastAsia="Times New Roman" w:hAnsi="Cambria Math"/>
                        <w:i/>
                        <w:sz w:val="20"/>
                        <w:szCs w:val="20"/>
                        <w:lang w:eastAsia="en-US"/>
                      </w:rPr>
                    </m:ctrlPr>
                  </m:fPr>
                  <m:num>
                    <m:r>
                      <w:rPr>
                        <w:rFonts w:ascii="Cambria Math" w:eastAsia="Times New Roman" w:hAnsi="Cambria Math"/>
                        <w:sz w:val="20"/>
                        <w:szCs w:val="20"/>
                        <w:lang w:eastAsia="en-US"/>
                      </w:rPr>
                      <m:t xml:space="preserve">    </m:t>
                    </m:r>
                    <m:r>
                      <w:rPr>
                        <w:rFonts w:ascii="Cambria Math" w:eastAsia="Times New Roman" w:hAnsi="Cambria Math"/>
                        <w:sz w:val="20"/>
                        <w:szCs w:val="20"/>
                        <w:lang w:eastAsia="en-US"/>
                      </w:rPr>
                      <m:t>∂E</m:t>
                    </m:r>
                    <m:d>
                      <m:dPr>
                        <m:ctrlPr>
                          <w:rPr>
                            <w:rFonts w:ascii="Cambria Math" w:eastAsia="Times New Roman" w:hAnsi="Cambria Math"/>
                            <w:i/>
                            <w:sz w:val="20"/>
                            <w:szCs w:val="20"/>
                            <w:lang w:eastAsia="en-US"/>
                          </w:rPr>
                        </m:ctrlPr>
                      </m:dPr>
                      <m:e>
                        <m:r>
                          <w:rPr>
                            <w:rFonts w:ascii="Cambria Math" w:eastAsia="Times New Roman" w:hAnsi="Cambria Math"/>
                            <w:sz w:val="20"/>
                            <w:szCs w:val="20"/>
                            <w:lang w:eastAsia="en-US"/>
                          </w:rPr>
                          <m:t>s</m:t>
                        </m:r>
                      </m:e>
                    </m:d>
                  </m:num>
                  <m:den>
                    <m:r>
                      <w:rPr>
                        <w:rFonts w:ascii="Cambria Math" w:eastAsia="Times New Roman" w:hAnsi="Cambria Math"/>
                        <w:sz w:val="20"/>
                        <w:szCs w:val="20"/>
                        <w:lang w:eastAsia="en-US"/>
                      </w:rPr>
                      <m:t>∂θ</m:t>
                    </m:r>
                  </m:den>
                </m:f>
                <m:r>
                  <w:rPr>
                    <w:rFonts w:ascii="Cambria Math" w:eastAsia="Times New Roman" w:hAnsi="Cambria Math"/>
                    <w:sz w:val="20"/>
                    <w:szCs w:val="20"/>
                    <w:lang w:eastAsia="en-US"/>
                  </w:rPr>
                  <m:t>=KG</m:t>
                </m:r>
                <m:d>
                  <m:dPr>
                    <m:ctrlPr>
                      <w:rPr>
                        <w:rFonts w:ascii="Cambria Math" w:eastAsia="Times New Roman" w:hAnsi="Cambria Math"/>
                        <w:i/>
                        <w:sz w:val="20"/>
                        <w:szCs w:val="20"/>
                        <w:lang w:eastAsia="en-US"/>
                      </w:rPr>
                    </m:ctrlPr>
                  </m:dPr>
                  <m:e>
                    <m:r>
                      <w:rPr>
                        <w:rFonts w:ascii="Cambria Math" w:eastAsia="Times New Roman" w:hAnsi="Cambria Math"/>
                        <w:sz w:val="20"/>
                        <w:szCs w:val="20"/>
                        <w:lang w:eastAsia="en-US"/>
                      </w:rPr>
                      <m:t>s</m:t>
                    </m:r>
                  </m:e>
                </m:d>
                <m:sSub>
                  <m:sSubPr>
                    <m:ctrlPr>
                      <w:rPr>
                        <w:rFonts w:ascii="Cambria Math" w:eastAsia="Times New Roman" w:hAnsi="Cambria Math"/>
                        <w:i/>
                        <w:sz w:val="20"/>
                        <w:szCs w:val="20"/>
                        <w:lang w:eastAsia="en-US"/>
                      </w:rPr>
                    </m:ctrlPr>
                  </m:sSubPr>
                  <m:e>
                    <m:r>
                      <w:rPr>
                        <w:rFonts w:ascii="Cambria Math" w:eastAsia="Calibri" w:hAnsi="Cambria Math"/>
                        <w:sz w:val="20"/>
                        <w:szCs w:val="20"/>
                        <w:lang w:eastAsia="en-US"/>
                      </w:rPr>
                      <m:t>U</m:t>
                    </m:r>
                  </m:e>
                  <m:sub>
                    <m:r>
                      <w:rPr>
                        <w:rFonts w:ascii="Cambria Math" w:eastAsia="Calibri" w:hAnsi="Cambria Math"/>
                        <w:sz w:val="20"/>
                        <w:szCs w:val="20"/>
                        <w:lang w:eastAsia="en-US"/>
                      </w:rPr>
                      <m:t>c</m:t>
                    </m:r>
                  </m:sub>
                </m:sSub>
                <m:d>
                  <m:dPr>
                    <m:ctrlPr>
                      <w:rPr>
                        <w:rFonts w:ascii="Cambria Math" w:eastAsia="Times New Roman" w:hAnsi="Cambria Math"/>
                        <w:i/>
                        <w:sz w:val="20"/>
                        <w:szCs w:val="20"/>
                        <w:lang w:eastAsia="en-US"/>
                      </w:rPr>
                    </m:ctrlPr>
                  </m:dPr>
                  <m:e>
                    <m:r>
                      <w:rPr>
                        <w:rFonts w:ascii="Cambria Math" w:eastAsia="Calibri" w:hAnsi="Cambria Math"/>
                        <w:sz w:val="20"/>
                        <w:szCs w:val="20"/>
                        <w:lang w:eastAsia="en-US"/>
                      </w:rPr>
                      <m:t>s</m:t>
                    </m:r>
                  </m:e>
                </m:d>
                <m:r>
                  <w:rPr>
                    <w:rFonts w:ascii="Cambria Math" w:eastAsia="Calibri" w:hAnsi="Cambria Math"/>
                    <w:sz w:val="20"/>
                    <w:szCs w:val="20"/>
                    <w:lang w:eastAsia="en-US"/>
                  </w:rPr>
                  <m:t>=</m:t>
                </m:r>
                <m:sSub>
                  <m:sSubPr>
                    <m:ctrlPr>
                      <w:rPr>
                        <w:rFonts w:ascii="Cambria Math" w:eastAsia="Times New Roman" w:hAnsi="Cambria Math"/>
                        <w:i/>
                        <w:sz w:val="20"/>
                        <w:szCs w:val="20"/>
                        <w:lang w:eastAsia="en-US"/>
                      </w:rPr>
                    </m:ctrlPr>
                  </m:sSubPr>
                  <m:e>
                    <m:f>
                      <m:fPr>
                        <m:ctrlPr>
                          <w:rPr>
                            <w:rFonts w:ascii="Cambria Math" w:eastAsia="Times New Roman" w:hAnsi="Cambria Math"/>
                            <w:i/>
                            <w:sz w:val="20"/>
                            <w:szCs w:val="20"/>
                            <w:lang w:eastAsia="en-US"/>
                          </w:rPr>
                        </m:ctrlPr>
                      </m:fPr>
                      <m:num>
                        <m:r>
                          <w:rPr>
                            <w:rFonts w:ascii="Cambria Math" w:eastAsia="Calibri" w:hAnsi="Cambria Math"/>
                            <w:sz w:val="20"/>
                            <w:szCs w:val="20"/>
                            <w:lang w:eastAsia="en-US"/>
                          </w:rPr>
                          <m:t>K</m:t>
                        </m:r>
                      </m:num>
                      <m:den>
                        <m:sSub>
                          <m:sSubPr>
                            <m:ctrlPr>
                              <w:rPr>
                                <w:rFonts w:ascii="Cambria Math" w:eastAsia="Times New Roman" w:hAnsi="Cambria Math"/>
                                <w:i/>
                                <w:sz w:val="20"/>
                                <w:szCs w:val="20"/>
                                <w:lang w:eastAsia="en-US"/>
                              </w:rPr>
                            </m:ctrlPr>
                          </m:sSubPr>
                          <m:e>
                            <m:r>
                              <w:rPr>
                                <w:rFonts w:ascii="Cambria Math" w:eastAsia="Calibri" w:hAnsi="Cambria Math"/>
                                <w:sz w:val="20"/>
                                <w:szCs w:val="20"/>
                                <w:lang w:eastAsia="en-US"/>
                              </w:rPr>
                              <m:t>K</m:t>
                            </m:r>
                          </m:e>
                          <m:sub>
                            <m:r>
                              <w:rPr>
                                <w:rFonts w:ascii="Cambria Math" w:eastAsia="Calibri" w:hAnsi="Cambria Math"/>
                                <w:sz w:val="20"/>
                                <w:szCs w:val="20"/>
                                <w:lang w:eastAsia="en-US"/>
                              </w:rPr>
                              <m:t>m</m:t>
                            </m:r>
                          </m:sub>
                        </m:sSub>
                      </m:den>
                    </m:f>
                    <m:r>
                      <w:rPr>
                        <w:rFonts w:ascii="Cambria Math" w:eastAsia="Calibri" w:hAnsi="Cambria Math"/>
                        <w:sz w:val="20"/>
                        <w:szCs w:val="20"/>
                        <w:lang w:eastAsia="en-US"/>
                      </w:rPr>
                      <m:t>Y</m:t>
                    </m:r>
                  </m:e>
                  <m:sub>
                    <m:r>
                      <w:rPr>
                        <w:rFonts w:ascii="Cambria Math" w:eastAsia="Calibri" w:hAnsi="Cambria Math"/>
                        <w:sz w:val="20"/>
                        <w:szCs w:val="20"/>
                        <w:lang w:eastAsia="en-US"/>
                      </w:rPr>
                      <m:t>m</m:t>
                    </m:r>
                  </m:sub>
                </m:sSub>
                <m:d>
                  <m:dPr>
                    <m:ctrlPr>
                      <w:rPr>
                        <w:rFonts w:ascii="Cambria Math" w:eastAsia="Times New Roman" w:hAnsi="Cambria Math"/>
                        <w:i/>
                        <w:sz w:val="20"/>
                        <w:szCs w:val="20"/>
                        <w:lang w:eastAsia="en-US"/>
                      </w:rPr>
                    </m:ctrlPr>
                  </m:dPr>
                  <m:e>
                    <m:r>
                      <w:rPr>
                        <w:rFonts w:ascii="Cambria Math" w:eastAsia="Calibri" w:hAnsi="Cambria Math"/>
                        <w:sz w:val="20"/>
                        <w:szCs w:val="20"/>
                        <w:lang w:eastAsia="en-US"/>
                      </w:rPr>
                      <m:t>s</m:t>
                    </m:r>
                  </m:e>
                </m:d>
              </m:oMath>
            </m:oMathPara>
          </w:p>
        </w:tc>
        <w:tc>
          <w:tcPr>
            <w:tcW w:w="584" w:type="dxa"/>
            <w:vAlign w:val="center"/>
          </w:tcPr>
          <w:p w14:paraId="36BE2BB1" w14:textId="77777777" w:rsidR="00B01298" w:rsidRPr="00C573F2" w:rsidRDefault="00B01298" w:rsidP="00C573F2">
            <w:pPr>
              <w:jc w:val="both"/>
              <w:outlineLvl w:val="0"/>
              <w:rPr>
                <w:sz w:val="20"/>
                <w:szCs w:val="20"/>
              </w:rPr>
            </w:pPr>
            <w:r w:rsidRPr="00C573F2">
              <w:rPr>
                <w:rFonts w:eastAsia="Times New Roman"/>
                <w:sz w:val="20"/>
                <w:szCs w:val="20"/>
                <w:lang w:eastAsia="en-US"/>
              </w:rPr>
              <w:t>(8)</w:t>
            </w:r>
          </w:p>
        </w:tc>
      </w:tr>
    </w:tbl>
    <w:p w14:paraId="45364AB1" w14:textId="77777777" w:rsidR="00B01298" w:rsidRPr="00C573F2" w:rsidRDefault="00B01298" w:rsidP="00C573F2">
      <w:pPr>
        <w:jc w:val="both"/>
        <w:outlineLvl w:val="0"/>
        <w:rPr>
          <w:rFonts w:eastAsia="Times New Roman"/>
          <w:sz w:val="20"/>
          <w:szCs w:val="20"/>
          <w:lang w:eastAsia="en-US"/>
        </w:rPr>
      </w:pPr>
    </w:p>
    <w:p w14:paraId="4EDC4476" w14:textId="77777777" w:rsidR="00E65F2A" w:rsidRPr="00C573F2" w:rsidRDefault="00E65F2A" w:rsidP="00C573F2">
      <w:pPr>
        <w:jc w:val="both"/>
        <w:outlineLvl w:val="0"/>
        <w:rPr>
          <w:sz w:val="20"/>
          <w:szCs w:val="20"/>
        </w:rPr>
      </w:pPr>
      <w:r w:rsidRPr="00C573F2">
        <w:rPr>
          <w:sz w:val="20"/>
          <w:szCs w:val="20"/>
        </w:rPr>
        <w:t>Substituting Eq. (</w:t>
      </w:r>
      <w:r w:rsidR="00753A06" w:rsidRPr="00C573F2">
        <w:rPr>
          <w:sz w:val="20"/>
          <w:szCs w:val="20"/>
        </w:rPr>
        <w:t>8</w:t>
      </w:r>
      <w:r w:rsidRPr="00C573F2">
        <w:rPr>
          <w:sz w:val="20"/>
          <w:szCs w:val="20"/>
        </w:rPr>
        <w:t>) in Eq. (</w:t>
      </w:r>
      <w:r w:rsidR="00753A06" w:rsidRPr="00C573F2">
        <w:rPr>
          <w:sz w:val="20"/>
          <w:szCs w:val="20"/>
        </w:rPr>
        <w:t>5</w:t>
      </w:r>
      <w:r w:rsidRPr="00C573F2">
        <w:rPr>
          <w:sz w:val="20"/>
          <w:szCs w:val="20"/>
        </w:rPr>
        <w:t>),</w:t>
      </w:r>
    </w:p>
    <w:p w14:paraId="733B4CBD" w14:textId="77777777" w:rsidR="00B01298" w:rsidRPr="00C573F2" w:rsidRDefault="00B01298" w:rsidP="00C573F2">
      <w:pPr>
        <w:jc w:val="both"/>
        <w:outlineLvl w:val="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8"/>
        <w:gridCol w:w="584"/>
      </w:tblGrid>
      <w:tr w:rsidR="00B01298" w:rsidRPr="00C573F2" w14:paraId="24BCDE88" w14:textId="77777777" w:rsidTr="007B05F5">
        <w:tc>
          <w:tcPr>
            <w:tcW w:w="8658" w:type="dxa"/>
            <w:vAlign w:val="center"/>
          </w:tcPr>
          <w:p w14:paraId="44FBE1C0" w14:textId="77777777" w:rsidR="00B01298" w:rsidRPr="00C573F2" w:rsidRDefault="00EB0C5B" w:rsidP="00C573F2">
            <w:pPr>
              <w:jc w:val="both"/>
              <w:outlineLvl w:val="0"/>
              <w:rPr>
                <w:sz w:val="20"/>
                <w:szCs w:val="20"/>
              </w:rPr>
            </w:pPr>
            <m:oMathPara>
              <m:oMath>
                <m:f>
                  <m:fPr>
                    <m:ctrlPr>
                      <w:rPr>
                        <w:rFonts w:ascii="Cambria Math" w:eastAsia="Times New Roman" w:hAnsi="Cambria Math"/>
                        <w:i/>
                        <w:sz w:val="20"/>
                        <w:szCs w:val="20"/>
                        <w:lang w:eastAsia="en-US"/>
                      </w:rPr>
                    </m:ctrlPr>
                  </m:fPr>
                  <m:num>
                    <m:r>
                      <w:rPr>
                        <w:rFonts w:ascii="Cambria Math" w:eastAsia="Times New Roman" w:hAnsi="Cambria Math"/>
                        <w:sz w:val="20"/>
                        <w:szCs w:val="20"/>
                        <w:lang w:eastAsia="en-US"/>
                      </w:rPr>
                      <m:t>dθ</m:t>
                    </m:r>
                  </m:num>
                  <m:den>
                    <m:r>
                      <w:rPr>
                        <w:rFonts w:ascii="Cambria Math" w:eastAsia="Times New Roman" w:hAnsi="Cambria Math"/>
                        <w:sz w:val="20"/>
                        <w:szCs w:val="20"/>
                        <w:lang w:eastAsia="en-US"/>
                      </w:rPr>
                      <m:t>dt</m:t>
                    </m:r>
                  </m:den>
                </m:f>
                <m:r>
                  <w:rPr>
                    <w:rFonts w:ascii="Cambria Math" w:eastAsia="Times New Roman" w:hAnsi="Cambria Math"/>
                    <w:sz w:val="20"/>
                    <w:szCs w:val="20"/>
                    <w:lang w:eastAsia="en-US"/>
                  </w:rPr>
                  <m:t>=-γe</m:t>
                </m:r>
                <m:f>
                  <m:fPr>
                    <m:ctrlPr>
                      <w:rPr>
                        <w:rFonts w:ascii="Cambria Math" w:eastAsia="Times New Roman" w:hAnsi="Cambria Math"/>
                        <w:i/>
                        <w:sz w:val="20"/>
                        <w:szCs w:val="20"/>
                        <w:lang w:eastAsia="en-US"/>
                      </w:rPr>
                    </m:ctrlPr>
                  </m:fPr>
                  <m:num>
                    <m:r>
                      <w:rPr>
                        <w:rFonts w:ascii="Cambria Math" w:eastAsia="Calibri" w:hAnsi="Cambria Math"/>
                        <w:sz w:val="20"/>
                        <w:szCs w:val="20"/>
                        <w:lang w:eastAsia="en-US"/>
                      </w:rPr>
                      <m:t>K</m:t>
                    </m:r>
                  </m:num>
                  <m:den>
                    <m:sSub>
                      <m:sSubPr>
                        <m:ctrlPr>
                          <w:rPr>
                            <w:rFonts w:ascii="Cambria Math" w:eastAsia="Times New Roman" w:hAnsi="Cambria Math"/>
                            <w:i/>
                            <w:sz w:val="20"/>
                            <w:szCs w:val="20"/>
                            <w:lang w:eastAsia="en-US"/>
                          </w:rPr>
                        </m:ctrlPr>
                      </m:sSubPr>
                      <m:e>
                        <m:r>
                          <w:rPr>
                            <w:rFonts w:ascii="Cambria Math" w:eastAsia="Calibri" w:hAnsi="Cambria Math"/>
                            <w:sz w:val="20"/>
                            <w:szCs w:val="20"/>
                            <w:lang w:eastAsia="en-US"/>
                          </w:rPr>
                          <m:t>K</m:t>
                        </m:r>
                      </m:e>
                      <m:sub>
                        <m:r>
                          <w:rPr>
                            <w:rFonts w:ascii="Cambria Math" w:eastAsia="Calibri" w:hAnsi="Cambria Math"/>
                            <w:sz w:val="20"/>
                            <w:szCs w:val="20"/>
                            <w:lang w:eastAsia="en-US"/>
                          </w:rPr>
                          <m:t>m</m:t>
                        </m:r>
                      </m:sub>
                    </m:sSub>
                  </m:den>
                </m:f>
                <m:sSub>
                  <m:sSubPr>
                    <m:ctrlPr>
                      <w:rPr>
                        <w:rFonts w:ascii="Cambria Math" w:eastAsia="Times New Roman" w:hAnsi="Cambria Math"/>
                        <w:i/>
                        <w:sz w:val="20"/>
                        <w:szCs w:val="20"/>
                        <w:lang w:eastAsia="en-US"/>
                      </w:rPr>
                    </m:ctrlPr>
                  </m:sSubPr>
                  <m:e>
                    <m:r>
                      <w:rPr>
                        <w:rFonts w:ascii="Cambria Math" w:eastAsia="Times New Roman" w:hAnsi="Cambria Math"/>
                        <w:sz w:val="20"/>
                        <w:szCs w:val="20"/>
                        <w:lang w:eastAsia="en-US"/>
                      </w:rPr>
                      <m:t>y</m:t>
                    </m:r>
                  </m:e>
                  <m:sub>
                    <m:r>
                      <w:rPr>
                        <w:rFonts w:ascii="Cambria Math" w:eastAsia="Times New Roman" w:hAnsi="Cambria Math"/>
                        <w:sz w:val="20"/>
                        <w:szCs w:val="20"/>
                        <w:lang w:eastAsia="en-US"/>
                      </w:rPr>
                      <m:t>m</m:t>
                    </m:r>
                  </m:sub>
                </m:sSub>
                <m:r>
                  <w:rPr>
                    <w:rFonts w:ascii="Cambria Math" w:eastAsia="Times New Roman" w:hAnsi="Cambria Math"/>
                    <w:sz w:val="20"/>
                    <w:szCs w:val="20"/>
                    <w:lang w:eastAsia="en-US"/>
                  </w:rPr>
                  <m:t>=-</m:t>
                </m:r>
                <m:sSup>
                  <m:sSupPr>
                    <m:ctrlPr>
                      <w:rPr>
                        <w:rFonts w:ascii="Cambria Math" w:eastAsia="Times New Roman" w:hAnsi="Cambria Math"/>
                        <w:i/>
                        <w:sz w:val="20"/>
                        <w:szCs w:val="20"/>
                        <w:lang w:eastAsia="en-US"/>
                      </w:rPr>
                    </m:ctrlPr>
                  </m:sSupPr>
                  <m:e>
                    <m:r>
                      <w:rPr>
                        <w:rFonts w:ascii="Cambria Math" w:eastAsia="Times New Roman" w:hAnsi="Cambria Math"/>
                        <w:sz w:val="20"/>
                        <w:szCs w:val="20"/>
                        <w:lang w:eastAsia="en-US"/>
                      </w:rPr>
                      <m:t>γ</m:t>
                    </m:r>
                  </m:e>
                  <m:sup>
                    <m:r>
                      <w:rPr>
                        <w:rFonts w:ascii="Cambria Math" w:eastAsia="Times New Roman" w:hAnsi="Cambria Math"/>
                        <w:sz w:val="20"/>
                        <w:szCs w:val="20"/>
                        <w:lang w:eastAsia="en-US"/>
                      </w:rPr>
                      <m:t>'</m:t>
                    </m:r>
                  </m:sup>
                </m:sSup>
                <m:r>
                  <w:rPr>
                    <w:rFonts w:ascii="Cambria Math" w:eastAsia="Times New Roman" w:hAnsi="Cambria Math"/>
                    <w:sz w:val="20"/>
                    <w:szCs w:val="20"/>
                    <w:lang w:eastAsia="en-US"/>
                  </w:rPr>
                  <m:t>e</m:t>
                </m:r>
                <m:sSub>
                  <m:sSubPr>
                    <m:ctrlPr>
                      <w:rPr>
                        <w:rFonts w:ascii="Cambria Math" w:eastAsia="Times New Roman" w:hAnsi="Cambria Math"/>
                        <w:i/>
                        <w:sz w:val="20"/>
                        <w:szCs w:val="20"/>
                        <w:lang w:eastAsia="en-US"/>
                      </w:rPr>
                    </m:ctrlPr>
                  </m:sSubPr>
                  <m:e>
                    <m:r>
                      <w:rPr>
                        <w:rFonts w:ascii="Cambria Math" w:eastAsia="Times New Roman" w:hAnsi="Cambria Math"/>
                        <w:sz w:val="20"/>
                        <w:szCs w:val="20"/>
                        <w:lang w:eastAsia="en-US"/>
                      </w:rPr>
                      <m:t>y</m:t>
                    </m:r>
                  </m:e>
                  <m:sub>
                    <m:r>
                      <w:rPr>
                        <w:rFonts w:ascii="Cambria Math" w:eastAsia="Times New Roman" w:hAnsi="Cambria Math"/>
                        <w:sz w:val="20"/>
                        <w:szCs w:val="20"/>
                        <w:lang w:eastAsia="en-US"/>
                      </w:rPr>
                      <m:t>m</m:t>
                    </m:r>
                  </m:sub>
                </m:sSub>
              </m:oMath>
            </m:oMathPara>
          </w:p>
        </w:tc>
        <w:tc>
          <w:tcPr>
            <w:tcW w:w="584" w:type="dxa"/>
            <w:vAlign w:val="center"/>
          </w:tcPr>
          <w:p w14:paraId="0E105C98" w14:textId="77777777" w:rsidR="00B01298" w:rsidRPr="00C573F2" w:rsidRDefault="00B01298" w:rsidP="00C573F2">
            <w:pPr>
              <w:jc w:val="both"/>
              <w:outlineLvl w:val="0"/>
              <w:rPr>
                <w:sz w:val="20"/>
                <w:szCs w:val="20"/>
              </w:rPr>
            </w:pPr>
            <w:r w:rsidRPr="00C573F2">
              <w:rPr>
                <w:rFonts w:eastAsia="Times New Roman"/>
                <w:sz w:val="20"/>
                <w:szCs w:val="20"/>
                <w:lang w:eastAsia="en-US"/>
              </w:rPr>
              <w:t>(9)</w:t>
            </w:r>
          </w:p>
        </w:tc>
      </w:tr>
    </w:tbl>
    <w:p w14:paraId="7CB1BA6E" w14:textId="77777777" w:rsidR="00B01298" w:rsidRPr="00C573F2" w:rsidRDefault="00B01298" w:rsidP="00C573F2">
      <w:pPr>
        <w:jc w:val="both"/>
        <w:outlineLvl w:val="0"/>
        <w:rPr>
          <w:rFonts w:eastAsia="Times New Roman"/>
          <w:sz w:val="20"/>
          <w:szCs w:val="20"/>
          <w:lang w:eastAsia="en-US"/>
        </w:rPr>
      </w:pPr>
    </w:p>
    <w:p w14:paraId="494A028D" w14:textId="77777777" w:rsidR="00E65F2A" w:rsidRDefault="00E65F2A" w:rsidP="00C573F2">
      <w:pPr>
        <w:jc w:val="both"/>
        <w:outlineLvl w:val="0"/>
        <w:rPr>
          <w:sz w:val="20"/>
          <w:szCs w:val="20"/>
        </w:rPr>
      </w:pPr>
      <w:r w:rsidRPr="00C573F2">
        <w:rPr>
          <w:sz w:val="20"/>
          <w:szCs w:val="20"/>
        </w:rPr>
        <w:t>The obtained adjusting law in Eq. (</w:t>
      </w:r>
      <w:r w:rsidR="00753A06" w:rsidRPr="00C573F2">
        <w:rPr>
          <w:sz w:val="20"/>
          <w:szCs w:val="20"/>
        </w:rPr>
        <w:t>9</w:t>
      </w:r>
      <w:r w:rsidRPr="00C573F2">
        <w:rPr>
          <w:sz w:val="20"/>
          <w:szCs w:val="20"/>
        </w:rPr>
        <w:t xml:space="preserve">) was used to determine the control parameter </w:t>
      </w:r>
      <w:r w:rsidRPr="00C573F2">
        <w:rPr>
          <w:i/>
          <w:iCs/>
          <w:sz w:val="20"/>
          <w:szCs w:val="20"/>
        </w:rPr>
        <w:t>θ</w:t>
      </w:r>
      <w:r w:rsidRPr="00C573F2">
        <w:rPr>
          <w:sz w:val="20"/>
          <w:szCs w:val="20"/>
        </w:rPr>
        <w:t xml:space="preserve">. The Simulink block diagram of the MRAC using MIT rule is shown in Figure </w:t>
      </w:r>
      <w:r w:rsidR="00CD4500" w:rsidRPr="00C573F2">
        <w:rPr>
          <w:sz w:val="20"/>
          <w:szCs w:val="20"/>
        </w:rPr>
        <w:t>3</w:t>
      </w:r>
      <w:r w:rsidRPr="00C573F2">
        <w:rPr>
          <w:sz w:val="20"/>
          <w:szCs w:val="20"/>
        </w:rPr>
        <w:t>.</w:t>
      </w:r>
    </w:p>
    <w:p w14:paraId="589712B0" w14:textId="77777777" w:rsidR="00EB0C5B" w:rsidRPr="00C573F2" w:rsidRDefault="00EB0C5B" w:rsidP="00C573F2">
      <w:pPr>
        <w:jc w:val="both"/>
        <w:outlineLvl w:val="0"/>
        <w:rPr>
          <w:sz w:val="20"/>
          <w:szCs w:val="20"/>
        </w:rPr>
      </w:pPr>
    </w:p>
    <w:p w14:paraId="3750A6FA" w14:textId="77777777" w:rsidR="0061434D" w:rsidRPr="00C573F2" w:rsidRDefault="0061434D" w:rsidP="00C573F2">
      <w:pPr>
        <w:jc w:val="both"/>
        <w:outlineLvl w:val="0"/>
        <w:rPr>
          <w:rFonts w:eastAsia="Times New Roman"/>
          <w:sz w:val="20"/>
          <w:szCs w:val="20"/>
          <w:lang w:eastAsia="en-US"/>
        </w:rPr>
      </w:pPr>
    </w:p>
    <w:p w14:paraId="2C2290CD" w14:textId="77777777" w:rsidR="00E65F2A" w:rsidRPr="00C573F2" w:rsidRDefault="00E65F2A" w:rsidP="00C573F2">
      <w:pPr>
        <w:keepNext/>
        <w:spacing w:afterLines="100" w:after="240"/>
        <w:jc w:val="both"/>
        <w:rPr>
          <w:rFonts w:eastAsia="Calibri" w:cs="Calibri"/>
          <w:noProof/>
          <w:sz w:val="20"/>
          <w:szCs w:val="20"/>
          <w:lang w:eastAsia="en-US"/>
        </w:rPr>
      </w:pPr>
      <w:r w:rsidRPr="00C573F2">
        <w:rPr>
          <w:rFonts w:eastAsia="Calibri" w:cs="Calibri"/>
          <w:noProof/>
          <w:sz w:val="20"/>
          <w:szCs w:val="20"/>
          <w:lang w:val="en-US" w:eastAsia="en-US"/>
        </w:rPr>
        <w:drawing>
          <wp:inline distT="0" distB="0" distL="0" distR="0" wp14:anchorId="3CBEFC02" wp14:editId="05D6B14C">
            <wp:extent cx="5486400" cy="2560320"/>
            <wp:effectExtent l="0" t="0" r="0" b="0"/>
            <wp:docPr id="5" name="Pictur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2560320"/>
                    </a:xfrm>
                    <a:prstGeom prst="rect">
                      <a:avLst/>
                    </a:prstGeom>
                    <a:noFill/>
                    <a:ln>
                      <a:noFill/>
                    </a:ln>
                  </pic:spPr>
                </pic:pic>
              </a:graphicData>
            </a:graphic>
          </wp:inline>
        </w:drawing>
      </w:r>
    </w:p>
    <w:p w14:paraId="4519C2FE" w14:textId="7A52C975" w:rsidR="00E65F2A" w:rsidRPr="00C573F2" w:rsidRDefault="00E65F2A" w:rsidP="00C573F2">
      <w:pPr>
        <w:jc w:val="center"/>
        <w:outlineLvl w:val="0"/>
        <w:rPr>
          <w:rFonts w:eastAsia="Times New Roman"/>
          <w:sz w:val="20"/>
          <w:szCs w:val="20"/>
          <w:lang w:eastAsia="en-US"/>
        </w:rPr>
      </w:pPr>
      <w:bookmarkStart w:id="3" w:name="_Toc457174343"/>
      <w:bookmarkStart w:id="4" w:name="_Toc457058934"/>
      <w:r w:rsidRPr="00C573F2">
        <w:rPr>
          <w:rFonts w:eastAsia="Times New Roman"/>
          <w:sz w:val="20"/>
          <w:szCs w:val="20"/>
          <w:lang w:eastAsia="en-US"/>
        </w:rPr>
        <w:t xml:space="preserve">Figure </w:t>
      </w:r>
      <w:r w:rsidR="00CD4500" w:rsidRPr="00C573F2">
        <w:rPr>
          <w:rFonts w:eastAsia="Times New Roman"/>
          <w:sz w:val="20"/>
          <w:szCs w:val="20"/>
          <w:lang w:eastAsia="en-US"/>
        </w:rPr>
        <w:t>3</w:t>
      </w:r>
      <w:r w:rsidR="00185B97">
        <w:rPr>
          <w:rFonts w:eastAsia="Times New Roman"/>
          <w:sz w:val="20"/>
          <w:szCs w:val="20"/>
          <w:lang w:eastAsia="en-US"/>
        </w:rPr>
        <w:t>.</w:t>
      </w:r>
      <w:r w:rsidRPr="00C573F2">
        <w:rPr>
          <w:rFonts w:eastAsia="Times New Roman"/>
          <w:sz w:val="20"/>
          <w:szCs w:val="20"/>
          <w:lang w:eastAsia="en-US"/>
        </w:rPr>
        <w:t xml:space="preserve"> The Simulink block diagram of the MRAC scheme using MIT rule</w:t>
      </w:r>
      <w:bookmarkEnd w:id="3"/>
      <w:bookmarkEnd w:id="4"/>
    </w:p>
    <w:p w14:paraId="085A5ECC" w14:textId="77777777" w:rsidR="00E65F2A" w:rsidRPr="00C573F2" w:rsidRDefault="00E65F2A" w:rsidP="00C573F2">
      <w:pPr>
        <w:jc w:val="both"/>
        <w:outlineLvl w:val="0"/>
        <w:rPr>
          <w:rFonts w:eastAsia="Times New Roman"/>
          <w:sz w:val="20"/>
          <w:szCs w:val="20"/>
          <w:lang w:eastAsia="en-US"/>
        </w:rPr>
      </w:pPr>
    </w:p>
    <w:p w14:paraId="0DF36764" w14:textId="4415FF2E" w:rsidR="00E65F2A" w:rsidRPr="00C573F2" w:rsidRDefault="00E65F2A" w:rsidP="00C573F2">
      <w:pPr>
        <w:jc w:val="both"/>
        <w:rPr>
          <w:rFonts w:eastAsia="Times New Roman"/>
          <w:sz w:val="20"/>
          <w:szCs w:val="20"/>
          <w:lang w:eastAsia="en-US"/>
        </w:rPr>
      </w:pPr>
      <w:r w:rsidRPr="00C573F2">
        <w:rPr>
          <w:rFonts w:eastAsia="Times New Roman"/>
          <w:noProof/>
          <w:sz w:val="20"/>
          <w:szCs w:val="20"/>
          <w:lang w:val="en-US" w:eastAsia="en-US"/>
        </w:rPr>
        <mc:AlternateContent>
          <mc:Choice Requires="wps">
            <w:drawing>
              <wp:anchor distT="0" distB="0" distL="114300" distR="114300" simplePos="0" relativeHeight="251659264" behindDoc="0" locked="0" layoutInCell="1" allowOverlap="1" wp14:anchorId="185C588D" wp14:editId="29BDC595">
                <wp:simplePos x="0" y="0"/>
                <wp:positionH relativeFrom="column">
                  <wp:posOffset>8439785</wp:posOffset>
                </wp:positionH>
                <wp:positionV relativeFrom="paragraph">
                  <wp:posOffset>233045</wp:posOffset>
                </wp:positionV>
                <wp:extent cx="418465" cy="326390"/>
                <wp:effectExtent l="7938" t="0" r="27622" b="27623"/>
                <wp:wrapNone/>
                <wp:docPr id="9" name="Text Box 42"/>
                <wp:cNvGraphicFramePr/>
                <a:graphic xmlns:a="http://schemas.openxmlformats.org/drawingml/2006/main">
                  <a:graphicData uri="http://schemas.microsoft.com/office/word/2010/wordprocessingShape">
                    <wps:wsp>
                      <wps:cNvSpPr txBox="1"/>
                      <wps:spPr>
                        <a:xfrm rot="5400000">
                          <a:off x="0" y="0"/>
                          <a:ext cx="418465" cy="326390"/>
                        </a:xfrm>
                        <a:prstGeom prst="rect">
                          <a:avLst/>
                        </a:prstGeom>
                        <a:solidFill>
                          <a:sysClr val="window" lastClr="FFFFFF"/>
                        </a:solidFill>
                        <a:ln w="6350">
                          <a:solidFill>
                            <a:sysClr val="window" lastClr="FFFFFF"/>
                          </a:solidFill>
                        </a:ln>
                        <a:effectLst/>
                      </wps:spPr>
                      <wps:txbx>
                        <w:txbxContent>
                          <w:p w14:paraId="223AEAAF" w14:textId="77777777" w:rsidR="00EB0C5B" w:rsidRDefault="00EB0C5B" w:rsidP="00E65F2A">
                            <w:pPr>
                              <w:shd w:val="clear" w:color="auto" w:fill="FFFFFF" w:themeFill="background1"/>
                            </w:pPr>
                            <w:r>
                              <w:t>123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85C588D" id="_x0000_t202" coordsize="21600,21600" o:spt="202" path="m,l,21600r21600,l21600,xe">
                <v:stroke joinstyle="miter"/>
                <v:path gradientshapeok="t" o:connecttype="rect"/>
              </v:shapetype>
              <v:shape id="Text Box 42" o:spid="_x0000_s1026" type="#_x0000_t202" style="position:absolute;left:0;text-align:left;margin-left:664.55pt;margin-top:18.35pt;width:32.95pt;height:25.7pt;rotation:90;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" fillcolor="window" strokecolor="window" strokeweight=".5pt">
                <v:textbox>
                  <w:txbxContent>
                    <w:p w14:paraId="223AEAAF" w14:textId="77777777" w:rsidR="00EB0C5B" w:rsidRDefault="00EB0C5B" w:rsidP="00E65F2A">
                      <w:pPr>
                        <w:shd w:val="clear" w:color="auto" w:fill="FFFFFF" w:themeFill="background1"/>
                      </w:pPr>
                      <w:r>
                        <w:t>123</w:t>
                      </w:r>
                    </w:p>
                  </w:txbxContent>
                </v:textbox>
              </v:shape>
            </w:pict>
          </mc:Fallback>
        </mc:AlternateContent>
      </w:r>
      <w:bookmarkStart w:id="5" w:name="_Toc457251921"/>
      <w:bookmarkStart w:id="6" w:name="_Toc456816657"/>
      <w:r w:rsidRPr="00C573F2">
        <w:rPr>
          <w:rFonts w:eastAsia="Times New Roman"/>
          <w:b/>
          <w:bCs/>
          <w:iCs/>
          <w:spacing w:val="-8"/>
          <w:sz w:val="20"/>
          <w:szCs w:val="20"/>
          <w:lang w:eastAsia="en-US"/>
        </w:rPr>
        <w:t xml:space="preserve">The </w:t>
      </w:r>
      <w:r w:rsidR="00185B97">
        <w:rPr>
          <w:rFonts w:eastAsia="Times New Roman"/>
          <w:b/>
          <w:bCs/>
          <w:iCs/>
          <w:spacing w:val="-8"/>
          <w:sz w:val="20"/>
          <w:szCs w:val="20"/>
          <w:lang w:eastAsia="en-US"/>
        </w:rPr>
        <w:t>n</w:t>
      </w:r>
      <w:r w:rsidRPr="00C573F2">
        <w:rPr>
          <w:rFonts w:eastAsia="Times New Roman"/>
          <w:b/>
          <w:bCs/>
          <w:iCs/>
          <w:spacing w:val="-8"/>
          <w:sz w:val="20"/>
          <w:szCs w:val="20"/>
          <w:lang w:eastAsia="en-US"/>
        </w:rPr>
        <w:t xml:space="preserve">ormalized MIT </w:t>
      </w:r>
      <w:r w:rsidR="00185B97">
        <w:rPr>
          <w:rFonts w:eastAsia="Times New Roman"/>
          <w:b/>
          <w:bCs/>
          <w:iCs/>
          <w:spacing w:val="-8"/>
          <w:sz w:val="20"/>
          <w:szCs w:val="20"/>
          <w:lang w:eastAsia="en-US"/>
        </w:rPr>
        <w:t>r</w:t>
      </w:r>
      <w:r w:rsidRPr="00C573F2">
        <w:rPr>
          <w:rFonts w:eastAsia="Times New Roman"/>
          <w:b/>
          <w:bCs/>
          <w:iCs/>
          <w:spacing w:val="-8"/>
          <w:sz w:val="20"/>
          <w:szCs w:val="20"/>
          <w:lang w:eastAsia="en-US"/>
        </w:rPr>
        <w:t>ule</w:t>
      </w:r>
      <w:bookmarkEnd w:id="5"/>
      <w:bookmarkEnd w:id="6"/>
    </w:p>
    <w:p w14:paraId="4DD23268" w14:textId="52B5B936" w:rsidR="00E65F2A" w:rsidRPr="00C573F2" w:rsidRDefault="00E65F2A" w:rsidP="00C573F2">
      <w:pPr>
        <w:jc w:val="both"/>
        <w:outlineLvl w:val="0"/>
        <w:rPr>
          <w:sz w:val="20"/>
          <w:szCs w:val="20"/>
        </w:rPr>
      </w:pPr>
      <w:r w:rsidRPr="00C573F2">
        <w:rPr>
          <w:sz w:val="20"/>
          <w:szCs w:val="20"/>
        </w:rPr>
        <w:t>As known, the selection of the adaptation gain in some industrial applications is critical and its value depends on the signal levels. For example, with increasing the adaptation gain the convergence conditions change, which means the convergence rate, is depended on adaptation gain and the system can be unstable for large reference input values.  To overcome the mentioned problems, the MIT rule was normalized as follows</w:t>
      </w:r>
      <w:r w:rsidR="00EB0C5B">
        <w:rPr>
          <w:sz w:val="20"/>
          <w:szCs w:val="20"/>
        </w:rPr>
        <w:t xml:space="preserve"> (equation 10)</w:t>
      </w:r>
      <w:r w:rsidRPr="00C573F2">
        <w:rPr>
          <w:sz w:val="20"/>
          <w:szCs w:val="20"/>
        </w:rPr>
        <w:t>:</w:t>
      </w:r>
    </w:p>
    <w:p w14:paraId="13E499C6" w14:textId="77777777" w:rsidR="00B01298" w:rsidRPr="00C573F2" w:rsidRDefault="00B01298" w:rsidP="00C573F2">
      <w:pPr>
        <w:jc w:val="both"/>
        <w:outlineLvl w:val="0"/>
        <w:rPr>
          <w:rFonts w:eastAsia="Times New Roman"/>
          <w:sz w:val="20"/>
          <w:szCs w:val="20"/>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8"/>
        <w:gridCol w:w="584"/>
      </w:tblGrid>
      <w:tr w:rsidR="00B01298" w:rsidRPr="00C573F2" w14:paraId="6A4E141C" w14:textId="77777777" w:rsidTr="007B05F5">
        <w:tc>
          <w:tcPr>
            <w:tcW w:w="8658" w:type="dxa"/>
            <w:vAlign w:val="center"/>
          </w:tcPr>
          <w:p w14:paraId="43EBFA2D" w14:textId="36B4D755" w:rsidR="00B01298" w:rsidRPr="00EB0C5B" w:rsidRDefault="00EB0C5B" w:rsidP="00C573F2">
            <w:pPr>
              <w:jc w:val="both"/>
              <w:outlineLvl w:val="0"/>
              <w:rPr>
                <w:sz w:val="20"/>
                <w:szCs w:val="20"/>
              </w:rPr>
            </w:pPr>
            <w:r>
              <w:rPr>
                <w:rFonts w:eastAsia="Times New Roman"/>
                <w:sz w:val="20"/>
                <w:szCs w:val="20"/>
                <w:lang w:eastAsia="en-US"/>
              </w:rPr>
              <w:t xml:space="preserve">            </w:t>
            </w:r>
            <m:oMath>
              <m:f>
                <m:fPr>
                  <m:ctrlPr>
                    <w:rPr>
                      <w:rFonts w:ascii="Cambria Math" w:eastAsia="Times New Roman" w:hAnsi="Cambria Math"/>
                      <w:i/>
                      <w:sz w:val="20"/>
                      <w:szCs w:val="20"/>
                      <w:lang w:eastAsia="en-US"/>
                    </w:rPr>
                  </m:ctrlPr>
                </m:fPr>
                <m:num>
                  <m:r>
                    <w:rPr>
                      <w:rFonts w:ascii="Cambria Math" w:eastAsia="Times New Roman" w:hAnsi="Cambria Math"/>
                      <w:sz w:val="20"/>
                      <w:szCs w:val="20"/>
                      <w:lang w:eastAsia="en-US"/>
                    </w:rPr>
                    <m:t>dθ</m:t>
                  </m:r>
                </m:num>
                <m:den>
                  <m:r>
                    <w:rPr>
                      <w:rFonts w:ascii="Cambria Math" w:eastAsia="Times New Roman" w:hAnsi="Cambria Math"/>
                      <w:sz w:val="20"/>
                      <w:szCs w:val="20"/>
                      <w:lang w:eastAsia="en-US"/>
                    </w:rPr>
                    <m:t>dt</m:t>
                  </m:r>
                </m:den>
              </m:f>
              <m:r>
                <w:rPr>
                  <w:rFonts w:ascii="Cambria Math" w:eastAsia="Times New Roman" w:hAnsi="Cambria Math"/>
                  <w:sz w:val="20"/>
                  <w:szCs w:val="20"/>
                  <w:lang w:eastAsia="en-US"/>
                </w:rPr>
                <m:t>=-γ φ e</m:t>
              </m:r>
            </m:oMath>
          </w:p>
        </w:tc>
        <w:tc>
          <w:tcPr>
            <w:tcW w:w="584" w:type="dxa"/>
            <w:vAlign w:val="center"/>
          </w:tcPr>
          <w:p w14:paraId="4EE9617F" w14:textId="77777777" w:rsidR="00B01298" w:rsidRPr="00C573F2" w:rsidRDefault="00B01298" w:rsidP="00C573F2">
            <w:pPr>
              <w:jc w:val="both"/>
              <w:outlineLvl w:val="0"/>
              <w:rPr>
                <w:sz w:val="20"/>
                <w:szCs w:val="20"/>
              </w:rPr>
            </w:pPr>
            <w:r w:rsidRPr="00C573F2">
              <w:rPr>
                <w:rFonts w:eastAsia="Times New Roman"/>
                <w:sz w:val="20"/>
                <w:szCs w:val="20"/>
                <w:lang w:eastAsia="en-US"/>
              </w:rPr>
              <w:t>(10)</w:t>
            </w:r>
          </w:p>
        </w:tc>
      </w:tr>
    </w:tbl>
    <w:p w14:paraId="5066613E" w14:textId="77777777" w:rsidR="00B01298" w:rsidRPr="00C573F2" w:rsidRDefault="00B01298" w:rsidP="00C573F2">
      <w:pPr>
        <w:jc w:val="both"/>
        <w:outlineLvl w:val="0"/>
        <w:rPr>
          <w:rFonts w:eastAsia="Times New Roman"/>
          <w:sz w:val="20"/>
          <w:szCs w:val="20"/>
          <w:lang w:eastAsia="en-US"/>
        </w:rPr>
      </w:pPr>
    </w:p>
    <w:p w14:paraId="02AD7705" w14:textId="77777777" w:rsidR="00E65F2A" w:rsidRPr="00C573F2" w:rsidRDefault="008C5014" w:rsidP="00C573F2">
      <w:pPr>
        <w:jc w:val="both"/>
        <w:outlineLvl w:val="0"/>
        <w:rPr>
          <w:sz w:val="20"/>
          <w:szCs w:val="20"/>
        </w:rPr>
      </w:pPr>
      <w:r w:rsidRPr="00C573F2">
        <w:rPr>
          <w:sz w:val="20"/>
          <w:szCs w:val="20"/>
        </w:rPr>
        <w:t>w</w:t>
      </w:r>
      <w:r w:rsidR="00B01298" w:rsidRPr="00C573F2">
        <w:rPr>
          <w:sz w:val="20"/>
          <w:szCs w:val="20"/>
        </w:rPr>
        <w:t>here,</w:t>
      </w:r>
    </w:p>
    <w:p w14:paraId="53BBB915" w14:textId="77777777" w:rsidR="00B01298" w:rsidRPr="00C573F2" w:rsidRDefault="00B01298" w:rsidP="00C573F2">
      <w:pPr>
        <w:jc w:val="both"/>
        <w:outlineLvl w:val="0"/>
        <w:rPr>
          <w:rFonts w:eastAsia="Times New Roman"/>
          <w:sz w:val="20"/>
          <w:szCs w:val="20"/>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8"/>
        <w:gridCol w:w="584"/>
      </w:tblGrid>
      <w:tr w:rsidR="00B01298" w:rsidRPr="00C573F2" w14:paraId="2332D090" w14:textId="77777777" w:rsidTr="007B05F5">
        <w:tc>
          <w:tcPr>
            <w:tcW w:w="8658" w:type="dxa"/>
            <w:vAlign w:val="center"/>
          </w:tcPr>
          <w:p w14:paraId="63B8324C" w14:textId="208F2496" w:rsidR="00B01298" w:rsidRPr="00EB0C5B" w:rsidRDefault="00EB0C5B" w:rsidP="00C573F2">
            <w:pPr>
              <w:jc w:val="both"/>
              <w:outlineLvl w:val="0"/>
              <w:rPr>
                <w:sz w:val="20"/>
                <w:szCs w:val="20"/>
              </w:rPr>
            </w:pPr>
            <w:r>
              <w:rPr>
                <w:rFonts w:eastAsia="Times New Roman"/>
                <w:sz w:val="20"/>
                <w:szCs w:val="20"/>
                <w:lang w:eastAsia="en-US"/>
              </w:rPr>
              <w:t xml:space="preserve">            </w:t>
            </w:r>
            <m:oMath>
              <m:r>
                <w:rPr>
                  <w:rFonts w:ascii="Cambria Math" w:eastAsia="Calibri" w:hAnsi="Cambria Math"/>
                  <w:sz w:val="20"/>
                  <w:szCs w:val="20"/>
                  <w:lang w:eastAsia="en-US"/>
                </w:rPr>
                <m:t>φ=</m:t>
              </m:r>
              <m:box>
                <m:boxPr>
                  <m:ctrlPr>
                    <w:rPr>
                      <w:rFonts w:ascii="Cambria Math" w:eastAsia="Times New Roman" w:hAnsi="Cambria Math"/>
                      <w:i/>
                      <w:sz w:val="20"/>
                      <w:szCs w:val="20"/>
                      <w:lang w:eastAsia="en-US"/>
                    </w:rPr>
                  </m:ctrlPr>
                </m:boxPr>
                <m:e>
                  <m:argPr>
                    <m:argSz m:val="-1"/>
                  </m:argPr>
                  <m:r>
                    <w:rPr>
                      <w:rFonts w:ascii="Cambria Math" w:eastAsia="Calibri" w:hAnsi="Cambria Math"/>
                      <w:sz w:val="20"/>
                      <w:szCs w:val="20"/>
                      <w:lang w:eastAsia="en-US"/>
                    </w:rPr>
                    <m:t xml:space="preserve"> </m:t>
                  </m:r>
                </m:e>
              </m:box>
              <m:f>
                <m:fPr>
                  <m:ctrlPr>
                    <w:rPr>
                      <w:rFonts w:ascii="Cambria Math" w:eastAsia="Times New Roman" w:hAnsi="Cambria Math"/>
                      <w:i/>
                      <w:sz w:val="20"/>
                      <w:szCs w:val="20"/>
                      <w:lang w:eastAsia="en-US"/>
                    </w:rPr>
                  </m:ctrlPr>
                </m:fPr>
                <m:num>
                  <m:r>
                    <w:rPr>
                      <w:rFonts w:ascii="Cambria Math" w:eastAsia="Calibri" w:hAnsi="Cambria Math"/>
                      <w:sz w:val="20"/>
                      <w:szCs w:val="20"/>
                      <w:lang w:eastAsia="en-US"/>
                    </w:rPr>
                    <m:t>∂e</m:t>
                  </m:r>
                </m:num>
                <m:den>
                  <m:r>
                    <w:rPr>
                      <w:rFonts w:ascii="Cambria Math" w:eastAsia="Calibri" w:hAnsi="Cambria Math"/>
                      <w:sz w:val="20"/>
                      <w:szCs w:val="20"/>
                      <w:lang w:eastAsia="en-US"/>
                    </w:rPr>
                    <m:t>∂θ</m:t>
                  </m:r>
                </m:den>
              </m:f>
              <m:r>
                <w:rPr>
                  <w:rFonts w:ascii="Cambria Math" w:eastAsia="Calibri" w:hAnsi="Cambria Math"/>
                  <w:sz w:val="20"/>
                  <w:szCs w:val="20"/>
                  <w:lang w:eastAsia="en-US"/>
                </w:rPr>
                <m:t>=</m:t>
              </m:r>
              <m:f>
                <m:fPr>
                  <m:ctrlPr>
                    <w:rPr>
                      <w:rFonts w:ascii="Cambria Math" w:eastAsia="Times New Roman" w:hAnsi="Cambria Math"/>
                      <w:i/>
                      <w:sz w:val="20"/>
                      <w:szCs w:val="20"/>
                      <w:lang w:eastAsia="en-US"/>
                    </w:rPr>
                  </m:ctrlPr>
                </m:fPr>
                <m:num>
                  <m:r>
                    <w:rPr>
                      <w:rFonts w:ascii="Cambria Math" w:eastAsia="Calibri" w:hAnsi="Cambria Math"/>
                      <w:sz w:val="20"/>
                      <w:szCs w:val="20"/>
                      <w:lang w:eastAsia="en-US"/>
                    </w:rPr>
                    <m:t>K</m:t>
                  </m:r>
                </m:num>
                <m:den>
                  <m:sSub>
                    <m:sSubPr>
                      <m:ctrlPr>
                        <w:rPr>
                          <w:rFonts w:ascii="Cambria Math" w:eastAsia="Times New Roman" w:hAnsi="Cambria Math"/>
                          <w:i/>
                          <w:sz w:val="20"/>
                          <w:szCs w:val="20"/>
                          <w:lang w:eastAsia="en-US"/>
                        </w:rPr>
                      </m:ctrlPr>
                    </m:sSubPr>
                    <m:e>
                      <m:r>
                        <w:rPr>
                          <w:rFonts w:ascii="Cambria Math" w:eastAsia="Calibri" w:hAnsi="Cambria Math"/>
                          <w:sz w:val="20"/>
                          <w:szCs w:val="20"/>
                          <w:lang w:eastAsia="en-US"/>
                        </w:rPr>
                        <m:t>K</m:t>
                      </m:r>
                    </m:e>
                    <m:sub>
                      <m:r>
                        <w:rPr>
                          <w:rFonts w:ascii="Cambria Math" w:eastAsia="Calibri" w:hAnsi="Cambria Math"/>
                          <w:sz w:val="20"/>
                          <w:szCs w:val="20"/>
                          <w:lang w:eastAsia="en-US"/>
                        </w:rPr>
                        <m:t>m</m:t>
                      </m:r>
                    </m:sub>
                  </m:sSub>
                </m:den>
              </m:f>
              <m:sSub>
                <m:sSubPr>
                  <m:ctrlPr>
                    <w:rPr>
                      <w:rFonts w:ascii="Cambria Math" w:eastAsia="Times New Roman" w:hAnsi="Cambria Math"/>
                      <w:i/>
                      <w:sz w:val="20"/>
                      <w:szCs w:val="20"/>
                      <w:lang w:eastAsia="en-US"/>
                    </w:rPr>
                  </m:ctrlPr>
                </m:sSubPr>
                <m:e>
                  <m:r>
                    <w:rPr>
                      <w:rFonts w:ascii="Cambria Math" w:eastAsia="Calibri" w:hAnsi="Cambria Math"/>
                      <w:sz w:val="20"/>
                      <w:szCs w:val="20"/>
                      <w:lang w:eastAsia="en-US"/>
                    </w:rPr>
                    <m:t>y</m:t>
                  </m:r>
                </m:e>
                <m:sub>
                  <m:r>
                    <w:rPr>
                      <w:rFonts w:ascii="Cambria Math" w:eastAsia="Calibri" w:hAnsi="Cambria Math"/>
                      <w:sz w:val="20"/>
                      <w:szCs w:val="20"/>
                      <w:lang w:eastAsia="en-US"/>
                    </w:rPr>
                    <m:t>m</m:t>
                  </m:r>
                </m:sub>
              </m:sSub>
            </m:oMath>
          </w:p>
        </w:tc>
        <w:tc>
          <w:tcPr>
            <w:tcW w:w="584" w:type="dxa"/>
            <w:vAlign w:val="center"/>
          </w:tcPr>
          <w:p w14:paraId="2C6E6C05" w14:textId="77777777" w:rsidR="00B01298" w:rsidRPr="00C573F2" w:rsidRDefault="00B01298" w:rsidP="00C573F2">
            <w:pPr>
              <w:jc w:val="both"/>
              <w:outlineLvl w:val="0"/>
              <w:rPr>
                <w:sz w:val="20"/>
                <w:szCs w:val="20"/>
              </w:rPr>
            </w:pPr>
            <w:r w:rsidRPr="00C573F2">
              <w:rPr>
                <w:rFonts w:eastAsia="Times New Roman"/>
                <w:sz w:val="20"/>
                <w:szCs w:val="20"/>
                <w:lang w:eastAsia="en-US"/>
              </w:rPr>
              <w:t>(11)</w:t>
            </w:r>
          </w:p>
        </w:tc>
      </w:tr>
    </w:tbl>
    <w:p w14:paraId="6F77E87F" w14:textId="77777777" w:rsidR="00B01298" w:rsidRPr="00C573F2" w:rsidRDefault="00B01298" w:rsidP="00C573F2">
      <w:pPr>
        <w:jc w:val="both"/>
        <w:outlineLvl w:val="0"/>
        <w:rPr>
          <w:rFonts w:eastAsia="Times New Roman"/>
          <w:sz w:val="20"/>
          <w:szCs w:val="20"/>
          <w:lang w:eastAsia="en-US"/>
        </w:rPr>
      </w:pPr>
    </w:p>
    <w:p w14:paraId="661F3537" w14:textId="4B08C878" w:rsidR="00E65F2A" w:rsidRDefault="00EB0C5B" w:rsidP="00C573F2">
      <w:pPr>
        <w:jc w:val="both"/>
        <w:outlineLvl w:val="0"/>
        <w:rPr>
          <w:sz w:val="20"/>
          <w:szCs w:val="20"/>
        </w:rPr>
      </w:pPr>
      <w:r>
        <w:rPr>
          <w:sz w:val="20"/>
          <w:szCs w:val="20"/>
        </w:rPr>
        <w:t>a</w:t>
      </w:r>
      <w:r w:rsidR="00E65F2A" w:rsidRPr="00C573F2">
        <w:rPr>
          <w:sz w:val="20"/>
          <w:szCs w:val="20"/>
        </w:rPr>
        <w:t>nd also</w:t>
      </w:r>
    </w:p>
    <w:p w14:paraId="37F519FF" w14:textId="77777777" w:rsidR="00EB0C5B" w:rsidRPr="00C573F2" w:rsidRDefault="00EB0C5B" w:rsidP="00C573F2">
      <w:pPr>
        <w:jc w:val="both"/>
        <w:outlineLvl w:val="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8"/>
        <w:gridCol w:w="584"/>
      </w:tblGrid>
      <w:tr w:rsidR="00B01298" w:rsidRPr="00C573F2" w14:paraId="5B9FC5CA" w14:textId="77777777" w:rsidTr="007B05F5">
        <w:tc>
          <w:tcPr>
            <w:tcW w:w="8658" w:type="dxa"/>
            <w:vAlign w:val="center"/>
          </w:tcPr>
          <w:p w14:paraId="56495A2B" w14:textId="75722B54" w:rsidR="00B01298" w:rsidRPr="00EB0C5B" w:rsidRDefault="00EB0C5B" w:rsidP="00C573F2">
            <w:pPr>
              <w:jc w:val="both"/>
              <w:outlineLvl w:val="0"/>
              <w:rPr>
                <w:sz w:val="20"/>
                <w:szCs w:val="20"/>
              </w:rPr>
            </w:pPr>
            <m:oMathPara>
              <m:oMathParaPr>
                <m:jc m:val="left"/>
              </m:oMathParaPr>
              <m:oMath>
                <m:r>
                  <w:rPr>
                    <w:rFonts w:ascii="Cambria Math" w:eastAsia="Times New Roman" w:hAnsi="Cambria Math"/>
                    <w:sz w:val="20"/>
                    <w:szCs w:val="20"/>
                    <w:lang w:eastAsia="en-US"/>
                  </w:rPr>
                  <m:t xml:space="preserve">              </m:t>
                </m:r>
                <m:f>
                  <m:fPr>
                    <m:ctrlPr>
                      <w:rPr>
                        <w:rFonts w:ascii="Cambria Math" w:eastAsia="Times New Roman" w:hAnsi="Cambria Math"/>
                        <w:i/>
                        <w:sz w:val="20"/>
                        <w:szCs w:val="20"/>
                        <w:lang w:eastAsia="en-US"/>
                      </w:rPr>
                    </m:ctrlPr>
                  </m:fPr>
                  <m:num>
                    <m:r>
                      <w:rPr>
                        <w:rFonts w:ascii="Cambria Math" w:eastAsia="Times New Roman" w:hAnsi="Cambria Math"/>
                        <w:sz w:val="20"/>
                        <w:szCs w:val="20"/>
                        <w:lang w:eastAsia="en-US"/>
                      </w:rPr>
                      <m:t>dθ</m:t>
                    </m:r>
                  </m:num>
                  <m:den>
                    <m:r>
                      <w:rPr>
                        <w:rFonts w:ascii="Cambria Math" w:eastAsia="Times New Roman" w:hAnsi="Cambria Math"/>
                        <w:sz w:val="20"/>
                        <w:szCs w:val="20"/>
                        <w:lang w:eastAsia="en-US"/>
                      </w:rPr>
                      <m:t>dt</m:t>
                    </m:r>
                  </m:den>
                </m:f>
                <m:r>
                  <w:rPr>
                    <w:rFonts w:ascii="Cambria Math" w:eastAsia="Times New Roman" w:hAnsi="Cambria Math"/>
                    <w:sz w:val="20"/>
                    <w:szCs w:val="20"/>
                    <w:lang w:eastAsia="en-US"/>
                  </w:rPr>
                  <m:t>=-γ φ e/(α+</m:t>
                </m:r>
                <m:sSup>
                  <m:sSupPr>
                    <m:ctrlPr>
                      <w:rPr>
                        <w:rFonts w:ascii="Cambria Math" w:eastAsia="Times New Roman" w:hAnsi="Cambria Math"/>
                        <w:i/>
                        <w:sz w:val="20"/>
                        <w:szCs w:val="20"/>
                        <w:lang w:eastAsia="en-US"/>
                      </w:rPr>
                    </m:ctrlPr>
                  </m:sSupPr>
                  <m:e>
                    <m:r>
                      <w:rPr>
                        <w:rFonts w:ascii="Cambria Math" w:eastAsia="Times New Roman" w:hAnsi="Cambria Math"/>
                        <w:sz w:val="20"/>
                        <w:szCs w:val="20"/>
                        <w:lang w:eastAsia="en-US"/>
                      </w:rPr>
                      <m:t>φ</m:t>
                    </m:r>
                  </m:e>
                  <m:sup>
                    <m:r>
                      <w:rPr>
                        <w:rFonts w:ascii="Cambria Math" w:eastAsia="Times New Roman" w:hAnsi="Cambria Math"/>
                        <w:sz w:val="20"/>
                        <w:szCs w:val="20"/>
                        <w:lang w:eastAsia="en-US"/>
                      </w:rPr>
                      <m:t>T</m:t>
                    </m:r>
                  </m:sup>
                </m:sSup>
                <m:r>
                  <w:rPr>
                    <w:rFonts w:ascii="Cambria Math" w:eastAsia="Times New Roman" w:hAnsi="Cambria Math"/>
                    <w:sz w:val="20"/>
                    <w:szCs w:val="20"/>
                    <w:lang w:eastAsia="en-US"/>
                  </w:rPr>
                  <m:t>φ</m:t>
                </m:r>
                <m:r>
                  <w:rPr>
                    <w:rFonts w:ascii="Cambria Math" w:eastAsia="Times New Roman" w:hAnsi="Cambria Math"/>
                    <w:sz w:val="20"/>
                    <w:szCs w:val="20"/>
                    <w:lang w:eastAsia="en-US"/>
                  </w:rPr>
                  <m:t>)</m:t>
                </m:r>
              </m:oMath>
            </m:oMathPara>
          </w:p>
        </w:tc>
        <w:tc>
          <w:tcPr>
            <w:tcW w:w="584" w:type="dxa"/>
            <w:vAlign w:val="center"/>
          </w:tcPr>
          <w:p w14:paraId="5714FFA2" w14:textId="77777777" w:rsidR="00B01298" w:rsidRPr="00C573F2" w:rsidRDefault="00B01298" w:rsidP="00C573F2">
            <w:pPr>
              <w:jc w:val="both"/>
              <w:outlineLvl w:val="0"/>
              <w:rPr>
                <w:sz w:val="20"/>
                <w:szCs w:val="20"/>
              </w:rPr>
            </w:pPr>
            <w:r w:rsidRPr="00C573F2">
              <w:rPr>
                <w:rFonts w:eastAsia="Times New Roman"/>
                <w:sz w:val="20"/>
                <w:szCs w:val="20"/>
                <w:lang w:eastAsia="en-US"/>
              </w:rPr>
              <w:t>(12)</w:t>
            </w:r>
          </w:p>
        </w:tc>
      </w:tr>
    </w:tbl>
    <w:p w14:paraId="1B73AB5B" w14:textId="77777777" w:rsidR="00B01298" w:rsidRPr="00C573F2" w:rsidRDefault="00B01298" w:rsidP="00C573F2">
      <w:pPr>
        <w:jc w:val="both"/>
        <w:outlineLvl w:val="0"/>
        <w:rPr>
          <w:rFonts w:eastAsia="Times New Roman"/>
          <w:sz w:val="20"/>
          <w:szCs w:val="20"/>
          <w:lang w:eastAsia="en-US"/>
        </w:rPr>
      </w:pPr>
    </w:p>
    <w:p w14:paraId="3F8174C9" w14:textId="77777777" w:rsidR="00E65F2A" w:rsidRPr="00C573F2" w:rsidRDefault="00E65F2A" w:rsidP="00C573F2">
      <w:pPr>
        <w:jc w:val="both"/>
        <w:outlineLvl w:val="0"/>
        <w:rPr>
          <w:rFonts w:eastAsia="Times New Roman"/>
          <w:sz w:val="20"/>
          <w:szCs w:val="20"/>
          <w:lang w:eastAsia="en-US"/>
        </w:rPr>
      </w:pPr>
      <w:r w:rsidRPr="00C573F2">
        <w:rPr>
          <w:sz w:val="20"/>
          <w:szCs w:val="20"/>
        </w:rPr>
        <w:t>This rule is known as the normalized MIT rule, where</w:t>
      </w:r>
      <w:r w:rsidRPr="00C573F2">
        <w:rPr>
          <w:rFonts w:eastAsia="Times New Roman"/>
          <w:sz w:val="20"/>
          <w:szCs w:val="20"/>
          <w:lang w:eastAsia="en-US"/>
        </w:rPr>
        <w:t xml:space="preserve"> α &gt; 0 </w:t>
      </w:r>
      <w:r w:rsidRPr="00C573F2">
        <w:rPr>
          <w:sz w:val="20"/>
          <w:szCs w:val="20"/>
        </w:rPr>
        <w:t xml:space="preserve">(positive coefficient) is introduced to avoid the zero division </w:t>
      </w:r>
      <w:r w:rsidRPr="00C573F2">
        <w:rPr>
          <w:rFonts w:eastAsia="Times New Roman"/>
          <w:sz w:val="20"/>
          <w:szCs w:val="20"/>
          <w:lang w:eastAsia="en-US"/>
        </w:rPr>
        <w:t xml:space="preserve">when </w:t>
      </w:r>
      <w:r w:rsidR="00B01298" w:rsidRPr="00C573F2">
        <w:rPr>
          <w:rFonts w:ascii="Cambria Math" w:eastAsia="SimSun" w:hAnsi="Cambria Math" w:cs="Cambria Math"/>
          <w:i/>
          <w:iCs/>
          <w:sz w:val="20"/>
          <w:szCs w:val="20"/>
        </w:rPr>
        <w:t>𝜑</w:t>
      </w:r>
      <w:r w:rsidR="00B01298" w:rsidRPr="00C573F2">
        <w:rPr>
          <w:rFonts w:asciiTheme="majorBidi" w:eastAsia="SimSun" w:hAnsiTheme="majorBidi" w:cstheme="majorBidi"/>
          <w:i/>
          <w:iCs/>
          <w:sz w:val="20"/>
          <w:szCs w:val="20"/>
          <w:vertAlign w:val="superscript"/>
        </w:rPr>
        <w:t>T</w:t>
      </w:r>
      <w:r w:rsidR="00B01298" w:rsidRPr="00C573F2">
        <w:rPr>
          <w:rFonts w:asciiTheme="majorBidi" w:eastAsia="SimSun" w:hAnsiTheme="majorBidi" w:cstheme="majorBidi"/>
          <w:i/>
          <w:iCs/>
          <w:sz w:val="20"/>
          <w:szCs w:val="20"/>
        </w:rPr>
        <w:t xml:space="preserve"> </w:t>
      </w:r>
      <w:r w:rsidR="00B01298" w:rsidRPr="00C573F2">
        <w:rPr>
          <w:rFonts w:ascii="Cambria Math" w:eastAsia="SimSun" w:hAnsi="Cambria Math" w:cs="Cambria Math"/>
          <w:i/>
          <w:iCs/>
          <w:sz w:val="20"/>
          <w:szCs w:val="20"/>
        </w:rPr>
        <w:t>𝜑</w:t>
      </w:r>
      <w:r w:rsidRPr="00C573F2">
        <w:rPr>
          <w:rFonts w:eastAsia="Times New Roman"/>
          <w:sz w:val="20"/>
          <w:szCs w:val="20"/>
          <w:lang w:eastAsia="en-US"/>
        </w:rPr>
        <w:t xml:space="preserve"> </w:t>
      </w:r>
      <w:r w:rsidRPr="00C573F2">
        <w:rPr>
          <w:sz w:val="20"/>
          <w:szCs w:val="20"/>
        </w:rPr>
        <w:t xml:space="preserve">is small. The used normalized MIT rule in the MRAC was simulated in MATLAB Simulink as shown in Figure </w:t>
      </w:r>
      <w:r w:rsidR="00CD4500" w:rsidRPr="00C573F2">
        <w:rPr>
          <w:sz w:val="20"/>
          <w:szCs w:val="20"/>
        </w:rPr>
        <w:t>4</w:t>
      </w:r>
      <w:r w:rsidRPr="00C573F2">
        <w:rPr>
          <w:sz w:val="20"/>
          <w:szCs w:val="20"/>
        </w:rPr>
        <w:t>.</w:t>
      </w:r>
    </w:p>
    <w:p w14:paraId="646A1BBC" w14:textId="77777777" w:rsidR="0061434D" w:rsidRPr="00C573F2" w:rsidRDefault="0061434D" w:rsidP="00C573F2">
      <w:pPr>
        <w:jc w:val="both"/>
        <w:outlineLvl w:val="0"/>
        <w:rPr>
          <w:rFonts w:eastAsia="Times New Roman"/>
          <w:sz w:val="20"/>
          <w:szCs w:val="20"/>
          <w:lang w:eastAsia="en-US"/>
        </w:rPr>
      </w:pPr>
    </w:p>
    <w:p w14:paraId="55B6D788" w14:textId="77777777" w:rsidR="00E65F2A" w:rsidRPr="00C573F2" w:rsidRDefault="00E65F2A" w:rsidP="004819EC">
      <w:pPr>
        <w:keepNext/>
        <w:spacing w:afterLines="100" w:after="240"/>
        <w:jc w:val="center"/>
        <w:rPr>
          <w:rFonts w:eastAsia="Calibri" w:cs="Calibri"/>
          <w:noProof/>
          <w:sz w:val="20"/>
          <w:szCs w:val="20"/>
          <w:lang w:eastAsia="en-US"/>
        </w:rPr>
      </w:pPr>
      <w:r w:rsidRPr="00C573F2">
        <w:rPr>
          <w:rFonts w:eastAsia="Calibri" w:cs="Calibri"/>
          <w:noProof/>
          <w:sz w:val="20"/>
          <w:szCs w:val="20"/>
          <w:lang w:val="en-US" w:eastAsia="en-US"/>
        </w:rPr>
        <w:drawing>
          <wp:inline distT="0" distB="0" distL="0" distR="0" wp14:anchorId="7051ACFC" wp14:editId="086620CF">
            <wp:extent cx="5486400" cy="2560320"/>
            <wp:effectExtent l="0" t="0" r="0" b="0"/>
            <wp:docPr id="6"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2560320"/>
                    </a:xfrm>
                    <a:prstGeom prst="rect">
                      <a:avLst/>
                    </a:prstGeom>
                    <a:noFill/>
                    <a:ln>
                      <a:noFill/>
                    </a:ln>
                  </pic:spPr>
                </pic:pic>
              </a:graphicData>
            </a:graphic>
          </wp:inline>
        </w:drawing>
      </w:r>
    </w:p>
    <w:p w14:paraId="62776D3F" w14:textId="427CD99C" w:rsidR="002C5B11" w:rsidRPr="00C573F2" w:rsidRDefault="00E65F2A" w:rsidP="00C573F2">
      <w:pPr>
        <w:jc w:val="center"/>
        <w:outlineLvl w:val="0"/>
        <w:rPr>
          <w:rFonts w:eastAsia="Times New Roman"/>
          <w:sz w:val="20"/>
          <w:szCs w:val="20"/>
          <w:lang w:eastAsia="en-US"/>
        </w:rPr>
      </w:pPr>
      <w:bookmarkStart w:id="7" w:name="_Toc457174344"/>
      <w:bookmarkStart w:id="8" w:name="_Toc457058935"/>
      <w:r w:rsidRPr="00C573F2">
        <w:rPr>
          <w:rFonts w:eastAsia="Times New Roman"/>
          <w:noProof/>
          <w:sz w:val="20"/>
          <w:szCs w:val="20"/>
          <w:lang w:val="en-US" w:eastAsia="en-US"/>
        </w:rPr>
        <mc:AlternateContent>
          <mc:Choice Requires="wps">
            <w:drawing>
              <wp:anchor distT="0" distB="0" distL="114300" distR="114300" simplePos="0" relativeHeight="251660288" behindDoc="0" locked="0" layoutInCell="1" allowOverlap="1" wp14:anchorId="51054FFC" wp14:editId="53DA4585">
                <wp:simplePos x="0" y="0"/>
                <wp:positionH relativeFrom="column">
                  <wp:posOffset>8428990</wp:posOffset>
                </wp:positionH>
                <wp:positionV relativeFrom="paragraph">
                  <wp:posOffset>675640</wp:posOffset>
                </wp:positionV>
                <wp:extent cx="418465" cy="326390"/>
                <wp:effectExtent l="7938" t="0" r="27622" b="27623"/>
                <wp:wrapNone/>
                <wp:docPr id="8" name="Text Box 126"/>
                <wp:cNvGraphicFramePr/>
                <a:graphic xmlns:a="http://schemas.openxmlformats.org/drawingml/2006/main">
                  <a:graphicData uri="http://schemas.microsoft.com/office/word/2010/wordprocessingShape">
                    <wps:wsp>
                      <wps:cNvSpPr txBox="1"/>
                      <wps:spPr>
                        <a:xfrm rot="5400000">
                          <a:off x="0" y="0"/>
                          <a:ext cx="418465" cy="326390"/>
                        </a:xfrm>
                        <a:prstGeom prst="rect">
                          <a:avLst/>
                        </a:prstGeom>
                        <a:solidFill>
                          <a:sysClr val="window" lastClr="FFFFFF"/>
                        </a:solidFill>
                        <a:ln w="6350">
                          <a:solidFill>
                            <a:sysClr val="window" lastClr="FFFFFF"/>
                          </a:solidFill>
                        </a:ln>
                        <a:effectLst/>
                      </wps:spPr>
                      <wps:txbx>
                        <w:txbxContent>
                          <w:p w14:paraId="37755417" w14:textId="77777777" w:rsidR="00EB0C5B" w:rsidRDefault="00EB0C5B" w:rsidP="00E65F2A">
                            <w:pPr>
                              <w:shd w:val="clear" w:color="auto" w:fill="FFFFFF" w:themeFill="background1"/>
                            </w:pPr>
                            <w:r>
                              <w:t>126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1054FFC" id="Text Box 126" o:spid="_x0000_s1027" type="#_x0000_t202" style="position:absolute;left:0;text-align:left;margin-left:663.7pt;margin-top:53.2pt;width:32.95pt;height:25.7pt;rotation:90;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" fillcolor="window" strokecolor="window" strokeweight=".5pt">
                <v:textbox>
                  <w:txbxContent>
                    <w:p w14:paraId="37755417" w14:textId="77777777" w:rsidR="00EB0C5B" w:rsidRDefault="00EB0C5B" w:rsidP="00E65F2A">
                      <w:pPr>
                        <w:shd w:val="clear" w:color="auto" w:fill="FFFFFF" w:themeFill="background1"/>
                      </w:pPr>
                      <w:r>
                        <w:t>126</w:t>
                      </w:r>
                    </w:p>
                  </w:txbxContent>
                </v:textbox>
              </v:shape>
            </w:pict>
          </mc:Fallback>
        </mc:AlternateContent>
      </w:r>
      <w:r w:rsidRPr="00C573F2">
        <w:rPr>
          <w:rFonts w:eastAsia="Times New Roman"/>
          <w:sz w:val="20"/>
          <w:szCs w:val="20"/>
          <w:lang w:eastAsia="en-US"/>
        </w:rPr>
        <w:t xml:space="preserve">Figure </w:t>
      </w:r>
      <w:r w:rsidR="00CD4500" w:rsidRPr="00C573F2">
        <w:rPr>
          <w:rFonts w:eastAsia="Times New Roman"/>
          <w:sz w:val="20"/>
          <w:szCs w:val="20"/>
          <w:lang w:eastAsia="en-US"/>
        </w:rPr>
        <w:t>4</w:t>
      </w:r>
      <w:r w:rsidR="00185B97">
        <w:rPr>
          <w:rFonts w:eastAsia="Times New Roman"/>
          <w:sz w:val="20"/>
          <w:szCs w:val="20"/>
          <w:lang w:eastAsia="en-US"/>
        </w:rPr>
        <w:t>.</w:t>
      </w:r>
      <w:r w:rsidR="00753A06" w:rsidRPr="00C573F2">
        <w:rPr>
          <w:rFonts w:eastAsia="Times New Roman"/>
          <w:sz w:val="20"/>
          <w:szCs w:val="20"/>
          <w:lang w:eastAsia="en-US"/>
        </w:rPr>
        <w:t xml:space="preserve"> </w:t>
      </w:r>
      <w:r w:rsidRPr="00C573F2">
        <w:rPr>
          <w:rFonts w:eastAsia="Times New Roman"/>
          <w:sz w:val="20"/>
          <w:szCs w:val="20"/>
          <w:lang w:eastAsia="en-US"/>
        </w:rPr>
        <w:t>MRAC block diagram using the normalized MIT rule</w:t>
      </w:r>
      <w:bookmarkEnd w:id="7"/>
      <w:bookmarkEnd w:id="8"/>
    </w:p>
    <w:p w14:paraId="1AA6F8DC" w14:textId="77777777" w:rsidR="00E65F2A" w:rsidRPr="00C573F2" w:rsidRDefault="00E65F2A" w:rsidP="00C573F2">
      <w:pPr>
        <w:jc w:val="both"/>
        <w:outlineLvl w:val="0"/>
        <w:rPr>
          <w:rFonts w:eastAsia="Times New Roman"/>
          <w:sz w:val="20"/>
          <w:szCs w:val="20"/>
          <w:lang w:eastAsia="en-US"/>
        </w:rPr>
      </w:pPr>
    </w:p>
    <w:p w14:paraId="12A5C3C6" w14:textId="50C45442" w:rsidR="00E65F2A" w:rsidRPr="00C573F2" w:rsidRDefault="00E65F2A" w:rsidP="00C573F2">
      <w:pPr>
        <w:jc w:val="both"/>
        <w:rPr>
          <w:rFonts w:eastAsia="Times New Roman"/>
          <w:b/>
          <w:bCs/>
          <w:iCs/>
          <w:spacing w:val="-8"/>
          <w:sz w:val="20"/>
          <w:szCs w:val="20"/>
          <w:lang w:eastAsia="en-US"/>
        </w:rPr>
      </w:pPr>
      <w:r w:rsidRPr="00C573F2">
        <w:rPr>
          <w:rFonts w:eastAsia="Times New Roman"/>
          <w:b/>
          <w:bCs/>
          <w:iCs/>
          <w:spacing w:val="-8"/>
          <w:sz w:val="20"/>
          <w:szCs w:val="20"/>
          <w:lang w:eastAsia="en-US"/>
        </w:rPr>
        <w:t xml:space="preserve">Simulation </w:t>
      </w:r>
      <w:r w:rsidR="00185B97">
        <w:rPr>
          <w:rFonts w:eastAsia="Times New Roman"/>
          <w:b/>
          <w:bCs/>
          <w:iCs/>
          <w:spacing w:val="-8"/>
          <w:sz w:val="20"/>
          <w:szCs w:val="20"/>
          <w:lang w:eastAsia="en-US"/>
        </w:rPr>
        <w:t>r</w:t>
      </w:r>
      <w:r w:rsidRPr="00C573F2">
        <w:rPr>
          <w:rFonts w:eastAsia="Times New Roman"/>
          <w:b/>
          <w:bCs/>
          <w:iCs/>
          <w:spacing w:val="-8"/>
          <w:sz w:val="20"/>
          <w:szCs w:val="20"/>
          <w:lang w:eastAsia="en-US"/>
        </w:rPr>
        <w:t xml:space="preserve">esults and </w:t>
      </w:r>
      <w:r w:rsidR="00185B97">
        <w:rPr>
          <w:rFonts w:eastAsia="Times New Roman"/>
          <w:b/>
          <w:bCs/>
          <w:iCs/>
          <w:spacing w:val="-8"/>
          <w:sz w:val="20"/>
          <w:szCs w:val="20"/>
          <w:lang w:eastAsia="en-US"/>
        </w:rPr>
        <w:t>d</w:t>
      </w:r>
      <w:r w:rsidRPr="00C573F2">
        <w:rPr>
          <w:rFonts w:eastAsia="Times New Roman"/>
          <w:b/>
          <w:bCs/>
          <w:iCs/>
          <w:spacing w:val="-8"/>
          <w:sz w:val="20"/>
          <w:szCs w:val="20"/>
          <w:lang w:eastAsia="en-US"/>
        </w:rPr>
        <w:t>iscussion</w:t>
      </w:r>
    </w:p>
    <w:p w14:paraId="7C545114" w14:textId="77777777" w:rsidR="00E65F2A" w:rsidRPr="00C573F2" w:rsidRDefault="00E65F2A" w:rsidP="00C573F2">
      <w:pPr>
        <w:jc w:val="both"/>
        <w:outlineLvl w:val="0"/>
        <w:rPr>
          <w:sz w:val="20"/>
          <w:szCs w:val="20"/>
        </w:rPr>
      </w:pPr>
      <w:r w:rsidRPr="00C573F2">
        <w:rPr>
          <w:sz w:val="20"/>
          <w:szCs w:val="20"/>
        </w:rPr>
        <w:t>In this research, the MRAC approach</w:t>
      </w:r>
      <w:r w:rsidR="00372264" w:rsidRPr="00C573F2">
        <w:rPr>
          <w:sz w:val="20"/>
          <w:szCs w:val="20"/>
        </w:rPr>
        <w:t xml:space="preserve"> was applied to system with MIT and</w:t>
      </w:r>
      <w:r w:rsidRPr="00C573F2">
        <w:rPr>
          <w:sz w:val="20"/>
          <w:szCs w:val="20"/>
        </w:rPr>
        <w:t xml:space="preserve"> modified MIT </w:t>
      </w:r>
      <w:r w:rsidR="00372264" w:rsidRPr="00C573F2">
        <w:rPr>
          <w:sz w:val="20"/>
          <w:szCs w:val="20"/>
        </w:rPr>
        <w:t>rules</w:t>
      </w:r>
      <w:r w:rsidRPr="00C573F2">
        <w:rPr>
          <w:sz w:val="20"/>
          <w:szCs w:val="20"/>
        </w:rPr>
        <w:t xml:space="preserve">. The models were simulated using MATLAB 2013Ra with Simulink, which the related block diagrams were shown in earlier sections. The obtained results using </w:t>
      </w:r>
      <w:r w:rsidR="00372264" w:rsidRPr="00C573F2">
        <w:rPr>
          <w:sz w:val="20"/>
          <w:szCs w:val="20"/>
        </w:rPr>
        <w:t>two</w:t>
      </w:r>
      <w:r w:rsidRPr="00C573F2">
        <w:rPr>
          <w:sz w:val="20"/>
          <w:szCs w:val="20"/>
        </w:rPr>
        <w:t xml:space="preserve"> different rules on the MRAC were detailed out in following sections.</w:t>
      </w:r>
    </w:p>
    <w:p w14:paraId="49B7576A" w14:textId="77777777" w:rsidR="00097D11" w:rsidRPr="00C573F2" w:rsidRDefault="00097D11" w:rsidP="00C573F2">
      <w:pPr>
        <w:jc w:val="both"/>
        <w:outlineLvl w:val="0"/>
        <w:rPr>
          <w:rFonts w:eastAsia="Times New Roman"/>
          <w:sz w:val="20"/>
          <w:szCs w:val="20"/>
          <w:lang w:eastAsia="en-US"/>
        </w:rPr>
      </w:pPr>
    </w:p>
    <w:p w14:paraId="19A14DC2" w14:textId="59C3AAD0" w:rsidR="00E65F2A" w:rsidRPr="00C573F2" w:rsidRDefault="00E65F2A" w:rsidP="00C573F2">
      <w:pPr>
        <w:jc w:val="both"/>
        <w:rPr>
          <w:rFonts w:eastAsia="Times New Roman"/>
          <w:b/>
          <w:bCs/>
          <w:iCs/>
          <w:spacing w:val="-8"/>
          <w:sz w:val="20"/>
          <w:szCs w:val="20"/>
          <w:lang w:eastAsia="en-US"/>
        </w:rPr>
      </w:pPr>
      <w:bookmarkStart w:id="9" w:name="_Toc457251925"/>
      <w:bookmarkStart w:id="10" w:name="_Toc456816661"/>
      <w:r w:rsidRPr="00C573F2">
        <w:rPr>
          <w:rFonts w:eastAsia="Times New Roman"/>
          <w:b/>
          <w:bCs/>
          <w:iCs/>
          <w:spacing w:val="-8"/>
          <w:sz w:val="20"/>
          <w:szCs w:val="20"/>
          <w:lang w:eastAsia="en-US"/>
        </w:rPr>
        <w:t xml:space="preserve">MRAC with MIT </w:t>
      </w:r>
      <w:r w:rsidR="00185B97">
        <w:rPr>
          <w:rFonts w:eastAsia="Times New Roman"/>
          <w:b/>
          <w:bCs/>
          <w:iCs/>
          <w:spacing w:val="-8"/>
          <w:sz w:val="20"/>
          <w:szCs w:val="20"/>
          <w:lang w:eastAsia="en-US"/>
        </w:rPr>
        <w:t>r</w:t>
      </w:r>
      <w:r w:rsidRPr="00C573F2">
        <w:rPr>
          <w:rFonts w:eastAsia="Times New Roman"/>
          <w:b/>
          <w:bCs/>
          <w:iCs/>
          <w:spacing w:val="-8"/>
          <w:sz w:val="20"/>
          <w:szCs w:val="20"/>
          <w:lang w:eastAsia="en-US"/>
        </w:rPr>
        <w:t>ule</w:t>
      </w:r>
      <w:bookmarkEnd w:id="9"/>
      <w:bookmarkEnd w:id="10"/>
    </w:p>
    <w:p w14:paraId="5C30D38E" w14:textId="77777777" w:rsidR="00E65F2A" w:rsidRDefault="00E65F2A" w:rsidP="00C573F2">
      <w:pPr>
        <w:jc w:val="both"/>
        <w:outlineLvl w:val="0"/>
        <w:rPr>
          <w:sz w:val="20"/>
          <w:szCs w:val="20"/>
        </w:rPr>
      </w:pPr>
      <w:r w:rsidRPr="00C573F2">
        <w:rPr>
          <w:sz w:val="20"/>
          <w:szCs w:val="20"/>
        </w:rPr>
        <w:t>The responses of actual plant and reference model first using MIT rule under different adaptation gains (</w:t>
      </w:r>
      <w:r w:rsidRPr="00C573F2">
        <w:rPr>
          <w:i/>
          <w:iCs/>
          <w:sz w:val="20"/>
          <w:szCs w:val="20"/>
        </w:rPr>
        <w:t>γ</w:t>
      </w:r>
      <w:r w:rsidRPr="00C573F2">
        <w:rPr>
          <w:sz w:val="20"/>
          <w:szCs w:val="20"/>
        </w:rPr>
        <w:t xml:space="preserve">) are presented in Figure </w:t>
      </w:r>
      <w:r w:rsidR="00CD4500" w:rsidRPr="00C573F2">
        <w:rPr>
          <w:sz w:val="20"/>
          <w:szCs w:val="20"/>
        </w:rPr>
        <w:t>5</w:t>
      </w:r>
      <w:r w:rsidRPr="00C573F2">
        <w:rPr>
          <w:sz w:val="20"/>
          <w:szCs w:val="20"/>
        </w:rPr>
        <w:t>.</w:t>
      </w:r>
    </w:p>
    <w:p w14:paraId="5C031DED" w14:textId="77777777" w:rsidR="00185B97" w:rsidRDefault="00185B97" w:rsidP="00C573F2">
      <w:pPr>
        <w:jc w:val="both"/>
        <w:outlineLvl w:val="0"/>
        <w:rPr>
          <w:sz w:val="20"/>
          <w:szCs w:val="20"/>
        </w:rPr>
      </w:pPr>
    </w:p>
    <w:p w14:paraId="59C9DB92" w14:textId="77777777" w:rsidR="00185B97" w:rsidRPr="00C573F2" w:rsidRDefault="00185B97" w:rsidP="00185B97">
      <w:pPr>
        <w:jc w:val="both"/>
        <w:outlineLvl w:val="0"/>
        <w:rPr>
          <w:sz w:val="20"/>
          <w:szCs w:val="20"/>
        </w:rPr>
      </w:pPr>
      <w:r w:rsidRPr="00C573F2">
        <w:rPr>
          <w:sz w:val="20"/>
          <w:szCs w:val="20"/>
        </w:rPr>
        <w:t>The figure summarizes the dynamic behavior of the system in time domain for various values of the membrane overall porosity. From the figure, it can be clearly observed that for small values of γ, the system responses are slow with small overshoot whereas they are very fast with large values of γ with larger overshoots. It means that the stability of the designed MRAC scheme using MIT is mostly depended on the adaptation gain values.</w:t>
      </w:r>
    </w:p>
    <w:p w14:paraId="2FF95651" w14:textId="77777777" w:rsidR="00185B97" w:rsidRPr="00C573F2" w:rsidRDefault="00185B97" w:rsidP="00185B97">
      <w:pPr>
        <w:jc w:val="both"/>
        <w:outlineLvl w:val="0"/>
        <w:rPr>
          <w:rFonts w:eastAsia="Times New Roman"/>
          <w:sz w:val="20"/>
          <w:szCs w:val="20"/>
          <w:lang w:eastAsia="en-US"/>
        </w:rPr>
      </w:pPr>
    </w:p>
    <w:p w14:paraId="0B7138F2" w14:textId="48871264" w:rsidR="00185B97" w:rsidRPr="00C573F2" w:rsidRDefault="00185B97" w:rsidP="00185B97">
      <w:pPr>
        <w:jc w:val="both"/>
        <w:rPr>
          <w:rFonts w:eastAsia="Times New Roman"/>
          <w:b/>
          <w:bCs/>
          <w:iCs/>
          <w:spacing w:val="-8"/>
          <w:sz w:val="20"/>
          <w:szCs w:val="20"/>
          <w:lang w:eastAsia="en-US"/>
        </w:rPr>
      </w:pPr>
      <w:bookmarkStart w:id="11" w:name="_Toc457251926"/>
      <w:bookmarkStart w:id="12" w:name="_Toc456816662"/>
      <w:r w:rsidRPr="00C573F2">
        <w:rPr>
          <w:rFonts w:eastAsia="Times New Roman"/>
          <w:b/>
          <w:bCs/>
          <w:iCs/>
          <w:spacing w:val="-8"/>
          <w:sz w:val="20"/>
          <w:szCs w:val="20"/>
          <w:lang w:eastAsia="en-US"/>
        </w:rPr>
        <w:t xml:space="preserve">MRAC with the </w:t>
      </w:r>
      <w:r w:rsidR="00A34128">
        <w:rPr>
          <w:rFonts w:eastAsia="Times New Roman"/>
          <w:b/>
          <w:bCs/>
          <w:iCs/>
          <w:spacing w:val="-8"/>
          <w:sz w:val="20"/>
          <w:szCs w:val="20"/>
          <w:lang w:eastAsia="en-US"/>
        </w:rPr>
        <w:t>n</w:t>
      </w:r>
      <w:r w:rsidRPr="00C573F2">
        <w:rPr>
          <w:rFonts w:eastAsia="Times New Roman"/>
          <w:b/>
          <w:bCs/>
          <w:iCs/>
          <w:spacing w:val="-8"/>
          <w:sz w:val="20"/>
          <w:szCs w:val="20"/>
          <w:lang w:eastAsia="en-US"/>
        </w:rPr>
        <w:t xml:space="preserve">ormalized MIT </w:t>
      </w:r>
      <w:r w:rsidR="00A34128">
        <w:rPr>
          <w:rFonts w:eastAsia="Times New Roman"/>
          <w:b/>
          <w:bCs/>
          <w:iCs/>
          <w:spacing w:val="-8"/>
          <w:sz w:val="20"/>
          <w:szCs w:val="20"/>
          <w:lang w:eastAsia="en-US"/>
        </w:rPr>
        <w:t>r</w:t>
      </w:r>
      <w:r w:rsidRPr="00C573F2">
        <w:rPr>
          <w:rFonts w:eastAsia="Times New Roman"/>
          <w:b/>
          <w:bCs/>
          <w:iCs/>
          <w:spacing w:val="-8"/>
          <w:sz w:val="20"/>
          <w:szCs w:val="20"/>
          <w:lang w:eastAsia="en-US"/>
        </w:rPr>
        <w:t>ule</w:t>
      </w:r>
      <w:bookmarkEnd w:id="11"/>
      <w:bookmarkEnd w:id="12"/>
    </w:p>
    <w:p w14:paraId="11A25563" w14:textId="77777777" w:rsidR="00185B97" w:rsidRPr="00C573F2" w:rsidRDefault="00185B97" w:rsidP="00185B97">
      <w:pPr>
        <w:jc w:val="both"/>
        <w:outlineLvl w:val="0"/>
        <w:rPr>
          <w:sz w:val="20"/>
          <w:szCs w:val="20"/>
        </w:rPr>
      </w:pPr>
      <w:r w:rsidRPr="00C573F2">
        <w:rPr>
          <w:sz w:val="20"/>
          <w:szCs w:val="20"/>
        </w:rPr>
        <w:t>The MRAC scheme was applied to system with the normalized MIT rule. The response of the system with three different values of adaptation gains is illustrated in Figure 6.</w:t>
      </w:r>
    </w:p>
    <w:p w14:paraId="7E9FF6BE" w14:textId="77777777" w:rsidR="00185B97" w:rsidRDefault="00185B97" w:rsidP="00C573F2">
      <w:pPr>
        <w:jc w:val="both"/>
        <w:outlineLvl w:val="0"/>
        <w:rPr>
          <w:sz w:val="20"/>
          <w:szCs w:val="20"/>
        </w:rPr>
      </w:pPr>
    </w:p>
    <w:p w14:paraId="23A3F8C7" w14:textId="77777777" w:rsidR="00185B97" w:rsidRPr="00C573F2" w:rsidRDefault="00185B97" w:rsidP="00185B97">
      <w:pPr>
        <w:jc w:val="both"/>
        <w:outlineLvl w:val="0"/>
        <w:rPr>
          <w:sz w:val="20"/>
          <w:szCs w:val="20"/>
        </w:rPr>
      </w:pPr>
      <w:r w:rsidRPr="00C573F2">
        <w:rPr>
          <w:sz w:val="20"/>
          <w:szCs w:val="20"/>
        </w:rPr>
        <w:t>Figure 6 presents the effect of adaptation gain on time response curves for the normalized MIT rule. There is an improvement in the performance of the system with the increase of the adaptation gain. Every system gives its best for the limited range of the adaptation gain. It can be clearly seen that the system responds slowly when the value of the adaptation gain is smaller and there is no obvious oscillations in the system response. However, the adaptation gain with the normalized MIT has less influence on the system response than the MIT rule. Therefore, the MRAC using the normalized MIT rule is almost independent of the adaptation gain. In addition, the effect of different overall porosity of the HFM (input signal amplitude) was also examined and the results are shown in Figure 6.</w:t>
      </w:r>
    </w:p>
    <w:p w14:paraId="287ECDA5" w14:textId="77777777" w:rsidR="00185B97" w:rsidRPr="00C573F2" w:rsidRDefault="00185B97" w:rsidP="00C573F2">
      <w:pPr>
        <w:jc w:val="both"/>
        <w:outlineLvl w:val="0"/>
        <w:rPr>
          <w:sz w:val="20"/>
          <w:szCs w:val="20"/>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7"/>
      </w:tblGrid>
      <w:tr w:rsidR="00E65F2A" w:rsidRPr="00C573F2" w14:paraId="0669CC2C" w14:textId="77777777" w:rsidTr="00E65F2A">
        <w:tc>
          <w:tcPr>
            <w:tcW w:w="8437" w:type="dxa"/>
            <w:hideMark/>
          </w:tcPr>
          <w:p w14:paraId="5830E4BF" w14:textId="77777777" w:rsidR="00E65F2A" w:rsidRPr="00C573F2" w:rsidRDefault="00E65F2A" w:rsidP="00C573F2">
            <w:pPr>
              <w:keepNext/>
              <w:rPr>
                <w:rFonts w:cs="Calibri"/>
                <w:noProof/>
                <w:sz w:val="20"/>
                <w:szCs w:val="20"/>
                <w:lang w:eastAsia="en-US" w:bidi="fa-IR"/>
              </w:rPr>
            </w:pPr>
            <w:r w:rsidRPr="00C573F2">
              <w:rPr>
                <w:rFonts w:cs="Calibri"/>
                <w:noProof/>
                <w:sz w:val="20"/>
                <w:szCs w:val="20"/>
                <w:lang w:eastAsia="en-US" w:bidi="fa-IR"/>
              </w:rPr>
              <w:lastRenderedPageBreak/>
              <w:t>γ = 0.1</w:t>
            </w:r>
          </w:p>
          <w:p w14:paraId="66C45E62" w14:textId="77777777" w:rsidR="00E65F2A" w:rsidRPr="00C573F2" w:rsidRDefault="00E65F2A" w:rsidP="00C573F2">
            <w:pPr>
              <w:keepNext/>
              <w:rPr>
                <w:rFonts w:cs="Calibri"/>
                <w:noProof/>
                <w:sz w:val="20"/>
                <w:szCs w:val="20"/>
                <w:lang w:eastAsia="en-US" w:bidi="fa-IR"/>
              </w:rPr>
            </w:pPr>
            <w:r w:rsidRPr="00C573F2">
              <w:rPr>
                <w:rFonts w:cs="Calibri"/>
                <w:noProof/>
                <w:sz w:val="20"/>
                <w:szCs w:val="20"/>
                <w:lang w:val="en-US" w:eastAsia="en-US"/>
              </w:rPr>
              <w:drawing>
                <wp:inline distT="0" distB="0" distL="0" distR="0" wp14:anchorId="77A9EA63" wp14:editId="4C91C775">
                  <wp:extent cx="2743200" cy="822960"/>
                  <wp:effectExtent l="0" t="0" r="0" b="0"/>
                  <wp:docPr id="7"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822960"/>
                          </a:xfrm>
                          <a:prstGeom prst="rect">
                            <a:avLst/>
                          </a:prstGeom>
                          <a:noFill/>
                          <a:ln>
                            <a:noFill/>
                          </a:ln>
                        </pic:spPr>
                      </pic:pic>
                    </a:graphicData>
                  </a:graphic>
                </wp:inline>
              </w:drawing>
            </w:r>
          </w:p>
          <w:p w14:paraId="1665BE21" w14:textId="77777777" w:rsidR="00E65F2A" w:rsidRPr="00C573F2" w:rsidRDefault="00E65F2A" w:rsidP="00C573F2">
            <w:pPr>
              <w:keepNext/>
              <w:spacing w:afterLines="50" w:after="120"/>
              <w:rPr>
                <w:rFonts w:cs="Calibri"/>
                <w:noProof/>
                <w:sz w:val="20"/>
                <w:szCs w:val="20"/>
                <w:lang w:eastAsia="en-US" w:bidi="fa-IR"/>
              </w:rPr>
            </w:pPr>
            <w:r w:rsidRPr="00C573F2">
              <w:rPr>
                <w:rFonts w:cs="Calibri"/>
                <w:noProof/>
                <w:sz w:val="20"/>
                <w:szCs w:val="20"/>
                <w:lang w:eastAsia="en-US" w:bidi="fa-IR"/>
              </w:rPr>
              <w:t>(a)</w:t>
            </w:r>
          </w:p>
          <w:p w14:paraId="583BBA60" w14:textId="77777777" w:rsidR="00E65F2A" w:rsidRPr="00C573F2" w:rsidRDefault="00E65F2A" w:rsidP="00C573F2">
            <w:pPr>
              <w:keepNext/>
              <w:rPr>
                <w:rFonts w:cs="Calibri"/>
                <w:noProof/>
                <w:sz w:val="20"/>
                <w:szCs w:val="20"/>
                <w:lang w:eastAsia="en-US" w:bidi="fa-IR"/>
              </w:rPr>
            </w:pPr>
            <w:r w:rsidRPr="00C573F2">
              <w:rPr>
                <w:rFonts w:cs="Calibri"/>
                <w:noProof/>
                <w:sz w:val="20"/>
                <w:szCs w:val="20"/>
                <w:lang w:eastAsia="en-US" w:bidi="fa-IR"/>
              </w:rPr>
              <w:t>γ = 1</w:t>
            </w:r>
          </w:p>
        </w:tc>
      </w:tr>
      <w:tr w:rsidR="00E65F2A" w:rsidRPr="00C573F2" w14:paraId="67E5188D" w14:textId="77777777" w:rsidTr="00E65F2A">
        <w:tc>
          <w:tcPr>
            <w:tcW w:w="8437" w:type="dxa"/>
            <w:hideMark/>
          </w:tcPr>
          <w:p w14:paraId="23CA588D" w14:textId="77777777" w:rsidR="00E65F2A" w:rsidRPr="00C573F2" w:rsidRDefault="00E65F2A" w:rsidP="00C573F2">
            <w:pPr>
              <w:keepNext/>
              <w:rPr>
                <w:rFonts w:cs="Calibri"/>
                <w:noProof/>
                <w:sz w:val="20"/>
                <w:szCs w:val="20"/>
                <w:lang w:eastAsia="en-US" w:bidi="fa-IR"/>
              </w:rPr>
            </w:pPr>
            <w:r w:rsidRPr="00C573F2">
              <w:rPr>
                <w:rFonts w:cs="Calibri"/>
                <w:noProof/>
                <w:sz w:val="20"/>
                <w:szCs w:val="20"/>
                <w:lang w:val="en-US" w:eastAsia="en-US"/>
              </w:rPr>
              <w:drawing>
                <wp:inline distT="0" distB="0" distL="0" distR="0" wp14:anchorId="0F9DB823" wp14:editId="30ADC805">
                  <wp:extent cx="2743200" cy="822960"/>
                  <wp:effectExtent l="0" t="0" r="0" b="0"/>
                  <wp:docPr id="1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0" cy="822960"/>
                          </a:xfrm>
                          <a:prstGeom prst="rect">
                            <a:avLst/>
                          </a:prstGeom>
                          <a:noFill/>
                          <a:ln>
                            <a:noFill/>
                          </a:ln>
                        </pic:spPr>
                      </pic:pic>
                    </a:graphicData>
                  </a:graphic>
                </wp:inline>
              </w:drawing>
            </w:r>
          </w:p>
          <w:p w14:paraId="24B3E547" w14:textId="77777777" w:rsidR="00E65F2A" w:rsidRPr="00C573F2" w:rsidRDefault="00E65F2A" w:rsidP="00C573F2">
            <w:pPr>
              <w:keepNext/>
              <w:spacing w:afterLines="50" w:after="120"/>
              <w:rPr>
                <w:rFonts w:cs="Calibri"/>
                <w:noProof/>
                <w:sz w:val="20"/>
                <w:szCs w:val="20"/>
                <w:lang w:eastAsia="en-US" w:bidi="fa-IR"/>
              </w:rPr>
            </w:pPr>
            <w:r w:rsidRPr="00C573F2">
              <w:rPr>
                <w:rFonts w:cs="Calibri"/>
                <w:noProof/>
                <w:sz w:val="20"/>
                <w:szCs w:val="20"/>
                <w:lang w:eastAsia="en-US" w:bidi="fa-IR"/>
              </w:rPr>
              <w:t>(b)</w:t>
            </w:r>
          </w:p>
          <w:p w14:paraId="246F9648" w14:textId="77777777" w:rsidR="00E65F2A" w:rsidRPr="00C573F2" w:rsidRDefault="00E65F2A" w:rsidP="00C573F2">
            <w:pPr>
              <w:keepNext/>
              <w:rPr>
                <w:rFonts w:cs="Calibri"/>
                <w:noProof/>
                <w:sz w:val="20"/>
                <w:szCs w:val="20"/>
                <w:lang w:eastAsia="en-US" w:bidi="fa-IR"/>
              </w:rPr>
            </w:pPr>
            <w:r w:rsidRPr="00C573F2">
              <w:rPr>
                <w:rFonts w:cs="Calibri"/>
                <w:noProof/>
                <w:sz w:val="20"/>
                <w:szCs w:val="20"/>
                <w:lang w:eastAsia="en-US" w:bidi="fa-IR"/>
              </w:rPr>
              <w:t>γ = 2</w:t>
            </w:r>
          </w:p>
        </w:tc>
      </w:tr>
      <w:tr w:rsidR="00E65F2A" w:rsidRPr="00C573F2" w14:paraId="39D3A408" w14:textId="77777777" w:rsidTr="00E65F2A">
        <w:tc>
          <w:tcPr>
            <w:tcW w:w="8437" w:type="dxa"/>
            <w:hideMark/>
          </w:tcPr>
          <w:p w14:paraId="5AEBD59A" w14:textId="77777777" w:rsidR="00E65F2A" w:rsidRPr="00C573F2" w:rsidRDefault="00E65F2A" w:rsidP="00C573F2">
            <w:pPr>
              <w:keepNext/>
              <w:rPr>
                <w:rFonts w:cs="Calibri"/>
                <w:noProof/>
                <w:sz w:val="20"/>
                <w:szCs w:val="20"/>
                <w:lang w:eastAsia="en-US" w:bidi="fa-IR"/>
              </w:rPr>
            </w:pPr>
            <w:r w:rsidRPr="00C573F2">
              <w:rPr>
                <w:rFonts w:cs="Calibri"/>
                <w:noProof/>
                <w:sz w:val="20"/>
                <w:szCs w:val="20"/>
                <w:lang w:val="en-US" w:eastAsia="en-US"/>
              </w:rPr>
              <w:drawing>
                <wp:inline distT="0" distB="0" distL="0" distR="0" wp14:anchorId="15DF2F3A" wp14:editId="2E237B85">
                  <wp:extent cx="2743200" cy="822960"/>
                  <wp:effectExtent l="0" t="0" r="0" b="0"/>
                  <wp:docPr id="11" name="Pictur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3200" cy="822960"/>
                          </a:xfrm>
                          <a:prstGeom prst="rect">
                            <a:avLst/>
                          </a:prstGeom>
                          <a:noFill/>
                          <a:ln>
                            <a:noFill/>
                          </a:ln>
                        </pic:spPr>
                      </pic:pic>
                    </a:graphicData>
                  </a:graphic>
                </wp:inline>
              </w:drawing>
            </w:r>
          </w:p>
          <w:p w14:paraId="246E62DE" w14:textId="77777777" w:rsidR="00E65F2A" w:rsidRPr="00C573F2" w:rsidRDefault="00E65F2A" w:rsidP="00C573F2">
            <w:pPr>
              <w:keepNext/>
              <w:spacing w:afterLines="50" w:after="120"/>
              <w:rPr>
                <w:rFonts w:cs="Calibri"/>
                <w:noProof/>
                <w:sz w:val="20"/>
                <w:szCs w:val="20"/>
                <w:lang w:eastAsia="en-US" w:bidi="fa-IR"/>
              </w:rPr>
            </w:pPr>
            <w:r w:rsidRPr="00C573F2">
              <w:rPr>
                <w:rFonts w:cs="Calibri"/>
                <w:noProof/>
                <w:sz w:val="20"/>
                <w:szCs w:val="20"/>
                <w:lang w:eastAsia="en-US" w:bidi="fa-IR"/>
              </w:rPr>
              <w:t>(c)</w:t>
            </w:r>
          </w:p>
        </w:tc>
      </w:tr>
    </w:tbl>
    <w:p w14:paraId="0748A864" w14:textId="167E5E8A" w:rsidR="00E65F2A" w:rsidRPr="00C573F2" w:rsidRDefault="00097D11" w:rsidP="00C573F2">
      <w:pPr>
        <w:jc w:val="center"/>
        <w:outlineLvl w:val="0"/>
        <w:rPr>
          <w:rFonts w:eastAsia="Times New Roman"/>
          <w:sz w:val="20"/>
          <w:szCs w:val="20"/>
          <w:lang w:eastAsia="en-US"/>
        </w:rPr>
      </w:pPr>
      <w:bookmarkStart w:id="13" w:name="_Toc457174346"/>
      <w:bookmarkStart w:id="14" w:name="_Toc457058937"/>
      <w:r w:rsidRPr="00C573F2">
        <w:rPr>
          <w:rFonts w:eastAsia="Times New Roman"/>
          <w:sz w:val="20"/>
          <w:szCs w:val="20"/>
          <w:lang w:eastAsia="en-US"/>
        </w:rPr>
        <w:t xml:space="preserve">Figure </w:t>
      </w:r>
      <w:r w:rsidR="00CD4500" w:rsidRPr="00C573F2">
        <w:rPr>
          <w:rFonts w:eastAsia="Times New Roman"/>
          <w:sz w:val="20"/>
          <w:szCs w:val="20"/>
          <w:lang w:eastAsia="en-US"/>
        </w:rPr>
        <w:t>5</w:t>
      </w:r>
      <w:r w:rsidR="00185B97">
        <w:rPr>
          <w:rFonts w:eastAsia="Times New Roman"/>
          <w:sz w:val="20"/>
          <w:szCs w:val="20"/>
          <w:lang w:eastAsia="en-US"/>
        </w:rPr>
        <w:t>.</w:t>
      </w:r>
      <w:r w:rsidR="00E65F2A" w:rsidRPr="00C573F2">
        <w:rPr>
          <w:rFonts w:eastAsia="Times New Roman"/>
          <w:sz w:val="20"/>
          <w:szCs w:val="20"/>
          <w:lang w:eastAsia="en-US"/>
        </w:rPr>
        <w:t xml:space="preserve"> Simulation results of the used MIT on MRAC for different adaptation gains</w:t>
      </w:r>
      <w:bookmarkEnd w:id="13"/>
      <w:bookmarkEnd w:id="14"/>
    </w:p>
    <w:p w14:paraId="0970C3DF" w14:textId="77777777" w:rsidR="00097D11" w:rsidRPr="00C573F2" w:rsidRDefault="00097D11" w:rsidP="00C573F2">
      <w:pPr>
        <w:jc w:val="center"/>
        <w:outlineLvl w:val="0"/>
        <w:rPr>
          <w:rFonts w:eastAsia="Times New Roman"/>
          <w:sz w:val="20"/>
          <w:szCs w:val="20"/>
          <w:lang w:eastAsia="en-US"/>
        </w:rPr>
      </w:pPr>
    </w:p>
    <w:p w14:paraId="26085A86" w14:textId="77777777" w:rsidR="0089108C" w:rsidRPr="00C573F2" w:rsidRDefault="0089108C" w:rsidP="00C573F2">
      <w:pPr>
        <w:jc w:val="both"/>
        <w:outlineLvl w:val="0"/>
        <w:rPr>
          <w:sz w:val="20"/>
          <w:szCs w:val="20"/>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7"/>
      </w:tblGrid>
      <w:tr w:rsidR="00E65F2A" w:rsidRPr="00C573F2" w14:paraId="2B463FB6" w14:textId="77777777" w:rsidTr="00E65F2A">
        <w:tc>
          <w:tcPr>
            <w:tcW w:w="8437" w:type="dxa"/>
            <w:hideMark/>
          </w:tcPr>
          <w:p w14:paraId="29859E1F" w14:textId="77777777" w:rsidR="00E65F2A" w:rsidRPr="00C573F2" w:rsidRDefault="00E65F2A" w:rsidP="00097D11">
            <w:pPr>
              <w:keepNext/>
              <w:rPr>
                <w:rFonts w:cs="Calibri"/>
                <w:noProof/>
                <w:sz w:val="20"/>
                <w:szCs w:val="20"/>
                <w:lang w:eastAsia="en-US" w:bidi="fa-IR"/>
              </w:rPr>
            </w:pPr>
            <w:r w:rsidRPr="00C573F2">
              <w:rPr>
                <w:rFonts w:cs="Calibri"/>
                <w:noProof/>
                <w:sz w:val="20"/>
                <w:szCs w:val="20"/>
                <w:lang w:eastAsia="en-US" w:bidi="fa-IR"/>
              </w:rPr>
              <w:t>γ = 0.1</w:t>
            </w:r>
          </w:p>
          <w:p w14:paraId="060FE421" w14:textId="77777777" w:rsidR="00E65F2A" w:rsidRPr="00C573F2" w:rsidRDefault="00E65F2A" w:rsidP="00097D11">
            <w:pPr>
              <w:keepNext/>
              <w:rPr>
                <w:rFonts w:cs="Calibri"/>
                <w:noProof/>
                <w:sz w:val="20"/>
                <w:szCs w:val="20"/>
                <w:lang w:eastAsia="en-US" w:bidi="fa-IR"/>
              </w:rPr>
            </w:pPr>
            <w:r w:rsidRPr="00C573F2">
              <w:rPr>
                <w:rFonts w:cs="Calibri"/>
                <w:noProof/>
                <w:sz w:val="20"/>
                <w:szCs w:val="20"/>
                <w:lang w:val="en-US" w:eastAsia="en-US"/>
              </w:rPr>
              <w:drawing>
                <wp:inline distT="0" distB="0" distL="0" distR="0" wp14:anchorId="224660AE" wp14:editId="00F7B201">
                  <wp:extent cx="2743200" cy="822960"/>
                  <wp:effectExtent l="0" t="0" r="0" b="0"/>
                  <wp:docPr id="15"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0" cy="822960"/>
                          </a:xfrm>
                          <a:prstGeom prst="rect">
                            <a:avLst/>
                          </a:prstGeom>
                          <a:noFill/>
                          <a:ln>
                            <a:noFill/>
                          </a:ln>
                        </pic:spPr>
                      </pic:pic>
                    </a:graphicData>
                  </a:graphic>
                </wp:inline>
              </w:drawing>
            </w:r>
          </w:p>
          <w:p w14:paraId="2AAF89CD" w14:textId="77777777" w:rsidR="00E65F2A" w:rsidRPr="00C573F2" w:rsidRDefault="00E65F2A" w:rsidP="00097D11">
            <w:pPr>
              <w:keepNext/>
              <w:rPr>
                <w:rFonts w:cs="Calibri"/>
                <w:noProof/>
                <w:sz w:val="20"/>
                <w:szCs w:val="20"/>
                <w:lang w:eastAsia="en-US" w:bidi="fa-IR"/>
              </w:rPr>
            </w:pPr>
            <w:r w:rsidRPr="00C573F2">
              <w:rPr>
                <w:rFonts w:cs="Calibri"/>
                <w:noProof/>
                <w:sz w:val="20"/>
                <w:szCs w:val="20"/>
                <w:lang w:eastAsia="en-US" w:bidi="fa-IR"/>
              </w:rPr>
              <w:t>(a)</w:t>
            </w:r>
          </w:p>
        </w:tc>
      </w:tr>
      <w:tr w:rsidR="00E65F2A" w:rsidRPr="00C573F2" w14:paraId="2BF9C5C7" w14:textId="77777777" w:rsidTr="00E65F2A">
        <w:tc>
          <w:tcPr>
            <w:tcW w:w="8437" w:type="dxa"/>
            <w:hideMark/>
          </w:tcPr>
          <w:p w14:paraId="4106F279" w14:textId="77777777" w:rsidR="00E65F2A" w:rsidRPr="00C573F2" w:rsidRDefault="00E65F2A" w:rsidP="00097D11">
            <w:pPr>
              <w:keepNext/>
              <w:rPr>
                <w:rFonts w:cs="Calibri"/>
                <w:noProof/>
                <w:sz w:val="20"/>
                <w:szCs w:val="20"/>
                <w:lang w:eastAsia="en-US" w:bidi="fa-IR"/>
              </w:rPr>
            </w:pPr>
            <w:r w:rsidRPr="00C573F2">
              <w:rPr>
                <w:rFonts w:cs="Calibri"/>
                <w:noProof/>
                <w:sz w:val="20"/>
                <w:szCs w:val="20"/>
                <w:lang w:eastAsia="en-US" w:bidi="fa-IR"/>
              </w:rPr>
              <w:t>γ = 1</w:t>
            </w:r>
          </w:p>
          <w:p w14:paraId="4290DF21" w14:textId="77777777" w:rsidR="00E65F2A" w:rsidRPr="00C573F2" w:rsidRDefault="00E65F2A" w:rsidP="00097D11">
            <w:pPr>
              <w:keepNext/>
              <w:rPr>
                <w:rFonts w:cs="Calibri"/>
                <w:noProof/>
                <w:sz w:val="20"/>
                <w:szCs w:val="20"/>
                <w:lang w:eastAsia="en-US" w:bidi="fa-IR"/>
              </w:rPr>
            </w:pPr>
            <w:r w:rsidRPr="00C573F2">
              <w:rPr>
                <w:rFonts w:cs="Calibri"/>
                <w:noProof/>
                <w:sz w:val="20"/>
                <w:szCs w:val="20"/>
                <w:lang w:val="en-US" w:eastAsia="en-US"/>
              </w:rPr>
              <w:drawing>
                <wp:inline distT="0" distB="0" distL="0" distR="0" wp14:anchorId="39748C15" wp14:editId="472ED28D">
                  <wp:extent cx="2743200" cy="822960"/>
                  <wp:effectExtent l="0" t="0" r="0" b="0"/>
                  <wp:docPr id="16"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3200" cy="822960"/>
                          </a:xfrm>
                          <a:prstGeom prst="rect">
                            <a:avLst/>
                          </a:prstGeom>
                          <a:noFill/>
                          <a:ln>
                            <a:noFill/>
                          </a:ln>
                        </pic:spPr>
                      </pic:pic>
                    </a:graphicData>
                  </a:graphic>
                </wp:inline>
              </w:drawing>
            </w:r>
          </w:p>
          <w:p w14:paraId="4ACCC04A" w14:textId="77777777" w:rsidR="00E65F2A" w:rsidRPr="00C573F2" w:rsidRDefault="00E65F2A" w:rsidP="00097D11">
            <w:pPr>
              <w:keepNext/>
              <w:rPr>
                <w:rFonts w:cs="Calibri"/>
                <w:noProof/>
                <w:sz w:val="20"/>
                <w:szCs w:val="20"/>
                <w:lang w:eastAsia="en-US" w:bidi="fa-IR"/>
              </w:rPr>
            </w:pPr>
            <w:r w:rsidRPr="00C573F2">
              <w:rPr>
                <w:rFonts w:cs="Calibri"/>
                <w:noProof/>
                <w:sz w:val="20"/>
                <w:szCs w:val="20"/>
                <w:lang w:eastAsia="en-US" w:bidi="fa-IR"/>
              </w:rPr>
              <w:t>(b)</w:t>
            </w:r>
          </w:p>
        </w:tc>
      </w:tr>
      <w:tr w:rsidR="00E65F2A" w:rsidRPr="00C573F2" w14:paraId="0F746B6D" w14:textId="77777777" w:rsidTr="00E65F2A">
        <w:tc>
          <w:tcPr>
            <w:tcW w:w="8437" w:type="dxa"/>
            <w:hideMark/>
          </w:tcPr>
          <w:p w14:paraId="2825368A" w14:textId="77777777" w:rsidR="00E65F2A" w:rsidRPr="00C573F2" w:rsidRDefault="00E65F2A" w:rsidP="00097D11">
            <w:pPr>
              <w:keepNext/>
              <w:rPr>
                <w:rFonts w:cs="Calibri"/>
                <w:noProof/>
                <w:sz w:val="20"/>
                <w:szCs w:val="20"/>
                <w:lang w:eastAsia="en-US" w:bidi="fa-IR"/>
              </w:rPr>
            </w:pPr>
            <w:r w:rsidRPr="00C573F2">
              <w:rPr>
                <w:rFonts w:cs="Calibri"/>
                <w:noProof/>
                <w:sz w:val="20"/>
                <w:szCs w:val="20"/>
                <w:lang w:eastAsia="en-US" w:bidi="fa-IR"/>
              </w:rPr>
              <w:t>γ = 2</w:t>
            </w:r>
          </w:p>
          <w:p w14:paraId="36AA1E68" w14:textId="77777777" w:rsidR="00E65F2A" w:rsidRPr="00C573F2" w:rsidRDefault="00E65F2A" w:rsidP="00097D11">
            <w:pPr>
              <w:keepNext/>
              <w:rPr>
                <w:rFonts w:cs="Calibri"/>
                <w:noProof/>
                <w:sz w:val="20"/>
                <w:szCs w:val="20"/>
                <w:lang w:eastAsia="en-US" w:bidi="fa-IR"/>
              </w:rPr>
            </w:pPr>
            <w:r w:rsidRPr="00C573F2">
              <w:rPr>
                <w:rFonts w:cs="Calibri"/>
                <w:noProof/>
                <w:sz w:val="20"/>
                <w:szCs w:val="20"/>
                <w:lang w:val="en-US" w:eastAsia="en-US"/>
              </w:rPr>
              <w:drawing>
                <wp:inline distT="0" distB="0" distL="0" distR="0" wp14:anchorId="6A50571E" wp14:editId="272B0952">
                  <wp:extent cx="2743200" cy="822960"/>
                  <wp:effectExtent l="0" t="0" r="0" b="0"/>
                  <wp:docPr id="17"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3200" cy="822960"/>
                          </a:xfrm>
                          <a:prstGeom prst="rect">
                            <a:avLst/>
                          </a:prstGeom>
                          <a:noFill/>
                          <a:ln>
                            <a:noFill/>
                          </a:ln>
                        </pic:spPr>
                      </pic:pic>
                    </a:graphicData>
                  </a:graphic>
                </wp:inline>
              </w:drawing>
            </w:r>
          </w:p>
          <w:p w14:paraId="375D4031" w14:textId="77777777" w:rsidR="00E65F2A" w:rsidRPr="00C573F2" w:rsidRDefault="00E65F2A" w:rsidP="00097D11">
            <w:pPr>
              <w:keepNext/>
              <w:rPr>
                <w:rFonts w:cs="Calibri"/>
                <w:noProof/>
                <w:sz w:val="20"/>
                <w:szCs w:val="20"/>
                <w:lang w:eastAsia="en-US" w:bidi="fa-IR"/>
              </w:rPr>
            </w:pPr>
            <w:r w:rsidRPr="00C573F2">
              <w:rPr>
                <w:rFonts w:cs="Calibri"/>
                <w:noProof/>
                <w:sz w:val="20"/>
                <w:szCs w:val="20"/>
                <w:lang w:eastAsia="en-US" w:bidi="fa-IR"/>
              </w:rPr>
              <w:t>(c)</w:t>
            </w:r>
          </w:p>
        </w:tc>
      </w:tr>
    </w:tbl>
    <w:p w14:paraId="2CAF85B7" w14:textId="4AE6E224" w:rsidR="0089108C" w:rsidRPr="00C573F2" w:rsidRDefault="0089108C" w:rsidP="00185B97">
      <w:pPr>
        <w:jc w:val="center"/>
        <w:outlineLvl w:val="0"/>
        <w:rPr>
          <w:rFonts w:eastAsia="Times New Roman"/>
          <w:sz w:val="20"/>
          <w:szCs w:val="20"/>
          <w:lang w:eastAsia="en-US"/>
        </w:rPr>
      </w:pPr>
      <w:bookmarkStart w:id="15" w:name="_Toc457174348"/>
      <w:bookmarkStart w:id="16" w:name="_Toc457058939"/>
      <w:r w:rsidRPr="00C573F2">
        <w:rPr>
          <w:rFonts w:eastAsia="Times New Roman"/>
          <w:sz w:val="20"/>
          <w:szCs w:val="20"/>
          <w:lang w:eastAsia="en-US"/>
        </w:rPr>
        <w:t xml:space="preserve">Figure </w:t>
      </w:r>
      <w:r w:rsidR="00753A06" w:rsidRPr="00C573F2">
        <w:rPr>
          <w:rFonts w:eastAsia="Times New Roman"/>
          <w:sz w:val="20"/>
          <w:szCs w:val="20"/>
          <w:lang w:eastAsia="en-US"/>
        </w:rPr>
        <w:t>6</w:t>
      </w:r>
      <w:r w:rsidR="00185B97">
        <w:rPr>
          <w:rFonts w:eastAsia="Times New Roman"/>
          <w:sz w:val="20"/>
          <w:szCs w:val="20"/>
          <w:lang w:eastAsia="en-US"/>
        </w:rPr>
        <w:t xml:space="preserve">. </w:t>
      </w:r>
      <w:r w:rsidR="00E65F2A" w:rsidRPr="00C573F2">
        <w:rPr>
          <w:rFonts w:eastAsia="Times New Roman"/>
          <w:sz w:val="20"/>
          <w:szCs w:val="20"/>
          <w:lang w:eastAsia="en-US"/>
        </w:rPr>
        <w:t>MRAC simulation results with the normalized MIT rule subjected to different adaptation gains</w:t>
      </w:r>
      <w:bookmarkEnd w:id="15"/>
      <w:bookmarkEnd w:id="16"/>
    </w:p>
    <w:p w14:paraId="58784C59" w14:textId="77777777" w:rsidR="00CC441D" w:rsidRPr="00C573F2" w:rsidRDefault="00CC441D" w:rsidP="00C573F2">
      <w:pPr>
        <w:jc w:val="both"/>
        <w:outlineLvl w:val="0"/>
        <w:rPr>
          <w:sz w:val="20"/>
          <w:szCs w:val="20"/>
        </w:rPr>
      </w:pPr>
    </w:p>
    <w:p w14:paraId="1A15CFC5" w14:textId="2A9E155F" w:rsidR="00CC441D" w:rsidRPr="00C573F2" w:rsidRDefault="000B3A42" w:rsidP="00C573F2">
      <w:pPr>
        <w:jc w:val="both"/>
        <w:outlineLvl w:val="0"/>
        <w:rPr>
          <w:sz w:val="20"/>
          <w:szCs w:val="20"/>
        </w:rPr>
      </w:pPr>
      <w:r w:rsidRPr="00C573F2">
        <w:rPr>
          <w:b/>
          <w:sz w:val="20"/>
          <w:szCs w:val="20"/>
        </w:rPr>
        <w:t xml:space="preserve">Method </w:t>
      </w:r>
      <w:r w:rsidR="00185B97">
        <w:rPr>
          <w:b/>
          <w:sz w:val="20"/>
          <w:szCs w:val="20"/>
        </w:rPr>
        <w:t>v</w:t>
      </w:r>
      <w:r w:rsidRPr="00C573F2">
        <w:rPr>
          <w:b/>
          <w:sz w:val="20"/>
          <w:szCs w:val="20"/>
        </w:rPr>
        <w:t>alidation</w:t>
      </w:r>
    </w:p>
    <w:p w14:paraId="51D07F73" w14:textId="77777777" w:rsidR="00CC441D" w:rsidRDefault="00CC441D" w:rsidP="00C573F2">
      <w:pPr>
        <w:jc w:val="both"/>
        <w:outlineLvl w:val="0"/>
        <w:rPr>
          <w:sz w:val="20"/>
          <w:szCs w:val="20"/>
        </w:rPr>
      </w:pPr>
      <w:r w:rsidRPr="00C573F2">
        <w:rPr>
          <w:sz w:val="20"/>
          <w:szCs w:val="20"/>
        </w:rPr>
        <w:t xml:space="preserve">The </w:t>
      </w:r>
      <w:r w:rsidR="000B3A42" w:rsidRPr="00C573F2">
        <w:rPr>
          <w:sz w:val="20"/>
          <w:szCs w:val="20"/>
        </w:rPr>
        <w:t>normalized MIT rule applied in this work</w:t>
      </w:r>
      <w:r w:rsidRPr="00C573F2">
        <w:rPr>
          <w:sz w:val="20"/>
          <w:szCs w:val="20"/>
        </w:rPr>
        <w:t xml:space="preserve"> was v</w:t>
      </w:r>
      <w:r w:rsidR="000B3A42" w:rsidRPr="00C573F2">
        <w:rPr>
          <w:sz w:val="20"/>
          <w:szCs w:val="20"/>
        </w:rPr>
        <w:t>alidated by comparing the proposed approach output versus</w:t>
      </w:r>
      <w:r w:rsidRPr="00C573F2">
        <w:rPr>
          <w:sz w:val="20"/>
          <w:szCs w:val="20"/>
        </w:rPr>
        <w:t xml:space="preserve"> fabricated HFMs </w:t>
      </w:r>
      <w:r w:rsidR="000B3A42" w:rsidRPr="00C573F2">
        <w:rPr>
          <w:sz w:val="20"/>
          <w:szCs w:val="20"/>
        </w:rPr>
        <w:t>overall porosity</w:t>
      </w:r>
      <w:r w:rsidRPr="00C573F2">
        <w:rPr>
          <w:sz w:val="20"/>
          <w:szCs w:val="20"/>
        </w:rPr>
        <w:t xml:space="preserve">. Therefore, </w:t>
      </w:r>
      <w:r w:rsidR="000D64D5" w:rsidRPr="00C573F2">
        <w:rPr>
          <w:sz w:val="20"/>
          <w:szCs w:val="20"/>
        </w:rPr>
        <w:t>5</w:t>
      </w:r>
      <w:r w:rsidR="000B3A42" w:rsidRPr="00C573F2">
        <w:rPr>
          <w:sz w:val="20"/>
          <w:szCs w:val="20"/>
        </w:rPr>
        <w:t xml:space="preserve"> HFMs were fabricated in different dope extrusion flow rates then </w:t>
      </w:r>
      <w:r w:rsidR="00356F02" w:rsidRPr="00C573F2">
        <w:rPr>
          <w:sz w:val="20"/>
          <w:szCs w:val="20"/>
        </w:rPr>
        <w:t>overall porosity of the samples was determined using Eq. (1).</w:t>
      </w:r>
      <w:r w:rsidRPr="00C573F2">
        <w:rPr>
          <w:sz w:val="20"/>
          <w:szCs w:val="20"/>
        </w:rPr>
        <w:t xml:space="preserve"> The </w:t>
      </w:r>
      <w:r w:rsidR="00356F02" w:rsidRPr="00C573F2">
        <w:rPr>
          <w:sz w:val="20"/>
          <w:szCs w:val="20"/>
        </w:rPr>
        <w:t xml:space="preserve">overall porosities for different dope extrusion flow rates were predicted using the normalized MIT rule. </w:t>
      </w:r>
      <w:r w:rsidRPr="00C573F2">
        <w:rPr>
          <w:sz w:val="20"/>
          <w:szCs w:val="20"/>
        </w:rPr>
        <w:t xml:space="preserve">The </w:t>
      </w:r>
      <w:r w:rsidR="00356F02" w:rsidRPr="00C573F2">
        <w:rPr>
          <w:sz w:val="20"/>
          <w:szCs w:val="20"/>
        </w:rPr>
        <w:t>obtained</w:t>
      </w:r>
      <w:r w:rsidRPr="00C573F2">
        <w:rPr>
          <w:sz w:val="20"/>
          <w:szCs w:val="20"/>
        </w:rPr>
        <w:t xml:space="preserve"> results </w:t>
      </w:r>
      <w:r w:rsidR="00356F02" w:rsidRPr="00C573F2">
        <w:rPr>
          <w:sz w:val="20"/>
          <w:szCs w:val="20"/>
        </w:rPr>
        <w:t xml:space="preserve">from the normalized MIT rule </w:t>
      </w:r>
      <w:r w:rsidRPr="00C573F2">
        <w:rPr>
          <w:sz w:val="20"/>
          <w:szCs w:val="20"/>
        </w:rPr>
        <w:t xml:space="preserve">were compared with the related actual values which are shown in Table </w:t>
      </w:r>
      <w:r w:rsidR="00997DAF" w:rsidRPr="00C573F2">
        <w:rPr>
          <w:sz w:val="20"/>
          <w:szCs w:val="20"/>
        </w:rPr>
        <w:t>2</w:t>
      </w:r>
      <w:r w:rsidRPr="00C573F2">
        <w:rPr>
          <w:sz w:val="20"/>
          <w:szCs w:val="20"/>
        </w:rPr>
        <w:t>.</w:t>
      </w:r>
    </w:p>
    <w:p w14:paraId="4A50748C" w14:textId="77777777" w:rsidR="00A34128" w:rsidRDefault="00A34128" w:rsidP="00C573F2">
      <w:pPr>
        <w:jc w:val="both"/>
        <w:outlineLvl w:val="0"/>
        <w:rPr>
          <w:sz w:val="20"/>
          <w:szCs w:val="20"/>
        </w:rPr>
      </w:pPr>
    </w:p>
    <w:p w14:paraId="45D5A6EA" w14:textId="77777777" w:rsidR="00A34128" w:rsidRPr="00C573F2" w:rsidRDefault="00A34128" w:rsidP="00A34128">
      <w:pPr>
        <w:jc w:val="both"/>
        <w:outlineLvl w:val="0"/>
        <w:rPr>
          <w:sz w:val="20"/>
          <w:szCs w:val="20"/>
        </w:rPr>
      </w:pPr>
      <w:r w:rsidRPr="00C573F2">
        <w:rPr>
          <w:sz w:val="20"/>
          <w:szCs w:val="20"/>
        </w:rPr>
        <w:lastRenderedPageBreak/>
        <w:t>From Table 2, slight differences can be observed between the fabricated HFMs overall porosity and the obtained results from the normalized MIT rule. The average error obtained between two methods for the HFM overall porosity can be computed as 1.47 (%). Therefore, the proposed normalized MIT rule is deemed capable to control the overall porosity during the HFM fabrication process.</w:t>
      </w:r>
    </w:p>
    <w:p w14:paraId="46B6322C" w14:textId="77777777" w:rsidR="00853D1C" w:rsidRPr="00C573F2" w:rsidRDefault="00853D1C" w:rsidP="00C573F2">
      <w:pPr>
        <w:jc w:val="both"/>
        <w:outlineLvl w:val="0"/>
        <w:rPr>
          <w:sz w:val="20"/>
          <w:szCs w:val="20"/>
        </w:rPr>
      </w:pPr>
    </w:p>
    <w:p w14:paraId="56AFA231" w14:textId="08FD9759" w:rsidR="00CC441D" w:rsidRPr="00C573F2" w:rsidRDefault="00853D1C" w:rsidP="00C573F2">
      <w:pPr>
        <w:spacing w:after="240"/>
        <w:jc w:val="center"/>
        <w:outlineLvl w:val="0"/>
        <w:rPr>
          <w:sz w:val="20"/>
          <w:szCs w:val="20"/>
        </w:rPr>
      </w:pPr>
      <w:r w:rsidRPr="00C573F2">
        <w:rPr>
          <w:sz w:val="20"/>
          <w:szCs w:val="20"/>
        </w:rPr>
        <w:t>Table 2</w:t>
      </w:r>
      <w:r w:rsidR="00185B97">
        <w:rPr>
          <w:sz w:val="20"/>
          <w:szCs w:val="20"/>
        </w:rPr>
        <w:t>.</w:t>
      </w:r>
      <w:r w:rsidRPr="00C573F2">
        <w:rPr>
          <w:sz w:val="20"/>
          <w:szCs w:val="20"/>
        </w:rPr>
        <w:t xml:space="preserve"> normalized MIT rule and actual HFMs overall porosity</w:t>
      </w:r>
    </w:p>
    <w:tbl>
      <w:tblPr>
        <w:tblW w:w="0" w:type="auto"/>
        <w:jc w:val="center"/>
        <w:tblCellMar>
          <w:left w:w="10" w:type="dxa"/>
          <w:right w:w="10" w:type="dxa"/>
        </w:tblCellMar>
        <w:tblLook w:val="04A0" w:firstRow="1" w:lastRow="0" w:firstColumn="1" w:lastColumn="0" w:noHBand="0" w:noVBand="1"/>
      </w:tblPr>
      <w:tblGrid>
        <w:gridCol w:w="654"/>
        <w:gridCol w:w="1243"/>
        <w:gridCol w:w="1114"/>
        <w:gridCol w:w="1478"/>
        <w:gridCol w:w="1093"/>
      </w:tblGrid>
      <w:tr w:rsidR="009F5B8E" w:rsidRPr="00C573F2" w14:paraId="3CFAE751" w14:textId="77777777" w:rsidTr="00F2188A">
        <w:trPr>
          <w:trHeight w:val="281"/>
          <w:jc w:val="center"/>
        </w:trPr>
        <w:tc>
          <w:tcPr>
            <w:tcW w:w="622" w:type="dxa"/>
            <w:tcBorders>
              <w:top w:val="single" w:sz="4" w:space="0" w:color="auto"/>
              <w:left w:val="nil"/>
              <w:bottom w:val="single" w:sz="4" w:space="0" w:color="auto"/>
              <w:right w:val="nil"/>
            </w:tcBorders>
            <w:vAlign w:val="center"/>
          </w:tcPr>
          <w:p w14:paraId="2AEE1455" w14:textId="77777777" w:rsidR="009F5B8E" w:rsidRPr="00F2188A" w:rsidRDefault="009F5B8E" w:rsidP="00F2188A">
            <w:pPr>
              <w:jc w:val="center"/>
              <w:rPr>
                <w:rFonts w:eastAsia="Calibri"/>
                <w:b/>
                <w:sz w:val="20"/>
                <w:szCs w:val="20"/>
                <w:lang w:eastAsia="en-US"/>
              </w:rPr>
            </w:pPr>
            <w:r w:rsidRPr="00F2188A">
              <w:rPr>
                <w:rFonts w:eastAsia="Calibri"/>
                <w:b/>
                <w:sz w:val="20"/>
                <w:szCs w:val="20"/>
                <w:lang w:eastAsia="en-US"/>
              </w:rPr>
              <w:t>Sample</w:t>
            </w:r>
          </w:p>
        </w:tc>
        <w:tc>
          <w:tcPr>
            <w:tcW w:w="1243" w:type="dxa"/>
            <w:tcBorders>
              <w:top w:val="single" w:sz="4" w:space="0" w:color="auto"/>
              <w:left w:val="nil"/>
              <w:bottom w:val="single" w:sz="4" w:space="0" w:color="auto"/>
              <w:right w:val="nil"/>
            </w:tcBorders>
          </w:tcPr>
          <w:p w14:paraId="0A8ED540" w14:textId="77777777" w:rsidR="009F5B8E" w:rsidRPr="00F2188A" w:rsidRDefault="009F5B8E" w:rsidP="00F2188A">
            <w:pPr>
              <w:jc w:val="center"/>
              <w:rPr>
                <w:rFonts w:eastAsia="Calibri"/>
                <w:b/>
                <w:sz w:val="20"/>
                <w:szCs w:val="20"/>
                <w:lang w:eastAsia="en-US"/>
              </w:rPr>
            </w:pPr>
            <w:r w:rsidRPr="00F2188A">
              <w:rPr>
                <w:rFonts w:eastAsia="Calibri"/>
                <w:b/>
                <w:sz w:val="20"/>
                <w:szCs w:val="20"/>
                <w:lang w:eastAsia="en-US"/>
              </w:rPr>
              <w:t>DER</w:t>
            </w:r>
          </w:p>
          <w:p w14:paraId="2497BFF5" w14:textId="77777777" w:rsidR="000D64D5" w:rsidRPr="00F2188A" w:rsidRDefault="000D64D5" w:rsidP="00F2188A">
            <w:pPr>
              <w:jc w:val="center"/>
              <w:rPr>
                <w:rFonts w:eastAsia="Calibri"/>
                <w:b/>
                <w:sz w:val="20"/>
                <w:szCs w:val="20"/>
                <w:lang w:eastAsia="en-US"/>
              </w:rPr>
            </w:pPr>
            <w:r w:rsidRPr="00F2188A">
              <w:rPr>
                <w:rFonts w:eastAsia="Calibri"/>
                <w:b/>
                <w:sz w:val="20"/>
                <w:szCs w:val="20"/>
                <w:lang w:eastAsia="en-US"/>
              </w:rPr>
              <w:t>(cm</w:t>
            </w:r>
            <w:r w:rsidRPr="00F2188A">
              <w:rPr>
                <w:rFonts w:eastAsia="Calibri"/>
                <w:b/>
                <w:sz w:val="20"/>
                <w:szCs w:val="20"/>
                <w:vertAlign w:val="superscript"/>
                <w:lang w:eastAsia="en-US"/>
              </w:rPr>
              <w:t>3</w:t>
            </w:r>
            <w:r w:rsidRPr="00F2188A">
              <w:rPr>
                <w:rFonts w:eastAsia="Calibri"/>
                <w:b/>
                <w:sz w:val="20"/>
                <w:szCs w:val="20"/>
                <w:lang w:eastAsia="en-US"/>
              </w:rPr>
              <w:t>/min)</w:t>
            </w:r>
          </w:p>
        </w:tc>
        <w:tc>
          <w:tcPr>
            <w:tcW w:w="1114" w:type="dxa"/>
            <w:tcBorders>
              <w:top w:val="single" w:sz="4" w:space="0" w:color="auto"/>
              <w:left w:val="nil"/>
              <w:bottom w:val="single" w:sz="4" w:space="0" w:color="auto"/>
              <w:right w:val="nil"/>
            </w:tcBorders>
            <w:vAlign w:val="center"/>
          </w:tcPr>
          <w:p w14:paraId="6CABED52" w14:textId="77777777" w:rsidR="009F5B8E" w:rsidRPr="00F2188A" w:rsidRDefault="009F5B8E" w:rsidP="00F2188A">
            <w:pPr>
              <w:jc w:val="center"/>
              <w:rPr>
                <w:rFonts w:eastAsia="Calibri"/>
                <w:b/>
                <w:sz w:val="20"/>
                <w:szCs w:val="20"/>
                <w:lang w:eastAsia="en-US"/>
              </w:rPr>
            </w:pPr>
            <w:r w:rsidRPr="00F2188A">
              <w:rPr>
                <w:rFonts w:eastAsia="Calibri"/>
                <w:b/>
                <w:sz w:val="20"/>
                <w:szCs w:val="20"/>
                <w:lang w:eastAsia="en-US"/>
              </w:rPr>
              <w:t>Actual</w:t>
            </w:r>
          </w:p>
          <w:p w14:paraId="1ABC6265" w14:textId="77777777" w:rsidR="000D64D5" w:rsidRPr="00F2188A" w:rsidRDefault="000D64D5" w:rsidP="00F2188A">
            <w:pPr>
              <w:jc w:val="center"/>
              <w:rPr>
                <w:rFonts w:eastAsia="Calibri"/>
                <w:b/>
                <w:sz w:val="20"/>
                <w:szCs w:val="20"/>
                <w:lang w:eastAsia="en-US"/>
              </w:rPr>
            </w:pPr>
            <w:r w:rsidRPr="00F2188A">
              <w:rPr>
                <w:rFonts w:eastAsia="Calibri"/>
                <w:b/>
                <w:sz w:val="20"/>
                <w:szCs w:val="20"/>
                <w:lang w:eastAsia="en-US"/>
              </w:rPr>
              <w:t>(%)</w:t>
            </w:r>
          </w:p>
        </w:tc>
        <w:tc>
          <w:tcPr>
            <w:tcW w:w="1478" w:type="dxa"/>
            <w:tcBorders>
              <w:top w:val="single" w:sz="4" w:space="0" w:color="auto"/>
              <w:left w:val="nil"/>
              <w:bottom w:val="single" w:sz="4" w:space="0" w:color="auto"/>
              <w:right w:val="nil"/>
            </w:tcBorders>
            <w:vAlign w:val="center"/>
          </w:tcPr>
          <w:p w14:paraId="48177D0E" w14:textId="77777777" w:rsidR="009F5B8E" w:rsidRPr="00F2188A" w:rsidRDefault="009F5B8E" w:rsidP="00F2188A">
            <w:pPr>
              <w:jc w:val="center"/>
              <w:rPr>
                <w:rFonts w:eastAsia="Calibri"/>
                <w:b/>
                <w:sz w:val="20"/>
                <w:szCs w:val="20"/>
                <w:lang w:eastAsia="en-US"/>
              </w:rPr>
            </w:pPr>
            <w:r w:rsidRPr="00F2188A">
              <w:rPr>
                <w:rFonts w:eastAsia="Calibri"/>
                <w:b/>
                <w:sz w:val="20"/>
                <w:szCs w:val="20"/>
                <w:lang w:eastAsia="en-US"/>
              </w:rPr>
              <w:t>Normalized MIT</w:t>
            </w:r>
          </w:p>
          <w:p w14:paraId="48255D0C" w14:textId="77777777" w:rsidR="000D64D5" w:rsidRPr="00F2188A" w:rsidRDefault="000D64D5" w:rsidP="00F2188A">
            <w:pPr>
              <w:jc w:val="center"/>
              <w:rPr>
                <w:rFonts w:eastAsia="Calibri"/>
                <w:b/>
                <w:sz w:val="20"/>
                <w:szCs w:val="20"/>
                <w:lang w:eastAsia="en-US"/>
              </w:rPr>
            </w:pPr>
            <w:r w:rsidRPr="00F2188A">
              <w:rPr>
                <w:rFonts w:eastAsia="Calibri"/>
                <w:b/>
                <w:sz w:val="20"/>
                <w:szCs w:val="20"/>
                <w:lang w:eastAsia="en-US"/>
              </w:rPr>
              <w:t>(%)</w:t>
            </w:r>
          </w:p>
        </w:tc>
        <w:tc>
          <w:tcPr>
            <w:tcW w:w="1093" w:type="dxa"/>
            <w:tcBorders>
              <w:top w:val="single" w:sz="4" w:space="0" w:color="auto"/>
              <w:left w:val="nil"/>
              <w:bottom w:val="single" w:sz="4" w:space="0" w:color="auto"/>
              <w:right w:val="nil"/>
            </w:tcBorders>
            <w:vAlign w:val="center"/>
          </w:tcPr>
          <w:p w14:paraId="5C6F82D4" w14:textId="77777777" w:rsidR="009F5B8E" w:rsidRPr="00F2188A" w:rsidRDefault="009F5B8E" w:rsidP="00F2188A">
            <w:pPr>
              <w:jc w:val="center"/>
              <w:rPr>
                <w:rFonts w:eastAsia="Calibri"/>
                <w:b/>
                <w:sz w:val="20"/>
                <w:szCs w:val="20"/>
                <w:lang w:eastAsia="en-US"/>
              </w:rPr>
            </w:pPr>
            <w:r w:rsidRPr="00F2188A">
              <w:rPr>
                <w:rFonts w:eastAsia="Calibri"/>
                <w:b/>
                <w:sz w:val="20"/>
                <w:szCs w:val="20"/>
                <w:lang w:eastAsia="en-US"/>
              </w:rPr>
              <w:t>Error</w:t>
            </w:r>
          </w:p>
        </w:tc>
      </w:tr>
      <w:tr w:rsidR="009F5B8E" w:rsidRPr="00C573F2" w14:paraId="0829F199" w14:textId="77777777" w:rsidTr="00F2188A">
        <w:trPr>
          <w:trHeight w:val="281"/>
          <w:jc w:val="center"/>
        </w:trPr>
        <w:tc>
          <w:tcPr>
            <w:tcW w:w="622" w:type="dxa"/>
            <w:tcBorders>
              <w:top w:val="single" w:sz="4" w:space="0" w:color="auto"/>
              <w:left w:val="nil"/>
              <w:bottom w:val="nil"/>
              <w:right w:val="nil"/>
            </w:tcBorders>
            <w:vAlign w:val="center"/>
          </w:tcPr>
          <w:p w14:paraId="0088E246" w14:textId="77777777" w:rsidR="009F5B8E" w:rsidRPr="00C573F2" w:rsidRDefault="009F5B8E" w:rsidP="00F2188A">
            <w:pPr>
              <w:jc w:val="center"/>
              <w:rPr>
                <w:rFonts w:eastAsia="Calibri"/>
                <w:sz w:val="20"/>
                <w:szCs w:val="20"/>
                <w:lang w:eastAsia="en-US"/>
              </w:rPr>
            </w:pPr>
            <w:r w:rsidRPr="00C573F2">
              <w:rPr>
                <w:rFonts w:eastAsia="Calibri"/>
                <w:sz w:val="20"/>
                <w:szCs w:val="20"/>
                <w:lang w:eastAsia="en-US"/>
              </w:rPr>
              <w:t>1</w:t>
            </w:r>
          </w:p>
        </w:tc>
        <w:tc>
          <w:tcPr>
            <w:tcW w:w="1243" w:type="dxa"/>
            <w:tcBorders>
              <w:top w:val="single" w:sz="4" w:space="0" w:color="auto"/>
              <w:left w:val="nil"/>
              <w:bottom w:val="nil"/>
              <w:right w:val="nil"/>
            </w:tcBorders>
          </w:tcPr>
          <w:p w14:paraId="1E5D54B9" w14:textId="77777777" w:rsidR="009F5B8E" w:rsidRPr="00C573F2" w:rsidRDefault="000D64D5" w:rsidP="00F2188A">
            <w:pPr>
              <w:jc w:val="center"/>
              <w:rPr>
                <w:rFonts w:eastAsia="Calibri"/>
                <w:sz w:val="20"/>
                <w:szCs w:val="20"/>
                <w:lang w:eastAsia="en-US"/>
              </w:rPr>
            </w:pPr>
            <w:r w:rsidRPr="00C573F2">
              <w:rPr>
                <w:rFonts w:eastAsia="Calibri"/>
                <w:sz w:val="20"/>
                <w:szCs w:val="20"/>
                <w:lang w:eastAsia="en-US"/>
              </w:rPr>
              <w:t>3.75</w:t>
            </w:r>
          </w:p>
        </w:tc>
        <w:tc>
          <w:tcPr>
            <w:tcW w:w="1114" w:type="dxa"/>
            <w:tcBorders>
              <w:top w:val="single" w:sz="4" w:space="0" w:color="auto"/>
              <w:left w:val="nil"/>
              <w:bottom w:val="nil"/>
              <w:right w:val="nil"/>
            </w:tcBorders>
            <w:vAlign w:val="center"/>
          </w:tcPr>
          <w:p w14:paraId="7D880702" w14:textId="77777777" w:rsidR="009F5B8E" w:rsidRPr="00C573F2" w:rsidRDefault="009F5B8E" w:rsidP="00F2188A">
            <w:pPr>
              <w:jc w:val="center"/>
              <w:rPr>
                <w:rFonts w:eastAsia="Calibri"/>
                <w:sz w:val="20"/>
                <w:szCs w:val="20"/>
                <w:lang w:eastAsia="en-US"/>
              </w:rPr>
            </w:pPr>
            <w:r w:rsidRPr="00C573F2">
              <w:rPr>
                <w:rFonts w:eastAsia="Calibri"/>
                <w:sz w:val="20"/>
                <w:szCs w:val="20"/>
                <w:lang w:eastAsia="en-US"/>
              </w:rPr>
              <w:t>7</w:t>
            </w:r>
            <w:r w:rsidR="00B13E45" w:rsidRPr="00C573F2">
              <w:rPr>
                <w:rFonts w:eastAsia="Calibri"/>
                <w:sz w:val="20"/>
                <w:szCs w:val="20"/>
                <w:lang w:eastAsia="en-US"/>
              </w:rPr>
              <w:t>2</w:t>
            </w:r>
            <w:r w:rsidRPr="00C573F2">
              <w:rPr>
                <w:rFonts w:eastAsia="Calibri"/>
                <w:sz w:val="20"/>
                <w:szCs w:val="20"/>
                <w:lang w:eastAsia="en-US"/>
              </w:rPr>
              <w:t>.25</w:t>
            </w:r>
          </w:p>
        </w:tc>
        <w:tc>
          <w:tcPr>
            <w:tcW w:w="1478" w:type="dxa"/>
            <w:tcBorders>
              <w:top w:val="single" w:sz="4" w:space="0" w:color="auto"/>
              <w:left w:val="nil"/>
              <w:bottom w:val="nil"/>
              <w:right w:val="nil"/>
            </w:tcBorders>
            <w:vAlign w:val="center"/>
          </w:tcPr>
          <w:p w14:paraId="6681E035" w14:textId="77777777" w:rsidR="009F5B8E" w:rsidRPr="00C573F2" w:rsidRDefault="009F5B8E" w:rsidP="00F2188A">
            <w:pPr>
              <w:jc w:val="center"/>
              <w:rPr>
                <w:rFonts w:eastAsia="Calibri"/>
                <w:sz w:val="20"/>
                <w:szCs w:val="20"/>
                <w:lang w:eastAsia="en-US"/>
              </w:rPr>
            </w:pPr>
            <w:r w:rsidRPr="00C573F2">
              <w:rPr>
                <w:rFonts w:eastAsia="Calibri"/>
                <w:sz w:val="20"/>
                <w:szCs w:val="20"/>
                <w:lang w:eastAsia="en-US"/>
              </w:rPr>
              <w:t>7</w:t>
            </w:r>
            <w:r w:rsidR="00B13E45" w:rsidRPr="00C573F2">
              <w:rPr>
                <w:rFonts w:eastAsia="Calibri"/>
                <w:sz w:val="20"/>
                <w:szCs w:val="20"/>
                <w:lang w:eastAsia="en-US"/>
              </w:rPr>
              <w:t>2</w:t>
            </w:r>
            <w:r w:rsidRPr="00C573F2">
              <w:rPr>
                <w:rFonts w:eastAsia="Calibri"/>
                <w:sz w:val="20"/>
                <w:szCs w:val="20"/>
                <w:lang w:eastAsia="en-US"/>
              </w:rPr>
              <w:t>.66</w:t>
            </w:r>
          </w:p>
        </w:tc>
        <w:tc>
          <w:tcPr>
            <w:tcW w:w="1093" w:type="dxa"/>
            <w:tcBorders>
              <w:top w:val="single" w:sz="4" w:space="0" w:color="auto"/>
              <w:left w:val="nil"/>
              <w:bottom w:val="nil"/>
              <w:right w:val="nil"/>
            </w:tcBorders>
            <w:vAlign w:val="center"/>
          </w:tcPr>
          <w:p w14:paraId="1F8338E2" w14:textId="77777777" w:rsidR="009F5B8E" w:rsidRPr="00C573F2" w:rsidRDefault="009F5B8E" w:rsidP="00F2188A">
            <w:pPr>
              <w:jc w:val="center"/>
              <w:rPr>
                <w:rFonts w:eastAsia="Calibri"/>
                <w:sz w:val="20"/>
                <w:szCs w:val="20"/>
                <w:lang w:eastAsia="en-US"/>
              </w:rPr>
            </w:pPr>
            <w:r w:rsidRPr="00C573F2">
              <w:rPr>
                <w:rFonts w:eastAsia="Calibri"/>
                <w:sz w:val="20"/>
                <w:szCs w:val="20"/>
                <w:lang w:eastAsia="en-US"/>
              </w:rPr>
              <w:t>0.57</w:t>
            </w:r>
          </w:p>
        </w:tc>
      </w:tr>
      <w:tr w:rsidR="009F5B8E" w:rsidRPr="00C573F2" w14:paraId="2F89D21E" w14:textId="77777777" w:rsidTr="00F2188A">
        <w:trPr>
          <w:trHeight w:val="281"/>
          <w:jc w:val="center"/>
        </w:trPr>
        <w:tc>
          <w:tcPr>
            <w:tcW w:w="622" w:type="dxa"/>
            <w:tcBorders>
              <w:top w:val="nil"/>
              <w:left w:val="nil"/>
              <w:bottom w:val="nil"/>
              <w:right w:val="nil"/>
            </w:tcBorders>
            <w:vAlign w:val="center"/>
          </w:tcPr>
          <w:p w14:paraId="4C263699" w14:textId="77777777" w:rsidR="009F5B8E" w:rsidRPr="00C573F2" w:rsidRDefault="009F5B8E" w:rsidP="00F2188A">
            <w:pPr>
              <w:jc w:val="center"/>
              <w:rPr>
                <w:rFonts w:eastAsia="Calibri"/>
                <w:sz w:val="20"/>
                <w:szCs w:val="20"/>
                <w:lang w:eastAsia="en-US"/>
              </w:rPr>
            </w:pPr>
            <w:r w:rsidRPr="00C573F2">
              <w:rPr>
                <w:rFonts w:eastAsia="Calibri"/>
                <w:sz w:val="20"/>
                <w:szCs w:val="20"/>
                <w:lang w:eastAsia="en-US"/>
              </w:rPr>
              <w:t>2</w:t>
            </w:r>
          </w:p>
        </w:tc>
        <w:tc>
          <w:tcPr>
            <w:tcW w:w="1243" w:type="dxa"/>
            <w:tcBorders>
              <w:top w:val="nil"/>
              <w:left w:val="nil"/>
              <w:bottom w:val="nil"/>
              <w:right w:val="nil"/>
            </w:tcBorders>
          </w:tcPr>
          <w:p w14:paraId="71097860" w14:textId="77777777" w:rsidR="009F5B8E" w:rsidRPr="00C573F2" w:rsidRDefault="000D64D5" w:rsidP="00F2188A">
            <w:pPr>
              <w:jc w:val="center"/>
              <w:rPr>
                <w:rFonts w:eastAsia="Calibri"/>
                <w:sz w:val="20"/>
                <w:szCs w:val="20"/>
                <w:lang w:eastAsia="en-US"/>
              </w:rPr>
            </w:pPr>
            <w:r w:rsidRPr="00C573F2">
              <w:rPr>
                <w:rFonts w:eastAsia="Calibri"/>
                <w:sz w:val="20"/>
                <w:szCs w:val="20"/>
                <w:lang w:eastAsia="en-US"/>
              </w:rPr>
              <w:t>5.50</w:t>
            </w:r>
          </w:p>
        </w:tc>
        <w:tc>
          <w:tcPr>
            <w:tcW w:w="1114" w:type="dxa"/>
            <w:tcBorders>
              <w:top w:val="nil"/>
              <w:left w:val="nil"/>
              <w:bottom w:val="nil"/>
              <w:right w:val="nil"/>
            </w:tcBorders>
            <w:vAlign w:val="center"/>
          </w:tcPr>
          <w:p w14:paraId="135BF131" w14:textId="77777777" w:rsidR="009F5B8E" w:rsidRPr="00C573F2" w:rsidRDefault="00B13E45" w:rsidP="00F2188A">
            <w:pPr>
              <w:jc w:val="center"/>
              <w:rPr>
                <w:rFonts w:eastAsia="Calibri"/>
                <w:sz w:val="20"/>
                <w:szCs w:val="20"/>
                <w:lang w:eastAsia="en-US"/>
              </w:rPr>
            </w:pPr>
            <w:r w:rsidRPr="00C573F2">
              <w:rPr>
                <w:rFonts w:eastAsia="Calibri"/>
                <w:sz w:val="20"/>
                <w:szCs w:val="20"/>
                <w:lang w:eastAsia="en-US"/>
              </w:rPr>
              <w:t>67</w:t>
            </w:r>
            <w:r w:rsidR="009F5B8E" w:rsidRPr="00C573F2">
              <w:rPr>
                <w:rFonts w:eastAsia="Calibri"/>
                <w:sz w:val="20"/>
                <w:szCs w:val="20"/>
                <w:lang w:eastAsia="en-US"/>
              </w:rPr>
              <w:t>.25</w:t>
            </w:r>
          </w:p>
        </w:tc>
        <w:tc>
          <w:tcPr>
            <w:tcW w:w="1478" w:type="dxa"/>
            <w:tcBorders>
              <w:top w:val="nil"/>
              <w:left w:val="nil"/>
              <w:bottom w:val="nil"/>
              <w:right w:val="nil"/>
            </w:tcBorders>
            <w:vAlign w:val="center"/>
          </w:tcPr>
          <w:p w14:paraId="49409115" w14:textId="77777777" w:rsidR="009F5B8E" w:rsidRPr="00C573F2" w:rsidRDefault="00B13E45" w:rsidP="00F2188A">
            <w:pPr>
              <w:jc w:val="center"/>
              <w:rPr>
                <w:rFonts w:eastAsia="Calibri"/>
                <w:sz w:val="20"/>
                <w:szCs w:val="20"/>
                <w:lang w:eastAsia="en-US"/>
              </w:rPr>
            </w:pPr>
            <w:r w:rsidRPr="00C573F2">
              <w:rPr>
                <w:rFonts w:eastAsia="Calibri"/>
                <w:sz w:val="20"/>
                <w:szCs w:val="20"/>
                <w:lang w:eastAsia="en-US"/>
              </w:rPr>
              <w:t>68</w:t>
            </w:r>
            <w:r w:rsidR="009F5B8E" w:rsidRPr="00C573F2">
              <w:rPr>
                <w:rFonts w:eastAsia="Calibri"/>
                <w:sz w:val="20"/>
                <w:szCs w:val="20"/>
                <w:lang w:eastAsia="en-US"/>
              </w:rPr>
              <w:t>.07</w:t>
            </w:r>
          </w:p>
        </w:tc>
        <w:tc>
          <w:tcPr>
            <w:tcW w:w="1093" w:type="dxa"/>
            <w:tcBorders>
              <w:top w:val="nil"/>
              <w:left w:val="nil"/>
              <w:bottom w:val="nil"/>
              <w:right w:val="nil"/>
            </w:tcBorders>
            <w:vAlign w:val="center"/>
          </w:tcPr>
          <w:p w14:paraId="4D0AB9E1" w14:textId="77777777" w:rsidR="009F5B8E" w:rsidRPr="00C573F2" w:rsidRDefault="009F5B8E" w:rsidP="00F2188A">
            <w:pPr>
              <w:jc w:val="center"/>
              <w:rPr>
                <w:rFonts w:eastAsia="Calibri"/>
                <w:sz w:val="20"/>
                <w:szCs w:val="20"/>
                <w:lang w:eastAsia="en-US"/>
              </w:rPr>
            </w:pPr>
            <w:r w:rsidRPr="00C573F2">
              <w:rPr>
                <w:rFonts w:eastAsia="Calibri"/>
                <w:sz w:val="20"/>
                <w:szCs w:val="20"/>
                <w:lang w:eastAsia="en-US"/>
              </w:rPr>
              <w:t>1.</w:t>
            </w:r>
            <w:r w:rsidR="00B13E45" w:rsidRPr="00C573F2">
              <w:rPr>
                <w:rFonts w:eastAsia="Calibri"/>
                <w:sz w:val="20"/>
                <w:szCs w:val="20"/>
                <w:lang w:eastAsia="en-US"/>
              </w:rPr>
              <w:t>2</w:t>
            </w:r>
            <w:r w:rsidRPr="00C573F2">
              <w:rPr>
                <w:rFonts w:eastAsia="Calibri"/>
                <w:sz w:val="20"/>
                <w:szCs w:val="20"/>
                <w:lang w:eastAsia="en-US"/>
              </w:rPr>
              <w:t>0</w:t>
            </w:r>
          </w:p>
        </w:tc>
      </w:tr>
      <w:tr w:rsidR="009F5B8E" w:rsidRPr="00C573F2" w14:paraId="6702245B" w14:textId="77777777" w:rsidTr="00F2188A">
        <w:trPr>
          <w:trHeight w:val="281"/>
          <w:jc w:val="center"/>
        </w:trPr>
        <w:tc>
          <w:tcPr>
            <w:tcW w:w="622" w:type="dxa"/>
            <w:tcBorders>
              <w:top w:val="nil"/>
              <w:left w:val="nil"/>
              <w:bottom w:val="nil"/>
              <w:right w:val="nil"/>
            </w:tcBorders>
            <w:vAlign w:val="center"/>
          </w:tcPr>
          <w:p w14:paraId="554E9985" w14:textId="77777777" w:rsidR="009F5B8E" w:rsidRPr="00C573F2" w:rsidRDefault="009F5B8E" w:rsidP="00F2188A">
            <w:pPr>
              <w:jc w:val="center"/>
              <w:rPr>
                <w:rFonts w:eastAsia="Calibri"/>
                <w:sz w:val="20"/>
                <w:szCs w:val="20"/>
                <w:lang w:eastAsia="en-US"/>
              </w:rPr>
            </w:pPr>
            <w:r w:rsidRPr="00C573F2">
              <w:rPr>
                <w:rFonts w:eastAsia="Calibri"/>
                <w:sz w:val="20"/>
                <w:szCs w:val="20"/>
                <w:lang w:eastAsia="en-US"/>
              </w:rPr>
              <w:t>3</w:t>
            </w:r>
          </w:p>
        </w:tc>
        <w:tc>
          <w:tcPr>
            <w:tcW w:w="1243" w:type="dxa"/>
            <w:tcBorders>
              <w:top w:val="nil"/>
              <w:left w:val="nil"/>
              <w:bottom w:val="nil"/>
              <w:right w:val="nil"/>
            </w:tcBorders>
          </w:tcPr>
          <w:p w14:paraId="43646E3D" w14:textId="77777777" w:rsidR="009F5B8E" w:rsidRPr="00C573F2" w:rsidRDefault="000D64D5" w:rsidP="00F2188A">
            <w:pPr>
              <w:jc w:val="center"/>
              <w:rPr>
                <w:rFonts w:eastAsia="Calibri"/>
                <w:sz w:val="20"/>
                <w:szCs w:val="20"/>
                <w:lang w:eastAsia="en-US"/>
              </w:rPr>
            </w:pPr>
            <w:r w:rsidRPr="00C573F2">
              <w:rPr>
                <w:rFonts w:eastAsia="Calibri"/>
                <w:sz w:val="20"/>
                <w:szCs w:val="20"/>
                <w:lang w:eastAsia="en-US"/>
              </w:rPr>
              <w:t>1.50</w:t>
            </w:r>
          </w:p>
        </w:tc>
        <w:tc>
          <w:tcPr>
            <w:tcW w:w="1114" w:type="dxa"/>
            <w:tcBorders>
              <w:top w:val="nil"/>
              <w:left w:val="nil"/>
              <w:bottom w:val="nil"/>
              <w:right w:val="nil"/>
            </w:tcBorders>
            <w:vAlign w:val="center"/>
          </w:tcPr>
          <w:p w14:paraId="7EE5FBB7" w14:textId="77777777" w:rsidR="009F5B8E" w:rsidRPr="00C573F2" w:rsidRDefault="00B13E45" w:rsidP="00F2188A">
            <w:pPr>
              <w:jc w:val="center"/>
              <w:rPr>
                <w:rFonts w:eastAsia="Calibri"/>
                <w:sz w:val="20"/>
                <w:szCs w:val="20"/>
                <w:lang w:eastAsia="en-US"/>
              </w:rPr>
            </w:pPr>
            <w:r w:rsidRPr="00C573F2">
              <w:rPr>
                <w:rFonts w:eastAsia="Calibri"/>
                <w:sz w:val="20"/>
                <w:szCs w:val="20"/>
                <w:lang w:eastAsia="en-US"/>
              </w:rPr>
              <w:t>77</w:t>
            </w:r>
            <w:r w:rsidR="009F5B8E" w:rsidRPr="00C573F2">
              <w:rPr>
                <w:rFonts w:eastAsia="Calibri"/>
                <w:sz w:val="20"/>
                <w:szCs w:val="20"/>
                <w:lang w:eastAsia="en-US"/>
              </w:rPr>
              <w:t>.69</w:t>
            </w:r>
          </w:p>
        </w:tc>
        <w:tc>
          <w:tcPr>
            <w:tcW w:w="1478" w:type="dxa"/>
            <w:tcBorders>
              <w:top w:val="nil"/>
              <w:left w:val="nil"/>
              <w:bottom w:val="nil"/>
              <w:right w:val="nil"/>
            </w:tcBorders>
            <w:vAlign w:val="center"/>
          </w:tcPr>
          <w:p w14:paraId="57F6885A" w14:textId="77777777" w:rsidR="009F5B8E" w:rsidRPr="00C573F2" w:rsidRDefault="00B13E45" w:rsidP="00F2188A">
            <w:pPr>
              <w:jc w:val="center"/>
              <w:rPr>
                <w:rFonts w:eastAsia="Calibri"/>
                <w:sz w:val="20"/>
                <w:szCs w:val="20"/>
                <w:lang w:eastAsia="en-US"/>
              </w:rPr>
            </w:pPr>
            <w:r w:rsidRPr="00C573F2">
              <w:rPr>
                <w:rFonts w:eastAsia="Calibri"/>
                <w:sz w:val="20"/>
                <w:szCs w:val="20"/>
                <w:lang w:eastAsia="en-US"/>
              </w:rPr>
              <w:t>79</w:t>
            </w:r>
            <w:r w:rsidR="009F5B8E" w:rsidRPr="00C573F2">
              <w:rPr>
                <w:rFonts w:eastAsia="Calibri"/>
                <w:sz w:val="20"/>
                <w:szCs w:val="20"/>
                <w:lang w:eastAsia="en-US"/>
              </w:rPr>
              <w:t>.16</w:t>
            </w:r>
          </w:p>
        </w:tc>
        <w:tc>
          <w:tcPr>
            <w:tcW w:w="1093" w:type="dxa"/>
            <w:tcBorders>
              <w:top w:val="nil"/>
              <w:left w:val="nil"/>
              <w:bottom w:val="nil"/>
              <w:right w:val="nil"/>
            </w:tcBorders>
            <w:vAlign w:val="center"/>
          </w:tcPr>
          <w:p w14:paraId="27D9BBB0" w14:textId="77777777" w:rsidR="009F5B8E" w:rsidRPr="00C573F2" w:rsidRDefault="00BD4468" w:rsidP="00F2188A">
            <w:pPr>
              <w:jc w:val="center"/>
              <w:rPr>
                <w:rFonts w:eastAsia="Calibri"/>
                <w:sz w:val="20"/>
                <w:szCs w:val="20"/>
                <w:lang w:eastAsia="en-US"/>
              </w:rPr>
            </w:pPr>
            <w:r w:rsidRPr="00C573F2">
              <w:rPr>
                <w:rFonts w:eastAsia="Calibri"/>
                <w:sz w:val="20"/>
                <w:szCs w:val="20"/>
                <w:lang w:eastAsia="en-US"/>
              </w:rPr>
              <w:t>1.80</w:t>
            </w:r>
          </w:p>
        </w:tc>
      </w:tr>
      <w:tr w:rsidR="009F5B8E" w:rsidRPr="00C573F2" w14:paraId="61C56A90" w14:textId="77777777" w:rsidTr="00F2188A">
        <w:trPr>
          <w:trHeight w:val="281"/>
          <w:jc w:val="center"/>
        </w:trPr>
        <w:tc>
          <w:tcPr>
            <w:tcW w:w="622" w:type="dxa"/>
            <w:tcBorders>
              <w:top w:val="nil"/>
              <w:left w:val="nil"/>
              <w:right w:val="nil"/>
            </w:tcBorders>
            <w:vAlign w:val="center"/>
          </w:tcPr>
          <w:p w14:paraId="58399398" w14:textId="77777777" w:rsidR="009F5B8E" w:rsidRPr="00C573F2" w:rsidRDefault="009F5B8E" w:rsidP="00F2188A">
            <w:pPr>
              <w:jc w:val="center"/>
              <w:rPr>
                <w:rFonts w:eastAsia="Calibri"/>
                <w:sz w:val="20"/>
                <w:szCs w:val="20"/>
                <w:lang w:eastAsia="en-US"/>
              </w:rPr>
            </w:pPr>
            <w:r w:rsidRPr="00C573F2">
              <w:rPr>
                <w:rFonts w:eastAsia="Calibri"/>
                <w:sz w:val="20"/>
                <w:szCs w:val="20"/>
                <w:lang w:eastAsia="en-US"/>
              </w:rPr>
              <w:t>4</w:t>
            </w:r>
          </w:p>
        </w:tc>
        <w:tc>
          <w:tcPr>
            <w:tcW w:w="1243" w:type="dxa"/>
            <w:tcBorders>
              <w:top w:val="nil"/>
              <w:left w:val="nil"/>
              <w:right w:val="nil"/>
            </w:tcBorders>
          </w:tcPr>
          <w:p w14:paraId="33E01492" w14:textId="77777777" w:rsidR="009F5B8E" w:rsidRPr="00C573F2" w:rsidRDefault="000D64D5" w:rsidP="00F2188A">
            <w:pPr>
              <w:jc w:val="center"/>
              <w:rPr>
                <w:rFonts w:eastAsia="Calibri"/>
                <w:sz w:val="20"/>
                <w:szCs w:val="20"/>
                <w:lang w:eastAsia="en-US"/>
              </w:rPr>
            </w:pPr>
            <w:r w:rsidRPr="00C573F2">
              <w:rPr>
                <w:rFonts w:eastAsia="Calibri"/>
                <w:sz w:val="20"/>
                <w:szCs w:val="20"/>
                <w:lang w:eastAsia="en-US"/>
              </w:rPr>
              <w:t>4.25</w:t>
            </w:r>
          </w:p>
        </w:tc>
        <w:tc>
          <w:tcPr>
            <w:tcW w:w="1114" w:type="dxa"/>
            <w:tcBorders>
              <w:top w:val="nil"/>
              <w:left w:val="nil"/>
              <w:right w:val="nil"/>
            </w:tcBorders>
            <w:vAlign w:val="center"/>
          </w:tcPr>
          <w:p w14:paraId="36820386" w14:textId="77777777" w:rsidR="009F5B8E" w:rsidRPr="00C573F2" w:rsidRDefault="00023FDB" w:rsidP="00F2188A">
            <w:pPr>
              <w:jc w:val="center"/>
              <w:rPr>
                <w:rFonts w:eastAsia="Calibri"/>
                <w:sz w:val="20"/>
                <w:szCs w:val="20"/>
                <w:lang w:eastAsia="en-US"/>
              </w:rPr>
            </w:pPr>
            <w:r w:rsidRPr="00C573F2">
              <w:rPr>
                <w:rFonts w:eastAsia="Calibri"/>
                <w:sz w:val="20"/>
                <w:szCs w:val="20"/>
                <w:lang w:eastAsia="en-US"/>
              </w:rPr>
              <w:t>6</w:t>
            </w:r>
            <w:r w:rsidR="00B13E45" w:rsidRPr="00C573F2">
              <w:rPr>
                <w:rFonts w:eastAsia="Calibri"/>
                <w:sz w:val="20"/>
                <w:szCs w:val="20"/>
                <w:lang w:eastAsia="en-US"/>
              </w:rPr>
              <w:t>9</w:t>
            </w:r>
            <w:r w:rsidR="009F5B8E" w:rsidRPr="00C573F2">
              <w:rPr>
                <w:rFonts w:eastAsia="Calibri"/>
                <w:sz w:val="20"/>
                <w:szCs w:val="20"/>
                <w:lang w:eastAsia="en-US"/>
              </w:rPr>
              <w:t>.22</w:t>
            </w:r>
          </w:p>
        </w:tc>
        <w:tc>
          <w:tcPr>
            <w:tcW w:w="1478" w:type="dxa"/>
            <w:tcBorders>
              <w:top w:val="nil"/>
              <w:left w:val="nil"/>
              <w:right w:val="nil"/>
            </w:tcBorders>
            <w:vAlign w:val="center"/>
          </w:tcPr>
          <w:p w14:paraId="34CE0765" w14:textId="77777777" w:rsidR="009F5B8E" w:rsidRPr="00C573F2" w:rsidRDefault="00023FDB" w:rsidP="00F2188A">
            <w:pPr>
              <w:jc w:val="center"/>
              <w:rPr>
                <w:rFonts w:eastAsia="Calibri"/>
                <w:sz w:val="20"/>
                <w:szCs w:val="20"/>
                <w:lang w:eastAsia="en-US"/>
              </w:rPr>
            </w:pPr>
            <w:r w:rsidRPr="00C573F2">
              <w:rPr>
                <w:rFonts w:eastAsia="Calibri"/>
                <w:sz w:val="20"/>
                <w:szCs w:val="20"/>
                <w:lang w:eastAsia="en-US"/>
              </w:rPr>
              <w:t>6</w:t>
            </w:r>
            <w:r w:rsidR="00B13E45" w:rsidRPr="00C573F2">
              <w:rPr>
                <w:rFonts w:eastAsia="Calibri"/>
                <w:sz w:val="20"/>
                <w:szCs w:val="20"/>
                <w:lang w:eastAsia="en-US"/>
              </w:rPr>
              <w:t>7</w:t>
            </w:r>
            <w:r w:rsidR="009F5B8E" w:rsidRPr="00C573F2">
              <w:rPr>
                <w:rFonts w:eastAsia="Calibri"/>
                <w:sz w:val="20"/>
                <w:szCs w:val="20"/>
                <w:lang w:eastAsia="en-US"/>
              </w:rPr>
              <w:t>.60</w:t>
            </w:r>
          </w:p>
        </w:tc>
        <w:tc>
          <w:tcPr>
            <w:tcW w:w="1093" w:type="dxa"/>
            <w:tcBorders>
              <w:top w:val="nil"/>
              <w:left w:val="nil"/>
              <w:right w:val="nil"/>
            </w:tcBorders>
            <w:vAlign w:val="center"/>
          </w:tcPr>
          <w:p w14:paraId="5EFE6DC1" w14:textId="77777777" w:rsidR="009F5B8E" w:rsidRPr="00C573F2" w:rsidRDefault="00BD4468" w:rsidP="00F2188A">
            <w:pPr>
              <w:jc w:val="center"/>
              <w:rPr>
                <w:rFonts w:eastAsia="Calibri"/>
                <w:sz w:val="20"/>
                <w:szCs w:val="20"/>
                <w:lang w:eastAsia="en-US"/>
              </w:rPr>
            </w:pPr>
            <w:r w:rsidRPr="00C573F2">
              <w:rPr>
                <w:rFonts w:eastAsia="Calibri"/>
                <w:sz w:val="20"/>
                <w:szCs w:val="20"/>
                <w:lang w:eastAsia="en-US"/>
              </w:rPr>
              <w:t>2.30</w:t>
            </w:r>
          </w:p>
        </w:tc>
      </w:tr>
      <w:tr w:rsidR="009F5B8E" w:rsidRPr="00C573F2" w14:paraId="5F93E603" w14:textId="77777777" w:rsidTr="00F2188A">
        <w:trPr>
          <w:trHeight w:val="281"/>
          <w:jc w:val="center"/>
        </w:trPr>
        <w:tc>
          <w:tcPr>
            <w:tcW w:w="622" w:type="dxa"/>
            <w:tcBorders>
              <w:top w:val="nil"/>
              <w:left w:val="nil"/>
              <w:bottom w:val="single" w:sz="4" w:space="0" w:color="auto"/>
              <w:right w:val="nil"/>
            </w:tcBorders>
            <w:vAlign w:val="center"/>
          </w:tcPr>
          <w:p w14:paraId="6D961444" w14:textId="77777777" w:rsidR="009F5B8E" w:rsidRPr="00C573F2" w:rsidRDefault="009F5B8E" w:rsidP="00F2188A">
            <w:pPr>
              <w:jc w:val="center"/>
              <w:rPr>
                <w:rFonts w:eastAsia="Calibri"/>
                <w:sz w:val="20"/>
                <w:szCs w:val="20"/>
                <w:lang w:eastAsia="en-US"/>
              </w:rPr>
            </w:pPr>
            <w:r w:rsidRPr="00C573F2">
              <w:rPr>
                <w:rFonts w:eastAsia="Calibri"/>
                <w:sz w:val="20"/>
                <w:szCs w:val="20"/>
                <w:lang w:eastAsia="en-US"/>
              </w:rPr>
              <w:t>5</w:t>
            </w:r>
          </w:p>
        </w:tc>
        <w:tc>
          <w:tcPr>
            <w:tcW w:w="1243" w:type="dxa"/>
            <w:tcBorders>
              <w:top w:val="nil"/>
              <w:left w:val="nil"/>
              <w:bottom w:val="single" w:sz="4" w:space="0" w:color="auto"/>
              <w:right w:val="nil"/>
            </w:tcBorders>
          </w:tcPr>
          <w:p w14:paraId="31945B82" w14:textId="77777777" w:rsidR="009F5B8E" w:rsidRPr="00C573F2" w:rsidRDefault="000D64D5" w:rsidP="00F2188A">
            <w:pPr>
              <w:jc w:val="center"/>
              <w:rPr>
                <w:rFonts w:eastAsia="Calibri"/>
                <w:sz w:val="20"/>
                <w:szCs w:val="20"/>
                <w:lang w:eastAsia="en-US"/>
              </w:rPr>
            </w:pPr>
            <w:r w:rsidRPr="00C573F2">
              <w:rPr>
                <w:rFonts w:eastAsia="Calibri"/>
                <w:sz w:val="20"/>
                <w:szCs w:val="20"/>
                <w:lang w:eastAsia="en-US"/>
              </w:rPr>
              <w:t>3.00</w:t>
            </w:r>
          </w:p>
        </w:tc>
        <w:tc>
          <w:tcPr>
            <w:tcW w:w="1114" w:type="dxa"/>
            <w:tcBorders>
              <w:top w:val="nil"/>
              <w:left w:val="nil"/>
              <w:bottom w:val="single" w:sz="4" w:space="0" w:color="auto"/>
              <w:right w:val="nil"/>
            </w:tcBorders>
            <w:vAlign w:val="center"/>
          </w:tcPr>
          <w:p w14:paraId="238745CC" w14:textId="77777777" w:rsidR="009F5B8E" w:rsidRPr="00C573F2" w:rsidRDefault="009F5B8E" w:rsidP="00F2188A">
            <w:pPr>
              <w:jc w:val="center"/>
              <w:rPr>
                <w:rFonts w:eastAsia="Calibri"/>
                <w:sz w:val="20"/>
                <w:szCs w:val="20"/>
                <w:lang w:eastAsia="en-US"/>
              </w:rPr>
            </w:pPr>
            <w:r w:rsidRPr="00C573F2">
              <w:rPr>
                <w:rFonts w:eastAsia="Calibri"/>
                <w:sz w:val="20"/>
                <w:szCs w:val="20"/>
                <w:lang w:eastAsia="en-US"/>
              </w:rPr>
              <w:t>7</w:t>
            </w:r>
            <w:r w:rsidR="00023FDB" w:rsidRPr="00C573F2">
              <w:rPr>
                <w:rFonts w:eastAsia="Calibri"/>
                <w:sz w:val="20"/>
                <w:szCs w:val="20"/>
                <w:lang w:eastAsia="en-US"/>
              </w:rPr>
              <w:t>4</w:t>
            </w:r>
            <w:r w:rsidRPr="00C573F2">
              <w:rPr>
                <w:rFonts w:eastAsia="Calibri"/>
                <w:sz w:val="20"/>
                <w:szCs w:val="20"/>
                <w:lang w:eastAsia="en-US"/>
              </w:rPr>
              <w:t>.23</w:t>
            </w:r>
          </w:p>
        </w:tc>
        <w:tc>
          <w:tcPr>
            <w:tcW w:w="1478" w:type="dxa"/>
            <w:tcBorders>
              <w:top w:val="nil"/>
              <w:left w:val="nil"/>
              <w:bottom w:val="single" w:sz="4" w:space="0" w:color="auto"/>
              <w:right w:val="nil"/>
            </w:tcBorders>
            <w:vAlign w:val="center"/>
          </w:tcPr>
          <w:p w14:paraId="178D6619" w14:textId="77777777" w:rsidR="009F5B8E" w:rsidRPr="00C573F2" w:rsidRDefault="009F5B8E" w:rsidP="00F2188A">
            <w:pPr>
              <w:jc w:val="center"/>
              <w:rPr>
                <w:rFonts w:eastAsia="Calibri"/>
                <w:sz w:val="20"/>
                <w:szCs w:val="20"/>
                <w:lang w:eastAsia="en-US"/>
              </w:rPr>
            </w:pPr>
            <w:r w:rsidRPr="00C573F2">
              <w:rPr>
                <w:rFonts w:eastAsia="Calibri"/>
                <w:sz w:val="20"/>
                <w:szCs w:val="20"/>
                <w:lang w:eastAsia="en-US"/>
              </w:rPr>
              <w:t>7</w:t>
            </w:r>
            <w:r w:rsidR="00023FDB" w:rsidRPr="00C573F2">
              <w:rPr>
                <w:rFonts w:eastAsia="Calibri"/>
                <w:sz w:val="20"/>
                <w:szCs w:val="20"/>
                <w:lang w:eastAsia="en-US"/>
              </w:rPr>
              <w:t>5</w:t>
            </w:r>
            <w:r w:rsidRPr="00C573F2">
              <w:rPr>
                <w:rFonts w:eastAsia="Calibri"/>
                <w:sz w:val="20"/>
                <w:szCs w:val="20"/>
                <w:lang w:eastAsia="en-US"/>
              </w:rPr>
              <w:t>.36</w:t>
            </w:r>
          </w:p>
        </w:tc>
        <w:tc>
          <w:tcPr>
            <w:tcW w:w="1093" w:type="dxa"/>
            <w:tcBorders>
              <w:top w:val="nil"/>
              <w:left w:val="nil"/>
              <w:bottom w:val="single" w:sz="4" w:space="0" w:color="auto"/>
              <w:right w:val="nil"/>
            </w:tcBorders>
            <w:vAlign w:val="center"/>
          </w:tcPr>
          <w:p w14:paraId="26928F65" w14:textId="77777777" w:rsidR="009F5B8E" w:rsidRPr="00C573F2" w:rsidRDefault="00023FDB" w:rsidP="00F2188A">
            <w:pPr>
              <w:jc w:val="center"/>
              <w:rPr>
                <w:rFonts w:eastAsia="Calibri"/>
                <w:sz w:val="20"/>
                <w:szCs w:val="20"/>
                <w:lang w:eastAsia="en-US"/>
              </w:rPr>
            </w:pPr>
            <w:r w:rsidRPr="00C573F2">
              <w:rPr>
                <w:rFonts w:eastAsia="Calibri"/>
                <w:sz w:val="20"/>
                <w:szCs w:val="20"/>
                <w:lang w:eastAsia="en-US"/>
              </w:rPr>
              <w:t>1</w:t>
            </w:r>
            <w:r w:rsidR="009F5B8E" w:rsidRPr="00C573F2">
              <w:rPr>
                <w:rFonts w:eastAsia="Calibri"/>
                <w:sz w:val="20"/>
                <w:szCs w:val="20"/>
                <w:lang w:eastAsia="en-US"/>
              </w:rPr>
              <w:t>.</w:t>
            </w:r>
            <w:r w:rsidR="00BD4468" w:rsidRPr="00C573F2">
              <w:rPr>
                <w:rFonts w:eastAsia="Calibri"/>
                <w:sz w:val="20"/>
                <w:szCs w:val="20"/>
                <w:lang w:eastAsia="en-US"/>
              </w:rPr>
              <w:t>52</w:t>
            </w:r>
          </w:p>
        </w:tc>
      </w:tr>
    </w:tbl>
    <w:p w14:paraId="716F5F81" w14:textId="77777777" w:rsidR="00023FDB" w:rsidRPr="00C573F2" w:rsidRDefault="00023FDB" w:rsidP="00C573F2">
      <w:pPr>
        <w:jc w:val="both"/>
        <w:outlineLvl w:val="0"/>
        <w:rPr>
          <w:sz w:val="20"/>
          <w:szCs w:val="20"/>
        </w:rPr>
      </w:pPr>
    </w:p>
    <w:p w14:paraId="58AFBCDE" w14:textId="77777777" w:rsidR="0061434D" w:rsidRPr="00C573F2" w:rsidRDefault="0061434D" w:rsidP="00C573F2">
      <w:pPr>
        <w:jc w:val="center"/>
        <w:outlineLvl w:val="0"/>
        <w:rPr>
          <w:b/>
          <w:sz w:val="20"/>
          <w:szCs w:val="20"/>
        </w:rPr>
      </w:pPr>
      <w:r w:rsidRPr="00C573F2">
        <w:rPr>
          <w:b/>
          <w:sz w:val="20"/>
          <w:szCs w:val="20"/>
        </w:rPr>
        <w:t>Conclusion</w:t>
      </w:r>
    </w:p>
    <w:p w14:paraId="68ED64CA" w14:textId="77777777" w:rsidR="0089108C" w:rsidRPr="00C573F2" w:rsidRDefault="0089108C" w:rsidP="00C573F2">
      <w:pPr>
        <w:jc w:val="both"/>
        <w:outlineLvl w:val="0"/>
        <w:rPr>
          <w:sz w:val="20"/>
          <w:szCs w:val="20"/>
        </w:rPr>
      </w:pPr>
      <w:r w:rsidRPr="00C573F2">
        <w:rPr>
          <w:sz w:val="20"/>
          <w:szCs w:val="20"/>
        </w:rPr>
        <w:t xml:space="preserve">A detailed comparison was done between </w:t>
      </w:r>
      <w:r w:rsidR="00B01298" w:rsidRPr="00C573F2">
        <w:rPr>
          <w:sz w:val="20"/>
          <w:szCs w:val="20"/>
        </w:rPr>
        <w:t>two</w:t>
      </w:r>
      <w:r w:rsidRPr="00C573F2">
        <w:rPr>
          <w:sz w:val="20"/>
          <w:szCs w:val="20"/>
        </w:rPr>
        <w:t xml:space="preserve"> methods of MRAC schemes. The complicacy is reduced in the MRAC configuration with </w:t>
      </w:r>
      <w:r w:rsidR="00B01298" w:rsidRPr="00C573F2">
        <w:rPr>
          <w:sz w:val="20"/>
          <w:szCs w:val="20"/>
        </w:rPr>
        <w:t>normalized MIT</w:t>
      </w:r>
      <w:r w:rsidRPr="00C573F2">
        <w:rPr>
          <w:sz w:val="20"/>
          <w:szCs w:val="20"/>
        </w:rPr>
        <w:t xml:space="preserve"> rule as compared to the MIT </w:t>
      </w:r>
      <w:r w:rsidR="00B01298" w:rsidRPr="00C573F2">
        <w:rPr>
          <w:sz w:val="20"/>
          <w:szCs w:val="20"/>
        </w:rPr>
        <w:t>rule</w:t>
      </w:r>
      <w:r w:rsidRPr="00C573F2">
        <w:rPr>
          <w:sz w:val="20"/>
          <w:szCs w:val="20"/>
        </w:rPr>
        <w:t xml:space="preserve">. Therefore, the physical realization for the system under consideration is comparatively more feasible with </w:t>
      </w:r>
      <w:r w:rsidR="00B01298" w:rsidRPr="00C573F2">
        <w:rPr>
          <w:sz w:val="20"/>
          <w:szCs w:val="20"/>
        </w:rPr>
        <w:t>MIT rule</w:t>
      </w:r>
      <w:r w:rsidRPr="00C573F2">
        <w:rPr>
          <w:sz w:val="20"/>
          <w:szCs w:val="20"/>
        </w:rPr>
        <w:t xml:space="preserve">. However, the mathematical modeling of system is simpler for the MIT </w:t>
      </w:r>
      <w:r w:rsidR="00B01298" w:rsidRPr="00C573F2">
        <w:rPr>
          <w:sz w:val="20"/>
          <w:szCs w:val="20"/>
        </w:rPr>
        <w:t>rule</w:t>
      </w:r>
      <w:r w:rsidRPr="00C573F2">
        <w:rPr>
          <w:sz w:val="20"/>
          <w:szCs w:val="20"/>
        </w:rPr>
        <w:t xml:space="preserve">. It can be easily observed that the performance of the system for both MIT and normalized MIT methods was improved with the increment in adaptation gains from 0.1 to 2. The system using </w:t>
      </w:r>
      <w:r w:rsidR="00B01298" w:rsidRPr="00C573F2">
        <w:rPr>
          <w:sz w:val="20"/>
          <w:szCs w:val="20"/>
        </w:rPr>
        <w:t>normalized MIT rule</w:t>
      </w:r>
      <w:r w:rsidRPr="00C573F2">
        <w:rPr>
          <w:sz w:val="20"/>
          <w:szCs w:val="20"/>
        </w:rPr>
        <w:t xml:space="preserve"> responded faster for high gains and that the improvement rate is higher than MIT </w:t>
      </w:r>
      <w:r w:rsidR="00B01298" w:rsidRPr="00C573F2">
        <w:rPr>
          <w:sz w:val="20"/>
          <w:szCs w:val="20"/>
        </w:rPr>
        <w:t>rule</w:t>
      </w:r>
      <w:r w:rsidRPr="00C573F2">
        <w:rPr>
          <w:sz w:val="20"/>
          <w:szCs w:val="20"/>
        </w:rPr>
        <w:t xml:space="preserve">. In the MIT </w:t>
      </w:r>
      <w:r w:rsidR="0013665C" w:rsidRPr="00C573F2">
        <w:rPr>
          <w:sz w:val="20"/>
          <w:szCs w:val="20"/>
        </w:rPr>
        <w:t>rule</w:t>
      </w:r>
      <w:r w:rsidRPr="00C573F2">
        <w:rPr>
          <w:sz w:val="20"/>
          <w:szCs w:val="20"/>
        </w:rPr>
        <w:t xml:space="preserve">, there is no oscillations in the system response when γ = 0.1, though the performance is quite sluggish. On the other hand, the system with </w:t>
      </w:r>
      <w:r w:rsidR="0013665C" w:rsidRPr="00C573F2">
        <w:rPr>
          <w:sz w:val="20"/>
          <w:szCs w:val="20"/>
        </w:rPr>
        <w:t>normalized MIT</w:t>
      </w:r>
      <w:r w:rsidRPr="00C573F2">
        <w:rPr>
          <w:sz w:val="20"/>
          <w:szCs w:val="20"/>
        </w:rPr>
        <w:t xml:space="preserve"> rule could overcome this problem and responded faster although small oscillations were visibly seen. Increasing the adaptation gain in MIT </w:t>
      </w:r>
      <w:r w:rsidR="0013665C" w:rsidRPr="00C573F2">
        <w:rPr>
          <w:sz w:val="20"/>
          <w:szCs w:val="20"/>
        </w:rPr>
        <w:t>rule</w:t>
      </w:r>
      <w:r w:rsidRPr="00C573F2">
        <w:rPr>
          <w:sz w:val="20"/>
          <w:szCs w:val="20"/>
        </w:rPr>
        <w:t>, the system speed was slightly increased but the response became oscillatory with an increase in settling time plus producing overshoots.</w:t>
      </w:r>
      <w:r w:rsidR="0013665C" w:rsidRPr="00C573F2">
        <w:rPr>
          <w:sz w:val="20"/>
          <w:szCs w:val="20"/>
        </w:rPr>
        <w:t xml:space="preserve"> </w:t>
      </w:r>
      <w:r w:rsidRPr="00C573F2">
        <w:rPr>
          <w:sz w:val="20"/>
          <w:szCs w:val="20"/>
        </w:rPr>
        <w:t xml:space="preserve">The system using </w:t>
      </w:r>
      <w:r w:rsidR="0013665C" w:rsidRPr="00C573F2">
        <w:rPr>
          <w:sz w:val="20"/>
          <w:szCs w:val="20"/>
        </w:rPr>
        <w:t>normalized MIT</w:t>
      </w:r>
      <w:r w:rsidRPr="00C573F2">
        <w:rPr>
          <w:sz w:val="20"/>
          <w:szCs w:val="20"/>
        </w:rPr>
        <w:t xml:space="preserve"> rule responded smooth for higher values of the adaptation gains with hardly any oscillations or overshoot. Therefore, M</w:t>
      </w:r>
      <w:r w:rsidR="002F0C53" w:rsidRPr="00C573F2">
        <w:rPr>
          <w:sz w:val="20"/>
          <w:szCs w:val="20"/>
        </w:rPr>
        <w:t>RA</w:t>
      </w:r>
      <w:r w:rsidRPr="00C573F2">
        <w:rPr>
          <w:sz w:val="20"/>
          <w:szCs w:val="20"/>
        </w:rPr>
        <w:t xml:space="preserve">C </w:t>
      </w:r>
      <w:r w:rsidR="0061434D" w:rsidRPr="00C573F2">
        <w:rPr>
          <w:sz w:val="20"/>
          <w:szCs w:val="20"/>
        </w:rPr>
        <w:t>w</w:t>
      </w:r>
      <w:r w:rsidRPr="00C573F2">
        <w:rPr>
          <w:sz w:val="20"/>
          <w:szCs w:val="20"/>
        </w:rPr>
        <w:t xml:space="preserve">ith </w:t>
      </w:r>
      <w:r w:rsidR="0013665C" w:rsidRPr="00C573F2">
        <w:rPr>
          <w:sz w:val="20"/>
          <w:szCs w:val="20"/>
        </w:rPr>
        <w:t>normalized MIT</w:t>
      </w:r>
      <w:r w:rsidRPr="00C573F2">
        <w:rPr>
          <w:sz w:val="20"/>
          <w:szCs w:val="20"/>
        </w:rPr>
        <w:t xml:space="preserve"> rule exhibits more stability of the system. The settling time is also less implying faster response. From the obtained results, it is concluded that the system response and performance was best when γ =1 with very minimal overshooting. In addition, the settling time was 7.5 s for system controlled by MRAC scheme with </w:t>
      </w:r>
      <w:r w:rsidR="0013665C" w:rsidRPr="00C573F2">
        <w:rPr>
          <w:sz w:val="20"/>
          <w:szCs w:val="20"/>
        </w:rPr>
        <w:t>normalized MIT rule</w:t>
      </w:r>
      <w:r w:rsidRPr="00C573F2">
        <w:rPr>
          <w:sz w:val="20"/>
          <w:szCs w:val="20"/>
        </w:rPr>
        <w:t>.</w:t>
      </w:r>
      <w:r w:rsidR="00B65F65" w:rsidRPr="00C573F2">
        <w:rPr>
          <w:sz w:val="20"/>
          <w:szCs w:val="20"/>
        </w:rPr>
        <w:t xml:space="preserve"> Therefore, the applied MRAC with the proposed rule (normalized MIT rule) is capable to control the HFM overall porosity </w:t>
      </w:r>
      <w:r w:rsidR="00E67BCB" w:rsidRPr="00C573F2">
        <w:rPr>
          <w:sz w:val="20"/>
          <w:szCs w:val="20"/>
        </w:rPr>
        <w:t xml:space="preserve">during the fabrication process </w:t>
      </w:r>
      <w:r w:rsidR="00B65F65" w:rsidRPr="00C573F2">
        <w:rPr>
          <w:sz w:val="20"/>
          <w:szCs w:val="20"/>
        </w:rPr>
        <w:t xml:space="preserve">accurately. </w:t>
      </w:r>
    </w:p>
    <w:p w14:paraId="764098E8" w14:textId="77777777" w:rsidR="0013665C" w:rsidRPr="00C573F2" w:rsidRDefault="0013665C" w:rsidP="00C573F2">
      <w:pPr>
        <w:jc w:val="both"/>
        <w:outlineLvl w:val="0"/>
        <w:rPr>
          <w:rFonts w:eastAsia="Times New Roman"/>
          <w:sz w:val="20"/>
          <w:szCs w:val="20"/>
          <w:lang w:eastAsia="en-US"/>
        </w:rPr>
      </w:pPr>
    </w:p>
    <w:p w14:paraId="5A246645" w14:textId="30714B0E" w:rsidR="004819EC" w:rsidRDefault="0013665C" w:rsidP="00A34128">
      <w:pPr>
        <w:jc w:val="center"/>
        <w:outlineLvl w:val="0"/>
        <w:rPr>
          <w:rFonts w:eastAsia="SimSun"/>
          <w:b/>
          <w:sz w:val="20"/>
          <w:szCs w:val="20"/>
        </w:rPr>
      </w:pPr>
      <w:r w:rsidRPr="00C573F2">
        <w:rPr>
          <w:rFonts w:eastAsia="SimSun"/>
          <w:b/>
          <w:sz w:val="20"/>
          <w:szCs w:val="20"/>
        </w:rPr>
        <w:t>References</w:t>
      </w:r>
    </w:p>
    <w:p w14:paraId="7BE80F61" w14:textId="77777777" w:rsidR="00F2188A" w:rsidRPr="00A34128" w:rsidRDefault="00F2188A" w:rsidP="00A34128">
      <w:pPr>
        <w:jc w:val="center"/>
        <w:outlineLvl w:val="0"/>
        <w:rPr>
          <w:rFonts w:eastAsia="SimSun"/>
          <w:b/>
          <w:sz w:val="20"/>
          <w:szCs w:val="20"/>
        </w:rPr>
      </w:pPr>
    </w:p>
    <w:p w14:paraId="3D4963A5" w14:textId="23F191C6" w:rsidR="002A333F" w:rsidRPr="00983A91" w:rsidRDefault="002A333F" w:rsidP="00983A91">
      <w:pPr>
        <w:ind w:left="720" w:hanging="720"/>
        <w:jc w:val="both"/>
        <w:rPr>
          <w:rFonts w:eastAsia="Times New Roman"/>
          <w:color w:val="222222"/>
          <w:sz w:val="20"/>
          <w:szCs w:val="20"/>
          <w:shd w:val="clear" w:color="auto" w:fill="FFFFFF"/>
        </w:rPr>
      </w:pPr>
      <w:r w:rsidRPr="002A333F">
        <w:rPr>
          <w:rFonts w:eastAsia="Times New Roman"/>
          <w:sz w:val="20"/>
          <w:szCs w:val="20"/>
          <w:lang w:eastAsia="en-US"/>
        </w:rPr>
        <w:t>1.</w:t>
      </w:r>
      <w:r w:rsidRPr="002A333F">
        <w:rPr>
          <w:rFonts w:eastAsia="Times New Roman"/>
          <w:color w:val="222222"/>
          <w:sz w:val="20"/>
          <w:szCs w:val="20"/>
          <w:shd w:val="clear" w:color="auto" w:fill="FFFFFF"/>
        </w:rPr>
        <w:t xml:space="preserve"> </w:t>
      </w:r>
      <w:r w:rsidRPr="002A333F">
        <w:rPr>
          <w:rFonts w:eastAsia="Times New Roman"/>
          <w:color w:val="222222"/>
          <w:sz w:val="20"/>
          <w:szCs w:val="20"/>
          <w:shd w:val="clear" w:color="auto" w:fill="FFFFFF"/>
        </w:rPr>
        <w:tab/>
        <w:t xml:space="preserve">Zhang, L., Shi, </w:t>
      </w:r>
      <w:r w:rsidR="00F2188A">
        <w:rPr>
          <w:rFonts w:eastAsia="Times New Roman"/>
          <w:color w:val="222222"/>
          <w:sz w:val="20"/>
          <w:szCs w:val="20"/>
          <w:shd w:val="clear" w:color="auto" w:fill="FFFFFF"/>
        </w:rPr>
        <w:t xml:space="preserve">G. Z., Qiu, S., Cheng, L. H. and </w:t>
      </w:r>
      <w:r w:rsidRPr="002A333F">
        <w:rPr>
          <w:rFonts w:eastAsia="Times New Roman"/>
          <w:color w:val="222222"/>
          <w:sz w:val="20"/>
          <w:szCs w:val="20"/>
          <w:shd w:val="clear" w:color="auto" w:fill="FFFFFF"/>
        </w:rPr>
        <w:t>Chen, H. L. (2011). Preparation of high-flux thin film nanocomposite reverse osmosis membranes by incorporating functionalized multi-walled carbon nanotubes.</w:t>
      </w:r>
      <w:r w:rsidRPr="002A333F">
        <w:rPr>
          <w:rStyle w:val="apple-converted-space"/>
          <w:rFonts w:eastAsia="Times New Roman"/>
          <w:color w:val="222222"/>
          <w:sz w:val="20"/>
          <w:szCs w:val="20"/>
          <w:shd w:val="clear" w:color="auto" w:fill="FFFFFF"/>
        </w:rPr>
        <w:t> </w:t>
      </w:r>
      <w:r w:rsidRPr="002A333F">
        <w:rPr>
          <w:rFonts w:eastAsia="Times New Roman"/>
          <w:i/>
          <w:iCs/>
          <w:color w:val="222222"/>
          <w:sz w:val="20"/>
          <w:szCs w:val="20"/>
          <w:shd w:val="clear" w:color="auto" w:fill="FFFFFF"/>
        </w:rPr>
        <w:t>Desalination and Water Treatment</w:t>
      </w:r>
      <w:r w:rsidRPr="002A333F">
        <w:rPr>
          <w:rFonts w:eastAsia="Times New Roman"/>
          <w:color w:val="222222"/>
          <w:sz w:val="20"/>
          <w:szCs w:val="20"/>
          <w:shd w:val="clear" w:color="auto" w:fill="FFFFFF"/>
        </w:rPr>
        <w:t>,</w:t>
      </w:r>
      <w:r w:rsidRPr="002A333F">
        <w:rPr>
          <w:rStyle w:val="apple-converted-space"/>
          <w:rFonts w:eastAsia="Times New Roman"/>
          <w:color w:val="222222"/>
          <w:sz w:val="20"/>
          <w:szCs w:val="20"/>
          <w:shd w:val="clear" w:color="auto" w:fill="FFFFFF"/>
        </w:rPr>
        <w:t> </w:t>
      </w:r>
      <w:r w:rsidRPr="00F2188A">
        <w:rPr>
          <w:rFonts w:eastAsia="Times New Roman"/>
          <w:iCs/>
          <w:color w:val="222222"/>
          <w:sz w:val="20"/>
          <w:szCs w:val="20"/>
          <w:shd w:val="clear" w:color="auto" w:fill="FFFFFF"/>
        </w:rPr>
        <w:t>34</w:t>
      </w:r>
      <w:r w:rsidR="00983A91">
        <w:rPr>
          <w:rFonts w:eastAsia="Times New Roman"/>
          <w:color w:val="222222"/>
          <w:sz w:val="20"/>
          <w:szCs w:val="20"/>
          <w:shd w:val="clear" w:color="auto" w:fill="FFFFFF"/>
        </w:rPr>
        <w:t xml:space="preserve">(1-3): </w:t>
      </w:r>
      <w:r w:rsidRPr="002A333F">
        <w:rPr>
          <w:rFonts w:eastAsia="Times New Roman"/>
          <w:color w:val="222222"/>
          <w:sz w:val="20"/>
          <w:szCs w:val="20"/>
          <w:shd w:val="clear" w:color="auto" w:fill="FFFFFF"/>
        </w:rPr>
        <w:t>19</w:t>
      </w:r>
      <w:r w:rsidR="00983A91">
        <w:rPr>
          <w:rFonts w:eastAsia="Times New Roman"/>
          <w:color w:val="222222"/>
          <w:sz w:val="20"/>
          <w:szCs w:val="20"/>
          <w:shd w:val="clear" w:color="auto" w:fill="FFFFFF"/>
        </w:rPr>
        <w:t xml:space="preserve"> – </w:t>
      </w:r>
      <w:r w:rsidRPr="002A333F">
        <w:rPr>
          <w:rFonts w:eastAsia="Times New Roman"/>
          <w:color w:val="222222"/>
          <w:sz w:val="20"/>
          <w:szCs w:val="20"/>
          <w:shd w:val="clear" w:color="auto" w:fill="FFFFFF"/>
        </w:rPr>
        <w:t>24.</w:t>
      </w:r>
    </w:p>
    <w:p w14:paraId="438092F3" w14:textId="739A3B29" w:rsidR="002A333F" w:rsidRPr="00983A91" w:rsidRDefault="002A333F" w:rsidP="00983A91">
      <w:pPr>
        <w:ind w:left="720" w:hanging="720"/>
        <w:jc w:val="both"/>
        <w:rPr>
          <w:rFonts w:eastAsia="Times New Roman"/>
          <w:color w:val="222222"/>
          <w:sz w:val="20"/>
          <w:szCs w:val="20"/>
          <w:shd w:val="clear" w:color="auto" w:fill="FFFFFF"/>
        </w:rPr>
      </w:pPr>
      <w:r w:rsidRPr="002A333F">
        <w:rPr>
          <w:rFonts w:eastAsia="Times New Roman"/>
          <w:sz w:val="20"/>
          <w:szCs w:val="20"/>
          <w:lang w:eastAsia="en-US"/>
        </w:rPr>
        <w:t>2.</w:t>
      </w:r>
      <w:r w:rsidRPr="002A333F">
        <w:rPr>
          <w:rFonts w:eastAsia="Times New Roman"/>
          <w:sz w:val="20"/>
          <w:szCs w:val="20"/>
          <w:lang w:eastAsia="en-US"/>
        </w:rPr>
        <w:tab/>
      </w:r>
      <w:r w:rsidRPr="002A333F">
        <w:rPr>
          <w:rFonts w:eastAsia="Times New Roman"/>
          <w:color w:val="222222"/>
          <w:sz w:val="20"/>
          <w:szCs w:val="20"/>
          <w:shd w:val="clear" w:color="auto" w:fill="FFFFFF"/>
        </w:rPr>
        <w:t>Tang</w:t>
      </w:r>
      <w:r w:rsidR="00983A91">
        <w:rPr>
          <w:rFonts w:eastAsia="Times New Roman"/>
          <w:color w:val="222222"/>
          <w:sz w:val="20"/>
          <w:szCs w:val="20"/>
          <w:shd w:val="clear" w:color="auto" w:fill="FFFFFF"/>
        </w:rPr>
        <w:t>, K. S., Man, K. F., Chen, G. and</w:t>
      </w:r>
      <w:r w:rsidRPr="002A333F">
        <w:rPr>
          <w:rFonts w:eastAsia="Times New Roman"/>
          <w:color w:val="222222"/>
          <w:sz w:val="20"/>
          <w:szCs w:val="20"/>
          <w:shd w:val="clear" w:color="auto" w:fill="FFFFFF"/>
        </w:rPr>
        <w:t xml:space="preserve"> Kwong, S. (2001). An optimal fuzzy PID controller. </w:t>
      </w:r>
      <w:r w:rsidRPr="002A333F">
        <w:rPr>
          <w:rFonts w:eastAsia="Times New Roman"/>
          <w:i/>
          <w:iCs/>
          <w:color w:val="222222"/>
          <w:sz w:val="20"/>
          <w:szCs w:val="20"/>
          <w:shd w:val="clear" w:color="auto" w:fill="FFFFFF"/>
        </w:rPr>
        <w:t>IEEE Transactions on Industrial Electronics</w:t>
      </w:r>
      <w:r w:rsidRPr="002A333F">
        <w:rPr>
          <w:rFonts w:eastAsia="Times New Roman"/>
          <w:color w:val="222222"/>
          <w:sz w:val="20"/>
          <w:szCs w:val="20"/>
          <w:shd w:val="clear" w:color="auto" w:fill="FFFFFF"/>
        </w:rPr>
        <w:t>, </w:t>
      </w:r>
      <w:r w:rsidRPr="00983A91">
        <w:rPr>
          <w:rFonts w:eastAsia="Times New Roman"/>
          <w:iCs/>
          <w:color w:val="222222"/>
          <w:sz w:val="20"/>
          <w:szCs w:val="20"/>
          <w:shd w:val="clear" w:color="auto" w:fill="FFFFFF"/>
        </w:rPr>
        <w:t>48</w:t>
      </w:r>
      <w:r w:rsidRPr="00983A91">
        <w:rPr>
          <w:rFonts w:eastAsia="Times New Roman"/>
          <w:color w:val="222222"/>
          <w:sz w:val="20"/>
          <w:szCs w:val="20"/>
          <w:shd w:val="clear" w:color="auto" w:fill="FFFFFF"/>
        </w:rPr>
        <w:t>(4</w:t>
      </w:r>
      <w:r w:rsidR="00983A91">
        <w:rPr>
          <w:rFonts w:eastAsia="Times New Roman"/>
          <w:color w:val="222222"/>
          <w:sz w:val="20"/>
          <w:szCs w:val="20"/>
          <w:shd w:val="clear" w:color="auto" w:fill="FFFFFF"/>
        </w:rPr>
        <w:t xml:space="preserve">): </w:t>
      </w:r>
      <w:r w:rsidRPr="002A333F">
        <w:rPr>
          <w:rFonts w:eastAsia="Times New Roman"/>
          <w:color w:val="222222"/>
          <w:sz w:val="20"/>
          <w:szCs w:val="20"/>
          <w:shd w:val="clear" w:color="auto" w:fill="FFFFFF"/>
        </w:rPr>
        <w:t>757</w:t>
      </w:r>
      <w:r w:rsidR="00983A91">
        <w:rPr>
          <w:rFonts w:eastAsia="Times New Roman"/>
          <w:color w:val="222222"/>
          <w:sz w:val="20"/>
          <w:szCs w:val="20"/>
          <w:shd w:val="clear" w:color="auto" w:fill="FFFFFF"/>
        </w:rPr>
        <w:t xml:space="preserve"> – </w:t>
      </w:r>
      <w:r w:rsidRPr="002A333F">
        <w:rPr>
          <w:rFonts w:eastAsia="Times New Roman"/>
          <w:color w:val="222222"/>
          <w:sz w:val="20"/>
          <w:szCs w:val="20"/>
          <w:shd w:val="clear" w:color="auto" w:fill="FFFFFF"/>
        </w:rPr>
        <w:t>765.</w:t>
      </w:r>
    </w:p>
    <w:p w14:paraId="36923E3C" w14:textId="12493F57" w:rsidR="002A333F" w:rsidRPr="00983A91" w:rsidRDefault="002A333F" w:rsidP="00983A91">
      <w:pPr>
        <w:ind w:left="720" w:hanging="720"/>
        <w:jc w:val="both"/>
        <w:rPr>
          <w:rFonts w:eastAsia="Times New Roman"/>
          <w:color w:val="222222"/>
          <w:sz w:val="20"/>
          <w:szCs w:val="20"/>
          <w:shd w:val="clear" w:color="auto" w:fill="FFFFFF"/>
        </w:rPr>
      </w:pPr>
      <w:r w:rsidRPr="002A333F">
        <w:rPr>
          <w:rFonts w:eastAsia="Times New Roman"/>
          <w:sz w:val="20"/>
          <w:szCs w:val="20"/>
          <w:lang w:eastAsia="en-US"/>
        </w:rPr>
        <w:t>3.</w:t>
      </w:r>
      <w:r w:rsidRPr="002A333F">
        <w:rPr>
          <w:rFonts w:eastAsia="Times New Roman"/>
          <w:sz w:val="20"/>
          <w:szCs w:val="20"/>
          <w:lang w:eastAsia="en-US"/>
        </w:rPr>
        <w:tab/>
      </w:r>
      <w:r w:rsidRPr="002A333F">
        <w:rPr>
          <w:rFonts w:eastAsia="Times New Roman"/>
          <w:color w:val="222222"/>
          <w:sz w:val="20"/>
          <w:szCs w:val="20"/>
          <w:shd w:val="clear" w:color="auto" w:fill="FFFFFF"/>
        </w:rPr>
        <w:t>Rubaai,</w:t>
      </w:r>
      <w:r w:rsidR="00983A91">
        <w:rPr>
          <w:rFonts w:eastAsia="Times New Roman"/>
          <w:color w:val="222222"/>
          <w:sz w:val="20"/>
          <w:szCs w:val="20"/>
          <w:shd w:val="clear" w:color="auto" w:fill="FFFFFF"/>
        </w:rPr>
        <w:t xml:space="preserve"> A., Castro-Sitiriche, M. J. and </w:t>
      </w:r>
      <w:r w:rsidRPr="002A333F">
        <w:rPr>
          <w:rFonts w:eastAsia="Times New Roman"/>
          <w:color w:val="222222"/>
          <w:sz w:val="20"/>
          <w:szCs w:val="20"/>
          <w:shd w:val="clear" w:color="auto" w:fill="FFFFFF"/>
        </w:rPr>
        <w:t>Ofoli, A. R. (2008). DSP-based laboratory implementation of hybrid fuzzy-PID controller using genetic optimization for high-performance motor drives.</w:t>
      </w:r>
      <w:r w:rsidRPr="002A333F">
        <w:rPr>
          <w:rStyle w:val="apple-converted-space"/>
          <w:rFonts w:eastAsia="Times New Roman"/>
          <w:color w:val="222222"/>
          <w:sz w:val="20"/>
          <w:szCs w:val="20"/>
          <w:shd w:val="clear" w:color="auto" w:fill="FFFFFF"/>
        </w:rPr>
        <w:t> </w:t>
      </w:r>
      <w:r w:rsidRPr="002A333F">
        <w:rPr>
          <w:rFonts w:eastAsia="Times New Roman"/>
          <w:i/>
          <w:iCs/>
          <w:color w:val="222222"/>
          <w:sz w:val="20"/>
          <w:szCs w:val="20"/>
          <w:shd w:val="clear" w:color="auto" w:fill="FFFFFF"/>
        </w:rPr>
        <w:t xml:space="preserve">IEEE Transactions on </w:t>
      </w:r>
      <w:r w:rsidR="00983A91" w:rsidRPr="002A333F">
        <w:rPr>
          <w:rFonts w:eastAsia="Times New Roman"/>
          <w:i/>
          <w:iCs/>
          <w:color w:val="222222"/>
          <w:sz w:val="20"/>
          <w:szCs w:val="20"/>
          <w:shd w:val="clear" w:color="auto" w:fill="FFFFFF"/>
        </w:rPr>
        <w:t>Industry Applications</w:t>
      </w:r>
      <w:r w:rsidRPr="002A333F">
        <w:rPr>
          <w:rFonts w:eastAsia="Times New Roman"/>
          <w:color w:val="222222"/>
          <w:sz w:val="20"/>
          <w:szCs w:val="20"/>
          <w:shd w:val="clear" w:color="auto" w:fill="FFFFFF"/>
        </w:rPr>
        <w:t>,</w:t>
      </w:r>
      <w:r w:rsidRPr="002A333F">
        <w:rPr>
          <w:rStyle w:val="apple-converted-space"/>
          <w:rFonts w:eastAsia="Times New Roman"/>
          <w:color w:val="222222"/>
          <w:sz w:val="20"/>
          <w:szCs w:val="20"/>
          <w:shd w:val="clear" w:color="auto" w:fill="FFFFFF"/>
        </w:rPr>
        <w:t> </w:t>
      </w:r>
      <w:r w:rsidRPr="00983A91">
        <w:rPr>
          <w:rFonts w:eastAsia="Times New Roman"/>
          <w:iCs/>
          <w:color w:val="222222"/>
          <w:sz w:val="20"/>
          <w:szCs w:val="20"/>
          <w:shd w:val="clear" w:color="auto" w:fill="FFFFFF"/>
        </w:rPr>
        <w:t>44</w:t>
      </w:r>
      <w:r w:rsidRPr="00983A91">
        <w:rPr>
          <w:rFonts w:eastAsia="Times New Roman"/>
          <w:color w:val="222222"/>
          <w:sz w:val="20"/>
          <w:szCs w:val="20"/>
          <w:shd w:val="clear" w:color="auto" w:fill="FFFFFF"/>
        </w:rPr>
        <w:t>(</w:t>
      </w:r>
      <w:r w:rsidR="00983A91">
        <w:rPr>
          <w:rFonts w:eastAsia="Times New Roman"/>
          <w:color w:val="222222"/>
          <w:sz w:val="20"/>
          <w:szCs w:val="20"/>
          <w:shd w:val="clear" w:color="auto" w:fill="FFFFFF"/>
        </w:rPr>
        <w:t xml:space="preserve">6): </w:t>
      </w:r>
      <w:r w:rsidRPr="002A333F">
        <w:rPr>
          <w:rFonts w:eastAsia="Times New Roman"/>
          <w:color w:val="222222"/>
          <w:sz w:val="20"/>
          <w:szCs w:val="20"/>
          <w:shd w:val="clear" w:color="auto" w:fill="FFFFFF"/>
        </w:rPr>
        <w:t>1977</w:t>
      </w:r>
      <w:r w:rsidR="00983A91">
        <w:rPr>
          <w:rFonts w:eastAsia="Times New Roman"/>
          <w:color w:val="222222"/>
          <w:sz w:val="20"/>
          <w:szCs w:val="20"/>
          <w:shd w:val="clear" w:color="auto" w:fill="FFFFFF"/>
        </w:rPr>
        <w:t xml:space="preserve"> – </w:t>
      </w:r>
      <w:r w:rsidRPr="002A333F">
        <w:rPr>
          <w:rFonts w:eastAsia="Times New Roman"/>
          <w:color w:val="222222"/>
          <w:sz w:val="20"/>
          <w:szCs w:val="20"/>
          <w:shd w:val="clear" w:color="auto" w:fill="FFFFFF"/>
        </w:rPr>
        <w:t>1986.</w:t>
      </w:r>
    </w:p>
    <w:p w14:paraId="236A41FD" w14:textId="06B8CC00" w:rsidR="002A333F" w:rsidRPr="00983A91" w:rsidRDefault="002A333F" w:rsidP="00983A91">
      <w:pPr>
        <w:ind w:left="720" w:hanging="720"/>
        <w:jc w:val="both"/>
        <w:rPr>
          <w:rFonts w:eastAsia="Times New Roman"/>
          <w:color w:val="222222"/>
          <w:sz w:val="20"/>
          <w:szCs w:val="20"/>
          <w:shd w:val="clear" w:color="auto" w:fill="FFFFFF"/>
        </w:rPr>
      </w:pPr>
      <w:r w:rsidRPr="002A333F">
        <w:rPr>
          <w:rFonts w:eastAsia="Times New Roman"/>
          <w:sz w:val="20"/>
          <w:szCs w:val="20"/>
          <w:lang w:eastAsia="en-US"/>
        </w:rPr>
        <w:t>4.</w:t>
      </w:r>
      <w:r w:rsidRPr="002A333F">
        <w:rPr>
          <w:rFonts w:eastAsia="Times New Roman"/>
          <w:sz w:val="20"/>
          <w:szCs w:val="20"/>
          <w:lang w:eastAsia="en-US"/>
        </w:rPr>
        <w:tab/>
      </w:r>
      <w:r w:rsidRPr="002A333F">
        <w:rPr>
          <w:rFonts w:eastAsia="Times New Roman"/>
          <w:color w:val="222222"/>
          <w:sz w:val="20"/>
          <w:szCs w:val="20"/>
          <w:shd w:val="clear" w:color="auto" w:fill="FFFFFF"/>
        </w:rPr>
        <w:t>Sun, D</w:t>
      </w:r>
      <w:r w:rsidR="00983A91">
        <w:rPr>
          <w:rFonts w:eastAsia="Times New Roman"/>
          <w:color w:val="222222"/>
          <w:sz w:val="20"/>
          <w:szCs w:val="20"/>
          <w:shd w:val="clear" w:color="auto" w:fill="FFFFFF"/>
        </w:rPr>
        <w:t>. and Meng, J. (2006</w:t>
      </w:r>
      <w:r w:rsidRPr="002A333F">
        <w:rPr>
          <w:rFonts w:eastAsia="Times New Roman"/>
          <w:color w:val="222222"/>
          <w:sz w:val="20"/>
          <w:szCs w:val="20"/>
          <w:shd w:val="clear" w:color="auto" w:fill="FFFFFF"/>
        </w:rPr>
        <w:t>). A single neuron PID controller based PMSM DTC drive system fed by fault tolera</w:t>
      </w:r>
      <w:r w:rsidR="00983A91">
        <w:rPr>
          <w:rFonts w:eastAsia="Times New Roman"/>
          <w:color w:val="222222"/>
          <w:sz w:val="20"/>
          <w:szCs w:val="20"/>
          <w:shd w:val="clear" w:color="auto" w:fill="FFFFFF"/>
        </w:rPr>
        <w:t xml:space="preserve">nt 4-switch 3-phase inverter. </w:t>
      </w:r>
      <w:r w:rsidRPr="002A333F">
        <w:rPr>
          <w:rFonts w:eastAsia="Times New Roman"/>
          <w:i/>
          <w:iCs/>
          <w:color w:val="222222"/>
          <w:sz w:val="20"/>
          <w:szCs w:val="20"/>
          <w:shd w:val="clear" w:color="auto" w:fill="FFFFFF"/>
        </w:rPr>
        <w:t>Industrial Electronics and Applicati</w:t>
      </w:r>
      <w:r w:rsidR="00983A91">
        <w:rPr>
          <w:rFonts w:eastAsia="Times New Roman"/>
          <w:i/>
          <w:iCs/>
          <w:color w:val="222222"/>
          <w:sz w:val="20"/>
          <w:szCs w:val="20"/>
          <w:shd w:val="clear" w:color="auto" w:fill="FFFFFF"/>
        </w:rPr>
        <w:t>ons, 2006 1ST IEEE Conference:</w:t>
      </w:r>
      <w:r w:rsidR="00983A91">
        <w:rPr>
          <w:rFonts w:eastAsia="Times New Roman"/>
          <w:color w:val="222222"/>
          <w:sz w:val="20"/>
          <w:szCs w:val="20"/>
          <w:shd w:val="clear" w:color="auto" w:fill="FFFFFF"/>
        </w:rPr>
        <w:t xml:space="preserve"> pp. 1 – 5</w:t>
      </w:r>
      <w:r w:rsidRPr="002A333F">
        <w:rPr>
          <w:rFonts w:eastAsia="Times New Roman"/>
          <w:color w:val="222222"/>
          <w:sz w:val="20"/>
          <w:szCs w:val="20"/>
          <w:shd w:val="clear" w:color="auto" w:fill="FFFFFF"/>
        </w:rPr>
        <w:t>.</w:t>
      </w:r>
    </w:p>
    <w:p w14:paraId="3E72579C" w14:textId="34C683D4" w:rsidR="002A333F" w:rsidRPr="00983A91" w:rsidRDefault="002A333F" w:rsidP="00983A91">
      <w:pPr>
        <w:ind w:left="720" w:hanging="720"/>
        <w:jc w:val="both"/>
        <w:rPr>
          <w:rFonts w:eastAsia="Times New Roman"/>
          <w:color w:val="222222"/>
          <w:sz w:val="20"/>
          <w:szCs w:val="20"/>
          <w:shd w:val="clear" w:color="auto" w:fill="FFFFFF"/>
        </w:rPr>
      </w:pPr>
      <w:r w:rsidRPr="002A333F">
        <w:rPr>
          <w:rFonts w:eastAsia="Times New Roman"/>
          <w:sz w:val="20"/>
          <w:szCs w:val="20"/>
          <w:lang w:eastAsia="en-US"/>
        </w:rPr>
        <w:t>5.</w:t>
      </w:r>
      <w:r w:rsidRPr="002A333F">
        <w:rPr>
          <w:rFonts w:eastAsia="Times New Roman"/>
          <w:sz w:val="20"/>
          <w:szCs w:val="20"/>
          <w:lang w:eastAsia="en-US"/>
        </w:rPr>
        <w:tab/>
      </w:r>
      <w:r w:rsidRPr="002A333F">
        <w:rPr>
          <w:rFonts w:eastAsia="Times New Roman"/>
          <w:color w:val="222222"/>
          <w:sz w:val="20"/>
          <w:szCs w:val="20"/>
          <w:shd w:val="clear" w:color="auto" w:fill="FFFFFF"/>
        </w:rPr>
        <w:t xml:space="preserve">Yao, J., Wang, L., Wang, C., </w:t>
      </w:r>
      <w:r w:rsidR="00983A91">
        <w:rPr>
          <w:rFonts w:eastAsia="Times New Roman"/>
          <w:color w:val="222222"/>
          <w:sz w:val="20"/>
          <w:szCs w:val="20"/>
          <w:shd w:val="clear" w:color="auto" w:fill="FFFFFF"/>
        </w:rPr>
        <w:t>Zhang, Z. and Jia, P. (2008</w:t>
      </w:r>
      <w:r w:rsidRPr="002A333F">
        <w:rPr>
          <w:rFonts w:eastAsia="Times New Roman"/>
          <w:color w:val="222222"/>
          <w:sz w:val="20"/>
          <w:szCs w:val="20"/>
          <w:shd w:val="clear" w:color="auto" w:fill="FFFFFF"/>
        </w:rPr>
        <w:t>). ANN-based PID controller for an el</w:t>
      </w:r>
      <w:r w:rsidR="00983A91">
        <w:rPr>
          <w:rFonts w:eastAsia="Times New Roman"/>
          <w:color w:val="222222"/>
          <w:sz w:val="20"/>
          <w:szCs w:val="20"/>
          <w:shd w:val="clear" w:color="auto" w:fill="FFFFFF"/>
        </w:rPr>
        <w:t xml:space="preserve">ectro-hydraulic servo system. </w:t>
      </w:r>
      <w:r w:rsidRPr="002A333F">
        <w:rPr>
          <w:rFonts w:eastAsia="Times New Roman"/>
          <w:i/>
          <w:iCs/>
          <w:color w:val="222222"/>
          <w:sz w:val="20"/>
          <w:szCs w:val="20"/>
          <w:shd w:val="clear" w:color="auto" w:fill="FFFFFF"/>
        </w:rPr>
        <w:t>2008 IEEE International Conference on Automation and Logistics</w:t>
      </w:r>
      <w:r w:rsidR="00983A91">
        <w:rPr>
          <w:rStyle w:val="apple-converted-space"/>
          <w:rFonts w:eastAsia="Times New Roman"/>
          <w:color w:val="222222"/>
          <w:sz w:val="20"/>
          <w:szCs w:val="20"/>
          <w:shd w:val="clear" w:color="auto" w:fill="FFFFFF"/>
        </w:rPr>
        <w:t>:</w:t>
      </w:r>
      <w:r w:rsidR="00983A91">
        <w:rPr>
          <w:rFonts w:eastAsia="Times New Roman"/>
          <w:color w:val="222222"/>
          <w:sz w:val="20"/>
          <w:szCs w:val="20"/>
          <w:shd w:val="clear" w:color="auto" w:fill="FFFFFF"/>
        </w:rPr>
        <w:t xml:space="preserve"> </w:t>
      </w:r>
      <w:r w:rsidRPr="002A333F">
        <w:rPr>
          <w:rFonts w:eastAsia="Times New Roman"/>
          <w:color w:val="222222"/>
          <w:sz w:val="20"/>
          <w:szCs w:val="20"/>
          <w:shd w:val="clear" w:color="auto" w:fill="FFFFFF"/>
        </w:rPr>
        <w:t>pp. 18</w:t>
      </w:r>
      <w:r w:rsidR="00983A91">
        <w:rPr>
          <w:rFonts w:eastAsia="Times New Roman"/>
          <w:color w:val="222222"/>
          <w:sz w:val="20"/>
          <w:szCs w:val="20"/>
          <w:shd w:val="clear" w:color="auto" w:fill="FFFFFF"/>
        </w:rPr>
        <w:t xml:space="preserve"> – 22</w:t>
      </w:r>
    </w:p>
    <w:p w14:paraId="4397C733" w14:textId="59CC2A0F" w:rsidR="002A333F" w:rsidRPr="00983A91" w:rsidRDefault="002A333F" w:rsidP="00983A91">
      <w:pPr>
        <w:ind w:left="720" w:hanging="720"/>
        <w:jc w:val="both"/>
        <w:rPr>
          <w:rFonts w:eastAsia="Times New Roman"/>
          <w:color w:val="222222"/>
          <w:sz w:val="20"/>
          <w:szCs w:val="20"/>
          <w:shd w:val="clear" w:color="auto" w:fill="FFFFFF"/>
        </w:rPr>
      </w:pPr>
      <w:r w:rsidRPr="002A333F">
        <w:rPr>
          <w:rFonts w:eastAsia="Times New Roman"/>
          <w:sz w:val="20"/>
          <w:szCs w:val="20"/>
          <w:lang w:eastAsia="en-US"/>
        </w:rPr>
        <w:t>6.</w:t>
      </w:r>
      <w:r w:rsidRPr="002A333F">
        <w:rPr>
          <w:rFonts w:eastAsia="Times New Roman"/>
          <w:sz w:val="20"/>
          <w:szCs w:val="20"/>
          <w:lang w:eastAsia="en-US"/>
        </w:rPr>
        <w:tab/>
      </w:r>
      <w:r w:rsidRPr="002A333F">
        <w:rPr>
          <w:rFonts w:eastAsia="Times New Roman"/>
          <w:color w:val="222222"/>
          <w:sz w:val="20"/>
          <w:szCs w:val="20"/>
          <w:shd w:val="clear" w:color="auto" w:fill="FFFFFF"/>
        </w:rPr>
        <w:t>Koo, T. J. (2001). Stable model reference adaptive fuzzy control of a class of nonlinear systems.</w:t>
      </w:r>
      <w:r w:rsidRPr="002A333F">
        <w:rPr>
          <w:rStyle w:val="apple-converted-space"/>
          <w:rFonts w:eastAsia="Times New Roman"/>
          <w:color w:val="222222"/>
          <w:sz w:val="20"/>
          <w:szCs w:val="20"/>
          <w:shd w:val="clear" w:color="auto" w:fill="FFFFFF"/>
        </w:rPr>
        <w:t> </w:t>
      </w:r>
      <w:r w:rsidRPr="002A333F">
        <w:rPr>
          <w:rFonts w:eastAsia="Times New Roman"/>
          <w:i/>
          <w:iCs/>
          <w:color w:val="222222"/>
          <w:sz w:val="20"/>
          <w:szCs w:val="20"/>
          <w:shd w:val="clear" w:color="auto" w:fill="FFFFFF"/>
        </w:rPr>
        <w:t>IEEE Transactions on Fuzzy Systems</w:t>
      </w:r>
      <w:r w:rsidRPr="002A333F">
        <w:rPr>
          <w:rFonts w:eastAsia="Times New Roman"/>
          <w:color w:val="222222"/>
          <w:sz w:val="20"/>
          <w:szCs w:val="20"/>
          <w:shd w:val="clear" w:color="auto" w:fill="FFFFFF"/>
        </w:rPr>
        <w:t>,</w:t>
      </w:r>
      <w:r w:rsidRPr="002A333F">
        <w:rPr>
          <w:rStyle w:val="apple-converted-space"/>
          <w:rFonts w:eastAsia="Times New Roman"/>
          <w:color w:val="222222"/>
          <w:sz w:val="20"/>
          <w:szCs w:val="20"/>
          <w:shd w:val="clear" w:color="auto" w:fill="FFFFFF"/>
        </w:rPr>
        <w:t> </w:t>
      </w:r>
      <w:r w:rsidRPr="00983A91">
        <w:rPr>
          <w:rFonts w:eastAsia="Times New Roman"/>
          <w:iCs/>
          <w:color w:val="222222"/>
          <w:sz w:val="20"/>
          <w:szCs w:val="20"/>
          <w:shd w:val="clear" w:color="auto" w:fill="FFFFFF"/>
        </w:rPr>
        <w:t>9</w:t>
      </w:r>
      <w:r w:rsidR="00983A91">
        <w:rPr>
          <w:rFonts w:eastAsia="Times New Roman"/>
          <w:color w:val="222222"/>
          <w:sz w:val="20"/>
          <w:szCs w:val="20"/>
          <w:shd w:val="clear" w:color="auto" w:fill="FFFFFF"/>
        </w:rPr>
        <w:t xml:space="preserve">(4): </w:t>
      </w:r>
      <w:r w:rsidRPr="002A333F">
        <w:rPr>
          <w:rFonts w:eastAsia="Times New Roman"/>
          <w:color w:val="222222"/>
          <w:sz w:val="20"/>
          <w:szCs w:val="20"/>
          <w:shd w:val="clear" w:color="auto" w:fill="FFFFFF"/>
        </w:rPr>
        <w:t>624</w:t>
      </w:r>
      <w:r w:rsidR="00983A91">
        <w:rPr>
          <w:rFonts w:eastAsia="Times New Roman"/>
          <w:color w:val="222222"/>
          <w:sz w:val="20"/>
          <w:szCs w:val="20"/>
          <w:shd w:val="clear" w:color="auto" w:fill="FFFFFF"/>
        </w:rPr>
        <w:t xml:space="preserve"> – </w:t>
      </w:r>
      <w:r w:rsidRPr="002A333F">
        <w:rPr>
          <w:rFonts w:eastAsia="Times New Roman"/>
          <w:color w:val="222222"/>
          <w:sz w:val="20"/>
          <w:szCs w:val="20"/>
          <w:shd w:val="clear" w:color="auto" w:fill="FFFFFF"/>
        </w:rPr>
        <w:t>636.</w:t>
      </w:r>
    </w:p>
    <w:p w14:paraId="30C1CCF7" w14:textId="40ABF341" w:rsidR="002A333F" w:rsidRPr="00983A91" w:rsidRDefault="002A333F" w:rsidP="00983A91">
      <w:pPr>
        <w:ind w:left="720" w:hanging="720"/>
        <w:jc w:val="both"/>
        <w:rPr>
          <w:rFonts w:eastAsia="Times New Roman"/>
          <w:color w:val="222222"/>
          <w:sz w:val="20"/>
          <w:szCs w:val="20"/>
          <w:shd w:val="clear" w:color="auto" w:fill="FFFFFF"/>
        </w:rPr>
      </w:pPr>
      <w:r w:rsidRPr="002A333F">
        <w:rPr>
          <w:rFonts w:eastAsia="Times New Roman"/>
          <w:sz w:val="20"/>
          <w:szCs w:val="20"/>
          <w:lang w:eastAsia="en-US"/>
        </w:rPr>
        <w:t>7.</w:t>
      </w:r>
      <w:r w:rsidRPr="002A333F">
        <w:rPr>
          <w:rFonts w:eastAsia="Times New Roman"/>
          <w:sz w:val="20"/>
          <w:szCs w:val="20"/>
          <w:lang w:eastAsia="en-US"/>
        </w:rPr>
        <w:tab/>
      </w:r>
      <w:r w:rsidRPr="002A333F">
        <w:rPr>
          <w:rFonts w:eastAsia="Times New Roman"/>
          <w:color w:val="222222"/>
          <w:sz w:val="20"/>
          <w:szCs w:val="20"/>
          <w:shd w:val="clear" w:color="auto" w:fill="FFFFFF"/>
        </w:rPr>
        <w:t xml:space="preserve">Tsai, P. </w:t>
      </w:r>
      <w:r w:rsidR="00983A91">
        <w:rPr>
          <w:rFonts w:eastAsia="Times New Roman"/>
          <w:color w:val="222222"/>
          <w:sz w:val="20"/>
          <w:szCs w:val="20"/>
          <w:shd w:val="clear" w:color="auto" w:fill="FFFFFF"/>
        </w:rPr>
        <w:t>Y., Huang, H. C., Chen, Y. J. and Hwang, R. C. (2004</w:t>
      </w:r>
      <w:r w:rsidRPr="002A333F">
        <w:rPr>
          <w:rFonts w:eastAsia="Times New Roman"/>
          <w:color w:val="222222"/>
          <w:sz w:val="20"/>
          <w:szCs w:val="20"/>
          <w:shd w:val="clear" w:color="auto" w:fill="FFFFFF"/>
        </w:rPr>
        <w:t>). The model reference control by auto-tuni</w:t>
      </w:r>
      <w:r w:rsidR="00983A91">
        <w:rPr>
          <w:rFonts w:eastAsia="Times New Roman"/>
          <w:color w:val="222222"/>
          <w:sz w:val="20"/>
          <w:szCs w:val="20"/>
          <w:shd w:val="clear" w:color="auto" w:fill="FFFFFF"/>
        </w:rPr>
        <w:t xml:space="preserve">ng PID-like fuzzy controller. </w:t>
      </w:r>
      <w:r w:rsidRPr="002A333F">
        <w:rPr>
          <w:rFonts w:eastAsia="Times New Roman"/>
          <w:i/>
          <w:iCs/>
          <w:color w:val="222222"/>
          <w:sz w:val="20"/>
          <w:szCs w:val="20"/>
          <w:shd w:val="clear" w:color="auto" w:fill="FFFFFF"/>
        </w:rPr>
        <w:t xml:space="preserve">Proceedings of the 2004 </w:t>
      </w:r>
      <w:r w:rsidR="00983A91">
        <w:rPr>
          <w:rFonts w:eastAsia="Times New Roman"/>
          <w:i/>
          <w:iCs/>
          <w:color w:val="222222"/>
          <w:sz w:val="20"/>
          <w:szCs w:val="20"/>
          <w:shd w:val="clear" w:color="auto" w:fill="FFFFFF"/>
        </w:rPr>
        <w:t>IEEE International Conference:</w:t>
      </w:r>
      <w:r w:rsidR="00983A91">
        <w:rPr>
          <w:rFonts w:eastAsia="Times New Roman"/>
          <w:color w:val="222222"/>
          <w:sz w:val="20"/>
          <w:szCs w:val="20"/>
          <w:shd w:val="clear" w:color="auto" w:fill="FFFFFF"/>
        </w:rPr>
        <w:t xml:space="preserve"> pp. 406 –411.</w:t>
      </w:r>
    </w:p>
    <w:p w14:paraId="15E0E69E" w14:textId="12FE0862" w:rsidR="002A333F" w:rsidRPr="00983A91" w:rsidRDefault="002A333F" w:rsidP="00983A91">
      <w:pPr>
        <w:ind w:left="720" w:hanging="720"/>
        <w:jc w:val="both"/>
        <w:rPr>
          <w:rFonts w:eastAsia="Times New Roman"/>
          <w:color w:val="222222"/>
          <w:sz w:val="20"/>
          <w:szCs w:val="20"/>
          <w:shd w:val="clear" w:color="auto" w:fill="FFFFFF"/>
        </w:rPr>
      </w:pPr>
      <w:r w:rsidRPr="002A333F">
        <w:rPr>
          <w:rFonts w:eastAsia="Times New Roman"/>
          <w:color w:val="222222"/>
          <w:sz w:val="20"/>
          <w:szCs w:val="20"/>
          <w:shd w:val="clear" w:color="auto" w:fill="FFFFFF"/>
        </w:rPr>
        <w:t>8.</w:t>
      </w:r>
      <w:r w:rsidRPr="002A333F">
        <w:rPr>
          <w:rFonts w:eastAsia="Times New Roman"/>
          <w:color w:val="222222"/>
          <w:sz w:val="20"/>
          <w:szCs w:val="20"/>
          <w:shd w:val="clear" w:color="auto" w:fill="FFFFFF"/>
        </w:rPr>
        <w:tab/>
      </w:r>
      <w:r w:rsidR="00983A91">
        <w:rPr>
          <w:rFonts w:eastAsia="Times New Roman"/>
          <w:color w:val="222222"/>
          <w:sz w:val="20"/>
          <w:szCs w:val="20"/>
          <w:shd w:val="clear" w:color="auto" w:fill="FFFFFF"/>
        </w:rPr>
        <w:t>Ehsani, M. S. (2007</w:t>
      </w:r>
      <w:r w:rsidRPr="0074640D">
        <w:rPr>
          <w:rFonts w:eastAsia="Times New Roman"/>
          <w:color w:val="222222"/>
          <w:sz w:val="20"/>
          <w:szCs w:val="20"/>
          <w:shd w:val="clear" w:color="auto" w:fill="FFFFFF"/>
        </w:rPr>
        <w:t>). Adaptive control o</w:t>
      </w:r>
      <w:r w:rsidR="00983A91">
        <w:rPr>
          <w:rFonts w:eastAsia="Times New Roman"/>
          <w:color w:val="222222"/>
          <w:sz w:val="20"/>
          <w:szCs w:val="20"/>
          <w:shd w:val="clear" w:color="auto" w:fill="FFFFFF"/>
        </w:rPr>
        <w:t xml:space="preserve">f servo motor by MRAC method. </w:t>
      </w:r>
      <w:r w:rsidRPr="0074640D">
        <w:rPr>
          <w:rFonts w:eastAsia="Times New Roman"/>
          <w:i/>
          <w:iCs/>
          <w:color w:val="222222"/>
          <w:sz w:val="20"/>
          <w:szCs w:val="20"/>
          <w:shd w:val="clear" w:color="auto" w:fill="FFFFFF"/>
        </w:rPr>
        <w:t>2007 IEEE Vehicle Power and Propulsion Conference</w:t>
      </w:r>
      <w:r w:rsidR="00983A91">
        <w:rPr>
          <w:rFonts w:eastAsia="Times New Roman"/>
          <w:color w:val="222222"/>
          <w:sz w:val="20"/>
          <w:szCs w:val="20"/>
          <w:shd w:val="clear" w:color="auto" w:fill="FFFFFF"/>
        </w:rPr>
        <w:t xml:space="preserve">: </w:t>
      </w:r>
      <w:r w:rsidRPr="0074640D">
        <w:rPr>
          <w:rFonts w:eastAsia="Times New Roman"/>
          <w:color w:val="222222"/>
          <w:sz w:val="20"/>
          <w:szCs w:val="20"/>
          <w:shd w:val="clear" w:color="auto" w:fill="FFFFFF"/>
        </w:rPr>
        <w:t>pp. 78</w:t>
      </w:r>
      <w:r w:rsidR="00983A91">
        <w:rPr>
          <w:rFonts w:eastAsia="Times New Roman"/>
          <w:color w:val="222222"/>
          <w:sz w:val="20"/>
          <w:szCs w:val="20"/>
          <w:shd w:val="clear" w:color="auto" w:fill="FFFFFF"/>
        </w:rPr>
        <w:t xml:space="preserve"> – 83</w:t>
      </w:r>
    </w:p>
    <w:p w14:paraId="6FFBE86E" w14:textId="2162D5E0" w:rsidR="002A333F" w:rsidRPr="002A333F" w:rsidRDefault="002A333F" w:rsidP="00A34128">
      <w:pPr>
        <w:ind w:left="720" w:hanging="720"/>
        <w:jc w:val="both"/>
        <w:rPr>
          <w:rFonts w:eastAsia="Times New Roman"/>
          <w:sz w:val="20"/>
          <w:szCs w:val="20"/>
        </w:rPr>
      </w:pPr>
      <w:r w:rsidRPr="002A333F">
        <w:rPr>
          <w:rFonts w:eastAsia="Times New Roman"/>
          <w:sz w:val="20"/>
          <w:szCs w:val="20"/>
          <w:lang w:eastAsia="en-US"/>
        </w:rPr>
        <w:t>9.</w:t>
      </w:r>
      <w:r w:rsidRPr="002A333F">
        <w:rPr>
          <w:rFonts w:eastAsia="Times New Roman"/>
          <w:sz w:val="20"/>
          <w:szCs w:val="20"/>
          <w:lang w:eastAsia="en-US"/>
        </w:rPr>
        <w:tab/>
      </w:r>
      <w:r w:rsidRPr="002A333F">
        <w:rPr>
          <w:rFonts w:eastAsia="Times New Roman"/>
          <w:color w:val="222222"/>
          <w:sz w:val="20"/>
          <w:szCs w:val="20"/>
          <w:shd w:val="clear" w:color="auto" w:fill="FFFFFF"/>
        </w:rPr>
        <w:t>Swar</w:t>
      </w:r>
      <w:r w:rsidR="00983A91">
        <w:rPr>
          <w:rFonts w:eastAsia="Times New Roman"/>
          <w:color w:val="222222"/>
          <w:sz w:val="20"/>
          <w:szCs w:val="20"/>
          <w:shd w:val="clear" w:color="auto" w:fill="FFFFFF"/>
        </w:rPr>
        <w:t>nkar, P., Jain, S. and Nema, R. K. (2010</w:t>
      </w:r>
      <w:r w:rsidRPr="002A333F">
        <w:rPr>
          <w:rFonts w:eastAsia="Times New Roman"/>
          <w:color w:val="222222"/>
          <w:sz w:val="20"/>
          <w:szCs w:val="20"/>
          <w:shd w:val="clear" w:color="auto" w:fill="FFFFFF"/>
        </w:rPr>
        <w:t>). Application o</w:t>
      </w:r>
      <w:r w:rsidR="00983A91" w:rsidRPr="002A333F">
        <w:rPr>
          <w:rFonts w:eastAsia="Times New Roman"/>
          <w:color w:val="222222"/>
          <w:sz w:val="20"/>
          <w:szCs w:val="20"/>
          <w:shd w:val="clear" w:color="auto" w:fill="FFFFFF"/>
        </w:rPr>
        <w:t>f model refer</w:t>
      </w:r>
      <w:r w:rsidRPr="002A333F">
        <w:rPr>
          <w:rFonts w:eastAsia="Times New Roman"/>
          <w:color w:val="222222"/>
          <w:sz w:val="20"/>
          <w:szCs w:val="20"/>
          <w:shd w:val="clear" w:color="auto" w:fill="FFFFFF"/>
        </w:rPr>
        <w:t>ence adaptive control scheme to second</w:t>
      </w:r>
      <w:r w:rsidR="00983A91">
        <w:rPr>
          <w:rFonts w:eastAsia="Times New Roman"/>
          <w:color w:val="222222"/>
          <w:sz w:val="20"/>
          <w:szCs w:val="20"/>
          <w:shd w:val="clear" w:color="auto" w:fill="FFFFFF"/>
        </w:rPr>
        <w:t xml:space="preserve"> order system using MIT rule. </w:t>
      </w:r>
      <w:r w:rsidRPr="002A333F">
        <w:rPr>
          <w:rFonts w:eastAsia="Times New Roman"/>
          <w:i/>
          <w:iCs/>
          <w:color w:val="222222"/>
          <w:sz w:val="20"/>
          <w:szCs w:val="20"/>
          <w:shd w:val="clear" w:color="auto" w:fill="FFFFFF"/>
        </w:rPr>
        <w:t>International Conference on Electrical Power and Energy Systems (ICEPES-2010), MANIT, Bhopal, India</w:t>
      </w:r>
      <w:r w:rsidRPr="002A333F">
        <w:rPr>
          <w:rFonts w:eastAsia="Times New Roman"/>
          <w:color w:val="222222"/>
          <w:sz w:val="20"/>
          <w:szCs w:val="20"/>
          <w:shd w:val="clear" w:color="auto" w:fill="FFFFFF"/>
        </w:rPr>
        <w:t>.</w:t>
      </w:r>
    </w:p>
    <w:p w14:paraId="2E10A42C" w14:textId="1396520F" w:rsidR="002A333F" w:rsidRPr="00983A91" w:rsidRDefault="002A333F" w:rsidP="00983A91">
      <w:pPr>
        <w:ind w:left="720" w:hanging="720"/>
        <w:jc w:val="both"/>
        <w:rPr>
          <w:rFonts w:eastAsia="Times New Roman"/>
          <w:color w:val="222222"/>
          <w:sz w:val="20"/>
          <w:szCs w:val="20"/>
          <w:shd w:val="clear" w:color="auto" w:fill="FFFFFF"/>
        </w:rPr>
      </w:pPr>
      <w:r w:rsidRPr="002A333F">
        <w:rPr>
          <w:rFonts w:eastAsia="Times New Roman"/>
          <w:sz w:val="20"/>
          <w:szCs w:val="20"/>
          <w:lang w:eastAsia="en-US"/>
        </w:rPr>
        <w:lastRenderedPageBreak/>
        <w:t>10.</w:t>
      </w:r>
      <w:r w:rsidRPr="002A333F">
        <w:rPr>
          <w:rFonts w:eastAsia="Times New Roman"/>
          <w:sz w:val="20"/>
          <w:szCs w:val="20"/>
          <w:lang w:eastAsia="en-US"/>
        </w:rPr>
        <w:tab/>
      </w:r>
      <w:r w:rsidRPr="002A333F">
        <w:rPr>
          <w:rFonts w:eastAsia="Times New Roman"/>
          <w:color w:val="222222"/>
          <w:sz w:val="20"/>
          <w:szCs w:val="20"/>
          <w:shd w:val="clear" w:color="auto" w:fill="FFFFFF"/>
        </w:rPr>
        <w:t>Chen</w:t>
      </w:r>
      <w:r w:rsidR="00983A91">
        <w:rPr>
          <w:rFonts w:eastAsia="Times New Roman"/>
          <w:color w:val="222222"/>
          <w:sz w:val="20"/>
          <w:szCs w:val="20"/>
          <w:shd w:val="clear" w:color="auto" w:fill="FFFFFF"/>
        </w:rPr>
        <w:t>, Y., Wu, J. and</w:t>
      </w:r>
      <w:r w:rsidRPr="002A333F">
        <w:rPr>
          <w:rFonts w:eastAsia="Times New Roman"/>
          <w:color w:val="222222"/>
          <w:sz w:val="20"/>
          <w:szCs w:val="20"/>
          <w:shd w:val="clear" w:color="auto" w:fill="FFFFFF"/>
        </w:rPr>
        <w:t xml:space="preserve"> Cheung, C. N. (2004). Lyapunov’s stability theory-based model reference adaptive control for permanent magnet linear motor drives.</w:t>
      </w:r>
      <w:r w:rsidR="00983A91">
        <w:rPr>
          <w:rFonts w:eastAsia="Times New Roman"/>
          <w:color w:val="222222"/>
          <w:sz w:val="20"/>
          <w:szCs w:val="20"/>
          <w:shd w:val="clear" w:color="auto" w:fill="FFFFFF"/>
        </w:rPr>
        <w:t xml:space="preserve"> </w:t>
      </w:r>
      <w:r w:rsidR="00983A91" w:rsidRPr="00983A91">
        <w:rPr>
          <w:rFonts w:eastAsia="Times New Roman"/>
          <w:i/>
          <w:color w:val="222222"/>
          <w:sz w:val="20"/>
          <w:szCs w:val="20"/>
          <w:shd w:val="clear" w:color="auto" w:fill="FFFFFF"/>
        </w:rPr>
        <w:t xml:space="preserve">Power Electronics Systems and </w:t>
      </w:r>
      <w:r w:rsidR="00983A91">
        <w:rPr>
          <w:rFonts w:eastAsia="Times New Roman"/>
          <w:i/>
          <w:color w:val="222222"/>
          <w:sz w:val="20"/>
          <w:szCs w:val="20"/>
          <w:shd w:val="clear" w:color="auto" w:fill="FFFFFF"/>
        </w:rPr>
        <w:t>Applications, 2004. Proceedings</w:t>
      </w:r>
      <w:r w:rsidR="00983A91" w:rsidRPr="00EE3198">
        <w:rPr>
          <w:rFonts w:eastAsia="Times New Roman"/>
          <w:color w:val="222222"/>
          <w:sz w:val="20"/>
          <w:szCs w:val="20"/>
          <w:shd w:val="clear" w:color="auto" w:fill="FFFFFF"/>
        </w:rPr>
        <w:t>:</w:t>
      </w:r>
      <w:r w:rsidR="00983A91">
        <w:rPr>
          <w:rFonts w:eastAsia="Times New Roman"/>
          <w:i/>
          <w:color w:val="222222"/>
          <w:sz w:val="20"/>
          <w:szCs w:val="20"/>
          <w:shd w:val="clear" w:color="auto" w:fill="FFFFFF"/>
        </w:rPr>
        <w:t xml:space="preserve"> </w:t>
      </w:r>
      <w:r w:rsidR="00983A91" w:rsidRPr="00983A91">
        <w:rPr>
          <w:rFonts w:eastAsia="Times New Roman"/>
          <w:color w:val="222222"/>
          <w:sz w:val="20"/>
          <w:szCs w:val="20"/>
          <w:shd w:val="clear" w:color="auto" w:fill="FFFFFF"/>
        </w:rPr>
        <w:t>pp. 260</w:t>
      </w:r>
      <w:r w:rsidR="00983A91">
        <w:rPr>
          <w:rFonts w:eastAsia="Times New Roman"/>
          <w:color w:val="222222"/>
          <w:sz w:val="20"/>
          <w:szCs w:val="20"/>
          <w:shd w:val="clear" w:color="auto" w:fill="FFFFFF"/>
        </w:rPr>
        <w:t xml:space="preserve"> – 266.</w:t>
      </w:r>
    </w:p>
    <w:p w14:paraId="4F76E827" w14:textId="3EF3D788" w:rsidR="002A333F" w:rsidRPr="002A333F" w:rsidRDefault="002A333F" w:rsidP="00EE3198">
      <w:pPr>
        <w:ind w:left="720" w:hanging="720"/>
        <w:jc w:val="both"/>
        <w:rPr>
          <w:rFonts w:eastAsia="Times New Roman"/>
          <w:color w:val="222222"/>
          <w:sz w:val="20"/>
          <w:szCs w:val="20"/>
          <w:shd w:val="clear" w:color="auto" w:fill="FFFFFF"/>
        </w:rPr>
      </w:pPr>
      <w:r w:rsidRPr="002A333F">
        <w:rPr>
          <w:rFonts w:eastAsia="Times New Roman"/>
          <w:sz w:val="20"/>
          <w:szCs w:val="20"/>
          <w:lang w:eastAsia="en-US"/>
        </w:rPr>
        <w:t>11.</w:t>
      </w:r>
      <w:r w:rsidRPr="002A333F">
        <w:rPr>
          <w:rFonts w:eastAsia="Times New Roman"/>
          <w:sz w:val="20"/>
          <w:szCs w:val="20"/>
          <w:lang w:eastAsia="en-US"/>
        </w:rPr>
        <w:tab/>
      </w:r>
      <w:r w:rsidRPr="002A333F">
        <w:rPr>
          <w:rFonts w:eastAsia="Times New Roman"/>
          <w:color w:val="222222"/>
          <w:sz w:val="20"/>
          <w:szCs w:val="20"/>
          <w:shd w:val="clear" w:color="auto" w:fill="FFFFFF"/>
        </w:rPr>
        <w:t xml:space="preserve">Stefanello, M., </w:t>
      </w:r>
      <w:r w:rsidR="00EE3198">
        <w:rPr>
          <w:rFonts w:eastAsia="Times New Roman"/>
          <w:color w:val="222222"/>
          <w:sz w:val="20"/>
          <w:szCs w:val="20"/>
          <w:shd w:val="clear" w:color="auto" w:fill="FFFFFF"/>
        </w:rPr>
        <w:t>Kanieski, J. M., Cardoso, R. and Grundling, H. A. (2008</w:t>
      </w:r>
      <w:r w:rsidRPr="002A333F">
        <w:rPr>
          <w:rFonts w:eastAsia="Times New Roman"/>
          <w:color w:val="222222"/>
          <w:sz w:val="20"/>
          <w:szCs w:val="20"/>
          <w:shd w:val="clear" w:color="auto" w:fill="FFFFFF"/>
        </w:rPr>
        <w:t>). Design of a robust model reference adaptive control for</w:t>
      </w:r>
      <w:r w:rsidR="00EE3198">
        <w:rPr>
          <w:rFonts w:eastAsia="Times New Roman"/>
          <w:color w:val="222222"/>
          <w:sz w:val="20"/>
          <w:szCs w:val="20"/>
          <w:shd w:val="clear" w:color="auto" w:fill="FFFFFF"/>
        </w:rPr>
        <w:t xml:space="preserve"> a shunt active power filter. </w:t>
      </w:r>
      <w:r w:rsidRPr="002A333F">
        <w:rPr>
          <w:rFonts w:eastAsia="Times New Roman"/>
          <w:i/>
          <w:iCs/>
          <w:color w:val="222222"/>
          <w:sz w:val="20"/>
          <w:szCs w:val="20"/>
          <w:shd w:val="clear" w:color="auto" w:fill="FFFFFF"/>
        </w:rPr>
        <w:t>2008. IECON 2008. 34</w:t>
      </w:r>
      <w:r w:rsidRPr="00EE3198">
        <w:rPr>
          <w:rFonts w:eastAsia="Times New Roman"/>
          <w:i/>
          <w:iCs/>
          <w:color w:val="222222"/>
          <w:sz w:val="20"/>
          <w:szCs w:val="20"/>
          <w:shd w:val="clear" w:color="auto" w:fill="FFFFFF"/>
          <w:vertAlign w:val="superscript"/>
        </w:rPr>
        <w:t>th</w:t>
      </w:r>
      <w:r w:rsidR="00EE3198">
        <w:rPr>
          <w:rFonts w:eastAsia="Times New Roman"/>
          <w:i/>
          <w:iCs/>
          <w:color w:val="222222"/>
          <w:sz w:val="20"/>
          <w:szCs w:val="20"/>
          <w:shd w:val="clear" w:color="auto" w:fill="FFFFFF"/>
        </w:rPr>
        <w:t xml:space="preserve"> </w:t>
      </w:r>
      <w:r w:rsidRPr="002A333F">
        <w:rPr>
          <w:rFonts w:eastAsia="Times New Roman"/>
          <w:i/>
          <w:iCs/>
          <w:color w:val="222222"/>
          <w:sz w:val="20"/>
          <w:szCs w:val="20"/>
          <w:shd w:val="clear" w:color="auto" w:fill="FFFFFF"/>
        </w:rPr>
        <w:t>Annual Conference of IEEE</w:t>
      </w:r>
      <w:r w:rsidR="00EE3198">
        <w:rPr>
          <w:rStyle w:val="apple-converted-space"/>
          <w:rFonts w:eastAsia="Times New Roman"/>
          <w:color w:val="222222"/>
          <w:sz w:val="20"/>
          <w:szCs w:val="20"/>
          <w:shd w:val="clear" w:color="auto" w:fill="FFFFFF"/>
        </w:rPr>
        <w:t xml:space="preserve">: </w:t>
      </w:r>
      <w:r w:rsidR="00EE3198">
        <w:rPr>
          <w:rFonts w:eastAsia="Times New Roman"/>
          <w:color w:val="222222"/>
          <w:sz w:val="20"/>
          <w:szCs w:val="20"/>
          <w:shd w:val="clear" w:color="auto" w:fill="FFFFFF"/>
        </w:rPr>
        <w:t>pp. 158 – 163.</w:t>
      </w:r>
    </w:p>
    <w:p w14:paraId="1FB4F48A" w14:textId="74AD6AF8" w:rsidR="002A333F" w:rsidRPr="002A333F" w:rsidRDefault="00EE3198" w:rsidP="00A34128">
      <w:pPr>
        <w:ind w:left="720" w:hanging="720"/>
        <w:jc w:val="both"/>
        <w:rPr>
          <w:rFonts w:eastAsia="Times New Roman"/>
          <w:sz w:val="20"/>
          <w:szCs w:val="20"/>
        </w:rPr>
      </w:pPr>
      <w:r>
        <w:rPr>
          <w:rFonts w:eastAsia="Times New Roman"/>
          <w:color w:val="222222"/>
          <w:sz w:val="20"/>
          <w:szCs w:val="20"/>
          <w:shd w:val="clear" w:color="auto" w:fill="FFFFFF"/>
        </w:rPr>
        <w:t>12.</w:t>
      </w:r>
      <w:r>
        <w:rPr>
          <w:rFonts w:eastAsia="Times New Roman"/>
          <w:color w:val="222222"/>
          <w:sz w:val="20"/>
          <w:szCs w:val="20"/>
          <w:shd w:val="clear" w:color="auto" w:fill="FFFFFF"/>
        </w:rPr>
        <w:tab/>
        <w:t>Liu, Y., Sheng, C. and Nnanna, G. A. (2014</w:t>
      </w:r>
      <w:r w:rsidR="002A333F" w:rsidRPr="002A333F">
        <w:rPr>
          <w:rFonts w:eastAsia="Times New Roman"/>
          <w:color w:val="222222"/>
          <w:sz w:val="20"/>
          <w:szCs w:val="20"/>
          <w:shd w:val="clear" w:color="auto" w:fill="FFFFFF"/>
        </w:rPr>
        <w:t xml:space="preserve">). Detection </w:t>
      </w:r>
      <w:r w:rsidRPr="002A333F">
        <w:rPr>
          <w:rFonts w:eastAsia="Times New Roman"/>
          <w:color w:val="222222"/>
          <w:sz w:val="20"/>
          <w:szCs w:val="20"/>
          <w:shd w:val="clear" w:color="auto" w:fill="FFFFFF"/>
        </w:rPr>
        <w:t>of selected pharmaceutical contaminants and removal efficiency of emerging contaminants by application of membrane filtration technology</w:t>
      </w:r>
      <w:r>
        <w:rPr>
          <w:rFonts w:eastAsia="Times New Roman"/>
          <w:color w:val="222222"/>
          <w:sz w:val="20"/>
          <w:szCs w:val="20"/>
          <w:shd w:val="clear" w:color="auto" w:fill="FFFFFF"/>
        </w:rPr>
        <w:t xml:space="preserve">. </w:t>
      </w:r>
      <w:r w:rsidR="002A333F" w:rsidRPr="002A333F">
        <w:rPr>
          <w:rFonts w:eastAsia="Times New Roman"/>
          <w:i/>
          <w:iCs/>
          <w:color w:val="222222"/>
          <w:sz w:val="20"/>
          <w:szCs w:val="20"/>
          <w:shd w:val="clear" w:color="auto" w:fill="FFFFFF"/>
        </w:rPr>
        <w:t>ASME 2014 International Mechanical Engineering Congress and Exposition</w:t>
      </w:r>
      <w:r>
        <w:rPr>
          <w:rFonts w:eastAsia="Times New Roman"/>
          <w:color w:val="222222"/>
          <w:sz w:val="20"/>
          <w:szCs w:val="20"/>
          <w:shd w:val="clear" w:color="auto" w:fill="FFFFFF"/>
        </w:rPr>
        <w:t xml:space="preserve">. </w:t>
      </w:r>
      <w:r w:rsidR="002A333F" w:rsidRPr="002A333F">
        <w:rPr>
          <w:rFonts w:eastAsia="Times New Roman"/>
          <w:color w:val="222222"/>
          <w:sz w:val="20"/>
          <w:szCs w:val="20"/>
          <w:shd w:val="clear" w:color="auto" w:fill="FFFFFF"/>
        </w:rPr>
        <w:t>American Society of Mechanical Engineers.</w:t>
      </w:r>
    </w:p>
    <w:p w14:paraId="7C1619D6" w14:textId="568F1F8A" w:rsidR="002A333F" w:rsidRPr="002A333F" w:rsidRDefault="002A333F" w:rsidP="00A34128">
      <w:pPr>
        <w:ind w:left="720" w:hanging="720"/>
        <w:jc w:val="both"/>
        <w:rPr>
          <w:rFonts w:eastAsia="Times New Roman"/>
          <w:sz w:val="20"/>
          <w:szCs w:val="20"/>
        </w:rPr>
      </w:pPr>
      <w:r w:rsidRPr="002A333F">
        <w:rPr>
          <w:rFonts w:eastAsia="Times New Roman"/>
          <w:sz w:val="20"/>
          <w:szCs w:val="20"/>
        </w:rPr>
        <w:t>13.</w:t>
      </w:r>
      <w:r w:rsidRPr="002A333F">
        <w:rPr>
          <w:rFonts w:eastAsia="Times New Roman"/>
          <w:sz w:val="20"/>
          <w:szCs w:val="20"/>
        </w:rPr>
        <w:tab/>
      </w:r>
      <w:r w:rsidRPr="002A333F">
        <w:rPr>
          <w:rFonts w:eastAsia="Times New Roman"/>
          <w:color w:val="222222"/>
          <w:sz w:val="20"/>
          <w:szCs w:val="20"/>
          <w:shd w:val="clear" w:color="auto" w:fill="FFFFFF"/>
        </w:rPr>
        <w:t>Watari, K., Takeda, S., Kobayashi, M., Uchida, M.</w:t>
      </w:r>
      <w:r w:rsidR="00EE3198">
        <w:rPr>
          <w:rFonts w:eastAsia="Times New Roman"/>
          <w:color w:val="222222"/>
          <w:sz w:val="20"/>
          <w:szCs w:val="20"/>
          <w:shd w:val="clear" w:color="auto" w:fill="FFFFFF"/>
        </w:rPr>
        <w:t xml:space="preserve">, Uenishi, M., Fukushima, N. and </w:t>
      </w:r>
      <w:r w:rsidRPr="002A333F">
        <w:rPr>
          <w:rFonts w:eastAsia="Times New Roman"/>
          <w:color w:val="222222"/>
          <w:sz w:val="20"/>
          <w:szCs w:val="20"/>
          <w:shd w:val="clear" w:color="auto" w:fill="FFFFFF"/>
        </w:rPr>
        <w:t>Hayashi, S. (2002). </w:t>
      </w:r>
      <w:r w:rsidRPr="00EE3198">
        <w:rPr>
          <w:rFonts w:eastAsia="Times New Roman"/>
          <w:iCs/>
          <w:color w:val="222222"/>
          <w:sz w:val="20"/>
          <w:szCs w:val="20"/>
          <w:shd w:val="clear" w:color="auto" w:fill="FFFFFF"/>
        </w:rPr>
        <w:t>U.S. Patent No. 6,447,679</w:t>
      </w:r>
      <w:r w:rsidRPr="00EE3198">
        <w:rPr>
          <w:rFonts w:eastAsia="Times New Roman"/>
          <w:color w:val="222222"/>
          <w:sz w:val="20"/>
          <w:szCs w:val="20"/>
          <w:shd w:val="clear" w:color="auto" w:fill="FFFFFF"/>
        </w:rPr>
        <w:t>.</w:t>
      </w:r>
      <w:r w:rsidRPr="002A333F">
        <w:rPr>
          <w:rFonts w:eastAsia="Times New Roman"/>
          <w:color w:val="222222"/>
          <w:sz w:val="20"/>
          <w:szCs w:val="20"/>
          <w:shd w:val="clear" w:color="auto" w:fill="FFFFFF"/>
        </w:rPr>
        <w:t xml:space="preserve"> Washington, DC: U.S. Patent and Trademark Office.</w:t>
      </w:r>
    </w:p>
    <w:p w14:paraId="76EA206C" w14:textId="146735FD" w:rsidR="002A333F" w:rsidRPr="002A333F" w:rsidRDefault="002A333F" w:rsidP="00A34128">
      <w:pPr>
        <w:ind w:left="720" w:hanging="720"/>
        <w:jc w:val="both"/>
        <w:rPr>
          <w:rFonts w:eastAsia="Times New Roman"/>
          <w:sz w:val="20"/>
          <w:szCs w:val="20"/>
        </w:rPr>
      </w:pPr>
      <w:r w:rsidRPr="002A333F">
        <w:rPr>
          <w:rFonts w:eastAsia="Times New Roman"/>
          <w:sz w:val="20"/>
          <w:szCs w:val="20"/>
        </w:rPr>
        <w:t>14.</w:t>
      </w:r>
      <w:r w:rsidRPr="002A333F">
        <w:rPr>
          <w:rFonts w:eastAsia="Times New Roman"/>
          <w:sz w:val="20"/>
          <w:szCs w:val="20"/>
        </w:rPr>
        <w:tab/>
      </w:r>
      <w:r w:rsidR="00EE3198">
        <w:rPr>
          <w:rFonts w:eastAsia="Times New Roman"/>
          <w:color w:val="222222"/>
          <w:sz w:val="20"/>
          <w:szCs w:val="20"/>
          <w:shd w:val="clear" w:color="auto" w:fill="FFFFFF"/>
        </w:rPr>
        <w:t xml:space="preserve">Kopp, C. V., Streeton, R. J. and </w:t>
      </w:r>
      <w:r w:rsidRPr="002A333F">
        <w:rPr>
          <w:rFonts w:eastAsia="Times New Roman"/>
          <w:color w:val="222222"/>
          <w:sz w:val="20"/>
          <w:szCs w:val="20"/>
          <w:shd w:val="clear" w:color="auto" w:fill="FFFFFF"/>
        </w:rPr>
        <w:t>Khoo, P. S. (1997). </w:t>
      </w:r>
      <w:r w:rsidRPr="00EE3198">
        <w:rPr>
          <w:rFonts w:eastAsia="Times New Roman"/>
          <w:iCs/>
          <w:color w:val="222222"/>
          <w:sz w:val="20"/>
          <w:szCs w:val="20"/>
          <w:shd w:val="clear" w:color="auto" w:fill="FFFFFF"/>
        </w:rPr>
        <w:t>U.S. Patent No. 5,698,101</w:t>
      </w:r>
      <w:r w:rsidRPr="00EE3198">
        <w:rPr>
          <w:rFonts w:eastAsia="Times New Roman"/>
          <w:color w:val="222222"/>
          <w:sz w:val="20"/>
          <w:szCs w:val="20"/>
          <w:shd w:val="clear" w:color="auto" w:fill="FFFFFF"/>
        </w:rPr>
        <w:t>.</w:t>
      </w:r>
      <w:r w:rsidRPr="002A333F">
        <w:rPr>
          <w:rFonts w:eastAsia="Times New Roman"/>
          <w:color w:val="222222"/>
          <w:sz w:val="20"/>
          <w:szCs w:val="20"/>
          <w:shd w:val="clear" w:color="auto" w:fill="FFFFFF"/>
        </w:rPr>
        <w:t xml:space="preserve"> Washington, DC: U.S. Patent and Trademark Office.</w:t>
      </w:r>
    </w:p>
    <w:p w14:paraId="0EEACED7" w14:textId="2603E9B0" w:rsidR="002A333F" w:rsidRPr="00EE3198" w:rsidRDefault="002A333F" w:rsidP="00EE3198">
      <w:pPr>
        <w:ind w:left="720" w:hanging="720"/>
        <w:jc w:val="both"/>
        <w:rPr>
          <w:rFonts w:eastAsia="Times New Roman"/>
          <w:color w:val="222222"/>
          <w:sz w:val="20"/>
          <w:szCs w:val="20"/>
          <w:shd w:val="clear" w:color="auto" w:fill="FFFFFF"/>
        </w:rPr>
      </w:pPr>
      <w:r w:rsidRPr="002A333F">
        <w:rPr>
          <w:rFonts w:eastAsia="Times New Roman"/>
          <w:sz w:val="20"/>
          <w:szCs w:val="20"/>
        </w:rPr>
        <w:t>15.</w:t>
      </w:r>
      <w:r w:rsidRPr="002A333F">
        <w:rPr>
          <w:rFonts w:eastAsia="Times New Roman"/>
          <w:sz w:val="20"/>
          <w:szCs w:val="20"/>
        </w:rPr>
        <w:tab/>
      </w:r>
      <w:r w:rsidRPr="002A333F">
        <w:rPr>
          <w:rFonts w:eastAsia="Times New Roman"/>
          <w:color w:val="222222"/>
          <w:sz w:val="20"/>
          <w:szCs w:val="20"/>
          <w:shd w:val="clear" w:color="auto" w:fill="FFFFFF"/>
        </w:rPr>
        <w:t>Tweddle, T</w:t>
      </w:r>
      <w:r w:rsidR="00EE3198">
        <w:rPr>
          <w:rFonts w:eastAsia="Times New Roman"/>
          <w:color w:val="222222"/>
          <w:sz w:val="20"/>
          <w:szCs w:val="20"/>
          <w:shd w:val="clear" w:color="auto" w:fill="FFFFFF"/>
        </w:rPr>
        <w:t xml:space="preserve">. A., Striez, C., Tam, C. M. and </w:t>
      </w:r>
      <w:r w:rsidRPr="002A333F">
        <w:rPr>
          <w:rFonts w:eastAsia="Times New Roman"/>
          <w:color w:val="222222"/>
          <w:sz w:val="20"/>
          <w:szCs w:val="20"/>
          <w:shd w:val="clear" w:color="auto" w:fill="FFFFFF"/>
        </w:rPr>
        <w:t>Hazlett, J. D. (1992). Polysulfone membranes I. Performance comparison of commercially available ultrafiltration membranes. </w:t>
      </w:r>
      <w:r w:rsidRPr="002A333F">
        <w:rPr>
          <w:rFonts w:eastAsia="Times New Roman"/>
          <w:i/>
          <w:iCs/>
          <w:color w:val="222222"/>
          <w:sz w:val="20"/>
          <w:szCs w:val="20"/>
          <w:shd w:val="clear" w:color="auto" w:fill="FFFFFF"/>
        </w:rPr>
        <w:t>Desalination</w:t>
      </w:r>
      <w:r w:rsidRPr="002A333F">
        <w:rPr>
          <w:rFonts w:eastAsia="Times New Roman"/>
          <w:color w:val="222222"/>
          <w:sz w:val="20"/>
          <w:szCs w:val="20"/>
          <w:shd w:val="clear" w:color="auto" w:fill="FFFFFF"/>
        </w:rPr>
        <w:t>, </w:t>
      </w:r>
      <w:r w:rsidRPr="00EE3198">
        <w:rPr>
          <w:rFonts w:eastAsia="Times New Roman"/>
          <w:iCs/>
          <w:color w:val="222222"/>
          <w:sz w:val="20"/>
          <w:szCs w:val="20"/>
          <w:shd w:val="clear" w:color="auto" w:fill="FFFFFF"/>
        </w:rPr>
        <w:t>86</w:t>
      </w:r>
      <w:r w:rsidRPr="00EE3198">
        <w:rPr>
          <w:rFonts w:eastAsia="Times New Roman"/>
          <w:color w:val="222222"/>
          <w:sz w:val="20"/>
          <w:szCs w:val="20"/>
          <w:shd w:val="clear" w:color="auto" w:fill="FFFFFF"/>
        </w:rPr>
        <w:t>(1</w:t>
      </w:r>
      <w:r w:rsidR="00EE3198">
        <w:rPr>
          <w:rFonts w:eastAsia="Times New Roman"/>
          <w:color w:val="222222"/>
          <w:sz w:val="20"/>
          <w:szCs w:val="20"/>
          <w:shd w:val="clear" w:color="auto" w:fill="FFFFFF"/>
        </w:rPr>
        <w:t xml:space="preserve">): </w:t>
      </w:r>
      <w:r w:rsidRPr="002A333F">
        <w:rPr>
          <w:rFonts w:eastAsia="Times New Roman"/>
          <w:color w:val="222222"/>
          <w:sz w:val="20"/>
          <w:szCs w:val="20"/>
          <w:shd w:val="clear" w:color="auto" w:fill="FFFFFF"/>
        </w:rPr>
        <w:t>27</w:t>
      </w:r>
      <w:r w:rsidR="00EE3198">
        <w:rPr>
          <w:rFonts w:eastAsia="Times New Roman"/>
          <w:color w:val="222222"/>
          <w:sz w:val="20"/>
          <w:szCs w:val="20"/>
          <w:shd w:val="clear" w:color="auto" w:fill="FFFFFF"/>
        </w:rPr>
        <w:t xml:space="preserve"> – </w:t>
      </w:r>
      <w:r w:rsidRPr="002A333F">
        <w:rPr>
          <w:rFonts w:eastAsia="Times New Roman"/>
          <w:color w:val="222222"/>
          <w:sz w:val="20"/>
          <w:szCs w:val="20"/>
          <w:shd w:val="clear" w:color="auto" w:fill="FFFFFF"/>
        </w:rPr>
        <w:t>41.</w:t>
      </w:r>
    </w:p>
    <w:p w14:paraId="610DCE78" w14:textId="7D94F2CC" w:rsidR="002A333F" w:rsidRPr="00EE3198" w:rsidRDefault="002A333F" w:rsidP="00EE3198">
      <w:pPr>
        <w:ind w:left="720" w:hanging="720"/>
        <w:jc w:val="both"/>
        <w:rPr>
          <w:rFonts w:eastAsia="Times New Roman"/>
          <w:color w:val="222222"/>
          <w:sz w:val="20"/>
          <w:szCs w:val="20"/>
          <w:shd w:val="clear" w:color="auto" w:fill="FFFFFF"/>
        </w:rPr>
      </w:pPr>
      <w:r w:rsidRPr="002A333F">
        <w:rPr>
          <w:rFonts w:eastAsia="Times New Roman"/>
          <w:sz w:val="20"/>
          <w:szCs w:val="20"/>
        </w:rPr>
        <w:t>16.</w:t>
      </w:r>
      <w:r w:rsidRPr="002A333F">
        <w:rPr>
          <w:rFonts w:eastAsia="Times New Roman"/>
          <w:sz w:val="20"/>
          <w:szCs w:val="20"/>
        </w:rPr>
        <w:tab/>
      </w:r>
      <w:r w:rsidRPr="002A333F">
        <w:rPr>
          <w:rFonts w:eastAsia="Times New Roman"/>
          <w:color w:val="222222"/>
          <w:sz w:val="20"/>
          <w:szCs w:val="20"/>
          <w:shd w:val="clear" w:color="auto" w:fill="FFFFFF"/>
        </w:rPr>
        <w:t>Rezaei, M., Ismail, A. F., H</w:t>
      </w:r>
      <w:r w:rsidR="00EE3198">
        <w:rPr>
          <w:rFonts w:eastAsia="Times New Roman"/>
          <w:color w:val="222222"/>
          <w:sz w:val="20"/>
          <w:szCs w:val="20"/>
          <w:shd w:val="clear" w:color="auto" w:fill="FFFFFF"/>
        </w:rPr>
        <w:t>ashemifard, S. A., Bakeri, G. and</w:t>
      </w:r>
      <w:r w:rsidRPr="002A333F">
        <w:rPr>
          <w:rFonts w:eastAsia="Times New Roman"/>
          <w:color w:val="222222"/>
          <w:sz w:val="20"/>
          <w:szCs w:val="20"/>
          <w:shd w:val="clear" w:color="auto" w:fill="FFFFFF"/>
        </w:rPr>
        <w:t xml:space="preserve"> Matsuura, T. (2014). Experimental study on the performance and long-term stability of PVDF/montmorillonite hollow fibe</w:t>
      </w:r>
      <w:r w:rsidR="00EE3198">
        <w:rPr>
          <w:rFonts w:eastAsia="Times New Roman"/>
          <w:color w:val="222222"/>
          <w:sz w:val="20"/>
          <w:szCs w:val="20"/>
          <w:shd w:val="clear" w:color="auto" w:fill="FFFFFF"/>
        </w:rPr>
        <w:t>r mixed matrix membranes for CO</w:t>
      </w:r>
      <w:r w:rsidRPr="00EE3198">
        <w:rPr>
          <w:rFonts w:eastAsia="Times New Roman"/>
          <w:color w:val="222222"/>
          <w:sz w:val="20"/>
          <w:szCs w:val="20"/>
          <w:shd w:val="clear" w:color="auto" w:fill="FFFFFF"/>
          <w:vertAlign w:val="subscript"/>
        </w:rPr>
        <w:t>2</w:t>
      </w:r>
      <w:r w:rsidRPr="002A333F">
        <w:rPr>
          <w:rFonts w:eastAsia="Times New Roman"/>
          <w:color w:val="222222"/>
          <w:sz w:val="20"/>
          <w:szCs w:val="20"/>
          <w:shd w:val="clear" w:color="auto" w:fill="FFFFFF"/>
        </w:rPr>
        <w:t xml:space="preserve"> separation process. </w:t>
      </w:r>
      <w:r w:rsidRPr="002A333F">
        <w:rPr>
          <w:rFonts w:eastAsia="Times New Roman"/>
          <w:i/>
          <w:iCs/>
          <w:color w:val="222222"/>
          <w:sz w:val="20"/>
          <w:szCs w:val="20"/>
          <w:shd w:val="clear" w:color="auto" w:fill="FFFFFF"/>
        </w:rPr>
        <w:t>International Journal of Greenhouse Gas Control</w:t>
      </w:r>
      <w:r w:rsidRPr="002A333F">
        <w:rPr>
          <w:rFonts w:eastAsia="Times New Roman"/>
          <w:color w:val="222222"/>
          <w:sz w:val="20"/>
          <w:szCs w:val="20"/>
          <w:shd w:val="clear" w:color="auto" w:fill="FFFFFF"/>
        </w:rPr>
        <w:t>, </w:t>
      </w:r>
      <w:r w:rsidRPr="00EE3198">
        <w:rPr>
          <w:rFonts w:eastAsia="Times New Roman"/>
          <w:iCs/>
          <w:color w:val="222222"/>
          <w:sz w:val="20"/>
          <w:szCs w:val="20"/>
          <w:shd w:val="clear" w:color="auto" w:fill="FFFFFF"/>
        </w:rPr>
        <w:t>26</w:t>
      </w:r>
      <w:r w:rsidR="00EE3198">
        <w:rPr>
          <w:rFonts w:eastAsia="Times New Roman"/>
          <w:color w:val="222222"/>
          <w:sz w:val="20"/>
          <w:szCs w:val="20"/>
          <w:shd w:val="clear" w:color="auto" w:fill="FFFFFF"/>
        </w:rPr>
        <w:t xml:space="preserve">: </w:t>
      </w:r>
      <w:r w:rsidRPr="002A333F">
        <w:rPr>
          <w:rFonts w:eastAsia="Times New Roman"/>
          <w:color w:val="222222"/>
          <w:sz w:val="20"/>
          <w:szCs w:val="20"/>
          <w:shd w:val="clear" w:color="auto" w:fill="FFFFFF"/>
        </w:rPr>
        <w:t>147</w:t>
      </w:r>
      <w:r w:rsidR="00EE3198">
        <w:rPr>
          <w:rFonts w:eastAsia="Times New Roman"/>
          <w:color w:val="222222"/>
          <w:sz w:val="20"/>
          <w:szCs w:val="20"/>
          <w:shd w:val="clear" w:color="auto" w:fill="FFFFFF"/>
        </w:rPr>
        <w:t xml:space="preserve"> –</w:t>
      </w:r>
      <w:r w:rsidRPr="002A333F">
        <w:rPr>
          <w:rFonts w:eastAsia="Times New Roman"/>
          <w:color w:val="222222"/>
          <w:sz w:val="20"/>
          <w:szCs w:val="20"/>
          <w:shd w:val="clear" w:color="auto" w:fill="FFFFFF"/>
        </w:rPr>
        <w:t>157.</w:t>
      </w:r>
    </w:p>
    <w:p w14:paraId="69B6AC8E" w14:textId="37EF6A3D" w:rsidR="002A333F" w:rsidRPr="00EE3198" w:rsidRDefault="002A333F" w:rsidP="00EE3198">
      <w:pPr>
        <w:ind w:left="720" w:hanging="720"/>
        <w:jc w:val="both"/>
        <w:rPr>
          <w:rFonts w:eastAsia="Times New Roman"/>
          <w:color w:val="222222"/>
          <w:sz w:val="20"/>
          <w:szCs w:val="20"/>
          <w:shd w:val="clear" w:color="auto" w:fill="FFFFFF"/>
        </w:rPr>
      </w:pPr>
      <w:r w:rsidRPr="002A333F">
        <w:rPr>
          <w:rFonts w:eastAsia="Times New Roman"/>
          <w:sz w:val="20"/>
          <w:szCs w:val="20"/>
        </w:rPr>
        <w:t>17.</w:t>
      </w:r>
      <w:r w:rsidRPr="002A333F">
        <w:rPr>
          <w:rFonts w:eastAsia="Times New Roman"/>
          <w:sz w:val="20"/>
          <w:szCs w:val="20"/>
        </w:rPr>
        <w:tab/>
      </w:r>
      <w:r w:rsidRPr="002A333F">
        <w:rPr>
          <w:rFonts w:eastAsia="Times New Roman"/>
          <w:color w:val="222222"/>
          <w:sz w:val="20"/>
          <w:szCs w:val="20"/>
          <w:shd w:val="clear" w:color="auto" w:fill="FFFFFF"/>
        </w:rPr>
        <w:t>Artha</w:t>
      </w:r>
      <w:r w:rsidR="00EE3198">
        <w:rPr>
          <w:rFonts w:eastAsia="Times New Roman"/>
          <w:color w:val="222222"/>
          <w:sz w:val="20"/>
          <w:szCs w:val="20"/>
          <w:shd w:val="clear" w:color="auto" w:fill="FFFFFF"/>
        </w:rPr>
        <w:t xml:space="preserve">nareeswaran, G., Devi, T. S. and </w:t>
      </w:r>
      <w:r w:rsidRPr="002A333F">
        <w:rPr>
          <w:rFonts w:eastAsia="Times New Roman"/>
          <w:color w:val="222222"/>
          <w:sz w:val="20"/>
          <w:szCs w:val="20"/>
          <w:shd w:val="clear" w:color="auto" w:fill="FFFFFF"/>
        </w:rPr>
        <w:t>Mohan, D. (2009). Development, characterization and separation performance o</w:t>
      </w:r>
      <w:r w:rsidR="00EE3198">
        <w:rPr>
          <w:rFonts w:eastAsia="Times New Roman"/>
          <w:color w:val="222222"/>
          <w:sz w:val="20"/>
          <w:szCs w:val="20"/>
          <w:shd w:val="clear" w:color="auto" w:fill="FFFFFF"/>
        </w:rPr>
        <w:t>f organic–inorganic membranes: P</w:t>
      </w:r>
      <w:r w:rsidRPr="002A333F">
        <w:rPr>
          <w:rFonts w:eastAsia="Times New Roman"/>
          <w:color w:val="222222"/>
          <w:sz w:val="20"/>
          <w:szCs w:val="20"/>
          <w:shd w:val="clear" w:color="auto" w:fill="FFFFFF"/>
        </w:rPr>
        <w:t>art II. Effect of additives. </w:t>
      </w:r>
      <w:r w:rsidRPr="002A333F">
        <w:rPr>
          <w:rFonts w:eastAsia="Times New Roman"/>
          <w:i/>
          <w:iCs/>
          <w:color w:val="222222"/>
          <w:sz w:val="20"/>
          <w:szCs w:val="20"/>
          <w:shd w:val="clear" w:color="auto" w:fill="FFFFFF"/>
        </w:rPr>
        <w:t>Separation and Purification Technology</w:t>
      </w:r>
      <w:r w:rsidRPr="002A333F">
        <w:rPr>
          <w:rFonts w:eastAsia="Times New Roman"/>
          <w:color w:val="222222"/>
          <w:sz w:val="20"/>
          <w:szCs w:val="20"/>
          <w:shd w:val="clear" w:color="auto" w:fill="FFFFFF"/>
        </w:rPr>
        <w:t>, </w:t>
      </w:r>
      <w:r w:rsidRPr="00EE3198">
        <w:rPr>
          <w:rFonts w:eastAsia="Times New Roman"/>
          <w:iCs/>
          <w:color w:val="222222"/>
          <w:sz w:val="20"/>
          <w:szCs w:val="20"/>
          <w:shd w:val="clear" w:color="auto" w:fill="FFFFFF"/>
        </w:rPr>
        <w:t>67</w:t>
      </w:r>
      <w:r w:rsidR="00EE3198">
        <w:rPr>
          <w:rFonts w:eastAsia="Times New Roman"/>
          <w:color w:val="222222"/>
          <w:sz w:val="20"/>
          <w:szCs w:val="20"/>
          <w:shd w:val="clear" w:color="auto" w:fill="FFFFFF"/>
        </w:rPr>
        <w:t>(3):</w:t>
      </w:r>
      <w:r w:rsidRPr="002A333F">
        <w:rPr>
          <w:rFonts w:eastAsia="Times New Roman"/>
          <w:color w:val="222222"/>
          <w:sz w:val="20"/>
          <w:szCs w:val="20"/>
          <w:shd w:val="clear" w:color="auto" w:fill="FFFFFF"/>
        </w:rPr>
        <w:t xml:space="preserve"> 271</w:t>
      </w:r>
      <w:r w:rsidR="00EE3198">
        <w:rPr>
          <w:rFonts w:eastAsia="Times New Roman"/>
          <w:color w:val="222222"/>
          <w:sz w:val="20"/>
          <w:szCs w:val="20"/>
          <w:shd w:val="clear" w:color="auto" w:fill="FFFFFF"/>
        </w:rPr>
        <w:t xml:space="preserve"> – </w:t>
      </w:r>
      <w:r w:rsidRPr="002A333F">
        <w:rPr>
          <w:rFonts w:eastAsia="Times New Roman"/>
          <w:color w:val="222222"/>
          <w:sz w:val="20"/>
          <w:szCs w:val="20"/>
          <w:shd w:val="clear" w:color="auto" w:fill="FFFFFF"/>
        </w:rPr>
        <w:t>281.</w:t>
      </w:r>
    </w:p>
    <w:p w14:paraId="2006B10F" w14:textId="02C75FE1" w:rsidR="002A333F" w:rsidRPr="00EE3198" w:rsidRDefault="002A333F" w:rsidP="00EE3198">
      <w:pPr>
        <w:ind w:left="720" w:hanging="720"/>
        <w:jc w:val="both"/>
        <w:rPr>
          <w:rFonts w:eastAsia="Times New Roman"/>
          <w:color w:val="222222"/>
          <w:sz w:val="20"/>
          <w:szCs w:val="20"/>
          <w:shd w:val="clear" w:color="auto" w:fill="FFFFFF"/>
        </w:rPr>
      </w:pPr>
      <w:r w:rsidRPr="002A333F">
        <w:rPr>
          <w:rFonts w:eastAsia="Times New Roman"/>
          <w:sz w:val="20"/>
          <w:szCs w:val="20"/>
        </w:rPr>
        <w:t>18.</w:t>
      </w:r>
      <w:r w:rsidRPr="002A333F">
        <w:rPr>
          <w:rFonts w:eastAsia="Times New Roman"/>
          <w:sz w:val="20"/>
          <w:szCs w:val="20"/>
        </w:rPr>
        <w:tab/>
      </w:r>
      <w:r w:rsidR="00EE3198">
        <w:rPr>
          <w:rFonts w:eastAsia="Times New Roman"/>
          <w:color w:val="222222"/>
          <w:sz w:val="20"/>
          <w:szCs w:val="20"/>
          <w:shd w:val="clear" w:color="auto" w:fill="FFFFFF"/>
        </w:rPr>
        <w:t>Mansourizadeh, A. and</w:t>
      </w:r>
      <w:r w:rsidRPr="002A333F">
        <w:rPr>
          <w:rFonts w:eastAsia="Times New Roman"/>
          <w:color w:val="222222"/>
          <w:sz w:val="20"/>
          <w:szCs w:val="20"/>
          <w:shd w:val="clear" w:color="auto" w:fill="FFFFFF"/>
        </w:rPr>
        <w:t xml:space="preserve"> Ismail, A. F. (2010). Effect of additives on the structure and performance of polysulfon</w:t>
      </w:r>
      <w:r w:rsidR="00EE3198">
        <w:rPr>
          <w:rFonts w:eastAsia="Times New Roman"/>
          <w:color w:val="222222"/>
          <w:sz w:val="20"/>
          <w:szCs w:val="20"/>
          <w:shd w:val="clear" w:color="auto" w:fill="FFFFFF"/>
        </w:rPr>
        <w:t>e hollow fiber membranes for CO</w:t>
      </w:r>
      <w:r w:rsidRPr="00EE3198">
        <w:rPr>
          <w:rFonts w:eastAsia="Times New Roman"/>
          <w:color w:val="222222"/>
          <w:sz w:val="20"/>
          <w:szCs w:val="20"/>
          <w:shd w:val="clear" w:color="auto" w:fill="FFFFFF"/>
          <w:vertAlign w:val="subscript"/>
        </w:rPr>
        <w:t>2</w:t>
      </w:r>
      <w:r w:rsidRPr="002A333F">
        <w:rPr>
          <w:rFonts w:eastAsia="Times New Roman"/>
          <w:color w:val="222222"/>
          <w:sz w:val="20"/>
          <w:szCs w:val="20"/>
          <w:shd w:val="clear" w:color="auto" w:fill="FFFFFF"/>
        </w:rPr>
        <w:t xml:space="preserve"> absorption. </w:t>
      </w:r>
      <w:r w:rsidRPr="002A333F">
        <w:rPr>
          <w:rFonts w:eastAsia="Times New Roman"/>
          <w:i/>
          <w:iCs/>
          <w:color w:val="222222"/>
          <w:sz w:val="20"/>
          <w:szCs w:val="20"/>
          <w:shd w:val="clear" w:color="auto" w:fill="FFFFFF"/>
        </w:rPr>
        <w:t>Journal of Membrane Science</w:t>
      </w:r>
      <w:r w:rsidRPr="002A333F">
        <w:rPr>
          <w:rFonts w:eastAsia="Times New Roman"/>
          <w:color w:val="222222"/>
          <w:sz w:val="20"/>
          <w:szCs w:val="20"/>
          <w:shd w:val="clear" w:color="auto" w:fill="FFFFFF"/>
        </w:rPr>
        <w:t>, </w:t>
      </w:r>
      <w:r w:rsidRPr="00EE3198">
        <w:rPr>
          <w:rFonts w:eastAsia="Times New Roman"/>
          <w:iCs/>
          <w:color w:val="222222"/>
          <w:sz w:val="20"/>
          <w:szCs w:val="20"/>
          <w:shd w:val="clear" w:color="auto" w:fill="FFFFFF"/>
        </w:rPr>
        <w:t>348</w:t>
      </w:r>
      <w:r w:rsidRPr="00EE3198">
        <w:rPr>
          <w:rFonts w:eastAsia="Times New Roman"/>
          <w:color w:val="222222"/>
          <w:sz w:val="20"/>
          <w:szCs w:val="20"/>
          <w:shd w:val="clear" w:color="auto" w:fill="FFFFFF"/>
        </w:rPr>
        <w:t>(1</w:t>
      </w:r>
      <w:r w:rsidR="00EE3198">
        <w:rPr>
          <w:rFonts w:eastAsia="Times New Roman"/>
          <w:color w:val="222222"/>
          <w:sz w:val="20"/>
          <w:szCs w:val="20"/>
          <w:shd w:val="clear" w:color="auto" w:fill="FFFFFF"/>
        </w:rPr>
        <w:t xml:space="preserve">): </w:t>
      </w:r>
      <w:r w:rsidRPr="002A333F">
        <w:rPr>
          <w:rFonts w:eastAsia="Times New Roman"/>
          <w:color w:val="222222"/>
          <w:sz w:val="20"/>
          <w:szCs w:val="20"/>
          <w:shd w:val="clear" w:color="auto" w:fill="FFFFFF"/>
        </w:rPr>
        <w:t>260</w:t>
      </w:r>
      <w:r w:rsidR="00EE3198">
        <w:rPr>
          <w:rFonts w:eastAsia="Times New Roman"/>
          <w:color w:val="222222"/>
          <w:sz w:val="20"/>
          <w:szCs w:val="20"/>
          <w:shd w:val="clear" w:color="auto" w:fill="FFFFFF"/>
        </w:rPr>
        <w:t xml:space="preserve"> –</w:t>
      </w:r>
      <w:r w:rsidRPr="002A333F">
        <w:rPr>
          <w:rFonts w:eastAsia="Times New Roman"/>
          <w:color w:val="222222"/>
          <w:sz w:val="20"/>
          <w:szCs w:val="20"/>
          <w:shd w:val="clear" w:color="auto" w:fill="FFFFFF"/>
        </w:rPr>
        <w:t>267.</w:t>
      </w:r>
    </w:p>
    <w:p w14:paraId="3BC34E63" w14:textId="63EA849B" w:rsidR="002A333F" w:rsidRPr="002A333F" w:rsidRDefault="002A333F" w:rsidP="002A333F">
      <w:pPr>
        <w:jc w:val="both"/>
        <w:rPr>
          <w:rFonts w:eastAsia="Times New Roman"/>
          <w:sz w:val="20"/>
          <w:szCs w:val="20"/>
        </w:rPr>
      </w:pPr>
      <w:r w:rsidRPr="002A333F">
        <w:rPr>
          <w:rFonts w:eastAsia="Times New Roman"/>
          <w:sz w:val="20"/>
          <w:szCs w:val="20"/>
        </w:rPr>
        <w:t>19.</w:t>
      </w:r>
      <w:r w:rsidRPr="002A333F">
        <w:rPr>
          <w:rFonts w:eastAsia="Times New Roman"/>
          <w:sz w:val="20"/>
          <w:szCs w:val="20"/>
        </w:rPr>
        <w:tab/>
      </w:r>
      <w:r w:rsidR="00EE3198">
        <w:rPr>
          <w:rFonts w:eastAsia="Times New Roman"/>
          <w:color w:val="222222"/>
          <w:sz w:val="20"/>
          <w:szCs w:val="20"/>
          <w:shd w:val="clear" w:color="auto" w:fill="FFFFFF"/>
        </w:rPr>
        <w:t xml:space="preserve">Cartwright, H. </w:t>
      </w:r>
      <w:r w:rsidRPr="002A333F">
        <w:rPr>
          <w:rFonts w:eastAsia="Times New Roman"/>
          <w:color w:val="222222"/>
          <w:sz w:val="20"/>
          <w:szCs w:val="20"/>
          <w:shd w:val="clear" w:color="auto" w:fill="FFFFFF"/>
        </w:rPr>
        <w:t>(2015). </w:t>
      </w:r>
      <w:r w:rsidRPr="00EE3198">
        <w:rPr>
          <w:rFonts w:eastAsia="Times New Roman"/>
          <w:iCs/>
          <w:color w:val="222222"/>
          <w:sz w:val="20"/>
          <w:szCs w:val="20"/>
          <w:shd w:val="clear" w:color="auto" w:fill="FFFFFF"/>
        </w:rPr>
        <w:t>Artificial neural networks</w:t>
      </w:r>
      <w:r w:rsidRPr="00EE3198">
        <w:rPr>
          <w:rFonts w:eastAsia="Times New Roman"/>
          <w:color w:val="222222"/>
          <w:sz w:val="20"/>
          <w:szCs w:val="20"/>
          <w:shd w:val="clear" w:color="auto" w:fill="FFFFFF"/>
        </w:rPr>
        <w:t>.</w:t>
      </w:r>
      <w:r w:rsidR="00EE3198">
        <w:rPr>
          <w:rFonts w:eastAsia="Times New Roman"/>
          <w:color w:val="222222"/>
          <w:sz w:val="20"/>
          <w:szCs w:val="20"/>
          <w:shd w:val="clear" w:color="auto" w:fill="FFFFFF"/>
        </w:rPr>
        <w:t xml:space="preserve"> Humana press: pp. 1 – 340.</w:t>
      </w:r>
    </w:p>
    <w:p w14:paraId="4EA2FFCF" w14:textId="05131554" w:rsidR="002A333F" w:rsidRPr="002A333F" w:rsidRDefault="002A333F" w:rsidP="00A34128">
      <w:pPr>
        <w:ind w:left="720" w:hanging="720"/>
        <w:jc w:val="both"/>
        <w:rPr>
          <w:rFonts w:eastAsia="Times New Roman"/>
          <w:sz w:val="20"/>
          <w:szCs w:val="20"/>
        </w:rPr>
      </w:pPr>
      <w:r w:rsidRPr="00EE3198">
        <w:rPr>
          <w:rFonts w:eastAsia="Times New Roman"/>
          <w:sz w:val="20"/>
          <w:szCs w:val="20"/>
          <w:lang w:val="en-US"/>
        </w:rPr>
        <w:t>20.</w:t>
      </w:r>
      <w:r w:rsidRPr="00EE3198">
        <w:rPr>
          <w:rFonts w:eastAsia="Times New Roman"/>
          <w:sz w:val="20"/>
          <w:szCs w:val="20"/>
          <w:lang w:val="en-US"/>
        </w:rPr>
        <w:tab/>
      </w:r>
      <w:r w:rsidR="00EE3198" w:rsidRPr="00EE3198">
        <w:rPr>
          <w:rFonts w:eastAsia="Times New Roman"/>
          <w:color w:val="222222"/>
          <w:sz w:val="20"/>
          <w:szCs w:val="20"/>
          <w:shd w:val="clear" w:color="auto" w:fill="FFFFFF"/>
          <w:lang w:val="en-US"/>
        </w:rPr>
        <w:t xml:space="preserve">Karayiannis, N. </w:t>
      </w:r>
      <w:r w:rsidR="00EE3198">
        <w:rPr>
          <w:rFonts w:eastAsia="Times New Roman"/>
          <w:color w:val="222222"/>
          <w:sz w:val="20"/>
          <w:szCs w:val="20"/>
          <w:shd w:val="clear" w:color="auto" w:fill="FFFFFF"/>
          <w:lang w:val="en-US"/>
        </w:rPr>
        <w:t xml:space="preserve">and </w:t>
      </w:r>
      <w:r w:rsidRPr="00EE3198">
        <w:rPr>
          <w:rFonts w:eastAsia="Times New Roman"/>
          <w:color w:val="222222"/>
          <w:sz w:val="20"/>
          <w:szCs w:val="20"/>
          <w:shd w:val="clear" w:color="auto" w:fill="FFFFFF"/>
          <w:lang w:val="en-US"/>
        </w:rPr>
        <w:t>Venetsanopoulos, A. N. (2013). </w:t>
      </w:r>
      <w:r w:rsidR="00EE3198">
        <w:rPr>
          <w:rFonts w:eastAsia="Times New Roman"/>
          <w:iCs/>
          <w:color w:val="222222"/>
          <w:sz w:val="20"/>
          <w:szCs w:val="20"/>
          <w:shd w:val="clear" w:color="auto" w:fill="FFFFFF"/>
        </w:rPr>
        <w:t>Artificial neural networks: L</w:t>
      </w:r>
      <w:r w:rsidRPr="00EE3198">
        <w:rPr>
          <w:rFonts w:eastAsia="Times New Roman"/>
          <w:iCs/>
          <w:color w:val="222222"/>
          <w:sz w:val="20"/>
          <w:szCs w:val="20"/>
          <w:shd w:val="clear" w:color="auto" w:fill="FFFFFF"/>
        </w:rPr>
        <w:t>earning algorithms, performance evaluation, and applications</w:t>
      </w:r>
      <w:r w:rsidR="00EE3198">
        <w:rPr>
          <w:rFonts w:eastAsia="Times New Roman"/>
          <w:color w:val="222222"/>
          <w:sz w:val="20"/>
          <w:szCs w:val="20"/>
          <w:shd w:val="clear" w:color="auto" w:fill="FFFFFF"/>
        </w:rPr>
        <w:t xml:space="preserve">. </w:t>
      </w:r>
      <w:r w:rsidRPr="002A333F">
        <w:rPr>
          <w:rFonts w:eastAsia="Times New Roman"/>
          <w:color w:val="222222"/>
          <w:sz w:val="20"/>
          <w:szCs w:val="20"/>
          <w:shd w:val="clear" w:color="auto" w:fill="FFFFFF"/>
        </w:rPr>
        <w:t>Sp</w:t>
      </w:r>
      <w:r w:rsidR="00EE3198">
        <w:rPr>
          <w:rFonts w:eastAsia="Times New Roman"/>
          <w:color w:val="222222"/>
          <w:sz w:val="20"/>
          <w:szCs w:val="20"/>
          <w:shd w:val="clear" w:color="auto" w:fill="FFFFFF"/>
        </w:rPr>
        <w:t>ringer Science &amp; Business Media: pp. 1 – 345.</w:t>
      </w:r>
    </w:p>
    <w:p w14:paraId="53CE1A5D" w14:textId="3E383A0D" w:rsidR="002A333F" w:rsidRPr="00EE3198" w:rsidRDefault="002A333F" w:rsidP="00EE3198">
      <w:pPr>
        <w:ind w:left="720" w:hanging="720"/>
        <w:jc w:val="both"/>
        <w:rPr>
          <w:rFonts w:eastAsia="Times New Roman"/>
          <w:color w:val="222222"/>
          <w:sz w:val="20"/>
          <w:szCs w:val="20"/>
          <w:shd w:val="clear" w:color="auto" w:fill="FFFFFF"/>
        </w:rPr>
      </w:pPr>
      <w:r w:rsidRPr="002A333F">
        <w:rPr>
          <w:rFonts w:eastAsia="Times New Roman"/>
          <w:sz w:val="20"/>
          <w:szCs w:val="20"/>
        </w:rPr>
        <w:t>21.</w:t>
      </w:r>
      <w:r w:rsidRPr="002A333F">
        <w:rPr>
          <w:rFonts w:eastAsia="Times New Roman"/>
          <w:sz w:val="20"/>
          <w:szCs w:val="20"/>
        </w:rPr>
        <w:tab/>
      </w:r>
      <w:r w:rsidRPr="002A333F">
        <w:rPr>
          <w:rFonts w:eastAsia="Times New Roman"/>
          <w:color w:val="222222"/>
          <w:sz w:val="20"/>
          <w:szCs w:val="20"/>
          <w:shd w:val="clear" w:color="auto" w:fill="FFFFFF"/>
        </w:rPr>
        <w:t>Tardast, A., Rahimnejad, M., Najafpour, G., Ghoreyshi, A.</w:t>
      </w:r>
      <w:r w:rsidR="00EE3198">
        <w:rPr>
          <w:rFonts w:eastAsia="Times New Roman"/>
          <w:color w:val="222222"/>
          <w:sz w:val="20"/>
          <w:szCs w:val="20"/>
          <w:shd w:val="clear" w:color="auto" w:fill="FFFFFF"/>
        </w:rPr>
        <w:t xml:space="preserve">, Premier, G. C., Bakeri, G. and </w:t>
      </w:r>
      <w:r w:rsidRPr="002A333F">
        <w:rPr>
          <w:rFonts w:eastAsia="Times New Roman"/>
          <w:color w:val="222222"/>
          <w:sz w:val="20"/>
          <w:szCs w:val="20"/>
          <w:shd w:val="clear" w:color="auto" w:fill="FFFFFF"/>
        </w:rPr>
        <w:t>Oh, S. E. (2014). Use of artificial neural network for the prediction of bioelectricity production in a membrane less microbial fuel cell. </w:t>
      </w:r>
      <w:r w:rsidRPr="002A333F">
        <w:rPr>
          <w:rFonts w:eastAsia="Times New Roman"/>
          <w:i/>
          <w:iCs/>
          <w:color w:val="222222"/>
          <w:sz w:val="20"/>
          <w:szCs w:val="20"/>
          <w:shd w:val="clear" w:color="auto" w:fill="FFFFFF"/>
        </w:rPr>
        <w:t>Fuel</w:t>
      </w:r>
      <w:r w:rsidRPr="002A333F">
        <w:rPr>
          <w:rFonts w:eastAsia="Times New Roman"/>
          <w:color w:val="222222"/>
          <w:sz w:val="20"/>
          <w:szCs w:val="20"/>
          <w:shd w:val="clear" w:color="auto" w:fill="FFFFFF"/>
        </w:rPr>
        <w:t>, </w:t>
      </w:r>
      <w:r w:rsidRPr="00EE3198">
        <w:rPr>
          <w:rFonts w:eastAsia="Times New Roman"/>
          <w:iCs/>
          <w:color w:val="222222"/>
          <w:sz w:val="20"/>
          <w:szCs w:val="20"/>
          <w:shd w:val="clear" w:color="auto" w:fill="FFFFFF"/>
        </w:rPr>
        <w:t>117</w:t>
      </w:r>
      <w:r w:rsidR="00EE3198">
        <w:rPr>
          <w:rFonts w:eastAsia="Times New Roman"/>
          <w:color w:val="222222"/>
          <w:sz w:val="20"/>
          <w:szCs w:val="20"/>
          <w:shd w:val="clear" w:color="auto" w:fill="FFFFFF"/>
        </w:rPr>
        <w:t xml:space="preserve">: </w:t>
      </w:r>
      <w:r w:rsidRPr="002A333F">
        <w:rPr>
          <w:rFonts w:eastAsia="Times New Roman"/>
          <w:color w:val="222222"/>
          <w:sz w:val="20"/>
          <w:szCs w:val="20"/>
          <w:shd w:val="clear" w:color="auto" w:fill="FFFFFF"/>
        </w:rPr>
        <w:t>697</w:t>
      </w:r>
      <w:r w:rsidR="00EE3198">
        <w:rPr>
          <w:rFonts w:eastAsia="Times New Roman"/>
          <w:color w:val="222222"/>
          <w:sz w:val="20"/>
          <w:szCs w:val="20"/>
          <w:shd w:val="clear" w:color="auto" w:fill="FFFFFF"/>
        </w:rPr>
        <w:t xml:space="preserve"> – </w:t>
      </w:r>
      <w:r w:rsidRPr="002A333F">
        <w:rPr>
          <w:rFonts w:eastAsia="Times New Roman"/>
          <w:color w:val="222222"/>
          <w:sz w:val="20"/>
          <w:szCs w:val="20"/>
          <w:shd w:val="clear" w:color="auto" w:fill="FFFFFF"/>
        </w:rPr>
        <w:t>703.</w:t>
      </w:r>
    </w:p>
    <w:p w14:paraId="24D63867" w14:textId="0A224FA2" w:rsidR="002A333F" w:rsidRPr="00EE3198" w:rsidRDefault="002A333F" w:rsidP="00EE3198">
      <w:pPr>
        <w:ind w:left="720" w:hanging="720"/>
        <w:jc w:val="both"/>
        <w:rPr>
          <w:rFonts w:eastAsia="Times New Roman"/>
          <w:color w:val="222222"/>
          <w:sz w:val="20"/>
          <w:szCs w:val="20"/>
          <w:shd w:val="clear" w:color="auto" w:fill="FFFFFF"/>
        </w:rPr>
      </w:pPr>
      <w:r w:rsidRPr="002A333F">
        <w:rPr>
          <w:rFonts w:eastAsia="Times New Roman"/>
          <w:sz w:val="20"/>
          <w:szCs w:val="20"/>
        </w:rPr>
        <w:t>22.</w:t>
      </w:r>
      <w:r w:rsidRPr="002A333F">
        <w:rPr>
          <w:rFonts w:eastAsia="Times New Roman"/>
          <w:sz w:val="20"/>
          <w:szCs w:val="20"/>
        </w:rPr>
        <w:tab/>
      </w:r>
      <w:r w:rsidRPr="002A333F">
        <w:rPr>
          <w:rFonts w:eastAsia="Times New Roman"/>
          <w:color w:val="222222"/>
          <w:sz w:val="20"/>
          <w:szCs w:val="20"/>
          <w:shd w:val="clear" w:color="auto" w:fill="FFFFFF"/>
        </w:rPr>
        <w:t>Mirbagheri, S. A.</w:t>
      </w:r>
      <w:r w:rsidR="00EE3198">
        <w:rPr>
          <w:rFonts w:eastAsia="Times New Roman"/>
          <w:color w:val="222222"/>
          <w:sz w:val="20"/>
          <w:szCs w:val="20"/>
          <w:shd w:val="clear" w:color="auto" w:fill="FFFFFF"/>
        </w:rPr>
        <w:t xml:space="preserve">, Bagheri, M., Bagheri, Z. and </w:t>
      </w:r>
      <w:r w:rsidRPr="002A333F">
        <w:rPr>
          <w:rFonts w:eastAsia="Times New Roman"/>
          <w:color w:val="222222"/>
          <w:sz w:val="20"/>
          <w:szCs w:val="20"/>
          <w:shd w:val="clear" w:color="auto" w:fill="FFFFFF"/>
        </w:rPr>
        <w:t>Kamarkhani, A. M. (2015). Evaluation and prediction of membrane fouling in a submerged membrane bioreactor with simultaneous upward and downward aeration using artificial neural network-genetic algorithm. </w:t>
      </w:r>
      <w:r w:rsidRPr="002A333F">
        <w:rPr>
          <w:rFonts w:eastAsia="Times New Roman"/>
          <w:i/>
          <w:iCs/>
          <w:color w:val="222222"/>
          <w:sz w:val="20"/>
          <w:szCs w:val="20"/>
          <w:shd w:val="clear" w:color="auto" w:fill="FFFFFF"/>
        </w:rPr>
        <w:t>Process Safety and Environmental Protection</w:t>
      </w:r>
      <w:r w:rsidRPr="002A333F">
        <w:rPr>
          <w:rFonts w:eastAsia="Times New Roman"/>
          <w:color w:val="222222"/>
          <w:sz w:val="20"/>
          <w:szCs w:val="20"/>
          <w:shd w:val="clear" w:color="auto" w:fill="FFFFFF"/>
        </w:rPr>
        <w:t>, </w:t>
      </w:r>
      <w:r w:rsidRPr="00EE3198">
        <w:rPr>
          <w:rFonts w:eastAsia="Times New Roman"/>
          <w:iCs/>
          <w:color w:val="222222"/>
          <w:sz w:val="20"/>
          <w:szCs w:val="20"/>
          <w:shd w:val="clear" w:color="auto" w:fill="FFFFFF"/>
        </w:rPr>
        <w:t>96</w:t>
      </w:r>
      <w:r w:rsidR="00EE3198">
        <w:rPr>
          <w:rFonts w:eastAsia="Times New Roman"/>
          <w:color w:val="222222"/>
          <w:sz w:val="20"/>
          <w:szCs w:val="20"/>
          <w:shd w:val="clear" w:color="auto" w:fill="FFFFFF"/>
        </w:rPr>
        <w:t xml:space="preserve">: </w:t>
      </w:r>
      <w:r w:rsidRPr="002A333F">
        <w:rPr>
          <w:rFonts w:eastAsia="Times New Roman"/>
          <w:color w:val="222222"/>
          <w:sz w:val="20"/>
          <w:szCs w:val="20"/>
          <w:shd w:val="clear" w:color="auto" w:fill="FFFFFF"/>
        </w:rPr>
        <w:t>111</w:t>
      </w:r>
      <w:r w:rsidR="00EE3198">
        <w:rPr>
          <w:rFonts w:eastAsia="Times New Roman"/>
          <w:color w:val="222222"/>
          <w:sz w:val="20"/>
          <w:szCs w:val="20"/>
          <w:shd w:val="clear" w:color="auto" w:fill="FFFFFF"/>
        </w:rPr>
        <w:t xml:space="preserve"> – </w:t>
      </w:r>
      <w:r w:rsidRPr="002A333F">
        <w:rPr>
          <w:rFonts w:eastAsia="Times New Roman"/>
          <w:color w:val="222222"/>
          <w:sz w:val="20"/>
          <w:szCs w:val="20"/>
          <w:shd w:val="clear" w:color="auto" w:fill="FFFFFF"/>
        </w:rPr>
        <w:t>124.</w:t>
      </w:r>
    </w:p>
    <w:p w14:paraId="493EA05C" w14:textId="299B6754" w:rsidR="002A333F" w:rsidRPr="00EE3198" w:rsidRDefault="002A333F" w:rsidP="00EE3198">
      <w:pPr>
        <w:ind w:left="720" w:hanging="720"/>
        <w:jc w:val="both"/>
        <w:rPr>
          <w:rFonts w:eastAsia="Times New Roman"/>
          <w:color w:val="222222"/>
          <w:sz w:val="20"/>
          <w:szCs w:val="20"/>
          <w:shd w:val="clear" w:color="auto" w:fill="FFFFFF"/>
        </w:rPr>
      </w:pPr>
      <w:r w:rsidRPr="002A333F">
        <w:rPr>
          <w:rFonts w:eastAsia="Times New Roman"/>
          <w:sz w:val="20"/>
          <w:szCs w:val="20"/>
        </w:rPr>
        <w:t>23.</w:t>
      </w:r>
      <w:r w:rsidRPr="002A333F">
        <w:rPr>
          <w:rFonts w:eastAsia="Times New Roman"/>
          <w:sz w:val="20"/>
          <w:szCs w:val="20"/>
        </w:rPr>
        <w:tab/>
      </w:r>
      <w:r w:rsidRPr="002A333F">
        <w:rPr>
          <w:rFonts w:eastAsia="Times New Roman"/>
          <w:color w:val="222222"/>
          <w:sz w:val="20"/>
          <w:szCs w:val="20"/>
          <w:shd w:val="clear" w:color="auto" w:fill="FFFFFF"/>
        </w:rPr>
        <w:t xml:space="preserve">Basile, A., Curcio, S., Bagnato, </w:t>
      </w:r>
      <w:r w:rsidR="00EE3198">
        <w:rPr>
          <w:rFonts w:eastAsia="Times New Roman"/>
          <w:color w:val="222222"/>
          <w:sz w:val="20"/>
          <w:szCs w:val="20"/>
          <w:shd w:val="clear" w:color="auto" w:fill="FFFFFF"/>
        </w:rPr>
        <w:t>G., Liguori, S., Jokar, S. M. and</w:t>
      </w:r>
      <w:r w:rsidRPr="002A333F">
        <w:rPr>
          <w:rFonts w:eastAsia="Times New Roman"/>
          <w:color w:val="222222"/>
          <w:sz w:val="20"/>
          <w:szCs w:val="20"/>
          <w:shd w:val="clear" w:color="auto" w:fill="FFFFFF"/>
        </w:rPr>
        <w:t xml:space="preserve"> Iulianelli, A. (2015). Water gas shift reaction in membrane reactors: Theoretical investigation by artificial neural networks model and experimental validation. </w:t>
      </w:r>
      <w:r w:rsidRPr="002A333F">
        <w:rPr>
          <w:rFonts w:eastAsia="Times New Roman"/>
          <w:i/>
          <w:iCs/>
          <w:color w:val="222222"/>
          <w:sz w:val="20"/>
          <w:szCs w:val="20"/>
          <w:shd w:val="clear" w:color="auto" w:fill="FFFFFF"/>
        </w:rPr>
        <w:t>International Journal of Hydrogen Energy</w:t>
      </w:r>
      <w:r w:rsidRPr="002A333F">
        <w:rPr>
          <w:rFonts w:eastAsia="Times New Roman"/>
          <w:color w:val="222222"/>
          <w:sz w:val="20"/>
          <w:szCs w:val="20"/>
          <w:shd w:val="clear" w:color="auto" w:fill="FFFFFF"/>
        </w:rPr>
        <w:t>, </w:t>
      </w:r>
      <w:r w:rsidRPr="00EE3198">
        <w:rPr>
          <w:rFonts w:eastAsia="Times New Roman"/>
          <w:iCs/>
          <w:color w:val="222222"/>
          <w:sz w:val="20"/>
          <w:szCs w:val="20"/>
          <w:shd w:val="clear" w:color="auto" w:fill="FFFFFF"/>
        </w:rPr>
        <w:t>40</w:t>
      </w:r>
      <w:r w:rsidRPr="00EE3198">
        <w:rPr>
          <w:rFonts w:eastAsia="Times New Roman"/>
          <w:color w:val="222222"/>
          <w:sz w:val="20"/>
          <w:szCs w:val="20"/>
          <w:shd w:val="clear" w:color="auto" w:fill="FFFFFF"/>
        </w:rPr>
        <w:t>(</w:t>
      </w:r>
      <w:r w:rsidR="00EE3198">
        <w:rPr>
          <w:rFonts w:eastAsia="Times New Roman"/>
          <w:color w:val="222222"/>
          <w:sz w:val="20"/>
          <w:szCs w:val="20"/>
          <w:shd w:val="clear" w:color="auto" w:fill="FFFFFF"/>
        </w:rPr>
        <w:t xml:space="preserve">17): </w:t>
      </w:r>
      <w:r w:rsidRPr="002A333F">
        <w:rPr>
          <w:rFonts w:eastAsia="Times New Roman"/>
          <w:color w:val="222222"/>
          <w:sz w:val="20"/>
          <w:szCs w:val="20"/>
          <w:shd w:val="clear" w:color="auto" w:fill="FFFFFF"/>
        </w:rPr>
        <w:t>5897</w:t>
      </w:r>
      <w:r w:rsidR="00EE3198">
        <w:rPr>
          <w:rFonts w:eastAsia="Times New Roman"/>
          <w:color w:val="222222"/>
          <w:sz w:val="20"/>
          <w:szCs w:val="20"/>
          <w:shd w:val="clear" w:color="auto" w:fill="FFFFFF"/>
        </w:rPr>
        <w:t xml:space="preserve"> – </w:t>
      </w:r>
      <w:r w:rsidRPr="002A333F">
        <w:rPr>
          <w:rFonts w:eastAsia="Times New Roman"/>
          <w:color w:val="222222"/>
          <w:sz w:val="20"/>
          <w:szCs w:val="20"/>
          <w:shd w:val="clear" w:color="auto" w:fill="FFFFFF"/>
        </w:rPr>
        <w:t>5906.</w:t>
      </w:r>
    </w:p>
    <w:p w14:paraId="029AB434" w14:textId="73B61E4D" w:rsidR="002A333F" w:rsidRPr="002A333F" w:rsidRDefault="002A333F" w:rsidP="002A333F">
      <w:pPr>
        <w:jc w:val="both"/>
        <w:rPr>
          <w:rFonts w:eastAsia="Times New Roman"/>
          <w:sz w:val="20"/>
          <w:szCs w:val="20"/>
        </w:rPr>
      </w:pPr>
      <w:r w:rsidRPr="002A333F">
        <w:rPr>
          <w:rFonts w:eastAsia="Times New Roman"/>
          <w:sz w:val="20"/>
          <w:szCs w:val="20"/>
        </w:rPr>
        <w:t xml:space="preserve">24. </w:t>
      </w:r>
      <w:r w:rsidRPr="002A333F">
        <w:rPr>
          <w:rFonts w:eastAsia="Times New Roman"/>
          <w:sz w:val="20"/>
          <w:szCs w:val="20"/>
        </w:rPr>
        <w:tab/>
      </w:r>
      <w:r w:rsidRPr="002A333F">
        <w:rPr>
          <w:rFonts w:eastAsia="Times New Roman"/>
          <w:color w:val="222222"/>
          <w:sz w:val="20"/>
          <w:szCs w:val="20"/>
          <w:shd w:val="clear" w:color="auto" w:fill="FFFFFF"/>
        </w:rPr>
        <w:t>Ioannou, P. A., &amp; Sun, J. (2012). </w:t>
      </w:r>
      <w:r w:rsidRPr="00EE3198">
        <w:rPr>
          <w:rFonts w:eastAsia="Times New Roman"/>
          <w:iCs/>
          <w:color w:val="222222"/>
          <w:sz w:val="20"/>
          <w:szCs w:val="20"/>
          <w:shd w:val="clear" w:color="auto" w:fill="FFFFFF"/>
        </w:rPr>
        <w:t>Robust adaptive control</w:t>
      </w:r>
      <w:r w:rsidR="00EE3198" w:rsidRPr="00EE3198">
        <w:rPr>
          <w:rFonts w:eastAsia="Times New Roman"/>
          <w:color w:val="222222"/>
          <w:sz w:val="20"/>
          <w:szCs w:val="20"/>
          <w:shd w:val="clear" w:color="auto" w:fill="FFFFFF"/>
        </w:rPr>
        <w:t>.</w:t>
      </w:r>
      <w:r w:rsidR="00EE3198">
        <w:rPr>
          <w:rFonts w:eastAsia="Times New Roman"/>
          <w:color w:val="222222"/>
          <w:sz w:val="20"/>
          <w:szCs w:val="20"/>
          <w:shd w:val="clear" w:color="auto" w:fill="FFFFFF"/>
        </w:rPr>
        <w:t xml:space="preserve"> Courier Corporation: pp. 1 – 819.</w:t>
      </w:r>
      <w:bookmarkStart w:id="17" w:name="_GoBack"/>
      <w:bookmarkEnd w:id="17"/>
    </w:p>
    <w:p w14:paraId="03FFED03" w14:textId="77777777" w:rsidR="002A333F" w:rsidRDefault="002A333F" w:rsidP="002A333F">
      <w:pPr>
        <w:rPr>
          <w:rFonts w:eastAsia="Times New Roman"/>
        </w:rPr>
      </w:pPr>
    </w:p>
    <w:p w14:paraId="0C342F76" w14:textId="77777777" w:rsidR="002A333F" w:rsidRDefault="002A333F" w:rsidP="002A333F"/>
    <w:p w14:paraId="12B70E1C" w14:textId="60ABE3A7" w:rsidR="002A333F" w:rsidRPr="002A333F" w:rsidRDefault="002A333F" w:rsidP="002A333F">
      <w:pPr>
        <w:jc w:val="both"/>
        <w:outlineLvl w:val="0"/>
        <w:rPr>
          <w:rFonts w:eastAsia="Times New Roman"/>
          <w:sz w:val="20"/>
          <w:szCs w:val="20"/>
          <w:lang w:eastAsia="en-US"/>
        </w:rPr>
      </w:pPr>
    </w:p>
    <w:p w14:paraId="1701D634" w14:textId="78A4F26D" w:rsidR="0082319D" w:rsidRPr="00C573F2" w:rsidRDefault="0082319D" w:rsidP="00C573F2">
      <w:pPr>
        <w:jc w:val="both"/>
        <w:rPr>
          <w:sz w:val="20"/>
          <w:szCs w:val="20"/>
        </w:rPr>
      </w:pPr>
    </w:p>
    <w:sectPr w:rsidR="0082319D" w:rsidRPr="00C573F2" w:rsidSect="00E65F2A">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1EE86" w14:textId="77777777" w:rsidR="00E409B7" w:rsidRDefault="00E409B7" w:rsidP="00263AFA">
      <w:r>
        <w:separator/>
      </w:r>
    </w:p>
  </w:endnote>
  <w:endnote w:type="continuationSeparator" w:id="0">
    <w:p w14:paraId="1C5A4CF3" w14:textId="77777777" w:rsidR="00E409B7" w:rsidRDefault="00E409B7" w:rsidP="00263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85C2E" w14:textId="77777777" w:rsidR="00E409B7" w:rsidRDefault="00E409B7" w:rsidP="00263AFA">
      <w:r>
        <w:separator/>
      </w:r>
    </w:p>
  </w:footnote>
  <w:footnote w:type="continuationSeparator" w:id="0">
    <w:p w14:paraId="2A6D2FE9" w14:textId="77777777" w:rsidR="00E409B7" w:rsidRDefault="00E409B7" w:rsidP="00263A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4031B"/>
    <w:multiLevelType w:val="hybridMultilevel"/>
    <w:tmpl w:val="1570DB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A710888"/>
    <w:multiLevelType w:val="hybridMultilevel"/>
    <w:tmpl w:val="1B3C4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CBD2F33"/>
    <w:multiLevelType w:val="hybridMultilevel"/>
    <w:tmpl w:val="D6B68C4A"/>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dz5xpdxnxt0skesrx5vassad0av9deaef5r&quot;&gt;PHD Thesis&lt;record-ids&gt;&lt;item&gt;5&lt;/item&gt;&lt;item&gt;40&lt;/item&gt;&lt;item&gt;121&lt;/item&gt;&lt;item&gt;122&lt;/item&gt;&lt;item&gt;146&lt;/item&gt;&lt;item&gt;162&lt;/item&gt;&lt;item&gt;180&lt;/item&gt;&lt;item&gt;190&lt;/item&gt;&lt;item&gt;212&lt;/item&gt;&lt;item&gt;270&lt;/item&gt;&lt;item&gt;271&lt;/item&gt;&lt;item&gt;272&lt;/item&gt;&lt;item&gt;273&lt;/item&gt;&lt;item&gt;274&lt;/item&gt;&lt;item&gt;275&lt;/item&gt;&lt;item&gt;276&lt;/item&gt;&lt;item&gt;277&lt;/item&gt;&lt;item&gt;278&lt;/item&gt;&lt;item&gt;279&lt;/item&gt;&lt;item&gt;280&lt;/item&gt;&lt;item&gt;287&lt;/item&gt;&lt;item&gt;308&lt;/item&gt;&lt;item&gt;309&lt;/item&gt;&lt;item&gt;310&lt;/item&gt;&lt;/record-ids&gt;&lt;/item&gt;&lt;/Libraries&gt;"/>
  </w:docVars>
  <w:rsids>
    <w:rsidRoot w:val="00785CA6"/>
    <w:rsid w:val="00020DF6"/>
    <w:rsid w:val="00023FDB"/>
    <w:rsid w:val="00033E61"/>
    <w:rsid w:val="00097D11"/>
    <w:rsid w:val="000B3A42"/>
    <w:rsid w:val="000C4F37"/>
    <w:rsid w:val="000D64D5"/>
    <w:rsid w:val="000E6E96"/>
    <w:rsid w:val="000F1812"/>
    <w:rsid w:val="00136648"/>
    <w:rsid w:val="0013665C"/>
    <w:rsid w:val="001376BF"/>
    <w:rsid w:val="001473E8"/>
    <w:rsid w:val="00165641"/>
    <w:rsid w:val="00185B97"/>
    <w:rsid w:val="001941D9"/>
    <w:rsid w:val="001A073B"/>
    <w:rsid w:val="001C2CC0"/>
    <w:rsid w:val="001E6065"/>
    <w:rsid w:val="001F5BAB"/>
    <w:rsid w:val="0020061C"/>
    <w:rsid w:val="00206511"/>
    <w:rsid w:val="00217484"/>
    <w:rsid w:val="00236994"/>
    <w:rsid w:val="00263AFA"/>
    <w:rsid w:val="00287D0E"/>
    <w:rsid w:val="002968B3"/>
    <w:rsid w:val="002A333F"/>
    <w:rsid w:val="002C5B11"/>
    <w:rsid w:val="002E57A0"/>
    <w:rsid w:val="002F0C53"/>
    <w:rsid w:val="002F1637"/>
    <w:rsid w:val="00310675"/>
    <w:rsid w:val="00315B09"/>
    <w:rsid w:val="003378CC"/>
    <w:rsid w:val="00356F02"/>
    <w:rsid w:val="00372264"/>
    <w:rsid w:val="0043755F"/>
    <w:rsid w:val="00463E6D"/>
    <w:rsid w:val="00471AD6"/>
    <w:rsid w:val="004819EC"/>
    <w:rsid w:val="004A22DD"/>
    <w:rsid w:val="004C6A7E"/>
    <w:rsid w:val="004F1D47"/>
    <w:rsid w:val="00507A9F"/>
    <w:rsid w:val="00521187"/>
    <w:rsid w:val="00561023"/>
    <w:rsid w:val="005A20DE"/>
    <w:rsid w:val="005C7B11"/>
    <w:rsid w:val="005E3400"/>
    <w:rsid w:val="0060031D"/>
    <w:rsid w:val="006056A4"/>
    <w:rsid w:val="0061073B"/>
    <w:rsid w:val="0061434D"/>
    <w:rsid w:val="00657545"/>
    <w:rsid w:val="006752F3"/>
    <w:rsid w:val="00685C81"/>
    <w:rsid w:val="0069758D"/>
    <w:rsid w:val="006F54FB"/>
    <w:rsid w:val="00701702"/>
    <w:rsid w:val="00711EA0"/>
    <w:rsid w:val="00726150"/>
    <w:rsid w:val="00726543"/>
    <w:rsid w:val="00743D84"/>
    <w:rsid w:val="00747021"/>
    <w:rsid w:val="00753A06"/>
    <w:rsid w:val="00785CA6"/>
    <w:rsid w:val="007A0AA3"/>
    <w:rsid w:val="007B05F5"/>
    <w:rsid w:val="0082319D"/>
    <w:rsid w:val="00853D1C"/>
    <w:rsid w:val="00855B26"/>
    <w:rsid w:val="008641D3"/>
    <w:rsid w:val="0087687F"/>
    <w:rsid w:val="00886A33"/>
    <w:rsid w:val="0089108C"/>
    <w:rsid w:val="0089333C"/>
    <w:rsid w:val="008C5014"/>
    <w:rsid w:val="008D2C9A"/>
    <w:rsid w:val="00903071"/>
    <w:rsid w:val="00974881"/>
    <w:rsid w:val="00983A91"/>
    <w:rsid w:val="00997DAF"/>
    <w:rsid w:val="009F1EAF"/>
    <w:rsid w:val="009F3A47"/>
    <w:rsid w:val="009F5B8E"/>
    <w:rsid w:val="009F6826"/>
    <w:rsid w:val="00A1528E"/>
    <w:rsid w:val="00A249BA"/>
    <w:rsid w:val="00A34128"/>
    <w:rsid w:val="00A415C1"/>
    <w:rsid w:val="00A43EFE"/>
    <w:rsid w:val="00A677AA"/>
    <w:rsid w:val="00A74CC2"/>
    <w:rsid w:val="00AA05AA"/>
    <w:rsid w:val="00AE068F"/>
    <w:rsid w:val="00B01298"/>
    <w:rsid w:val="00B104AA"/>
    <w:rsid w:val="00B13E45"/>
    <w:rsid w:val="00B65F65"/>
    <w:rsid w:val="00B71AA6"/>
    <w:rsid w:val="00B74B0E"/>
    <w:rsid w:val="00B75EFE"/>
    <w:rsid w:val="00B90183"/>
    <w:rsid w:val="00BD4468"/>
    <w:rsid w:val="00BD5E51"/>
    <w:rsid w:val="00C14D26"/>
    <w:rsid w:val="00C573F2"/>
    <w:rsid w:val="00C871BE"/>
    <w:rsid w:val="00C96239"/>
    <w:rsid w:val="00CC1CD2"/>
    <w:rsid w:val="00CC3BBA"/>
    <w:rsid w:val="00CC441D"/>
    <w:rsid w:val="00CD4500"/>
    <w:rsid w:val="00D35D0D"/>
    <w:rsid w:val="00D466D9"/>
    <w:rsid w:val="00D74A45"/>
    <w:rsid w:val="00DD3A5B"/>
    <w:rsid w:val="00DE0442"/>
    <w:rsid w:val="00DE73D6"/>
    <w:rsid w:val="00DF3BE5"/>
    <w:rsid w:val="00E02049"/>
    <w:rsid w:val="00E1594D"/>
    <w:rsid w:val="00E3602E"/>
    <w:rsid w:val="00E409B7"/>
    <w:rsid w:val="00E552D3"/>
    <w:rsid w:val="00E65F2A"/>
    <w:rsid w:val="00E67BCB"/>
    <w:rsid w:val="00EB0C5B"/>
    <w:rsid w:val="00EC6782"/>
    <w:rsid w:val="00ED0B31"/>
    <w:rsid w:val="00EE3198"/>
    <w:rsid w:val="00F013E5"/>
    <w:rsid w:val="00F2188A"/>
    <w:rsid w:val="00F63D0E"/>
    <w:rsid w:val="00F86D0C"/>
    <w:rsid w:val="00FB4B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3F297F"/>
  <w15:docId w15:val="{90DD2252-46E2-4EC7-AB5F-CD0B298F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9EC"/>
    <w:pPr>
      <w:spacing w:after="0" w:line="240" w:lineRule="auto"/>
    </w:pPr>
    <w:rPr>
      <w:rFonts w:ascii="Times New Roman" w:hAnsi="Times New Roman" w:cs="Times New Roman"/>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pPr>
      <w:widowControl w:val="0"/>
      <w:wordWrap w:val="0"/>
      <w:autoSpaceDE w:val="0"/>
      <w:autoSpaceDN w:val="0"/>
      <w:jc w:val="both"/>
    </w:pPr>
    <w:rPr>
      <w:rFonts w:ascii="Tahoma" w:eastAsiaTheme="minorEastAsia" w:hAnsi="Tahoma" w:cs="Tahoma"/>
      <w:kern w:val="2"/>
      <w:sz w:val="16"/>
      <w:szCs w:val="16"/>
      <w:lang w:val="en-US" w:eastAsia="ko-KR"/>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widowControl w:val="0"/>
      <w:wordWrap w:val="0"/>
      <w:autoSpaceDE w:val="0"/>
      <w:autoSpaceDN w:val="0"/>
      <w:ind w:left="720"/>
      <w:contextualSpacing/>
      <w:jc w:val="both"/>
    </w:pPr>
    <w:rPr>
      <w:rFonts w:asciiTheme="minorHAnsi" w:eastAsiaTheme="minorEastAsia" w:hAnsiTheme="minorHAnsi" w:cstheme="minorBidi"/>
      <w:kern w:val="2"/>
      <w:sz w:val="20"/>
      <w:szCs w:val="22"/>
      <w:lang w:val="en-US" w:eastAsia="ko-KR"/>
    </w:rPr>
  </w:style>
  <w:style w:type="paragraph" w:styleId="Header">
    <w:name w:val="header"/>
    <w:basedOn w:val="Normal"/>
    <w:link w:val="HeaderChar"/>
    <w:uiPriority w:val="99"/>
    <w:unhideWhenUsed/>
    <w:rsid w:val="00263AFA"/>
    <w:pPr>
      <w:widowControl w:val="0"/>
      <w:tabs>
        <w:tab w:val="center" w:pos="4680"/>
        <w:tab w:val="right" w:pos="9360"/>
      </w:tabs>
      <w:wordWrap w:val="0"/>
      <w:autoSpaceDE w:val="0"/>
      <w:autoSpaceDN w:val="0"/>
      <w:jc w:val="both"/>
    </w:pPr>
    <w:rPr>
      <w:rFonts w:asciiTheme="minorHAnsi" w:eastAsiaTheme="minorEastAsia" w:hAnsiTheme="minorHAnsi" w:cstheme="minorBidi"/>
      <w:kern w:val="2"/>
      <w:sz w:val="20"/>
      <w:szCs w:val="22"/>
      <w:lang w:val="en-US" w:eastAsia="ko-KR"/>
    </w:rPr>
  </w:style>
  <w:style w:type="character" w:customStyle="1" w:styleId="HeaderChar">
    <w:name w:val="Header Char"/>
    <w:basedOn w:val="DefaultParagraphFont"/>
    <w:link w:val="Header"/>
    <w:uiPriority w:val="99"/>
    <w:rsid w:val="00263AFA"/>
    <w:rPr>
      <w:rFonts w:eastAsiaTheme="minorEastAsia"/>
      <w:kern w:val="2"/>
      <w:sz w:val="20"/>
      <w:lang w:eastAsia="ko-KR"/>
    </w:rPr>
  </w:style>
  <w:style w:type="paragraph" w:styleId="Footer">
    <w:name w:val="footer"/>
    <w:basedOn w:val="Normal"/>
    <w:link w:val="FooterChar"/>
    <w:uiPriority w:val="99"/>
    <w:unhideWhenUsed/>
    <w:rsid w:val="00263AFA"/>
    <w:pPr>
      <w:widowControl w:val="0"/>
      <w:tabs>
        <w:tab w:val="center" w:pos="4680"/>
        <w:tab w:val="right" w:pos="9360"/>
      </w:tabs>
      <w:wordWrap w:val="0"/>
      <w:autoSpaceDE w:val="0"/>
      <w:autoSpaceDN w:val="0"/>
      <w:jc w:val="both"/>
    </w:pPr>
    <w:rPr>
      <w:rFonts w:asciiTheme="minorHAnsi" w:eastAsiaTheme="minorEastAsia" w:hAnsiTheme="minorHAnsi" w:cstheme="minorBidi"/>
      <w:kern w:val="2"/>
      <w:sz w:val="20"/>
      <w:szCs w:val="22"/>
      <w:lang w:val="en-US" w:eastAsia="ko-KR"/>
    </w:rPr>
  </w:style>
  <w:style w:type="character" w:customStyle="1" w:styleId="FooterChar">
    <w:name w:val="Footer Char"/>
    <w:basedOn w:val="DefaultParagraphFont"/>
    <w:link w:val="Footer"/>
    <w:uiPriority w:val="99"/>
    <w:rsid w:val="00263AFA"/>
    <w:rPr>
      <w:rFonts w:eastAsiaTheme="minorEastAsia"/>
      <w:kern w:val="2"/>
      <w:sz w:val="20"/>
      <w:lang w:eastAsia="ko-KR"/>
    </w:rPr>
  </w:style>
  <w:style w:type="table" w:styleId="TableGrid">
    <w:name w:val="Table Grid"/>
    <w:basedOn w:val="TableNormal"/>
    <w:uiPriority w:val="59"/>
    <w:rsid w:val="00A152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C5B11"/>
    <w:pPr>
      <w:spacing w:after="0" w:line="240" w:lineRule="auto"/>
      <w:jc w:val="center"/>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DD3A5B"/>
    <w:pPr>
      <w:widowControl w:val="0"/>
      <w:wordWrap w:val="0"/>
      <w:autoSpaceDE w:val="0"/>
      <w:autoSpaceDN w:val="0"/>
      <w:jc w:val="center"/>
    </w:pPr>
    <w:rPr>
      <w:rFonts w:ascii="Calibri" w:eastAsiaTheme="minorEastAsia" w:hAnsi="Calibri" w:cstheme="minorBidi"/>
      <w:noProof/>
      <w:kern w:val="2"/>
      <w:sz w:val="20"/>
      <w:szCs w:val="22"/>
      <w:lang w:val="en-US" w:eastAsia="ko-KR"/>
    </w:rPr>
  </w:style>
  <w:style w:type="character" w:customStyle="1" w:styleId="EndNoteBibliographyTitleChar">
    <w:name w:val="EndNote Bibliography Title Char"/>
    <w:basedOn w:val="DefaultParagraphFont"/>
    <w:link w:val="EndNoteBibliographyTitle"/>
    <w:rsid w:val="00DD3A5B"/>
    <w:rPr>
      <w:rFonts w:ascii="Calibri" w:eastAsiaTheme="minorEastAsia" w:hAnsi="Calibri"/>
      <w:noProof/>
      <w:kern w:val="2"/>
      <w:sz w:val="20"/>
      <w:lang w:eastAsia="ko-KR"/>
    </w:rPr>
  </w:style>
  <w:style w:type="paragraph" w:customStyle="1" w:styleId="EndNoteBibliography">
    <w:name w:val="EndNote Bibliography"/>
    <w:basedOn w:val="Normal"/>
    <w:link w:val="EndNoteBibliographyChar"/>
    <w:rsid w:val="00DD3A5B"/>
    <w:pPr>
      <w:widowControl w:val="0"/>
      <w:wordWrap w:val="0"/>
      <w:autoSpaceDE w:val="0"/>
      <w:autoSpaceDN w:val="0"/>
      <w:jc w:val="both"/>
    </w:pPr>
    <w:rPr>
      <w:rFonts w:ascii="Calibri" w:eastAsiaTheme="minorEastAsia" w:hAnsi="Calibri" w:cstheme="minorBidi"/>
      <w:noProof/>
      <w:kern w:val="2"/>
      <w:sz w:val="20"/>
      <w:szCs w:val="22"/>
      <w:lang w:val="en-US" w:eastAsia="ko-KR"/>
    </w:rPr>
  </w:style>
  <w:style w:type="character" w:customStyle="1" w:styleId="EndNoteBibliographyChar">
    <w:name w:val="EndNote Bibliography Char"/>
    <w:basedOn w:val="DefaultParagraphFont"/>
    <w:link w:val="EndNoteBibliography"/>
    <w:rsid w:val="00DD3A5B"/>
    <w:rPr>
      <w:rFonts w:ascii="Calibri" w:eastAsiaTheme="minorEastAsia" w:hAnsi="Calibri"/>
      <w:noProof/>
      <w:kern w:val="2"/>
      <w:sz w:val="20"/>
      <w:lang w:eastAsia="ko-KR"/>
    </w:rPr>
  </w:style>
  <w:style w:type="character" w:styleId="Hyperlink">
    <w:name w:val="Hyperlink"/>
    <w:basedOn w:val="DefaultParagraphFont"/>
    <w:uiPriority w:val="99"/>
    <w:unhideWhenUsed/>
    <w:rsid w:val="00DD3A5B"/>
    <w:rPr>
      <w:color w:val="0000FF" w:themeColor="hyperlink"/>
      <w:u w:val="single"/>
    </w:rPr>
  </w:style>
  <w:style w:type="table" w:customStyle="1" w:styleId="TableGrid2">
    <w:name w:val="Table Grid2"/>
    <w:basedOn w:val="TableNormal"/>
    <w:next w:val="TableGrid"/>
    <w:uiPriority w:val="59"/>
    <w:rsid w:val="00E65F2A"/>
    <w:pPr>
      <w:spacing w:after="0" w:line="240" w:lineRule="auto"/>
      <w:jc w:val="center"/>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65F2A"/>
    <w:pPr>
      <w:spacing w:after="0" w:line="240" w:lineRule="auto"/>
      <w:jc w:val="center"/>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941D9"/>
    <w:rPr>
      <w:color w:val="808080"/>
    </w:rPr>
  </w:style>
  <w:style w:type="paragraph" w:customStyle="1" w:styleId="a">
    <w:name w:val="متن"/>
    <w:basedOn w:val="Normal"/>
    <w:link w:val="Char1"/>
    <w:qFormat/>
    <w:rsid w:val="00ED0B31"/>
    <w:pPr>
      <w:spacing w:afterLines="200" w:after="200" w:line="360" w:lineRule="auto"/>
      <w:ind w:firstLine="720"/>
      <w:jc w:val="both"/>
    </w:pPr>
    <w:rPr>
      <w:rFonts w:eastAsia="Times New Roman"/>
      <w:lang w:val="en-US" w:eastAsia="en-US"/>
    </w:rPr>
  </w:style>
  <w:style w:type="character" w:customStyle="1" w:styleId="Char1">
    <w:name w:val="متن Char1"/>
    <w:basedOn w:val="DefaultParagraphFont"/>
    <w:link w:val="a"/>
    <w:locked/>
    <w:rsid w:val="00ED0B31"/>
    <w:rPr>
      <w:rFonts w:ascii="Times New Roman" w:eastAsia="Times New Roman" w:hAnsi="Times New Roman" w:cs="Times New Roman"/>
      <w:sz w:val="24"/>
      <w:szCs w:val="24"/>
    </w:rPr>
  </w:style>
  <w:style w:type="character" w:customStyle="1" w:styleId="apple-converted-space">
    <w:name w:val="apple-converted-space"/>
    <w:basedOn w:val="DefaultParagraphFont"/>
    <w:rsid w:val="00726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25241">
      <w:bodyDiv w:val="1"/>
      <w:marLeft w:val="0"/>
      <w:marRight w:val="0"/>
      <w:marTop w:val="0"/>
      <w:marBottom w:val="0"/>
      <w:divBdr>
        <w:top w:val="none" w:sz="0" w:space="0" w:color="auto"/>
        <w:left w:val="none" w:sz="0" w:space="0" w:color="auto"/>
        <w:bottom w:val="none" w:sz="0" w:space="0" w:color="auto"/>
        <w:right w:val="none" w:sz="0" w:space="0" w:color="auto"/>
      </w:divBdr>
    </w:div>
    <w:div w:id="144393417">
      <w:bodyDiv w:val="1"/>
      <w:marLeft w:val="0"/>
      <w:marRight w:val="0"/>
      <w:marTop w:val="0"/>
      <w:marBottom w:val="0"/>
      <w:divBdr>
        <w:top w:val="none" w:sz="0" w:space="0" w:color="auto"/>
        <w:left w:val="none" w:sz="0" w:space="0" w:color="auto"/>
        <w:bottom w:val="none" w:sz="0" w:space="0" w:color="auto"/>
        <w:right w:val="none" w:sz="0" w:space="0" w:color="auto"/>
      </w:divBdr>
    </w:div>
    <w:div w:id="160660379">
      <w:bodyDiv w:val="1"/>
      <w:marLeft w:val="0"/>
      <w:marRight w:val="0"/>
      <w:marTop w:val="0"/>
      <w:marBottom w:val="0"/>
      <w:divBdr>
        <w:top w:val="none" w:sz="0" w:space="0" w:color="auto"/>
        <w:left w:val="none" w:sz="0" w:space="0" w:color="auto"/>
        <w:bottom w:val="none" w:sz="0" w:space="0" w:color="auto"/>
        <w:right w:val="none" w:sz="0" w:space="0" w:color="auto"/>
      </w:divBdr>
    </w:div>
    <w:div w:id="322508292">
      <w:bodyDiv w:val="1"/>
      <w:marLeft w:val="0"/>
      <w:marRight w:val="0"/>
      <w:marTop w:val="0"/>
      <w:marBottom w:val="0"/>
      <w:divBdr>
        <w:top w:val="none" w:sz="0" w:space="0" w:color="auto"/>
        <w:left w:val="none" w:sz="0" w:space="0" w:color="auto"/>
        <w:bottom w:val="none" w:sz="0" w:space="0" w:color="auto"/>
        <w:right w:val="none" w:sz="0" w:space="0" w:color="auto"/>
      </w:divBdr>
    </w:div>
    <w:div w:id="393504998">
      <w:bodyDiv w:val="1"/>
      <w:marLeft w:val="0"/>
      <w:marRight w:val="0"/>
      <w:marTop w:val="0"/>
      <w:marBottom w:val="0"/>
      <w:divBdr>
        <w:top w:val="none" w:sz="0" w:space="0" w:color="auto"/>
        <w:left w:val="none" w:sz="0" w:space="0" w:color="auto"/>
        <w:bottom w:val="none" w:sz="0" w:space="0" w:color="auto"/>
        <w:right w:val="none" w:sz="0" w:space="0" w:color="auto"/>
      </w:divBdr>
    </w:div>
    <w:div w:id="434709861">
      <w:bodyDiv w:val="1"/>
      <w:marLeft w:val="0"/>
      <w:marRight w:val="0"/>
      <w:marTop w:val="0"/>
      <w:marBottom w:val="0"/>
      <w:divBdr>
        <w:top w:val="none" w:sz="0" w:space="0" w:color="auto"/>
        <w:left w:val="none" w:sz="0" w:space="0" w:color="auto"/>
        <w:bottom w:val="none" w:sz="0" w:space="0" w:color="auto"/>
        <w:right w:val="none" w:sz="0" w:space="0" w:color="auto"/>
      </w:divBdr>
    </w:div>
    <w:div w:id="816530004">
      <w:bodyDiv w:val="1"/>
      <w:marLeft w:val="0"/>
      <w:marRight w:val="0"/>
      <w:marTop w:val="0"/>
      <w:marBottom w:val="0"/>
      <w:divBdr>
        <w:top w:val="none" w:sz="0" w:space="0" w:color="auto"/>
        <w:left w:val="none" w:sz="0" w:space="0" w:color="auto"/>
        <w:bottom w:val="none" w:sz="0" w:space="0" w:color="auto"/>
        <w:right w:val="none" w:sz="0" w:space="0" w:color="auto"/>
      </w:divBdr>
    </w:div>
    <w:div w:id="844057599">
      <w:bodyDiv w:val="1"/>
      <w:marLeft w:val="0"/>
      <w:marRight w:val="0"/>
      <w:marTop w:val="0"/>
      <w:marBottom w:val="0"/>
      <w:divBdr>
        <w:top w:val="none" w:sz="0" w:space="0" w:color="auto"/>
        <w:left w:val="none" w:sz="0" w:space="0" w:color="auto"/>
        <w:bottom w:val="none" w:sz="0" w:space="0" w:color="auto"/>
        <w:right w:val="none" w:sz="0" w:space="0" w:color="auto"/>
      </w:divBdr>
    </w:div>
    <w:div w:id="1210148521">
      <w:bodyDiv w:val="1"/>
      <w:marLeft w:val="0"/>
      <w:marRight w:val="0"/>
      <w:marTop w:val="0"/>
      <w:marBottom w:val="0"/>
      <w:divBdr>
        <w:top w:val="none" w:sz="0" w:space="0" w:color="auto"/>
        <w:left w:val="none" w:sz="0" w:space="0" w:color="auto"/>
        <w:bottom w:val="none" w:sz="0" w:space="0" w:color="auto"/>
        <w:right w:val="none" w:sz="0" w:space="0" w:color="auto"/>
      </w:divBdr>
    </w:div>
    <w:div w:id="1216770316">
      <w:bodyDiv w:val="1"/>
      <w:marLeft w:val="0"/>
      <w:marRight w:val="0"/>
      <w:marTop w:val="0"/>
      <w:marBottom w:val="0"/>
      <w:divBdr>
        <w:top w:val="none" w:sz="0" w:space="0" w:color="auto"/>
        <w:left w:val="none" w:sz="0" w:space="0" w:color="auto"/>
        <w:bottom w:val="none" w:sz="0" w:space="0" w:color="auto"/>
        <w:right w:val="none" w:sz="0" w:space="0" w:color="auto"/>
      </w:divBdr>
    </w:div>
    <w:div w:id="1250037540">
      <w:bodyDiv w:val="1"/>
      <w:marLeft w:val="0"/>
      <w:marRight w:val="0"/>
      <w:marTop w:val="0"/>
      <w:marBottom w:val="0"/>
      <w:divBdr>
        <w:top w:val="none" w:sz="0" w:space="0" w:color="auto"/>
        <w:left w:val="none" w:sz="0" w:space="0" w:color="auto"/>
        <w:bottom w:val="none" w:sz="0" w:space="0" w:color="auto"/>
        <w:right w:val="none" w:sz="0" w:space="0" w:color="auto"/>
      </w:divBdr>
    </w:div>
    <w:div w:id="1285116872">
      <w:bodyDiv w:val="1"/>
      <w:marLeft w:val="0"/>
      <w:marRight w:val="0"/>
      <w:marTop w:val="0"/>
      <w:marBottom w:val="0"/>
      <w:divBdr>
        <w:top w:val="none" w:sz="0" w:space="0" w:color="auto"/>
        <w:left w:val="none" w:sz="0" w:space="0" w:color="auto"/>
        <w:bottom w:val="none" w:sz="0" w:space="0" w:color="auto"/>
        <w:right w:val="none" w:sz="0" w:space="0" w:color="auto"/>
      </w:divBdr>
    </w:div>
    <w:div w:id="1414550985">
      <w:bodyDiv w:val="1"/>
      <w:marLeft w:val="0"/>
      <w:marRight w:val="0"/>
      <w:marTop w:val="0"/>
      <w:marBottom w:val="0"/>
      <w:divBdr>
        <w:top w:val="none" w:sz="0" w:space="0" w:color="auto"/>
        <w:left w:val="none" w:sz="0" w:space="0" w:color="auto"/>
        <w:bottom w:val="none" w:sz="0" w:space="0" w:color="auto"/>
        <w:right w:val="none" w:sz="0" w:space="0" w:color="auto"/>
      </w:divBdr>
    </w:div>
    <w:div w:id="1502044247">
      <w:bodyDiv w:val="1"/>
      <w:marLeft w:val="0"/>
      <w:marRight w:val="0"/>
      <w:marTop w:val="0"/>
      <w:marBottom w:val="0"/>
      <w:divBdr>
        <w:top w:val="none" w:sz="0" w:space="0" w:color="auto"/>
        <w:left w:val="none" w:sz="0" w:space="0" w:color="auto"/>
        <w:bottom w:val="none" w:sz="0" w:space="0" w:color="auto"/>
        <w:right w:val="none" w:sz="0" w:space="0" w:color="auto"/>
      </w:divBdr>
    </w:div>
    <w:div w:id="1545680120">
      <w:bodyDiv w:val="1"/>
      <w:marLeft w:val="0"/>
      <w:marRight w:val="0"/>
      <w:marTop w:val="0"/>
      <w:marBottom w:val="0"/>
      <w:divBdr>
        <w:top w:val="none" w:sz="0" w:space="0" w:color="auto"/>
        <w:left w:val="none" w:sz="0" w:space="0" w:color="auto"/>
        <w:bottom w:val="none" w:sz="0" w:space="0" w:color="auto"/>
        <w:right w:val="none" w:sz="0" w:space="0" w:color="auto"/>
      </w:divBdr>
    </w:div>
    <w:div w:id="1560241052">
      <w:bodyDiv w:val="1"/>
      <w:marLeft w:val="0"/>
      <w:marRight w:val="0"/>
      <w:marTop w:val="0"/>
      <w:marBottom w:val="0"/>
      <w:divBdr>
        <w:top w:val="none" w:sz="0" w:space="0" w:color="auto"/>
        <w:left w:val="none" w:sz="0" w:space="0" w:color="auto"/>
        <w:bottom w:val="none" w:sz="0" w:space="0" w:color="auto"/>
        <w:right w:val="none" w:sz="0" w:space="0" w:color="auto"/>
      </w:divBdr>
    </w:div>
    <w:div w:id="1735007585">
      <w:bodyDiv w:val="1"/>
      <w:marLeft w:val="0"/>
      <w:marRight w:val="0"/>
      <w:marTop w:val="0"/>
      <w:marBottom w:val="0"/>
      <w:divBdr>
        <w:top w:val="none" w:sz="0" w:space="0" w:color="auto"/>
        <w:left w:val="none" w:sz="0" w:space="0" w:color="auto"/>
        <w:bottom w:val="none" w:sz="0" w:space="0" w:color="auto"/>
        <w:right w:val="none" w:sz="0" w:space="0" w:color="auto"/>
      </w:divBdr>
    </w:div>
    <w:div w:id="196608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F52D1-ECFF-4A3A-95E5-AA9D846A8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9</Pages>
  <Words>7461</Words>
  <Characters>42533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20</cp:revision>
  <dcterms:created xsi:type="dcterms:W3CDTF">2016-12-20T20:10:00Z</dcterms:created>
  <dcterms:modified xsi:type="dcterms:W3CDTF">2017-05-15T10:22:00Z</dcterms:modified>
</cp:coreProperties>
</file>