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0F3" w:rsidRDefault="000070F3" w:rsidP="000070F3">
      <w:pPr>
        <w:spacing w:after="0" w:line="240" w:lineRule="auto"/>
        <w:rPr>
          <w:rFonts w:ascii="Times New Roman" w:hAnsi="Times New Roman"/>
          <w:bCs/>
          <w:sz w:val="24"/>
          <w:szCs w:val="24"/>
        </w:rPr>
      </w:pPr>
      <w:r>
        <w:rPr>
          <w:rFonts w:ascii="Times New Roman" w:hAnsi="Times New Roman"/>
          <w:bCs/>
          <w:sz w:val="24"/>
          <w:szCs w:val="24"/>
        </w:rPr>
        <w:t xml:space="preserve">Malaysian Journal of Analytical </w:t>
      </w:r>
      <w:r w:rsidR="00AF3B09">
        <w:rPr>
          <w:rFonts w:ascii="Times New Roman" w:hAnsi="Times New Roman"/>
          <w:bCs/>
          <w:sz w:val="24"/>
          <w:szCs w:val="24"/>
        </w:rPr>
        <w:t>Sciences Vol 21 No 3 (2017): 585 - 596</w:t>
      </w:r>
      <w:bookmarkStart w:id="0" w:name="_GoBack"/>
      <w:bookmarkEnd w:id="0"/>
    </w:p>
    <w:p w:rsidR="000070F3" w:rsidRDefault="000070F3" w:rsidP="000070F3">
      <w:pPr>
        <w:spacing w:after="0" w:line="240" w:lineRule="auto"/>
        <w:rPr>
          <w:rFonts w:ascii="Times New Roman" w:hAnsi="Times New Roman"/>
          <w:bCs/>
          <w:sz w:val="24"/>
          <w:szCs w:val="24"/>
        </w:rPr>
      </w:pPr>
    </w:p>
    <w:p w:rsidR="000070F3" w:rsidRDefault="000070F3" w:rsidP="000070F3">
      <w:pPr>
        <w:spacing w:after="0" w:line="240" w:lineRule="auto"/>
        <w:rPr>
          <w:rFonts w:ascii="Times New Roman" w:hAnsi="Times New Roman"/>
          <w:bCs/>
          <w:sz w:val="24"/>
          <w:szCs w:val="24"/>
        </w:rPr>
      </w:pPr>
    </w:p>
    <w:p w:rsidR="000070F3" w:rsidRPr="000070F3" w:rsidRDefault="000070F3" w:rsidP="000070F3">
      <w:pPr>
        <w:spacing w:after="0" w:line="240" w:lineRule="auto"/>
        <w:rPr>
          <w:rFonts w:ascii="Times New Roman" w:hAnsi="Times New Roman"/>
          <w:bCs/>
          <w:sz w:val="24"/>
          <w:szCs w:val="24"/>
        </w:rPr>
      </w:pPr>
    </w:p>
    <w:p w:rsidR="000070F3" w:rsidRPr="007C5172" w:rsidRDefault="000070F3" w:rsidP="000070F3">
      <w:pPr>
        <w:spacing w:after="0" w:line="240" w:lineRule="auto"/>
        <w:jc w:val="center"/>
        <w:rPr>
          <w:rFonts w:ascii="Times New Roman" w:hAnsi="Times New Roman"/>
          <w:bCs/>
          <w:sz w:val="28"/>
          <w:szCs w:val="28"/>
        </w:rPr>
      </w:pPr>
      <w:r w:rsidRPr="007C5172">
        <w:rPr>
          <w:rFonts w:ascii="Times New Roman" w:hAnsi="Times New Roman"/>
          <w:bCs/>
          <w:sz w:val="28"/>
          <w:szCs w:val="28"/>
        </w:rPr>
        <w:t>THE ANALYSIS OF</w:t>
      </w:r>
      <w:r>
        <w:rPr>
          <w:rFonts w:ascii="Times New Roman" w:hAnsi="Times New Roman"/>
          <w:bCs/>
          <w:sz w:val="28"/>
          <w:szCs w:val="28"/>
        </w:rPr>
        <w:t xml:space="preserve"> THERMAL DECOMPOSITION PRODUCTS </w:t>
      </w:r>
      <w:r w:rsidRPr="007C5172">
        <w:rPr>
          <w:rFonts w:ascii="Times New Roman" w:hAnsi="Times New Roman"/>
          <w:bCs/>
          <w:sz w:val="28"/>
          <w:szCs w:val="28"/>
        </w:rPr>
        <w:t>GENERATED FROM PORCINE TISSUES EXPOSED TO OUTDOOR BURNING CONDITIONS</w:t>
      </w:r>
    </w:p>
    <w:p w:rsidR="000070F3" w:rsidRPr="00C264B8" w:rsidRDefault="000070F3" w:rsidP="000070F3">
      <w:pPr>
        <w:spacing w:after="0" w:line="240" w:lineRule="auto"/>
        <w:jc w:val="center"/>
        <w:rPr>
          <w:rFonts w:ascii="Times New Roman" w:hAnsi="Times New Roman"/>
          <w:b/>
          <w:bCs/>
          <w:sz w:val="24"/>
          <w:szCs w:val="24"/>
        </w:rPr>
      </w:pPr>
    </w:p>
    <w:p w:rsidR="000070F3" w:rsidRPr="007C5172" w:rsidRDefault="000070F3" w:rsidP="000070F3">
      <w:pPr>
        <w:spacing w:after="0" w:line="240" w:lineRule="auto"/>
        <w:jc w:val="center"/>
        <w:rPr>
          <w:rFonts w:ascii="Times New Roman" w:hAnsi="Times New Roman"/>
          <w:bCs/>
          <w:sz w:val="24"/>
          <w:szCs w:val="24"/>
        </w:rPr>
      </w:pPr>
      <w:r w:rsidRPr="007C5172">
        <w:rPr>
          <w:rFonts w:ascii="Times New Roman" w:hAnsi="Times New Roman"/>
          <w:bCs/>
          <w:sz w:val="24"/>
          <w:szCs w:val="24"/>
        </w:rPr>
        <w:t>(Analisis Produk Penguraian Haba</w:t>
      </w:r>
      <w:r>
        <w:rPr>
          <w:rFonts w:ascii="Times New Roman" w:hAnsi="Times New Roman"/>
          <w:bCs/>
          <w:sz w:val="24"/>
          <w:szCs w:val="24"/>
        </w:rPr>
        <w:t xml:space="preserve"> Yang Terhasil Daripada Tisu Khinzir Yang Terdedah Kepada Pembakaran</w:t>
      </w:r>
      <w:r w:rsidRPr="007C5172">
        <w:rPr>
          <w:rFonts w:ascii="Times New Roman" w:hAnsi="Times New Roman"/>
          <w:bCs/>
          <w:sz w:val="24"/>
          <w:szCs w:val="24"/>
        </w:rPr>
        <w:t xml:space="preserve"> Terbuka)</w:t>
      </w:r>
    </w:p>
    <w:p w:rsidR="000070F3" w:rsidRPr="00C264B8" w:rsidRDefault="000070F3" w:rsidP="000070F3">
      <w:pPr>
        <w:spacing w:after="0" w:line="240" w:lineRule="auto"/>
        <w:jc w:val="center"/>
        <w:rPr>
          <w:rFonts w:ascii="Times New Roman" w:hAnsi="Times New Roman"/>
          <w:bCs/>
          <w:sz w:val="20"/>
          <w:szCs w:val="20"/>
        </w:rPr>
      </w:pPr>
    </w:p>
    <w:p w:rsidR="000070F3" w:rsidRPr="00FF435B" w:rsidRDefault="000070F3" w:rsidP="000070F3">
      <w:pPr>
        <w:spacing w:after="0" w:line="240" w:lineRule="auto"/>
        <w:jc w:val="center"/>
        <w:rPr>
          <w:rFonts w:ascii="Times New Roman" w:hAnsi="Times New Roman"/>
          <w:bCs/>
          <w:sz w:val="20"/>
          <w:szCs w:val="20"/>
        </w:rPr>
      </w:pPr>
      <w:r w:rsidRPr="007C5172">
        <w:rPr>
          <w:rFonts w:ascii="Times New Roman" w:hAnsi="Times New Roman"/>
          <w:bCs/>
          <w:sz w:val="20"/>
          <w:szCs w:val="20"/>
        </w:rPr>
        <w:t xml:space="preserve"> Gina Francesca Gabriel, Azima Ismail, Atiah Ayuni, Khairul Osman</w:t>
      </w:r>
      <w:r>
        <w:rPr>
          <w:rFonts w:ascii="Times New Roman" w:hAnsi="Times New Roman"/>
          <w:bCs/>
          <w:sz w:val="20"/>
          <w:szCs w:val="20"/>
        </w:rPr>
        <w:t xml:space="preserve">, </w:t>
      </w:r>
      <w:r w:rsidRPr="007C5172">
        <w:rPr>
          <w:rFonts w:ascii="Times New Roman" w:hAnsi="Times New Roman"/>
          <w:bCs/>
          <w:sz w:val="20"/>
          <w:szCs w:val="20"/>
        </w:rPr>
        <w:t>Noor Hazfalinda Hamzah</w:t>
      </w:r>
      <w:r w:rsidRPr="00FF435B">
        <w:rPr>
          <w:rFonts w:ascii="Times New Roman" w:hAnsi="Times New Roman"/>
          <w:bCs/>
          <w:sz w:val="20"/>
          <w:szCs w:val="20"/>
        </w:rPr>
        <w:t>*</w:t>
      </w:r>
    </w:p>
    <w:p w:rsidR="000070F3" w:rsidRPr="000070F3" w:rsidRDefault="000070F3" w:rsidP="000070F3">
      <w:pPr>
        <w:spacing w:after="0" w:line="240" w:lineRule="auto"/>
        <w:jc w:val="center"/>
        <w:rPr>
          <w:rFonts w:ascii="Times New Roman" w:hAnsi="Times New Roman"/>
          <w:noProof/>
          <w:sz w:val="20"/>
          <w:szCs w:val="20"/>
          <w:lang w:bidi="ar-SA"/>
        </w:rPr>
      </w:pPr>
    </w:p>
    <w:p w:rsidR="000070F3" w:rsidRPr="000070F3" w:rsidRDefault="000070F3" w:rsidP="000070F3">
      <w:pPr>
        <w:spacing w:after="0" w:line="240" w:lineRule="auto"/>
        <w:jc w:val="center"/>
        <w:rPr>
          <w:rFonts w:ascii="Times New Roman" w:hAnsi="Times New Roman"/>
          <w:bCs/>
          <w:i/>
          <w:sz w:val="20"/>
          <w:szCs w:val="20"/>
        </w:rPr>
      </w:pPr>
      <w:r w:rsidRPr="000070F3">
        <w:rPr>
          <w:rFonts w:ascii="Times New Roman" w:hAnsi="Times New Roman"/>
          <w:bCs/>
          <w:i/>
          <w:sz w:val="20"/>
          <w:szCs w:val="20"/>
        </w:rPr>
        <w:t xml:space="preserve">Forensic Science Program, Faculty of Health Sciences, </w:t>
      </w:r>
    </w:p>
    <w:p w:rsidR="000070F3" w:rsidRPr="000070F3" w:rsidRDefault="000070F3" w:rsidP="000070F3">
      <w:pPr>
        <w:spacing w:after="0" w:line="240" w:lineRule="auto"/>
        <w:jc w:val="center"/>
        <w:rPr>
          <w:rFonts w:ascii="Times New Roman" w:hAnsi="Times New Roman"/>
          <w:bCs/>
          <w:i/>
          <w:sz w:val="20"/>
          <w:szCs w:val="20"/>
          <w:lang w:val="fr-FR"/>
        </w:rPr>
      </w:pPr>
      <w:r w:rsidRPr="000070F3">
        <w:rPr>
          <w:rFonts w:ascii="Times New Roman" w:hAnsi="Times New Roman"/>
          <w:bCs/>
          <w:i/>
          <w:sz w:val="20"/>
          <w:szCs w:val="20"/>
          <w:lang w:val="fr-FR"/>
        </w:rPr>
        <w:t>Universiti Kebangsaan Malaysia, 43600 UKM Bangi, Selangor, Malaysia</w:t>
      </w:r>
    </w:p>
    <w:p w:rsidR="000070F3" w:rsidRPr="000070F3" w:rsidRDefault="000070F3" w:rsidP="000070F3">
      <w:pPr>
        <w:spacing w:after="0" w:line="240" w:lineRule="auto"/>
        <w:jc w:val="center"/>
        <w:rPr>
          <w:rFonts w:ascii="Times New Roman" w:hAnsi="Times New Roman"/>
          <w:noProof/>
          <w:sz w:val="20"/>
          <w:szCs w:val="20"/>
          <w:lang w:val="fr-FR" w:bidi="ar-SA"/>
        </w:rPr>
      </w:pPr>
    </w:p>
    <w:p w:rsidR="000070F3" w:rsidRPr="000070F3" w:rsidRDefault="000070F3" w:rsidP="000070F3">
      <w:pPr>
        <w:spacing w:after="0" w:line="240" w:lineRule="auto"/>
        <w:jc w:val="center"/>
        <w:rPr>
          <w:rFonts w:ascii="Times New Roman" w:hAnsi="Times New Roman"/>
          <w:i/>
          <w:noProof/>
          <w:sz w:val="20"/>
          <w:szCs w:val="20"/>
          <w:lang w:bidi="ar-SA"/>
        </w:rPr>
      </w:pPr>
      <w:r w:rsidRPr="000070F3">
        <w:rPr>
          <w:rFonts w:ascii="Times New Roman" w:hAnsi="Times New Roman"/>
          <w:i/>
          <w:noProof/>
          <w:sz w:val="20"/>
          <w:szCs w:val="20"/>
          <w:lang w:bidi="ar-SA"/>
        </w:rPr>
        <w:t xml:space="preserve">*Corresponding author: </w:t>
      </w:r>
      <w:r w:rsidRPr="000070F3">
        <w:rPr>
          <w:rFonts w:ascii="Times New Roman" w:hAnsi="Times New Roman"/>
          <w:bCs/>
          <w:i/>
          <w:sz w:val="20"/>
          <w:szCs w:val="20"/>
        </w:rPr>
        <w:t>raviera@yahoo.com</w:t>
      </w:r>
    </w:p>
    <w:p w:rsidR="000070F3" w:rsidRPr="000070F3" w:rsidRDefault="000070F3" w:rsidP="000070F3">
      <w:pPr>
        <w:spacing w:after="0" w:line="240" w:lineRule="auto"/>
        <w:jc w:val="center"/>
        <w:rPr>
          <w:rFonts w:ascii="Times New Roman" w:hAnsi="Times New Roman"/>
          <w:noProof/>
          <w:sz w:val="20"/>
          <w:szCs w:val="20"/>
          <w:lang w:bidi="ar-SA"/>
        </w:rPr>
      </w:pPr>
    </w:p>
    <w:p w:rsidR="000070F3" w:rsidRPr="000070F3" w:rsidRDefault="000070F3" w:rsidP="000070F3">
      <w:pPr>
        <w:spacing w:after="0" w:line="240" w:lineRule="auto"/>
        <w:jc w:val="center"/>
        <w:rPr>
          <w:rFonts w:ascii="Times New Roman" w:hAnsi="Times New Roman"/>
          <w:noProof/>
          <w:sz w:val="20"/>
          <w:szCs w:val="20"/>
          <w:lang w:bidi="ar-SA"/>
        </w:rPr>
      </w:pPr>
    </w:p>
    <w:p w:rsidR="000070F3" w:rsidRPr="000070F3" w:rsidRDefault="000070F3" w:rsidP="000070F3">
      <w:pPr>
        <w:spacing w:after="0" w:line="240" w:lineRule="auto"/>
        <w:jc w:val="center"/>
        <w:rPr>
          <w:rFonts w:ascii="Times New Roman" w:hAnsi="Times New Roman"/>
          <w:noProof/>
          <w:sz w:val="20"/>
          <w:szCs w:val="20"/>
          <w:lang w:bidi="ar-SA"/>
        </w:rPr>
      </w:pPr>
      <w:r w:rsidRPr="000070F3">
        <w:rPr>
          <w:rFonts w:ascii="Times New Roman" w:hAnsi="Times New Roman"/>
          <w:noProof/>
          <w:sz w:val="20"/>
          <w:szCs w:val="20"/>
          <w:lang w:bidi="ar-SA"/>
        </w:rPr>
        <w:t>Received: 28 August 2016; Accepted: 16 March 2017</w:t>
      </w:r>
    </w:p>
    <w:p w:rsidR="000070F3" w:rsidRPr="000070F3" w:rsidRDefault="000070F3" w:rsidP="000070F3">
      <w:pPr>
        <w:spacing w:after="0" w:line="240" w:lineRule="auto"/>
        <w:jc w:val="center"/>
        <w:rPr>
          <w:rFonts w:ascii="Times New Roman" w:hAnsi="Times New Roman"/>
          <w:noProof/>
          <w:sz w:val="20"/>
          <w:szCs w:val="20"/>
          <w:lang w:bidi="ar-SA"/>
        </w:rPr>
      </w:pPr>
    </w:p>
    <w:p w:rsidR="000070F3" w:rsidRPr="000070F3" w:rsidRDefault="000070F3" w:rsidP="000070F3">
      <w:pPr>
        <w:spacing w:after="0" w:line="240" w:lineRule="auto"/>
        <w:jc w:val="center"/>
        <w:rPr>
          <w:rFonts w:ascii="Times New Roman" w:hAnsi="Times New Roman"/>
          <w:noProof/>
          <w:sz w:val="20"/>
          <w:szCs w:val="20"/>
          <w:lang w:bidi="ar-SA"/>
        </w:rPr>
      </w:pPr>
    </w:p>
    <w:p w:rsidR="000070F3" w:rsidRPr="000070F3" w:rsidRDefault="000070F3" w:rsidP="000070F3">
      <w:pPr>
        <w:spacing w:after="0" w:line="240" w:lineRule="auto"/>
        <w:jc w:val="center"/>
        <w:rPr>
          <w:rFonts w:ascii="Times New Roman" w:hAnsi="Times New Roman"/>
          <w:b/>
          <w:noProof/>
          <w:sz w:val="20"/>
          <w:szCs w:val="20"/>
          <w:lang w:bidi="ar-SA"/>
        </w:rPr>
      </w:pPr>
      <w:r w:rsidRPr="000070F3">
        <w:rPr>
          <w:rFonts w:ascii="Times New Roman" w:hAnsi="Times New Roman"/>
          <w:b/>
          <w:noProof/>
          <w:sz w:val="20"/>
          <w:szCs w:val="20"/>
          <w:lang w:bidi="ar-SA"/>
        </w:rPr>
        <w:t>Abstract</w:t>
      </w:r>
    </w:p>
    <w:p w:rsidR="000070F3" w:rsidRPr="000070F3" w:rsidRDefault="000070F3" w:rsidP="000070F3">
      <w:pPr>
        <w:spacing w:after="0" w:line="240" w:lineRule="auto"/>
        <w:jc w:val="both"/>
        <w:rPr>
          <w:rFonts w:ascii="Times New Roman" w:hAnsi="Times New Roman"/>
          <w:bCs/>
          <w:sz w:val="20"/>
          <w:szCs w:val="20"/>
        </w:rPr>
      </w:pPr>
      <w:r w:rsidRPr="000070F3">
        <w:rPr>
          <w:rFonts w:ascii="Times New Roman" w:hAnsi="Times New Roman"/>
          <w:bCs/>
          <w:sz w:val="20"/>
          <w:szCs w:val="20"/>
        </w:rPr>
        <w:t xml:space="preserve">Volatile products commonly known as pyrolytic products, are thermal decomposition products generated from the various fuels that are present at a fire scene due to heat exposure. When a fire scene involves human remains, the volatile species generated from the remains can be mistaken with others residues due to the presence of interfering products or ignitable liquid residues from the fire scene. Knowledge of the type of products generated from human remains in real life fire scenarios is crucial under these circumstances. Thus, this study was executed to test the robustness and validity of the pyrolytic data generated from porcine tissue under indoor laboratory burning conditions to those generated under outdoor burning conditions. Porcine bone samples were burnt under outdoor conditions until the ignition of fat occurred (temperatures exceeding 250 °C). The pyrolytic products generated were absorbed onto activated carbon tablets that were incubated in an oven for 16 hours at 80 °C and then desorbed with pentane and injected into the Gas Chromatography-Mass Spectrometry (GC-MS). The 60 pyrolytic profiles obtained were in the range of </w:t>
      </w:r>
      <w:r w:rsidRPr="000070F3">
        <w:rPr>
          <w:rFonts w:ascii="Times New Roman" w:hAnsi="Times New Roman"/>
          <w:bCs/>
          <w:i/>
          <w:sz w:val="20"/>
          <w:szCs w:val="20"/>
        </w:rPr>
        <w:t>n-</w:t>
      </w:r>
      <w:r w:rsidRPr="000070F3">
        <w:rPr>
          <w:rFonts w:ascii="Times New Roman" w:hAnsi="Times New Roman"/>
          <w:bCs/>
          <w:sz w:val="20"/>
          <w:szCs w:val="20"/>
        </w:rPr>
        <w:t xml:space="preserve">alkanes, </w:t>
      </w:r>
      <w:r w:rsidRPr="000070F3">
        <w:rPr>
          <w:rFonts w:ascii="Times New Roman" w:hAnsi="Times New Roman"/>
          <w:bCs/>
          <w:i/>
          <w:sz w:val="20"/>
          <w:szCs w:val="20"/>
        </w:rPr>
        <w:t>n-</w:t>
      </w:r>
      <w:r w:rsidRPr="000070F3">
        <w:rPr>
          <w:rFonts w:ascii="Times New Roman" w:hAnsi="Times New Roman"/>
          <w:bCs/>
          <w:sz w:val="20"/>
          <w:szCs w:val="20"/>
        </w:rPr>
        <w:t>alkenes</w:t>
      </w:r>
      <w:r w:rsidRPr="000070F3">
        <w:rPr>
          <w:rFonts w:ascii="Times New Roman" w:hAnsi="Times New Roman"/>
          <w:bCs/>
          <w:i/>
          <w:sz w:val="20"/>
          <w:szCs w:val="20"/>
        </w:rPr>
        <w:t>, n-</w:t>
      </w:r>
      <w:r w:rsidRPr="000070F3">
        <w:rPr>
          <w:rFonts w:ascii="Times New Roman" w:hAnsi="Times New Roman"/>
          <w:bCs/>
          <w:sz w:val="20"/>
          <w:szCs w:val="20"/>
        </w:rPr>
        <w:t xml:space="preserve">aldehydes, aromatics and nitriles, similar to those obtained from the indoor laboratory burning data but with the additional presence of </w:t>
      </w:r>
      <w:r w:rsidRPr="000070F3">
        <w:rPr>
          <w:rFonts w:ascii="Times New Roman" w:hAnsi="Times New Roman"/>
          <w:bCs/>
          <w:i/>
          <w:sz w:val="20"/>
          <w:szCs w:val="20"/>
        </w:rPr>
        <w:t>n</w:t>
      </w:r>
      <w:r w:rsidRPr="000070F3">
        <w:rPr>
          <w:rFonts w:ascii="Times New Roman" w:hAnsi="Times New Roman"/>
          <w:bCs/>
          <w:sz w:val="20"/>
          <w:szCs w:val="20"/>
        </w:rPr>
        <w:t>-aldehydes. Results from this study has indicated that the human pyrolytic data model generated indoors is a good representative of outdoor burning conditions and has also successfully clarified the inconsistencies in terms of the presence and absence of</w:t>
      </w:r>
      <w:r w:rsidRPr="000070F3">
        <w:rPr>
          <w:rFonts w:ascii="Times New Roman" w:hAnsi="Times New Roman"/>
          <w:bCs/>
          <w:i/>
          <w:sz w:val="20"/>
          <w:szCs w:val="20"/>
        </w:rPr>
        <w:t xml:space="preserve"> n</w:t>
      </w:r>
      <w:r w:rsidRPr="000070F3">
        <w:rPr>
          <w:rFonts w:ascii="Times New Roman" w:hAnsi="Times New Roman"/>
          <w:bCs/>
          <w:sz w:val="20"/>
          <w:szCs w:val="20"/>
        </w:rPr>
        <w:t>-aldehydes from porcine and human pyrolytic data.</w:t>
      </w:r>
    </w:p>
    <w:p w:rsidR="000070F3" w:rsidRPr="000070F3" w:rsidRDefault="000070F3" w:rsidP="000070F3">
      <w:pPr>
        <w:spacing w:after="0" w:line="240" w:lineRule="auto"/>
        <w:jc w:val="both"/>
        <w:rPr>
          <w:rFonts w:ascii="Times New Roman" w:hAnsi="Times New Roman"/>
          <w:bCs/>
          <w:sz w:val="20"/>
          <w:szCs w:val="20"/>
        </w:rPr>
      </w:pPr>
    </w:p>
    <w:p w:rsidR="000070F3" w:rsidRPr="000070F3" w:rsidRDefault="000070F3" w:rsidP="000070F3">
      <w:pPr>
        <w:spacing w:after="0" w:line="240" w:lineRule="auto"/>
        <w:ind w:left="990" w:hanging="990"/>
        <w:jc w:val="both"/>
        <w:rPr>
          <w:rFonts w:ascii="Times New Roman" w:hAnsi="Times New Roman"/>
          <w:bCs/>
          <w:sz w:val="20"/>
          <w:szCs w:val="20"/>
        </w:rPr>
      </w:pPr>
      <w:r w:rsidRPr="000070F3">
        <w:rPr>
          <w:rFonts w:ascii="Times New Roman" w:hAnsi="Times New Roman"/>
          <w:b/>
          <w:bCs/>
          <w:sz w:val="20"/>
          <w:szCs w:val="20"/>
        </w:rPr>
        <w:t xml:space="preserve">Keywords: </w:t>
      </w:r>
      <w:r w:rsidRPr="000070F3">
        <w:rPr>
          <w:rFonts w:ascii="Times New Roman" w:hAnsi="Times New Roman"/>
          <w:b/>
          <w:bCs/>
          <w:sz w:val="20"/>
          <w:szCs w:val="20"/>
        </w:rPr>
        <w:tab/>
      </w:r>
      <w:r w:rsidRPr="000070F3">
        <w:rPr>
          <w:rFonts w:ascii="Times New Roman" w:hAnsi="Times New Roman"/>
          <w:bCs/>
          <w:sz w:val="20"/>
          <w:szCs w:val="20"/>
        </w:rPr>
        <w:t>thermal decomposition, porcine bone, pyrolytic products, activated carbon tablet, gas chromatography-mass spectrometry</w:t>
      </w:r>
    </w:p>
    <w:p w:rsidR="000070F3" w:rsidRPr="000070F3" w:rsidRDefault="000070F3" w:rsidP="000070F3">
      <w:pPr>
        <w:spacing w:after="0" w:line="240" w:lineRule="auto"/>
        <w:jc w:val="center"/>
        <w:rPr>
          <w:rFonts w:ascii="Times New Roman" w:hAnsi="Times New Roman"/>
          <w:noProof/>
          <w:sz w:val="20"/>
          <w:szCs w:val="20"/>
          <w:lang w:bidi="ar-SA"/>
        </w:rPr>
      </w:pPr>
    </w:p>
    <w:p w:rsidR="000070F3" w:rsidRPr="000070F3" w:rsidRDefault="000070F3" w:rsidP="000070F3">
      <w:pPr>
        <w:spacing w:after="0" w:line="240" w:lineRule="auto"/>
        <w:jc w:val="center"/>
        <w:rPr>
          <w:rFonts w:ascii="Times New Roman" w:hAnsi="Times New Roman"/>
          <w:b/>
          <w:bCs/>
          <w:noProof/>
          <w:sz w:val="20"/>
          <w:szCs w:val="20"/>
        </w:rPr>
      </w:pPr>
      <w:r w:rsidRPr="000070F3">
        <w:rPr>
          <w:rFonts w:ascii="Times New Roman" w:hAnsi="Times New Roman"/>
          <w:b/>
          <w:bCs/>
          <w:noProof/>
          <w:sz w:val="20"/>
          <w:szCs w:val="20"/>
        </w:rPr>
        <w:t>Abstrak</w:t>
      </w:r>
    </w:p>
    <w:p w:rsidR="000070F3" w:rsidRPr="000070F3" w:rsidRDefault="000070F3" w:rsidP="000070F3">
      <w:pPr>
        <w:spacing w:after="0" w:line="240" w:lineRule="auto"/>
        <w:jc w:val="both"/>
        <w:rPr>
          <w:rFonts w:ascii="Times New Roman" w:hAnsi="Times New Roman"/>
          <w:bCs/>
          <w:noProof/>
          <w:sz w:val="20"/>
          <w:szCs w:val="20"/>
        </w:rPr>
      </w:pPr>
      <w:r w:rsidRPr="000070F3">
        <w:rPr>
          <w:rFonts w:ascii="Times New Roman" w:hAnsi="Times New Roman"/>
          <w:bCs/>
          <w:noProof/>
          <w:sz w:val="20"/>
          <w:szCs w:val="20"/>
        </w:rPr>
        <w:t xml:space="preserve">Sebatian meruap mudah kebiasaannya dikenali sebagai produk pirolitik merupakan produk penguraian menggunakan haba yang terhasil daripada pelbagai jenis bahan api yang terdapat di sekitar kawasan kebakaran disebabkan oleh pendedahan kepada haba. Apabila terdapat sisa kebakaran yang melibatkan tulang manusia, spesis sebatian mudah meruap yang dikesan boleh disalah anggap dengan sisa lain disebabkan produk luar atau pun sisa cecair mudah terbakar. Oleh yang demikian, kajian ini bertujuan untuk mengenalpasti ketepatan dan kesahihan data pirolitik yang terhasil daripada tisu khinzir melalui pembakaran secara tertutup di dalam makmal dengan pembakaran secara terbuka. Tulang khinzir dibakar secara terbuka sehingga suhu nyalaan pembakaran lemak tulang berlaku (suhu melebihi 250 °C). Produk pirolisis yang dijana diserap menggunakan penjerapan karbon teraktif </w:t>
      </w:r>
      <w:r w:rsidRPr="000070F3">
        <w:rPr>
          <w:rFonts w:ascii="Times New Roman" w:hAnsi="Times New Roman"/>
          <w:bCs/>
          <w:noProof/>
          <w:sz w:val="20"/>
          <w:szCs w:val="20"/>
        </w:rPr>
        <w:lastRenderedPageBreak/>
        <w:t>dalam bentuk tablet dengan menggunakan inkubator selama 16 jam pada suhu 80 °C dan seterusnya dinyaherap dengan pentana dan dianalisis menggunakan Kromatografi Gas-Spektrometri Jisim</w:t>
      </w:r>
      <w:r w:rsidRPr="000070F3">
        <w:rPr>
          <w:rFonts w:ascii="Times New Roman" w:hAnsi="Times New Roman"/>
          <w:b/>
          <w:bCs/>
          <w:noProof/>
          <w:sz w:val="20"/>
          <w:szCs w:val="20"/>
        </w:rPr>
        <w:t xml:space="preserve"> </w:t>
      </w:r>
      <w:r w:rsidRPr="000070F3">
        <w:rPr>
          <w:rFonts w:ascii="Times New Roman" w:hAnsi="Times New Roman"/>
          <w:bCs/>
          <w:noProof/>
          <w:sz w:val="20"/>
          <w:szCs w:val="20"/>
        </w:rPr>
        <w:t xml:space="preserve">(GC-MS). Sejumlah 60 jenis produk pirolitik yang terhasil adalah sebatian kompaun </w:t>
      </w:r>
      <w:r w:rsidRPr="000070F3">
        <w:rPr>
          <w:rFonts w:ascii="Times New Roman" w:hAnsi="Times New Roman"/>
          <w:bCs/>
          <w:i/>
          <w:noProof/>
          <w:sz w:val="20"/>
          <w:szCs w:val="20"/>
        </w:rPr>
        <w:t>n-</w:t>
      </w:r>
      <w:r w:rsidRPr="000070F3">
        <w:rPr>
          <w:rFonts w:ascii="Times New Roman" w:hAnsi="Times New Roman"/>
          <w:bCs/>
          <w:noProof/>
          <w:sz w:val="20"/>
          <w:szCs w:val="20"/>
        </w:rPr>
        <w:t xml:space="preserve">alkana, </w:t>
      </w:r>
      <w:r w:rsidRPr="000070F3">
        <w:rPr>
          <w:rFonts w:ascii="Times New Roman" w:hAnsi="Times New Roman"/>
          <w:bCs/>
          <w:i/>
          <w:noProof/>
          <w:sz w:val="20"/>
          <w:szCs w:val="20"/>
        </w:rPr>
        <w:t>n-</w:t>
      </w:r>
      <w:r w:rsidRPr="000070F3">
        <w:rPr>
          <w:rFonts w:ascii="Times New Roman" w:hAnsi="Times New Roman"/>
          <w:bCs/>
          <w:noProof/>
          <w:sz w:val="20"/>
          <w:szCs w:val="20"/>
        </w:rPr>
        <w:t>alkena</w:t>
      </w:r>
      <w:r w:rsidRPr="000070F3">
        <w:rPr>
          <w:rFonts w:ascii="Times New Roman" w:hAnsi="Times New Roman"/>
          <w:bCs/>
          <w:i/>
          <w:noProof/>
          <w:sz w:val="20"/>
          <w:szCs w:val="20"/>
        </w:rPr>
        <w:t>, n-</w:t>
      </w:r>
      <w:r w:rsidRPr="000070F3">
        <w:rPr>
          <w:rFonts w:ascii="Times New Roman" w:hAnsi="Times New Roman"/>
          <w:bCs/>
          <w:noProof/>
          <w:sz w:val="20"/>
          <w:szCs w:val="20"/>
        </w:rPr>
        <w:t xml:space="preserve">aldehid, aromatik dan sebatian nitril. Produk yang terhasil adalah sama dengan data pembakaran di dalam makmal tetapi dengan penambahan kehadiran </w:t>
      </w:r>
      <w:r w:rsidRPr="000070F3">
        <w:rPr>
          <w:rFonts w:ascii="Times New Roman" w:hAnsi="Times New Roman"/>
          <w:bCs/>
          <w:i/>
          <w:noProof/>
          <w:sz w:val="20"/>
          <w:szCs w:val="20"/>
        </w:rPr>
        <w:t>n</w:t>
      </w:r>
      <w:r w:rsidRPr="000070F3">
        <w:rPr>
          <w:rFonts w:ascii="Times New Roman" w:hAnsi="Times New Roman"/>
          <w:bCs/>
          <w:noProof/>
          <w:sz w:val="20"/>
          <w:szCs w:val="20"/>
        </w:rPr>
        <w:t xml:space="preserve">-aldehid. Keputusan kajian ini menunjukkan bahawa model data pirolitik manusia yang terhasil daripada pembakaran dalam makmal boleh menjadi rujukan yang baik untuk situasi kebakaran terbuka, dan berjaya menjelaskan percanggahan dari segi kehadiran dan ketiadaan </w:t>
      </w:r>
      <w:r w:rsidRPr="000070F3">
        <w:rPr>
          <w:rFonts w:ascii="Times New Roman" w:hAnsi="Times New Roman"/>
          <w:bCs/>
          <w:i/>
          <w:noProof/>
          <w:sz w:val="20"/>
          <w:szCs w:val="20"/>
        </w:rPr>
        <w:t>n-</w:t>
      </w:r>
      <w:r w:rsidRPr="000070F3">
        <w:rPr>
          <w:rFonts w:ascii="Times New Roman" w:hAnsi="Times New Roman"/>
          <w:bCs/>
          <w:noProof/>
          <w:sz w:val="20"/>
          <w:szCs w:val="20"/>
        </w:rPr>
        <w:t xml:space="preserve">aldehid daripada data pirolitik khinzir dan manusia. </w:t>
      </w:r>
    </w:p>
    <w:p w:rsidR="000070F3" w:rsidRPr="000070F3" w:rsidRDefault="000070F3" w:rsidP="000070F3">
      <w:pPr>
        <w:spacing w:after="0" w:line="240" w:lineRule="auto"/>
        <w:rPr>
          <w:rFonts w:ascii="Times New Roman" w:hAnsi="Times New Roman"/>
          <w:b/>
          <w:bCs/>
          <w:sz w:val="20"/>
          <w:szCs w:val="20"/>
        </w:rPr>
      </w:pPr>
    </w:p>
    <w:p w:rsidR="00C5111A" w:rsidRDefault="000070F3" w:rsidP="000070F3">
      <w:pPr>
        <w:spacing w:after="0" w:line="240" w:lineRule="auto"/>
        <w:ind w:left="1080" w:hanging="1080"/>
        <w:jc w:val="both"/>
        <w:rPr>
          <w:rFonts w:ascii="Times New Roman" w:hAnsi="Times New Roman"/>
          <w:bCs/>
          <w:noProof/>
          <w:sz w:val="20"/>
          <w:szCs w:val="20"/>
          <w:lang w:val="ms-MY"/>
        </w:rPr>
      </w:pPr>
      <w:r w:rsidRPr="000070F3">
        <w:rPr>
          <w:rFonts w:ascii="Times New Roman" w:hAnsi="Times New Roman"/>
          <w:b/>
          <w:bCs/>
          <w:sz w:val="20"/>
          <w:szCs w:val="20"/>
        </w:rPr>
        <w:t xml:space="preserve">Kata kunci: </w:t>
      </w:r>
      <w:r w:rsidRPr="000070F3">
        <w:rPr>
          <w:rFonts w:ascii="Times New Roman" w:hAnsi="Times New Roman"/>
          <w:bCs/>
          <w:noProof/>
          <w:sz w:val="20"/>
          <w:szCs w:val="20"/>
          <w:lang w:val="ms-MY"/>
        </w:rPr>
        <w:t>penguraian menggunakan haba, tulang khinzir, produk pirolitik, penjerapan karbon teraktif, kromatografi gas-spektrometri jisim</w:t>
      </w:r>
    </w:p>
    <w:p w:rsidR="000070F3" w:rsidRDefault="000070F3" w:rsidP="000070F3">
      <w:pPr>
        <w:spacing w:after="0" w:line="240" w:lineRule="auto"/>
        <w:ind w:left="1080" w:hanging="1080"/>
        <w:jc w:val="both"/>
        <w:rPr>
          <w:rFonts w:ascii="Times New Roman" w:hAnsi="Times New Roman"/>
          <w:sz w:val="20"/>
          <w:szCs w:val="20"/>
          <w:lang w:bidi="ar-SA"/>
        </w:rPr>
      </w:pPr>
    </w:p>
    <w:p w:rsidR="000070F3" w:rsidRPr="007C5172" w:rsidRDefault="000070F3" w:rsidP="000070F3">
      <w:pPr>
        <w:spacing w:after="0" w:line="240" w:lineRule="auto"/>
        <w:jc w:val="center"/>
        <w:rPr>
          <w:rFonts w:ascii="Times New Roman" w:hAnsi="Times New Roman"/>
          <w:b/>
          <w:noProof/>
          <w:sz w:val="20"/>
          <w:szCs w:val="20"/>
          <w:lang w:bidi="ar-SA"/>
        </w:rPr>
      </w:pPr>
      <w:r>
        <w:rPr>
          <w:rFonts w:ascii="Times New Roman" w:hAnsi="Times New Roman"/>
          <w:b/>
          <w:noProof/>
          <w:sz w:val="20"/>
          <w:szCs w:val="20"/>
          <w:lang w:bidi="ar-SA"/>
        </w:rPr>
        <w:t>References</w:t>
      </w:r>
    </w:p>
    <w:p w:rsidR="000070F3" w:rsidRDefault="000070F3" w:rsidP="000070F3">
      <w:pPr>
        <w:pStyle w:val="EndNoteBibliography"/>
        <w:numPr>
          <w:ilvl w:val="0"/>
          <w:numId w:val="1"/>
        </w:numPr>
        <w:spacing w:after="0"/>
        <w:ind w:left="360"/>
        <w:rPr>
          <w:rFonts w:ascii="Times New Roman" w:hAnsi="Times New Roman" w:cs="Times New Roman"/>
          <w:sz w:val="20"/>
          <w:szCs w:val="20"/>
        </w:rPr>
      </w:pPr>
      <w:r w:rsidRPr="007C5172">
        <w:rPr>
          <w:rFonts w:ascii="Times New Roman" w:hAnsi="Times New Roman" w:cs="Times New Roman"/>
          <w:sz w:val="20"/>
          <w:szCs w:val="20"/>
        </w:rPr>
        <w:t>Fanton, L., Jdeed, K., Tilhet-Coartet, S. and Malicier, D. (2006). Criminal Burning</w:t>
      </w:r>
      <w:r w:rsidRPr="007C5172">
        <w:rPr>
          <w:rFonts w:ascii="Times New Roman" w:hAnsi="Times New Roman" w:cs="Times New Roman"/>
          <w:i/>
          <w:sz w:val="20"/>
          <w:szCs w:val="20"/>
        </w:rPr>
        <w:t>.</w:t>
      </w:r>
      <w:r w:rsidRPr="007C5172">
        <w:rPr>
          <w:rFonts w:ascii="Times New Roman" w:hAnsi="Times New Roman" w:cs="Times New Roman"/>
          <w:sz w:val="20"/>
          <w:szCs w:val="20"/>
        </w:rPr>
        <w:t xml:space="preserve"> </w:t>
      </w:r>
      <w:r>
        <w:rPr>
          <w:rFonts w:ascii="Times New Roman" w:hAnsi="Times New Roman" w:cs="Times New Roman"/>
          <w:i/>
          <w:sz w:val="20"/>
          <w:szCs w:val="20"/>
        </w:rPr>
        <w:t>Forensic Science Institute,</w:t>
      </w:r>
      <w:r w:rsidRPr="007C5172">
        <w:rPr>
          <w:rFonts w:ascii="Times New Roman" w:hAnsi="Times New Roman" w:cs="Times New Roman"/>
          <w:sz w:val="20"/>
          <w:szCs w:val="20"/>
        </w:rPr>
        <w:t xml:space="preserve"> 158</w:t>
      </w:r>
      <w:r w:rsidRPr="007C5172">
        <w:rPr>
          <w:rFonts w:ascii="Times New Roman" w:hAnsi="Times New Roman" w:cs="Times New Roman"/>
          <w:b/>
          <w:sz w:val="20"/>
          <w:szCs w:val="20"/>
        </w:rPr>
        <w:t xml:space="preserve"> </w:t>
      </w:r>
      <w:r w:rsidRPr="007C5172">
        <w:rPr>
          <w:rFonts w:ascii="Times New Roman" w:hAnsi="Times New Roman" w:cs="Times New Roman"/>
          <w:sz w:val="20"/>
          <w:szCs w:val="20"/>
        </w:rPr>
        <w:t>(2-3): 87</w:t>
      </w:r>
      <w:r>
        <w:rPr>
          <w:rFonts w:ascii="Times New Roman" w:hAnsi="Times New Roman" w:cs="Times New Roman"/>
          <w:sz w:val="20"/>
          <w:szCs w:val="20"/>
        </w:rPr>
        <w:t xml:space="preserve"> – </w:t>
      </w:r>
      <w:r w:rsidRPr="007C5172">
        <w:rPr>
          <w:rFonts w:ascii="Times New Roman" w:hAnsi="Times New Roman" w:cs="Times New Roman"/>
          <w:sz w:val="20"/>
          <w:szCs w:val="20"/>
        </w:rPr>
        <w:t>93.</w:t>
      </w:r>
    </w:p>
    <w:p w:rsidR="000070F3" w:rsidRDefault="000070F3" w:rsidP="000070F3">
      <w:pPr>
        <w:pStyle w:val="EndNoteBibliography"/>
        <w:numPr>
          <w:ilvl w:val="0"/>
          <w:numId w:val="1"/>
        </w:numPr>
        <w:spacing w:after="0"/>
        <w:ind w:left="360"/>
        <w:rPr>
          <w:rFonts w:ascii="Times New Roman" w:hAnsi="Times New Roman" w:cs="Times New Roman"/>
          <w:sz w:val="20"/>
          <w:szCs w:val="20"/>
        </w:rPr>
      </w:pPr>
      <w:r w:rsidRPr="00511B85">
        <w:rPr>
          <w:rFonts w:ascii="Times New Roman" w:hAnsi="Times New Roman" w:cs="Times New Roman"/>
          <w:sz w:val="20"/>
          <w:szCs w:val="20"/>
        </w:rPr>
        <w:t xml:space="preserve">Porta, D., Poppa, P., Regazzola, V., Gibelli, D., Schillaci, D. R., Amadasi, A., Magli, F. and Cattaneo, C. (2013). The importance of an anthropological scene of crime investigation in the case of burnt remains in vehicles: 3 case studies. </w:t>
      </w:r>
      <w:r w:rsidRPr="00511B85">
        <w:rPr>
          <w:rFonts w:ascii="Times New Roman" w:hAnsi="Times New Roman" w:cs="Times New Roman"/>
          <w:i/>
          <w:sz w:val="20"/>
          <w:szCs w:val="20"/>
        </w:rPr>
        <w:t xml:space="preserve">American Journal of Forensic Medicine and Pathology, </w:t>
      </w:r>
      <w:r w:rsidRPr="00511B85">
        <w:rPr>
          <w:rFonts w:ascii="Times New Roman" w:hAnsi="Times New Roman" w:cs="Times New Roman"/>
          <w:sz w:val="20"/>
          <w:szCs w:val="20"/>
        </w:rPr>
        <w:t>34(3): 195 – 200.</w:t>
      </w:r>
    </w:p>
    <w:p w:rsidR="000070F3" w:rsidRDefault="000070F3" w:rsidP="000070F3">
      <w:pPr>
        <w:pStyle w:val="EndNoteBibliography"/>
        <w:numPr>
          <w:ilvl w:val="0"/>
          <w:numId w:val="1"/>
        </w:numPr>
        <w:spacing w:after="0"/>
        <w:ind w:left="360"/>
        <w:rPr>
          <w:rFonts w:ascii="Times New Roman" w:hAnsi="Times New Roman" w:cs="Times New Roman"/>
          <w:sz w:val="20"/>
          <w:szCs w:val="20"/>
        </w:rPr>
      </w:pPr>
      <w:r w:rsidRPr="00511B85">
        <w:rPr>
          <w:rFonts w:ascii="Times New Roman" w:hAnsi="Times New Roman" w:cs="Times New Roman"/>
          <w:sz w:val="20"/>
          <w:szCs w:val="20"/>
        </w:rPr>
        <w:t xml:space="preserve">Ubelaker, D. H. (2009). The forensic evaluation of burned skeletal remains: A synthesis. </w:t>
      </w:r>
      <w:r w:rsidRPr="00511B85">
        <w:rPr>
          <w:rFonts w:ascii="Times New Roman" w:hAnsi="Times New Roman" w:cs="Times New Roman"/>
          <w:i/>
          <w:sz w:val="20"/>
          <w:szCs w:val="20"/>
        </w:rPr>
        <w:t xml:space="preserve">Forensic Science Institute, </w:t>
      </w:r>
      <w:r w:rsidRPr="00511B85">
        <w:rPr>
          <w:rFonts w:ascii="Times New Roman" w:hAnsi="Times New Roman" w:cs="Times New Roman"/>
          <w:sz w:val="20"/>
          <w:szCs w:val="20"/>
        </w:rPr>
        <w:t>183</w:t>
      </w:r>
      <w:r w:rsidRPr="00511B85">
        <w:rPr>
          <w:rFonts w:ascii="Times New Roman" w:hAnsi="Times New Roman" w:cs="Times New Roman"/>
          <w:b/>
          <w:sz w:val="20"/>
          <w:szCs w:val="20"/>
        </w:rPr>
        <w:t xml:space="preserve"> </w:t>
      </w:r>
      <w:r w:rsidRPr="00511B85">
        <w:rPr>
          <w:rFonts w:ascii="Times New Roman" w:hAnsi="Times New Roman" w:cs="Times New Roman"/>
          <w:sz w:val="20"/>
          <w:szCs w:val="20"/>
        </w:rPr>
        <w:t>(1-3): 1 – 5.</w:t>
      </w:r>
    </w:p>
    <w:p w:rsidR="000070F3" w:rsidRDefault="000070F3" w:rsidP="000070F3">
      <w:pPr>
        <w:pStyle w:val="EndNoteBibliography"/>
        <w:numPr>
          <w:ilvl w:val="0"/>
          <w:numId w:val="1"/>
        </w:numPr>
        <w:spacing w:after="0"/>
        <w:ind w:left="360"/>
        <w:rPr>
          <w:rFonts w:ascii="Times New Roman" w:hAnsi="Times New Roman" w:cs="Times New Roman"/>
          <w:sz w:val="20"/>
          <w:szCs w:val="20"/>
        </w:rPr>
      </w:pPr>
      <w:r w:rsidRPr="00511B85">
        <w:rPr>
          <w:rFonts w:ascii="Times New Roman" w:hAnsi="Times New Roman" w:cs="Times New Roman"/>
          <w:sz w:val="20"/>
          <w:szCs w:val="20"/>
        </w:rPr>
        <w:t>Knight, B. and Saukko, P. J. (2004). Knight's Forensic Pathology. Third ed.</w:t>
      </w:r>
      <w:r w:rsidRPr="00511B85">
        <w:rPr>
          <w:rFonts w:ascii="Times New Roman" w:hAnsi="Times New Roman" w:cs="Times New Roman"/>
          <w:i/>
          <w:sz w:val="20"/>
          <w:szCs w:val="20"/>
        </w:rPr>
        <w:t xml:space="preserve"> </w:t>
      </w:r>
      <w:r w:rsidRPr="00511B85">
        <w:rPr>
          <w:rFonts w:ascii="Times New Roman" w:hAnsi="Times New Roman" w:cs="Times New Roman"/>
          <w:sz w:val="20"/>
          <w:szCs w:val="20"/>
        </w:rPr>
        <w:t>Edward Arnold Publisher Ltd, London.</w:t>
      </w:r>
    </w:p>
    <w:p w:rsidR="000070F3" w:rsidRDefault="000070F3" w:rsidP="000070F3">
      <w:pPr>
        <w:pStyle w:val="EndNoteBibliography"/>
        <w:numPr>
          <w:ilvl w:val="0"/>
          <w:numId w:val="1"/>
        </w:numPr>
        <w:spacing w:after="0"/>
        <w:ind w:left="360"/>
        <w:rPr>
          <w:rFonts w:ascii="Times New Roman" w:hAnsi="Times New Roman" w:cs="Times New Roman"/>
          <w:sz w:val="20"/>
          <w:szCs w:val="20"/>
        </w:rPr>
      </w:pPr>
      <w:r w:rsidRPr="00511B85">
        <w:rPr>
          <w:rFonts w:ascii="Times New Roman" w:hAnsi="Times New Roman" w:cs="Times New Roman"/>
          <w:sz w:val="20"/>
          <w:szCs w:val="20"/>
        </w:rPr>
        <w:t xml:space="preserve">Holden, J. L., Phakey, P. P. and Clement, J. G. (1995). Scanning electron microscope observations of heat-treated human bone. </w:t>
      </w:r>
      <w:r w:rsidRPr="00511B85">
        <w:rPr>
          <w:rFonts w:ascii="Times New Roman" w:hAnsi="Times New Roman" w:cs="Times New Roman"/>
          <w:i/>
          <w:sz w:val="20"/>
          <w:szCs w:val="20"/>
        </w:rPr>
        <w:t xml:space="preserve">Forensic Science Institute, </w:t>
      </w:r>
      <w:r w:rsidRPr="00511B85">
        <w:rPr>
          <w:rFonts w:ascii="Times New Roman" w:hAnsi="Times New Roman" w:cs="Times New Roman"/>
          <w:sz w:val="20"/>
          <w:szCs w:val="20"/>
        </w:rPr>
        <w:t>74 (1-2): 29 – 45.</w:t>
      </w:r>
    </w:p>
    <w:p w:rsidR="000070F3" w:rsidRDefault="000070F3" w:rsidP="000070F3">
      <w:pPr>
        <w:pStyle w:val="EndNoteBibliography"/>
        <w:numPr>
          <w:ilvl w:val="0"/>
          <w:numId w:val="1"/>
        </w:numPr>
        <w:spacing w:after="0"/>
        <w:ind w:left="360"/>
        <w:rPr>
          <w:rFonts w:ascii="Times New Roman" w:hAnsi="Times New Roman" w:cs="Times New Roman"/>
          <w:sz w:val="20"/>
          <w:szCs w:val="20"/>
        </w:rPr>
      </w:pPr>
      <w:r w:rsidRPr="00511B85">
        <w:rPr>
          <w:rFonts w:ascii="Times New Roman" w:hAnsi="Times New Roman" w:cs="Times New Roman"/>
          <w:sz w:val="20"/>
          <w:szCs w:val="20"/>
        </w:rPr>
        <w:t>National Centre For Forensic Science (NCFS). (2006). Substrate database. University of Central Florida.</w:t>
      </w:r>
    </w:p>
    <w:p w:rsidR="000070F3" w:rsidRDefault="000070F3" w:rsidP="000070F3">
      <w:pPr>
        <w:pStyle w:val="EndNoteBibliography"/>
        <w:numPr>
          <w:ilvl w:val="0"/>
          <w:numId w:val="1"/>
        </w:numPr>
        <w:spacing w:after="0"/>
        <w:ind w:left="360"/>
        <w:rPr>
          <w:rFonts w:ascii="Times New Roman" w:hAnsi="Times New Roman" w:cs="Times New Roman"/>
          <w:sz w:val="20"/>
          <w:szCs w:val="20"/>
        </w:rPr>
      </w:pPr>
      <w:r w:rsidRPr="00511B85">
        <w:rPr>
          <w:rFonts w:ascii="Times New Roman" w:hAnsi="Times New Roman" w:cs="Times New Roman"/>
          <w:sz w:val="20"/>
          <w:szCs w:val="20"/>
        </w:rPr>
        <w:t xml:space="preserve">Gabriel, G. F. (2015). The analysis and discrimination of pyrolysis products from biological and non-biological sources. </w:t>
      </w:r>
      <w:r w:rsidRPr="00511B85">
        <w:rPr>
          <w:rFonts w:ascii="Times New Roman" w:hAnsi="Times New Roman" w:cs="Times New Roman"/>
          <w:i/>
          <w:sz w:val="20"/>
          <w:szCs w:val="20"/>
        </w:rPr>
        <w:t>Central of Forensic Science, Department of Pure and Applied Chemistry</w:t>
      </w:r>
      <w:r w:rsidRPr="00511B85">
        <w:rPr>
          <w:rFonts w:ascii="Times New Roman" w:hAnsi="Times New Roman" w:cs="Times New Roman"/>
          <w:sz w:val="20"/>
          <w:szCs w:val="20"/>
        </w:rPr>
        <w:t>. University of Strathclyde.</w:t>
      </w:r>
    </w:p>
    <w:p w:rsidR="000070F3" w:rsidRDefault="000070F3" w:rsidP="000070F3">
      <w:pPr>
        <w:pStyle w:val="EndNoteBibliography"/>
        <w:numPr>
          <w:ilvl w:val="0"/>
          <w:numId w:val="1"/>
        </w:numPr>
        <w:spacing w:after="0"/>
        <w:ind w:left="360"/>
        <w:rPr>
          <w:rFonts w:ascii="Times New Roman" w:hAnsi="Times New Roman" w:cs="Times New Roman"/>
          <w:sz w:val="20"/>
          <w:szCs w:val="20"/>
        </w:rPr>
      </w:pPr>
      <w:r w:rsidRPr="00511B85">
        <w:rPr>
          <w:rFonts w:ascii="Times New Roman" w:hAnsi="Times New Roman" w:cs="Times New Roman"/>
          <w:sz w:val="20"/>
          <w:szCs w:val="20"/>
        </w:rPr>
        <w:t xml:space="preserve">DeHaan, J. D., Brien, D. J. and Large, R. (2004). Volatile organic compounds from the combustion of human and animal tissue. </w:t>
      </w:r>
      <w:r w:rsidRPr="00511B85">
        <w:rPr>
          <w:rFonts w:ascii="Times New Roman" w:hAnsi="Times New Roman" w:cs="Times New Roman"/>
          <w:i/>
          <w:sz w:val="20"/>
          <w:szCs w:val="20"/>
        </w:rPr>
        <w:t>Science and Justice,</w:t>
      </w:r>
      <w:r w:rsidRPr="00511B85">
        <w:rPr>
          <w:rFonts w:ascii="Times New Roman" w:hAnsi="Times New Roman" w:cs="Times New Roman"/>
          <w:sz w:val="20"/>
          <w:szCs w:val="20"/>
        </w:rPr>
        <w:t xml:space="preserve"> 44 (4): 223 – 236.</w:t>
      </w:r>
    </w:p>
    <w:p w:rsidR="000070F3" w:rsidRDefault="000070F3" w:rsidP="000070F3">
      <w:pPr>
        <w:pStyle w:val="EndNoteBibliography"/>
        <w:numPr>
          <w:ilvl w:val="0"/>
          <w:numId w:val="1"/>
        </w:numPr>
        <w:spacing w:after="0"/>
        <w:ind w:left="360"/>
        <w:rPr>
          <w:rFonts w:ascii="Times New Roman" w:hAnsi="Times New Roman" w:cs="Times New Roman"/>
          <w:sz w:val="20"/>
          <w:szCs w:val="20"/>
        </w:rPr>
      </w:pPr>
      <w:r w:rsidRPr="00511B85">
        <w:rPr>
          <w:rFonts w:ascii="Times New Roman" w:hAnsi="Times New Roman" w:cs="Times New Roman"/>
          <w:sz w:val="20"/>
          <w:szCs w:val="20"/>
        </w:rPr>
        <w:t xml:space="preserve">Agu, K. (2011). Investigation of the thermal degradation products of bone. </w:t>
      </w:r>
      <w:r w:rsidRPr="00511B85">
        <w:rPr>
          <w:rFonts w:ascii="Times New Roman" w:hAnsi="Times New Roman" w:cs="Times New Roman"/>
          <w:i/>
          <w:sz w:val="20"/>
          <w:szCs w:val="20"/>
        </w:rPr>
        <w:t>Centre for Forensic Science, Department of Pure Science and Apllied Chemistry</w:t>
      </w:r>
      <w:r w:rsidRPr="00511B85">
        <w:rPr>
          <w:rFonts w:ascii="Times New Roman" w:hAnsi="Times New Roman" w:cs="Times New Roman"/>
          <w:sz w:val="20"/>
          <w:szCs w:val="20"/>
        </w:rPr>
        <w:t>.</w:t>
      </w:r>
      <w:r w:rsidRPr="00511B85">
        <w:rPr>
          <w:rFonts w:ascii="Times New Roman" w:hAnsi="Times New Roman" w:cs="Times New Roman"/>
          <w:i/>
          <w:sz w:val="20"/>
          <w:szCs w:val="20"/>
        </w:rPr>
        <w:t xml:space="preserve"> </w:t>
      </w:r>
      <w:r w:rsidRPr="00511B85">
        <w:rPr>
          <w:rFonts w:ascii="Times New Roman" w:hAnsi="Times New Roman" w:cs="Times New Roman"/>
          <w:sz w:val="20"/>
          <w:szCs w:val="20"/>
        </w:rPr>
        <w:t>University of Strathclyde.</w:t>
      </w:r>
    </w:p>
    <w:p w:rsidR="000070F3" w:rsidRDefault="000070F3" w:rsidP="000070F3">
      <w:pPr>
        <w:pStyle w:val="EndNoteBibliography"/>
        <w:numPr>
          <w:ilvl w:val="0"/>
          <w:numId w:val="1"/>
        </w:numPr>
        <w:spacing w:after="0"/>
        <w:ind w:left="360"/>
        <w:rPr>
          <w:rFonts w:ascii="Times New Roman" w:hAnsi="Times New Roman" w:cs="Times New Roman"/>
          <w:sz w:val="20"/>
          <w:szCs w:val="20"/>
        </w:rPr>
      </w:pPr>
      <w:r w:rsidRPr="00511B85">
        <w:rPr>
          <w:rFonts w:ascii="Times New Roman" w:hAnsi="Times New Roman" w:cs="Times New Roman"/>
          <w:sz w:val="20"/>
          <w:szCs w:val="20"/>
        </w:rPr>
        <w:t>American Society for Testing and Materials (ASTM) International E1412-07 (2012).</w:t>
      </w:r>
      <w:r w:rsidRPr="00511B85">
        <w:rPr>
          <w:rFonts w:ascii="Times New Roman" w:hAnsi="Times New Roman" w:cs="Times New Roman"/>
          <w:i/>
          <w:sz w:val="20"/>
          <w:szCs w:val="20"/>
        </w:rPr>
        <w:t xml:space="preserve"> </w:t>
      </w:r>
      <w:r w:rsidRPr="00511B85">
        <w:rPr>
          <w:rFonts w:ascii="Times New Roman" w:hAnsi="Times New Roman" w:cs="Times New Roman"/>
          <w:sz w:val="20"/>
          <w:szCs w:val="20"/>
        </w:rPr>
        <w:t xml:space="preserve">Standard practice for separation of ignitable liquid residues from fire debris samples by passive headspace concentration with activated charcoal. </w:t>
      </w:r>
      <w:r w:rsidRPr="00511B85">
        <w:rPr>
          <w:rFonts w:ascii="Times New Roman" w:hAnsi="Times New Roman" w:cs="Times New Roman"/>
          <w:i/>
          <w:sz w:val="20"/>
          <w:szCs w:val="20"/>
        </w:rPr>
        <w:t xml:space="preserve">American Society for Testing and Materials (ASTM) International. </w:t>
      </w:r>
      <w:r w:rsidRPr="00511B85">
        <w:rPr>
          <w:rFonts w:ascii="Times New Roman" w:hAnsi="Times New Roman" w:cs="Times New Roman"/>
          <w:sz w:val="20"/>
          <w:szCs w:val="20"/>
        </w:rPr>
        <w:t>West Conshohocken, PA.</w:t>
      </w:r>
    </w:p>
    <w:p w:rsidR="000070F3" w:rsidRDefault="000070F3" w:rsidP="000070F3">
      <w:pPr>
        <w:pStyle w:val="EndNoteBibliography"/>
        <w:numPr>
          <w:ilvl w:val="0"/>
          <w:numId w:val="1"/>
        </w:numPr>
        <w:spacing w:after="0"/>
        <w:ind w:left="360"/>
        <w:rPr>
          <w:rFonts w:ascii="Times New Roman" w:hAnsi="Times New Roman" w:cs="Times New Roman"/>
          <w:sz w:val="20"/>
          <w:szCs w:val="20"/>
        </w:rPr>
      </w:pPr>
      <w:r w:rsidRPr="00511B85">
        <w:rPr>
          <w:rFonts w:ascii="Times New Roman" w:hAnsi="Times New Roman" w:cs="Times New Roman"/>
          <w:sz w:val="20"/>
          <w:szCs w:val="20"/>
        </w:rPr>
        <w:t xml:space="preserve">Pearce, A. I., Richards, R. G., Milz, S., Schneider, E. and Pearce, S. G. (2007). Animal models for implant biomaterial research in bone: A review. </w:t>
      </w:r>
      <w:r w:rsidRPr="00511B85">
        <w:rPr>
          <w:rFonts w:ascii="Times New Roman" w:hAnsi="Times New Roman" w:cs="Times New Roman"/>
          <w:i/>
          <w:sz w:val="20"/>
          <w:szCs w:val="20"/>
        </w:rPr>
        <w:t xml:space="preserve">Europe Cells and Materials Journal, </w:t>
      </w:r>
      <w:r w:rsidRPr="00511B85">
        <w:rPr>
          <w:rFonts w:ascii="Times New Roman" w:hAnsi="Times New Roman" w:cs="Times New Roman"/>
          <w:sz w:val="20"/>
          <w:szCs w:val="20"/>
        </w:rPr>
        <w:t xml:space="preserve">13: 1 – </w:t>
      </w:r>
      <w:r>
        <w:rPr>
          <w:rFonts w:ascii="Times New Roman" w:hAnsi="Times New Roman" w:cs="Times New Roman"/>
          <w:sz w:val="20"/>
          <w:szCs w:val="20"/>
        </w:rPr>
        <w:t>10.</w:t>
      </w:r>
    </w:p>
    <w:p w:rsidR="000070F3" w:rsidRDefault="000070F3" w:rsidP="000070F3">
      <w:pPr>
        <w:pStyle w:val="EndNoteBibliography"/>
        <w:numPr>
          <w:ilvl w:val="0"/>
          <w:numId w:val="1"/>
        </w:numPr>
        <w:spacing w:after="0"/>
        <w:ind w:left="360"/>
        <w:rPr>
          <w:rFonts w:ascii="Times New Roman" w:hAnsi="Times New Roman" w:cs="Times New Roman"/>
          <w:sz w:val="20"/>
          <w:szCs w:val="20"/>
        </w:rPr>
      </w:pPr>
      <w:r w:rsidRPr="00511B85">
        <w:rPr>
          <w:rFonts w:ascii="Times New Roman" w:hAnsi="Times New Roman" w:cs="Times New Roman"/>
          <w:sz w:val="20"/>
          <w:szCs w:val="20"/>
        </w:rPr>
        <w:t xml:space="preserve">Mosekilde, L., Kragstrup, J. and Richards, A. (1987). Compressive strength, ash weight, and volume of vertebral trabecular bone in experimental fluorosis in pigs. </w:t>
      </w:r>
      <w:r w:rsidRPr="00511B85">
        <w:rPr>
          <w:rFonts w:ascii="Times New Roman" w:hAnsi="Times New Roman" w:cs="Times New Roman"/>
          <w:i/>
          <w:sz w:val="20"/>
          <w:szCs w:val="20"/>
        </w:rPr>
        <w:t xml:space="preserve">Calcified Tissue International, </w:t>
      </w:r>
      <w:r w:rsidRPr="00511B85">
        <w:rPr>
          <w:rFonts w:ascii="Times New Roman" w:hAnsi="Times New Roman" w:cs="Times New Roman"/>
          <w:sz w:val="20"/>
          <w:szCs w:val="20"/>
        </w:rPr>
        <w:t>40(6): 318 –322.</w:t>
      </w:r>
    </w:p>
    <w:p w:rsidR="000070F3" w:rsidRDefault="000070F3" w:rsidP="000070F3">
      <w:pPr>
        <w:pStyle w:val="EndNoteBibliography"/>
        <w:numPr>
          <w:ilvl w:val="0"/>
          <w:numId w:val="1"/>
        </w:numPr>
        <w:spacing w:after="0"/>
        <w:ind w:left="360"/>
        <w:rPr>
          <w:rFonts w:ascii="Times New Roman" w:hAnsi="Times New Roman" w:cs="Times New Roman"/>
          <w:sz w:val="20"/>
          <w:szCs w:val="20"/>
        </w:rPr>
      </w:pPr>
      <w:r w:rsidRPr="00511B85">
        <w:rPr>
          <w:rFonts w:ascii="Times New Roman" w:hAnsi="Times New Roman" w:cs="Times New Roman"/>
          <w:sz w:val="20"/>
          <w:szCs w:val="20"/>
        </w:rPr>
        <w:t xml:space="preserve">Thorwarth, M., Schultze-Mosgau, S., Kessler, P., Wiltfang, J. and Schlegel, K. A. (2005). Bone regeneration in osseous defects using a resorbable nanoparticular hydroxyapatite. </w:t>
      </w:r>
      <w:r w:rsidRPr="00511B85">
        <w:rPr>
          <w:rFonts w:ascii="Times New Roman" w:hAnsi="Times New Roman" w:cs="Times New Roman"/>
          <w:i/>
          <w:sz w:val="20"/>
          <w:szCs w:val="20"/>
        </w:rPr>
        <w:t xml:space="preserve">Journal of Oral and Maxillofacial Surgery, </w:t>
      </w:r>
      <w:r w:rsidRPr="00511B85">
        <w:rPr>
          <w:rFonts w:ascii="Times New Roman" w:hAnsi="Times New Roman" w:cs="Times New Roman"/>
          <w:sz w:val="20"/>
          <w:szCs w:val="20"/>
        </w:rPr>
        <w:t>63(11): 1626 – 1633.</w:t>
      </w:r>
    </w:p>
    <w:p w:rsidR="000070F3" w:rsidRDefault="000070F3" w:rsidP="000070F3">
      <w:pPr>
        <w:pStyle w:val="EndNoteBibliography"/>
        <w:numPr>
          <w:ilvl w:val="0"/>
          <w:numId w:val="1"/>
        </w:numPr>
        <w:spacing w:after="0"/>
        <w:ind w:left="360"/>
        <w:rPr>
          <w:rFonts w:ascii="Times New Roman" w:hAnsi="Times New Roman" w:cs="Times New Roman"/>
          <w:sz w:val="20"/>
          <w:szCs w:val="20"/>
        </w:rPr>
      </w:pPr>
      <w:r w:rsidRPr="00511B85">
        <w:rPr>
          <w:rFonts w:ascii="Times New Roman" w:hAnsi="Times New Roman" w:cs="Times New Roman"/>
          <w:sz w:val="20"/>
          <w:szCs w:val="20"/>
        </w:rPr>
        <w:t xml:space="preserve">Stauffer, E. (2003) </w:t>
      </w:r>
      <w:r w:rsidRPr="00511B85">
        <w:rPr>
          <w:rFonts w:ascii="Times New Roman" w:hAnsi="Times New Roman" w:cs="Times New Roman"/>
          <w:i/>
          <w:sz w:val="20"/>
          <w:szCs w:val="20"/>
        </w:rPr>
        <w:t>C</w:t>
      </w:r>
      <w:r w:rsidRPr="00511B85">
        <w:rPr>
          <w:rFonts w:ascii="Times New Roman" w:hAnsi="Times New Roman" w:cs="Times New Roman"/>
          <w:sz w:val="20"/>
          <w:szCs w:val="20"/>
        </w:rPr>
        <w:t>oncept of pyrolysis for fire debris analysis.</w:t>
      </w:r>
      <w:r w:rsidRPr="00511B85">
        <w:rPr>
          <w:rFonts w:ascii="Times New Roman" w:hAnsi="Times New Roman" w:cs="Times New Roman"/>
          <w:i/>
          <w:sz w:val="20"/>
          <w:szCs w:val="20"/>
        </w:rPr>
        <w:t xml:space="preserve"> Science and Justice. </w:t>
      </w:r>
      <w:r w:rsidRPr="00511B85">
        <w:rPr>
          <w:rFonts w:ascii="Times New Roman" w:hAnsi="Times New Roman" w:cs="Times New Roman"/>
          <w:sz w:val="20"/>
          <w:szCs w:val="20"/>
        </w:rPr>
        <w:t>43 (1): 29-40.</w:t>
      </w:r>
    </w:p>
    <w:p w:rsidR="000070F3" w:rsidRDefault="000070F3" w:rsidP="000070F3">
      <w:pPr>
        <w:pStyle w:val="EndNoteBibliography"/>
        <w:numPr>
          <w:ilvl w:val="0"/>
          <w:numId w:val="1"/>
        </w:numPr>
        <w:spacing w:after="0"/>
        <w:ind w:left="360"/>
        <w:rPr>
          <w:rFonts w:ascii="Times New Roman" w:hAnsi="Times New Roman" w:cs="Times New Roman"/>
          <w:sz w:val="20"/>
          <w:szCs w:val="20"/>
        </w:rPr>
      </w:pPr>
      <w:r w:rsidRPr="00511B85">
        <w:rPr>
          <w:rFonts w:ascii="Times New Roman" w:hAnsi="Times New Roman" w:cs="Times New Roman"/>
          <w:sz w:val="20"/>
          <w:szCs w:val="20"/>
        </w:rPr>
        <w:t>National Fire Protection Association (NFPA). (1990). Fire Protection Handbook.</w:t>
      </w:r>
      <w:r w:rsidRPr="00511B85">
        <w:rPr>
          <w:rFonts w:ascii="Times New Roman" w:hAnsi="Times New Roman" w:cs="Times New Roman"/>
          <w:i/>
          <w:sz w:val="20"/>
          <w:szCs w:val="20"/>
        </w:rPr>
        <w:t xml:space="preserve"> National Fire Protection Association (NFPA), </w:t>
      </w:r>
      <w:r w:rsidRPr="00511B85">
        <w:rPr>
          <w:rFonts w:ascii="Times New Roman" w:hAnsi="Times New Roman" w:cs="Times New Roman"/>
          <w:sz w:val="20"/>
          <w:szCs w:val="20"/>
        </w:rPr>
        <w:t>Standard Publishing Company.</w:t>
      </w:r>
    </w:p>
    <w:p w:rsidR="000070F3" w:rsidRDefault="000070F3" w:rsidP="000070F3">
      <w:pPr>
        <w:pStyle w:val="EndNoteBibliography"/>
        <w:numPr>
          <w:ilvl w:val="0"/>
          <w:numId w:val="1"/>
        </w:numPr>
        <w:spacing w:after="0"/>
        <w:ind w:left="360"/>
        <w:rPr>
          <w:rFonts w:ascii="Times New Roman" w:hAnsi="Times New Roman" w:cs="Times New Roman"/>
          <w:sz w:val="20"/>
          <w:szCs w:val="20"/>
        </w:rPr>
      </w:pPr>
      <w:r w:rsidRPr="00511B85">
        <w:rPr>
          <w:rFonts w:ascii="Times New Roman" w:hAnsi="Times New Roman" w:cs="Times New Roman"/>
          <w:sz w:val="20"/>
          <w:szCs w:val="20"/>
        </w:rPr>
        <w:t>Welker, J. R. and Sliepcevich, C. (1966). Burning rates and heat transfer from wind-blown flames.</w:t>
      </w:r>
      <w:r w:rsidRPr="00511B85">
        <w:rPr>
          <w:rFonts w:ascii="Times New Roman" w:hAnsi="Times New Roman" w:cs="Times New Roman"/>
          <w:i/>
          <w:sz w:val="20"/>
          <w:szCs w:val="20"/>
        </w:rPr>
        <w:t xml:space="preserve"> Fire Technology, </w:t>
      </w:r>
      <w:r w:rsidRPr="00511B85">
        <w:rPr>
          <w:rFonts w:ascii="Times New Roman" w:hAnsi="Times New Roman" w:cs="Times New Roman"/>
          <w:sz w:val="20"/>
          <w:szCs w:val="20"/>
        </w:rPr>
        <w:t>2(3): 211 – 218.</w:t>
      </w:r>
    </w:p>
    <w:p w:rsidR="000070F3" w:rsidRPr="00511B85" w:rsidRDefault="000070F3" w:rsidP="000070F3">
      <w:pPr>
        <w:pStyle w:val="EndNoteBibliography"/>
        <w:numPr>
          <w:ilvl w:val="0"/>
          <w:numId w:val="1"/>
        </w:numPr>
        <w:spacing w:after="0"/>
        <w:ind w:left="360"/>
        <w:rPr>
          <w:rFonts w:ascii="Times New Roman" w:hAnsi="Times New Roman" w:cs="Times New Roman"/>
          <w:sz w:val="20"/>
          <w:szCs w:val="20"/>
        </w:rPr>
      </w:pPr>
      <w:r w:rsidRPr="00511B85">
        <w:rPr>
          <w:rFonts w:ascii="Times New Roman" w:hAnsi="Times New Roman" w:cs="Times New Roman"/>
          <w:sz w:val="20"/>
          <w:szCs w:val="20"/>
        </w:rPr>
        <w:t xml:space="preserve">Purevsuren, B., Avid, B., Garelmaa, T., Davaajay, Y., Morgan, T., Herod, A. and Kandiyoti, R. (2004). The characterisation of tar from the pyrolysis of animal bones. </w:t>
      </w:r>
      <w:r w:rsidRPr="00511B85">
        <w:rPr>
          <w:rFonts w:ascii="Times New Roman" w:hAnsi="Times New Roman" w:cs="Times New Roman"/>
          <w:i/>
          <w:sz w:val="20"/>
          <w:szCs w:val="20"/>
        </w:rPr>
        <w:t xml:space="preserve">Fuel, </w:t>
      </w:r>
      <w:r w:rsidRPr="00511B85">
        <w:rPr>
          <w:rFonts w:ascii="Times New Roman" w:hAnsi="Times New Roman" w:cs="Times New Roman"/>
          <w:sz w:val="20"/>
          <w:szCs w:val="20"/>
        </w:rPr>
        <w:t xml:space="preserve">83 (7-8): 799 – 805. </w:t>
      </w:r>
    </w:p>
    <w:p w:rsidR="000070F3" w:rsidRPr="000070F3" w:rsidRDefault="000070F3" w:rsidP="000070F3">
      <w:pPr>
        <w:spacing w:after="0" w:line="240" w:lineRule="auto"/>
        <w:jc w:val="both"/>
        <w:rPr>
          <w:rFonts w:ascii="Times New Roman" w:hAnsi="Times New Roman"/>
          <w:noProof/>
          <w:sz w:val="20"/>
          <w:szCs w:val="20"/>
          <w:lang w:bidi="ar-SA"/>
        </w:rPr>
      </w:pPr>
    </w:p>
    <w:sectPr w:rsidR="000070F3" w:rsidRPr="000070F3" w:rsidSect="000070F3">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2D1458"/>
    <w:multiLevelType w:val="hybridMultilevel"/>
    <w:tmpl w:val="607E4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0F3"/>
    <w:rsid w:val="000070F3"/>
    <w:rsid w:val="00AF3B09"/>
    <w:rsid w:val="00C5111A"/>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0F3"/>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
    <w:name w:val="EndNote Bibliography"/>
    <w:basedOn w:val="Normal"/>
    <w:link w:val="EndNoteBibliographyChar"/>
    <w:rsid w:val="000070F3"/>
    <w:pPr>
      <w:spacing w:line="240" w:lineRule="auto"/>
      <w:jc w:val="both"/>
    </w:pPr>
    <w:rPr>
      <w:rFonts w:ascii="Calibri" w:eastAsiaTheme="minorEastAsia" w:hAnsi="Calibri" w:cstheme="minorBidi"/>
      <w:noProof/>
      <w:lang w:val="en-MY" w:eastAsia="en-MY" w:bidi="ar-SA"/>
    </w:rPr>
  </w:style>
  <w:style w:type="character" w:customStyle="1" w:styleId="EndNoteBibliographyChar">
    <w:name w:val="EndNote Bibliography Char"/>
    <w:basedOn w:val="DefaultParagraphFont"/>
    <w:link w:val="EndNoteBibliography"/>
    <w:rsid w:val="000070F3"/>
    <w:rPr>
      <w:rFonts w:ascii="Calibri" w:eastAsiaTheme="minorEastAsia" w:hAnsi="Calibri"/>
      <w:noProof/>
      <w:lang w:val="en-MY" w:eastAsia="en-M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0F3"/>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
    <w:name w:val="EndNote Bibliography"/>
    <w:basedOn w:val="Normal"/>
    <w:link w:val="EndNoteBibliographyChar"/>
    <w:rsid w:val="000070F3"/>
    <w:pPr>
      <w:spacing w:line="240" w:lineRule="auto"/>
      <w:jc w:val="both"/>
    </w:pPr>
    <w:rPr>
      <w:rFonts w:ascii="Calibri" w:eastAsiaTheme="minorEastAsia" w:hAnsi="Calibri" w:cstheme="minorBidi"/>
      <w:noProof/>
      <w:lang w:val="en-MY" w:eastAsia="en-MY" w:bidi="ar-SA"/>
    </w:rPr>
  </w:style>
  <w:style w:type="character" w:customStyle="1" w:styleId="EndNoteBibliographyChar">
    <w:name w:val="EndNote Bibliography Char"/>
    <w:basedOn w:val="DefaultParagraphFont"/>
    <w:link w:val="EndNoteBibliography"/>
    <w:rsid w:val="000070F3"/>
    <w:rPr>
      <w:rFonts w:ascii="Calibri" w:eastAsiaTheme="minorEastAsia" w:hAnsi="Calibri"/>
      <w:noProof/>
      <w:lang w:val="en-MY"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1079</Words>
  <Characters>6152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2</cp:revision>
  <dcterms:created xsi:type="dcterms:W3CDTF">2017-05-18T03:25:00Z</dcterms:created>
  <dcterms:modified xsi:type="dcterms:W3CDTF">2017-06-06T22:57:00Z</dcterms:modified>
</cp:coreProperties>
</file>