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B07BA" w:rsidRPr="00E3287E" w:rsidRDefault="002B07BA"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2B07BA" w:rsidRDefault="002B07BA"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2B07BA" w:rsidRPr="00E3287E" w:rsidRDefault="002B07BA"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2B07BA" w:rsidRDefault="002B07BA"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973DA" w:rsidRPr="00D973DA" w:rsidRDefault="00D973DA" w:rsidP="00D973DA">
      <w:pPr>
        <w:spacing w:after="0" w:line="240" w:lineRule="auto"/>
        <w:jc w:val="center"/>
        <w:outlineLvl w:val="0"/>
        <w:rPr>
          <w:rFonts w:ascii="Times New Roman" w:hAnsi="Times New Roman"/>
          <w:sz w:val="28"/>
          <w:szCs w:val="28"/>
        </w:rPr>
      </w:pPr>
      <w:r w:rsidRPr="00D973DA">
        <w:rPr>
          <w:rFonts w:ascii="Times New Roman" w:hAnsi="Times New Roman"/>
          <w:sz w:val="28"/>
          <w:szCs w:val="28"/>
        </w:rPr>
        <w:t>POROSITY CONTROL OF</w:t>
      </w:r>
      <w:r>
        <w:rPr>
          <w:rFonts w:ascii="Times New Roman" w:hAnsi="Times New Roman"/>
          <w:sz w:val="28"/>
          <w:szCs w:val="28"/>
        </w:rPr>
        <w:t xml:space="preserve"> HOLLOW FIBER MEMBRANES USING A </w:t>
      </w:r>
      <w:r w:rsidRPr="00D973DA">
        <w:rPr>
          <w:rFonts w:ascii="Times New Roman" w:hAnsi="Times New Roman"/>
          <w:sz w:val="28"/>
          <w:szCs w:val="28"/>
        </w:rPr>
        <w:t>MODEL REFERENCE ADAPTIVE CONTROLLER</w:t>
      </w:r>
    </w:p>
    <w:p w:rsidR="00D973DA" w:rsidRPr="00D973DA" w:rsidRDefault="00D973DA" w:rsidP="00D973DA">
      <w:pPr>
        <w:spacing w:after="0" w:line="240" w:lineRule="auto"/>
        <w:jc w:val="center"/>
        <w:outlineLvl w:val="0"/>
        <w:rPr>
          <w:rFonts w:ascii="Times New Roman" w:hAnsi="Times New Roman"/>
          <w:sz w:val="24"/>
          <w:szCs w:val="24"/>
        </w:rPr>
      </w:pPr>
    </w:p>
    <w:p w:rsidR="00D973DA" w:rsidRPr="00D973DA" w:rsidRDefault="00D973DA" w:rsidP="00D973DA">
      <w:pPr>
        <w:spacing w:after="0" w:line="240" w:lineRule="auto"/>
        <w:jc w:val="center"/>
        <w:outlineLvl w:val="0"/>
        <w:rPr>
          <w:rFonts w:ascii="Times New Roman" w:hAnsi="Times New Roman"/>
          <w:sz w:val="24"/>
          <w:szCs w:val="24"/>
        </w:rPr>
      </w:pPr>
      <w:r w:rsidRPr="00D973DA">
        <w:rPr>
          <w:rFonts w:ascii="Times New Roman" w:hAnsi="Times New Roman"/>
          <w:sz w:val="24"/>
          <w:szCs w:val="24"/>
        </w:rPr>
        <w:t>(Kawalan Keliangan Membran Serat Berongga Menggunakan Model Pengawal Rujukan Adaptif)</w:t>
      </w:r>
    </w:p>
    <w:p w:rsidR="00D973DA" w:rsidRPr="00D973DA" w:rsidRDefault="00D973DA" w:rsidP="00D973DA">
      <w:pPr>
        <w:spacing w:after="0" w:line="240" w:lineRule="auto"/>
        <w:jc w:val="center"/>
        <w:outlineLvl w:val="0"/>
        <w:rPr>
          <w:rFonts w:ascii="Times New Roman" w:hAnsi="Times New Roman"/>
          <w:b/>
          <w:color w:val="548DD4" w:themeColor="text2" w:themeTint="99"/>
          <w:sz w:val="20"/>
          <w:szCs w:val="20"/>
        </w:rPr>
      </w:pPr>
    </w:p>
    <w:p w:rsidR="00D973DA" w:rsidRPr="00D973DA" w:rsidRDefault="00D973DA" w:rsidP="00D973DA">
      <w:pPr>
        <w:spacing w:after="0" w:line="240" w:lineRule="auto"/>
        <w:jc w:val="center"/>
        <w:outlineLvl w:val="0"/>
        <w:rPr>
          <w:rFonts w:ascii="Times New Roman" w:hAnsi="Times New Roman"/>
          <w:sz w:val="20"/>
          <w:szCs w:val="20"/>
        </w:rPr>
      </w:pPr>
      <w:r w:rsidRPr="00D973DA">
        <w:rPr>
          <w:rFonts w:ascii="Times New Roman" w:hAnsi="Times New Roman"/>
          <w:sz w:val="20"/>
          <w:szCs w:val="20"/>
        </w:rPr>
        <w:t>Mohammad Abbasgholipourghadim</w:t>
      </w:r>
      <w:r w:rsidRPr="00D973DA">
        <w:rPr>
          <w:rFonts w:ascii="Times New Roman" w:hAnsi="Times New Roman"/>
          <w:sz w:val="20"/>
          <w:szCs w:val="20"/>
          <w:vertAlign w:val="superscript"/>
        </w:rPr>
        <w:t>1</w:t>
      </w:r>
      <w:r w:rsidRPr="00D973DA">
        <w:rPr>
          <w:rFonts w:ascii="Times New Roman" w:hAnsi="Times New Roman"/>
          <w:sz w:val="20"/>
          <w:szCs w:val="20"/>
        </w:rPr>
        <w:t>*, Musa Bin Mailah</w:t>
      </w:r>
      <w:r w:rsidRPr="00D973DA">
        <w:rPr>
          <w:rFonts w:ascii="Times New Roman" w:hAnsi="Times New Roman"/>
          <w:sz w:val="20"/>
          <w:szCs w:val="20"/>
          <w:vertAlign w:val="superscript"/>
        </w:rPr>
        <w:t>1</w:t>
      </w:r>
      <w:r w:rsidRPr="00D973DA">
        <w:rPr>
          <w:rFonts w:ascii="Times New Roman" w:hAnsi="Times New Roman"/>
          <w:sz w:val="20"/>
          <w:szCs w:val="20"/>
        </w:rPr>
        <w:t>, Intan Z. Mat Darus</w:t>
      </w:r>
      <w:r w:rsidRPr="00D973DA">
        <w:rPr>
          <w:rFonts w:ascii="Times New Roman" w:hAnsi="Times New Roman"/>
          <w:sz w:val="20"/>
          <w:szCs w:val="20"/>
          <w:vertAlign w:val="superscript"/>
        </w:rPr>
        <w:t>1</w:t>
      </w:r>
      <w:r w:rsidRPr="00D973DA">
        <w:rPr>
          <w:rFonts w:ascii="Times New Roman" w:hAnsi="Times New Roman"/>
          <w:sz w:val="20"/>
          <w:szCs w:val="20"/>
        </w:rPr>
        <w:t>, Masood Rezaei-Dasht Arzhandi</w:t>
      </w:r>
      <w:r w:rsidRPr="00D973DA">
        <w:rPr>
          <w:rFonts w:ascii="Times New Roman" w:hAnsi="Times New Roman"/>
          <w:sz w:val="20"/>
          <w:szCs w:val="20"/>
          <w:vertAlign w:val="superscript"/>
        </w:rPr>
        <w:t>2</w:t>
      </w:r>
      <w:r w:rsidRPr="00D973DA">
        <w:rPr>
          <w:rFonts w:ascii="Times New Roman" w:hAnsi="Times New Roman"/>
          <w:sz w:val="20"/>
          <w:szCs w:val="20"/>
        </w:rPr>
        <w:t>, Ahmad Fauzi Ismail</w:t>
      </w:r>
      <w:r w:rsidRPr="00D973DA">
        <w:rPr>
          <w:rFonts w:ascii="Times New Roman" w:hAnsi="Times New Roman"/>
          <w:sz w:val="20"/>
          <w:szCs w:val="20"/>
          <w:vertAlign w:val="superscript"/>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D973DA" w:rsidRPr="00D973DA" w:rsidRDefault="00D973DA" w:rsidP="00D973DA">
      <w:pPr>
        <w:spacing w:after="0" w:line="240" w:lineRule="auto"/>
        <w:jc w:val="center"/>
        <w:outlineLvl w:val="0"/>
        <w:rPr>
          <w:rFonts w:ascii="Times New Roman" w:hAnsi="Times New Roman"/>
          <w:i/>
          <w:sz w:val="18"/>
          <w:szCs w:val="18"/>
        </w:rPr>
      </w:pPr>
      <w:r w:rsidRPr="00D973DA">
        <w:rPr>
          <w:rFonts w:ascii="Times New Roman" w:hAnsi="Times New Roman"/>
          <w:i/>
          <w:sz w:val="18"/>
          <w:szCs w:val="18"/>
          <w:vertAlign w:val="superscript"/>
        </w:rPr>
        <w:t>1</w:t>
      </w:r>
      <w:r w:rsidRPr="00D973DA">
        <w:rPr>
          <w:rFonts w:ascii="Times New Roman" w:hAnsi="Times New Roman"/>
          <w:i/>
          <w:sz w:val="18"/>
          <w:szCs w:val="18"/>
        </w:rPr>
        <w:t xml:space="preserve">Department of Applied Mechanics and Design, Faculty of Mechanical </w:t>
      </w:r>
      <w:r>
        <w:rPr>
          <w:rFonts w:ascii="Times New Roman" w:hAnsi="Times New Roman"/>
          <w:i/>
          <w:sz w:val="18"/>
          <w:szCs w:val="18"/>
        </w:rPr>
        <w:t>Engineering</w:t>
      </w:r>
    </w:p>
    <w:p w:rsidR="00D973DA" w:rsidRPr="00D973DA" w:rsidRDefault="00D973DA" w:rsidP="00D973DA">
      <w:pPr>
        <w:spacing w:after="0" w:line="240" w:lineRule="auto"/>
        <w:jc w:val="center"/>
        <w:outlineLvl w:val="0"/>
        <w:rPr>
          <w:rFonts w:ascii="Times New Roman" w:hAnsi="Times New Roman"/>
          <w:i/>
          <w:sz w:val="18"/>
          <w:szCs w:val="18"/>
        </w:rPr>
      </w:pPr>
      <w:r w:rsidRPr="00D973DA">
        <w:rPr>
          <w:rFonts w:ascii="Times New Roman" w:hAnsi="Times New Roman"/>
          <w:i/>
          <w:sz w:val="18"/>
          <w:szCs w:val="18"/>
          <w:vertAlign w:val="superscript"/>
        </w:rPr>
        <w:t>2</w:t>
      </w:r>
      <w:r w:rsidRPr="00D973DA">
        <w:rPr>
          <w:rFonts w:ascii="Times New Roman" w:hAnsi="Times New Roman"/>
          <w:i/>
          <w:sz w:val="18"/>
          <w:szCs w:val="18"/>
        </w:rPr>
        <w:t>Advanced Membrane Tech</w:t>
      </w:r>
      <w:r>
        <w:rPr>
          <w:rFonts w:ascii="Times New Roman" w:hAnsi="Times New Roman"/>
          <w:i/>
          <w:sz w:val="18"/>
          <w:szCs w:val="18"/>
        </w:rPr>
        <w:t>nology Research Centre (AMTEC)</w:t>
      </w:r>
    </w:p>
    <w:p w:rsidR="00D973DA" w:rsidRPr="00D973DA" w:rsidRDefault="00D973DA" w:rsidP="00D973DA">
      <w:pPr>
        <w:spacing w:after="0" w:line="240" w:lineRule="auto"/>
        <w:jc w:val="center"/>
        <w:outlineLvl w:val="0"/>
        <w:rPr>
          <w:rFonts w:ascii="Times New Roman" w:hAnsi="Times New Roman"/>
          <w:i/>
          <w:sz w:val="18"/>
          <w:szCs w:val="18"/>
        </w:rPr>
      </w:pPr>
      <w:r w:rsidRPr="00D973DA">
        <w:rPr>
          <w:rFonts w:ascii="Times New Roman" w:hAnsi="Times New Roman"/>
          <w:i/>
          <w:sz w:val="18"/>
          <w:szCs w:val="18"/>
        </w:rPr>
        <w:t>Universiti Teknologi Malaysia, 81310 Skudai, Johor,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D973DA" w:rsidRDefault="006768E9" w:rsidP="00F447A7">
      <w:pPr>
        <w:spacing w:after="0" w:line="240" w:lineRule="auto"/>
        <w:jc w:val="center"/>
        <w:rPr>
          <w:rFonts w:ascii="Times New Roman" w:hAnsi="Times New Roman"/>
          <w:i/>
          <w:noProof/>
          <w:sz w:val="18"/>
          <w:szCs w:val="18"/>
          <w:lang w:bidi="ar-SA"/>
        </w:rPr>
      </w:pPr>
      <w:r w:rsidRPr="00D973DA">
        <w:rPr>
          <w:rFonts w:ascii="Times New Roman" w:hAnsi="Times New Roman"/>
          <w:i/>
          <w:noProof/>
          <w:sz w:val="18"/>
          <w:szCs w:val="18"/>
          <w:lang w:bidi="ar-SA"/>
        </w:rPr>
        <w:t>*Corresponding author:</w:t>
      </w:r>
      <w:r w:rsidR="00BE7C30" w:rsidRPr="00D973DA">
        <w:rPr>
          <w:rFonts w:ascii="Times New Roman" w:hAnsi="Times New Roman"/>
          <w:i/>
          <w:noProof/>
          <w:sz w:val="18"/>
          <w:szCs w:val="18"/>
          <w:lang w:bidi="ar-SA"/>
        </w:rPr>
        <w:t xml:space="preserve"> </w:t>
      </w:r>
      <w:r w:rsidR="00D973DA" w:rsidRPr="00D973DA">
        <w:rPr>
          <w:rFonts w:ascii="Times New Roman" w:hAnsi="Times New Roman"/>
          <w:i/>
          <w:sz w:val="18"/>
        </w:rPr>
        <w:t>m.gholipour2010@gmail.com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E1EC7">
        <w:rPr>
          <w:rFonts w:ascii="Times New Roman" w:hAnsi="Times New Roman"/>
          <w:noProof/>
          <w:sz w:val="18"/>
          <w:szCs w:val="18"/>
          <w:lang w:bidi="ar-SA"/>
        </w:rPr>
        <w:t>26 August 2016</w:t>
      </w:r>
      <w:r>
        <w:rPr>
          <w:rFonts w:ascii="Times New Roman" w:hAnsi="Times New Roman"/>
          <w:noProof/>
          <w:sz w:val="18"/>
          <w:szCs w:val="18"/>
          <w:lang w:bidi="ar-SA"/>
        </w:rPr>
        <w:t xml:space="preserve">; Accepted: </w:t>
      </w:r>
      <w:r w:rsidR="000E1EC7">
        <w:rPr>
          <w:rFonts w:ascii="Times New Roman" w:hAnsi="Times New Roman"/>
          <w:noProof/>
          <w:sz w:val="18"/>
          <w:szCs w:val="18"/>
          <w:lang w:bidi="ar-SA"/>
        </w:rPr>
        <w:t>8 January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87BF6" w:rsidRPr="00887BF6" w:rsidRDefault="00887BF6" w:rsidP="00887BF6">
      <w:pPr>
        <w:spacing w:after="0" w:line="240" w:lineRule="auto"/>
        <w:jc w:val="both"/>
        <w:outlineLvl w:val="0"/>
        <w:rPr>
          <w:rFonts w:ascii="Times New Roman" w:hAnsi="Times New Roman"/>
          <w:sz w:val="18"/>
          <w:szCs w:val="18"/>
        </w:rPr>
      </w:pPr>
      <w:r w:rsidRPr="00887BF6">
        <w:rPr>
          <w:rFonts w:ascii="Times New Roman" w:hAnsi="Times New Roman"/>
          <w:sz w:val="18"/>
          <w:szCs w:val="18"/>
        </w:rPr>
        <w:t>The conventional simple feedback controllers are not sometimes capable to properly perform online due to different dynamics during porous hollow fiber membranes (HFMs) fabrication process. This study implemented a model reference adaptive control (MRAC) for fabricating HFMs with the desired overall porosity. The artificial neural network (ANN) was used to identify the spinneret dynamic model. The developed ANN model was used as the plant model in the implemented MRAC to control the overall porosity of the HFMs. The proposed algorithms for controlling HFM overall porosity were simulated in MATLAB/Simulink. The Massachusetts Institute of Technology (MIT) rule was used for adaptive mechanism in the MRAC, where an appropriate cost function was determined as a function of error between the dynamic system and the reference output model. The controller parameters were adjusted after minimizing the selected cost function. The obtained results from the implemented MRAC scheme with MIT rule is found to be effective in controlling the porosity of the membranes. However, it was revealed that the system response is quite dependent on the changes of the input signal amplitude (overall porosity). In addition, large adaptation values reduced the stability of the system. Therefore, the MIT rule was normalized called as the normalized MIT towards the system response to be independent from different values of the porosity rule.</w:t>
      </w:r>
    </w:p>
    <w:p w:rsidR="00887BF6" w:rsidRPr="00887BF6" w:rsidRDefault="00887BF6" w:rsidP="00887BF6">
      <w:pPr>
        <w:spacing w:after="0" w:line="240" w:lineRule="auto"/>
        <w:jc w:val="both"/>
        <w:outlineLvl w:val="0"/>
        <w:rPr>
          <w:rFonts w:ascii="Times New Roman" w:hAnsi="Times New Roman"/>
          <w:sz w:val="18"/>
          <w:szCs w:val="18"/>
        </w:rPr>
      </w:pPr>
    </w:p>
    <w:p w:rsidR="00887BF6" w:rsidRPr="00887BF6" w:rsidRDefault="00887BF6" w:rsidP="00887BF6">
      <w:pPr>
        <w:spacing w:after="0" w:line="240" w:lineRule="auto"/>
        <w:jc w:val="both"/>
        <w:outlineLvl w:val="0"/>
        <w:rPr>
          <w:rFonts w:ascii="Times New Roman" w:hAnsi="Times New Roman"/>
          <w:sz w:val="18"/>
          <w:szCs w:val="18"/>
        </w:rPr>
      </w:pPr>
      <w:r w:rsidRPr="00887BF6">
        <w:rPr>
          <w:rFonts w:ascii="Times New Roman" w:hAnsi="Times New Roman"/>
          <w:b/>
          <w:sz w:val="18"/>
          <w:szCs w:val="18"/>
        </w:rPr>
        <w:t>Keywords</w:t>
      </w:r>
      <w:r w:rsidRPr="00887BF6">
        <w:rPr>
          <w:rFonts w:ascii="Times New Roman" w:hAnsi="Times New Roman"/>
          <w:sz w:val="18"/>
          <w:szCs w:val="18"/>
        </w:rPr>
        <w:t xml:space="preserve">: </w:t>
      </w:r>
      <w:r>
        <w:rPr>
          <w:rFonts w:ascii="Times New Roman" w:hAnsi="Times New Roman"/>
          <w:sz w:val="18"/>
          <w:szCs w:val="18"/>
        </w:rPr>
        <w:t xml:space="preserve"> h</w:t>
      </w:r>
      <w:r w:rsidRPr="00887BF6">
        <w:rPr>
          <w:rFonts w:ascii="Times New Roman" w:hAnsi="Times New Roman"/>
          <w:sz w:val="18"/>
          <w:szCs w:val="18"/>
        </w:rPr>
        <w:t>ollow fiber membrane, overall porosity, model reference adaptive control, artificial neural network</w:t>
      </w:r>
    </w:p>
    <w:p w:rsidR="00887BF6" w:rsidRPr="00887BF6" w:rsidRDefault="00887BF6" w:rsidP="00887BF6">
      <w:pPr>
        <w:spacing w:after="0" w:line="240" w:lineRule="auto"/>
        <w:jc w:val="center"/>
        <w:outlineLvl w:val="0"/>
        <w:rPr>
          <w:rFonts w:ascii="Times New Roman" w:hAnsi="Times New Roman"/>
          <w:sz w:val="18"/>
          <w:szCs w:val="18"/>
        </w:rPr>
      </w:pPr>
    </w:p>
    <w:p w:rsidR="00887BF6" w:rsidRPr="00887BF6" w:rsidRDefault="00887BF6" w:rsidP="00887BF6">
      <w:pPr>
        <w:spacing w:after="0" w:line="240" w:lineRule="auto"/>
        <w:jc w:val="center"/>
        <w:outlineLvl w:val="0"/>
        <w:rPr>
          <w:rFonts w:ascii="Times New Roman" w:hAnsi="Times New Roman"/>
          <w:b/>
          <w:noProof/>
          <w:sz w:val="18"/>
          <w:szCs w:val="18"/>
          <w:lang w:val="ms-MY"/>
        </w:rPr>
      </w:pPr>
      <w:r w:rsidRPr="00887BF6">
        <w:rPr>
          <w:rFonts w:ascii="Times New Roman" w:hAnsi="Times New Roman"/>
          <w:b/>
          <w:noProof/>
          <w:sz w:val="18"/>
          <w:szCs w:val="18"/>
          <w:lang w:val="ms-MY"/>
        </w:rPr>
        <w:t>Abstrak</w:t>
      </w:r>
    </w:p>
    <w:p w:rsidR="00887BF6" w:rsidRPr="00887BF6" w:rsidRDefault="00887BF6" w:rsidP="00887BF6">
      <w:pPr>
        <w:spacing w:after="0" w:line="240" w:lineRule="auto"/>
        <w:jc w:val="both"/>
        <w:outlineLvl w:val="0"/>
        <w:rPr>
          <w:rFonts w:ascii="Times New Roman" w:hAnsi="Times New Roman"/>
          <w:noProof/>
          <w:sz w:val="18"/>
          <w:szCs w:val="18"/>
          <w:lang w:val="ms-MY"/>
        </w:rPr>
      </w:pPr>
      <w:r w:rsidRPr="00887BF6">
        <w:rPr>
          <w:rFonts w:ascii="Times New Roman" w:hAnsi="Times New Roman"/>
          <w:noProof/>
          <w:sz w:val="18"/>
          <w:szCs w:val="18"/>
          <w:lang w:val="ms-MY"/>
        </w:rPr>
        <w:t xml:space="preserve">Pengawal konvensional tindak balas mudah kadangkala tidak mampu untuk melaksanakan tugas dalam talian kerana faktor dinamik yang berbeza semasa proses fabrikasi terhadap bahan membran serat berongga (HFM). Kajian ini menggunakan kawalan adaptif model rujukan (MRAC) untuk menghasilkan HFM dengan keliangan keseluruhan yang dikehendaki. Rangkaian </w:t>
      </w:r>
      <w:r w:rsidRPr="00887BF6">
        <w:rPr>
          <w:rFonts w:ascii="Times New Roman" w:hAnsi="Times New Roman"/>
          <w:iCs/>
          <w:noProof/>
          <w:sz w:val="18"/>
          <w:szCs w:val="18"/>
          <w:lang w:val="ms-MY"/>
        </w:rPr>
        <w:t>neural buatan</w:t>
      </w:r>
      <w:r w:rsidRPr="00887BF6">
        <w:rPr>
          <w:rFonts w:ascii="Times New Roman" w:hAnsi="Times New Roman"/>
          <w:noProof/>
          <w:sz w:val="18"/>
          <w:szCs w:val="18"/>
          <w:lang w:val="ms-MY"/>
        </w:rPr>
        <w:t xml:space="preserve"> (ANN) telah digunakan untuk mengenal pasti model dinamik spinneret. Model ANN telah dibangunkan sebagai model sistem dinamik dalam MRAC untuk mengawal keliangan keseluruhan HFMs. Algoritma yang dicadangkan untuk mengawal keliangan keseluruhan HFM telah disimulasikan dalam MATLAB/Simulink. Peraturan MIT telah digunakan untuk mekanisme adaptif dalam MRAC dengan fungsi kos yang sesuai ditentukan sebagai fungsi ralat di antara model sistem dinamik dan rujukan keluaran. Parameter pengawal telah dapat diselaraskan selepas meminimumkan fungsi kos yang dipilih. Keputusan yang diperolehi daripada skim MRAC dengan peraturan MIT menunjukkan bahawa ia dapat mengawal keliangan membrane dengan berkesan. Walau bagaimanapun, tindak balas sistem ini didapati agak bergantung kepada perubahan amplitud isyarat masukan (keliangan keseluruhan). Di samping itu, nilai adaptasi tinggi mengurangkan kestabilan sistem. Dengan yang demikian, peraturan MIT telah diselaraskan dipanggil sebagai MIT diselaras ke arah menghasilkan tindak balas sistem yang bebas daripada perbezaan nilai peraturan keliangan.</w:t>
      </w:r>
    </w:p>
    <w:p w:rsidR="00887BF6" w:rsidRPr="00887BF6" w:rsidRDefault="00887BF6" w:rsidP="00887BF6">
      <w:pPr>
        <w:spacing w:after="0" w:line="240" w:lineRule="auto"/>
        <w:jc w:val="both"/>
        <w:outlineLvl w:val="0"/>
        <w:rPr>
          <w:rFonts w:ascii="Times New Roman" w:hAnsi="Times New Roman"/>
          <w:noProof/>
          <w:sz w:val="18"/>
          <w:szCs w:val="18"/>
          <w:lang w:val="ms-MY"/>
        </w:rPr>
      </w:pPr>
    </w:p>
    <w:p w:rsidR="00887BF6" w:rsidRPr="00887BF6" w:rsidRDefault="00887BF6" w:rsidP="00887BF6">
      <w:pPr>
        <w:spacing w:after="0" w:line="240" w:lineRule="auto"/>
        <w:jc w:val="both"/>
        <w:outlineLvl w:val="0"/>
        <w:rPr>
          <w:rFonts w:ascii="Times New Roman" w:hAnsi="Times New Roman"/>
          <w:sz w:val="18"/>
          <w:szCs w:val="18"/>
        </w:rPr>
      </w:pPr>
      <w:r w:rsidRPr="00887BF6">
        <w:rPr>
          <w:rFonts w:ascii="Times New Roman" w:hAnsi="Times New Roman"/>
          <w:b/>
          <w:sz w:val="18"/>
          <w:szCs w:val="18"/>
        </w:rPr>
        <w:lastRenderedPageBreak/>
        <w:t>Kata kunci</w:t>
      </w:r>
      <w:r w:rsidRPr="00887BF6">
        <w:rPr>
          <w:rFonts w:ascii="Times New Roman" w:hAnsi="Times New Roman"/>
          <w:sz w:val="18"/>
          <w:szCs w:val="18"/>
        </w:rPr>
        <w:t xml:space="preserve">: </w:t>
      </w:r>
      <w:r>
        <w:rPr>
          <w:rFonts w:ascii="Times New Roman" w:hAnsi="Times New Roman"/>
          <w:sz w:val="18"/>
          <w:szCs w:val="18"/>
        </w:rPr>
        <w:t xml:space="preserve"> </w:t>
      </w:r>
      <w:r w:rsidRPr="00887BF6">
        <w:rPr>
          <w:rFonts w:ascii="Times New Roman" w:hAnsi="Times New Roman"/>
          <w:noProof/>
          <w:sz w:val="18"/>
          <w:szCs w:val="18"/>
          <w:lang w:val="ms-MY"/>
        </w:rPr>
        <w:t>membran serat berongga</w:t>
      </w:r>
      <w:r w:rsidRPr="00887BF6">
        <w:rPr>
          <w:rFonts w:ascii="Times New Roman" w:hAnsi="Times New Roman"/>
          <w:sz w:val="18"/>
          <w:szCs w:val="18"/>
        </w:rPr>
        <w:t>, keliangan keseluruhan, kawalan adaptif model rujukan, rangkaian neural buatan</w:t>
      </w:r>
    </w:p>
    <w:p w:rsidR="00494C46" w:rsidRDefault="00494C46" w:rsidP="00887BF6">
      <w:pPr>
        <w:spacing w:after="0" w:line="240" w:lineRule="auto"/>
        <w:jc w:val="center"/>
        <w:rPr>
          <w:rFonts w:ascii="Times New Roman" w:hAnsi="Times New Roman"/>
          <w:noProof/>
          <w:sz w:val="20"/>
          <w:szCs w:val="20"/>
          <w:lang w:bidi="ar-SA"/>
        </w:rPr>
      </w:pPr>
    </w:p>
    <w:p w:rsidR="00887BF6" w:rsidRPr="00BE7C30" w:rsidRDefault="00887BF6" w:rsidP="00887BF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 xml:space="preserve">The classical proportional integral derivative (PID) controllers with fixed gain are not capable to be used in systems with high complexity and uncurtains (nonlinear actuators and varied ambient conditions). </w:t>
      </w:r>
      <w:hyperlink w:anchor="_ENREF_1" w:tooltip="Hwang, 2000 #271"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AuthorYear="1"&gt;&lt;Author&gt;Hwang&lt;/Author&gt;&lt;Year&gt;2000&lt;/Year&gt;&lt;RecNum&gt;271&lt;/RecNum&gt;&lt;DisplayText&gt;Hwang, et al. [1]&lt;/DisplayText&gt;&lt;record&gt;&lt;rec-number&gt;271&lt;/rec-number&gt;&lt;foreign-keys&gt;&lt;key app="EN" db-id="2dz5xpdxnxt0skesrx5vassad0av9deaef5r" timestamp="1465232765"&gt;271&lt;/key&gt;&lt;/foreign-keys&gt;&lt;ref-type name="Conference Proceedings"&gt;10&lt;/ref-type&gt;&lt;contributors&gt;&lt;authors&gt;&lt;author&gt;Hwang, Rey-Chue&lt;/author&gt;&lt;author&gt;Huang, Huang-Chu&lt;/author&gt;&lt;author&gt;Chi, Wei-Shen&lt;/author&gt;&lt;/authors&gt;&lt;/contributors&gt;&lt;titles&gt;&lt;title&gt;A new fuzzy PID-like controller&lt;/title&gt;&lt;secondary-title&gt;Systems, Man, and Cybernetics, 2000 IEEE International Conference on&lt;/secondary-title&gt;&lt;/titles&gt;&lt;pages&gt;3629-3634&lt;/pages&gt;&lt;volume&gt;5&lt;/volume&gt;&lt;dates&gt;&lt;year&gt;2000&lt;/year&gt;&lt;/dates&gt;&lt;publisher&gt;IEEE&lt;/publisher&gt;&lt;isbn&gt;0780365836&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Hwang et al. [1]</w:t>
        </w:r>
        <w:r w:rsidRPr="00887BF6">
          <w:rPr>
            <w:rFonts w:ascii="Times New Roman" w:hAnsi="Times New Roman"/>
            <w:sz w:val="20"/>
            <w:szCs w:val="20"/>
          </w:rPr>
          <w:fldChar w:fldCharType="end"/>
        </w:r>
      </w:hyperlink>
      <w:r w:rsidRPr="00887BF6">
        <w:rPr>
          <w:rFonts w:ascii="Times New Roman" w:hAnsi="Times New Roman"/>
          <w:sz w:val="20"/>
          <w:szCs w:val="20"/>
        </w:rPr>
        <w:t xml:space="preserve"> and </w:t>
      </w:r>
      <w:hyperlink w:anchor="_ENREF_2" w:tooltip="Tang, 2001 #270"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AuthorYear="1"&gt;&lt;Author&gt;Tang&lt;/Author&gt;&lt;Year&gt;2001&lt;/Year&gt;&lt;RecNum&gt;270&lt;/RecNum&gt;&lt;DisplayText&gt;Tang, et al. [2]&lt;/DisplayText&gt;&lt;record&gt;&lt;rec-number&gt;270&lt;/rec-number&gt;&lt;foreign-keys&gt;&lt;key app="EN" db-id="2dz5xpdxnxt0skesrx5vassad0av9deaef5r" timestamp="1465232661"&gt;270&lt;/key&gt;&lt;/foreign-keys&gt;&lt;ref-type name="Journal Article"&gt;17&lt;/ref-type&gt;&lt;contributors&gt;&lt;authors&gt;&lt;author&gt;Tang, Kit-Sang&lt;/author&gt;&lt;author&gt;Man, Kim Fung&lt;/author&gt;&lt;author&gt;Chen, Guanrong&lt;/author&gt;&lt;author&gt;Kwong, Sam&lt;/author&gt;&lt;/authors&gt;&lt;/contributors&gt;&lt;titles&gt;&lt;title&gt;An optimal fuzzy PID controller&lt;/title&gt;&lt;secondary-title&gt;Industrial Electronics, IEEE Transactions on&lt;/secondary-title&gt;&lt;/titles&gt;&lt;periodical&gt;&lt;full-title&gt;Industrial Electronics, IEEE Transactions on&lt;/full-title&gt;&lt;/periodical&gt;&lt;pages&gt;757-765&lt;/pages&gt;&lt;volume&gt;48&lt;/volume&gt;&lt;number&gt;4&lt;/number&gt;&lt;dates&gt;&lt;year&gt;2001&lt;/year&gt;&lt;/dates&gt;&lt;isbn&gt;0278-0046&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Tang et al. [2]</w:t>
        </w:r>
        <w:r w:rsidRPr="00887BF6">
          <w:rPr>
            <w:rFonts w:ascii="Times New Roman" w:hAnsi="Times New Roman"/>
            <w:sz w:val="20"/>
            <w:szCs w:val="20"/>
          </w:rPr>
          <w:fldChar w:fldCharType="end"/>
        </w:r>
      </w:hyperlink>
      <w:r w:rsidRPr="00887BF6">
        <w:rPr>
          <w:rFonts w:ascii="Times New Roman" w:hAnsi="Times New Roman"/>
          <w:sz w:val="20"/>
          <w:szCs w:val="20"/>
        </w:rPr>
        <w:t xml:space="preserve"> gave the concept of fuzzy PID controller to deal with such problems for electrical and mechanical systems. </w:t>
      </w:r>
      <w:hyperlink w:anchor="_ENREF_3" w:tooltip="Rubaai, 2008 #272"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AuthorYear="1"&gt;&lt;Author&gt;Rubaai&lt;/Author&gt;&lt;Year&gt;2008&lt;/Year&gt;&lt;RecNum&gt;272&lt;/RecNum&gt;&lt;DisplayText&gt;Rubaai, et al. [3]&lt;/DisplayText&gt;&lt;record&gt;&lt;rec-number&gt;272&lt;/rec-number&gt;&lt;foreign-keys&gt;&lt;key app="EN" db-id="2dz5xpdxnxt0skesrx5vassad0av9deaef5r" timestamp="1465232837"&gt;272&lt;/key&gt;&lt;/foreign-keys&gt;&lt;ref-type name="Journal Article"&gt;17&lt;/ref-type&gt;&lt;contributors&gt;&lt;authors&gt;&lt;author&gt;Rubaai, Ahmed&lt;/author&gt;&lt;author&gt;Castro-Sitiriche, Marcel J&lt;/author&gt;&lt;author&gt;Ofoli, Abdul R&lt;/author&gt;&lt;/authors&gt;&lt;/contributors&gt;&lt;titles&gt;&lt;title&gt;DSP-based laboratory implementation of hybrid fuzzy-PID controller using genetic optimization for high-performance motor drives&lt;/title&gt;&lt;secondary-title&gt;Industry Applications, IEEE Transactions on&lt;/secondary-title&gt;&lt;/titles&gt;&lt;periodical&gt;&lt;full-title&gt;Industry Applications, IEEE Transactions on&lt;/full-title&gt;&lt;/periodical&gt;&lt;pages&gt;1977-1986&lt;/pages&gt;&lt;volume&gt;44&lt;/volume&gt;&lt;number&gt;6&lt;/number&gt;&lt;dates&gt;&lt;year&gt;2008&lt;/year&gt;&lt;/dates&gt;&lt;isbn&gt;0093-9994&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Rubaai, et al. [3]</w:t>
        </w:r>
        <w:r w:rsidRPr="00887BF6">
          <w:rPr>
            <w:rFonts w:ascii="Times New Roman" w:hAnsi="Times New Roman"/>
            <w:sz w:val="20"/>
            <w:szCs w:val="20"/>
          </w:rPr>
          <w:fldChar w:fldCharType="end"/>
        </w:r>
      </w:hyperlink>
      <w:r w:rsidRPr="00887BF6">
        <w:rPr>
          <w:rFonts w:ascii="Times New Roman" w:hAnsi="Times New Roman"/>
          <w:sz w:val="20"/>
          <w:szCs w:val="20"/>
        </w:rPr>
        <w:t xml:space="preserve"> developed the DSP-Based Laboratory model of Hybrid Fuzzy-PID Controller Using Genetic optimization for high-performance Motor Drives. Later on the concept of neural network is applied to develop the PID controllers to enhance the dynamic characteristics of controller. </w:t>
      </w:r>
      <w:hyperlink w:anchor="_ENREF_4" w:tooltip="Sun, 2006 #273"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AuthorYear="1"&gt;&lt;Author&gt;Sun&lt;/Author&gt;&lt;Year&gt;2006&lt;/Year&gt;&lt;RecNum&gt;273&lt;/RecNum&gt;&lt;DisplayText&gt;Sun and Meng [4]&lt;/DisplayText&gt;&lt;record&gt;&lt;rec-number&gt;273&lt;/rec-number&gt;&lt;foreign-keys&gt;&lt;key app="EN" db-id="2dz5xpdxnxt0skesrx5vassad0av9deaef5r" timestamp="1465232909"&gt;273&lt;/key&gt;&lt;/foreign-keys&gt;&lt;ref-type name="Conference Proceedings"&gt;10&lt;/ref-type&gt;&lt;contributors&gt;&lt;authors&gt;&lt;author&gt;Sun, Dan&lt;/author&gt;&lt;author&gt;Meng, Jun&lt;/author&gt;&lt;/authors&gt;&lt;/contributors&gt;&lt;titles&gt;&lt;title&gt;A single neuron PID controller based PMSM DTC drive system fed by fault tolerant 4-switch 3-phase inverter&lt;/title&gt;&lt;secondary-title&gt;Industrial Electronics and Applications, 2006 1ST IEEE Conference on&lt;/secondary-title&gt;&lt;/titles&gt;&lt;pages&gt;1-5&lt;/pages&gt;&lt;dates&gt;&lt;year&gt;2006&lt;/year&gt;&lt;/dates&gt;&lt;publisher&gt;IEEE&lt;/publisher&gt;&lt;isbn&gt;0780395131&lt;/isbn&gt;&lt;urls&gt;&lt;/urls&gt;&lt;/record&gt;&lt;/Cite&gt;&lt;/EndNote&gt;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Sun and Meng [4]</w:t>
        </w:r>
        <w:r w:rsidRPr="00887BF6">
          <w:rPr>
            <w:rFonts w:ascii="Times New Roman" w:hAnsi="Times New Roman"/>
            <w:sz w:val="20"/>
            <w:szCs w:val="20"/>
          </w:rPr>
          <w:fldChar w:fldCharType="end"/>
        </w:r>
      </w:hyperlink>
      <w:r w:rsidRPr="00887BF6">
        <w:rPr>
          <w:rFonts w:ascii="Times New Roman" w:hAnsi="Times New Roman"/>
          <w:sz w:val="20"/>
          <w:szCs w:val="20"/>
        </w:rPr>
        <w:t xml:space="preserve"> and </w:t>
      </w:r>
      <w:hyperlink w:anchor="_ENREF_5" w:tooltip="Yao, 2008 #274"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AuthorYear="1"&gt;&lt;Author&gt;Yao&lt;/Author&gt;&lt;Year&gt;2008&lt;/Year&gt;&lt;RecNum&gt;274&lt;/RecNum&gt;&lt;DisplayText&gt;Yao, et al. [5]&lt;/DisplayText&gt;&lt;record&gt;&lt;rec-number&gt;274&lt;/rec-number&gt;&lt;foreign-keys&gt;&lt;key app="EN" db-id="2dz5xpdxnxt0skesrx5vassad0av9deaef5r" timestamp="1465232961"&gt;274&lt;/key&gt;&lt;/foreign-keys&gt;&lt;ref-type name="Conference Proceedings"&gt;10&lt;/ref-type&gt;&lt;contributors&gt;&lt;authors&gt;&lt;author&gt;Yao, Jianjun&lt;/author&gt;&lt;author&gt;Wang, Liquan&lt;/author&gt;&lt;author&gt;Wang, Caidong&lt;/author&gt;&lt;author&gt;Zhang, Zhonglin&lt;/author&gt;&lt;author&gt;Jia, Peng&lt;/author&gt;&lt;/authors&gt;&lt;/contributors&gt;&lt;titles&gt;&lt;title&gt;ANN-based PID controller for an electro-hydraulic servo system&lt;/title&gt;&lt;secondary-title&gt;Automation and Logistics, 2008. ICAL 2008. IEEE International Conference on&lt;/secondary-title&gt;&lt;/titles&gt;&lt;pages&gt;18-22&lt;/pages&gt;&lt;dates&gt;&lt;year&gt;2008&lt;/year&gt;&lt;/dates&gt;&lt;publisher&gt;IEEE&lt;/publisher&gt;&lt;isbn&gt;1424425026&lt;/isbn&gt;&lt;urls&gt;&lt;/urls&gt;&lt;/record&gt;&lt;/Cite&gt;&lt;/EndNote&gt;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Yao et al. [5]</w:t>
        </w:r>
        <w:r w:rsidRPr="00887BF6">
          <w:rPr>
            <w:rFonts w:ascii="Times New Roman" w:hAnsi="Times New Roman"/>
            <w:sz w:val="20"/>
            <w:szCs w:val="20"/>
          </w:rPr>
          <w:fldChar w:fldCharType="end"/>
        </w:r>
      </w:hyperlink>
      <w:r w:rsidRPr="00887BF6">
        <w:rPr>
          <w:rFonts w:ascii="Times New Roman" w:hAnsi="Times New Roman"/>
          <w:sz w:val="20"/>
          <w:szCs w:val="20"/>
        </w:rPr>
        <w:t xml:space="preserve"> developed such PID controllers based on the artificial neural network technique. Still to obtain the complete adaptive nature, specific adaptive control techniques are needed. Out of many adaptive control schemes, this research mainly deals with the model reference adaptive control (MRAC) approach. In MRAC, the output response is forced to track the response of a reference model irrespective of plant parameter variations. The controller parameters are adjusted to give a desired closed-loop performance. </w:t>
      </w:r>
      <w:hyperlink w:anchor="_ENREF_6" w:tooltip="Koo, 2001 #275"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AuthorYear="1"&gt;&lt;Author&gt;Koo&lt;/Author&gt;&lt;Year&gt;2001&lt;/Year&gt;&lt;RecNum&gt;275&lt;/RecNum&gt;&lt;DisplayText&gt;Koo [6]&lt;/DisplayText&gt;&lt;record&gt;&lt;rec-number&gt;275&lt;/rec-number&gt;&lt;foreign-keys&gt;&lt;key app="EN" db-id="2dz5xpdxnxt0skesrx5vassad0av9deaef5r" timestamp="1465233082"&gt;275&lt;/key&gt;&lt;/foreign-keys&gt;&lt;ref-type name="Journal Article"&gt;17&lt;/ref-type&gt;&lt;contributors&gt;&lt;authors&gt;&lt;author&gt;Koo, T John&lt;/author&gt;&lt;/authors&gt;&lt;/contributors&gt;&lt;titles&gt;&lt;title&gt;Stable model reference adaptive fuzzy control of a class of nonlinear systems&lt;/title&gt;&lt;secondary-title&gt;Fuzzy Systems, IEEE Transactions on&lt;/secondary-title&gt;&lt;/titles&gt;&lt;periodical&gt;&lt;full-title&gt;Fuzzy Systems, IEEE Transactions on&lt;/full-title&gt;&lt;/periodical&gt;&lt;pages&gt;624-636&lt;/pages&gt;&lt;volume&gt;9&lt;/volume&gt;&lt;number&gt;4&lt;/number&gt;&lt;dates&gt;&lt;year&gt;2001&lt;/year&gt;&lt;/dates&gt;&lt;isbn&gt;1063-6706&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Koo [6]</w:t>
        </w:r>
        <w:r w:rsidRPr="00887BF6">
          <w:rPr>
            <w:rFonts w:ascii="Times New Roman" w:hAnsi="Times New Roman"/>
            <w:sz w:val="20"/>
            <w:szCs w:val="20"/>
          </w:rPr>
          <w:fldChar w:fldCharType="end"/>
        </w:r>
      </w:hyperlink>
      <w:r w:rsidRPr="00887BF6">
        <w:rPr>
          <w:rFonts w:ascii="Times New Roman" w:hAnsi="Times New Roman"/>
          <w:sz w:val="20"/>
          <w:szCs w:val="20"/>
        </w:rPr>
        <w:t xml:space="preserve"> and </w:t>
      </w:r>
      <w:hyperlink w:anchor="_ENREF_7" w:tooltip="Tsai, 2004 #276"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AuthorYear="1"&gt;&lt;Author&gt;Tsai&lt;/Author&gt;&lt;Year&gt;2004&lt;/Year&gt;&lt;RecNum&gt;276&lt;/RecNum&gt;&lt;DisplayText&gt;Tsai, et al. [7]&lt;/DisplayText&gt;&lt;record&gt;&lt;rec-number&gt;276&lt;/rec-number&gt;&lt;foreign-keys&gt;&lt;key app="EN" db-id="2dz5xpdxnxt0skesrx5vassad0av9deaef5r" timestamp="1465233122"&gt;276&lt;/key&gt;&lt;/foreign-keys&gt;&lt;ref-type name="Conference Proceedings"&gt;10&lt;/ref-type&gt;&lt;contributors&gt;&lt;authors&gt;&lt;author&gt;Tsai, Pin-Yan&lt;/author&gt;&lt;author&gt;Huang, Huang-Chu&lt;/author&gt;&lt;author&gt;Chen, Yu-Ju&lt;/author&gt;&lt;author&gt;Hwang, Rey-Chue&lt;/author&gt;&lt;/authors&gt;&lt;/contributors&gt;&lt;titles&gt;&lt;title&gt;The model reference control by auto-tuning PID-like fuzzy controller&lt;/title&gt;&lt;secondary-title&gt;Control Applications, 2004. Proceedings of the 2004 IEEE International Conference on&lt;/secondary-title&gt;&lt;/titles&gt;&lt;pages&gt;406-411&lt;/pages&gt;&lt;volume&gt;1&lt;/volume&gt;&lt;dates&gt;&lt;year&gt;2004&lt;/year&gt;&lt;/dates&gt;&lt;publisher&gt;IEEE&lt;/publisher&gt;&lt;isbn&gt;0780386337&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Tsai et al. [7]</w:t>
        </w:r>
        <w:r w:rsidRPr="00887BF6">
          <w:rPr>
            <w:rFonts w:ascii="Times New Roman" w:hAnsi="Times New Roman"/>
            <w:sz w:val="20"/>
            <w:szCs w:val="20"/>
          </w:rPr>
          <w:fldChar w:fldCharType="end"/>
        </w:r>
      </w:hyperlink>
      <w:r w:rsidRPr="00887BF6">
        <w:rPr>
          <w:rFonts w:ascii="Times New Roman" w:hAnsi="Times New Roman"/>
          <w:sz w:val="20"/>
          <w:szCs w:val="20"/>
        </w:rPr>
        <w:t xml:space="preserve"> developed the concept of MRAC by using Fuzzy logic. The model reference adaptive controllers are mainly designed by using different approaches like MIT rule, Lyapunov theory and theory of augmented error. </w:t>
      </w:r>
      <w:hyperlink w:anchor="_ENREF_8" w:tooltip="Ehsani, 2007 #277"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AuthorYear="1"&gt;&lt;Author&gt;Ehsani&lt;/Author&gt;&lt;Year&gt;2007&lt;/Year&gt;&lt;RecNum&gt;277&lt;/RecNum&gt;&lt;DisplayText&gt;Ehsani [8]&lt;/DisplayText&gt;&lt;record&gt;&lt;rec-number&gt;277&lt;/rec-number&gt;&lt;foreign-keys&gt;&lt;key app="EN" db-id="2dz5xpdxnxt0skesrx5vassad0av9deaef5r" timestamp="1465233215"&gt;277&lt;/key&gt;&lt;/foreign-keys&gt;&lt;ref-type name="Conference Proceedings"&gt;10&lt;/ref-type&gt;&lt;contributors&gt;&lt;authors&gt;&lt;author&gt;Ehsani, MS&lt;/author&gt;&lt;/authors&gt;&lt;/contributors&gt;&lt;titles&gt;&lt;title&gt;Adaptive control of servo motor by MRAC method&lt;/title&gt;&lt;secondary-title&gt;Vehicle Power and Propulsion Conference, 2007. VPPC 2007. IEEE&lt;/secondary-title&gt;&lt;/titles&gt;&lt;pages&gt;78-83&lt;/pages&gt;&lt;dates&gt;&lt;year&gt;2007&lt;/year&gt;&lt;/dates&gt;&lt;publisher&gt;IEEE&lt;/publisher&gt;&lt;isbn&gt;0780397606&lt;/isbn&gt;&lt;urls&gt;&lt;/urls&gt;&lt;/record&gt;&lt;/Cite&gt;&lt;/EndNote&gt;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Ehsani [8]</w:t>
        </w:r>
        <w:r w:rsidRPr="00887BF6">
          <w:rPr>
            <w:rFonts w:ascii="Times New Roman" w:hAnsi="Times New Roman"/>
            <w:sz w:val="20"/>
            <w:szCs w:val="20"/>
          </w:rPr>
          <w:fldChar w:fldCharType="end"/>
        </w:r>
      </w:hyperlink>
      <w:r w:rsidRPr="00887BF6">
        <w:rPr>
          <w:rFonts w:ascii="Times New Roman" w:hAnsi="Times New Roman"/>
          <w:sz w:val="20"/>
          <w:szCs w:val="20"/>
        </w:rPr>
        <w:t xml:space="preserve"> used the MIT rule to control the DC servo motor. </w:t>
      </w:r>
      <w:hyperlink w:anchor="_ENREF_9" w:tooltip="Swarnkar, 2010 #278"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AuthorYear="1"&gt;&lt;Author&gt;Swarnkar&lt;/Author&gt;&lt;Year&gt;2010&lt;/Year&gt;&lt;RecNum&gt;278&lt;/RecNum&gt;&lt;DisplayText&gt;Swarnkar, et al. [9]&lt;/DisplayText&gt;&lt;record&gt;&lt;rec-number&gt;278&lt;/rec-number&gt;&lt;foreign-keys&gt;&lt;key app="EN" db-id="2dz5xpdxnxt0skesrx5vassad0av9deaef5r" timestamp="1465233285"&gt;278&lt;/key&gt;&lt;/foreign-keys&gt;&lt;ref-type name="Conference Proceedings"&gt;10&lt;/ref-type&gt;&lt;contributors&gt;&lt;authors&gt;&lt;author&gt;Swarnkar, Pankaj&lt;/author&gt;&lt;author&gt;Jain, Shailendra&lt;/author&gt;&lt;author&gt;Nema, RK&lt;/author&gt;&lt;/authors&gt;&lt;/contributors&gt;&lt;titles&gt;&lt;title&gt;Application of Model reference adaptive control scheme to second order system using MIT rule&lt;/title&gt;&lt;secondary-title&gt;International Conference on Electrical Power and Energy Systems (ICEPES-2010), MANIT, Bhopal, India&lt;/secondary-title&gt;&lt;/titles&gt;&lt;dates&gt;&lt;year&gt;2010&lt;/year&gt;&lt;/dates&gt;&lt;urls&gt;&lt;/urls&gt;&lt;/record&gt;&lt;/Cite&gt;&lt;/EndNote&gt;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Swarnkar et al. [9]</w:t>
        </w:r>
        <w:r w:rsidRPr="00887BF6">
          <w:rPr>
            <w:rFonts w:ascii="Times New Roman" w:hAnsi="Times New Roman"/>
            <w:sz w:val="20"/>
            <w:szCs w:val="20"/>
          </w:rPr>
          <w:fldChar w:fldCharType="end"/>
        </w:r>
      </w:hyperlink>
      <w:r w:rsidRPr="00887BF6">
        <w:rPr>
          <w:rFonts w:ascii="Times New Roman" w:hAnsi="Times New Roman"/>
          <w:sz w:val="20"/>
          <w:szCs w:val="20"/>
        </w:rPr>
        <w:t xml:space="preserve"> applied this rule to systems of different order and compare the results with the conventional techniques for the same systems. </w:t>
      </w:r>
      <w:hyperlink w:anchor="_ENREF_10" w:tooltip="Chen, 2004 #279"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AuthorYear="1"&gt;&lt;Author&gt;Chen&lt;/Author&gt;&lt;Year&gt;2004&lt;/Year&gt;&lt;RecNum&gt;279&lt;/RecNum&gt;&lt;DisplayText&gt;Chen, et al. [10]&lt;/DisplayText&gt;&lt;record&gt;&lt;rec-number&gt;279&lt;/rec-number&gt;&lt;foreign-keys&gt;&lt;key app="EN" db-id="2dz5xpdxnxt0skesrx5vassad0av9deaef5r" timestamp="1465233452"&gt;279&lt;/key&gt;&lt;/foreign-keys&gt;&lt;ref-type name="Journal Article"&gt;17&lt;/ref-type&gt;&lt;contributors&gt;&lt;authors&gt;&lt;author&gt;Chen, Yuanrui&lt;/author&gt;&lt;author&gt;Wu, Jie&lt;/author&gt;&lt;author&gt;Cheung, C Norbert&lt;/author&gt;&lt;/authors&gt;&lt;/contributors&gt;&lt;titles&gt;&lt;title&gt;Lyapunov’s stability theory-based model reference adaptive control for permanent magnet linear motor drives&lt;/title&gt;&lt;/titles&gt;&lt;dates&gt;&lt;year&gt;2004&lt;/year&gt;&lt;/dates&gt;&lt;isbn&gt;9623674341&lt;/isbn&gt;&lt;urls&gt;&lt;/urls&gt;&lt;/record&gt;&lt;/Cite&gt;&lt;/EndNote&gt;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Chen et al. [10]</w:t>
        </w:r>
        <w:r w:rsidRPr="00887BF6">
          <w:rPr>
            <w:rFonts w:ascii="Times New Roman" w:hAnsi="Times New Roman"/>
            <w:sz w:val="20"/>
            <w:szCs w:val="20"/>
          </w:rPr>
          <w:fldChar w:fldCharType="end"/>
        </w:r>
      </w:hyperlink>
      <w:r w:rsidRPr="00887BF6">
        <w:rPr>
          <w:rFonts w:ascii="Times New Roman" w:hAnsi="Times New Roman"/>
          <w:sz w:val="20"/>
          <w:szCs w:val="20"/>
        </w:rPr>
        <w:t xml:space="preserve"> used the concept of Lyapunov theory to develop the MRAC system of Linear motor drive. </w:t>
      </w:r>
      <w:hyperlink w:anchor="_ENREF_11" w:tooltip="Stefanello, 2008 #280"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AuthorYear="1"&gt;&lt;Author&gt;Stefanello&lt;/Author&gt;&lt;Year&gt;2008&lt;/Year&gt;&lt;RecNum&gt;280&lt;/RecNum&gt;&lt;DisplayText&gt;Stefanello, et al. [11]&lt;/DisplayText&gt;&lt;record&gt;&lt;rec-number&gt;280&lt;/rec-number&gt;&lt;foreign-keys&gt;&lt;key app="EN" db-id="2dz5xpdxnxt0skesrx5vassad0av9deaef5r" timestamp="1465233528"&gt;280&lt;/key&gt;&lt;/foreign-keys&gt;&lt;ref-type name="Conference Proceedings"&gt;10&lt;/ref-type&gt;&lt;contributors&gt;&lt;authors&gt;&lt;author&gt;Stefanello, Márcio&lt;/author&gt;&lt;author&gt;Kanieski, João Marcos&lt;/author&gt;&lt;author&gt;Cardoso, Rafael&lt;/author&gt;&lt;author&gt;Gründling, Hilton Abílio&lt;/author&gt;&lt;/authors&gt;&lt;/contributors&gt;&lt;titles&gt;&lt;title&gt;Design of a robust model reference adaptive control for a shunt active power filter&lt;/title&gt;&lt;secondary-title&gt;Industrial Electronics, 2008. IECON 2008. 34th Annual Conference of IEEE&lt;/secondary-title&gt;&lt;/titles&gt;&lt;pages&gt;158-163&lt;/pages&gt;&lt;dates&gt;&lt;year&gt;2008&lt;/year&gt;&lt;/dates&gt;&lt;publisher&gt;IEEE&lt;/publisher&gt;&lt;isbn&gt;1424417678&lt;/isbn&gt;&lt;urls&gt;&lt;/urls&gt;&lt;/record&gt;&lt;/Cite&gt;&lt;/EndNote&gt;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Stefanello et al. [11]</w:t>
        </w:r>
        <w:r w:rsidRPr="00887BF6">
          <w:rPr>
            <w:rFonts w:ascii="Times New Roman" w:hAnsi="Times New Roman"/>
            <w:sz w:val="20"/>
            <w:szCs w:val="20"/>
          </w:rPr>
          <w:fldChar w:fldCharType="end"/>
        </w:r>
      </w:hyperlink>
      <w:r w:rsidRPr="00887BF6">
        <w:rPr>
          <w:rFonts w:ascii="Times New Roman" w:hAnsi="Times New Roman"/>
          <w:sz w:val="20"/>
          <w:szCs w:val="20"/>
        </w:rPr>
        <w:t xml:space="preserve"> used the Lyapunov theory for improving the performance of shunt active power filter.</w:t>
      </w:r>
    </w:p>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 xml:space="preserve">Separation and filtration processes using porous membranes have become one of the emerging technologies that undergo a rapid development throughout the past few decades. The membrane has drowned the attention of the world wide, especially in filtration technology field </w:t>
      </w:r>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&lt;EndNote&gt;&lt;Cite&gt;&lt;Author&gt;Liu&lt;/Author&gt;&lt;Year&gt;2014&lt;/Year&gt;&lt;RecNum&gt;287&lt;/RecNum&gt;&lt;DisplayText&gt;[12]&lt;/DisplayText&gt;&lt;record&gt;&lt;rec-number&gt;287&lt;/rec-number&gt;&lt;foreign-keys&gt;&lt;key app="EN" db-id="2dz5xpdxnxt0skesrx5vassad0av9deaef5r" timestamp="1467437399"&gt;287&lt;/key&gt;&lt;/foreign-keys&gt;&lt;ref-type name="Conference Proceedings"&gt;10&lt;/ref-type&gt;&lt;contributors&gt;&lt;authors&gt;&lt;author&gt;Liu, Yanghe&lt;/author&gt;&lt;author&gt;Sheng, Chenguang&lt;/author&gt;&lt;author&gt;Nnanna, George Agbai&lt;/author&gt;&lt;/authors&gt;&lt;/contributors&gt;&lt;titles&gt;&lt;title&gt;Detection of Selected Pharmaceutical Contaminants and Removal Efficiency of Emerging Contaminants by Application of Membrane Filtration Technology&lt;/title&gt;&lt;secondary-title&gt;ASME 2014 International Mechanical Engineering Congress and Exposition&lt;/secondary-title&gt;&lt;/titles&gt;&lt;pages&gt;V007T09A058-V007T09A058&lt;/pages&gt;&lt;dates&gt;&lt;year&gt;2014&lt;/year&gt;&lt;/dates&gt;&lt;publisher&gt;American Society of Mechanical Engineers&lt;/publisher&gt;&lt;urls&gt;&lt;/urls&gt;&lt;/record&gt;&lt;/Cite&gt;&lt;/EndNote&gt;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w:t>
      </w:r>
      <w:hyperlink w:anchor="_ENREF_12" w:tooltip="Liu, 2014 #287" w:history="1">
        <w:r w:rsidRPr="00887BF6">
          <w:rPr>
            <w:rFonts w:ascii="Times New Roman" w:hAnsi="Times New Roman"/>
            <w:noProof/>
            <w:sz w:val="20"/>
            <w:szCs w:val="20"/>
          </w:rPr>
          <w:t>12</w:t>
        </w:r>
      </w:hyperlink>
      <w:r w:rsidRPr="00887BF6">
        <w:rPr>
          <w:rFonts w:ascii="Times New Roman" w:hAnsi="Times New Roman"/>
          <w:noProof/>
          <w:sz w:val="20"/>
          <w:szCs w:val="20"/>
        </w:rPr>
        <w:t>]</w:t>
      </w:r>
      <w:r w:rsidRPr="00887BF6">
        <w:rPr>
          <w:rFonts w:ascii="Times New Roman" w:hAnsi="Times New Roman"/>
          <w:sz w:val="20"/>
          <w:szCs w:val="20"/>
        </w:rPr>
        <w:fldChar w:fldCharType="end"/>
      </w:r>
      <w:r w:rsidRPr="00887BF6">
        <w:rPr>
          <w:rFonts w:ascii="Times New Roman" w:hAnsi="Times New Roman"/>
          <w:sz w:val="20"/>
          <w:szCs w:val="20"/>
        </w:rPr>
        <w:t xml:space="preserve">. Porous HFMs are preferred as an efficient technology in terms of filtration and separation due to high recovery in individual units, higher productivity per unit volume and self-supporting </w:t>
      </w:r>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&lt;EndNote&gt;&lt;Cite&gt;&lt;Author&gt;Watari&lt;/Author&gt;&lt;Year&gt;2002&lt;/Year&gt;&lt;RecNum&gt;121&lt;/RecNum&gt;&lt;DisplayText&gt;[13, 14]&lt;/DisplayText&gt;&lt;record&gt;&lt;rec-number&gt;121&lt;/rec-number&gt;&lt;foreign-keys&gt;&lt;key app="EN" db-id="2dz5xpdxnxt0skesrx5vassad0av9deaef5r" timestamp="1460267731"&gt;121&lt;/key&gt;&lt;/foreign-keys&gt;&lt;ref-type name="Generic"&gt;13&lt;/ref-type&gt;&lt;contributors&gt;&lt;authors&gt;&lt;author&gt;Watari, Kenji&lt;/author&gt;&lt;author&gt;Takeda, Satoshi&lt;/author&gt;&lt;author&gt;Kobayashi, Masumi&lt;/author&gt;&lt;author&gt;Uchida, Makoto&lt;/author&gt;&lt;author&gt;Uenishi, Masamoto&lt;/author&gt;&lt;author&gt;Fukushima, Noriaki&lt;/author&gt;&lt;author&gt;Hayashi, Seiji&lt;/author&gt;&lt;/authors&gt;&lt;/contributors&gt;&lt;titles&gt;&lt;title&gt;Hollow fiber membrane&lt;/title&gt;&lt;/titles&gt;&lt;dates&gt;&lt;year&gt;2002&lt;/year&gt;&lt;/dates&gt;&lt;publisher&gt;Google Patents&lt;/publisher&gt;&lt;urls&gt;&lt;/urls&gt;&lt;/record&gt;&lt;/Cite&gt;&lt;Cite&gt;&lt;Author&gt;Kopp&lt;/Author&gt;&lt;Year&gt;1997&lt;/Year&gt;&lt;RecNum&gt;122&lt;/RecNum&gt;&lt;record&gt;&lt;rec-number&gt;122&lt;/rec-number&gt;&lt;foreign-keys&gt;&lt;key app="EN" db-id="2dz5xpdxnxt0skesrx5vassad0av9deaef5r" timestamp="1460267780"&gt;122&lt;/key&gt;&lt;/foreign-keys&gt;&lt;ref-type name="Generic"&gt;13&lt;/ref-type&gt;&lt;contributors&gt;&lt;authors&gt;&lt;author&gt;Kopp, Clinton V&lt;/author&gt;&lt;author&gt;Streeton, Robert JW&lt;/author&gt;&lt;author&gt;Khoo, Paul S&lt;/author&gt;&lt;/authors&gt;&lt;/contributors&gt;&lt;titles&gt;&lt;title&gt;Hollow fiber membranes&lt;/title&gt;&lt;/titles&gt;&lt;dates&gt;&lt;year&gt;1997&lt;/year&gt;&lt;/dates&gt;&lt;publisher&gt;Google Patents&lt;/publisher&gt;&lt;urls&gt;&lt;/urls&gt;&lt;/record&gt;&lt;/Cite&gt;&lt;/EndNote&gt;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w:t>
      </w:r>
      <w:hyperlink w:anchor="_ENREF_13" w:tooltip="Watari, 2002 #121" w:history="1">
        <w:r w:rsidRPr="00887BF6">
          <w:rPr>
            <w:rFonts w:ascii="Times New Roman" w:hAnsi="Times New Roman"/>
            <w:noProof/>
            <w:sz w:val="20"/>
            <w:szCs w:val="20"/>
          </w:rPr>
          <w:t>13</w:t>
        </w:r>
      </w:hyperlink>
      <w:r w:rsidRPr="00887BF6">
        <w:rPr>
          <w:rFonts w:ascii="Times New Roman" w:hAnsi="Times New Roman"/>
          <w:noProof/>
          <w:sz w:val="20"/>
          <w:szCs w:val="20"/>
        </w:rPr>
        <w:t xml:space="preserve">, </w:t>
      </w:r>
      <w:hyperlink w:anchor="_ENREF_14" w:tooltip="Kopp, 1997 #122" w:history="1">
        <w:r w:rsidRPr="00887BF6">
          <w:rPr>
            <w:rFonts w:ascii="Times New Roman" w:hAnsi="Times New Roman"/>
            <w:noProof/>
            <w:sz w:val="20"/>
            <w:szCs w:val="20"/>
          </w:rPr>
          <w:t>14</w:t>
        </w:r>
      </w:hyperlink>
      <w:r w:rsidRPr="00887BF6">
        <w:rPr>
          <w:rFonts w:ascii="Times New Roman" w:hAnsi="Times New Roman"/>
          <w:noProof/>
          <w:sz w:val="20"/>
          <w:szCs w:val="20"/>
        </w:rPr>
        <w:t>]</w:t>
      </w:r>
      <w:r w:rsidRPr="00887BF6">
        <w:rPr>
          <w:rFonts w:ascii="Times New Roman" w:hAnsi="Times New Roman"/>
          <w:sz w:val="20"/>
          <w:szCs w:val="20"/>
        </w:rPr>
        <w:fldChar w:fldCharType="end"/>
      </w:r>
      <w:r w:rsidRPr="00887BF6">
        <w:rPr>
          <w:rFonts w:ascii="Times New Roman" w:hAnsi="Times New Roman"/>
          <w:sz w:val="20"/>
          <w:szCs w:val="20"/>
        </w:rPr>
        <w:t xml:space="preserve">. The membranes productivity and performance are recognized by several properties in which porosity is considered as a crucial factor in the design of porous membranes applied in any application. The aforementioned parameter is considered as an important parameter since it significantly affects the performance of the final membranes </w:t>
      </w:r>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&lt;EndNote&gt;&lt;Cite&gt;&lt;Author&gt;Tweddle&lt;/Author&gt;&lt;Year&gt;1992&lt;/Year&gt;&lt;RecNum&gt;40&lt;/RecNum&gt;&lt;DisplayText&gt;[15]&lt;/DisplayText&gt;&lt;record&gt;&lt;rec-number&gt;40&lt;/rec-number&gt;&lt;foreign-keys&gt;&lt;key app="EN" db-id="2dz5xpdxnxt0skesrx5vassad0av9deaef5r" timestamp="1433052050"&gt;40&lt;/key&gt;&lt;/foreign-keys&gt;&lt;ref-type name="Journal Article"&gt;17&lt;/ref-type&gt;&lt;contributors&gt;&lt;authors&gt;&lt;author&gt;Tweddle, TA&lt;/author&gt;&lt;author&gt;Striez, C&lt;/author&gt;&lt;author&gt;Tam, CM&lt;/author&gt;&lt;author&gt;Hazlett, JD&lt;/author&gt;&lt;/authors&gt;&lt;/contributors&gt;&lt;titles&gt;&lt;title&gt;Polysulfone membranes I. Performance comparison of commercially available ultrafiltration membranes&lt;/title&gt;&lt;secondary-title&gt;Desalination&lt;/secondary-title&gt;&lt;/titles&gt;&lt;periodical&gt;&lt;full-title&gt;Desalination&lt;/full-title&gt;&lt;/periodical&gt;&lt;pages&gt;27-41&lt;/pages&gt;&lt;volume&gt;86&lt;/volume&gt;&lt;number&gt;1&lt;/number&gt;&lt;dates&gt;&lt;year&gt;1992&lt;/year&gt;&lt;/dates&gt;&lt;isbn&gt;0011-9164&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w:t>
      </w:r>
      <w:hyperlink w:anchor="_ENREF_15" w:tooltip="Tweddle, 1992 #40" w:history="1">
        <w:r w:rsidRPr="00887BF6">
          <w:rPr>
            <w:rFonts w:ascii="Times New Roman" w:hAnsi="Times New Roman"/>
            <w:noProof/>
            <w:sz w:val="20"/>
            <w:szCs w:val="20"/>
          </w:rPr>
          <w:t>15</w:t>
        </w:r>
      </w:hyperlink>
      <w:r w:rsidRPr="00887BF6">
        <w:rPr>
          <w:rFonts w:ascii="Times New Roman" w:hAnsi="Times New Roman"/>
          <w:noProof/>
          <w:sz w:val="20"/>
          <w:szCs w:val="20"/>
        </w:rPr>
        <w:t>]</w:t>
      </w:r>
      <w:r w:rsidRPr="00887BF6">
        <w:rPr>
          <w:rFonts w:ascii="Times New Roman" w:hAnsi="Times New Roman"/>
          <w:sz w:val="20"/>
          <w:szCs w:val="20"/>
        </w:rPr>
        <w:fldChar w:fldCharType="end"/>
      </w:r>
      <w:r w:rsidRPr="00887BF6">
        <w:rPr>
          <w:rFonts w:ascii="Times New Roman" w:hAnsi="Times New Roman"/>
          <w:sz w:val="20"/>
          <w:szCs w:val="20"/>
        </w:rPr>
        <w:t>.</w:t>
      </w:r>
    </w:p>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Since the HFM manufacturing system is quite complex, difficult in modeling and undefined disturbances, the simple feedback controllers are not able to control this process. Therefore, proper implementation of a suitable adaptive control strategy will result in improving the performance of the HFM manufacturing plant to produce the standard membrane in terms of overall porosity. Thus, this chapter presents the model reference adaptive control (MRAC) scheme for controlling the HFM overall porosity. The Massachusetts Institute of Technology (MIT) rule was first used for applying the MRAC scheme. The system response was highly depended to adaptation gain and amplitude of the input signal (overall porosity). The normalized MIT rule was then applied to overcome these problems in which the system response was sensitive to overall porosity values. Finally, the best results were obtained when the Lyapunov stability theory was utilized to adjust the control parameter in the MRAC. For this research, the controller design focused on the simple PID controller algorithm as benchmark to the implemented MRAC performance. The main reason to choose the PID controller is that it much easier to design and widely used compared to other controllers. The method used for tuning PID is trial and error algorithm. Trial and error method works by tuning the PID parameters until output response follow the desired value.</w:t>
      </w:r>
    </w:p>
    <w:p w:rsidR="00887BF6" w:rsidRPr="00887BF6" w:rsidRDefault="00887BF6" w:rsidP="001841F3">
      <w:pPr>
        <w:spacing w:after="0" w:line="240" w:lineRule="auto"/>
        <w:jc w:val="center"/>
        <w:outlineLvl w:val="0"/>
        <w:rPr>
          <w:rFonts w:ascii="Times New Roman" w:hAnsi="Times New Roman"/>
          <w:sz w:val="20"/>
          <w:szCs w:val="20"/>
        </w:rPr>
      </w:pPr>
    </w:p>
    <w:p w:rsidR="00887BF6" w:rsidRPr="00887BF6" w:rsidRDefault="00887BF6" w:rsidP="001841F3">
      <w:pPr>
        <w:spacing w:after="0" w:line="240" w:lineRule="auto"/>
        <w:jc w:val="center"/>
        <w:outlineLvl w:val="0"/>
        <w:rPr>
          <w:rFonts w:ascii="Times New Roman" w:hAnsi="Times New Roman"/>
          <w:b/>
          <w:sz w:val="20"/>
          <w:szCs w:val="20"/>
        </w:rPr>
      </w:pPr>
      <w:r w:rsidRPr="00887BF6">
        <w:rPr>
          <w:rFonts w:ascii="Times New Roman" w:hAnsi="Times New Roman"/>
          <w:b/>
          <w:sz w:val="20"/>
          <w:szCs w:val="20"/>
        </w:rPr>
        <w:t>Materials and Methods</w:t>
      </w: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This section describes the various underlying principles, methods, techniques and tools that are used in the undertaken research. The operational framework of the proposed research is shown in Figure 1. The major activities are described briefly in the next section.</w:t>
      </w:r>
    </w:p>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1841F3">
      <w:pPr>
        <w:spacing w:after="0" w:line="240" w:lineRule="auto"/>
        <w:jc w:val="center"/>
        <w:outlineLvl w:val="0"/>
        <w:rPr>
          <w:rFonts w:ascii="Times New Roman" w:hAnsi="Times New Roman"/>
          <w:sz w:val="20"/>
          <w:szCs w:val="20"/>
        </w:rPr>
      </w:pPr>
      <w:r w:rsidRPr="00887BF6">
        <w:rPr>
          <w:rFonts w:ascii="Times New Roman" w:hAnsi="Times New Roman"/>
          <w:noProof/>
          <w:sz w:val="20"/>
          <w:szCs w:val="20"/>
          <w:lang w:bidi="ar-SA"/>
        </w:rPr>
        <w:lastRenderedPageBreak/>
        <w:drawing>
          <wp:inline distT="0" distB="0" distL="0" distR="0" wp14:anchorId="46915232" wp14:editId="500B3290">
            <wp:extent cx="2671445" cy="300559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w.jpg"/>
                    <pic:cNvPicPr/>
                  </pic:nvPicPr>
                  <pic:blipFill>
                    <a:blip r:embed="rId11">
                      <a:extLst>
                        <a:ext uri="{28A0092B-C50C-407E-A947-70E740481C1C}">
                          <a14:useLocalDpi xmlns:a14="http://schemas.microsoft.com/office/drawing/2010/main" val="0"/>
                        </a:ext>
                      </a:extLst>
                    </a:blip>
                    <a:stretch>
                      <a:fillRect/>
                    </a:stretch>
                  </pic:blipFill>
                  <pic:spPr>
                    <a:xfrm>
                      <a:off x="0" y="0"/>
                      <a:ext cx="2679670" cy="3014846"/>
                    </a:xfrm>
                    <a:prstGeom prst="rect">
                      <a:avLst/>
                    </a:prstGeom>
                  </pic:spPr>
                </pic:pic>
              </a:graphicData>
            </a:graphic>
          </wp:inline>
        </w:drawing>
      </w:r>
    </w:p>
    <w:p w:rsidR="00887BF6" w:rsidRPr="00887BF6" w:rsidRDefault="00887BF6" w:rsidP="00887BF6">
      <w:pPr>
        <w:spacing w:after="0" w:line="240" w:lineRule="auto"/>
        <w:jc w:val="both"/>
        <w:outlineLvl w:val="0"/>
        <w:rPr>
          <w:rFonts w:ascii="Times New Roman" w:hAnsi="Times New Roman"/>
          <w:sz w:val="20"/>
          <w:szCs w:val="20"/>
        </w:rPr>
      </w:pPr>
    </w:p>
    <w:p w:rsidR="00887BF6" w:rsidRDefault="00887BF6" w:rsidP="001841F3">
      <w:pPr>
        <w:spacing w:after="0" w:line="240" w:lineRule="auto"/>
        <w:jc w:val="center"/>
        <w:outlineLvl w:val="0"/>
        <w:rPr>
          <w:rFonts w:ascii="Times New Roman" w:hAnsi="Times New Roman"/>
          <w:sz w:val="20"/>
          <w:szCs w:val="20"/>
        </w:rPr>
      </w:pPr>
      <w:r w:rsidRPr="00887BF6">
        <w:rPr>
          <w:rFonts w:ascii="Times New Roman" w:hAnsi="Times New Roman"/>
          <w:sz w:val="20"/>
          <w:szCs w:val="20"/>
        </w:rPr>
        <w:t xml:space="preserve">Figure 1. </w:t>
      </w:r>
      <w:r w:rsidR="001841F3">
        <w:rPr>
          <w:rFonts w:ascii="Times New Roman" w:hAnsi="Times New Roman"/>
          <w:sz w:val="20"/>
          <w:szCs w:val="20"/>
        </w:rPr>
        <w:t xml:space="preserve"> </w:t>
      </w:r>
      <w:r w:rsidRPr="00887BF6">
        <w:rPr>
          <w:rFonts w:ascii="Times New Roman" w:hAnsi="Times New Roman"/>
          <w:sz w:val="20"/>
          <w:szCs w:val="20"/>
        </w:rPr>
        <w:t>The operational framework</w:t>
      </w:r>
    </w:p>
    <w:p w:rsidR="001841F3" w:rsidRDefault="001841F3" w:rsidP="001841F3">
      <w:pPr>
        <w:spacing w:after="0" w:line="240" w:lineRule="auto"/>
        <w:jc w:val="both"/>
        <w:outlineLvl w:val="0"/>
        <w:rPr>
          <w:rFonts w:ascii="Times New Roman" w:hAnsi="Times New Roman"/>
          <w:sz w:val="20"/>
          <w:szCs w:val="20"/>
        </w:rPr>
      </w:pPr>
    </w:p>
    <w:p w:rsidR="001841F3" w:rsidRPr="00887BF6" w:rsidRDefault="001841F3" w:rsidP="001841F3">
      <w:pPr>
        <w:spacing w:after="0" w:line="240" w:lineRule="auto"/>
        <w:jc w:val="both"/>
        <w:outlineLvl w:val="0"/>
        <w:rPr>
          <w:rFonts w:ascii="Times New Roman" w:hAnsi="Times New Roman"/>
          <w:sz w:val="20"/>
          <w:szCs w:val="20"/>
        </w:rPr>
      </w:pPr>
    </w:p>
    <w:p w:rsidR="00887BF6" w:rsidRPr="00887BF6" w:rsidRDefault="00887BF6" w:rsidP="00887BF6">
      <w:pPr>
        <w:keepNext/>
        <w:tabs>
          <w:tab w:val="left" w:pos="720"/>
        </w:tabs>
        <w:suppressAutoHyphens/>
        <w:spacing w:after="0" w:line="240" w:lineRule="auto"/>
        <w:jc w:val="both"/>
        <w:outlineLvl w:val="1"/>
        <w:rPr>
          <w:rFonts w:ascii="Times New Roman" w:hAnsi="Times New Roman"/>
          <w:b/>
          <w:bCs/>
          <w:iCs/>
          <w:spacing w:val="-8"/>
          <w:sz w:val="20"/>
          <w:szCs w:val="20"/>
        </w:rPr>
      </w:pPr>
      <w:r w:rsidRPr="00887BF6">
        <w:rPr>
          <w:rFonts w:ascii="Times New Roman" w:hAnsi="Times New Roman"/>
          <w:b/>
          <w:bCs/>
          <w:iCs/>
          <w:spacing w:val="-8"/>
          <w:sz w:val="20"/>
          <w:szCs w:val="20"/>
        </w:rPr>
        <w:t>Polymer composition preparation</w:t>
      </w: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Commercial polyvinylidene fluoride (PVDF) polymer pellets were purchased from Arkema Inc., PA, USA. 1-Methyl-2pyrrolidone (NMP) and Lithium chloride (LiCl) were used as solvent and non-solvent additives in the polymer solution, respectively.</w:t>
      </w:r>
    </w:p>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b/>
          <w:bCs/>
          <w:sz w:val="20"/>
          <w:szCs w:val="20"/>
        </w:rPr>
      </w:pPr>
      <w:r w:rsidRPr="00887BF6">
        <w:rPr>
          <w:rFonts w:ascii="Times New Roman" w:hAnsi="Times New Roman"/>
          <w:b/>
          <w:bCs/>
          <w:sz w:val="20"/>
          <w:szCs w:val="20"/>
        </w:rPr>
        <w:t>Membranes fabrication</w:t>
      </w: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 xml:space="preserve">The HFMs were fabricated at ambient temperature (22 – 25 °Ċ). Polymer concentration (PVDF = 12 – 22 wt.% NMP = 75.5 – 85.5 wt.% and LiCl = 2.5 wt.% ) and dope extrusion were assumed as variables. Water was used as external coagulant bath and the temperature was kept constant during the spinning. The fabricated HFMs were immersed in water for 72 hours to remove the rest of NMP and LiCl inside the spun HFMs. Table 1 lists specific detailed spinning as it was explained in previous study </w:t>
      </w:r>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&lt;EndNote&gt;&lt;Cite&gt;&lt;Author&gt;Rezaei&lt;/Author&gt;&lt;Year&gt;2014&lt;/Year&gt;&lt;RecNum&gt;5&lt;/RecNum&gt;&lt;DisplayText&gt;[16]&lt;/DisplayText&gt;&lt;record&gt;&lt;rec-number&gt;5&lt;/rec-number&gt;&lt;foreign-keys&gt;&lt;key app="EN" db-id="2dz5xpdxnxt0skesrx5vassad0av9deaef5r" timestamp="1424433844"&gt;5&lt;/key&gt;&lt;/foreign-keys&gt;&lt;ref-type name="Journal Article"&gt;17&lt;/ref-type&gt;&lt;contributors&gt;&lt;authors&gt;&lt;author&gt;Rezaei, M&lt;/author&gt;&lt;author&gt;Ismail, AF&lt;/author&gt;&lt;author&gt;Hashemifard, SA&lt;/author&gt;&lt;author&gt;Bakeri, Gh&lt;/author&gt;&lt;author&gt;Matsuura, T&lt;/author&gt;&lt;/authors&gt;&lt;/contributors&gt;&lt;titles&gt;&lt;title&gt;Experimental study on the performance and long-term stability of PVDF/montmorillonite hollow fiber mixed matrix membranes for CO 2 separation process&lt;/title&gt;&lt;secondary-title&gt;International Journal of Greenhouse Gas Control&lt;/secondary-title&gt;&lt;/titles&gt;&lt;periodical&gt;&lt;full-title&gt;International Journal of Greenhouse Gas Control&lt;/full-title&gt;&lt;/periodical&gt;&lt;pages&gt;147-157&lt;/pages&gt;&lt;volume&gt;26&lt;/volume&gt;&lt;dates&gt;&lt;year&gt;2014&lt;/year&gt;&lt;/dates&gt;&lt;isbn&gt;1750-5836&lt;/isbn&gt;&lt;urls&gt;&lt;/urls&gt;&lt;/record&gt;&lt;/Cite&gt;&lt;/EndNote&gt;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w:t>
      </w:r>
      <w:hyperlink w:anchor="_ENREF_16" w:tooltip="Rezaei, 2014 #5" w:history="1">
        <w:r w:rsidRPr="00887BF6">
          <w:rPr>
            <w:rFonts w:ascii="Times New Roman" w:hAnsi="Times New Roman"/>
            <w:noProof/>
            <w:sz w:val="20"/>
            <w:szCs w:val="20"/>
          </w:rPr>
          <w:t>16</w:t>
        </w:r>
      </w:hyperlink>
      <w:r w:rsidRPr="00887BF6">
        <w:rPr>
          <w:rFonts w:ascii="Times New Roman" w:hAnsi="Times New Roman"/>
          <w:noProof/>
          <w:sz w:val="20"/>
          <w:szCs w:val="20"/>
        </w:rPr>
        <w:t>]</w:t>
      </w:r>
      <w:r w:rsidRPr="00887BF6">
        <w:rPr>
          <w:rFonts w:ascii="Times New Roman" w:hAnsi="Times New Roman"/>
          <w:sz w:val="20"/>
          <w:szCs w:val="20"/>
        </w:rPr>
        <w:fldChar w:fldCharType="end"/>
      </w:r>
      <w:r w:rsidRPr="00887BF6">
        <w:rPr>
          <w:rFonts w:ascii="Times New Roman" w:hAnsi="Times New Roman"/>
          <w:sz w:val="20"/>
          <w:szCs w:val="20"/>
        </w:rPr>
        <w:t>.</w:t>
      </w:r>
    </w:p>
    <w:p w:rsidR="00887BF6" w:rsidRDefault="00887BF6" w:rsidP="00887BF6">
      <w:pPr>
        <w:spacing w:after="0" w:line="240" w:lineRule="auto"/>
        <w:jc w:val="both"/>
        <w:outlineLvl w:val="0"/>
        <w:rPr>
          <w:rFonts w:ascii="Times New Roman" w:hAnsi="Times New Roman"/>
          <w:sz w:val="20"/>
          <w:szCs w:val="20"/>
        </w:rPr>
      </w:pPr>
    </w:p>
    <w:p w:rsidR="001841F3" w:rsidRPr="00887BF6" w:rsidRDefault="001841F3" w:rsidP="00887BF6">
      <w:pPr>
        <w:spacing w:after="0" w:line="240" w:lineRule="auto"/>
        <w:jc w:val="both"/>
        <w:outlineLvl w:val="0"/>
        <w:rPr>
          <w:rFonts w:ascii="Times New Roman" w:hAnsi="Times New Roman"/>
          <w:sz w:val="20"/>
          <w:szCs w:val="20"/>
        </w:rPr>
      </w:pPr>
    </w:p>
    <w:p w:rsidR="00887BF6" w:rsidRPr="00887BF6" w:rsidRDefault="00887BF6" w:rsidP="001841F3">
      <w:pPr>
        <w:spacing w:after="120" w:line="240" w:lineRule="auto"/>
        <w:jc w:val="center"/>
        <w:outlineLvl w:val="0"/>
        <w:rPr>
          <w:rFonts w:ascii="Times New Roman" w:hAnsi="Times New Roman"/>
          <w:sz w:val="20"/>
          <w:szCs w:val="20"/>
        </w:rPr>
      </w:pPr>
      <w:r w:rsidRPr="00887BF6">
        <w:rPr>
          <w:rFonts w:ascii="Times New Roman" w:hAnsi="Times New Roman"/>
          <w:sz w:val="20"/>
          <w:szCs w:val="20"/>
        </w:rPr>
        <w:t xml:space="preserve">Table 1. </w:t>
      </w:r>
      <w:r w:rsidR="001841F3">
        <w:rPr>
          <w:rFonts w:ascii="Times New Roman" w:hAnsi="Times New Roman"/>
          <w:sz w:val="20"/>
          <w:szCs w:val="20"/>
        </w:rPr>
        <w:t xml:space="preserve"> </w:t>
      </w:r>
      <w:r w:rsidRPr="00887BF6">
        <w:rPr>
          <w:rFonts w:ascii="Times New Roman" w:hAnsi="Times New Roman"/>
          <w:sz w:val="20"/>
          <w:szCs w:val="20"/>
        </w:rPr>
        <w:t>HFMs spinning conditions</w:t>
      </w:r>
    </w:p>
    <w:tbl>
      <w:tblPr>
        <w:tblW w:w="5178" w:type="dxa"/>
        <w:jc w:val="center"/>
        <w:tblLook w:val="04A0" w:firstRow="1" w:lastRow="0" w:firstColumn="1" w:lastColumn="0" w:noHBand="0" w:noVBand="1"/>
      </w:tblPr>
      <w:tblGrid>
        <w:gridCol w:w="4236"/>
        <w:gridCol w:w="52"/>
        <w:gridCol w:w="864"/>
        <w:gridCol w:w="26"/>
      </w:tblGrid>
      <w:tr w:rsidR="00887BF6" w:rsidRPr="00887BF6" w:rsidTr="002B07BA">
        <w:trPr>
          <w:trHeight w:val="50"/>
          <w:jc w:val="center"/>
        </w:trPr>
        <w:tc>
          <w:tcPr>
            <w:tcW w:w="4318" w:type="dxa"/>
            <w:gridSpan w:val="2"/>
            <w:tcBorders>
              <w:top w:val="single" w:sz="4" w:space="0" w:color="000000"/>
              <w:left w:val="nil"/>
              <w:bottom w:val="nil"/>
              <w:right w:val="nil"/>
            </w:tcBorders>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Dope extrusion rate (cm</w:t>
            </w:r>
            <w:r w:rsidRPr="00887BF6">
              <w:rPr>
                <w:rFonts w:ascii="Times New Roman" w:hAnsi="Times New Roman"/>
                <w:sz w:val="20"/>
                <w:szCs w:val="20"/>
                <w:vertAlign w:val="superscript"/>
              </w:rPr>
              <w:t>3</w:t>
            </w:r>
            <w:r w:rsidRPr="00887BF6">
              <w:rPr>
                <w:rFonts w:ascii="Times New Roman" w:hAnsi="Times New Roman"/>
                <w:sz w:val="20"/>
                <w:szCs w:val="20"/>
              </w:rPr>
              <w:t>/min)</w:t>
            </w:r>
          </w:p>
        </w:tc>
        <w:tc>
          <w:tcPr>
            <w:tcW w:w="860" w:type="dxa"/>
            <w:gridSpan w:val="2"/>
            <w:tcBorders>
              <w:top w:val="single" w:sz="4" w:space="0" w:color="000000"/>
              <w:left w:val="nil"/>
              <w:bottom w:val="nil"/>
              <w:right w:val="nil"/>
            </w:tcBorders>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1.5-6.5</w:t>
            </w:r>
          </w:p>
        </w:tc>
      </w:tr>
      <w:tr w:rsidR="00887BF6" w:rsidRPr="00887BF6" w:rsidTr="002B07BA">
        <w:trPr>
          <w:gridAfter w:val="1"/>
          <w:wAfter w:w="26" w:type="dxa"/>
          <w:trHeight w:val="273"/>
          <w:jc w:val="center"/>
        </w:trPr>
        <w:tc>
          <w:tcPr>
            <w:tcW w:w="4266" w:type="dxa"/>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Bore flow rate (cm</w:t>
            </w:r>
            <w:r w:rsidRPr="00887BF6">
              <w:rPr>
                <w:rFonts w:ascii="Times New Roman" w:hAnsi="Times New Roman"/>
                <w:sz w:val="20"/>
                <w:szCs w:val="20"/>
                <w:vertAlign w:val="superscript"/>
              </w:rPr>
              <w:t>3</w:t>
            </w:r>
            <w:r w:rsidRPr="00887BF6">
              <w:rPr>
                <w:rFonts w:ascii="Times New Roman" w:hAnsi="Times New Roman"/>
                <w:sz w:val="20"/>
                <w:szCs w:val="20"/>
              </w:rPr>
              <w:t>/min)</w:t>
            </w:r>
          </w:p>
        </w:tc>
        <w:tc>
          <w:tcPr>
            <w:tcW w:w="886" w:type="dxa"/>
            <w:gridSpan w:val="2"/>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0.7-1.4</w:t>
            </w:r>
          </w:p>
        </w:tc>
      </w:tr>
      <w:tr w:rsidR="00887BF6" w:rsidRPr="00887BF6" w:rsidTr="002B07BA">
        <w:trPr>
          <w:gridAfter w:val="1"/>
          <w:wAfter w:w="26" w:type="dxa"/>
          <w:jc w:val="center"/>
        </w:trPr>
        <w:tc>
          <w:tcPr>
            <w:tcW w:w="4266" w:type="dxa"/>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Bore fluid</w:t>
            </w:r>
          </w:p>
        </w:tc>
        <w:tc>
          <w:tcPr>
            <w:tcW w:w="886" w:type="dxa"/>
            <w:gridSpan w:val="2"/>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Water</w:t>
            </w:r>
          </w:p>
        </w:tc>
      </w:tr>
      <w:tr w:rsidR="00887BF6" w:rsidRPr="00887BF6" w:rsidTr="002B07BA">
        <w:trPr>
          <w:gridAfter w:val="1"/>
          <w:wAfter w:w="26" w:type="dxa"/>
          <w:jc w:val="center"/>
        </w:trPr>
        <w:tc>
          <w:tcPr>
            <w:tcW w:w="4266" w:type="dxa"/>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External coagulant</w:t>
            </w:r>
          </w:p>
        </w:tc>
        <w:tc>
          <w:tcPr>
            <w:tcW w:w="886" w:type="dxa"/>
            <w:gridSpan w:val="2"/>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Water</w:t>
            </w:r>
          </w:p>
        </w:tc>
      </w:tr>
      <w:tr w:rsidR="00887BF6" w:rsidRPr="00887BF6" w:rsidTr="002B07BA">
        <w:trPr>
          <w:gridAfter w:val="1"/>
          <w:wAfter w:w="26" w:type="dxa"/>
          <w:jc w:val="center"/>
        </w:trPr>
        <w:tc>
          <w:tcPr>
            <w:tcW w:w="4266" w:type="dxa"/>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Air gap distance (cm)</w:t>
            </w:r>
          </w:p>
        </w:tc>
        <w:tc>
          <w:tcPr>
            <w:tcW w:w="886" w:type="dxa"/>
            <w:gridSpan w:val="2"/>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0</w:t>
            </w:r>
          </w:p>
        </w:tc>
      </w:tr>
      <w:tr w:rsidR="00887BF6" w:rsidRPr="00887BF6" w:rsidTr="002B07BA">
        <w:trPr>
          <w:gridAfter w:val="1"/>
          <w:wAfter w:w="26" w:type="dxa"/>
          <w:jc w:val="center"/>
        </w:trPr>
        <w:tc>
          <w:tcPr>
            <w:tcW w:w="4266" w:type="dxa"/>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Collection drum speed (m/min)</w:t>
            </w:r>
          </w:p>
        </w:tc>
        <w:tc>
          <w:tcPr>
            <w:tcW w:w="886" w:type="dxa"/>
            <w:gridSpan w:val="2"/>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4-8</w:t>
            </w:r>
          </w:p>
        </w:tc>
      </w:tr>
      <w:tr w:rsidR="00887BF6" w:rsidRPr="00887BF6" w:rsidTr="002B07BA">
        <w:trPr>
          <w:gridAfter w:val="1"/>
          <w:wAfter w:w="26" w:type="dxa"/>
          <w:jc w:val="center"/>
        </w:trPr>
        <w:tc>
          <w:tcPr>
            <w:tcW w:w="4266" w:type="dxa"/>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Spinneret OD/ID (mm)</w:t>
            </w:r>
          </w:p>
        </w:tc>
        <w:tc>
          <w:tcPr>
            <w:tcW w:w="886" w:type="dxa"/>
            <w:gridSpan w:val="2"/>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1.1/0.55</w:t>
            </w:r>
          </w:p>
        </w:tc>
      </w:tr>
      <w:tr w:rsidR="00887BF6" w:rsidRPr="00887BF6" w:rsidTr="002B07BA">
        <w:trPr>
          <w:gridAfter w:val="1"/>
          <w:wAfter w:w="26" w:type="dxa"/>
          <w:jc w:val="center"/>
        </w:trPr>
        <w:tc>
          <w:tcPr>
            <w:tcW w:w="4266" w:type="dxa"/>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Spinning dope temperature (◦C)</w:t>
            </w:r>
          </w:p>
        </w:tc>
        <w:tc>
          <w:tcPr>
            <w:tcW w:w="886" w:type="dxa"/>
            <w:gridSpan w:val="2"/>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Ambient</w:t>
            </w:r>
          </w:p>
        </w:tc>
      </w:tr>
      <w:tr w:rsidR="00887BF6" w:rsidRPr="00887BF6" w:rsidTr="002B07BA">
        <w:trPr>
          <w:gridAfter w:val="1"/>
          <w:wAfter w:w="26" w:type="dxa"/>
          <w:jc w:val="center"/>
        </w:trPr>
        <w:tc>
          <w:tcPr>
            <w:tcW w:w="4266" w:type="dxa"/>
            <w:tcBorders>
              <w:top w:val="nil"/>
              <w:left w:val="nil"/>
              <w:bottom w:val="single" w:sz="4" w:space="0" w:color="000000"/>
              <w:right w:val="nil"/>
            </w:tcBorders>
            <w:vAlign w:val="center"/>
            <w:hideMark/>
          </w:tcPr>
          <w:p w:rsidR="00887BF6" w:rsidRPr="00887BF6" w:rsidRDefault="00887BF6" w:rsidP="001841F3">
            <w:pPr>
              <w:spacing w:before="60" w:after="60" w:line="240" w:lineRule="auto"/>
              <w:jc w:val="both"/>
              <w:outlineLvl w:val="0"/>
              <w:rPr>
                <w:rFonts w:ascii="Times New Roman" w:hAnsi="Times New Roman"/>
                <w:sz w:val="20"/>
                <w:szCs w:val="20"/>
              </w:rPr>
            </w:pPr>
            <w:r w:rsidRPr="00887BF6">
              <w:rPr>
                <w:rFonts w:ascii="Times New Roman" w:hAnsi="Times New Roman"/>
                <w:sz w:val="20"/>
                <w:szCs w:val="20"/>
              </w:rPr>
              <w:t>External coagulant temperature (◦C)</w:t>
            </w:r>
          </w:p>
        </w:tc>
        <w:tc>
          <w:tcPr>
            <w:tcW w:w="886" w:type="dxa"/>
            <w:gridSpan w:val="2"/>
            <w:tcBorders>
              <w:top w:val="nil"/>
              <w:left w:val="nil"/>
              <w:bottom w:val="single" w:sz="4" w:space="0" w:color="000000"/>
              <w:right w:val="nil"/>
            </w:tcBorders>
            <w:vAlign w:val="center"/>
            <w:hideMark/>
          </w:tcPr>
          <w:p w:rsidR="00887BF6" w:rsidRPr="00887BF6" w:rsidRDefault="00887BF6" w:rsidP="001841F3">
            <w:pPr>
              <w:spacing w:before="60" w:after="0" w:line="240" w:lineRule="auto"/>
              <w:jc w:val="both"/>
              <w:outlineLvl w:val="0"/>
              <w:rPr>
                <w:rFonts w:ascii="Times New Roman" w:hAnsi="Times New Roman"/>
                <w:sz w:val="20"/>
                <w:szCs w:val="20"/>
              </w:rPr>
            </w:pPr>
            <w:r w:rsidRPr="00887BF6">
              <w:rPr>
                <w:rFonts w:ascii="Times New Roman" w:hAnsi="Times New Roman"/>
                <w:sz w:val="20"/>
                <w:szCs w:val="20"/>
              </w:rPr>
              <w:t>Ambient</w:t>
            </w:r>
          </w:p>
        </w:tc>
      </w:tr>
    </w:tbl>
    <w:p w:rsidR="00887BF6" w:rsidRDefault="00887BF6" w:rsidP="00887BF6">
      <w:pPr>
        <w:spacing w:after="0" w:line="240" w:lineRule="auto"/>
        <w:jc w:val="both"/>
        <w:outlineLvl w:val="0"/>
        <w:rPr>
          <w:rFonts w:ascii="Times New Roman" w:hAnsi="Times New Roman"/>
          <w:sz w:val="20"/>
          <w:szCs w:val="20"/>
        </w:rPr>
      </w:pPr>
    </w:p>
    <w:p w:rsidR="001841F3" w:rsidRPr="00887BF6" w:rsidRDefault="001841F3"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b/>
          <w:bCs/>
          <w:sz w:val="20"/>
          <w:szCs w:val="20"/>
        </w:rPr>
      </w:pPr>
      <w:r w:rsidRPr="00887BF6">
        <w:rPr>
          <w:rFonts w:ascii="Times New Roman" w:hAnsi="Times New Roman"/>
          <w:b/>
          <w:bCs/>
          <w:sz w:val="20"/>
          <w:szCs w:val="20"/>
        </w:rPr>
        <w:lastRenderedPageBreak/>
        <w:t>Overall porosity of HFMs</w:t>
      </w: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The porosity of the membrane has been defined as the ratio of the pore volume to the total volume of the membrane</w:t>
      </w:r>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&lt;EndNote&gt;&lt;Cite&gt;&lt;Author&gt;Arthanareeswaran&lt;/Author&gt;&lt;Year&gt;2009&lt;/Year&gt;&lt;RecNum&gt;162&lt;/RecNum&gt;&lt;DisplayText&gt;[17]&lt;/DisplayText&gt;&lt;record&gt;&lt;rec-number&gt;162&lt;/rec-number&gt;&lt;foreign-keys&gt;&lt;key app="EN" db-id="2dz5xpdxnxt0skesrx5vassad0av9deaef5r" timestamp="1460459604"&gt;162&lt;/key&gt;&lt;/foreign-keys&gt;&lt;ref-type name="Journal Article"&gt;17&lt;/ref-type&gt;&lt;contributors&gt;&lt;authors&gt;&lt;author&gt;Arthanareeswaran, G&lt;/author&gt;&lt;author&gt;Devi, TK Sriyamuna&lt;/author&gt;&lt;author&gt;Mohan, D&lt;/author&gt;&lt;/authors&gt;&lt;/contributors&gt;&lt;titles&gt;&lt;title&gt;Development, characterization and separation performance of organic–inorganic membranes: part II. Effect of additives&lt;/title&gt;&lt;secondary-title&gt;Separation and Purification Technology&lt;/secondary-title&gt;&lt;/titles&gt;&lt;periodical&gt;&lt;full-title&gt;Separation and purification technology&lt;/full-title&gt;&lt;/periodical&gt;&lt;pages&gt;271-281&lt;/pages&gt;&lt;volume&gt;67&lt;/volume&gt;&lt;number&gt;3&lt;/number&gt;&lt;dates&gt;&lt;year&gt;2009&lt;/year&gt;&lt;/dates&gt;&lt;isbn&gt;1383-5866&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w:t>
      </w:r>
      <w:hyperlink w:anchor="_ENREF_17" w:tooltip="Arthanareeswaran, 2009 #162" w:history="1">
        <w:r w:rsidRPr="00887BF6">
          <w:rPr>
            <w:rFonts w:ascii="Times New Roman" w:hAnsi="Times New Roman"/>
            <w:noProof/>
            <w:sz w:val="20"/>
            <w:szCs w:val="20"/>
          </w:rPr>
          <w:t>17</w:t>
        </w:r>
      </w:hyperlink>
      <w:r w:rsidRPr="00887BF6">
        <w:rPr>
          <w:rFonts w:ascii="Times New Roman" w:hAnsi="Times New Roman"/>
          <w:noProof/>
          <w:sz w:val="20"/>
          <w:szCs w:val="20"/>
        </w:rPr>
        <w:t>]</w:t>
      </w:r>
      <w:r w:rsidRPr="00887BF6">
        <w:rPr>
          <w:rFonts w:ascii="Times New Roman" w:hAnsi="Times New Roman"/>
          <w:sz w:val="20"/>
          <w:szCs w:val="20"/>
        </w:rPr>
        <w:fldChar w:fldCharType="end"/>
      </w:r>
      <w:r w:rsidRPr="00887BF6">
        <w:rPr>
          <w:rFonts w:ascii="Times New Roman" w:hAnsi="Times New Roman"/>
          <w:sz w:val="20"/>
          <w:szCs w:val="20"/>
        </w:rPr>
        <w:t xml:space="preserve">. The overall porosity of the HFM can be calculated using the following equation 1 </w:t>
      </w:r>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&lt;EndNote&gt;&lt;Cite&gt;&lt;Author&gt;Mansourizadeh&lt;/Author&gt;&lt;Year&gt;2010&lt;/Year&gt;&lt;RecNum&gt;180&lt;/RecNum&gt;&lt;DisplayText&gt;[18]&lt;/DisplayText&gt;&lt;record&gt;&lt;rec-number&gt;180&lt;/rec-number&gt;&lt;foreign-keys&gt;&lt;key app="EN" db-id="2dz5xpdxnxt0skesrx5vassad0av9deaef5r" timestamp="1460958032"&gt;180&lt;/key&gt;&lt;/foreign-keys&gt;&lt;ref-type name="Journal Article"&gt;17&lt;/ref-type&gt;&lt;contributors&gt;&lt;authors&gt;&lt;author&gt;Mansourizadeh, Amir&lt;/author&gt;&lt;author&gt;Ismail, Ahmad Fauzi&lt;/author&gt;&lt;/authors&gt;&lt;/contributors&gt;&lt;titles&gt;&lt;title&gt;Effect of additives on the structure and performance of polysulfone hollow fiber membranes for CO 2 absorption&lt;/title&gt;&lt;secondary-title&gt;Journal of Membrane Science&lt;/secondary-title&gt;&lt;/titles&gt;&lt;periodical&gt;&lt;full-title&gt;Journal of membrane science&lt;/full-title&gt;&lt;/periodical&gt;&lt;pages&gt;260-267&lt;/pages&gt;&lt;volume&gt;348&lt;/volume&gt;&lt;number&gt;1&lt;/number&gt;&lt;dates&gt;&lt;year&gt;2010&lt;/year&gt;&lt;/dates&gt;&lt;isbn&gt;0376-7388&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w:t>
      </w:r>
      <w:hyperlink w:anchor="_ENREF_18" w:tooltip="Mansourizadeh, 2010 #180" w:history="1">
        <w:r w:rsidRPr="00887BF6">
          <w:rPr>
            <w:rFonts w:ascii="Times New Roman" w:hAnsi="Times New Roman"/>
            <w:noProof/>
            <w:sz w:val="20"/>
            <w:szCs w:val="20"/>
          </w:rPr>
          <w:t>18</w:t>
        </w:r>
      </w:hyperlink>
      <w:r w:rsidRPr="00887BF6">
        <w:rPr>
          <w:rFonts w:ascii="Times New Roman" w:hAnsi="Times New Roman"/>
          <w:noProof/>
          <w:sz w:val="20"/>
          <w:szCs w:val="20"/>
        </w:rPr>
        <w:t>]</w:t>
      </w:r>
      <w:r w:rsidRPr="00887BF6">
        <w:rPr>
          <w:rFonts w:ascii="Times New Roman" w:hAnsi="Times New Roman"/>
          <w:sz w:val="20"/>
          <w:szCs w:val="20"/>
        </w:rPr>
        <w:fldChar w:fldCharType="end"/>
      </w:r>
      <w:r w:rsidRPr="00887BF6">
        <w:rPr>
          <w:rFonts w:ascii="Times New Roman" w:hAnsi="Times New Roman"/>
          <w:sz w:val="20"/>
          <w:szCs w:val="20"/>
        </w:rPr>
        <w:t>:</w:t>
      </w:r>
    </w:p>
    <w:p w:rsidR="00887BF6" w:rsidRPr="00887BF6" w:rsidRDefault="00887BF6" w:rsidP="00887BF6">
      <w:pPr>
        <w:suppressAutoHyphens/>
        <w:adjustRightInd w:val="0"/>
        <w:spacing w:after="0" w:line="240" w:lineRule="auto"/>
        <w:jc w:val="both"/>
        <w:rPr>
          <w:rFonts w:ascii="Times New Roman" w:hAnsi="Times New Roman"/>
          <w:sz w:val="20"/>
          <w:szCs w:val="20"/>
          <w:lang w:eastAsia="el-GR"/>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8"/>
        <w:gridCol w:w="450"/>
      </w:tblGrid>
      <w:tr w:rsidR="00887BF6" w:rsidRPr="00887BF6" w:rsidTr="001841F3">
        <w:tc>
          <w:tcPr>
            <w:tcW w:w="9108"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m:oMathPara>
              <m:oMathParaPr>
                <m:jc m:val="left"/>
              </m:oMathParaPr>
              <m:oMath>
                <m:r>
                  <w:rPr>
                    <w:rFonts w:ascii="Cambria Math" w:eastAsia="Calibri" w:hAnsi="Cambria Math" w:cs="Times New Roman"/>
                    <w:sz w:val="20"/>
                    <w:szCs w:val="20"/>
                  </w:rPr>
                  <m:t xml:space="preserve">              </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ε</m:t>
                    </m:r>
                  </m:e>
                  <m:sub>
                    <m:r>
                      <w:rPr>
                        <w:rFonts w:ascii="Cambria Math" w:eastAsia="Calibri" w:hAnsi="Cambria Math" w:cs="Times New Roman"/>
                        <w:sz w:val="20"/>
                        <w:szCs w:val="20"/>
                      </w:rPr>
                      <m:t>m</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ρ</m:t>
                        </m:r>
                      </m:e>
                      <m:sub>
                        <m:r>
                          <w:rPr>
                            <w:rFonts w:ascii="Cambria Math" w:eastAsia="Calibri" w:hAnsi="Cambria Math" w:cs="Times New Roman"/>
                            <w:sz w:val="20"/>
                            <w:szCs w:val="20"/>
                          </w:rPr>
                          <m:t>w</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w</m:t>
                        </m:r>
                      </m:e>
                      <m:sub>
                        <m:r>
                          <w:rPr>
                            <w:rFonts w:ascii="Cambria Math" w:eastAsia="Calibri" w:hAnsi="Cambria Math" w:cs="Times New Roman"/>
                            <w:sz w:val="20"/>
                            <w:szCs w:val="20"/>
                          </w:rPr>
                          <m:t>1</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w</m:t>
                        </m:r>
                      </m:e>
                      <m:sub>
                        <m:r>
                          <w:rPr>
                            <w:rFonts w:ascii="Cambria Math" w:eastAsia="Calibri" w:hAnsi="Cambria Math" w:cs="Times New Roman"/>
                            <w:sz w:val="20"/>
                            <w:szCs w:val="20"/>
                          </w:rPr>
                          <m:t>2</m:t>
                        </m:r>
                      </m:sub>
                    </m:sSub>
                    <m:r>
                      <w:rPr>
                        <w:rFonts w:ascii="Cambria Math" w:eastAsia="Calibri" w:hAnsi="Cambria Math" w:cs="Times New Roman"/>
                        <w:sz w:val="20"/>
                        <w:szCs w:val="20"/>
                      </w:rPr>
                      <m:t>)</m:t>
                    </m:r>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ρ</m:t>
                        </m:r>
                      </m:e>
                      <m:sub>
                        <m:r>
                          <w:rPr>
                            <w:rFonts w:ascii="Cambria Math" w:eastAsia="Calibri" w:hAnsi="Cambria Math" w:cs="Times New Roman"/>
                            <w:sz w:val="20"/>
                            <w:szCs w:val="20"/>
                          </w:rPr>
                          <m:t>p</m:t>
                        </m:r>
                      </m:sub>
                    </m:sSub>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w</m:t>
                            </m:r>
                          </m:e>
                          <m:sub>
                            <m:r>
                              <w:rPr>
                                <w:rFonts w:ascii="Cambria Math" w:eastAsia="Calibri" w:hAnsi="Cambria Math" w:cs="Times New Roman"/>
                                <w:sz w:val="20"/>
                                <w:szCs w:val="20"/>
                              </w:rPr>
                              <m:t>1</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w</m:t>
                            </m:r>
                          </m:e>
                          <m:sub>
                            <m:r>
                              <w:rPr>
                                <w:rFonts w:ascii="Cambria Math" w:eastAsia="Calibri" w:hAnsi="Cambria Math" w:cs="Times New Roman"/>
                                <w:sz w:val="20"/>
                                <w:szCs w:val="20"/>
                              </w:rPr>
                              <m:t>2</m:t>
                            </m:r>
                          </m:sub>
                        </m:sSub>
                      </m:e>
                    </m:d>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ρ</m:t>
                        </m:r>
                      </m:e>
                      <m:sub>
                        <m:r>
                          <w:rPr>
                            <w:rFonts w:ascii="Cambria Math" w:eastAsia="Calibri" w:hAnsi="Cambria Math" w:cs="Times New Roman"/>
                            <w:sz w:val="20"/>
                            <w:szCs w:val="20"/>
                          </w:rPr>
                          <m:t>w</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w</m:t>
                        </m:r>
                      </m:e>
                      <m:sub>
                        <m:r>
                          <w:rPr>
                            <w:rFonts w:ascii="Cambria Math" w:eastAsia="Calibri" w:hAnsi="Cambria Math" w:cs="Times New Roman"/>
                            <w:sz w:val="20"/>
                            <w:szCs w:val="20"/>
                          </w:rPr>
                          <m:t>2</m:t>
                        </m:r>
                      </m:sub>
                    </m:sSub>
                    <m:r>
                      <w:rPr>
                        <w:rFonts w:ascii="Cambria Math" w:eastAsia="Calibri" w:hAnsi="Cambria Math" w:cs="Times New Roman"/>
                        <w:sz w:val="20"/>
                        <w:szCs w:val="20"/>
                      </w:rPr>
                      <m:t>)</m:t>
                    </m:r>
                  </m:den>
                </m:f>
              </m:oMath>
            </m:oMathPara>
          </w:p>
        </w:tc>
        <w:tc>
          <w:tcPr>
            <w:tcW w:w="450" w:type="dxa"/>
            <w:vAlign w:val="center"/>
          </w:tcPr>
          <w:p w:rsidR="00887BF6" w:rsidRPr="00887BF6" w:rsidRDefault="00887BF6" w:rsidP="001841F3">
            <w:pPr>
              <w:spacing w:after="0" w:line="240" w:lineRule="auto"/>
              <w:outlineLvl w:val="0"/>
              <w:rPr>
                <w:rFonts w:ascii="Times New Roman" w:hAnsi="Times New Roman" w:cs="Times New Roman"/>
                <w:sz w:val="20"/>
                <w:szCs w:val="20"/>
              </w:rPr>
            </w:pPr>
            <w:r w:rsidRPr="00887BF6">
              <w:rPr>
                <w:rFonts w:ascii="Times New Roman" w:hAnsi="Times New Roman" w:cs="Times New Roman"/>
                <w:sz w:val="20"/>
                <w:szCs w:val="20"/>
              </w:rPr>
              <w:t xml:space="preserve">      </w:t>
            </w:r>
            <w:r w:rsidR="001841F3">
              <w:rPr>
                <w:rFonts w:ascii="Times New Roman" w:hAnsi="Times New Roman" w:cs="Times New Roman"/>
                <w:sz w:val="20"/>
                <w:szCs w:val="20"/>
              </w:rPr>
              <w:t xml:space="preserve">                </w:t>
            </w:r>
            <w:r w:rsidRPr="00887BF6">
              <w:rPr>
                <w:rFonts w:ascii="Times New Roman" w:hAnsi="Times New Roman" w:cs="Times New Roman"/>
                <w:sz w:val="20"/>
                <w:szCs w:val="20"/>
              </w:rPr>
              <w:t>(1)</w:t>
            </w:r>
          </w:p>
        </w:tc>
      </w:tr>
    </w:tbl>
    <w:p w:rsidR="00887BF6" w:rsidRPr="00887BF6" w:rsidRDefault="00887BF6" w:rsidP="00887BF6">
      <w:pPr>
        <w:suppressAutoHyphens/>
        <w:adjustRightInd w:val="0"/>
        <w:spacing w:after="0" w:line="240" w:lineRule="auto"/>
        <w:ind w:firstLine="142"/>
        <w:jc w:val="both"/>
        <w:rPr>
          <w:rFonts w:ascii="Times New Roman" w:hAnsi="Times New Roman"/>
          <w:sz w:val="20"/>
          <w:szCs w:val="20"/>
          <w:lang w:eastAsia="el-GR"/>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 xml:space="preserve">where, </w:t>
      </w:r>
      <w:r w:rsidRPr="00887BF6">
        <w:rPr>
          <w:rFonts w:ascii="Times New Roman" w:hAnsi="Times New Roman"/>
          <w:i/>
          <w:iCs/>
          <w:sz w:val="20"/>
          <w:szCs w:val="20"/>
        </w:rPr>
        <w:t>w</w:t>
      </w:r>
      <w:r w:rsidRPr="00887BF6">
        <w:rPr>
          <w:rFonts w:ascii="Times New Roman" w:hAnsi="Times New Roman"/>
          <w:i/>
          <w:iCs/>
          <w:sz w:val="20"/>
          <w:szCs w:val="20"/>
          <w:vertAlign w:val="subscript"/>
        </w:rPr>
        <w:t>1</w:t>
      </w:r>
      <w:r w:rsidRPr="00887BF6">
        <w:rPr>
          <w:rFonts w:ascii="Times New Roman" w:hAnsi="Times New Roman"/>
          <w:sz w:val="20"/>
          <w:szCs w:val="20"/>
          <w:vertAlign w:val="subscript"/>
        </w:rPr>
        <w:t xml:space="preserve"> </w:t>
      </w:r>
      <w:r w:rsidRPr="00887BF6">
        <w:rPr>
          <w:rFonts w:ascii="Times New Roman" w:hAnsi="Times New Roman"/>
          <w:sz w:val="20"/>
          <w:szCs w:val="20"/>
        </w:rPr>
        <w:t xml:space="preserve">and </w:t>
      </w:r>
      <w:r w:rsidRPr="00887BF6">
        <w:rPr>
          <w:rFonts w:ascii="Times New Roman" w:hAnsi="Times New Roman"/>
          <w:i/>
          <w:iCs/>
          <w:sz w:val="20"/>
          <w:szCs w:val="20"/>
        </w:rPr>
        <w:t>w</w:t>
      </w:r>
      <w:r w:rsidRPr="00887BF6">
        <w:rPr>
          <w:rFonts w:ascii="Times New Roman" w:hAnsi="Times New Roman"/>
          <w:i/>
          <w:iCs/>
          <w:sz w:val="20"/>
          <w:szCs w:val="20"/>
          <w:vertAlign w:val="subscript"/>
        </w:rPr>
        <w:t>2</w:t>
      </w:r>
      <w:r w:rsidRPr="00887BF6">
        <w:rPr>
          <w:rFonts w:ascii="Times New Roman" w:hAnsi="Times New Roman"/>
          <w:sz w:val="20"/>
          <w:szCs w:val="20"/>
        </w:rPr>
        <w:t xml:space="preserve"> are the weights of the wet and the dry membrane, respectively while ρw and ρp are density of the water and polymer solution, respectively. Based on the mentioned equation, the porosity εm can be described as a non-dimensional parameter and in most literature; it is written as a percentage concentrate (%).</w:t>
      </w:r>
    </w:p>
    <w:p w:rsidR="00887BF6" w:rsidRPr="00887BF6" w:rsidRDefault="00887BF6" w:rsidP="00887BF6">
      <w:pPr>
        <w:spacing w:after="0" w:line="240" w:lineRule="auto"/>
        <w:jc w:val="both"/>
        <w:outlineLvl w:val="0"/>
        <w:rPr>
          <w:rFonts w:ascii="Times New Roman" w:hAnsi="Times New Roman"/>
          <w:sz w:val="20"/>
          <w:szCs w:val="20"/>
          <w:lang w:eastAsia="el-GR"/>
        </w:rPr>
      </w:pPr>
    </w:p>
    <w:p w:rsidR="00887BF6" w:rsidRPr="00887BF6" w:rsidRDefault="00887BF6" w:rsidP="00887BF6">
      <w:pPr>
        <w:suppressAutoHyphens/>
        <w:spacing w:after="0" w:line="240" w:lineRule="auto"/>
        <w:jc w:val="both"/>
        <w:rPr>
          <w:rFonts w:ascii="Times New Roman" w:hAnsi="Times New Roman"/>
          <w:b/>
          <w:bCs/>
          <w:iCs/>
          <w:spacing w:val="-8"/>
          <w:sz w:val="20"/>
          <w:szCs w:val="20"/>
        </w:rPr>
      </w:pPr>
      <w:bookmarkStart w:id="0" w:name="tableCaptions"/>
      <w:bookmarkEnd w:id="0"/>
      <w:r w:rsidRPr="00887BF6">
        <w:rPr>
          <w:rFonts w:ascii="Times New Roman" w:hAnsi="Times New Roman"/>
          <w:b/>
          <w:bCs/>
          <w:iCs/>
          <w:spacing w:val="-8"/>
          <w:sz w:val="20"/>
          <w:szCs w:val="20"/>
        </w:rPr>
        <w:t>Application of ANN</w:t>
      </w: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 xml:space="preserve">The objective of the neural network is to estimate the overall porosity values of HFMs by some internal calculations and weights </w:t>
      </w:r>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&lt;EndNote&gt;&lt;Cite&gt;&lt;Author&gt;Cartwright&lt;/Author&gt;&lt;Year&gt;2015&lt;/Year&gt;&lt;RecNum&gt;190&lt;/RecNum&gt;&lt;DisplayText&gt;[19]&lt;/DisplayText&gt;&lt;record&gt;&lt;rec-number&gt;190&lt;/rec-number&gt;&lt;foreign-keys&gt;&lt;key app="EN" db-id="2dz5xpdxnxt0skesrx5vassad0av9deaef5r" timestamp="1461489146"&gt;190&lt;/key&gt;&lt;/foreign-keys&gt;&lt;ref-type name="Book"&gt;6&lt;/ref-type&gt;&lt;contributors&gt;&lt;authors&gt;&lt;author&gt;Cartwright, Hugh&lt;/author&gt;&lt;/authors&gt;&lt;/contributors&gt;&lt;titles&gt;&lt;title&gt;Artificial neural networks&lt;/title&gt;&lt;/titles&gt;&lt;dates&gt;&lt;year&gt;2015&lt;/year&gt;&lt;/dates&gt;&lt;publisher&gt;Springer&lt;/publisher&gt;&lt;isbn&gt;1493922386&lt;/isbn&gt;&lt;urls&gt;&lt;/urls&gt;&lt;/record&gt;&lt;/Cite&gt;&lt;/EndNote&gt;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sz w:val="20"/>
          <w:szCs w:val="20"/>
        </w:rPr>
        <w:t>[</w:t>
      </w:r>
      <w:hyperlink w:anchor="_ENREF_19" w:tooltip="Cartwright, 2015 #190" w:history="1">
        <w:r w:rsidRPr="00887BF6">
          <w:rPr>
            <w:rFonts w:ascii="Times New Roman" w:hAnsi="Times New Roman"/>
            <w:sz w:val="20"/>
            <w:szCs w:val="20"/>
          </w:rPr>
          <w:t>19</w:t>
        </w:r>
      </w:hyperlink>
      <w:r w:rsidRPr="00887BF6">
        <w:rPr>
          <w:rFonts w:ascii="Times New Roman" w:hAnsi="Times New Roman"/>
          <w:sz w:val="20"/>
          <w:szCs w:val="20"/>
        </w:rPr>
        <w:t>]</w:t>
      </w:r>
      <w:r w:rsidRPr="00887BF6">
        <w:rPr>
          <w:rFonts w:ascii="Times New Roman" w:hAnsi="Times New Roman"/>
          <w:sz w:val="20"/>
          <w:szCs w:val="20"/>
        </w:rPr>
        <w:fldChar w:fldCharType="end"/>
      </w:r>
      <w:r w:rsidRPr="00887BF6">
        <w:rPr>
          <w:rFonts w:ascii="Times New Roman" w:hAnsi="Times New Roman"/>
          <w:sz w:val="20"/>
          <w:szCs w:val="20"/>
        </w:rPr>
        <w:t xml:space="preserve">. Neurons (or cells) are processing elements that carry out simple computations from a vector of composition and dope extrusion flow rates </w:t>
      </w:r>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&lt;EndNote&gt;&lt;Cite&gt;&lt;Author&gt;Cartwright&lt;/Author&gt;&lt;Year&gt;2015&lt;/Year&gt;&lt;RecNum&gt;190&lt;/RecNum&gt;&lt;DisplayText&gt;[19]&lt;/DisplayText&gt;&lt;record&gt;&lt;rec-number&gt;190&lt;/rec-number&gt;&lt;foreign-keys&gt;&lt;key app="EN" db-id="2dz5xpdxnxt0skesrx5vassad0av9deaef5r" timestamp="1461489146"&gt;190&lt;/key&gt;&lt;/foreign-keys&gt;&lt;ref-type name="Book"&gt;6&lt;/ref-type&gt;&lt;contributors&gt;&lt;authors&gt;&lt;author&gt;Cartwright, Hugh&lt;/author&gt;&lt;/authors&gt;&lt;/contributors&gt;&lt;titles&gt;&lt;title&gt;Artificial neural networks&lt;/title&gt;&lt;/titles&gt;&lt;dates&gt;&lt;year&gt;2015&lt;/year&gt;&lt;/dates&gt;&lt;publisher&gt;Springer&lt;/publisher&gt;&lt;isbn&gt;1493922386&lt;/isbn&gt;&lt;urls&gt;&lt;/urls&gt;&lt;/record&gt;&lt;/Cite&gt;&lt;/EndNote&gt;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sz w:val="20"/>
          <w:szCs w:val="20"/>
        </w:rPr>
        <w:t>[</w:t>
      </w:r>
      <w:hyperlink w:anchor="_ENREF_19" w:tooltip="Cartwright, 2015 #190" w:history="1">
        <w:r w:rsidRPr="00887BF6">
          <w:rPr>
            <w:rFonts w:ascii="Times New Roman" w:hAnsi="Times New Roman"/>
            <w:sz w:val="20"/>
            <w:szCs w:val="20"/>
          </w:rPr>
          <w:t>19</w:t>
        </w:r>
      </w:hyperlink>
      <w:r w:rsidRPr="00887BF6">
        <w:rPr>
          <w:rFonts w:ascii="Times New Roman" w:hAnsi="Times New Roman"/>
          <w:sz w:val="20"/>
          <w:szCs w:val="20"/>
        </w:rPr>
        <w:t>]</w:t>
      </w:r>
      <w:r w:rsidRPr="00887BF6">
        <w:rPr>
          <w:rFonts w:ascii="Times New Roman" w:hAnsi="Times New Roman"/>
          <w:sz w:val="20"/>
          <w:szCs w:val="20"/>
        </w:rPr>
        <w:fldChar w:fldCharType="end"/>
      </w:r>
      <w:r w:rsidRPr="00887BF6">
        <w:rPr>
          <w:rFonts w:ascii="Times New Roman" w:hAnsi="Times New Roman"/>
          <w:sz w:val="20"/>
          <w:szCs w:val="20"/>
        </w:rPr>
        <w:t xml:space="preserve">. A neuron performs a non-linear transformation of the weighted sum of the incoming neuron inputs to produce the output of the neuron. Generally, the ANNs based on networks are classified into three groups including feedforward (FFNN), feedback (FBNN) and recurrent (RNN). The feedforward network is the commonly used with high accuracy and the lowest error in comparison with others </w:t>
      </w:r>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&lt;EndNote&gt;&lt;Cite&gt;&lt;Author&gt;Karayiannis&lt;/Author&gt;&lt;Year&gt;2013&lt;/Year&gt;&lt;RecNum&gt;212&lt;/RecNum&gt;&lt;DisplayText&gt;[20]&lt;/DisplayText&gt;&lt;record&gt;&lt;rec-number&gt;212&lt;/rec-number&gt;&lt;foreign-keys&gt;&lt;key app="EN" db-id="2dz5xpdxnxt0skesrx5vassad0av9deaef5r" timestamp="1461832511"&gt;212&lt;/key&gt;&lt;/foreign-keys&gt;&lt;ref-type name="Book"&gt;6&lt;/ref-type&gt;&lt;contributors&gt;&lt;authors&gt;&lt;author&gt;Karayiannis, Nicolaos&lt;/author&gt;&lt;author&gt;Venetsanopoulos, Anastasios N&lt;/author&gt;&lt;/authors&gt;&lt;/contributors&gt;&lt;titles&gt;&lt;title&gt;Artificial neural networks: learning algorithms, performance evaluation, and applications&lt;/title&gt;&lt;/titles&gt;&lt;volume&gt;209&lt;/volume&gt;&lt;dates&gt;&lt;year&gt;2013&lt;/year&gt;&lt;/dates&gt;&lt;publisher&gt;Springer Science &amp;amp; Business Media&lt;/publisher&gt;&lt;isbn&gt;1475745478&lt;/isbn&gt;&lt;urls&gt;&lt;/urls&gt;&lt;/record&gt;&lt;/Cite&gt;&lt;/EndNote&gt;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sz w:val="20"/>
          <w:szCs w:val="20"/>
        </w:rPr>
        <w:t>[</w:t>
      </w:r>
      <w:hyperlink w:anchor="_ENREF_20" w:tooltip="Karayiannis, 2013 #212" w:history="1">
        <w:r w:rsidRPr="00887BF6">
          <w:rPr>
            <w:rFonts w:ascii="Times New Roman" w:hAnsi="Times New Roman"/>
            <w:sz w:val="20"/>
            <w:szCs w:val="20"/>
          </w:rPr>
          <w:t>20</w:t>
        </w:r>
      </w:hyperlink>
      <w:r w:rsidRPr="00887BF6">
        <w:rPr>
          <w:rFonts w:ascii="Times New Roman" w:hAnsi="Times New Roman"/>
          <w:sz w:val="20"/>
          <w:szCs w:val="20"/>
        </w:rPr>
        <w:t>]</w:t>
      </w:r>
      <w:r w:rsidRPr="00887BF6">
        <w:rPr>
          <w:rFonts w:ascii="Times New Roman" w:hAnsi="Times New Roman"/>
          <w:sz w:val="20"/>
          <w:szCs w:val="20"/>
        </w:rPr>
        <w:fldChar w:fldCharType="end"/>
      </w:r>
      <w:r w:rsidRPr="00887BF6">
        <w:rPr>
          <w:rFonts w:ascii="Times New Roman" w:hAnsi="Times New Roman"/>
          <w:sz w:val="20"/>
          <w:szCs w:val="20"/>
        </w:rPr>
        <w:t xml:space="preserve">. At present, and to the best of our knowledge, no study has yet been done on the application of ANN and MRAC to produce the HFMs with the desired overall porosity. Therefore, using ANN and MRAC to predict and control the HFM overall porosity is a novel approach and some publications which are related to other aspect of membranes replaced as literature. For example, </w:t>
      </w:r>
      <w:hyperlink w:anchor="_ENREF_21" w:tooltip="Tardast, 2014 #308"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AuthorYear="1"&gt;&lt;Author&gt;Tardast&lt;/Author&gt;&lt;Year&gt;2014&lt;/Year&gt;&lt;RecNum&gt;308&lt;/RecNum&gt;&lt;DisplayText&gt;Tardast, et al. [21]&lt;/DisplayText&gt;&lt;record&gt;&lt;rec-number&gt;308&lt;/rec-number&gt;&lt;foreign-keys&gt;&lt;key app="EN" db-id="2dz5xpdxnxt0skesrx5vassad0av9deaef5r" timestamp="1474814852"&gt;308&lt;/key&gt;&lt;/foreign-keys&gt;&lt;ref-type name="Journal Article"&gt;17&lt;/ref-type&gt;&lt;contributors&gt;&lt;authors&gt;&lt;author&gt;Tardast, Ali&lt;/author&gt;&lt;author&gt;Rahimnejad, Mostafa&lt;/author&gt;&lt;author&gt;Najafpour, Ghasem&lt;/author&gt;&lt;author&gt;Ghoreyshi, Ali&lt;/author&gt;&lt;author&gt;Premier, Giuliano C&lt;/author&gt;&lt;author&gt;Bakeri, Gholamreza&lt;/author&gt;&lt;author&gt;Oh, Sang-Eun&lt;/author&gt;&lt;/authors&gt;&lt;/contributors&gt;&lt;titles&gt;&lt;title&gt;Use of artificial neural network for the prediction of bioelectricity production in a membrane less microbial fuel cell&lt;/title&gt;&lt;secondary-title&gt;Fuel&lt;/secondary-title&gt;&lt;/titles&gt;&lt;periodical&gt;&lt;full-title&gt;Fuel&lt;/full-title&gt;&lt;/periodical&gt;&lt;pages&gt;697-703&lt;/pages&gt;&lt;volume&gt;117&lt;/volume&gt;&lt;dates&gt;&lt;year&gt;2014&lt;/year&gt;&lt;/dates&gt;&lt;isbn&gt;0016-2361&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sz w:val="20"/>
            <w:szCs w:val="20"/>
          </w:rPr>
          <w:t>Tardast et al. [21]</w:t>
        </w:r>
        <w:r w:rsidRPr="00887BF6">
          <w:rPr>
            <w:rFonts w:ascii="Times New Roman" w:hAnsi="Times New Roman"/>
            <w:sz w:val="20"/>
            <w:szCs w:val="20"/>
          </w:rPr>
          <w:fldChar w:fldCharType="end"/>
        </w:r>
      </w:hyperlink>
      <w:r w:rsidRPr="00887BF6">
        <w:rPr>
          <w:rFonts w:ascii="Times New Roman" w:hAnsi="Times New Roman"/>
          <w:sz w:val="20"/>
          <w:szCs w:val="20"/>
        </w:rPr>
        <w:t xml:space="preserve"> used ANN to predict the of bioelectricity production in a membrane less microbial fuel cell. </w:t>
      </w:r>
      <w:hyperlink w:anchor="_ENREF_22" w:tooltip="Mirbagheri, 2015 #310"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AuthorYear="1"&gt;&lt;Author&gt;Mirbagheri&lt;/Author&gt;&lt;Year&gt;2015&lt;/Year&gt;&lt;RecNum&gt;310&lt;/RecNum&gt;&lt;DisplayText&gt;Mirbagheri, et al. [22]&lt;/DisplayText&gt;&lt;record&gt;&lt;rec-number&gt;310&lt;/rec-number&gt;&lt;foreign-keys&gt;&lt;key app="EN" db-id="2dz5xpdxnxt0skesrx5vassad0av9deaef5r" timestamp="1474815500"&gt;310&lt;/key&gt;&lt;/foreign-keys&gt;&lt;ref-type name="Journal Article"&gt;17&lt;/ref-type&gt;&lt;contributors&gt;&lt;authors&gt;&lt;author&gt;Mirbagheri, Seyed Ahmad&lt;/author&gt;&lt;author&gt;Bagheri, Majid&lt;/author&gt;&lt;author&gt;Bagheri, Zahra&lt;/author&gt;&lt;author&gt;Kamarkhani, Ali Morad&lt;/author&gt;&lt;/authors&gt;&lt;/contributors&gt;&lt;titles&gt;&lt;title&gt;Evaluation and prediction of membrane fouling in a submerged membrane bioreactor with simultaneous upward and downward aeration using artificial neural network-genetic algorithm&lt;/title&gt;&lt;secondary-title&gt;Process Safety and Environmental Protection&lt;/secondary-title&gt;&lt;/titles&gt;&lt;periodical&gt;&lt;full-title&gt;Process Safety and Environmental Protection&lt;/full-title&gt;&lt;/periodical&gt;&lt;pages&gt;111-124&lt;/pages&gt;&lt;volume&gt;96&lt;/volume&gt;&lt;dates&gt;&lt;year&gt;2015&lt;/year&gt;&lt;/dates&gt;&lt;isbn&gt;0957-5820&lt;/isbn&gt;&lt;urls&gt;&lt;/urls&gt;&lt;/record&gt;&lt;/Cite&gt;&lt;/EndNote&gt;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sz w:val="20"/>
            <w:szCs w:val="20"/>
          </w:rPr>
          <w:t>Mirbagheri et al. [22]</w:t>
        </w:r>
        <w:r w:rsidRPr="00887BF6">
          <w:rPr>
            <w:rFonts w:ascii="Times New Roman" w:hAnsi="Times New Roman"/>
            <w:sz w:val="20"/>
            <w:szCs w:val="20"/>
          </w:rPr>
          <w:fldChar w:fldCharType="end"/>
        </w:r>
      </w:hyperlink>
      <w:r w:rsidRPr="00887BF6">
        <w:rPr>
          <w:rFonts w:ascii="Times New Roman" w:hAnsi="Times New Roman"/>
          <w:sz w:val="20"/>
          <w:szCs w:val="20"/>
        </w:rPr>
        <w:t xml:space="preserve"> studied about the evaluation and prediction of membrane fouling and </w:t>
      </w:r>
      <w:hyperlink w:anchor="_ENREF_23" w:tooltip="Basile, 2015 #309" w:history="1">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 AuthorYear="1"&gt;&lt;Author&gt;Basile&lt;/Author&gt;&lt;Year&gt;2015&lt;/Year&gt;&lt;RecNum&gt;309&lt;/RecNum&gt;&lt;DisplayText&gt;Basile, et al. [23]&lt;/DisplayText&gt;&lt;record&gt;&lt;rec-number&gt;309&lt;/rec-number&gt;&lt;foreign-keys&gt;&lt;key app="EN" db-id="2dz5xpdxnxt0skesrx5vassad0av9deaef5r" timestamp="1474815274"&gt;309&lt;/key&gt;&lt;/foreign-keys&gt;&lt;ref-type name="Journal Article"&gt;17&lt;/ref-type&gt;&lt;contributors&gt;&lt;authors&gt;&lt;author&gt;Basile, Angelo&lt;/author&gt;&lt;author&gt;Curcio, Stefano&lt;/author&gt;&lt;author&gt;Bagnato, Giuseppe&lt;/author&gt;&lt;author&gt;Liguori, Simona&lt;/author&gt;&lt;author&gt;Jokar, SM&lt;/author&gt;&lt;author&gt;Iulianelli, Adolfo&lt;/author&gt;&lt;/authors&gt;&lt;/contributors&gt;&lt;titles&gt;&lt;title&gt;Water gas shift reaction in membrane reactors: Theoretical investigation by artificial neural networks model and experimental validation&lt;/title&gt;&lt;secondary-title&gt;International Journal of Hydrogen Energy&lt;/secondary-title&gt;&lt;/titles&gt;&lt;periodical&gt;&lt;full-title&gt;International Journal of Hydrogen Energy&lt;/full-title&gt;&lt;/periodical&gt;&lt;pages&gt;5897-5906&lt;/pages&gt;&lt;volume&gt;40&lt;/volume&gt;&lt;number&gt;17&lt;/number&gt;&lt;dates&gt;&lt;year&gt;2015&lt;/year&gt;&lt;/dates&gt;&lt;isbn&gt;0360-3199&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sz w:val="20"/>
            <w:szCs w:val="20"/>
          </w:rPr>
          <w:t>Basile et al. [23]</w:t>
        </w:r>
        <w:r w:rsidRPr="00887BF6">
          <w:rPr>
            <w:rFonts w:ascii="Times New Roman" w:hAnsi="Times New Roman"/>
            <w:sz w:val="20"/>
            <w:szCs w:val="20"/>
          </w:rPr>
          <w:fldChar w:fldCharType="end"/>
        </w:r>
      </w:hyperlink>
      <w:r w:rsidRPr="00887BF6">
        <w:rPr>
          <w:rFonts w:ascii="Times New Roman" w:hAnsi="Times New Roman"/>
          <w:sz w:val="20"/>
          <w:szCs w:val="20"/>
        </w:rPr>
        <w:t xml:space="preserve"> investigated theoretically modelling using NN and experimental validation. The model was trained, taking into account the obtained overall porosity of membranes differing in polymer concentration and dope extrusion flow rates. In this study, 75% of the obtained data was used as the training data, 15% as testing data and the rest was utilized as validation data.</w:t>
      </w:r>
    </w:p>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uppressAutoHyphens/>
        <w:spacing w:after="0" w:line="240" w:lineRule="auto"/>
        <w:jc w:val="both"/>
        <w:rPr>
          <w:rFonts w:ascii="Times New Roman" w:hAnsi="Times New Roman"/>
          <w:b/>
          <w:bCs/>
          <w:iCs/>
          <w:spacing w:val="-8"/>
          <w:sz w:val="20"/>
          <w:szCs w:val="20"/>
        </w:rPr>
      </w:pPr>
      <w:r w:rsidRPr="00887BF6">
        <w:rPr>
          <w:rFonts w:ascii="Times New Roman" w:hAnsi="Times New Roman"/>
          <w:b/>
          <w:bCs/>
          <w:iCs/>
          <w:spacing w:val="-8"/>
          <w:sz w:val="20"/>
          <w:szCs w:val="20"/>
        </w:rPr>
        <w:t>Model reference adaptive control</w:t>
      </w: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The MRAC technique comes under the non-dual adaptive control category that the system performance is described by a proper reference model. It has two interconnected loops; first is the regulator or inner loop involving the ANN model for HFM manufacturing system and adjustment mechanism while the second is the adaptation or outer loop, which regulates the adjustment mechanism parameters with minimizing the error. It is obtained from the difference among the outputs of the reference model and real plant.</w:t>
      </w:r>
    </w:p>
    <w:p w:rsidR="00887BF6" w:rsidRPr="00887BF6" w:rsidRDefault="00887BF6" w:rsidP="00887BF6">
      <w:pPr>
        <w:spacing w:after="0" w:line="240" w:lineRule="auto"/>
        <w:jc w:val="both"/>
        <w:outlineLvl w:val="0"/>
        <w:rPr>
          <w:rFonts w:ascii="Times New Roman" w:hAnsi="Times New Roman"/>
          <w:sz w:val="20"/>
          <w:szCs w:val="20"/>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8"/>
        <w:gridCol w:w="540"/>
      </w:tblGrid>
      <w:tr w:rsidR="00887BF6" w:rsidRPr="00887BF6" w:rsidTr="001841F3">
        <w:tc>
          <w:tcPr>
            <w:tcW w:w="9108"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m:oMathPara>
              <m:oMathParaPr>
                <m:jc m:val="left"/>
              </m:oMathParaPr>
              <m:oMath>
                <m:r>
                  <w:rPr>
                    <w:rFonts w:ascii="Cambria Math" w:eastAsia="Calibri" w:hAnsi="Cambria Math" w:cs="Times New Roman"/>
                    <w:sz w:val="20"/>
                    <w:szCs w:val="20"/>
                  </w:rPr>
                  <m:t xml:space="preserve">             e=y-</m:t>
                </m:r>
                <m:sSub>
                  <m:sSubPr>
                    <m:ctrlPr>
                      <w:rPr>
                        <w:rFonts w:ascii="Cambria Math" w:hAnsi="Cambria Math" w:cs="Times New Roman"/>
                        <w:i/>
                        <w:sz w:val="20"/>
                        <w:szCs w:val="20"/>
                      </w:rPr>
                    </m:ctrlPr>
                  </m:sSubPr>
                  <m:e>
                    <m:r>
                      <w:rPr>
                        <w:rFonts w:ascii="Cambria Math" w:eastAsia="Calibri" w:hAnsi="Cambria Math" w:cs="Times New Roman"/>
                        <w:sz w:val="20"/>
                        <w:szCs w:val="20"/>
                      </w:rPr>
                      <m:t>y</m:t>
                    </m:r>
                  </m:e>
                  <m:sub>
                    <m:r>
                      <w:rPr>
                        <w:rFonts w:ascii="Cambria Math" w:eastAsia="Calibri" w:hAnsi="Cambria Math" w:cs="Times New Roman"/>
                        <w:sz w:val="20"/>
                        <w:szCs w:val="20"/>
                      </w:rPr>
                      <m:t>m</m:t>
                    </m:r>
                  </m:sub>
                </m:sSub>
              </m:oMath>
            </m:oMathPara>
          </w:p>
        </w:tc>
        <w:tc>
          <w:tcPr>
            <w:tcW w:w="540"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w:r w:rsidRPr="00887BF6">
              <w:rPr>
                <w:rFonts w:ascii="Times New Roman" w:hAnsi="Times New Roman" w:cs="Times New Roman"/>
                <w:sz w:val="20"/>
                <w:szCs w:val="20"/>
              </w:rPr>
              <w:t>(2)</w:t>
            </w:r>
          </w:p>
        </w:tc>
      </w:tr>
    </w:tbl>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The HFM manufacturing system as HFM manufacturing system was considered as the plant to develop the MRAC. The polymer concentration and dope extrusion flow rate were selected as the input variables as well as the HFM overall porosity was considered as output variable. The selected input-output variables were used to identify the HFM manufacturing system. The developed ANN model for HFM manufacturing system was used as plant model in designing the MRAC. It should be mentioned that the ANN model for HFM manufacturing system has two inputs, namely, the polymer concentration and dope extrusion flow rate. It means that in order to produce the HFMs with the desired overall porosity, the mentioned inputs should be changed during the membrane fabrication process. Therefore, the proposed approach helps membrane researchers to control the HFMs overall porosity during fabricate process and produce the HFMs with the desired overall without drying and any experiments. Since the concentration of the polymer inside the dope solution cannot be changed easily and simultaneously, it was predicted using the ANN as shown in Figure 2. In fact, the obtained data from the membrane characterization was again used to train the other ANN in which membrane overall porosity was used as input layer data and dope extrusion flow rate calculated by the ANN.</w:t>
      </w:r>
    </w:p>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1841F3">
      <w:pPr>
        <w:keepNext/>
        <w:spacing w:afterLines="100" w:after="240" w:line="240" w:lineRule="auto"/>
        <w:jc w:val="center"/>
        <w:rPr>
          <w:rFonts w:ascii="Times New Roman" w:eastAsia="Calibri" w:hAnsi="Times New Roman"/>
          <w:noProof/>
          <w:sz w:val="20"/>
          <w:szCs w:val="20"/>
        </w:rPr>
      </w:pPr>
      <w:r w:rsidRPr="00887BF6">
        <w:rPr>
          <w:rFonts w:ascii="Times New Roman" w:eastAsia="Calibri" w:hAnsi="Times New Roman"/>
          <w:noProof/>
          <w:sz w:val="20"/>
          <w:szCs w:val="20"/>
          <w:lang w:bidi="ar-SA"/>
        </w:rPr>
        <w:lastRenderedPageBreak/>
        <w:drawing>
          <wp:inline distT="0" distB="0" distL="0" distR="0" wp14:anchorId="589F9574" wp14:editId="7D35667E">
            <wp:extent cx="4305300" cy="1819275"/>
            <wp:effectExtent l="0" t="0" r="0"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5300" cy="1819275"/>
                    </a:xfrm>
                    <a:prstGeom prst="rect">
                      <a:avLst/>
                    </a:prstGeom>
                    <a:noFill/>
                    <a:ln>
                      <a:noFill/>
                    </a:ln>
                  </pic:spPr>
                </pic:pic>
              </a:graphicData>
            </a:graphic>
          </wp:inline>
        </w:drawing>
      </w:r>
    </w:p>
    <w:p w:rsidR="00887BF6" w:rsidRPr="00887BF6" w:rsidRDefault="00887BF6" w:rsidP="001841F3">
      <w:pPr>
        <w:spacing w:after="0" w:line="240" w:lineRule="auto"/>
        <w:jc w:val="center"/>
        <w:outlineLvl w:val="0"/>
        <w:rPr>
          <w:rFonts w:ascii="Times New Roman" w:hAnsi="Times New Roman"/>
          <w:sz w:val="20"/>
          <w:szCs w:val="20"/>
        </w:rPr>
      </w:pPr>
      <w:bookmarkStart w:id="1" w:name="_Toc457174342"/>
      <w:bookmarkStart w:id="2" w:name="_Toc457058933"/>
      <w:r w:rsidRPr="00887BF6">
        <w:rPr>
          <w:rFonts w:ascii="Times New Roman" w:hAnsi="Times New Roman"/>
          <w:sz w:val="20"/>
          <w:szCs w:val="20"/>
        </w:rPr>
        <w:t>Figure 2.</w:t>
      </w:r>
      <w:r w:rsidR="001841F3">
        <w:rPr>
          <w:rFonts w:ascii="Times New Roman" w:hAnsi="Times New Roman"/>
          <w:sz w:val="20"/>
          <w:szCs w:val="20"/>
        </w:rPr>
        <w:t xml:space="preserve"> </w:t>
      </w:r>
      <w:r w:rsidRPr="00887BF6">
        <w:rPr>
          <w:rFonts w:ascii="Times New Roman" w:hAnsi="Times New Roman"/>
          <w:sz w:val="20"/>
          <w:szCs w:val="20"/>
        </w:rPr>
        <w:t xml:space="preserve"> The MRAC using ANN model</w:t>
      </w:r>
      <w:bookmarkEnd w:id="1"/>
      <w:bookmarkEnd w:id="2"/>
    </w:p>
    <w:p w:rsidR="00887BF6" w:rsidRDefault="00887BF6" w:rsidP="00887BF6">
      <w:pPr>
        <w:spacing w:after="0" w:line="240" w:lineRule="auto"/>
        <w:jc w:val="both"/>
        <w:outlineLvl w:val="0"/>
        <w:rPr>
          <w:rFonts w:ascii="Times New Roman" w:hAnsi="Times New Roman"/>
          <w:sz w:val="20"/>
          <w:szCs w:val="20"/>
        </w:rPr>
      </w:pPr>
    </w:p>
    <w:p w:rsidR="001841F3" w:rsidRPr="00887BF6" w:rsidRDefault="001841F3"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 xml:space="preserve">The parameter in the control law was adjusted using an adjustment mechanism. The control parameter was searched through an adaptation law until the error between the HFM manufacturing system and reference model responses was minimized. It was designed to guarantee the control system well stability as well as conversance of tracking error to zero. Furthermore, two different mathematical techniques including MIT and normalized MIT rules were used to develop the adaptation mechanism </w:t>
      </w:r>
      <w:r w:rsidRPr="00887BF6">
        <w:rPr>
          <w:rFonts w:ascii="Times New Roman" w:hAnsi="Times New Roman"/>
          <w:sz w:val="20"/>
          <w:szCs w:val="20"/>
        </w:rPr>
        <w:fldChar w:fldCharType="begin"/>
      </w:r>
      <w:r w:rsidRPr="00887BF6">
        <w:rPr>
          <w:rFonts w:ascii="Times New Roman" w:hAnsi="Times New Roman"/>
          <w:sz w:val="20"/>
          <w:szCs w:val="20"/>
        </w:rPr>
        <w:instrText xml:space="preserve"> ADDIN EN.CITE &lt;EndNote&gt;&lt;Cite&gt;&lt;Author&gt;Ioannou&lt;/Author&gt;&lt;Year&gt;2012&lt;/Year&gt;&lt;RecNum&gt;146&lt;/RecNum&gt;&lt;DisplayText&gt;[24]&lt;/DisplayText&gt;&lt;record&gt;&lt;rec-number&gt;146&lt;/rec-number&gt;&lt;foreign-keys&gt;&lt;key app="EN" db-id="2dz5xpdxnxt0skesrx5vassad0av9deaef5r" timestamp="1460361780"&gt;146&lt;/key&gt;&lt;/foreign-keys&gt;&lt;ref-type name="Book"&gt;6&lt;/ref-type&gt;&lt;contributors&gt;&lt;authors&gt;&lt;author&gt;Ioannou, Petros A&lt;/author&gt;&lt;author&gt;Sun, Jing&lt;/author&gt;&lt;/authors&gt;&lt;/contributors&gt;&lt;titles&gt;&lt;title&gt;Robust adaptive control&lt;/title&gt;&lt;/titles&gt;&lt;dates&gt;&lt;year&gt;2012&lt;/year&gt;&lt;/dates&gt;&lt;publisher&gt;Courier Corporation&lt;/publisher&gt;&lt;isbn&gt;0486498174&lt;/isbn&gt;&lt;urls&gt;&lt;/urls&gt;&lt;/record&gt;&lt;/Cite&gt;&lt;/EndNote&gt;</w:instrText>
      </w:r>
      <w:r w:rsidRPr="00887BF6">
        <w:rPr>
          <w:rFonts w:ascii="Times New Roman" w:hAnsi="Times New Roman"/>
          <w:sz w:val="20"/>
          <w:szCs w:val="20"/>
        </w:rPr>
        <w:fldChar w:fldCharType="separate"/>
      </w:r>
      <w:r w:rsidRPr="00887BF6">
        <w:rPr>
          <w:rFonts w:ascii="Times New Roman" w:hAnsi="Times New Roman"/>
          <w:noProof/>
          <w:sz w:val="20"/>
          <w:szCs w:val="20"/>
        </w:rPr>
        <w:t>[</w:t>
      </w:r>
      <w:hyperlink w:anchor="_ENREF_24" w:tooltip="Ioannou, 2012 #146" w:history="1">
        <w:r w:rsidRPr="00887BF6">
          <w:rPr>
            <w:rFonts w:ascii="Times New Roman" w:hAnsi="Times New Roman"/>
            <w:noProof/>
            <w:sz w:val="20"/>
            <w:szCs w:val="20"/>
          </w:rPr>
          <w:t>24</w:t>
        </w:r>
      </w:hyperlink>
      <w:r w:rsidRPr="00887BF6">
        <w:rPr>
          <w:rFonts w:ascii="Times New Roman" w:hAnsi="Times New Roman"/>
          <w:noProof/>
          <w:sz w:val="20"/>
          <w:szCs w:val="20"/>
        </w:rPr>
        <w:t>]</w:t>
      </w:r>
      <w:r w:rsidRPr="00887BF6">
        <w:rPr>
          <w:rFonts w:ascii="Times New Roman" w:hAnsi="Times New Roman"/>
          <w:sz w:val="20"/>
          <w:szCs w:val="20"/>
        </w:rPr>
        <w:fldChar w:fldCharType="end"/>
      </w:r>
      <w:r w:rsidRPr="00887BF6">
        <w:rPr>
          <w:rFonts w:ascii="Times New Roman" w:hAnsi="Times New Roman"/>
          <w:sz w:val="20"/>
          <w:szCs w:val="20"/>
        </w:rPr>
        <w:t xml:space="preserve"> .</w:t>
      </w:r>
    </w:p>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uppressAutoHyphens/>
        <w:spacing w:after="0" w:line="240" w:lineRule="auto"/>
        <w:jc w:val="both"/>
        <w:rPr>
          <w:rFonts w:ascii="Times New Roman" w:hAnsi="Times New Roman"/>
          <w:b/>
          <w:bCs/>
          <w:iCs/>
          <w:spacing w:val="-8"/>
          <w:sz w:val="20"/>
          <w:szCs w:val="20"/>
        </w:rPr>
      </w:pPr>
      <w:r w:rsidRPr="00887BF6">
        <w:rPr>
          <w:rFonts w:ascii="Times New Roman" w:hAnsi="Times New Roman"/>
          <w:b/>
          <w:bCs/>
          <w:iCs/>
          <w:spacing w:val="-8"/>
          <w:sz w:val="20"/>
          <w:szCs w:val="20"/>
        </w:rPr>
        <w:t>MIT rule</w:t>
      </w: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The MIT rule has been developed in Massachusetts Institute of Technology and was used to apply the MRAC approach to any practical system. In this rule, the cost function or loss function is defined as equation 3:</w:t>
      </w:r>
    </w:p>
    <w:p w:rsidR="00887BF6" w:rsidRPr="00887BF6" w:rsidRDefault="00887BF6" w:rsidP="00887BF6">
      <w:pPr>
        <w:spacing w:after="0" w:line="240" w:lineRule="auto"/>
        <w:jc w:val="both"/>
        <w:outlineLvl w:val="0"/>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9"/>
        <w:gridCol w:w="450"/>
      </w:tblGrid>
      <w:tr w:rsidR="00887BF6" w:rsidRPr="00887BF6" w:rsidTr="001841F3">
        <w:tc>
          <w:tcPr>
            <w:tcW w:w="9079"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m:oMathPara>
              <m:oMathParaPr>
                <m:jc m:val="left"/>
              </m:oMathParaPr>
              <m:oMath>
                <m:r>
                  <w:rPr>
                    <w:rFonts w:ascii="Cambria Math" w:eastAsia="Calibri" w:hAnsi="Cambria Math" w:cs="Times New Roman"/>
                    <w:sz w:val="20"/>
                    <w:szCs w:val="20"/>
                  </w:rPr>
                  <m:t xml:space="preserve">              f</m:t>
                </m:r>
                <m:d>
                  <m:dPr>
                    <m:ctrlPr>
                      <w:rPr>
                        <w:rFonts w:ascii="Cambria Math" w:hAnsi="Cambria Math" w:cs="Times New Roman"/>
                        <w:i/>
                        <w:sz w:val="20"/>
                        <w:szCs w:val="20"/>
                      </w:rPr>
                    </m:ctrlPr>
                  </m:dPr>
                  <m:e>
                    <m:r>
                      <w:rPr>
                        <w:rFonts w:ascii="Cambria Math" w:eastAsia="Calibri" w:hAnsi="Cambria Math" w:cs="Times New Roman"/>
                        <w:sz w:val="20"/>
                        <w:szCs w:val="20"/>
                      </w:rPr>
                      <m:t>θ</m:t>
                    </m:r>
                  </m:e>
                </m:d>
                <m:r>
                  <w:rPr>
                    <w:rFonts w:ascii="Cambria Math" w:eastAsia="Calibri" w:hAnsi="Cambria Math" w:cs="Times New Roman"/>
                    <w:sz w:val="20"/>
                    <w:szCs w:val="20"/>
                  </w:rPr>
                  <m:t>=</m:t>
                </m:r>
                <m:sSup>
                  <m:sSupPr>
                    <m:ctrlPr>
                      <w:rPr>
                        <w:rFonts w:ascii="Cambria Math"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2</m:t>
                    </m:r>
                  </m:sup>
                </m:sSup>
                <m:r>
                  <w:rPr>
                    <w:rFonts w:ascii="Cambria Math" w:eastAsia="Calibri" w:hAnsi="Cambria Math" w:cs="Times New Roman"/>
                    <w:sz w:val="20"/>
                    <w:szCs w:val="20"/>
                  </w:rPr>
                  <m:t>/2</m:t>
                </m:r>
              </m:oMath>
            </m:oMathPara>
          </w:p>
        </w:tc>
        <w:tc>
          <w:tcPr>
            <w:tcW w:w="450"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w:r w:rsidRPr="00887BF6">
              <w:rPr>
                <w:rFonts w:ascii="Times New Roman" w:hAnsi="Times New Roman" w:cs="Times New Roman"/>
                <w:sz w:val="20"/>
                <w:szCs w:val="20"/>
              </w:rPr>
              <w:t>(3)</w:t>
            </w:r>
          </w:p>
        </w:tc>
      </w:tr>
    </w:tbl>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 xml:space="preserve">where, </w:t>
      </w:r>
      <w:r w:rsidRPr="00887BF6">
        <w:rPr>
          <w:rFonts w:ascii="Times New Roman" w:hAnsi="Times New Roman"/>
          <w:i/>
          <w:iCs/>
          <w:sz w:val="20"/>
          <w:szCs w:val="20"/>
        </w:rPr>
        <w:t>θ</w:t>
      </w:r>
      <w:r w:rsidRPr="00887BF6">
        <w:rPr>
          <w:rFonts w:ascii="Times New Roman" w:hAnsi="Times New Roman"/>
          <w:sz w:val="20"/>
          <w:szCs w:val="20"/>
        </w:rPr>
        <w:t xml:space="preserve"> and e are the adjustable control parameter and the error between the reference model and HFM manufacturing system respectively. The control parameter </w:t>
      </w:r>
      <w:r w:rsidRPr="00887BF6">
        <w:rPr>
          <w:rFonts w:ascii="Times New Roman" w:hAnsi="Times New Roman"/>
          <w:i/>
          <w:iCs/>
          <w:sz w:val="20"/>
          <w:szCs w:val="20"/>
        </w:rPr>
        <w:t xml:space="preserve">θ </w:t>
      </w:r>
      <w:r w:rsidRPr="00887BF6">
        <w:rPr>
          <w:rFonts w:ascii="Times New Roman" w:hAnsi="Times New Roman"/>
          <w:sz w:val="20"/>
          <w:szCs w:val="20"/>
        </w:rPr>
        <w:t xml:space="preserve">in this rule was adjusted based on minimizing the selected cost function. To do this, the control parameter was changed in the negative gradient of </w:t>
      </w:r>
      <w:r w:rsidRPr="00887BF6">
        <w:rPr>
          <w:rFonts w:ascii="Times New Roman" w:hAnsi="Times New Roman"/>
          <w:i/>
          <w:iCs/>
          <w:sz w:val="20"/>
          <w:szCs w:val="20"/>
        </w:rPr>
        <w:t>f</w:t>
      </w:r>
      <w:r w:rsidRPr="00887BF6">
        <w:rPr>
          <w:rFonts w:ascii="Times New Roman" w:hAnsi="Times New Roman"/>
          <w:sz w:val="20"/>
          <w:szCs w:val="20"/>
        </w:rPr>
        <w:t xml:space="preserve"> direction, as follows (equation 4):</w:t>
      </w:r>
    </w:p>
    <w:p w:rsidR="00887BF6" w:rsidRPr="00887BF6" w:rsidRDefault="00887BF6" w:rsidP="00887BF6">
      <w:pPr>
        <w:spacing w:after="0" w:line="240" w:lineRule="auto"/>
        <w:jc w:val="both"/>
        <w:outlineLvl w:val="0"/>
        <w:rPr>
          <w:rFonts w:ascii="Times New Roman" w:hAnsi="Times New Roman"/>
          <w:sz w:val="20"/>
          <w:szCs w:val="20"/>
        </w:rPr>
      </w:pPr>
    </w:p>
    <w:tbl>
      <w:tblPr>
        <w:tblStyle w:val="TableGrid"/>
        <w:tblW w:w="9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9"/>
        <w:gridCol w:w="540"/>
      </w:tblGrid>
      <w:tr w:rsidR="00887BF6" w:rsidRPr="00887BF6" w:rsidTr="001841F3">
        <w:tc>
          <w:tcPr>
            <w:tcW w:w="9079"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m:oMathPara>
              <m:oMathParaPr>
                <m:jc m:val="left"/>
              </m:oMathParaPr>
              <m:oMath>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dθ</m:t>
                    </m:r>
                  </m:num>
                  <m:den>
                    <m:r>
                      <w:rPr>
                        <w:rFonts w:ascii="Cambria Math" w:hAnsi="Cambria Math" w:cs="Times New Roman"/>
                        <w:sz w:val="20"/>
                        <w:szCs w:val="20"/>
                      </w:rPr>
                      <m:t>dt</m:t>
                    </m:r>
                  </m:den>
                </m:f>
                <m:r>
                  <w:rPr>
                    <w:rFonts w:ascii="Cambria Math" w:hAnsi="Cambria Math" w:cs="Times New Roman"/>
                    <w:sz w:val="20"/>
                    <w:szCs w:val="20"/>
                  </w:rPr>
                  <m:t>=-γ</m:t>
                </m:r>
                <m:f>
                  <m:fPr>
                    <m:ctrlPr>
                      <w:rPr>
                        <w:rFonts w:ascii="Cambria Math" w:hAnsi="Cambria Math" w:cs="Times New Roman"/>
                        <w:i/>
                        <w:sz w:val="20"/>
                        <w:szCs w:val="20"/>
                      </w:rPr>
                    </m:ctrlPr>
                  </m:fPr>
                  <m:num>
                    <m:r>
                      <w:rPr>
                        <w:rFonts w:ascii="Cambria Math" w:hAnsi="Cambria Math" w:cs="Times New Roman"/>
                        <w:sz w:val="20"/>
                        <w:szCs w:val="20"/>
                      </w:rPr>
                      <m:t>∂f</m:t>
                    </m:r>
                  </m:num>
                  <m:den>
                    <m:r>
                      <w:rPr>
                        <w:rFonts w:ascii="Cambria Math" w:hAnsi="Cambria Math" w:cs="Times New Roman"/>
                        <w:sz w:val="20"/>
                        <w:szCs w:val="20"/>
                      </w:rPr>
                      <m:t>∂θ</m:t>
                    </m:r>
                  </m:den>
                </m:f>
              </m:oMath>
            </m:oMathPara>
          </w:p>
        </w:tc>
        <w:tc>
          <w:tcPr>
            <w:tcW w:w="540"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w:r w:rsidRPr="00887BF6">
              <w:rPr>
                <w:rFonts w:ascii="Times New Roman" w:hAnsi="Times New Roman" w:cs="Times New Roman"/>
                <w:sz w:val="20"/>
                <w:szCs w:val="20"/>
              </w:rPr>
              <w:t>(4)</w:t>
            </w:r>
          </w:p>
        </w:tc>
      </w:tr>
    </w:tbl>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Substituting Eq. (3) in Eq. (4):</w:t>
      </w:r>
    </w:p>
    <w:p w:rsidR="00887BF6" w:rsidRPr="00887BF6" w:rsidRDefault="00887BF6" w:rsidP="00887BF6">
      <w:pPr>
        <w:spacing w:after="0" w:line="240" w:lineRule="auto"/>
        <w:jc w:val="both"/>
        <w:outlineLvl w:val="0"/>
        <w:rPr>
          <w:rFonts w:ascii="Times New Roman" w:hAnsi="Times New Roman"/>
          <w:sz w:val="20"/>
          <w:szCs w:val="20"/>
        </w:rPr>
      </w:pPr>
    </w:p>
    <w:tbl>
      <w:tblPr>
        <w:tblStyle w:val="TableGrid"/>
        <w:tblW w:w="9090" w:type="dxa"/>
        <w:tblInd w:w="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540"/>
      </w:tblGrid>
      <w:tr w:rsidR="00887BF6" w:rsidRPr="00887BF6" w:rsidTr="00390B9A">
        <w:tc>
          <w:tcPr>
            <w:tcW w:w="8550" w:type="dxa"/>
            <w:vAlign w:val="center"/>
          </w:tcPr>
          <w:p w:rsidR="00887BF6" w:rsidRPr="001841F3" w:rsidRDefault="002B07BA" w:rsidP="00887BF6">
            <w:pPr>
              <w:spacing w:after="0" w:line="240" w:lineRule="auto"/>
              <w:jc w:val="both"/>
              <w:outlineLvl w:val="0"/>
              <w:rPr>
                <w:rFonts w:ascii="Times New Roman" w:hAnsi="Times New Roman" w:cs="Times New Roman"/>
                <w:sz w:val="20"/>
                <w:szCs w:val="20"/>
              </w:rPr>
            </w:pPr>
            <m:oMathPara>
              <m:oMathParaPr>
                <m:jc m:val="left"/>
              </m:oMathParaPr>
              <m:oMath>
                <m:f>
                  <m:fPr>
                    <m:ctrlPr>
                      <w:rPr>
                        <w:rFonts w:ascii="Cambria Math" w:hAnsi="Cambria Math" w:cs="Times New Roman"/>
                        <w:i/>
                        <w:sz w:val="20"/>
                        <w:szCs w:val="20"/>
                      </w:rPr>
                    </m:ctrlPr>
                  </m:fPr>
                  <m:num>
                    <m:r>
                      <w:rPr>
                        <w:rFonts w:ascii="Cambria Math" w:hAnsi="Cambria Math" w:cs="Times New Roman"/>
                        <w:sz w:val="20"/>
                        <w:szCs w:val="20"/>
                      </w:rPr>
                      <m:t xml:space="preserve"> dθ</m:t>
                    </m:r>
                  </m:num>
                  <m:den>
                    <m:r>
                      <w:rPr>
                        <w:rFonts w:ascii="Cambria Math" w:hAnsi="Cambria Math" w:cs="Times New Roman"/>
                        <w:sz w:val="20"/>
                        <w:szCs w:val="20"/>
                      </w:rPr>
                      <m:t>dt</m:t>
                    </m:r>
                  </m:den>
                </m:f>
                <m:r>
                  <w:rPr>
                    <w:rFonts w:ascii="Cambria Math" w:hAnsi="Cambria Math" w:cs="Times New Roman"/>
                    <w:sz w:val="20"/>
                    <w:szCs w:val="20"/>
                  </w:rPr>
                  <m:t>=-γe</m:t>
                </m:r>
                <m:f>
                  <m:fPr>
                    <m:ctrlPr>
                      <w:rPr>
                        <w:rFonts w:ascii="Cambria Math" w:hAnsi="Cambria Math" w:cs="Times New Roman"/>
                        <w:i/>
                        <w:sz w:val="20"/>
                        <w:szCs w:val="20"/>
                      </w:rPr>
                    </m:ctrlPr>
                  </m:fPr>
                  <m:num>
                    <m:r>
                      <w:rPr>
                        <w:rFonts w:ascii="Cambria Math" w:hAnsi="Cambria Math" w:cs="Times New Roman"/>
                        <w:sz w:val="20"/>
                        <w:szCs w:val="20"/>
                      </w:rPr>
                      <m:t>∂e</m:t>
                    </m:r>
                  </m:num>
                  <m:den>
                    <m:r>
                      <w:rPr>
                        <w:rFonts w:ascii="Cambria Math" w:hAnsi="Cambria Math" w:cs="Times New Roman"/>
                        <w:sz w:val="20"/>
                        <w:szCs w:val="20"/>
                      </w:rPr>
                      <m:t>∂θ</m:t>
                    </m:r>
                  </m:den>
                </m:f>
              </m:oMath>
            </m:oMathPara>
          </w:p>
        </w:tc>
        <w:tc>
          <w:tcPr>
            <w:tcW w:w="540"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w:r w:rsidRPr="00887BF6">
              <w:rPr>
                <w:rFonts w:ascii="Times New Roman" w:hAnsi="Times New Roman" w:cs="Times New Roman"/>
                <w:sz w:val="20"/>
                <w:szCs w:val="20"/>
              </w:rPr>
              <w:t>(5)</w:t>
            </w:r>
          </w:p>
        </w:tc>
      </w:tr>
    </w:tbl>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 xml:space="preserve">The system sensitivity derivative is usually defined by the achieved partial derivative term </w:t>
      </w:r>
      <w:r w:rsidRPr="00887BF6">
        <w:rPr>
          <w:rFonts w:ascii="Times New Roman" w:hAnsi="Times New Roman"/>
          <w:i/>
          <w:iCs/>
          <w:sz w:val="20"/>
          <w:szCs w:val="20"/>
        </w:rPr>
        <w:t>(∂e/∂θ)</w:t>
      </w:r>
      <w:r w:rsidRPr="00887BF6">
        <w:rPr>
          <w:rFonts w:ascii="Times New Roman" w:hAnsi="Times New Roman"/>
          <w:sz w:val="20"/>
          <w:szCs w:val="20"/>
        </w:rPr>
        <w:t xml:space="preserve"> from the Eq. (5). It can be clearly figured out that the error is dependent on the adjustable control parameter. Several alternative techniques can be used for choosing the cost function, for example, it can also be taken as mode of error. Similarly, the term </w:t>
      </w:r>
      <w:r w:rsidRPr="00887BF6">
        <w:rPr>
          <w:rFonts w:ascii="Times New Roman" w:hAnsi="Times New Roman"/>
          <w:i/>
          <w:iCs/>
          <w:sz w:val="20"/>
          <w:szCs w:val="20"/>
        </w:rPr>
        <w:t>dθ/dt</w:t>
      </w:r>
      <w:r w:rsidRPr="00887BF6">
        <w:rPr>
          <w:rFonts w:ascii="Times New Roman" w:hAnsi="Times New Roman"/>
          <w:sz w:val="20"/>
          <w:szCs w:val="20"/>
        </w:rPr>
        <w:t xml:space="preserve"> can also have different relations for different applications and describes the changes in parameter </w:t>
      </w:r>
      <w:r w:rsidRPr="00887BF6">
        <w:rPr>
          <w:rFonts w:ascii="Times New Roman" w:hAnsi="Times New Roman"/>
          <w:i/>
          <w:iCs/>
          <w:sz w:val="20"/>
          <w:szCs w:val="20"/>
        </w:rPr>
        <w:t>θ</w:t>
      </w:r>
      <w:r w:rsidRPr="00887BF6">
        <w:rPr>
          <w:rFonts w:ascii="Times New Roman" w:hAnsi="Times New Roman"/>
          <w:sz w:val="20"/>
          <w:szCs w:val="20"/>
        </w:rPr>
        <w:t xml:space="preserve"> with respect to time so that the cost function </w:t>
      </w:r>
      <w:r w:rsidRPr="00887BF6">
        <w:rPr>
          <w:rFonts w:ascii="Times New Roman" w:hAnsi="Times New Roman"/>
          <w:i/>
          <w:iCs/>
          <w:sz w:val="20"/>
          <w:szCs w:val="20"/>
        </w:rPr>
        <w:t>f(θ)</w:t>
      </w:r>
      <w:r w:rsidRPr="00887BF6">
        <w:rPr>
          <w:rFonts w:ascii="Times New Roman" w:hAnsi="Times New Roman"/>
          <w:sz w:val="20"/>
          <w:szCs w:val="20"/>
        </w:rPr>
        <w:t xml:space="preserve"> can be reduced to zero. The adaptation gain of the MRAC is depicted by </w:t>
      </w:r>
      <w:r w:rsidRPr="00887BF6">
        <w:rPr>
          <w:rFonts w:ascii="Times New Roman" w:hAnsi="Times New Roman"/>
          <w:i/>
          <w:iCs/>
          <w:sz w:val="20"/>
          <w:szCs w:val="20"/>
        </w:rPr>
        <w:t>γ</w:t>
      </w:r>
      <w:r w:rsidRPr="00887BF6">
        <w:rPr>
          <w:rFonts w:ascii="Times New Roman" w:hAnsi="Times New Roman"/>
          <w:sz w:val="20"/>
          <w:szCs w:val="20"/>
        </w:rPr>
        <w:t>, which is positive quantity.</w:t>
      </w:r>
    </w:p>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 xml:space="preserve">For designing, the </w:t>
      </w:r>
      <w:r w:rsidRPr="00887BF6">
        <w:rPr>
          <w:rFonts w:ascii="Times New Roman" w:hAnsi="Times New Roman"/>
          <w:i/>
          <w:iCs/>
          <w:sz w:val="20"/>
          <w:szCs w:val="20"/>
        </w:rPr>
        <w:t>KG(s)</w:t>
      </w:r>
      <w:r w:rsidRPr="00887BF6">
        <w:rPr>
          <w:rFonts w:ascii="Times New Roman" w:hAnsi="Times New Roman"/>
          <w:sz w:val="20"/>
          <w:szCs w:val="20"/>
        </w:rPr>
        <w:t xml:space="preserve"> was assumed as transfer function for the process that </w:t>
      </w:r>
      <w:r w:rsidRPr="00887BF6">
        <w:rPr>
          <w:rFonts w:ascii="Times New Roman" w:hAnsi="Times New Roman"/>
          <w:i/>
          <w:iCs/>
          <w:sz w:val="20"/>
          <w:szCs w:val="20"/>
        </w:rPr>
        <w:t>G(s)</w:t>
      </w:r>
      <w:r w:rsidRPr="00887BF6">
        <w:rPr>
          <w:rFonts w:ascii="Times New Roman" w:hAnsi="Times New Roman"/>
          <w:sz w:val="20"/>
          <w:szCs w:val="20"/>
        </w:rPr>
        <w:t xml:space="preserve"> is the known transfer function as well as </w:t>
      </w:r>
      <w:r w:rsidRPr="00887BF6">
        <w:rPr>
          <w:rFonts w:ascii="Times New Roman" w:hAnsi="Times New Roman"/>
          <w:i/>
          <w:iCs/>
          <w:sz w:val="20"/>
          <w:szCs w:val="20"/>
        </w:rPr>
        <w:t>K</w:t>
      </w:r>
      <w:r w:rsidRPr="00887BF6">
        <w:rPr>
          <w:rFonts w:ascii="Times New Roman" w:hAnsi="Times New Roman"/>
          <w:sz w:val="20"/>
          <w:szCs w:val="20"/>
        </w:rPr>
        <w:t xml:space="preserve"> is the unknown parameter. In MRAC, the purpose is designing an appropriate controller which the plant could track the reference model. Here </w:t>
      </w:r>
      <w:r w:rsidRPr="00887BF6">
        <w:rPr>
          <w:rFonts w:ascii="Times New Roman" w:hAnsi="Times New Roman"/>
          <w:i/>
          <w:iCs/>
          <w:sz w:val="20"/>
          <w:szCs w:val="20"/>
        </w:rPr>
        <w:t>G(s)</w:t>
      </w:r>
      <w:r w:rsidRPr="00887BF6">
        <w:rPr>
          <w:rFonts w:ascii="Times New Roman" w:hAnsi="Times New Roman"/>
          <w:sz w:val="20"/>
          <w:szCs w:val="20"/>
        </w:rPr>
        <w:t xml:space="preserve"> is the reference model transfer function as well as the known parameter is shown by </w:t>
      </w:r>
      <w:r w:rsidRPr="00887BF6">
        <w:rPr>
          <w:rFonts w:ascii="Times New Roman" w:hAnsi="Times New Roman"/>
          <w:i/>
          <w:iCs/>
          <w:sz w:val="20"/>
          <w:szCs w:val="20"/>
        </w:rPr>
        <w:t>K</w:t>
      </w:r>
      <w:r w:rsidRPr="00887BF6">
        <w:rPr>
          <w:rFonts w:ascii="Times New Roman" w:hAnsi="Times New Roman"/>
          <w:i/>
          <w:iCs/>
          <w:sz w:val="20"/>
          <w:szCs w:val="20"/>
          <w:vertAlign w:val="subscript"/>
        </w:rPr>
        <w:t>m</w:t>
      </w:r>
      <w:r w:rsidRPr="00887BF6">
        <w:rPr>
          <w:rFonts w:ascii="Times New Roman" w:hAnsi="Times New Roman"/>
          <w:sz w:val="20"/>
          <w:szCs w:val="20"/>
        </w:rPr>
        <w:t>. Then, from the Eq. (2),</w:t>
      </w:r>
    </w:p>
    <w:p w:rsidR="00887BF6" w:rsidRPr="00887BF6" w:rsidRDefault="00887BF6" w:rsidP="00887BF6">
      <w:pPr>
        <w:spacing w:after="0" w:line="240" w:lineRule="auto"/>
        <w:jc w:val="both"/>
        <w:outlineLvl w:val="0"/>
        <w:rPr>
          <w:rFonts w:ascii="Times New Roman" w:hAnsi="Times New Roman"/>
          <w:sz w:val="20"/>
          <w:szCs w:val="20"/>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30"/>
      </w:tblGrid>
      <w:tr w:rsidR="00887BF6" w:rsidRPr="00887BF6" w:rsidTr="00E54A50">
        <w:tc>
          <w:tcPr>
            <w:tcW w:w="9018"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m:oMathPara>
              <m:oMathParaPr>
                <m:jc m:val="left"/>
              </m:oMathParaPr>
              <m:oMath>
                <m:r>
                  <w:rPr>
                    <w:rFonts w:ascii="Cambria Math" w:eastAsia="Calibri" w:hAnsi="Cambria Math" w:cs="Times New Roman"/>
                    <w:sz w:val="20"/>
                    <w:szCs w:val="20"/>
                  </w:rPr>
                  <w:lastRenderedPageBreak/>
                  <m:t xml:space="preserve">             E</m:t>
                </m:r>
                <m:d>
                  <m:dPr>
                    <m:ctrlPr>
                      <w:rPr>
                        <w:rFonts w:ascii="Cambria Math" w:hAnsi="Cambria Math" w:cs="Times New Roman"/>
                        <w:i/>
                        <w:sz w:val="20"/>
                        <w:szCs w:val="20"/>
                      </w:rPr>
                    </m:ctrlPr>
                  </m:dPr>
                  <m:e>
                    <m:r>
                      <w:rPr>
                        <w:rFonts w:ascii="Cambria Math" w:eastAsia="Calibri" w:hAnsi="Cambria Math" w:cs="Times New Roman"/>
                        <w:sz w:val="20"/>
                        <w:szCs w:val="20"/>
                      </w:rPr>
                      <m:t>s</m:t>
                    </m:r>
                  </m:e>
                </m:d>
                <m:r>
                  <w:rPr>
                    <w:rFonts w:ascii="Cambria Math" w:eastAsia="Calibri" w:hAnsi="Cambria Math" w:cs="Times New Roman"/>
                    <w:sz w:val="20"/>
                    <w:szCs w:val="20"/>
                  </w:rPr>
                  <m:t>=KG</m:t>
                </m:r>
                <m:d>
                  <m:dPr>
                    <m:ctrlPr>
                      <w:rPr>
                        <w:rFonts w:ascii="Cambria Math" w:hAnsi="Cambria Math" w:cs="Times New Roman"/>
                        <w:i/>
                        <w:sz w:val="20"/>
                        <w:szCs w:val="20"/>
                      </w:rPr>
                    </m:ctrlPr>
                  </m:dPr>
                  <m:e>
                    <m:r>
                      <w:rPr>
                        <w:rFonts w:ascii="Cambria Math" w:eastAsia="Calibri" w:hAnsi="Cambria Math" w:cs="Times New Roman"/>
                        <w:sz w:val="20"/>
                        <w:szCs w:val="20"/>
                      </w:rPr>
                      <m:t>s</m:t>
                    </m:r>
                  </m:e>
                </m:d>
                <m:r>
                  <w:rPr>
                    <w:rFonts w:ascii="Cambria Math" w:eastAsia="Calibri" w:hAnsi="Cambria Math" w:cs="Times New Roman"/>
                    <w:sz w:val="20"/>
                    <w:szCs w:val="20"/>
                  </w:rPr>
                  <m:t>U</m:t>
                </m:r>
                <m:d>
                  <m:dPr>
                    <m:ctrlPr>
                      <w:rPr>
                        <w:rFonts w:ascii="Cambria Math" w:hAnsi="Cambria Math" w:cs="Times New Roman"/>
                        <w:i/>
                        <w:sz w:val="20"/>
                        <w:szCs w:val="20"/>
                      </w:rPr>
                    </m:ctrlPr>
                  </m:dPr>
                  <m:e>
                    <m:r>
                      <w:rPr>
                        <w:rFonts w:ascii="Cambria Math" w:eastAsia="Calibri" w:hAnsi="Cambria Math" w:cs="Times New Roman"/>
                        <w:sz w:val="20"/>
                        <w:szCs w:val="20"/>
                      </w:rPr>
                      <m:t>s</m:t>
                    </m:r>
                  </m:e>
                </m:d>
                <m:r>
                  <w:rPr>
                    <w:rFonts w:ascii="Cambria Math" w:eastAsia="Calibri" w:hAnsi="Cambria Math" w:cs="Times New Roman"/>
                    <w:sz w:val="20"/>
                    <w:szCs w:val="20"/>
                  </w:rPr>
                  <m:t>-</m:t>
                </m:r>
                <m:sSub>
                  <m:sSubPr>
                    <m:ctrlPr>
                      <w:rPr>
                        <w:rFonts w:ascii="Cambria Math" w:hAnsi="Cambria Math" w:cs="Times New Roman"/>
                        <w:i/>
                        <w:sz w:val="20"/>
                        <w:szCs w:val="20"/>
                      </w:rPr>
                    </m:ctrlPr>
                  </m:sSubPr>
                  <m:e>
                    <m:r>
                      <w:rPr>
                        <w:rFonts w:ascii="Cambria Math" w:eastAsia="Calibri" w:hAnsi="Cambria Math" w:cs="Times New Roman"/>
                        <w:sz w:val="20"/>
                        <w:szCs w:val="20"/>
                      </w:rPr>
                      <m:t>K</m:t>
                    </m:r>
                  </m:e>
                  <m:sub>
                    <m:r>
                      <w:rPr>
                        <w:rFonts w:ascii="Cambria Math" w:eastAsia="Calibri" w:hAnsi="Cambria Math" w:cs="Times New Roman"/>
                        <w:sz w:val="20"/>
                        <w:szCs w:val="20"/>
                      </w:rPr>
                      <m:t>m</m:t>
                    </m:r>
                  </m:sub>
                </m:sSub>
                <m:r>
                  <w:rPr>
                    <w:rFonts w:ascii="Cambria Math" w:eastAsia="Calibri" w:hAnsi="Cambria Math" w:cs="Times New Roman"/>
                    <w:sz w:val="20"/>
                    <w:szCs w:val="20"/>
                  </w:rPr>
                  <m:t>G(s)</m:t>
                </m:r>
                <m:sSub>
                  <m:sSubPr>
                    <m:ctrlPr>
                      <w:rPr>
                        <w:rFonts w:ascii="Cambria Math" w:hAnsi="Cambria Math" w:cs="Times New Roman"/>
                        <w:i/>
                        <w:sz w:val="20"/>
                        <w:szCs w:val="20"/>
                      </w:rPr>
                    </m:ctrlPr>
                  </m:sSubPr>
                  <m:e>
                    <m:r>
                      <w:rPr>
                        <w:rFonts w:ascii="Cambria Math" w:eastAsia="Calibri" w:hAnsi="Cambria Math" w:cs="Times New Roman"/>
                        <w:sz w:val="20"/>
                        <w:szCs w:val="20"/>
                      </w:rPr>
                      <m:t>U</m:t>
                    </m:r>
                  </m:e>
                  <m:sub>
                    <m:r>
                      <w:rPr>
                        <w:rFonts w:ascii="Cambria Math" w:eastAsia="Calibri" w:hAnsi="Cambria Math" w:cs="Times New Roman"/>
                        <w:sz w:val="20"/>
                        <w:szCs w:val="20"/>
                      </w:rPr>
                      <m:t>c</m:t>
                    </m:r>
                  </m:sub>
                </m:sSub>
                <m:r>
                  <w:rPr>
                    <w:rFonts w:ascii="Cambria Math" w:eastAsia="Calibri" w:hAnsi="Cambria Math" w:cs="Times New Roman"/>
                    <w:sz w:val="20"/>
                    <w:szCs w:val="20"/>
                  </w:rPr>
                  <m:t>(s)</m:t>
                </m:r>
              </m:oMath>
            </m:oMathPara>
          </w:p>
        </w:tc>
        <w:tc>
          <w:tcPr>
            <w:tcW w:w="630"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w:r w:rsidRPr="00887BF6">
              <w:rPr>
                <w:rFonts w:ascii="Times New Roman" w:hAnsi="Times New Roman" w:cs="Times New Roman"/>
                <w:sz w:val="20"/>
                <w:szCs w:val="20"/>
              </w:rPr>
              <w:t>(6)</w:t>
            </w:r>
          </w:p>
        </w:tc>
      </w:tr>
    </w:tbl>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The control law is defined as:</w:t>
      </w:r>
    </w:p>
    <w:p w:rsidR="00887BF6" w:rsidRPr="00887BF6" w:rsidRDefault="00887BF6" w:rsidP="00887BF6">
      <w:pPr>
        <w:spacing w:after="0" w:line="240" w:lineRule="auto"/>
        <w:jc w:val="both"/>
        <w:outlineLvl w:val="0"/>
        <w:rPr>
          <w:rFonts w:ascii="Times New Roman" w:hAnsi="Times New Roman"/>
          <w:sz w:val="20"/>
          <w:szCs w:val="20"/>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30"/>
      </w:tblGrid>
      <w:tr w:rsidR="00887BF6" w:rsidRPr="00887BF6" w:rsidTr="00E54A50">
        <w:tc>
          <w:tcPr>
            <w:tcW w:w="9018"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m:oMathPara>
              <m:oMathParaPr>
                <m:jc m:val="left"/>
              </m:oMathParaPr>
              <m:oMath>
                <m:r>
                  <w:rPr>
                    <w:rFonts w:ascii="Cambria Math" w:eastAsia="Calibri" w:hAnsi="Cambria Math" w:cs="Times New Roman"/>
                    <w:sz w:val="20"/>
                    <w:szCs w:val="20"/>
                  </w:rPr>
                  <m:t xml:space="preserve">              u</m:t>
                </m:r>
                <m:d>
                  <m:dPr>
                    <m:ctrlPr>
                      <w:rPr>
                        <w:rFonts w:ascii="Cambria Math" w:hAnsi="Cambria Math" w:cs="Times New Roman"/>
                        <w:i/>
                        <w:sz w:val="20"/>
                        <w:szCs w:val="20"/>
                      </w:rPr>
                    </m:ctrlPr>
                  </m:dPr>
                  <m:e>
                    <m:r>
                      <w:rPr>
                        <w:rFonts w:ascii="Cambria Math" w:eastAsia="Calibri" w:hAnsi="Cambria Math" w:cs="Times New Roman"/>
                        <w:sz w:val="20"/>
                        <w:szCs w:val="20"/>
                      </w:rPr>
                      <m:t>t</m:t>
                    </m:r>
                  </m:e>
                </m:d>
                <m:r>
                  <w:rPr>
                    <w:rFonts w:ascii="Cambria Math" w:eastAsia="Calibri" w:hAnsi="Cambria Math" w:cs="Times New Roman"/>
                    <w:sz w:val="20"/>
                    <w:szCs w:val="20"/>
                  </w:rPr>
                  <m:t>=θ</m:t>
                </m:r>
                <m:sSub>
                  <m:sSubPr>
                    <m:ctrlPr>
                      <w:rPr>
                        <w:rFonts w:ascii="Cambria Math" w:hAnsi="Cambria Math" w:cs="Times New Roman"/>
                        <w:i/>
                        <w:sz w:val="20"/>
                        <w:szCs w:val="20"/>
                      </w:rPr>
                    </m:ctrlPr>
                  </m:sSubPr>
                  <m:e>
                    <m:r>
                      <w:rPr>
                        <w:rFonts w:ascii="Cambria Math" w:eastAsia="Calibri" w:hAnsi="Cambria Math" w:cs="Times New Roman"/>
                        <w:sz w:val="20"/>
                        <w:szCs w:val="20"/>
                      </w:rPr>
                      <m:t>.U</m:t>
                    </m:r>
                  </m:e>
                  <m:sub>
                    <m:r>
                      <w:rPr>
                        <w:rFonts w:ascii="Cambria Math" w:eastAsia="Calibri" w:hAnsi="Cambria Math" w:cs="Times New Roman"/>
                        <w:sz w:val="20"/>
                        <w:szCs w:val="20"/>
                      </w:rPr>
                      <m:t>c</m:t>
                    </m:r>
                  </m:sub>
                </m:sSub>
              </m:oMath>
            </m:oMathPara>
          </w:p>
        </w:tc>
        <w:tc>
          <w:tcPr>
            <w:tcW w:w="630"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w:r w:rsidRPr="00887BF6">
              <w:rPr>
                <w:rFonts w:ascii="Times New Roman" w:hAnsi="Times New Roman" w:cs="Times New Roman"/>
                <w:sz w:val="20"/>
                <w:szCs w:val="20"/>
              </w:rPr>
              <w:t>(7)</w:t>
            </w:r>
          </w:p>
        </w:tc>
      </w:tr>
    </w:tbl>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From Eq. (6) and (7) as well as taking partial derivative,</w:t>
      </w:r>
    </w:p>
    <w:p w:rsidR="00887BF6" w:rsidRPr="00887BF6" w:rsidRDefault="00887BF6" w:rsidP="00887BF6">
      <w:pPr>
        <w:spacing w:after="0" w:line="240" w:lineRule="auto"/>
        <w:jc w:val="both"/>
        <w:outlineLvl w:val="0"/>
        <w:rPr>
          <w:rFonts w:ascii="Times New Roman" w:hAnsi="Times New Roman"/>
          <w:sz w:val="20"/>
          <w:szCs w:val="20"/>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30"/>
      </w:tblGrid>
      <w:tr w:rsidR="00887BF6" w:rsidRPr="00887BF6" w:rsidTr="00E54A50">
        <w:tc>
          <w:tcPr>
            <w:tcW w:w="9018"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m:oMathPara>
              <m:oMathParaPr>
                <m:jc m:val="left"/>
              </m:oMathParaPr>
              <m:oMath>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 xml:space="preserve">    ∂E</m:t>
                    </m:r>
                    <m:d>
                      <m:dPr>
                        <m:ctrlPr>
                          <w:rPr>
                            <w:rFonts w:ascii="Cambria Math" w:hAnsi="Cambria Math" w:cs="Times New Roman"/>
                            <w:i/>
                            <w:sz w:val="20"/>
                            <w:szCs w:val="20"/>
                          </w:rPr>
                        </m:ctrlPr>
                      </m:dPr>
                      <m:e>
                        <m:r>
                          <w:rPr>
                            <w:rFonts w:ascii="Cambria Math" w:hAnsi="Cambria Math" w:cs="Times New Roman"/>
                            <w:sz w:val="20"/>
                            <w:szCs w:val="20"/>
                          </w:rPr>
                          <m:t>s</m:t>
                        </m:r>
                      </m:e>
                    </m:d>
                  </m:num>
                  <m:den>
                    <m:r>
                      <w:rPr>
                        <w:rFonts w:ascii="Cambria Math" w:hAnsi="Cambria Math" w:cs="Times New Roman"/>
                        <w:sz w:val="20"/>
                        <w:szCs w:val="20"/>
                      </w:rPr>
                      <m:t>∂θ</m:t>
                    </m:r>
                  </m:den>
                </m:f>
                <m:r>
                  <w:rPr>
                    <w:rFonts w:ascii="Cambria Math" w:hAnsi="Cambria Math" w:cs="Times New Roman"/>
                    <w:sz w:val="20"/>
                    <w:szCs w:val="20"/>
                  </w:rPr>
                  <m:t>=KG</m:t>
                </m:r>
                <m:d>
                  <m:dPr>
                    <m:ctrlPr>
                      <w:rPr>
                        <w:rFonts w:ascii="Cambria Math" w:hAnsi="Cambria Math" w:cs="Times New Roman"/>
                        <w:i/>
                        <w:sz w:val="20"/>
                        <w:szCs w:val="20"/>
                      </w:rPr>
                    </m:ctrlPr>
                  </m:dPr>
                  <m:e>
                    <m:r>
                      <w:rPr>
                        <w:rFonts w:ascii="Cambria Math" w:hAnsi="Cambria Math" w:cs="Times New Roman"/>
                        <w:sz w:val="20"/>
                        <w:szCs w:val="20"/>
                      </w:rPr>
                      <m:t>s</m:t>
                    </m:r>
                  </m:e>
                </m:d>
                <m:sSub>
                  <m:sSubPr>
                    <m:ctrlPr>
                      <w:rPr>
                        <w:rFonts w:ascii="Cambria Math" w:hAnsi="Cambria Math" w:cs="Times New Roman"/>
                        <w:i/>
                        <w:sz w:val="20"/>
                        <w:szCs w:val="20"/>
                      </w:rPr>
                    </m:ctrlPr>
                  </m:sSubPr>
                  <m:e>
                    <m:r>
                      <w:rPr>
                        <w:rFonts w:ascii="Cambria Math" w:eastAsia="Calibri" w:hAnsi="Cambria Math" w:cs="Times New Roman"/>
                        <w:sz w:val="20"/>
                        <w:szCs w:val="20"/>
                      </w:rPr>
                      <m:t>U</m:t>
                    </m:r>
                  </m:e>
                  <m:sub>
                    <m:r>
                      <w:rPr>
                        <w:rFonts w:ascii="Cambria Math" w:eastAsia="Calibri" w:hAnsi="Cambria Math" w:cs="Times New Roman"/>
                        <w:sz w:val="20"/>
                        <w:szCs w:val="20"/>
                      </w:rPr>
                      <m:t>c</m:t>
                    </m:r>
                  </m:sub>
                </m:sSub>
                <m:d>
                  <m:dPr>
                    <m:ctrlPr>
                      <w:rPr>
                        <w:rFonts w:ascii="Cambria Math" w:hAnsi="Cambria Math" w:cs="Times New Roman"/>
                        <w:i/>
                        <w:sz w:val="20"/>
                        <w:szCs w:val="20"/>
                      </w:rPr>
                    </m:ctrlPr>
                  </m:dPr>
                  <m:e>
                    <m:r>
                      <w:rPr>
                        <w:rFonts w:ascii="Cambria Math" w:eastAsia="Calibri" w:hAnsi="Cambria Math" w:cs="Times New Roman"/>
                        <w:sz w:val="20"/>
                        <w:szCs w:val="20"/>
                      </w:rPr>
                      <m:t>s</m:t>
                    </m:r>
                  </m:e>
                </m:d>
                <m:r>
                  <w:rPr>
                    <w:rFonts w:ascii="Cambria Math" w:eastAsia="Calibri" w:hAnsi="Cambria Math" w:cs="Times New Roman"/>
                    <w:sz w:val="20"/>
                    <w:szCs w:val="20"/>
                  </w:rPr>
                  <m:t>=</m:t>
                </m:r>
                <m:sSub>
                  <m:sSubPr>
                    <m:ctrlPr>
                      <w:rPr>
                        <w:rFonts w:ascii="Cambria Math" w:hAnsi="Cambria Math" w:cs="Times New Roman"/>
                        <w:i/>
                        <w:sz w:val="20"/>
                        <w:szCs w:val="20"/>
                      </w:rPr>
                    </m:ctrlPr>
                  </m:sSubPr>
                  <m:e>
                    <m:f>
                      <m:fPr>
                        <m:ctrlPr>
                          <w:rPr>
                            <w:rFonts w:ascii="Cambria Math" w:hAnsi="Cambria Math" w:cs="Times New Roman"/>
                            <w:i/>
                            <w:sz w:val="20"/>
                            <w:szCs w:val="20"/>
                          </w:rPr>
                        </m:ctrlPr>
                      </m:fPr>
                      <m:num>
                        <m:r>
                          <w:rPr>
                            <w:rFonts w:ascii="Cambria Math" w:eastAsia="Calibri" w:hAnsi="Cambria Math" w:cs="Times New Roman"/>
                            <w:sz w:val="20"/>
                            <w:szCs w:val="20"/>
                          </w:rPr>
                          <m:t>K</m:t>
                        </m:r>
                      </m:num>
                      <m:den>
                        <m:sSub>
                          <m:sSubPr>
                            <m:ctrlPr>
                              <w:rPr>
                                <w:rFonts w:ascii="Cambria Math" w:hAnsi="Cambria Math" w:cs="Times New Roman"/>
                                <w:i/>
                                <w:sz w:val="20"/>
                                <w:szCs w:val="20"/>
                              </w:rPr>
                            </m:ctrlPr>
                          </m:sSubPr>
                          <m:e>
                            <m:r>
                              <w:rPr>
                                <w:rFonts w:ascii="Cambria Math" w:eastAsia="Calibri" w:hAnsi="Cambria Math" w:cs="Times New Roman"/>
                                <w:sz w:val="20"/>
                                <w:szCs w:val="20"/>
                              </w:rPr>
                              <m:t>K</m:t>
                            </m:r>
                          </m:e>
                          <m:sub>
                            <m:r>
                              <w:rPr>
                                <w:rFonts w:ascii="Cambria Math" w:eastAsia="Calibri" w:hAnsi="Cambria Math" w:cs="Times New Roman"/>
                                <w:sz w:val="20"/>
                                <w:szCs w:val="20"/>
                              </w:rPr>
                              <m:t>m</m:t>
                            </m:r>
                          </m:sub>
                        </m:sSub>
                      </m:den>
                    </m:f>
                    <m:r>
                      <w:rPr>
                        <w:rFonts w:ascii="Cambria Math" w:eastAsia="Calibri" w:hAnsi="Cambria Math" w:cs="Times New Roman"/>
                        <w:sz w:val="20"/>
                        <w:szCs w:val="20"/>
                      </w:rPr>
                      <m:t>Y</m:t>
                    </m:r>
                  </m:e>
                  <m:sub>
                    <m:r>
                      <w:rPr>
                        <w:rFonts w:ascii="Cambria Math" w:eastAsia="Calibri" w:hAnsi="Cambria Math" w:cs="Times New Roman"/>
                        <w:sz w:val="20"/>
                        <w:szCs w:val="20"/>
                      </w:rPr>
                      <m:t>m</m:t>
                    </m:r>
                  </m:sub>
                </m:sSub>
                <m:d>
                  <m:dPr>
                    <m:ctrlPr>
                      <w:rPr>
                        <w:rFonts w:ascii="Cambria Math" w:hAnsi="Cambria Math" w:cs="Times New Roman"/>
                        <w:i/>
                        <w:sz w:val="20"/>
                        <w:szCs w:val="20"/>
                      </w:rPr>
                    </m:ctrlPr>
                  </m:dPr>
                  <m:e>
                    <m:r>
                      <w:rPr>
                        <w:rFonts w:ascii="Cambria Math" w:eastAsia="Calibri" w:hAnsi="Cambria Math" w:cs="Times New Roman"/>
                        <w:sz w:val="20"/>
                        <w:szCs w:val="20"/>
                      </w:rPr>
                      <m:t>s</m:t>
                    </m:r>
                  </m:e>
                </m:d>
              </m:oMath>
            </m:oMathPara>
          </w:p>
        </w:tc>
        <w:tc>
          <w:tcPr>
            <w:tcW w:w="630"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w:r w:rsidRPr="00887BF6">
              <w:rPr>
                <w:rFonts w:ascii="Times New Roman" w:hAnsi="Times New Roman" w:cs="Times New Roman"/>
                <w:sz w:val="20"/>
                <w:szCs w:val="20"/>
              </w:rPr>
              <w:t>(8)</w:t>
            </w:r>
          </w:p>
        </w:tc>
      </w:tr>
    </w:tbl>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Substituting Eq. (8) in Eq. (5),</w:t>
      </w:r>
    </w:p>
    <w:p w:rsidR="00887BF6" w:rsidRPr="00887BF6" w:rsidRDefault="00887BF6" w:rsidP="00887BF6">
      <w:pPr>
        <w:spacing w:after="0" w:line="240" w:lineRule="auto"/>
        <w:jc w:val="both"/>
        <w:outlineLvl w:val="0"/>
        <w:rPr>
          <w:rFonts w:ascii="Times New Roman" w:hAnsi="Times New Roman"/>
          <w:sz w:val="20"/>
          <w:szCs w:val="20"/>
        </w:rPr>
      </w:pPr>
    </w:p>
    <w:tbl>
      <w:tblPr>
        <w:tblStyle w:val="TableGrid"/>
        <w:tblW w:w="900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630"/>
      </w:tblGrid>
      <w:tr w:rsidR="00887BF6" w:rsidRPr="00887BF6" w:rsidTr="00E54A50">
        <w:tc>
          <w:tcPr>
            <w:tcW w:w="8370" w:type="dxa"/>
            <w:vAlign w:val="center"/>
          </w:tcPr>
          <w:p w:rsidR="00887BF6" w:rsidRPr="00352825" w:rsidRDefault="002B07BA" w:rsidP="00887BF6">
            <w:pPr>
              <w:spacing w:after="0" w:line="240" w:lineRule="auto"/>
              <w:jc w:val="both"/>
              <w:outlineLvl w:val="0"/>
              <w:rPr>
                <w:rFonts w:ascii="Times New Roman" w:hAnsi="Times New Roman" w:cs="Times New Roman"/>
                <w:sz w:val="20"/>
                <w:szCs w:val="20"/>
              </w:rPr>
            </w:pPr>
            <m:oMathPara>
              <m:oMathParaPr>
                <m:jc m:val="left"/>
              </m:oMathParaPr>
              <m:oMath>
                <m:f>
                  <m:fPr>
                    <m:ctrlPr>
                      <w:rPr>
                        <w:rFonts w:ascii="Cambria Math" w:hAnsi="Cambria Math" w:cs="Times New Roman"/>
                        <w:i/>
                        <w:sz w:val="20"/>
                        <w:szCs w:val="20"/>
                      </w:rPr>
                    </m:ctrlPr>
                  </m:fPr>
                  <m:num>
                    <m:r>
                      <w:rPr>
                        <w:rFonts w:ascii="Cambria Math" w:hAnsi="Cambria Math" w:cs="Times New Roman"/>
                        <w:sz w:val="20"/>
                        <w:szCs w:val="20"/>
                      </w:rPr>
                      <m:t>dθ</m:t>
                    </m:r>
                  </m:num>
                  <m:den>
                    <m:r>
                      <w:rPr>
                        <w:rFonts w:ascii="Cambria Math" w:hAnsi="Cambria Math" w:cs="Times New Roman"/>
                        <w:sz w:val="20"/>
                        <w:szCs w:val="20"/>
                      </w:rPr>
                      <m:t>dt</m:t>
                    </m:r>
                  </m:den>
                </m:f>
                <m:r>
                  <w:rPr>
                    <w:rFonts w:ascii="Cambria Math" w:hAnsi="Cambria Math" w:cs="Times New Roman"/>
                    <w:sz w:val="20"/>
                    <w:szCs w:val="20"/>
                  </w:rPr>
                  <m:t>=-γe</m:t>
                </m:r>
                <m:f>
                  <m:fPr>
                    <m:ctrlPr>
                      <w:rPr>
                        <w:rFonts w:ascii="Cambria Math" w:hAnsi="Cambria Math" w:cs="Times New Roman"/>
                        <w:i/>
                        <w:sz w:val="20"/>
                        <w:szCs w:val="20"/>
                      </w:rPr>
                    </m:ctrlPr>
                  </m:fPr>
                  <m:num>
                    <m:r>
                      <w:rPr>
                        <w:rFonts w:ascii="Cambria Math" w:eastAsia="Calibri" w:hAnsi="Cambria Math" w:cs="Times New Roman"/>
                        <w:sz w:val="20"/>
                        <w:szCs w:val="20"/>
                      </w:rPr>
                      <m:t>K</m:t>
                    </m:r>
                  </m:num>
                  <m:den>
                    <m:sSub>
                      <m:sSubPr>
                        <m:ctrlPr>
                          <w:rPr>
                            <w:rFonts w:ascii="Cambria Math" w:hAnsi="Cambria Math" w:cs="Times New Roman"/>
                            <w:i/>
                            <w:sz w:val="20"/>
                            <w:szCs w:val="20"/>
                          </w:rPr>
                        </m:ctrlPr>
                      </m:sSubPr>
                      <m:e>
                        <m:r>
                          <w:rPr>
                            <w:rFonts w:ascii="Cambria Math" w:eastAsia="Calibri" w:hAnsi="Cambria Math" w:cs="Times New Roman"/>
                            <w:sz w:val="20"/>
                            <w:szCs w:val="20"/>
                          </w:rPr>
                          <m:t>K</m:t>
                        </m:r>
                      </m:e>
                      <m:sub>
                        <m:r>
                          <w:rPr>
                            <w:rFonts w:ascii="Cambria Math" w:eastAsia="Calibri" w:hAnsi="Cambria Math" w:cs="Times New Roman"/>
                            <w:sz w:val="20"/>
                            <w:szCs w:val="20"/>
                          </w:rPr>
                          <m:t>m</m:t>
                        </m:r>
                      </m:sub>
                    </m:sSub>
                  </m:den>
                </m:f>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m</m:t>
                    </m:r>
                  </m:sub>
                </m:sSub>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γ</m:t>
                    </m:r>
                  </m:e>
                  <m:sup>
                    <m:r>
                      <w:rPr>
                        <w:rFonts w:ascii="Cambria Math" w:hAnsi="Cambria Math" w:cs="Times New Roman"/>
                        <w:sz w:val="20"/>
                        <w:szCs w:val="20"/>
                      </w:rPr>
                      <m:t>'</m:t>
                    </m:r>
                  </m:sup>
                </m:sSup>
                <m:r>
                  <w:rPr>
                    <w:rFonts w:ascii="Cambria Math" w:hAnsi="Cambria Math" w:cs="Times New Roman"/>
                    <w:sz w:val="20"/>
                    <w:szCs w:val="20"/>
                  </w:rPr>
                  <m:t>e</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m</m:t>
                    </m:r>
                  </m:sub>
                </m:sSub>
              </m:oMath>
            </m:oMathPara>
          </w:p>
        </w:tc>
        <w:tc>
          <w:tcPr>
            <w:tcW w:w="630"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w:r w:rsidRPr="00887BF6">
              <w:rPr>
                <w:rFonts w:ascii="Times New Roman" w:hAnsi="Times New Roman" w:cs="Times New Roman"/>
                <w:sz w:val="20"/>
                <w:szCs w:val="20"/>
              </w:rPr>
              <w:t>(9)</w:t>
            </w:r>
          </w:p>
        </w:tc>
      </w:tr>
    </w:tbl>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 xml:space="preserve">The obtained adjusting law in Eq. (9) was used to determine the control parameter </w:t>
      </w:r>
      <w:r w:rsidRPr="00887BF6">
        <w:rPr>
          <w:rFonts w:ascii="Times New Roman" w:hAnsi="Times New Roman"/>
          <w:i/>
          <w:iCs/>
          <w:sz w:val="20"/>
          <w:szCs w:val="20"/>
        </w:rPr>
        <w:t>θ</w:t>
      </w:r>
      <w:r w:rsidRPr="00887BF6">
        <w:rPr>
          <w:rFonts w:ascii="Times New Roman" w:hAnsi="Times New Roman"/>
          <w:sz w:val="20"/>
          <w:szCs w:val="20"/>
        </w:rPr>
        <w:t>. The Simulink block diagram of the MRAC using MIT rule is shown in Figure 3.</w:t>
      </w:r>
    </w:p>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352825">
      <w:pPr>
        <w:keepNext/>
        <w:spacing w:afterLines="100" w:after="240" w:line="240" w:lineRule="auto"/>
        <w:jc w:val="center"/>
        <w:rPr>
          <w:rFonts w:ascii="Times New Roman" w:eastAsia="Calibri" w:hAnsi="Times New Roman"/>
          <w:noProof/>
          <w:sz w:val="20"/>
          <w:szCs w:val="20"/>
        </w:rPr>
      </w:pPr>
      <w:r w:rsidRPr="00887BF6">
        <w:rPr>
          <w:rFonts w:ascii="Times New Roman" w:eastAsia="Calibri" w:hAnsi="Times New Roman"/>
          <w:noProof/>
          <w:sz w:val="20"/>
          <w:szCs w:val="20"/>
          <w:lang w:bidi="ar-SA"/>
        </w:rPr>
        <w:drawing>
          <wp:inline distT="0" distB="0" distL="0" distR="0" wp14:anchorId="04A9EA6F" wp14:editId="05936524">
            <wp:extent cx="5486400" cy="2560320"/>
            <wp:effectExtent l="0" t="0" r="0" b="0"/>
            <wp:docPr id="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2560320"/>
                    </a:xfrm>
                    <a:prstGeom prst="rect">
                      <a:avLst/>
                    </a:prstGeom>
                    <a:noFill/>
                    <a:ln>
                      <a:noFill/>
                    </a:ln>
                  </pic:spPr>
                </pic:pic>
              </a:graphicData>
            </a:graphic>
          </wp:inline>
        </w:drawing>
      </w:r>
    </w:p>
    <w:p w:rsidR="00887BF6" w:rsidRPr="00887BF6" w:rsidRDefault="00887BF6" w:rsidP="00352825">
      <w:pPr>
        <w:spacing w:after="0" w:line="240" w:lineRule="auto"/>
        <w:jc w:val="center"/>
        <w:outlineLvl w:val="0"/>
        <w:rPr>
          <w:rFonts w:ascii="Times New Roman" w:hAnsi="Times New Roman"/>
          <w:sz w:val="20"/>
          <w:szCs w:val="20"/>
        </w:rPr>
      </w:pPr>
      <w:bookmarkStart w:id="3" w:name="_Toc457174343"/>
      <w:bookmarkStart w:id="4" w:name="_Toc457058934"/>
      <w:r w:rsidRPr="00887BF6">
        <w:rPr>
          <w:rFonts w:ascii="Times New Roman" w:hAnsi="Times New Roman"/>
          <w:sz w:val="20"/>
          <w:szCs w:val="20"/>
        </w:rPr>
        <w:t xml:space="preserve">Figure 3. </w:t>
      </w:r>
      <w:r w:rsidR="00352825">
        <w:rPr>
          <w:rFonts w:ascii="Times New Roman" w:hAnsi="Times New Roman"/>
          <w:sz w:val="20"/>
          <w:szCs w:val="20"/>
        </w:rPr>
        <w:t xml:space="preserve"> </w:t>
      </w:r>
      <w:r w:rsidRPr="00887BF6">
        <w:rPr>
          <w:rFonts w:ascii="Times New Roman" w:hAnsi="Times New Roman"/>
          <w:sz w:val="20"/>
          <w:szCs w:val="20"/>
        </w:rPr>
        <w:t>The Simulink block diagram of the MRAC scheme using MIT rule</w:t>
      </w:r>
      <w:bookmarkEnd w:id="3"/>
      <w:bookmarkEnd w:id="4"/>
    </w:p>
    <w:p w:rsidR="00887BF6" w:rsidRDefault="00887BF6" w:rsidP="00887BF6">
      <w:pPr>
        <w:spacing w:after="0" w:line="240" w:lineRule="auto"/>
        <w:jc w:val="both"/>
        <w:outlineLvl w:val="0"/>
        <w:rPr>
          <w:rFonts w:ascii="Times New Roman" w:hAnsi="Times New Roman"/>
          <w:sz w:val="20"/>
          <w:szCs w:val="20"/>
        </w:rPr>
      </w:pPr>
    </w:p>
    <w:p w:rsidR="00352825" w:rsidRPr="00887BF6" w:rsidRDefault="00352825"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rPr>
          <w:rFonts w:ascii="Times New Roman" w:hAnsi="Times New Roman"/>
          <w:sz w:val="20"/>
          <w:szCs w:val="20"/>
        </w:rPr>
      </w:pPr>
      <w:r w:rsidRPr="00887BF6">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029BCE21" wp14:editId="2E3F765F">
                <wp:simplePos x="0" y="0"/>
                <wp:positionH relativeFrom="column">
                  <wp:posOffset>8439785</wp:posOffset>
                </wp:positionH>
                <wp:positionV relativeFrom="paragraph">
                  <wp:posOffset>233045</wp:posOffset>
                </wp:positionV>
                <wp:extent cx="418465" cy="326390"/>
                <wp:effectExtent l="7938" t="0" r="27622" b="27623"/>
                <wp:wrapNone/>
                <wp:docPr id="9" name="Text Box 42"/>
                <wp:cNvGraphicFramePr/>
                <a:graphic xmlns:a="http://schemas.openxmlformats.org/drawingml/2006/main">
                  <a:graphicData uri="http://schemas.microsoft.com/office/word/2010/wordprocessingShape">
                    <wps:wsp>
                      <wps:cNvSpPr txBox="1"/>
                      <wps:spPr>
                        <a:xfrm rot="5400000">
                          <a:off x="0" y="0"/>
                          <a:ext cx="418465" cy="326390"/>
                        </a:xfrm>
                        <a:prstGeom prst="rect">
                          <a:avLst/>
                        </a:prstGeom>
                        <a:solidFill>
                          <a:sysClr val="window" lastClr="FFFFFF"/>
                        </a:solidFill>
                        <a:ln w="6350">
                          <a:solidFill>
                            <a:sysClr val="window" lastClr="FFFFFF"/>
                          </a:solidFill>
                        </a:ln>
                        <a:effectLst/>
                      </wps:spPr>
                      <wps:txbx>
                        <w:txbxContent>
                          <w:p w:rsidR="002B07BA" w:rsidRDefault="002B07BA" w:rsidP="00887BF6">
                            <w:pPr>
                              <w:shd w:val="clear" w:color="auto" w:fill="FFFFFF" w:themeFill="background1"/>
                            </w:pPr>
                            <w:r>
                              <w:t>123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2" o:spid="_x0000_s1027" type="#_x0000_t202" style="position:absolute;left:0;text-align:left;margin-left:664.55pt;margin-top:18.35pt;width:32.95pt;height:25.7pt;rotation:90;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" fillcolor="window" strokecolor="window" strokeweight=".5pt">
                <v:textbox>
                  <w:txbxContent>
                    <w:p w:rsidR="002B07BA" w:rsidRDefault="002B07BA" w:rsidP="00887BF6">
                      <w:pPr>
                        <w:shd w:val="clear" w:color="auto" w:fill="FFFFFF" w:themeFill="background1"/>
                      </w:pPr>
                      <w:r>
                        <w:t>123</w:t>
                      </w:r>
                    </w:p>
                  </w:txbxContent>
                </v:textbox>
              </v:shape>
            </w:pict>
          </mc:Fallback>
        </mc:AlternateContent>
      </w:r>
      <w:bookmarkStart w:id="5" w:name="_Toc457251921"/>
      <w:bookmarkStart w:id="6" w:name="_Toc456816657"/>
      <w:r w:rsidRPr="00887BF6">
        <w:rPr>
          <w:rFonts w:ascii="Times New Roman" w:hAnsi="Times New Roman"/>
          <w:b/>
          <w:bCs/>
          <w:iCs/>
          <w:spacing w:val="-8"/>
          <w:sz w:val="20"/>
          <w:szCs w:val="20"/>
        </w:rPr>
        <w:t>The normalized MIT rule</w:t>
      </w:r>
      <w:bookmarkEnd w:id="5"/>
      <w:bookmarkEnd w:id="6"/>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As known, the selection of the adaptation gain in some industrial applications is critical and its value depends on the signal levels. For example, with increasing the adaptation gain the convergence conditions change, which means the convergence rate, is depended on adaptation gain and the system can be unstable for large reference input values.  To overcome the mentioned problems, the MIT rule was normalized as follows (equation 10):</w:t>
      </w:r>
    </w:p>
    <w:p w:rsidR="00887BF6" w:rsidRPr="00887BF6" w:rsidRDefault="00887BF6" w:rsidP="00887BF6">
      <w:pPr>
        <w:spacing w:after="0" w:line="240" w:lineRule="auto"/>
        <w:jc w:val="both"/>
        <w:outlineLvl w:val="0"/>
        <w:rPr>
          <w:rFonts w:ascii="Times New Roman" w:hAnsi="Times New Roman"/>
          <w:sz w:val="20"/>
          <w:szCs w:val="20"/>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630"/>
      </w:tblGrid>
      <w:tr w:rsidR="00887BF6" w:rsidRPr="00887BF6" w:rsidTr="00E54A50">
        <w:tc>
          <w:tcPr>
            <w:tcW w:w="9018"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w:r w:rsidRPr="00887BF6">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dθ</m:t>
                  </m:r>
                </m:num>
                <m:den>
                  <m:r>
                    <w:rPr>
                      <w:rFonts w:ascii="Cambria Math" w:hAnsi="Cambria Math" w:cs="Times New Roman"/>
                      <w:sz w:val="20"/>
                      <w:szCs w:val="20"/>
                    </w:rPr>
                    <m:t>dt</m:t>
                  </m:r>
                </m:den>
              </m:f>
              <m:r>
                <w:rPr>
                  <w:rFonts w:ascii="Cambria Math" w:hAnsi="Cambria Math" w:cs="Times New Roman"/>
                  <w:sz w:val="20"/>
                  <w:szCs w:val="20"/>
                </w:rPr>
                <m:t>=-γ φ e</m:t>
              </m:r>
            </m:oMath>
          </w:p>
        </w:tc>
        <w:tc>
          <w:tcPr>
            <w:tcW w:w="630"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w:r w:rsidRPr="00887BF6">
              <w:rPr>
                <w:rFonts w:ascii="Times New Roman" w:hAnsi="Times New Roman" w:cs="Times New Roman"/>
                <w:sz w:val="20"/>
                <w:szCs w:val="20"/>
              </w:rPr>
              <w:t>(10)</w:t>
            </w:r>
          </w:p>
        </w:tc>
      </w:tr>
    </w:tbl>
    <w:p w:rsidR="00887BF6" w:rsidRPr="00887BF6" w:rsidRDefault="00887BF6" w:rsidP="00887BF6">
      <w:pPr>
        <w:spacing w:after="0" w:line="240" w:lineRule="auto"/>
        <w:jc w:val="both"/>
        <w:outlineLvl w:val="0"/>
        <w:rPr>
          <w:rFonts w:ascii="Times New Roman" w:hAnsi="Times New Roman"/>
          <w:sz w:val="20"/>
          <w:szCs w:val="20"/>
        </w:rPr>
      </w:pPr>
    </w:p>
    <w:p w:rsidR="002B07BA" w:rsidRDefault="002B07BA" w:rsidP="00887BF6">
      <w:pPr>
        <w:spacing w:after="0" w:line="240" w:lineRule="auto"/>
        <w:jc w:val="both"/>
        <w:outlineLvl w:val="0"/>
        <w:rPr>
          <w:rFonts w:ascii="Times New Roman" w:hAnsi="Times New Roman"/>
          <w:sz w:val="20"/>
          <w:szCs w:val="20"/>
        </w:rPr>
      </w:pPr>
    </w:p>
    <w:p w:rsidR="002B07BA" w:rsidRDefault="002B07BA" w:rsidP="00887BF6">
      <w:pPr>
        <w:spacing w:after="0" w:line="240" w:lineRule="auto"/>
        <w:jc w:val="both"/>
        <w:outlineLvl w:val="0"/>
        <w:rPr>
          <w:rFonts w:ascii="Times New Roman" w:hAnsi="Times New Roman"/>
          <w:sz w:val="20"/>
          <w:szCs w:val="20"/>
        </w:rPr>
      </w:pPr>
    </w:p>
    <w:p w:rsidR="002B07BA" w:rsidRDefault="002B07BA"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lastRenderedPageBreak/>
        <w:t>where,</w:t>
      </w:r>
    </w:p>
    <w:p w:rsidR="00887BF6" w:rsidRPr="00887BF6" w:rsidRDefault="00887BF6" w:rsidP="00887BF6">
      <w:pPr>
        <w:spacing w:after="0" w:line="240" w:lineRule="auto"/>
        <w:jc w:val="both"/>
        <w:outlineLvl w:val="0"/>
        <w:rPr>
          <w:rFonts w:ascii="Times New Roman" w:hAnsi="Times New Roman"/>
          <w:sz w:val="20"/>
          <w:szCs w:val="20"/>
        </w:rPr>
      </w:pPr>
    </w:p>
    <w:tbl>
      <w:tblPr>
        <w:tblStyle w:val="TableGrid"/>
        <w:tblW w:w="9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9"/>
        <w:gridCol w:w="630"/>
      </w:tblGrid>
      <w:tr w:rsidR="00887BF6" w:rsidRPr="00887BF6" w:rsidTr="00E54A50">
        <w:tc>
          <w:tcPr>
            <w:tcW w:w="8989"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w:r w:rsidRPr="00887BF6">
              <w:rPr>
                <w:rFonts w:ascii="Times New Roman" w:hAnsi="Times New Roman" w:cs="Times New Roman"/>
                <w:sz w:val="20"/>
                <w:szCs w:val="20"/>
              </w:rPr>
              <w:t xml:space="preserve">            </w:t>
            </w:r>
            <m:oMath>
              <m:r>
                <w:rPr>
                  <w:rFonts w:ascii="Cambria Math" w:eastAsia="Calibri" w:hAnsi="Cambria Math" w:cs="Times New Roman"/>
                  <w:sz w:val="20"/>
                  <w:szCs w:val="20"/>
                </w:rPr>
                <m:t>φ=</m:t>
              </m:r>
              <m:box>
                <m:boxPr>
                  <m:ctrlPr>
                    <w:rPr>
                      <w:rFonts w:ascii="Cambria Math" w:hAnsi="Cambria Math" w:cs="Times New Roman"/>
                      <w:i/>
                      <w:sz w:val="20"/>
                      <w:szCs w:val="20"/>
                    </w:rPr>
                  </m:ctrlPr>
                </m:boxPr>
                <m:e>
                  <m:argPr>
                    <m:argSz m:val="-1"/>
                  </m:argPr>
                  <m:r>
                    <w:rPr>
                      <w:rFonts w:ascii="Cambria Math" w:eastAsia="Calibri" w:hAnsi="Cambria Math" w:cs="Times New Roman"/>
                      <w:sz w:val="20"/>
                      <w:szCs w:val="20"/>
                    </w:rPr>
                    <m:t xml:space="preserve"> </m:t>
                  </m:r>
                </m:e>
              </m:box>
              <m:f>
                <m:fPr>
                  <m:ctrlPr>
                    <w:rPr>
                      <w:rFonts w:ascii="Cambria Math" w:hAnsi="Cambria Math" w:cs="Times New Roman"/>
                      <w:i/>
                      <w:sz w:val="20"/>
                      <w:szCs w:val="20"/>
                    </w:rPr>
                  </m:ctrlPr>
                </m:fPr>
                <m:num>
                  <m:r>
                    <w:rPr>
                      <w:rFonts w:ascii="Cambria Math" w:eastAsia="Calibri" w:hAnsi="Cambria Math" w:cs="Times New Roman"/>
                      <w:sz w:val="20"/>
                      <w:szCs w:val="20"/>
                    </w:rPr>
                    <m:t>∂e</m:t>
                  </m:r>
                </m:num>
                <m:den>
                  <m:r>
                    <w:rPr>
                      <w:rFonts w:ascii="Cambria Math" w:eastAsia="Calibri" w:hAnsi="Cambria Math" w:cs="Times New Roman"/>
                      <w:sz w:val="20"/>
                      <w:szCs w:val="20"/>
                    </w:rPr>
                    <m:t>∂θ</m:t>
                  </m:r>
                </m:den>
              </m:f>
              <m:r>
                <w:rPr>
                  <w:rFonts w:ascii="Cambria Math" w:eastAsia="Calibri" w:hAnsi="Cambria Math" w:cs="Times New Roman"/>
                  <w:sz w:val="20"/>
                  <w:szCs w:val="20"/>
                </w:rPr>
                <m:t>=</m:t>
              </m:r>
              <m:f>
                <m:fPr>
                  <m:ctrlPr>
                    <w:rPr>
                      <w:rFonts w:ascii="Cambria Math" w:hAnsi="Cambria Math" w:cs="Times New Roman"/>
                      <w:i/>
                      <w:sz w:val="20"/>
                      <w:szCs w:val="20"/>
                    </w:rPr>
                  </m:ctrlPr>
                </m:fPr>
                <m:num>
                  <m:r>
                    <w:rPr>
                      <w:rFonts w:ascii="Cambria Math" w:eastAsia="Calibri" w:hAnsi="Cambria Math" w:cs="Times New Roman"/>
                      <w:sz w:val="20"/>
                      <w:szCs w:val="20"/>
                    </w:rPr>
                    <m:t>K</m:t>
                  </m:r>
                </m:num>
                <m:den>
                  <m:sSub>
                    <m:sSubPr>
                      <m:ctrlPr>
                        <w:rPr>
                          <w:rFonts w:ascii="Cambria Math" w:hAnsi="Cambria Math" w:cs="Times New Roman"/>
                          <w:i/>
                          <w:sz w:val="20"/>
                          <w:szCs w:val="20"/>
                        </w:rPr>
                      </m:ctrlPr>
                    </m:sSubPr>
                    <m:e>
                      <m:r>
                        <w:rPr>
                          <w:rFonts w:ascii="Cambria Math" w:eastAsia="Calibri" w:hAnsi="Cambria Math" w:cs="Times New Roman"/>
                          <w:sz w:val="20"/>
                          <w:szCs w:val="20"/>
                        </w:rPr>
                        <m:t>K</m:t>
                      </m:r>
                    </m:e>
                    <m:sub>
                      <m:r>
                        <w:rPr>
                          <w:rFonts w:ascii="Cambria Math" w:eastAsia="Calibri" w:hAnsi="Cambria Math" w:cs="Times New Roman"/>
                          <w:sz w:val="20"/>
                          <w:szCs w:val="20"/>
                        </w:rPr>
                        <m:t>m</m:t>
                      </m:r>
                    </m:sub>
                  </m:sSub>
                </m:den>
              </m:f>
              <m:sSub>
                <m:sSubPr>
                  <m:ctrlPr>
                    <w:rPr>
                      <w:rFonts w:ascii="Cambria Math" w:hAnsi="Cambria Math" w:cs="Times New Roman"/>
                      <w:i/>
                      <w:sz w:val="20"/>
                      <w:szCs w:val="20"/>
                    </w:rPr>
                  </m:ctrlPr>
                </m:sSubPr>
                <m:e>
                  <m:r>
                    <w:rPr>
                      <w:rFonts w:ascii="Cambria Math" w:eastAsia="Calibri" w:hAnsi="Cambria Math" w:cs="Times New Roman"/>
                      <w:sz w:val="20"/>
                      <w:szCs w:val="20"/>
                    </w:rPr>
                    <m:t>y</m:t>
                  </m:r>
                </m:e>
                <m:sub>
                  <m:r>
                    <w:rPr>
                      <w:rFonts w:ascii="Cambria Math" w:eastAsia="Calibri" w:hAnsi="Cambria Math" w:cs="Times New Roman"/>
                      <w:sz w:val="20"/>
                      <w:szCs w:val="20"/>
                    </w:rPr>
                    <m:t>m</m:t>
                  </m:r>
                </m:sub>
              </m:sSub>
            </m:oMath>
          </w:p>
        </w:tc>
        <w:tc>
          <w:tcPr>
            <w:tcW w:w="630"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w:r w:rsidRPr="00887BF6">
              <w:rPr>
                <w:rFonts w:ascii="Times New Roman" w:hAnsi="Times New Roman" w:cs="Times New Roman"/>
                <w:sz w:val="20"/>
                <w:szCs w:val="20"/>
              </w:rPr>
              <w:t>(11)</w:t>
            </w:r>
          </w:p>
        </w:tc>
      </w:tr>
    </w:tbl>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and also</w:t>
      </w:r>
    </w:p>
    <w:p w:rsidR="00887BF6" w:rsidRPr="00887BF6" w:rsidRDefault="00887BF6" w:rsidP="00887BF6">
      <w:pPr>
        <w:spacing w:after="0" w:line="240" w:lineRule="auto"/>
        <w:jc w:val="both"/>
        <w:outlineLvl w:val="0"/>
        <w:rPr>
          <w:rFonts w:ascii="Times New Roman" w:hAnsi="Times New Roman"/>
          <w:sz w:val="20"/>
          <w:szCs w:val="20"/>
        </w:rPr>
      </w:pPr>
    </w:p>
    <w:tbl>
      <w:tblPr>
        <w:tblStyle w:val="TableGrid"/>
        <w:tblW w:w="9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9"/>
        <w:gridCol w:w="630"/>
      </w:tblGrid>
      <w:tr w:rsidR="00887BF6" w:rsidRPr="00887BF6" w:rsidTr="00E54A50">
        <w:tc>
          <w:tcPr>
            <w:tcW w:w="8989"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m:oMathPara>
              <m:oMathParaPr>
                <m:jc m:val="left"/>
              </m:oMathParaPr>
              <m:oMath>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dθ</m:t>
                    </m:r>
                  </m:num>
                  <m:den>
                    <m:r>
                      <w:rPr>
                        <w:rFonts w:ascii="Cambria Math" w:hAnsi="Cambria Math" w:cs="Times New Roman"/>
                        <w:sz w:val="20"/>
                        <w:szCs w:val="20"/>
                      </w:rPr>
                      <m:t>dt</m:t>
                    </m:r>
                  </m:den>
                </m:f>
                <m:r>
                  <w:rPr>
                    <w:rFonts w:ascii="Cambria Math" w:hAnsi="Cambria Math" w:cs="Times New Roman"/>
                    <w:sz w:val="20"/>
                    <w:szCs w:val="20"/>
                  </w:rPr>
                  <m:t>=-γ φ e/(α+</m:t>
                </m:r>
                <m:sSup>
                  <m:sSupPr>
                    <m:ctrlPr>
                      <w:rPr>
                        <w:rFonts w:ascii="Cambria Math" w:hAnsi="Cambria Math" w:cs="Times New Roman"/>
                        <w:i/>
                        <w:sz w:val="20"/>
                        <w:szCs w:val="20"/>
                      </w:rPr>
                    </m:ctrlPr>
                  </m:sSupPr>
                  <m:e>
                    <m:r>
                      <w:rPr>
                        <w:rFonts w:ascii="Cambria Math" w:hAnsi="Cambria Math" w:cs="Times New Roman"/>
                        <w:sz w:val="20"/>
                        <w:szCs w:val="20"/>
                      </w:rPr>
                      <m:t>φ</m:t>
                    </m:r>
                  </m:e>
                  <m:sup>
                    <m:r>
                      <w:rPr>
                        <w:rFonts w:ascii="Cambria Math" w:hAnsi="Cambria Math" w:cs="Times New Roman"/>
                        <w:sz w:val="20"/>
                        <w:szCs w:val="20"/>
                      </w:rPr>
                      <m:t>T</m:t>
                    </m:r>
                  </m:sup>
                </m:sSup>
                <m:r>
                  <w:rPr>
                    <w:rFonts w:ascii="Cambria Math" w:hAnsi="Cambria Math" w:cs="Times New Roman"/>
                    <w:sz w:val="20"/>
                    <w:szCs w:val="20"/>
                  </w:rPr>
                  <m:t>φ)</m:t>
                </m:r>
              </m:oMath>
            </m:oMathPara>
          </w:p>
        </w:tc>
        <w:tc>
          <w:tcPr>
            <w:tcW w:w="630" w:type="dxa"/>
            <w:vAlign w:val="center"/>
          </w:tcPr>
          <w:p w:rsidR="00887BF6" w:rsidRPr="00887BF6" w:rsidRDefault="00887BF6" w:rsidP="00887BF6">
            <w:pPr>
              <w:spacing w:after="0" w:line="240" w:lineRule="auto"/>
              <w:jc w:val="both"/>
              <w:outlineLvl w:val="0"/>
              <w:rPr>
                <w:rFonts w:ascii="Times New Roman" w:hAnsi="Times New Roman" w:cs="Times New Roman"/>
                <w:sz w:val="20"/>
                <w:szCs w:val="20"/>
              </w:rPr>
            </w:pPr>
            <w:r w:rsidRPr="00887BF6">
              <w:rPr>
                <w:rFonts w:ascii="Times New Roman" w:hAnsi="Times New Roman" w:cs="Times New Roman"/>
                <w:sz w:val="20"/>
                <w:szCs w:val="20"/>
              </w:rPr>
              <w:t>(12)</w:t>
            </w:r>
          </w:p>
        </w:tc>
      </w:tr>
    </w:tbl>
    <w:p w:rsidR="00887BF6" w:rsidRPr="00887BF6" w:rsidRDefault="00887BF6" w:rsidP="00887BF6">
      <w:pPr>
        <w:spacing w:after="0" w:line="240" w:lineRule="auto"/>
        <w:jc w:val="both"/>
        <w:outlineLvl w:val="0"/>
        <w:rPr>
          <w:rFonts w:ascii="Times New Roman" w:hAnsi="Times New Roman"/>
          <w:sz w:val="20"/>
          <w:szCs w:val="20"/>
        </w:rPr>
      </w:pPr>
    </w:p>
    <w:p w:rsidR="00887BF6" w:rsidRPr="00887BF6" w:rsidRDefault="00887BF6" w:rsidP="00887BF6">
      <w:pPr>
        <w:spacing w:after="0" w:line="240" w:lineRule="auto"/>
        <w:jc w:val="both"/>
        <w:outlineLvl w:val="0"/>
        <w:rPr>
          <w:rFonts w:ascii="Times New Roman" w:hAnsi="Times New Roman"/>
          <w:sz w:val="20"/>
          <w:szCs w:val="20"/>
        </w:rPr>
      </w:pPr>
      <w:r w:rsidRPr="00887BF6">
        <w:rPr>
          <w:rFonts w:ascii="Times New Roman" w:hAnsi="Times New Roman"/>
          <w:sz w:val="20"/>
          <w:szCs w:val="20"/>
        </w:rPr>
        <w:t xml:space="preserve">This rule is known as the normalized MIT rule, where α &gt; 0 (positive coefficient) is introduced to avoid the zero division when </w:t>
      </w:r>
      <w:r w:rsidRPr="00887BF6">
        <w:rPr>
          <w:rFonts w:ascii="Cambria Math" w:eastAsia="SimSun" w:hAnsi="Cambria Math" w:cs="Cambria Math"/>
          <w:i/>
          <w:iCs/>
          <w:sz w:val="20"/>
          <w:szCs w:val="20"/>
        </w:rPr>
        <w:t>𝜑</w:t>
      </w:r>
      <w:r w:rsidRPr="00887BF6">
        <w:rPr>
          <w:rFonts w:ascii="Times New Roman" w:eastAsia="SimSun" w:hAnsi="Times New Roman"/>
          <w:i/>
          <w:iCs/>
          <w:sz w:val="20"/>
          <w:szCs w:val="20"/>
          <w:vertAlign w:val="superscript"/>
        </w:rPr>
        <w:t>T</w:t>
      </w:r>
      <w:r w:rsidRPr="00887BF6">
        <w:rPr>
          <w:rFonts w:ascii="Times New Roman" w:eastAsia="SimSun" w:hAnsi="Times New Roman"/>
          <w:i/>
          <w:iCs/>
          <w:sz w:val="20"/>
          <w:szCs w:val="20"/>
        </w:rPr>
        <w:t xml:space="preserve"> </w:t>
      </w:r>
      <w:r w:rsidRPr="00887BF6">
        <w:rPr>
          <w:rFonts w:ascii="Cambria Math" w:eastAsia="SimSun" w:hAnsi="Cambria Math" w:cs="Cambria Math"/>
          <w:i/>
          <w:iCs/>
          <w:sz w:val="20"/>
          <w:szCs w:val="20"/>
        </w:rPr>
        <w:t>𝜑</w:t>
      </w:r>
      <w:r w:rsidRPr="00887BF6">
        <w:rPr>
          <w:rFonts w:ascii="Times New Roman" w:hAnsi="Times New Roman"/>
          <w:sz w:val="20"/>
          <w:szCs w:val="20"/>
        </w:rPr>
        <w:t xml:space="preserve"> is small. The used normalized MIT rule in the MRAC was simulated in MATLAB Simulink as shown in Figure 4.</w:t>
      </w:r>
    </w:p>
    <w:p w:rsidR="00887BF6" w:rsidRDefault="00887BF6" w:rsidP="00887BF6">
      <w:pPr>
        <w:spacing w:after="0" w:line="240" w:lineRule="auto"/>
        <w:jc w:val="both"/>
        <w:outlineLvl w:val="0"/>
        <w:rPr>
          <w:rFonts w:ascii="Times New Roman" w:hAnsi="Times New Roman"/>
          <w:sz w:val="20"/>
          <w:szCs w:val="20"/>
        </w:rPr>
      </w:pPr>
    </w:p>
    <w:p w:rsidR="002B07BA" w:rsidRPr="00887BF6" w:rsidRDefault="002B07BA" w:rsidP="00887BF6">
      <w:pPr>
        <w:spacing w:after="0" w:line="240" w:lineRule="auto"/>
        <w:jc w:val="both"/>
        <w:outlineLvl w:val="0"/>
        <w:rPr>
          <w:rFonts w:ascii="Times New Roman" w:hAnsi="Times New Roman"/>
          <w:sz w:val="20"/>
          <w:szCs w:val="20"/>
        </w:rPr>
      </w:pPr>
    </w:p>
    <w:p w:rsidR="00887BF6" w:rsidRPr="00887BF6" w:rsidRDefault="00887BF6" w:rsidP="00E54A50">
      <w:pPr>
        <w:keepNext/>
        <w:spacing w:afterLines="100" w:after="240" w:line="240" w:lineRule="auto"/>
        <w:jc w:val="center"/>
        <w:rPr>
          <w:rFonts w:ascii="Times New Roman" w:eastAsia="Calibri" w:hAnsi="Times New Roman"/>
          <w:noProof/>
          <w:sz w:val="20"/>
          <w:szCs w:val="20"/>
        </w:rPr>
      </w:pPr>
      <w:r w:rsidRPr="00887BF6">
        <w:rPr>
          <w:rFonts w:ascii="Times New Roman" w:eastAsia="Calibri" w:hAnsi="Times New Roman"/>
          <w:noProof/>
          <w:sz w:val="20"/>
          <w:szCs w:val="20"/>
          <w:lang w:bidi="ar-SA"/>
        </w:rPr>
        <w:drawing>
          <wp:inline distT="0" distB="0" distL="0" distR="0" wp14:anchorId="53ACDEB3" wp14:editId="29E84EBF">
            <wp:extent cx="5486400" cy="2560320"/>
            <wp:effectExtent l="0" t="0" r="0" b="0"/>
            <wp:docPr id="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560320"/>
                    </a:xfrm>
                    <a:prstGeom prst="rect">
                      <a:avLst/>
                    </a:prstGeom>
                    <a:noFill/>
                    <a:ln>
                      <a:noFill/>
                    </a:ln>
                  </pic:spPr>
                </pic:pic>
              </a:graphicData>
            </a:graphic>
          </wp:inline>
        </w:drawing>
      </w:r>
    </w:p>
    <w:p w:rsidR="00887BF6" w:rsidRPr="00887BF6" w:rsidRDefault="00887BF6" w:rsidP="00E54A50">
      <w:pPr>
        <w:spacing w:after="0" w:line="240" w:lineRule="auto"/>
        <w:jc w:val="center"/>
        <w:outlineLvl w:val="0"/>
        <w:rPr>
          <w:rFonts w:ascii="Times New Roman" w:hAnsi="Times New Roman"/>
          <w:sz w:val="20"/>
          <w:szCs w:val="20"/>
        </w:rPr>
      </w:pPr>
      <w:bookmarkStart w:id="7" w:name="_Toc457174344"/>
      <w:bookmarkStart w:id="8" w:name="_Toc457058935"/>
      <w:r w:rsidRPr="00887BF6">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0FC29361" wp14:editId="369CB300">
                <wp:simplePos x="0" y="0"/>
                <wp:positionH relativeFrom="column">
                  <wp:posOffset>8428990</wp:posOffset>
                </wp:positionH>
                <wp:positionV relativeFrom="paragraph">
                  <wp:posOffset>675640</wp:posOffset>
                </wp:positionV>
                <wp:extent cx="418465" cy="326390"/>
                <wp:effectExtent l="7938" t="0" r="27622" b="27623"/>
                <wp:wrapNone/>
                <wp:docPr id="8" name="Text Box 126"/>
                <wp:cNvGraphicFramePr/>
                <a:graphic xmlns:a="http://schemas.openxmlformats.org/drawingml/2006/main">
                  <a:graphicData uri="http://schemas.microsoft.com/office/word/2010/wordprocessingShape">
                    <wps:wsp>
                      <wps:cNvSpPr txBox="1"/>
                      <wps:spPr>
                        <a:xfrm rot="5400000">
                          <a:off x="0" y="0"/>
                          <a:ext cx="418465" cy="326390"/>
                        </a:xfrm>
                        <a:prstGeom prst="rect">
                          <a:avLst/>
                        </a:prstGeom>
                        <a:solidFill>
                          <a:sysClr val="window" lastClr="FFFFFF"/>
                        </a:solidFill>
                        <a:ln w="6350">
                          <a:solidFill>
                            <a:sysClr val="window" lastClr="FFFFFF"/>
                          </a:solidFill>
                        </a:ln>
                        <a:effectLst/>
                      </wps:spPr>
                      <wps:txbx>
                        <w:txbxContent>
                          <w:p w:rsidR="002B07BA" w:rsidRDefault="002B07BA" w:rsidP="00887BF6">
                            <w:pPr>
                              <w:shd w:val="clear" w:color="auto" w:fill="FFFFFF" w:themeFill="background1"/>
                            </w:pPr>
                            <w:r>
                              <w:t>126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6" o:spid="_x0000_s1028" type="#_x0000_t202" style="position:absolute;left:0;text-align:left;margin-left:663.7pt;margin-top:53.2pt;width:32.95pt;height:25.7pt;rotation:90;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" fillcolor="window" strokecolor="window" strokeweight=".5pt">
                <v:textbox>
                  <w:txbxContent>
                    <w:p w:rsidR="002B07BA" w:rsidRDefault="002B07BA" w:rsidP="00887BF6">
                      <w:pPr>
                        <w:shd w:val="clear" w:color="auto" w:fill="FFFFFF" w:themeFill="background1"/>
                      </w:pPr>
                      <w:r>
                        <w:t>126</w:t>
                      </w:r>
                    </w:p>
                  </w:txbxContent>
                </v:textbox>
              </v:shape>
            </w:pict>
          </mc:Fallback>
        </mc:AlternateContent>
      </w:r>
      <w:r w:rsidRPr="00887BF6">
        <w:rPr>
          <w:rFonts w:ascii="Times New Roman" w:hAnsi="Times New Roman"/>
          <w:sz w:val="20"/>
          <w:szCs w:val="20"/>
        </w:rPr>
        <w:t xml:space="preserve">Figure 4. </w:t>
      </w:r>
      <w:r w:rsidR="00E54A50">
        <w:rPr>
          <w:rFonts w:ascii="Times New Roman" w:hAnsi="Times New Roman"/>
          <w:sz w:val="20"/>
          <w:szCs w:val="20"/>
        </w:rPr>
        <w:t xml:space="preserve"> </w:t>
      </w:r>
      <w:r w:rsidRPr="00887BF6">
        <w:rPr>
          <w:rFonts w:ascii="Times New Roman" w:hAnsi="Times New Roman"/>
          <w:sz w:val="20"/>
          <w:szCs w:val="20"/>
        </w:rPr>
        <w:t>MRAC block diagram using the normalized MIT rule</w:t>
      </w:r>
      <w:bookmarkEnd w:id="7"/>
      <w:bookmarkEnd w:id="8"/>
    </w:p>
    <w:p w:rsidR="006768E9" w:rsidRDefault="006768E9" w:rsidP="00BA1F7B">
      <w:pPr>
        <w:spacing w:after="0" w:line="240" w:lineRule="auto"/>
        <w:jc w:val="center"/>
        <w:rPr>
          <w:rFonts w:ascii="Times New Roman" w:hAnsi="Times New Roman"/>
          <w:noProof/>
          <w:sz w:val="20"/>
          <w:szCs w:val="20"/>
          <w:lang w:bidi="ar-SA"/>
        </w:rPr>
      </w:pPr>
    </w:p>
    <w:p w:rsidR="00E54A50" w:rsidRPr="00F447A7" w:rsidRDefault="00E54A50" w:rsidP="00BA1F7B">
      <w:pPr>
        <w:spacing w:after="0" w:line="240" w:lineRule="auto"/>
        <w:jc w:val="center"/>
        <w:rPr>
          <w:rFonts w:ascii="Times New Roman" w:hAnsi="Times New Roman"/>
          <w:noProof/>
          <w:sz w:val="20"/>
          <w:szCs w:val="20"/>
          <w:lang w:bidi="ar-SA"/>
        </w:rPr>
      </w:pPr>
    </w:p>
    <w:p w:rsidR="00E54A50" w:rsidRPr="00E54A50" w:rsidRDefault="00E54A50" w:rsidP="00E54A50">
      <w:pPr>
        <w:spacing w:after="0" w:line="240" w:lineRule="auto"/>
        <w:jc w:val="center"/>
        <w:rPr>
          <w:rFonts w:ascii="Times New Roman" w:hAnsi="Times New Roman"/>
          <w:b/>
          <w:bCs/>
          <w:iCs/>
          <w:spacing w:val="-8"/>
          <w:sz w:val="20"/>
          <w:szCs w:val="20"/>
        </w:rPr>
      </w:pPr>
      <w:r w:rsidRPr="00E54A50">
        <w:rPr>
          <w:rFonts w:ascii="Times New Roman" w:hAnsi="Times New Roman"/>
          <w:b/>
          <w:bCs/>
          <w:iCs/>
          <w:spacing w:val="-8"/>
          <w:sz w:val="20"/>
          <w:szCs w:val="20"/>
        </w:rPr>
        <w:t>Simulation results and discussion</w:t>
      </w:r>
    </w:p>
    <w:p w:rsidR="00E54A50" w:rsidRPr="00E54A50" w:rsidRDefault="00E54A50" w:rsidP="00E54A50">
      <w:pPr>
        <w:spacing w:after="0" w:line="240" w:lineRule="auto"/>
        <w:jc w:val="both"/>
        <w:outlineLvl w:val="0"/>
        <w:rPr>
          <w:rFonts w:ascii="Times New Roman" w:hAnsi="Times New Roman"/>
          <w:sz w:val="20"/>
          <w:szCs w:val="20"/>
        </w:rPr>
      </w:pPr>
      <w:r w:rsidRPr="00E54A50">
        <w:rPr>
          <w:rFonts w:ascii="Times New Roman" w:hAnsi="Times New Roman"/>
          <w:sz w:val="20"/>
          <w:szCs w:val="20"/>
        </w:rPr>
        <w:t>In this research, the MRAC approach was applied to system with MIT and modified MIT rules. The models were simulated using MATLAB 2013Ra with Simulink, which the related block diagrams were shown in earlier sections. The obtained results using two different rules on the MRAC were detailed out in following sections.</w:t>
      </w:r>
    </w:p>
    <w:p w:rsidR="00E54A50" w:rsidRPr="00E54A50" w:rsidRDefault="00E54A50" w:rsidP="00E54A50">
      <w:pPr>
        <w:spacing w:after="0" w:line="240" w:lineRule="auto"/>
        <w:jc w:val="both"/>
        <w:outlineLvl w:val="0"/>
        <w:rPr>
          <w:rFonts w:ascii="Times New Roman" w:hAnsi="Times New Roman"/>
          <w:sz w:val="20"/>
          <w:szCs w:val="20"/>
        </w:rPr>
      </w:pPr>
    </w:p>
    <w:p w:rsidR="00E54A50" w:rsidRPr="00E54A50" w:rsidRDefault="00E54A50" w:rsidP="00E54A50">
      <w:pPr>
        <w:spacing w:after="0" w:line="240" w:lineRule="auto"/>
        <w:jc w:val="both"/>
        <w:rPr>
          <w:rFonts w:ascii="Times New Roman" w:hAnsi="Times New Roman"/>
          <w:b/>
          <w:bCs/>
          <w:iCs/>
          <w:spacing w:val="-8"/>
          <w:sz w:val="20"/>
          <w:szCs w:val="20"/>
        </w:rPr>
      </w:pPr>
      <w:bookmarkStart w:id="9" w:name="_Toc457251925"/>
      <w:bookmarkStart w:id="10" w:name="_Toc456816661"/>
      <w:r w:rsidRPr="00E54A50">
        <w:rPr>
          <w:rFonts w:ascii="Times New Roman" w:hAnsi="Times New Roman"/>
          <w:b/>
          <w:bCs/>
          <w:iCs/>
          <w:spacing w:val="-8"/>
          <w:sz w:val="20"/>
          <w:szCs w:val="20"/>
        </w:rPr>
        <w:t>MRAC with MIT rule</w:t>
      </w:r>
      <w:bookmarkEnd w:id="9"/>
      <w:bookmarkEnd w:id="10"/>
    </w:p>
    <w:p w:rsidR="00E54A50" w:rsidRPr="00E54A50" w:rsidRDefault="00E54A50" w:rsidP="00E54A50">
      <w:pPr>
        <w:spacing w:after="0" w:line="240" w:lineRule="auto"/>
        <w:jc w:val="both"/>
        <w:outlineLvl w:val="0"/>
        <w:rPr>
          <w:rFonts w:ascii="Times New Roman" w:hAnsi="Times New Roman"/>
          <w:sz w:val="20"/>
          <w:szCs w:val="20"/>
        </w:rPr>
      </w:pPr>
      <w:r w:rsidRPr="00E54A50">
        <w:rPr>
          <w:rFonts w:ascii="Times New Roman" w:hAnsi="Times New Roman"/>
          <w:sz w:val="20"/>
          <w:szCs w:val="20"/>
        </w:rPr>
        <w:t>The responses of actual plant and reference model first using MIT rule under different adaptation gains (</w:t>
      </w:r>
      <w:r w:rsidRPr="00E54A50">
        <w:rPr>
          <w:rFonts w:ascii="Times New Roman" w:hAnsi="Times New Roman"/>
          <w:i/>
          <w:iCs/>
          <w:sz w:val="20"/>
          <w:szCs w:val="20"/>
        </w:rPr>
        <w:t>γ</w:t>
      </w:r>
      <w:r w:rsidRPr="00E54A50">
        <w:rPr>
          <w:rFonts w:ascii="Times New Roman" w:hAnsi="Times New Roman"/>
          <w:sz w:val="20"/>
          <w:szCs w:val="20"/>
        </w:rPr>
        <w:t>) are presented in Figure 5.</w:t>
      </w:r>
    </w:p>
    <w:p w:rsidR="00E54A50" w:rsidRPr="00E54A50" w:rsidRDefault="00E54A50" w:rsidP="00E54A50">
      <w:pPr>
        <w:spacing w:after="0" w:line="240" w:lineRule="auto"/>
        <w:jc w:val="both"/>
        <w:outlineLvl w:val="0"/>
        <w:rPr>
          <w:rFonts w:ascii="Times New Roman" w:hAnsi="Times New Roman"/>
          <w:sz w:val="20"/>
          <w:szCs w:val="20"/>
        </w:rPr>
      </w:pPr>
    </w:p>
    <w:p w:rsidR="00E54A50" w:rsidRPr="00E54A50" w:rsidRDefault="00E54A50" w:rsidP="00E54A50">
      <w:pPr>
        <w:spacing w:after="0" w:line="240" w:lineRule="auto"/>
        <w:jc w:val="both"/>
        <w:outlineLvl w:val="0"/>
        <w:rPr>
          <w:rFonts w:ascii="Times New Roman" w:hAnsi="Times New Roman"/>
          <w:sz w:val="20"/>
          <w:szCs w:val="20"/>
        </w:rPr>
      </w:pPr>
      <w:r w:rsidRPr="00E54A50">
        <w:rPr>
          <w:rFonts w:ascii="Times New Roman" w:hAnsi="Times New Roman"/>
          <w:sz w:val="20"/>
          <w:szCs w:val="20"/>
        </w:rPr>
        <w:t>The figure summarizes the dynamic behavior of the system in time domain for various values of the membrane overall porosity. From the figure, it can be clearly observed that for small values of γ, the system responses are slow with small overshoot whereas they are very fast with large values of γ with larger overshoots. It means that the stability of the designed MRAC scheme using MIT is mostly depended on the adaptation gain values.</w:t>
      </w:r>
    </w:p>
    <w:p w:rsidR="00E54A50" w:rsidRPr="00E54A50" w:rsidRDefault="00E54A50" w:rsidP="00E54A50">
      <w:pPr>
        <w:spacing w:after="0" w:line="240" w:lineRule="auto"/>
        <w:jc w:val="both"/>
        <w:outlineLvl w:val="0"/>
        <w:rPr>
          <w:rFonts w:ascii="Times New Roman" w:hAnsi="Times New Roman"/>
          <w:sz w:val="20"/>
          <w:szCs w:val="20"/>
        </w:rPr>
      </w:pPr>
    </w:p>
    <w:p w:rsidR="002B07BA" w:rsidRPr="00E54A50" w:rsidRDefault="002B07BA" w:rsidP="00E54A50">
      <w:pPr>
        <w:spacing w:after="0" w:line="240" w:lineRule="auto"/>
        <w:jc w:val="both"/>
        <w:outlineLvl w:val="0"/>
        <w:rPr>
          <w:rFonts w:ascii="Times New Roman" w:hAnsi="Times New Roman"/>
          <w:sz w:val="20"/>
          <w:szCs w:val="20"/>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7"/>
      </w:tblGrid>
      <w:tr w:rsidR="00E54A50" w:rsidRPr="00E54A50" w:rsidTr="00E54A50">
        <w:trPr>
          <w:jc w:val="center"/>
        </w:trPr>
        <w:tc>
          <w:tcPr>
            <w:tcW w:w="8437" w:type="dxa"/>
            <w:hideMark/>
          </w:tcPr>
          <w:p w:rsidR="00E54A50" w:rsidRPr="00E54A50" w:rsidRDefault="00E54A50" w:rsidP="002B07BA">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lang w:bidi="fa-IR"/>
              </w:rPr>
              <w:lastRenderedPageBreak/>
              <w:t>γ = 0.1</w:t>
            </w:r>
          </w:p>
          <w:p w:rsidR="00E54A50" w:rsidRPr="00E54A50" w:rsidRDefault="00E54A50" w:rsidP="00E54A50">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rPr>
              <w:drawing>
                <wp:inline distT="0" distB="0" distL="0" distR="0" wp14:anchorId="1867BF96" wp14:editId="5F2D8C2C">
                  <wp:extent cx="2743200" cy="822960"/>
                  <wp:effectExtent l="0" t="0" r="0" b="0"/>
                  <wp:docPr id="7"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822960"/>
                          </a:xfrm>
                          <a:prstGeom prst="rect">
                            <a:avLst/>
                          </a:prstGeom>
                          <a:noFill/>
                          <a:ln>
                            <a:noFill/>
                          </a:ln>
                        </pic:spPr>
                      </pic:pic>
                    </a:graphicData>
                  </a:graphic>
                </wp:inline>
              </w:drawing>
            </w:r>
          </w:p>
          <w:p w:rsidR="00E54A50" w:rsidRPr="00E54A50" w:rsidRDefault="00E54A50" w:rsidP="002B07BA">
            <w:pPr>
              <w:keepNext/>
              <w:spacing w:afterLines="50" w:after="12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lang w:bidi="fa-IR"/>
              </w:rPr>
              <w:t>(a)</w:t>
            </w:r>
          </w:p>
          <w:p w:rsidR="00E54A50" w:rsidRPr="00E54A50" w:rsidRDefault="00E54A50" w:rsidP="002B07BA">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lang w:bidi="fa-IR"/>
              </w:rPr>
              <w:t>γ = 1</w:t>
            </w:r>
          </w:p>
        </w:tc>
      </w:tr>
      <w:tr w:rsidR="00E54A50" w:rsidRPr="00E54A50" w:rsidTr="00E54A50">
        <w:trPr>
          <w:jc w:val="center"/>
        </w:trPr>
        <w:tc>
          <w:tcPr>
            <w:tcW w:w="8437" w:type="dxa"/>
            <w:hideMark/>
          </w:tcPr>
          <w:p w:rsidR="00E54A50" w:rsidRPr="00E54A50" w:rsidRDefault="00E54A50" w:rsidP="00E54A50">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rPr>
              <w:drawing>
                <wp:inline distT="0" distB="0" distL="0" distR="0" wp14:anchorId="7167540A" wp14:editId="240FFE98">
                  <wp:extent cx="2743200" cy="822960"/>
                  <wp:effectExtent l="0" t="0" r="0" b="0"/>
                  <wp:docPr id="1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822960"/>
                          </a:xfrm>
                          <a:prstGeom prst="rect">
                            <a:avLst/>
                          </a:prstGeom>
                          <a:noFill/>
                          <a:ln>
                            <a:noFill/>
                          </a:ln>
                        </pic:spPr>
                      </pic:pic>
                    </a:graphicData>
                  </a:graphic>
                </wp:inline>
              </w:drawing>
            </w:r>
          </w:p>
          <w:p w:rsidR="00E54A50" w:rsidRPr="00E54A50" w:rsidRDefault="00E54A50" w:rsidP="002B07BA">
            <w:pPr>
              <w:keepNext/>
              <w:spacing w:afterLines="50" w:after="12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lang w:bidi="fa-IR"/>
              </w:rPr>
              <w:t>(b)</w:t>
            </w:r>
          </w:p>
          <w:p w:rsidR="00E54A50" w:rsidRPr="00E54A50" w:rsidRDefault="00E54A50" w:rsidP="002B07BA">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lang w:bidi="fa-IR"/>
              </w:rPr>
              <w:t>γ = 2</w:t>
            </w:r>
          </w:p>
        </w:tc>
      </w:tr>
      <w:tr w:rsidR="00E54A50" w:rsidRPr="00E54A50" w:rsidTr="00E54A50">
        <w:trPr>
          <w:jc w:val="center"/>
        </w:trPr>
        <w:tc>
          <w:tcPr>
            <w:tcW w:w="8437" w:type="dxa"/>
            <w:hideMark/>
          </w:tcPr>
          <w:p w:rsidR="00E54A50" w:rsidRPr="00E54A50" w:rsidRDefault="00E54A50" w:rsidP="00E54A50">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rPr>
              <w:drawing>
                <wp:inline distT="0" distB="0" distL="0" distR="0" wp14:anchorId="14A6C38B" wp14:editId="5CA8796C">
                  <wp:extent cx="2743200" cy="822960"/>
                  <wp:effectExtent l="0" t="0" r="0" b="0"/>
                  <wp:docPr id="3"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0" cy="822960"/>
                          </a:xfrm>
                          <a:prstGeom prst="rect">
                            <a:avLst/>
                          </a:prstGeom>
                          <a:noFill/>
                          <a:ln>
                            <a:noFill/>
                          </a:ln>
                        </pic:spPr>
                      </pic:pic>
                    </a:graphicData>
                  </a:graphic>
                </wp:inline>
              </w:drawing>
            </w:r>
          </w:p>
          <w:p w:rsidR="00E54A50" w:rsidRPr="00E54A50" w:rsidRDefault="00E54A50" w:rsidP="002B07BA">
            <w:pPr>
              <w:keepNext/>
              <w:spacing w:afterLines="50" w:after="12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lang w:bidi="fa-IR"/>
              </w:rPr>
              <w:t>(c)</w:t>
            </w:r>
          </w:p>
        </w:tc>
      </w:tr>
    </w:tbl>
    <w:p w:rsidR="002B07BA" w:rsidRDefault="002B07BA" w:rsidP="00E54A50">
      <w:pPr>
        <w:spacing w:after="0" w:line="240" w:lineRule="auto"/>
        <w:jc w:val="center"/>
        <w:outlineLvl w:val="0"/>
        <w:rPr>
          <w:rFonts w:ascii="Times New Roman" w:hAnsi="Times New Roman"/>
          <w:sz w:val="20"/>
          <w:szCs w:val="20"/>
        </w:rPr>
      </w:pPr>
      <w:bookmarkStart w:id="11" w:name="_Toc457174346"/>
      <w:bookmarkStart w:id="12" w:name="_Toc457058937"/>
    </w:p>
    <w:p w:rsidR="00E54A50" w:rsidRPr="00E54A50" w:rsidRDefault="00E54A50" w:rsidP="00E54A50">
      <w:pPr>
        <w:spacing w:after="0" w:line="240" w:lineRule="auto"/>
        <w:jc w:val="center"/>
        <w:outlineLvl w:val="0"/>
        <w:rPr>
          <w:rFonts w:ascii="Times New Roman" w:hAnsi="Times New Roman"/>
          <w:sz w:val="20"/>
          <w:szCs w:val="20"/>
        </w:rPr>
      </w:pPr>
      <w:r w:rsidRPr="00E54A50">
        <w:rPr>
          <w:rFonts w:ascii="Times New Roman" w:hAnsi="Times New Roman"/>
          <w:sz w:val="20"/>
          <w:szCs w:val="20"/>
        </w:rPr>
        <w:t xml:space="preserve">Figure 5. </w:t>
      </w:r>
      <w:r>
        <w:rPr>
          <w:rFonts w:ascii="Times New Roman" w:hAnsi="Times New Roman"/>
          <w:sz w:val="20"/>
          <w:szCs w:val="20"/>
        </w:rPr>
        <w:t xml:space="preserve"> </w:t>
      </w:r>
      <w:r w:rsidRPr="00E54A50">
        <w:rPr>
          <w:rFonts w:ascii="Times New Roman" w:hAnsi="Times New Roman"/>
          <w:sz w:val="20"/>
          <w:szCs w:val="20"/>
        </w:rPr>
        <w:t>Simulation results of the used MIT on MRAC for different adaptation gains</w:t>
      </w:r>
      <w:bookmarkEnd w:id="11"/>
      <w:bookmarkEnd w:id="12"/>
    </w:p>
    <w:p w:rsidR="00E54A50" w:rsidRDefault="00E54A50" w:rsidP="00E54A50">
      <w:pPr>
        <w:spacing w:after="0" w:line="240" w:lineRule="auto"/>
        <w:jc w:val="both"/>
        <w:outlineLvl w:val="0"/>
        <w:rPr>
          <w:rFonts w:ascii="Times New Roman" w:hAnsi="Times New Roman"/>
          <w:sz w:val="20"/>
          <w:szCs w:val="20"/>
        </w:rPr>
      </w:pPr>
    </w:p>
    <w:p w:rsidR="002B07BA" w:rsidRPr="00E54A50" w:rsidRDefault="002B07BA" w:rsidP="00E54A50">
      <w:pPr>
        <w:spacing w:after="0" w:line="240" w:lineRule="auto"/>
        <w:jc w:val="both"/>
        <w:outlineLvl w:val="0"/>
        <w:rPr>
          <w:rFonts w:ascii="Times New Roman" w:hAnsi="Times New Roman"/>
          <w:sz w:val="20"/>
          <w:szCs w:val="20"/>
        </w:rPr>
      </w:pPr>
    </w:p>
    <w:p w:rsidR="002B07BA" w:rsidRPr="00E54A50" w:rsidRDefault="002B07BA" w:rsidP="002B07BA">
      <w:pPr>
        <w:spacing w:after="0" w:line="240" w:lineRule="auto"/>
        <w:jc w:val="both"/>
        <w:rPr>
          <w:rFonts w:ascii="Times New Roman" w:hAnsi="Times New Roman"/>
          <w:b/>
          <w:bCs/>
          <w:iCs/>
          <w:spacing w:val="-8"/>
          <w:sz w:val="20"/>
          <w:szCs w:val="20"/>
        </w:rPr>
      </w:pPr>
      <w:bookmarkStart w:id="13" w:name="_Toc457251926"/>
      <w:bookmarkStart w:id="14" w:name="_Toc456816662"/>
      <w:r w:rsidRPr="00E54A50">
        <w:rPr>
          <w:rFonts w:ascii="Times New Roman" w:hAnsi="Times New Roman"/>
          <w:b/>
          <w:bCs/>
          <w:iCs/>
          <w:spacing w:val="-8"/>
          <w:sz w:val="20"/>
          <w:szCs w:val="20"/>
        </w:rPr>
        <w:t>MRAC with the normalized MIT rule</w:t>
      </w:r>
      <w:bookmarkEnd w:id="13"/>
      <w:bookmarkEnd w:id="14"/>
    </w:p>
    <w:p w:rsidR="002B07BA" w:rsidRPr="00E54A50" w:rsidRDefault="002B07BA" w:rsidP="002B07BA">
      <w:pPr>
        <w:spacing w:after="0" w:line="240" w:lineRule="auto"/>
        <w:jc w:val="both"/>
        <w:outlineLvl w:val="0"/>
        <w:rPr>
          <w:rFonts w:ascii="Times New Roman" w:hAnsi="Times New Roman"/>
          <w:sz w:val="20"/>
          <w:szCs w:val="20"/>
        </w:rPr>
      </w:pPr>
      <w:r w:rsidRPr="00E54A50">
        <w:rPr>
          <w:rFonts w:ascii="Times New Roman" w:hAnsi="Times New Roman"/>
          <w:sz w:val="20"/>
          <w:szCs w:val="20"/>
        </w:rPr>
        <w:t>The MRAC scheme was applied to system with the normalized MIT rule. The response of the system with three different values of adaptation gains is illustrated in Figure 6.</w:t>
      </w:r>
    </w:p>
    <w:p w:rsidR="00E54A50" w:rsidRDefault="00E54A50" w:rsidP="00E54A50">
      <w:pPr>
        <w:spacing w:after="0" w:line="240" w:lineRule="auto"/>
        <w:jc w:val="both"/>
        <w:outlineLvl w:val="0"/>
        <w:rPr>
          <w:rFonts w:ascii="Times New Roman" w:hAnsi="Times New Roman"/>
          <w:sz w:val="20"/>
          <w:szCs w:val="20"/>
        </w:rPr>
      </w:pPr>
    </w:p>
    <w:p w:rsidR="002B07BA" w:rsidRPr="00E54A50" w:rsidRDefault="002B07BA" w:rsidP="002B07BA">
      <w:pPr>
        <w:spacing w:after="0" w:line="240" w:lineRule="auto"/>
        <w:jc w:val="both"/>
        <w:outlineLvl w:val="0"/>
        <w:rPr>
          <w:rFonts w:ascii="Times New Roman" w:hAnsi="Times New Roman"/>
          <w:sz w:val="20"/>
          <w:szCs w:val="20"/>
        </w:rPr>
      </w:pPr>
      <w:r w:rsidRPr="00E54A50">
        <w:rPr>
          <w:rFonts w:ascii="Times New Roman" w:hAnsi="Times New Roman"/>
          <w:sz w:val="20"/>
          <w:szCs w:val="20"/>
        </w:rPr>
        <w:t>Figure 6 presents the effect of adaptation gain on time response curves for the normalized MIT rule. There is an improvement in the performance of the system with the increase of the adaptation gain. Every system gives its best for the limited range of the adaptation gain. It can be clearly seen that the system responds slowly when the value of the adaptation gain is smaller and there is no obvious oscillations in the system response. However, the adaptation gain with the normalized MIT has less influence on the system response than the MIT rule. Therefore, the MRAC using the normalized MIT rule is almost independent of the adaptation gain. In addition, the effect of different overall porosity of the HFM (input signal amplitude) was also examined and the results are shown in Figure 6.</w:t>
      </w:r>
    </w:p>
    <w:p w:rsidR="002B07BA" w:rsidRDefault="002B07BA" w:rsidP="002B07BA">
      <w:pPr>
        <w:spacing w:after="0" w:line="240" w:lineRule="auto"/>
        <w:jc w:val="both"/>
        <w:outlineLvl w:val="0"/>
        <w:rPr>
          <w:rFonts w:ascii="Times New Roman" w:hAnsi="Times New Roman"/>
          <w:sz w:val="20"/>
          <w:szCs w:val="20"/>
        </w:rPr>
      </w:pPr>
    </w:p>
    <w:p w:rsidR="002B07BA" w:rsidRDefault="002B07BA" w:rsidP="002B07BA">
      <w:pPr>
        <w:spacing w:after="0" w:line="240" w:lineRule="auto"/>
        <w:jc w:val="both"/>
        <w:outlineLvl w:val="0"/>
        <w:rPr>
          <w:rFonts w:ascii="Times New Roman" w:hAnsi="Times New Roman"/>
          <w:sz w:val="20"/>
          <w:szCs w:val="20"/>
        </w:rPr>
      </w:pPr>
    </w:p>
    <w:p w:rsidR="002B07BA" w:rsidRPr="00E54A50" w:rsidRDefault="002B07BA" w:rsidP="00E54A50">
      <w:pPr>
        <w:spacing w:after="0" w:line="240" w:lineRule="auto"/>
        <w:jc w:val="both"/>
        <w:outlineLvl w:val="0"/>
        <w:rPr>
          <w:rFonts w:ascii="Times New Roman" w:hAnsi="Times New Roman"/>
          <w:sz w:val="20"/>
          <w:szCs w:val="20"/>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7"/>
      </w:tblGrid>
      <w:tr w:rsidR="00E54A50" w:rsidRPr="00E54A50" w:rsidTr="002B07BA">
        <w:trPr>
          <w:trHeight w:val="1800"/>
          <w:jc w:val="center"/>
        </w:trPr>
        <w:tc>
          <w:tcPr>
            <w:tcW w:w="8437" w:type="dxa"/>
            <w:hideMark/>
          </w:tcPr>
          <w:p w:rsidR="00E54A50" w:rsidRPr="00E54A50" w:rsidRDefault="00E54A50" w:rsidP="002B07BA">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lang w:bidi="fa-IR"/>
              </w:rPr>
              <w:lastRenderedPageBreak/>
              <w:t>γ = 0.1</w:t>
            </w:r>
          </w:p>
          <w:p w:rsidR="00E54A50" w:rsidRPr="00E54A50" w:rsidRDefault="00E54A50" w:rsidP="002B07BA">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rPr>
              <w:drawing>
                <wp:inline distT="0" distB="0" distL="0" distR="0" wp14:anchorId="212858AB" wp14:editId="23DE59C3">
                  <wp:extent cx="2743200" cy="822960"/>
                  <wp:effectExtent l="0" t="0" r="0" b="0"/>
                  <wp:docPr id="15"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3200" cy="822960"/>
                          </a:xfrm>
                          <a:prstGeom prst="rect">
                            <a:avLst/>
                          </a:prstGeom>
                          <a:noFill/>
                          <a:ln>
                            <a:noFill/>
                          </a:ln>
                        </pic:spPr>
                      </pic:pic>
                    </a:graphicData>
                  </a:graphic>
                </wp:inline>
              </w:drawing>
            </w:r>
          </w:p>
          <w:p w:rsidR="00E54A50" w:rsidRPr="00E54A50" w:rsidRDefault="00E54A50" w:rsidP="002B07BA">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lang w:bidi="fa-IR"/>
              </w:rPr>
              <w:t>(a)</w:t>
            </w:r>
          </w:p>
        </w:tc>
      </w:tr>
      <w:tr w:rsidR="00E54A50" w:rsidRPr="00E54A50" w:rsidTr="002B07BA">
        <w:trPr>
          <w:jc w:val="center"/>
        </w:trPr>
        <w:tc>
          <w:tcPr>
            <w:tcW w:w="8437" w:type="dxa"/>
            <w:hideMark/>
          </w:tcPr>
          <w:p w:rsidR="00E54A50" w:rsidRPr="00E54A50" w:rsidRDefault="00E54A50" w:rsidP="002B07BA">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lang w:bidi="fa-IR"/>
              </w:rPr>
              <w:t>γ = 1</w:t>
            </w:r>
          </w:p>
          <w:p w:rsidR="00E54A50" w:rsidRPr="00E54A50" w:rsidRDefault="00E54A50" w:rsidP="002B07BA">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rPr>
              <w:drawing>
                <wp:inline distT="0" distB="0" distL="0" distR="0" wp14:anchorId="74541322" wp14:editId="586EE7A7">
                  <wp:extent cx="2743200" cy="822960"/>
                  <wp:effectExtent l="0" t="0" r="0" b="0"/>
                  <wp:docPr id="16"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0" cy="822960"/>
                          </a:xfrm>
                          <a:prstGeom prst="rect">
                            <a:avLst/>
                          </a:prstGeom>
                          <a:noFill/>
                          <a:ln>
                            <a:noFill/>
                          </a:ln>
                        </pic:spPr>
                      </pic:pic>
                    </a:graphicData>
                  </a:graphic>
                </wp:inline>
              </w:drawing>
            </w:r>
          </w:p>
          <w:p w:rsidR="00E54A50" w:rsidRPr="00E54A50" w:rsidRDefault="00E54A50" w:rsidP="002B07BA">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lang w:bidi="fa-IR"/>
              </w:rPr>
              <w:t>(b)</w:t>
            </w:r>
          </w:p>
        </w:tc>
      </w:tr>
      <w:tr w:rsidR="00E54A50" w:rsidRPr="00E54A50" w:rsidTr="002B07BA">
        <w:trPr>
          <w:jc w:val="center"/>
        </w:trPr>
        <w:tc>
          <w:tcPr>
            <w:tcW w:w="8437" w:type="dxa"/>
            <w:hideMark/>
          </w:tcPr>
          <w:p w:rsidR="00E54A50" w:rsidRPr="00E54A50" w:rsidRDefault="00E54A50" w:rsidP="002B07BA">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lang w:bidi="fa-IR"/>
              </w:rPr>
              <w:t>γ = 2</w:t>
            </w:r>
          </w:p>
          <w:p w:rsidR="00E54A50" w:rsidRPr="00E54A50" w:rsidRDefault="00E54A50" w:rsidP="002B07BA">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rPr>
              <w:drawing>
                <wp:inline distT="0" distB="0" distL="0" distR="0" wp14:anchorId="31B9C584" wp14:editId="3EDB163F">
                  <wp:extent cx="2743200" cy="822960"/>
                  <wp:effectExtent l="0" t="0" r="0" b="0"/>
                  <wp:docPr id="17"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0" cy="822960"/>
                          </a:xfrm>
                          <a:prstGeom prst="rect">
                            <a:avLst/>
                          </a:prstGeom>
                          <a:noFill/>
                          <a:ln>
                            <a:noFill/>
                          </a:ln>
                        </pic:spPr>
                      </pic:pic>
                    </a:graphicData>
                  </a:graphic>
                </wp:inline>
              </w:drawing>
            </w:r>
          </w:p>
          <w:p w:rsidR="00E54A50" w:rsidRPr="00E54A50" w:rsidRDefault="00E54A50" w:rsidP="002B07BA">
            <w:pPr>
              <w:keepNext/>
              <w:spacing w:after="0" w:line="240" w:lineRule="auto"/>
              <w:rPr>
                <w:rFonts w:ascii="Times New Roman" w:hAnsi="Times New Roman" w:cs="Times New Roman"/>
                <w:noProof/>
                <w:sz w:val="20"/>
                <w:szCs w:val="20"/>
                <w:lang w:bidi="fa-IR"/>
              </w:rPr>
            </w:pPr>
            <w:r w:rsidRPr="00E54A50">
              <w:rPr>
                <w:rFonts w:ascii="Times New Roman" w:hAnsi="Times New Roman" w:cs="Times New Roman"/>
                <w:noProof/>
                <w:sz w:val="20"/>
                <w:szCs w:val="20"/>
                <w:lang w:bidi="fa-IR"/>
              </w:rPr>
              <w:t>(c)</w:t>
            </w:r>
          </w:p>
        </w:tc>
      </w:tr>
    </w:tbl>
    <w:p w:rsidR="002B07BA" w:rsidRDefault="002B07BA" w:rsidP="002B07BA">
      <w:pPr>
        <w:spacing w:after="0" w:line="240" w:lineRule="auto"/>
        <w:jc w:val="center"/>
        <w:outlineLvl w:val="0"/>
        <w:rPr>
          <w:rFonts w:ascii="Times New Roman" w:hAnsi="Times New Roman"/>
          <w:sz w:val="20"/>
          <w:szCs w:val="20"/>
        </w:rPr>
      </w:pPr>
      <w:bookmarkStart w:id="15" w:name="_Toc457174348"/>
      <w:bookmarkStart w:id="16" w:name="_Toc457058939"/>
    </w:p>
    <w:p w:rsidR="00E54A50" w:rsidRPr="00E54A50" w:rsidRDefault="00E54A50" w:rsidP="002B07BA">
      <w:pPr>
        <w:spacing w:after="0" w:line="240" w:lineRule="auto"/>
        <w:jc w:val="center"/>
        <w:outlineLvl w:val="0"/>
        <w:rPr>
          <w:rFonts w:ascii="Times New Roman" w:hAnsi="Times New Roman"/>
          <w:sz w:val="20"/>
          <w:szCs w:val="20"/>
        </w:rPr>
      </w:pPr>
      <w:r w:rsidRPr="00E54A50">
        <w:rPr>
          <w:rFonts w:ascii="Times New Roman" w:hAnsi="Times New Roman"/>
          <w:sz w:val="20"/>
          <w:szCs w:val="20"/>
        </w:rPr>
        <w:t xml:space="preserve">Figure 6. </w:t>
      </w:r>
      <w:r w:rsidR="002B07BA">
        <w:rPr>
          <w:rFonts w:ascii="Times New Roman" w:hAnsi="Times New Roman"/>
          <w:sz w:val="20"/>
          <w:szCs w:val="20"/>
        </w:rPr>
        <w:t xml:space="preserve"> </w:t>
      </w:r>
      <w:r w:rsidRPr="00E54A50">
        <w:rPr>
          <w:rFonts w:ascii="Times New Roman" w:hAnsi="Times New Roman"/>
          <w:sz w:val="20"/>
          <w:szCs w:val="20"/>
        </w:rPr>
        <w:t>MRAC simulation results with the normalized MIT rule subjected to different adaptation gains</w:t>
      </w:r>
      <w:bookmarkEnd w:id="15"/>
      <w:bookmarkEnd w:id="16"/>
    </w:p>
    <w:p w:rsidR="00E54A50" w:rsidRDefault="00E54A50" w:rsidP="00E54A50">
      <w:pPr>
        <w:spacing w:after="0" w:line="240" w:lineRule="auto"/>
        <w:jc w:val="both"/>
        <w:outlineLvl w:val="0"/>
        <w:rPr>
          <w:rFonts w:ascii="Times New Roman" w:hAnsi="Times New Roman"/>
          <w:sz w:val="20"/>
          <w:szCs w:val="20"/>
        </w:rPr>
      </w:pPr>
    </w:p>
    <w:p w:rsidR="002B07BA" w:rsidRPr="00E54A50" w:rsidRDefault="002B07BA" w:rsidP="00E54A50">
      <w:pPr>
        <w:spacing w:after="0" w:line="240" w:lineRule="auto"/>
        <w:jc w:val="both"/>
        <w:outlineLvl w:val="0"/>
        <w:rPr>
          <w:rFonts w:ascii="Times New Roman" w:hAnsi="Times New Roman"/>
          <w:sz w:val="20"/>
          <w:szCs w:val="20"/>
        </w:rPr>
      </w:pPr>
    </w:p>
    <w:p w:rsidR="00E54A50" w:rsidRPr="00E54A50" w:rsidRDefault="00E54A50" w:rsidP="00E54A50">
      <w:pPr>
        <w:spacing w:after="0" w:line="240" w:lineRule="auto"/>
        <w:jc w:val="both"/>
        <w:outlineLvl w:val="0"/>
        <w:rPr>
          <w:rFonts w:ascii="Times New Roman" w:hAnsi="Times New Roman"/>
          <w:sz w:val="20"/>
          <w:szCs w:val="20"/>
        </w:rPr>
      </w:pPr>
      <w:r w:rsidRPr="00E54A50">
        <w:rPr>
          <w:rFonts w:ascii="Times New Roman" w:hAnsi="Times New Roman"/>
          <w:b/>
          <w:sz w:val="20"/>
          <w:szCs w:val="20"/>
        </w:rPr>
        <w:t>Method validation</w:t>
      </w:r>
    </w:p>
    <w:p w:rsidR="00E54A50" w:rsidRPr="00E54A50" w:rsidRDefault="00E54A50" w:rsidP="00E54A50">
      <w:pPr>
        <w:spacing w:after="0" w:line="240" w:lineRule="auto"/>
        <w:jc w:val="both"/>
        <w:outlineLvl w:val="0"/>
        <w:rPr>
          <w:rFonts w:ascii="Times New Roman" w:hAnsi="Times New Roman"/>
          <w:sz w:val="20"/>
          <w:szCs w:val="20"/>
        </w:rPr>
      </w:pPr>
      <w:r w:rsidRPr="00E54A50">
        <w:rPr>
          <w:rFonts w:ascii="Times New Roman" w:hAnsi="Times New Roman"/>
          <w:sz w:val="20"/>
          <w:szCs w:val="20"/>
        </w:rPr>
        <w:t>The normalized MIT rule applied in this work was validated by comparing the proposed approach output versus fabricated HFMs overall porosity. Therefore, 5 HFMs were fabricated in different dope extrusion flow rates then overall porosity of the samples was determined using Eq. (1). The overall porosities for different dope extrusion flow rates were predicted using the normalized MIT rule. The obtained results from the normalized MIT rule were compared with the related actual values which are shown in Table 2.</w:t>
      </w:r>
    </w:p>
    <w:p w:rsidR="00E54A50" w:rsidRPr="00E54A50" w:rsidRDefault="00E54A50" w:rsidP="00E54A50">
      <w:pPr>
        <w:spacing w:after="0" w:line="240" w:lineRule="auto"/>
        <w:jc w:val="both"/>
        <w:outlineLvl w:val="0"/>
        <w:rPr>
          <w:rFonts w:ascii="Times New Roman" w:hAnsi="Times New Roman"/>
          <w:sz w:val="20"/>
          <w:szCs w:val="20"/>
        </w:rPr>
      </w:pPr>
    </w:p>
    <w:p w:rsidR="00E54A50" w:rsidRPr="00E54A50" w:rsidRDefault="00E54A50" w:rsidP="00E54A50">
      <w:pPr>
        <w:spacing w:after="0" w:line="240" w:lineRule="auto"/>
        <w:jc w:val="both"/>
        <w:outlineLvl w:val="0"/>
        <w:rPr>
          <w:rFonts w:ascii="Times New Roman" w:hAnsi="Times New Roman"/>
          <w:sz w:val="20"/>
          <w:szCs w:val="20"/>
        </w:rPr>
      </w:pPr>
      <w:r w:rsidRPr="00E54A50">
        <w:rPr>
          <w:rFonts w:ascii="Times New Roman" w:hAnsi="Times New Roman"/>
          <w:sz w:val="20"/>
          <w:szCs w:val="20"/>
        </w:rPr>
        <w:t>From Table 2, slight differences can be observed between the fabricated HFMs overall porosity and the obtained results from the normalized MIT rule. The average error obtained between two methods for the HFM overall porosity can be computed as 1.47 (%). Therefore, the proposed normalized MIT rule is deemed capable to control the overall porosity during the HFM fabrication process.</w:t>
      </w:r>
    </w:p>
    <w:p w:rsidR="00E54A50" w:rsidRPr="00E54A50" w:rsidRDefault="00E54A50" w:rsidP="00E54A50">
      <w:pPr>
        <w:spacing w:after="0" w:line="240" w:lineRule="auto"/>
        <w:jc w:val="both"/>
        <w:outlineLvl w:val="0"/>
        <w:rPr>
          <w:rFonts w:ascii="Times New Roman" w:hAnsi="Times New Roman"/>
          <w:sz w:val="20"/>
          <w:szCs w:val="20"/>
        </w:rPr>
      </w:pPr>
    </w:p>
    <w:p w:rsidR="00E54A50" w:rsidRPr="00E54A50" w:rsidRDefault="00E54A50" w:rsidP="002B07BA">
      <w:pPr>
        <w:spacing w:after="120" w:line="240" w:lineRule="auto"/>
        <w:jc w:val="center"/>
        <w:outlineLvl w:val="0"/>
        <w:rPr>
          <w:rFonts w:ascii="Times New Roman" w:hAnsi="Times New Roman"/>
          <w:sz w:val="20"/>
          <w:szCs w:val="20"/>
        </w:rPr>
      </w:pPr>
      <w:r w:rsidRPr="00E54A50">
        <w:rPr>
          <w:rFonts w:ascii="Times New Roman" w:hAnsi="Times New Roman"/>
          <w:sz w:val="20"/>
          <w:szCs w:val="20"/>
        </w:rPr>
        <w:t>Table 2.</w:t>
      </w:r>
      <w:r w:rsidR="002B07BA">
        <w:rPr>
          <w:rFonts w:ascii="Times New Roman" w:hAnsi="Times New Roman"/>
          <w:sz w:val="20"/>
          <w:szCs w:val="20"/>
        </w:rPr>
        <w:t xml:space="preserve">  N</w:t>
      </w:r>
      <w:r w:rsidRPr="00E54A50">
        <w:rPr>
          <w:rFonts w:ascii="Times New Roman" w:hAnsi="Times New Roman"/>
          <w:sz w:val="20"/>
          <w:szCs w:val="20"/>
        </w:rPr>
        <w:t>ormalized MIT rule and actual HFMs overall porosity</w:t>
      </w:r>
    </w:p>
    <w:tbl>
      <w:tblPr>
        <w:tblW w:w="0" w:type="auto"/>
        <w:jc w:val="center"/>
        <w:tblInd w:w="-373" w:type="dxa"/>
        <w:tblCellMar>
          <w:left w:w="10" w:type="dxa"/>
          <w:right w:w="10" w:type="dxa"/>
        </w:tblCellMar>
        <w:tblLook w:val="04A0" w:firstRow="1" w:lastRow="0" w:firstColumn="1" w:lastColumn="0" w:noHBand="0" w:noVBand="1"/>
      </w:tblPr>
      <w:tblGrid>
        <w:gridCol w:w="1027"/>
        <w:gridCol w:w="1243"/>
        <w:gridCol w:w="1114"/>
        <w:gridCol w:w="1478"/>
        <w:gridCol w:w="1093"/>
      </w:tblGrid>
      <w:tr w:rsidR="00E54A50" w:rsidRPr="00E54A50" w:rsidTr="002B07BA">
        <w:trPr>
          <w:trHeight w:val="281"/>
          <w:jc w:val="center"/>
        </w:trPr>
        <w:tc>
          <w:tcPr>
            <w:tcW w:w="1027" w:type="dxa"/>
            <w:tcBorders>
              <w:top w:val="single" w:sz="4" w:space="0" w:color="auto"/>
              <w:left w:val="nil"/>
              <w:bottom w:val="single" w:sz="4" w:space="0" w:color="auto"/>
              <w:right w:val="nil"/>
            </w:tcBorders>
            <w:vAlign w:val="center"/>
          </w:tcPr>
          <w:p w:rsidR="00E54A50" w:rsidRPr="00E54A50" w:rsidRDefault="00E54A50" w:rsidP="002B07BA">
            <w:pPr>
              <w:spacing w:after="0" w:line="240" w:lineRule="auto"/>
              <w:rPr>
                <w:rFonts w:ascii="Times New Roman" w:eastAsia="Calibri" w:hAnsi="Times New Roman"/>
                <w:b/>
                <w:sz w:val="20"/>
                <w:szCs w:val="20"/>
              </w:rPr>
            </w:pPr>
            <w:r w:rsidRPr="00E54A50">
              <w:rPr>
                <w:rFonts w:ascii="Times New Roman" w:eastAsia="Calibri" w:hAnsi="Times New Roman"/>
                <w:b/>
                <w:sz w:val="20"/>
                <w:szCs w:val="20"/>
              </w:rPr>
              <w:t>Sample</w:t>
            </w:r>
          </w:p>
        </w:tc>
        <w:tc>
          <w:tcPr>
            <w:tcW w:w="1243" w:type="dxa"/>
            <w:tcBorders>
              <w:top w:val="single" w:sz="4" w:space="0" w:color="auto"/>
              <w:left w:val="nil"/>
              <w:bottom w:val="single" w:sz="4" w:space="0" w:color="auto"/>
              <w:right w:val="nil"/>
            </w:tcBorders>
          </w:tcPr>
          <w:p w:rsidR="00E54A50" w:rsidRPr="00E54A50" w:rsidRDefault="00E54A50" w:rsidP="002B07BA">
            <w:pPr>
              <w:spacing w:before="60" w:after="0" w:line="240" w:lineRule="auto"/>
              <w:jc w:val="center"/>
              <w:rPr>
                <w:rFonts w:ascii="Times New Roman" w:eastAsia="Calibri" w:hAnsi="Times New Roman"/>
                <w:b/>
                <w:sz w:val="20"/>
                <w:szCs w:val="20"/>
              </w:rPr>
            </w:pPr>
            <w:r w:rsidRPr="00E54A50">
              <w:rPr>
                <w:rFonts w:ascii="Times New Roman" w:eastAsia="Calibri" w:hAnsi="Times New Roman"/>
                <w:b/>
                <w:sz w:val="20"/>
                <w:szCs w:val="20"/>
              </w:rPr>
              <w:t>DER</w:t>
            </w:r>
          </w:p>
          <w:p w:rsidR="00E54A50" w:rsidRPr="00E54A50" w:rsidRDefault="00E54A50" w:rsidP="002B07BA">
            <w:pPr>
              <w:spacing w:after="0" w:line="240" w:lineRule="auto"/>
              <w:jc w:val="center"/>
              <w:rPr>
                <w:rFonts w:ascii="Times New Roman" w:eastAsia="Calibri" w:hAnsi="Times New Roman"/>
                <w:b/>
                <w:sz w:val="20"/>
                <w:szCs w:val="20"/>
              </w:rPr>
            </w:pPr>
            <w:r w:rsidRPr="00E54A50">
              <w:rPr>
                <w:rFonts w:ascii="Times New Roman" w:eastAsia="Calibri" w:hAnsi="Times New Roman"/>
                <w:b/>
                <w:sz w:val="20"/>
                <w:szCs w:val="20"/>
              </w:rPr>
              <w:t>(cm</w:t>
            </w:r>
            <w:r w:rsidRPr="00E54A50">
              <w:rPr>
                <w:rFonts w:ascii="Times New Roman" w:eastAsia="Calibri" w:hAnsi="Times New Roman"/>
                <w:b/>
                <w:sz w:val="20"/>
                <w:szCs w:val="20"/>
                <w:vertAlign w:val="superscript"/>
              </w:rPr>
              <w:t>3</w:t>
            </w:r>
            <w:r w:rsidRPr="00E54A50">
              <w:rPr>
                <w:rFonts w:ascii="Times New Roman" w:eastAsia="Calibri" w:hAnsi="Times New Roman"/>
                <w:b/>
                <w:sz w:val="20"/>
                <w:szCs w:val="20"/>
              </w:rPr>
              <w:t>/min)</w:t>
            </w:r>
          </w:p>
        </w:tc>
        <w:tc>
          <w:tcPr>
            <w:tcW w:w="1114" w:type="dxa"/>
            <w:tcBorders>
              <w:top w:val="single" w:sz="4" w:space="0" w:color="auto"/>
              <w:left w:val="nil"/>
              <w:bottom w:val="single" w:sz="4" w:space="0" w:color="auto"/>
              <w:right w:val="nil"/>
            </w:tcBorders>
            <w:vAlign w:val="center"/>
          </w:tcPr>
          <w:p w:rsidR="00E54A50" w:rsidRPr="00E54A50" w:rsidRDefault="00E54A50" w:rsidP="002B07BA">
            <w:pPr>
              <w:spacing w:after="0" w:line="240" w:lineRule="auto"/>
              <w:jc w:val="center"/>
              <w:rPr>
                <w:rFonts w:ascii="Times New Roman" w:eastAsia="Calibri" w:hAnsi="Times New Roman"/>
                <w:b/>
                <w:sz w:val="20"/>
                <w:szCs w:val="20"/>
              </w:rPr>
            </w:pPr>
            <w:r w:rsidRPr="00E54A50">
              <w:rPr>
                <w:rFonts w:ascii="Times New Roman" w:eastAsia="Calibri" w:hAnsi="Times New Roman"/>
                <w:b/>
                <w:sz w:val="20"/>
                <w:szCs w:val="20"/>
              </w:rPr>
              <w:t>Actual</w:t>
            </w:r>
          </w:p>
          <w:p w:rsidR="00E54A50" w:rsidRPr="00E54A50" w:rsidRDefault="00E54A50" w:rsidP="002B07BA">
            <w:pPr>
              <w:spacing w:after="0" w:line="240" w:lineRule="auto"/>
              <w:jc w:val="center"/>
              <w:rPr>
                <w:rFonts w:ascii="Times New Roman" w:eastAsia="Calibri" w:hAnsi="Times New Roman"/>
                <w:b/>
                <w:sz w:val="20"/>
                <w:szCs w:val="20"/>
              </w:rPr>
            </w:pPr>
            <w:r w:rsidRPr="00E54A50">
              <w:rPr>
                <w:rFonts w:ascii="Times New Roman" w:eastAsia="Calibri" w:hAnsi="Times New Roman"/>
                <w:b/>
                <w:sz w:val="20"/>
                <w:szCs w:val="20"/>
              </w:rPr>
              <w:t>(%)</w:t>
            </w:r>
          </w:p>
        </w:tc>
        <w:tc>
          <w:tcPr>
            <w:tcW w:w="1478" w:type="dxa"/>
            <w:tcBorders>
              <w:top w:val="single" w:sz="4" w:space="0" w:color="auto"/>
              <w:left w:val="nil"/>
              <w:bottom w:val="single" w:sz="4" w:space="0" w:color="auto"/>
              <w:right w:val="nil"/>
            </w:tcBorders>
            <w:vAlign w:val="center"/>
          </w:tcPr>
          <w:p w:rsidR="00E54A50" w:rsidRPr="00E54A50" w:rsidRDefault="00E54A50" w:rsidP="002B07BA">
            <w:pPr>
              <w:spacing w:before="60" w:after="0" w:line="240" w:lineRule="auto"/>
              <w:jc w:val="center"/>
              <w:rPr>
                <w:rFonts w:ascii="Times New Roman" w:eastAsia="Calibri" w:hAnsi="Times New Roman"/>
                <w:b/>
                <w:sz w:val="20"/>
                <w:szCs w:val="20"/>
              </w:rPr>
            </w:pPr>
            <w:r w:rsidRPr="00E54A50">
              <w:rPr>
                <w:rFonts w:ascii="Times New Roman" w:eastAsia="Calibri" w:hAnsi="Times New Roman"/>
                <w:b/>
                <w:sz w:val="20"/>
                <w:szCs w:val="20"/>
              </w:rPr>
              <w:t>Normalized MIT</w:t>
            </w:r>
          </w:p>
          <w:p w:rsidR="00E54A50" w:rsidRPr="00E54A50" w:rsidRDefault="00E54A50" w:rsidP="002B07BA">
            <w:pPr>
              <w:spacing w:after="60" w:line="240" w:lineRule="auto"/>
              <w:jc w:val="center"/>
              <w:rPr>
                <w:rFonts w:ascii="Times New Roman" w:eastAsia="Calibri" w:hAnsi="Times New Roman"/>
                <w:b/>
                <w:sz w:val="20"/>
                <w:szCs w:val="20"/>
              </w:rPr>
            </w:pPr>
            <w:r w:rsidRPr="00E54A50">
              <w:rPr>
                <w:rFonts w:ascii="Times New Roman" w:eastAsia="Calibri" w:hAnsi="Times New Roman"/>
                <w:b/>
                <w:sz w:val="20"/>
                <w:szCs w:val="20"/>
              </w:rPr>
              <w:t>(%)</w:t>
            </w:r>
          </w:p>
        </w:tc>
        <w:tc>
          <w:tcPr>
            <w:tcW w:w="1093" w:type="dxa"/>
            <w:tcBorders>
              <w:top w:val="single" w:sz="4" w:space="0" w:color="auto"/>
              <w:left w:val="nil"/>
              <w:bottom w:val="single" w:sz="4" w:space="0" w:color="auto"/>
              <w:right w:val="nil"/>
            </w:tcBorders>
            <w:vAlign w:val="center"/>
          </w:tcPr>
          <w:p w:rsidR="00E54A50" w:rsidRPr="00E54A50" w:rsidRDefault="00E54A50" w:rsidP="002B07BA">
            <w:pPr>
              <w:spacing w:after="0" w:line="240" w:lineRule="auto"/>
              <w:jc w:val="center"/>
              <w:rPr>
                <w:rFonts w:ascii="Times New Roman" w:eastAsia="Calibri" w:hAnsi="Times New Roman"/>
                <w:b/>
                <w:sz w:val="20"/>
                <w:szCs w:val="20"/>
              </w:rPr>
            </w:pPr>
            <w:r w:rsidRPr="00E54A50">
              <w:rPr>
                <w:rFonts w:ascii="Times New Roman" w:eastAsia="Calibri" w:hAnsi="Times New Roman"/>
                <w:b/>
                <w:sz w:val="20"/>
                <w:szCs w:val="20"/>
              </w:rPr>
              <w:t>Error</w:t>
            </w:r>
          </w:p>
        </w:tc>
      </w:tr>
      <w:tr w:rsidR="00E54A50" w:rsidRPr="00E54A50" w:rsidTr="002B07BA">
        <w:trPr>
          <w:trHeight w:val="281"/>
          <w:jc w:val="center"/>
        </w:trPr>
        <w:tc>
          <w:tcPr>
            <w:tcW w:w="1027" w:type="dxa"/>
            <w:tcBorders>
              <w:top w:val="single" w:sz="4" w:space="0" w:color="auto"/>
              <w:left w:val="nil"/>
              <w:bottom w:val="nil"/>
              <w:right w:val="nil"/>
            </w:tcBorders>
            <w:vAlign w:val="center"/>
          </w:tcPr>
          <w:p w:rsidR="00E54A50" w:rsidRPr="00E54A50" w:rsidRDefault="00E54A50" w:rsidP="002B07BA">
            <w:pPr>
              <w:spacing w:before="60" w:after="0" w:line="240" w:lineRule="auto"/>
              <w:rPr>
                <w:rFonts w:ascii="Times New Roman" w:eastAsia="Calibri" w:hAnsi="Times New Roman"/>
                <w:sz w:val="20"/>
                <w:szCs w:val="20"/>
              </w:rPr>
            </w:pPr>
            <w:r w:rsidRPr="00E54A50">
              <w:rPr>
                <w:rFonts w:ascii="Times New Roman" w:eastAsia="Calibri" w:hAnsi="Times New Roman"/>
                <w:sz w:val="20"/>
                <w:szCs w:val="20"/>
              </w:rPr>
              <w:t>1</w:t>
            </w:r>
          </w:p>
        </w:tc>
        <w:tc>
          <w:tcPr>
            <w:tcW w:w="1243" w:type="dxa"/>
            <w:tcBorders>
              <w:top w:val="single" w:sz="4" w:space="0" w:color="auto"/>
              <w:left w:val="nil"/>
              <w:bottom w:val="nil"/>
              <w:right w:val="nil"/>
            </w:tcBorders>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3.75</w:t>
            </w:r>
          </w:p>
        </w:tc>
        <w:tc>
          <w:tcPr>
            <w:tcW w:w="1114" w:type="dxa"/>
            <w:tcBorders>
              <w:top w:val="single" w:sz="4" w:space="0" w:color="auto"/>
              <w:left w:val="nil"/>
              <w:bottom w:val="nil"/>
              <w:right w:val="nil"/>
            </w:tcBorders>
            <w:vAlign w:val="center"/>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72.25</w:t>
            </w:r>
          </w:p>
        </w:tc>
        <w:tc>
          <w:tcPr>
            <w:tcW w:w="1478" w:type="dxa"/>
            <w:tcBorders>
              <w:top w:val="single" w:sz="4" w:space="0" w:color="auto"/>
              <w:left w:val="nil"/>
              <w:bottom w:val="nil"/>
              <w:right w:val="nil"/>
            </w:tcBorders>
            <w:vAlign w:val="center"/>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72.66</w:t>
            </w:r>
          </w:p>
        </w:tc>
        <w:tc>
          <w:tcPr>
            <w:tcW w:w="1093" w:type="dxa"/>
            <w:tcBorders>
              <w:top w:val="single" w:sz="4" w:space="0" w:color="auto"/>
              <w:left w:val="nil"/>
              <w:bottom w:val="nil"/>
              <w:right w:val="nil"/>
            </w:tcBorders>
            <w:vAlign w:val="center"/>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0.57</w:t>
            </w:r>
          </w:p>
        </w:tc>
      </w:tr>
      <w:tr w:rsidR="00E54A50" w:rsidRPr="00E54A50" w:rsidTr="002B07BA">
        <w:trPr>
          <w:trHeight w:val="281"/>
          <w:jc w:val="center"/>
        </w:trPr>
        <w:tc>
          <w:tcPr>
            <w:tcW w:w="1027" w:type="dxa"/>
            <w:tcBorders>
              <w:top w:val="nil"/>
              <w:left w:val="nil"/>
              <w:bottom w:val="nil"/>
              <w:right w:val="nil"/>
            </w:tcBorders>
            <w:vAlign w:val="center"/>
          </w:tcPr>
          <w:p w:rsidR="00E54A50" w:rsidRPr="00E54A50" w:rsidRDefault="00E54A50" w:rsidP="002B07BA">
            <w:pPr>
              <w:spacing w:before="60" w:after="0" w:line="240" w:lineRule="auto"/>
              <w:rPr>
                <w:rFonts w:ascii="Times New Roman" w:eastAsia="Calibri" w:hAnsi="Times New Roman"/>
                <w:sz w:val="20"/>
                <w:szCs w:val="20"/>
              </w:rPr>
            </w:pPr>
            <w:r w:rsidRPr="00E54A50">
              <w:rPr>
                <w:rFonts w:ascii="Times New Roman" w:eastAsia="Calibri" w:hAnsi="Times New Roman"/>
                <w:sz w:val="20"/>
                <w:szCs w:val="20"/>
              </w:rPr>
              <w:t>2</w:t>
            </w:r>
          </w:p>
        </w:tc>
        <w:tc>
          <w:tcPr>
            <w:tcW w:w="1243" w:type="dxa"/>
            <w:tcBorders>
              <w:top w:val="nil"/>
              <w:left w:val="nil"/>
              <w:bottom w:val="nil"/>
              <w:right w:val="nil"/>
            </w:tcBorders>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5.50</w:t>
            </w:r>
          </w:p>
        </w:tc>
        <w:tc>
          <w:tcPr>
            <w:tcW w:w="1114" w:type="dxa"/>
            <w:tcBorders>
              <w:top w:val="nil"/>
              <w:left w:val="nil"/>
              <w:bottom w:val="nil"/>
              <w:right w:val="nil"/>
            </w:tcBorders>
            <w:vAlign w:val="center"/>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67.25</w:t>
            </w:r>
          </w:p>
        </w:tc>
        <w:tc>
          <w:tcPr>
            <w:tcW w:w="1478" w:type="dxa"/>
            <w:tcBorders>
              <w:top w:val="nil"/>
              <w:left w:val="nil"/>
              <w:bottom w:val="nil"/>
              <w:right w:val="nil"/>
            </w:tcBorders>
            <w:vAlign w:val="center"/>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68.07</w:t>
            </w:r>
          </w:p>
        </w:tc>
        <w:tc>
          <w:tcPr>
            <w:tcW w:w="1093" w:type="dxa"/>
            <w:tcBorders>
              <w:top w:val="nil"/>
              <w:left w:val="nil"/>
              <w:bottom w:val="nil"/>
              <w:right w:val="nil"/>
            </w:tcBorders>
            <w:vAlign w:val="center"/>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1.20</w:t>
            </w:r>
          </w:p>
        </w:tc>
      </w:tr>
      <w:tr w:rsidR="00E54A50" w:rsidRPr="00E54A50" w:rsidTr="002B07BA">
        <w:trPr>
          <w:trHeight w:val="281"/>
          <w:jc w:val="center"/>
        </w:trPr>
        <w:tc>
          <w:tcPr>
            <w:tcW w:w="1027" w:type="dxa"/>
            <w:tcBorders>
              <w:top w:val="nil"/>
              <w:left w:val="nil"/>
              <w:bottom w:val="nil"/>
              <w:right w:val="nil"/>
            </w:tcBorders>
            <w:vAlign w:val="center"/>
          </w:tcPr>
          <w:p w:rsidR="00E54A50" w:rsidRPr="00E54A50" w:rsidRDefault="00E54A50" w:rsidP="002B07BA">
            <w:pPr>
              <w:spacing w:before="60" w:after="0" w:line="240" w:lineRule="auto"/>
              <w:rPr>
                <w:rFonts w:ascii="Times New Roman" w:eastAsia="Calibri" w:hAnsi="Times New Roman"/>
                <w:sz w:val="20"/>
                <w:szCs w:val="20"/>
              </w:rPr>
            </w:pPr>
            <w:r w:rsidRPr="00E54A50">
              <w:rPr>
                <w:rFonts w:ascii="Times New Roman" w:eastAsia="Calibri" w:hAnsi="Times New Roman"/>
                <w:sz w:val="20"/>
                <w:szCs w:val="20"/>
              </w:rPr>
              <w:t>3</w:t>
            </w:r>
          </w:p>
        </w:tc>
        <w:tc>
          <w:tcPr>
            <w:tcW w:w="1243" w:type="dxa"/>
            <w:tcBorders>
              <w:top w:val="nil"/>
              <w:left w:val="nil"/>
              <w:bottom w:val="nil"/>
              <w:right w:val="nil"/>
            </w:tcBorders>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1.50</w:t>
            </w:r>
          </w:p>
        </w:tc>
        <w:tc>
          <w:tcPr>
            <w:tcW w:w="1114" w:type="dxa"/>
            <w:tcBorders>
              <w:top w:val="nil"/>
              <w:left w:val="nil"/>
              <w:bottom w:val="nil"/>
              <w:right w:val="nil"/>
            </w:tcBorders>
            <w:vAlign w:val="center"/>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77.69</w:t>
            </w:r>
          </w:p>
        </w:tc>
        <w:tc>
          <w:tcPr>
            <w:tcW w:w="1478" w:type="dxa"/>
            <w:tcBorders>
              <w:top w:val="nil"/>
              <w:left w:val="nil"/>
              <w:bottom w:val="nil"/>
              <w:right w:val="nil"/>
            </w:tcBorders>
            <w:vAlign w:val="center"/>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79.16</w:t>
            </w:r>
          </w:p>
        </w:tc>
        <w:tc>
          <w:tcPr>
            <w:tcW w:w="1093" w:type="dxa"/>
            <w:tcBorders>
              <w:top w:val="nil"/>
              <w:left w:val="nil"/>
              <w:bottom w:val="nil"/>
              <w:right w:val="nil"/>
            </w:tcBorders>
            <w:vAlign w:val="center"/>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1.80</w:t>
            </w:r>
          </w:p>
        </w:tc>
      </w:tr>
      <w:tr w:rsidR="00E54A50" w:rsidRPr="00E54A50" w:rsidTr="002B07BA">
        <w:trPr>
          <w:trHeight w:val="281"/>
          <w:jc w:val="center"/>
        </w:trPr>
        <w:tc>
          <w:tcPr>
            <w:tcW w:w="1027" w:type="dxa"/>
            <w:tcBorders>
              <w:top w:val="nil"/>
              <w:left w:val="nil"/>
              <w:right w:val="nil"/>
            </w:tcBorders>
            <w:vAlign w:val="center"/>
          </w:tcPr>
          <w:p w:rsidR="00E54A50" w:rsidRPr="00E54A50" w:rsidRDefault="00E54A50" w:rsidP="002B07BA">
            <w:pPr>
              <w:spacing w:before="60" w:after="0" w:line="240" w:lineRule="auto"/>
              <w:rPr>
                <w:rFonts w:ascii="Times New Roman" w:eastAsia="Calibri" w:hAnsi="Times New Roman"/>
                <w:sz w:val="20"/>
                <w:szCs w:val="20"/>
              </w:rPr>
            </w:pPr>
            <w:r w:rsidRPr="00E54A50">
              <w:rPr>
                <w:rFonts w:ascii="Times New Roman" w:eastAsia="Calibri" w:hAnsi="Times New Roman"/>
                <w:sz w:val="20"/>
                <w:szCs w:val="20"/>
              </w:rPr>
              <w:t>4</w:t>
            </w:r>
          </w:p>
        </w:tc>
        <w:tc>
          <w:tcPr>
            <w:tcW w:w="1243" w:type="dxa"/>
            <w:tcBorders>
              <w:top w:val="nil"/>
              <w:left w:val="nil"/>
              <w:right w:val="nil"/>
            </w:tcBorders>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4.25</w:t>
            </w:r>
          </w:p>
        </w:tc>
        <w:tc>
          <w:tcPr>
            <w:tcW w:w="1114" w:type="dxa"/>
            <w:tcBorders>
              <w:top w:val="nil"/>
              <w:left w:val="nil"/>
              <w:right w:val="nil"/>
            </w:tcBorders>
            <w:vAlign w:val="center"/>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69.22</w:t>
            </w:r>
          </w:p>
        </w:tc>
        <w:tc>
          <w:tcPr>
            <w:tcW w:w="1478" w:type="dxa"/>
            <w:tcBorders>
              <w:top w:val="nil"/>
              <w:left w:val="nil"/>
              <w:right w:val="nil"/>
            </w:tcBorders>
            <w:vAlign w:val="center"/>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67.60</w:t>
            </w:r>
          </w:p>
        </w:tc>
        <w:tc>
          <w:tcPr>
            <w:tcW w:w="1093" w:type="dxa"/>
            <w:tcBorders>
              <w:top w:val="nil"/>
              <w:left w:val="nil"/>
              <w:right w:val="nil"/>
            </w:tcBorders>
            <w:vAlign w:val="center"/>
          </w:tcPr>
          <w:p w:rsidR="00E54A50" w:rsidRPr="00E54A50" w:rsidRDefault="00E54A50" w:rsidP="002B07BA">
            <w:pPr>
              <w:spacing w:before="60" w:after="0" w:line="240" w:lineRule="auto"/>
              <w:jc w:val="center"/>
              <w:rPr>
                <w:rFonts w:ascii="Times New Roman" w:eastAsia="Calibri" w:hAnsi="Times New Roman"/>
                <w:sz w:val="20"/>
                <w:szCs w:val="20"/>
              </w:rPr>
            </w:pPr>
            <w:r w:rsidRPr="00E54A50">
              <w:rPr>
                <w:rFonts w:ascii="Times New Roman" w:eastAsia="Calibri" w:hAnsi="Times New Roman"/>
                <w:sz w:val="20"/>
                <w:szCs w:val="20"/>
              </w:rPr>
              <w:t>2.30</w:t>
            </w:r>
          </w:p>
        </w:tc>
      </w:tr>
      <w:tr w:rsidR="00E54A50" w:rsidRPr="00E54A50" w:rsidTr="002B07BA">
        <w:trPr>
          <w:trHeight w:val="281"/>
          <w:jc w:val="center"/>
        </w:trPr>
        <w:tc>
          <w:tcPr>
            <w:tcW w:w="1027" w:type="dxa"/>
            <w:tcBorders>
              <w:top w:val="nil"/>
              <w:left w:val="nil"/>
              <w:bottom w:val="single" w:sz="4" w:space="0" w:color="auto"/>
              <w:right w:val="nil"/>
            </w:tcBorders>
            <w:vAlign w:val="center"/>
          </w:tcPr>
          <w:p w:rsidR="00E54A50" w:rsidRPr="00E54A50" w:rsidRDefault="00E54A50" w:rsidP="002B07BA">
            <w:pPr>
              <w:spacing w:before="60" w:after="60" w:line="240" w:lineRule="auto"/>
              <w:rPr>
                <w:rFonts w:ascii="Times New Roman" w:eastAsia="Calibri" w:hAnsi="Times New Roman"/>
                <w:sz w:val="20"/>
                <w:szCs w:val="20"/>
              </w:rPr>
            </w:pPr>
            <w:r w:rsidRPr="00E54A50">
              <w:rPr>
                <w:rFonts w:ascii="Times New Roman" w:eastAsia="Calibri" w:hAnsi="Times New Roman"/>
                <w:sz w:val="20"/>
                <w:szCs w:val="20"/>
              </w:rPr>
              <w:t>5</w:t>
            </w:r>
          </w:p>
        </w:tc>
        <w:tc>
          <w:tcPr>
            <w:tcW w:w="1243" w:type="dxa"/>
            <w:tcBorders>
              <w:top w:val="nil"/>
              <w:left w:val="nil"/>
              <w:bottom w:val="single" w:sz="4" w:space="0" w:color="auto"/>
              <w:right w:val="nil"/>
            </w:tcBorders>
          </w:tcPr>
          <w:p w:rsidR="00E54A50" w:rsidRPr="00E54A50" w:rsidRDefault="00E54A50" w:rsidP="002B07BA">
            <w:pPr>
              <w:spacing w:before="60" w:after="60" w:line="240" w:lineRule="auto"/>
              <w:jc w:val="center"/>
              <w:rPr>
                <w:rFonts w:ascii="Times New Roman" w:eastAsia="Calibri" w:hAnsi="Times New Roman"/>
                <w:sz w:val="20"/>
                <w:szCs w:val="20"/>
              </w:rPr>
            </w:pPr>
            <w:r w:rsidRPr="00E54A50">
              <w:rPr>
                <w:rFonts w:ascii="Times New Roman" w:eastAsia="Calibri" w:hAnsi="Times New Roman"/>
                <w:sz w:val="20"/>
                <w:szCs w:val="20"/>
              </w:rPr>
              <w:t>3.00</w:t>
            </w:r>
          </w:p>
        </w:tc>
        <w:tc>
          <w:tcPr>
            <w:tcW w:w="1114" w:type="dxa"/>
            <w:tcBorders>
              <w:top w:val="nil"/>
              <w:left w:val="nil"/>
              <w:bottom w:val="single" w:sz="4" w:space="0" w:color="auto"/>
              <w:right w:val="nil"/>
            </w:tcBorders>
            <w:vAlign w:val="center"/>
          </w:tcPr>
          <w:p w:rsidR="00E54A50" w:rsidRPr="00E54A50" w:rsidRDefault="00E54A50" w:rsidP="002B07BA">
            <w:pPr>
              <w:spacing w:before="60" w:after="60" w:line="240" w:lineRule="auto"/>
              <w:jc w:val="center"/>
              <w:rPr>
                <w:rFonts w:ascii="Times New Roman" w:eastAsia="Calibri" w:hAnsi="Times New Roman"/>
                <w:sz w:val="20"/>
                <w:szCs w:val="20"/>
              </w:rPr>
            </w:pPr>
            <w:r w:rsidRPr="00E54A50">
              <w:rPr>
                <w:rFonts w:ascii="Times New Roman" w:eastAsia="Calibri" w:hAnsi="Times New Roman"/>
                <w:sz w:val="20"/>
                <w:szCs w:val="20"/>
              </w:rPr>
              <w:t>74.23</w:t>
            </w:r>
          </w:p>
        </w:tc>
        <w:tc>
          <w:tcPr>
            <w:tcW w:w="1478" w:type="dxa"/>
            <w:tcBorders>
              <w:top w:val="nil"/>
              <w:left w:val="nil"/>
              <w:bottom w:val="single" w:sz="4" w:space="0" w:color="auto"/>
              <w:right w:val="nil"/>
            </w:tcBorders>
            <w:vAlign w:val="center"/>
          </w:tcPr>
          <w:p w:rsidR="00E54A50" w:rsidRPr="00E54A50" w:rsidRDefault="00E54A50" w:rsidP="002B07BA">
            <w:pPr>
              <w:spacing w:before="60" w:after="60" w:line="240" w:lineRule="auto"/>
              <w:jc w:val="center"/>
              <w:rPr>
                <w:rFonts w:ascii="Times New Roman" w:eastAsia="Calibri" w:hAnsi="Times New Roman"/>
                <w:sz w:val="20"/>
                <w:szCs w:val="20"/>
              </w:rPr>
            </w:pPr>
            <w:r w:rsidRPr="00E54A50">
              <w:rPr>
                <w:rFonts w:ascii="Times New Roman" w:eastAsia="Calibri" w:hAnsi="Times New Roman"/>
                <w:sz w:val="20"/>
                <w:szCs w:val="20"/>
              </w:rPr>
              <w:t>75.36</w:t>
            </w:r>
          </w:p>
        </w:tc>
        <w:tc>
          <w:tcPr>
            <w:tcW w:w="1093" w:type="dxa"/>
            <w:tcBorders>
              <w:top w:val="nil"/>
              <w:left w:val="nil"/>
              <w:bottom w:val="single" w:sz="4" w:space="0" w:color="auto"/>
              <w:right w:val="nil"/>
            </w:tcBorders>
            <w:vAlign w:val="center"/>
          </w:tcPr>
          <w:p w:rsidR="00E54A50" w:rsidRPr="00E54A50" w:rsidRDefault="00E54A50" w:rsidP="002B07BA">
            <w:pPr>
              <w:spacing w:before="60" w:after="60" w:line="240" w:lineRule="auto"/>
              <w:jc w:val="center"/>
              <w:rPr>
                <w:rFonts w:ascii="Times New Roman" w:eastAsia="Calibri" w:hAnsi="Times New Roman"/>
                <w:sz w:val="20"/>
                <w:szCs w:val="20"/>
              </w:rPr>
            </w:pPr>
            <w:r w:rsidRPr="00E54A50">
              <w:rPr>
                <w:rFonts w:ascii="Times New Roman" w:eastAsia="Calibri" w:hAnsi="Times New Roman"/>
                <w:sz w:val="20"/>
                <w:szCs w:val="20"/>
              </w:rPr>
              <w:t>1.52</w:t>
            </w:r>
          </w:p>
        </w:tc>
      </w:tr>
    </w:tbl>
    <w:p w:rsidR="006768E9" w:rsidRDefault="006768E9" w:rsidP="00E54A50">
      <w:pPr>
        <w:spacing w:after="0" w:line="240" w:lineRule="auto"/>
        <w:jc w:val="center"/>
        <w:rPr>
          <w:rFonts w:ascii="Times New Roman" w:hAnsi="Times New Roman"/>
          <w:noProof/>
          <w:sz w:val="20"/>
          <w:szCs w:val="20"/>
          <w:lang w:bidi="ar-SA"/>
        </w:rPr>
      </w:pPr>
    </w:p>
    <w:p w:rsidR="00E54A50" w:rsidRDefault="00E54A50" w:rsidP="00E54A50">
      <w:pPr>
        <w:spacing w:after="0" w:line="240" w:lineRule="auto"/>
        <w:jc w:val="center"/>
        <w:rPr>
          <w:rFonts w:ascii="Times New Roman" w:hAnsi="Times New Roman"/>
          <w:noProof/>
          <w:sz w:val="20"/>
          <w:szCs w:val="20"/>
          <w:lang w:bidi="ar-SA"/>
        </w:rPr>
      </w:pPr>
    </w:p>
    <w:p w:rsidR="002B07BA" w:rsidRPr="00F447A7" w:rsidRDefault="002B07BA" w:rsidP="00E54A5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6768E9" w:rsidRPr="00F447A7" w:rsidRDefault="002B07BA" w:rsidP="002B07BA">
      <w:pPr>
        <w:spacing w:after="0" w:line="240" w:lineRule="auto"/>
        <w:jc w:val="both"/>
        <w:outlineLvl w:val="0"/>
        <w:rPr>
          <w:rFonts w:ascii="Times New Roman" w:hAnsi="Times New Roman"/>
          <w:sz w:val="20"/>
          <w:szCs w:val="20"/>
        </w:rPr>
      </w:pPr>
      <w:r w:rsidRPr="002B07BA">
        <w:rPr>
          <w:rFonts w:ascii="Times New Roman" w:hAnsi="Times New Roman"/>
          <w:sz w:val="20"/>
          <w:szCs w:val="20"/>
        </w:rPr>
        <w:t xml:space="preserve">A detailed comparison was done between two methods of MRAC schemes. The complicacy is reduced in the MRAC configuration with normalized MIT rule as compared to the MIT rule. Therefore, the physical realization for the system under consideration is comparatively more feasible with MIT rule. However, the mathematical modeling of system is simpler for the MIT rule. It can be easily observed that the performance of the system for both MIT and normalized MIT methods was improved with the increment in adaptation gains from 0.1 to 2. The system using normalized MIT rule responded faster for high gains and that the improvement rate is higher than MIT rule. In the MIT rule, there is no oscillations in the system response when γ = 0.1, though the performance is quite sluggish. On the other hand, the system with normalized MIT rule could overcome this problem and responded faster although small oscillations were visibly seen. Increasing the adaptation gain in MIT rule, the system speed was slightly increased but the response became oscillatory with an increase in settling time plus producing overshoots. The system using normalized MIT rule responded smooth for higher values of the adaptation gains with hardly any oscillations or overshoot. Therefore, MRAC with normalized MIT rule exhibits more stability of the system. The settling time is also less implying faster response. From the obtained results, it is concluded that the system response and performance was best when γ =1 with very minimal overshooting. In addition, the settling time was 7.5 s for system controlled by MRAC scheme with normalized MIT rule. Therefore, the applied MRAC with the proposed rule (normalized MIT rule) is capable to control the HFM overall porosity during the fabrication process accurately.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2B07BA">
        <w:rPr>
          <w:rFonts w:ascii="Times New Roman" w:hAnsi="Times New Roman"/>
          <w:color w:val="222222"/>
          <w:sz w:val="20"/>
          <w:szCs w:val="20"/>
          <w:shd w:val="clear" w:color="auto" w:fill="FFFFFF"/>
        </w:rPr>
        <w:t>Zhang, L., Shi, G. Z., Qiu, S., Cheng, L. H. and Chen, H. L. (2011). Preparation of high-flux thin film nanocomposite reverse osmosis membranes by incorporating functionalized multi-walled carbon nanotubes.</w:t>
      </w:r>
      <w:r w:rsidRPr="002B07BA">
        <w:rPr>
          <w:rStyle w:val="apple-converted-space"/>
          <w:rFonts w:ascii="Times New Roman" w:hAnsi="Times New Roman"/>
          <w:color w:val="222222"/>
          <w:sz w:val="20"/>
          <w:szCs w:val="20"/>
          <w:shd w:val="clear" w:color="auto" w:fill="FFFFFF"/>
        </w:rPr>
        <w:t> </w:t>
      </w:r>
      <w:r w:rsidRPr="002B07BA">
        <w:rPr>
          <w:rFonts w:ascii="Times New Roman" w:hAnsi="Times New Roman"/>
          <w:i/>
          <w:iCs/>
          <w:color w:val="222222"/>
          <w:sz w:val="20"/>
          <w:szCs w:val="20"/>
          <w:shd w:val="clear" w:color="auto" w:fill="FFFFFF"/>
        </w:rPr>
        <w:t>Desalination and Water Treatment</w:t>
      </w:r>
      <w:r w:rsidRPr="002B07BA">
        <w:rPr>
          <w:rFonts w:ascii="Times New Roman" w:hAnsi="Times New Roman"/>
          <w:color w:val="222222"/>
          <w:sz w:val="20"/>
          <w:szCs w:val="20"/>
          <w:shd w:val="clear" w:color="auto" w:fill="FFFFFF"/>
        </w:rPr>
        <w:t>,</w:t>
      </w:r>
      <w:r w:rsidRPr="002B07BA">
        <w:rPr>
          <w:rStyle w:val="apple-converted-space"/>
          <w:rFonts w:ascii="Times New Roman" w:hAnsi="Times New Roman"/>
          <w:color w:val="222222"/>
          <w:sz w:val="20"/>
          <w:szCs w:val="20"/>
          <w:shd w:val="clear" w:color="auto" w:fill="FFFFFF"/>
        </w:rPr>
        <w:t> </w:t>
      </w:r>
      <w:r w:rsidRPr="002B07BA">
        <w:rPr>
          <w:rFonts w:ascii="Times New Roman" w:hAnsi="Times New Roman"/>
          <w:iCs/>
          <w:color w:val="222222"/>
          <w:sz w:val="20"/>
          <w:szCs w:val="20"/>
          <w:shd w:val="clear" w:color="auto" w:fill="FFFFFF"/>
        </w:rPr>
        <w:t>34</w:t>
      </w:r>
      <w:r w:rsidRPr="002B07BA">
        <w:rPr>
          <w:rFonts w:ascii="Times New Roman" w:hAnsi="Times New Roman"/>
          <w:color w:val="222222"/>
          <w:sz w:val="20"/>
          <w:szCs w:val="20"/>
          <w:shd w:val="clear" w:color="auto" w:fill="FFFFFF"/>
        </w:rPr>
        <w:t>(1-3): 19 – 24.</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Tang, K. S., Man, K. F., Chen, G. and Kwong, S. (2001). An optimal fuzzy PID controller. </w:t>
      </w:r>
      <w:r w:rsidRPr="00586B40">
        <w:rPr>
          <w:rFonts w:ascii="Times New Roman" w:hAnsi="Times New Roman"/>
          <w:i/>
          <w:iCs/>
          <w:color w:val="222222"/>
          <w:sz w:val="20"/>
          <w:szCs w:val="20"/>
          <w:shd w:val="clear" w:color="auto" w:fill="FFFFFF"/>
        </w:rPr>
        <w:t>IEEE Transactions on Industrial Electronics</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48</w:t>
      </w:r>
      <w:r w:rsidRPr="00586B40">
        <w:rPr>
          <w:rFonts w:ascii="Times New Roman" w:hAnsi="Times New Roman"/>
          <w:color w:val="222222"/>
          <w:sz w:val="20"/>
          <w:szCs w:val="20"/>
          <w:shd w:val="clear" w:color="auto" w:fill="FFFFFF"/>
        </w:rPr>
        <w:t>(4): 757 – 765.</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Rubaai, A., Castro-Sitiriche, M. J. and Ofoli, A. R. (2008). DSP-based laboratory implementation of hybrid fuzzy-PID controller using genetic optimization for high-performance motor drives.</w:t>
      </w:r>
      <w:r w:rsidRPr="00586B40">
        <w:rPr>
          <w:rStyle w:val="apple-converted-space"/>
          <w:rFonts w:ascii="Times New Roman" w:hAnsi="Times New Roman"/>
          <w:color w:val="222222"/>
          <w:sz w:val="20"/>
          <w:szCs w:val="20"/>
          <w:shd w:val="clear" w:color="auto" w:fill="FFFFFF"/>
        </w:rPr>
        <w:t> </w:t>
      </w:r>
      <w:r w:rsidRPr="00586B40">
        <w:rPr>
          <w:rFonts w:ascii="Times New Roman" w:hAnsi="Times New Roman"/>
          <w:i/>
          <w:iCs/>
          <w:color w:val="222222"/>
          <w:sz w:val="20"/>
          <w:szCs w:val="20"/>
          <w:shd w:val="clear" w:color="auto" w:fill="FFFFFF"/>
        </w:rPr>
        <w:t>IEEE Transactions on Industry Applications</w:t>
      </w:r>
      <w:r w:rsidRPr="00586B40">
        <w:rPr>
          <w:rFonts w:ascii="Times New Roman" w:hAnsi="Times New Roman"/>
          <w:color w:val="222222"/>
          <w:sz w:val="20"/>
          <w:szCs w:val="20"/>
          <w:shd w:val="clear" w:color="auto" w:fill="FFFFFF"/>
        </w:rPr>
        <w:t>,</w:t>
      </w:r>
      <w:r w:rsidRPr="00586B40">
        <w:rPr>
          <w:rStyle w:val="apple-converted-space"/>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44</w:t>
      </w:r>
      <w:r w:rsidRPr="00586B40">
        <w:rPr>
          <w:rFonts w:ascii="Times New Roman" w:hAnsi="Times New Roman"/>
          <w:color w:val="222222"/>
          <w:sz w:val="20"/>
          <w:szCs w:val="20"/>
          <w:shd w:val="clear" w:color="auto" w:fill="FFFFFF"/>
        </w:rPr>
        <w:t>(6): 1977 – 1986.</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Sun, D. and Meng, J. (2006). </w:t>
      </w:r>
      <w:r w:rsidR="00586B40">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A </w:t>
      </w:r>
      <w:r w:rsidR="00586B40">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single </w:t>
      </w:r>
      <w:r w:rsidR="00586B40">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neuron </w:t>
      </w:r>
      <w:r w:rsidR="00586B40">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PID</w:t>
      </w:r>
      <w:r w:rsidR="00586B40">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 controller</w:t>
      </w:r>
      <w:r w:rsidR="00586B40">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 based </w:t>
      </w:r>
      <w:r w:rsidR="00586B40">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PMSM DTC</w:t>
      </w:r>
      <w:r w:rsidR="00586B40">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 drive </w:t>
      </w:r>
      <w:r w:rsidR="00586B40">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system </w:t>
      </w:r>
      <w:r w:rsidR="00586B40">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fed by fault tolerant 4-switch 3-phase inverter. </w:t>
      </w:r>
      <w:r w:rsidRPr="00586B40">
        <w:rPr>
          <w:rFonts w:ascii="Times New Roman" w:hAnsi="Times New Roman"/>
          <w:i/>
          <w:iCs/>
          <w:color w:val="222222"/>
          <w:sz w:val="20"/>
          <w:szCs w:val="20"/>
          <w:shd w:val="clear" w:color="auto" w:fill="FFFFFF"/>
        </w:rPr>
        <w:t>Industrial Electronics and Applications, 2006 1ST IEEE Conference:</w:t>
      </w:r>
      <w:r w:rsidRPr="00586B40">
        <w:rPr>
          <w:rFonts w:ascii="Times New Roman" w:hAnsi="Times New Roman"/>
          <w:color w:val="222222"/>
          <w:sz w:val="20"/>
          <w:szCs w:val="20"/>
          <w:shd w:val="clear" w:color="auto" w:fill="FFFFFF"/>
        </w:rPr>
        <w:t xml:space="preserve"> pp. 1 – 5.</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Yao, J., Wang, L., Wang, C., Zhang, Z. and Jia, P. (2008). ANN-based PID controller for an electro-hydraulic servo system. </w:t>
      </w:r>
      <w:r w:rsidRPr="00586B40">
        <w:rPr>
          <w:rFonts w:ascii="Times New Roman" w:hAnsi="Times New Roman"/>
          <w:i/>
          <w:iCs/>
          <w:color w:val="222222"/>
          <w:sz w:val="20"/>
          <w:szCs w:val="20"/>
          <w:shd w:val="clear" w:color="auto" w:fill="FFFFFF"/>
        </w:rPr>
        <w:t>2008 IEEE International Conference on Automation and Logistics</w:t>
      </w:r>
      <w:r w:rsidRPr="00586B40">
        <w:rPr>
          <w:rStyle w:val="apple-converted-space"/>
          <w:rFonts w:ascii="Times New Roman" w:hAnsi="Times New Roman"/>
          <w:color w:val="222222"/>
          <w:sz w:val="20"/>
          <w:szCs w:val="20"/>
          <w:shd w:val="clear" w:color="auto" w:fill="FFFFFF"/>
        </w:rPr>
        <w:t>:</w:t>
      </w:r>
      <w:r w:rsidRPr="00586B40">
        <w:rPr>
          <w:rFonts w:ascii="Times New Roman" w:hAnsi="Times New Roman"/>
          <w:color w:val="222222"/>
          <w:sz w:val="20"/>
          <w:szCs w:val="20"/>
          <w:shd w:val="clear" w:color="auto" w:fill="FFFFFF"/>
        </w:rPr>
        <w:t xml:space="preserve"> pp. 18 – 22</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Koo, T. J. (2001). Stable model reference adaptive fuzzy control of a class of nonlinear systems.</w:t>
      </w:r>
      <w:r w:rsidRPr="00586B40">
        <w:rPr>
          <w:rStyle w:val="apple-converted-space"/>
          <w:rFonts w:ascii="Times New Roman" w:hAnsi="Times New Roman"/>
          <w:color w:val="222222"/>
          <w:sz w:val="20"/>
          <w:szCs w:val="20"/>
          <w:shd w:val="clear" w:color="auto" w:fill="FFFFFF"/>
        </w:rPr>
        <w:t> </w:t>
      </w:r>
      <w:r w:rsidRPr="00586B40">
        <w:rPr>
          <w:rFonts w:ascii="Times New Roman" w:hAnsi="Times New Roman"/>
          <w:i/>
          <w:iCs/>
          <w:color w:val="222222"/>
          <w:sz w:val="20"/>
          <w:szCs w:val="20"/>
          <w:shd w:val="clear" w:color="auto" w:fill="FFFFFF"/>
        </w:rPr>
        <w:t>IEEE Transactions on Fuzzy Systems</w:t>
      </w:r>
      <w:r w:rsidRPr="00586B40">
        <w:rPr>
          <w:rFonts w:ascii="Times New Roman" w:hAnsi="Times New Roman"/>
          <w:color w:val="222222"/>
          <w:sz w:val="20"/>
          <w:szCs w:val="20"/>
          <w:shd w:val="clear" w:color="auto" w:fill="FFFFFF"/>
        </w:rPr>
        <w:t>,</w:t>
      </w:r>
      <w:r w:rsidRPr="00586B40">
        <w:rPr>
          <w:rStyle w:val="apple-converted-space"/>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9</w:t>
      </w:r>
      <w:r w:rsidRPr="00586B40">
        <w:rPr>
          <w:rFonts w:ascii="Times New Roman" w:hAnsi="Times New Roman"/>
          <w:color w:val="222222"/>
          <w:sz w:val="20"/>
          <w:szCs w:val="20"/>
          <w:shd w:val="clear" w:color="auto" w:fill="FFFFFF"/>
        </w:rPr>
        <w:t>(4): 624 – 636.</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Tsai, P. Y., Huang, H. C., Chen, Y. J. and Hwang, R. C. (2004). The model reference control by auto-tuning PID-like fuzzy controller. </w:t>
      </w:r>
      <w:r w:rsidRPr="00586B40">
        <w:rPr>
          <w:rFonts w:ascii="Times New Roman" w:hAnsi="Times New Roman"/>
          <w:i/>
          <w:iCs/>
          <w:color w:val="222222"/>
          <w:sz w:val="20"/>
          <w:szCs w:val="20"/>
          <w:shd w:val="clear" w:color="auto" w:fill="FFFFFF"/>
        </w:rPr>
        <w:t>Proceedings of the 2004 IEEE International Conference:</w:t>
      </w:r>
      <w:r w:rsidRPr="00586B40">
        <w:rPr>
          <w:rFonts w:ascii="Times New Roman" w:hAnsi="Times New Roman"/>
          <w:color w:val="222222"/>
          <w:sz w:val="20"/>
          <w:szCs w:val="20"/>
          <w:shd w:val="clear" w:color="auto" w:fill="FFFFFF"/>
        </w:rPr>
        <w:t xml:space="preserve"> pp. 406 –411.</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Ehsani, M. S. (2007). Adaptive control of servo motor by MRAC method. </w:t>
      </w:r>
      <w:r w:rsidRPr="00586B40">
        <w:rPr>
          <w:rFonts w:ascii="Times New Roman" w:hAnsi="Times New Roman"/>
          <w:i/>
          <w:iCs/>
          <w:color w:val="222222"/>
          <w:sz w:val="20"/>
          <w:szCs w:val="20"/>
          <w:shd w:val="clear" w:color="auto" w:fill="FFFFFF"/>
        </w:rPr>
        <w:t>2007 IEEE Vehicle Power and Propulsion Conference</w:t>
      </w:r>
      <w:r w:rsidRPr="00586B40">
        <w:rPr>
          <w:rFonts w:ascii="Times New Roman" w:hAnsi="Times New Roman"/>
          <w:color w:val="222222"/>
          <w:sz w:val="20"/>
          <w:szCs w:val="20"/>
          <w:shd w:val="clear" w:color="auto" w:fill="FFFFFF"/>
        </w:rPr>
        <w:t>: pp. 78 – 83</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Swarnkar, P., Jain, S. and Nema, R. K. (2010). Application of model reference adaptive control scheme to second order system using MIT rule. </w:t>
      </w:r>
      <w:r w:rsidRPr="00586B40">
        <w:rPr>
          <w:rFonts w:ascii="Times New Roman" w:hAnsi="Times New Roman"/>
          <w:i/>
          <w:iCs/>
          <w:color w:val="222222"/>
          <w:sz w:val="20"/>
          <w:szCs w:val="20"/>
          <w:shd w:val="clear" w:color="auto" w:fill="FFFFFF"/>
        </w:rPr>
        <w:t>International Conference on Electrical Power and Energy Systems (ICEPES-2010), MANIT, Bhopal, India</w:t>
      </w:r>
      <w:r w:rsidRPr="00586B40">
        <w:rPr>
          <w:rFonts w:ascii="Times New Roman" w:hAnsi="Times New Roman"/>
          <w:color w:val="222222"/>
          <w:sz w:val="20"/>
          <w:szCs w:val="20"/>
          <w:shd w:val="clear" w:color="auto" w:fill="FFFFFF"/>
        </w:rPr>
        <w:t>.</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Chen, Y., Wu, J. and Cheung, C. N. (2004). Lyapunov’s stability theory-based model reference adaptive control for permanent magnet linear motor drives. </w:t>
      </w:r>
      <w:r w:rsidRPr="00586B40">
        <w:rPr>
          <w:rFonts w:ascii="Times New Roman" w:hAnsi="Times New Roman"/>
          <w:i/>
          <w:color w:val="222222"/>
          <w:sz w:val="20"/>
          <w:szCs w:val="20"/>
          <w:shd w:val="clear" w:color="auto" w:fill="FFFFFF"/>
        </w:rPr>
        <w:t>Power Electronics Systems and Applications, 2004. Proceedings</w:t>
      </w:r>
      <w:r w:rsidRPr="00586B40">
        <w:rPr>
          <w:rFonts w:ascii="Times New Roman" w:hAnsi="Times New Roman"/>
          <w:color w:val="222222"/>
          <w:sz w:val="20"/>
          <w:szCs w:val="20"/>
          <w:shd w:val="clear" w:color="auto" w:fill="FFFFFF"/>
        </w:rPr>
        <w:t>:</w:t>
      </w:r>
      <w:r w:rsidRPr="00586B40">
        <w:rPr>
          <w:rFonts w:ascii="Times New Roman" w:hAnsi="Times New Roman"/>
          <w:i/>
          <w:color w:val="222222"/>
          <w:sz w:val="20"/>
          <w:szCs w:val="20"/>
          <w:shd w:val="clear" w:color="auto" w:fill="FFFFFF"/>
        </w:rPr>
        <w:t xml:space="preserve"> </w:t>
      </w:r>
      <w:r w:rsidRPr="00586B40">
        <w:rPr>
          <w:rFonts w:ascii="Times New Roman" w:hAnsi="Times New Roman"/>
          <w:color w:val="222222"/>
          <w:sz w:val="20"/>
          <w:szCs w:val="20"/>
          <w:shd w:val="clear" w:color="auto" w:fill="FFFFFF"/>
        </w:rPr>
        <w:t>pp. 260 – 266.</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Stefanello, M., Kanieski, J. M., Cardoso, R. and Grundling, H. A. (2008). Design of a robust model reference adaptive control for a shunt active power filter. </w:t>
      </w:r>
      <w:r w:rsidRPr="00586B40">
        <w:rPr>
          <w:rFonts w:ascii="Times New Roman" w:hAnsi="Times New Roman"/>
          <w:i/>
          <w:iCs/>
          <w:color w:val="222222"/>
          <w:sz w:val="20"/>
          <w:szCs w:val="20"/>
          <w:shd w:val="clear" w:color="auto" w:fill="FFFFFF"/>
        </w:rPr>
        <w:t>2008. IECON 2008. 34</w:t>
      </w:r>
      <w:r w:rsidRPr="00586B40">
        <w:rPr>
          <w:rFonts w:ascii="Times New Roman" w:hAnsi="Times New Roman"/>
          <w:i/>
          <w:iCs/>
          <w:color w:val="222222"/>
          <w:sz w:val="20"/>
          <w:szCs w:val="20"/>
          <w:shd w:val="clear" w:color="auto" w:fill="FFFFFF"/>
          <w:vertAlign w:val="superscript"/>
        </w:rPr>
        <w:t>th</w:t>
      </w:r>
      <w:r w:rsidRPr="00586B40">
        <w:rPr>
          <w:rFonts w:ascii="Times New Roman" w:hAnsi="Times New Roman"/>
          <w:i/>
          <w:iCs/>
          <w:color w:val="222222"/>
          <w:sz w:val="20"/>
          <w:szCs w:val="20"/>
          <w:shd w:val="clear" w:color="auto" w:fill="FFFFFF"/>
        </w:rPr>
        <w:t xml:space="preserve"> Annual Conference of IEEE</w:t>
      </w:r>
      <w:r w:rsidRPr="00586B40">
        <w:rPr>
          <w:rStyle w:val="apple-converted-space"/>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pp. 158 – 163.</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Liu, Y., Sheng, C. and Nnanna, G. A. (2014). Detection of selected pharmaceutical contaminants and removal efficiency of emerging contaminants by application of membrane filtration technology. </w:t>
      </w:r>
      <w:r w:rsidRPr="00586B40">
        <w:rPr>
          <w:rFonts w:ascii="Times New Roman" w:hAnsi="Times New Roman"/>
          <w:i/>
          <w:iCs/>
          <w:color w:val="222222"/>
          <w:sz w:val="20"/>
          <w:szCs w:val="20"/>
          <w:shd w:val="clear" w:color="auto" w:fill="FFFFFF"/>
        </w:rPr>
        <w:t>ASME 2014 International Mechanical Engineering Congress and Exposition</w:t>
      </w:r>
      <w:r w:rsidRPr="00586B40">
        <w:rPr>
          <w:rFonts w:ascii="Times New Roman" w:hAnsi="Times New Roman"/>
          <w:color w:val="222222"/>
          <w:sz w:val="20"/>
          <w:szCs w:val="20"/>
          <w:shd w:val="clear" w:color="auto" w:fill="FFFFFF"/>
        </w:rPr>
        <w:t>. American Society of Mechanical Engineers.</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Watari, K., Takeda, S., Kobayashi, M., Uchida, M., Uenishi, M., Fukushima, N. and Hayashi, S. (2002). </w:t>
      </w:r>
      <w:r w:rsidRPr="00586B40">
        <w:rPr>
          <w:rFonts w:ascii="Times New Roman" w:hAnsi="Times New Roman"/>
          <w:iCs/>
          <w:color w:val="222222"/>
          <w:sz w:val="20"/>
          <w:szCs w:val="20"/>
          <w:shd w:val="clear" w:color="auto" w:fill="FFFFFF"/>
        </w:rPr>
        <w:t>U.S. Patent No. 6,447,679</w:t>
      </w:r>
      <w:r w:rsidRPr="00586B40">
        <w:rPr>
          <w:rFonts w:ascii="Times New Roman" w:hAnsi="Times New Roman"/>
          <w:color w:val="222222"/>
          <w:sz w:val="20"/>
          <w:szCs w:val="20"/>
          <w:shd w:val="clear" w:color="auto" w:fill="FFFFFF"/>
        </w:rPr>
        <w:t>. Washington, DC: U.S. Patent and Trademark Office.</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lastRenderedPageBreak/>
        <w:t>Kopp, C. V., Streeton, R. J. and Khoo, P. S. (1997). </w:t>
      </w:r>
      <w:r w:rsidRPr="00586B40">
        <w:rPr>
          <w:rFonts w:ascii="Times New Roman" w:hAnsi="Times New Roman"/>
          <w:iCs/>
          <w:color w:val="222222"/>
          <w:sz w:val="20"/>
          <w:szCs w:val="20"/>
          <w:shd w:val="clear" w:color="auto" w:fill="FFFFFF"/>
        </w:rPr>
        <w:t>U.S. Patent No. 5,698,101</w:t>
      </w:r>
      <w:r w:rsidRPr="00586B40">
        <w:rPr>
          <w:rFonts w:ascii="Times New Roman" w:hAnsi="Times New Roman"/>
          <w:color w:val="222222"/>
          <w:sz w:val="20"/>
          <w:szCs w:val="20"/>
          <w:shd w:val="clear" w:color="auto" w:fill="FFFFFF"/>
        </w:rPr>
        <w:t>. Washington, DC: U.S. Patent and Trademark Office.</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Tweddle, T. A., Striez, C., Tam, C. M. and Hazlett, J. D. (1992). Polysulfone membranes I. Performance comparison of commercially available ultrafiltration membranes. </w:t>
      </w:r>
      <w:r w:rsidRPr="00586B40">
        <w:rPr>
          <w:rFonts w:ascii="Times New Roman" w:hAnsi="Times New Roman"/>
          <w:i/>
          <w:iCs/>
          <w:color w:val="222222"/>
          <w:sz w:val="20"/>
          <w:szCs w:val="20"/>
          <w:shd w:val="clear" w:color="auto" w:fill="FFFFFF"/>
        </w:rPr>
        <w:t>Desalination</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86</w:t>
      </w:r>
      <w:r w:rsidRPr="00586B40">
        <w:rPr>
          <w:rFonts w:ascii="Times New Roman" w:hAnsi="Times New Roman"/>
          <w:color w:val="222222"/>
          <w:sz w:val="20"/>
          <w:szCs w:val="20"/>
          <w:shd w:val="clear" w:color="auto" w:fill="FFFFFF"/>
        </w:rPr>
        <w:t>(1): 27 – 41.</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Rezaei, M., Ismail, A. F., Hashemifard, S. A., Bakeri, G. and Matsuura, T. (2014). Experimental study on the performance and long-term stability of PVDF/montmorillonite hollow fiber mixed matrix membranes for CO</w:t>
      </w:r>
      <w:r w:rsidRPr="00586B40">
        <w:rPr>
          <w:rFonts w:ascii="Times New Roman" w:hAnsi="Times New Roman"/>
          <w:color w:val="222222"/>
          <w:sz w:val="20"/>
          <w:szCs w:val="20"/>
          <w:shd w:val="clear" w:color="auto" w:fill="FFFFFF"/>
          <w:vertAlign w:val="subscript"/>
        </w:rPr>
        <w:t>2</w:t>
      </w:r>
      <w:r w:rsidRPr="00586B40">
        <w:rPr>
          <w:rFonts w:ascii="Times New Roman" w:hAnsi="Times New Roman"/>
          <w:color w:val="222222"/>
          <w:sz w:val="20"/>
          <w:szCs w:val="20"/>
          <w:shd w:val="clear" w:color="auto" w:fill="FFFFFF"/>
        </w:rPr>
        <w:t xml:space="preserve"> separation process. </w:t>
      </w:r>
      <w:r w:rsidRPr="00586B40">
        <w:rPr>
          <w:rFonts w:ascii="Times New Roman" w:hAnsi="Times New Roman"/>
          <w:i/>
          <w:iCs/>
          <w:color w:val="222222"/>
          <w:sz w:val="20"/>
          <w:szCs w:val="20"/>
          <w:shd w:val="clear" w:color="auto" w:fill="FFFFFF"/>
        </w:rPr>
        <w:t>International Journal of Greenhouse Gas Control</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26</w:t>
      </w:r>
      <w:r w:rsidRPr="00586B40">
        <w:rPr>
          <w:rFonts w:ascii="Times New Roman" w:hAnsi="Times New Roman"/>
          <w:color w:val="222222"/>
          <w:sz w:val="20"/>
          <w:szCs w:val="20"/>
          <w:shd w:val="clear" w:color="auto" w:fill="FFFFFF"/>
        </w:rPr>
        <w:t>: 147 –157.</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Arthanareeswaran, G., Devi, T. S. and Mohan, D. (2009). Development, characterization and separation performance of organic–inorganic membranes: Part II. Effect of additives. </w:t>
      </w:r>
      <w:r w:rsidRPr="00586B40">
        <w:rPr>
          <w:rFonts w:ascii="Times New Roman" w:hAnsi="Times New Roman"/>
          <w:i/>
          <w:iCs/>
          <w:color w:val="222222"/>
          <w:sz w:val="20"/>
          <w:szCs w:val="20"/>
          <w:shd w:val="clear" w:color="auto" w:fill="FFFFFF"/>
        </w:rPr>
        <w:t>Separation and Purification Technology</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67</w:t>
      </w:r>
      <w:r w:rsidRPr="00586B40">
        <w:rPr>
          <w:rFonts w:ascii="Times New Roman" w:hAnsi="Times New Roman"/>
          <w:color w:val="222222"/>
          <w:sz w:val="20"/>
          <w:szCs w:val="20"/>
          <w:shd w:val="clear" w:color="auto" w:fill="FFFFFF"/>
        </w:rPr>
        <w:t>(3): 271 – 281.</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Mansourizadeh, A. and Ismail, A. F. (2010). Effect of additives on the structure and performance of polysulfone hollow fiber membranes for CO</w:t>
      </w:r>
      <w:r w:rsidRPr="00586B40">
        <w:rPr>
          <w:rFonts w:ascii="Times New Roman" w:hAnsi="Times New Roman"/>
          <w:color w:val="222222"/>
          <w:sz w:val="20"/>
          <w:szCs w:val="20"/>
          <w:shd w:val="clear" w:color="auto" w:fill="FFFFFF"/>
          <w:vertAlign w:val="subscript"/>
        </w:rPr>
        <w:t>2</w:t>
      </w:r>
      <w:r w:rsidRPr="00586B40">
        <w:rPr>
          <w:rFonts w:ascii="Times New Roman" w:hAnsi="Times New Roman"/>
          <w:color w:val="222222"/>
          <w:sz w:val="20"/>
          <w:szCs w:val="20"/>
          <w:shd w:val="clear" w:color="auto" w:fill="FFFFFF"/>
        </w:rPr>
        <w:t xml:space="preserve"> absorption. </w:t>
      </w:r>
      <w:r w:rsidRPr="00586B40">
        <w:rPr>
          <w:rFonts w:ascii="Times New Roman" w:hAnsi="Times New Roman"/>
          <w:i/>
          <w:iCs/>
          <w:color w:val="222222"/>
          <w:sz w:val="20"/>
          <w:szCs w:val="20"/>
          <w:shd w:val="clear" w:color="auto" w:fill="FFFFFF"/>
        </w:rPr>
        <w:t>Journal of Membrane Science</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348</w:t>
      </w:r>
      <w:r w:rsidRPr="00586B40">
        <w:rPr>
          <w:rFonts w:ascii="Times New Roman" w:hAnsi="Times New Roman"/>
          <w:color w:val="222222"/>
          <w:sz w:val="20"/>
          <w:szCs w:val="20"/>
          <w:shd w:val="clear" w:color="auto" w:fill="FFFFFF"/>
        </w:rPr>
        <w:t>(1): 260 –267.</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Cartwright, H. (2015). </w:t>
      </w:r>
      <w:r w:rsidRPr="00586B40">
        <w:rPr>
          <w:rFonts w:ascii="Times New Roman" w:hAnsi="Times New Roman"/>
          <w:iCs/>
          <w:color w:val="222222"/>
          <w:sz w:val="20"/>
          <w:szCs w:val="20"/>
          <w:shd w:val="clear" w:color="auto" w:fill="FFFFFF"/>
        </w:rPr>
        <w:t>Artificial neural networks</w:t>
      </w:r>
      <w:r w:rsidRPr="00586B40">
        <w:rPr>
          <w:rFonts w:ascii="Times New Roman" w:hAnsi="Times New Roman"/>
          <w:color w:val="222222"/>
          <w:sz w:val="20"/>
          <w:szCs w:val="20"/>
          <w:shd w:val="clear" w:color="auto" w:fill="FFFFFF"/>
        </w:rPr>
        <w:t>. Humana press: pp. 1 – 340.</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Karayiannis, N. and Venetsanopoulos, A. N. (2013). </w:t>
      </w:r>
      <w:r w:rsidRPr="00586B40">
        <w:rPr>
          <w:rFonts w:ascii="Times New Roman" w:hAnsi="Times New Roman"/>
          <w:iCs/>
          <w:color w:val="222222"/>
          <w:sz w:val="20"/>
          <w:szCs w:val="20"/>
          <w:shd w:val="clear" w:color="auto" w:fill="FFFFFF"/>
        </w:rPr>
        <w:t>Artificial neural networks: Learning algorithms, performance evaluation, and applications</w:t>
      </w:r>
      <w:r w:rsidRPr="00586B40">
        <w:rPr>
          <w:rFonts w:ascii="Times New Roman" w:hAnsi="Times New Roman"/>
          <w:color w:val="222222"/>
          <w:sz w:val="20"/>
          <w:szCs w:val="20"/>
          <w:shd w:val="clear" w:color="auto" w:fill="FFFFFF"/>
        </w:rPr>
        <w:t>. Springer Science &amp; Business Media: pp. 1 – 345.</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Tardast, A., Rahimnejad, M., Najafpour, G., Ghoreyshi, A., Premier, G. C., Bakeri, G. and Oh, S. E. (2014). Use of artificial neural network for the prediction of bioelectricity production in a membrane less microbial fuel cell. </w:t>
      </w:r>
      <w:r w:rsidRPr="00586B40">
        <w:rPr>
          <w:rFonts w:ascii="Times New Roman" w:hAnsi="Times New Roman"/>
          <w:i/>
          <w:iCs/>
          <w:color w:val="222222"/>
          <w:sz w:val="20"/>
          <w:szCs w:val="20"/>
          <w:shd w:val="clear" w:color="auto" w:fill="FFFFFF"/>
        </w:rPr>
        <w:t>Fuel</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117</w:t>
      </w:r>
      <w:r w:rsidRPr="00586B40">
        <w:rPr>
          <w:rFonts w:ascii="Times New Roman" w:hAnsi="Times New Roman"/>
          <w:color w:val="222222"/>
          <w:sz w:val="20"/>
          <w:szCs w:val="20"/>
          <w:shd w:val="clear" w:color="auto" w:fill="FFFFFF"/>
        </w:rPr>
        <w:t>: 697 – 703.</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Mirbagheri, S. A., Bagheri, M., Bagheri, Z. and Kamarkhani, A. M. (2015). Evaluation and prediction of membrane fouling in a submerged membrane bioreactor with simultaneous upward and downward aeration using artificial neural network-genetic algorithm. </w:t>
      </w:r>
      <w:r w:rsidRPr="00586B40">
        <w:rPr>
          <w:rFonts w:ascii="Times New Roman" w:hAnsi="Times New Roman"/>
          <w:i/>
          <w:iCs/>
          <w:color w:val="222222"/>
          <w:sz w:val="20"/>
          <w:szCs w:val="20"/>
          <w:shd w:val="clear" w:color="auto" w:fill="FFFFFF"/>
        </w:rPr>
        <w:t>Process Safety and Environmental Protection</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96</w:t>
      </w:r>
      <w:r w:rsidRPr="00586B40">
        <w:rPr>
          <w:rFonts w:ascii="Times New Roman" w:hAnsi="Times New Roman"/>
          <w:color w:val="222222"/>
          <w:sz w:val="20"/>
          <w:szCs w:val="20"/>
          <w:shd w:val="clear" w:color="auto" w:fill="FFFFFF"/>
        </w:rPr>
        <w:t>: 111 – 124.</w:t>
      </w:r>
    </w:p>
    <w:p w:rsidR="00586B40"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Basile, A., Curcio, S., Bagnato, G., Liguori, S., Jokar, S. M. and Iulianelli, A. (2015). Water gas shift reaction in membrane reactors: Theoretical investigation by artificial neural networks model and experimental validation. </w:t>
      </w:r>
      <w:r w:rsidRPr="00586B40">
        <w:rPr>
          <w:rFonts w:ascii="Times New Roman" w:hAnsi="Times New Roman"/>
          <w:i/>
          <w:iCs/>
          <w:color w:val="222222"/>
          <w:sz w:val="20"/>
          <w:szCs w:val="20"/>
          <w:shd w:val="clear" w:color="auto" w:fill="FFFFFF"/>
        </w:rPr>
        <w:t>International Journal of Hydrogen Energy</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40</w:t>
      </w:r>
      <w:r w:rsidRPr="00586B40">
        <w:rPr>
          <w:rFonts w:ascii="Times New Roman" w:hAnsi="Times New Roman"/>
          <w:color w:val="222222"/>
          <w:sz w:val="20"/>
          <w:szCs w:val="20"/>
          <w:shd w:val="clear" w:color="auto" w:fill="FFFFFF"/>
        </w:rPr>
        <w:t>(17): 5897 – 5906.</w:t>
      </w:r>
    </w:p>
    <w:p w:rsidR="002B07BA" w:rsidRDefault="002B07BA" w:rsidP="00586B40">
      <w:pPr>
        <w:pStyle w:val="ListParagraph"/>
        <w:numPr>
          <w:ilvl w:val="0"/>
          <w:numId w:val="3"/>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Ioannou, P. A., &amp; Sun, J. (2012). </w:t>
      </w:r>
      <w:r w:rsidRPr="00586B40">
        <w:rPr>
          <w:rFonts w:ascii="Times New Roman" w:hAnsi="Times New Roman"/>
          <w:iCs/>
          <w:color w:val="222222"/>
          <w:sz w:val="20"/>
          <w:szCs w:val="20"/>
          <w:shd w:val="clear" w:color="auto" w:fill="FFFFFF"/>
        </w:rPr>
        <w:t>Robust adaptive control</w:t>
      </w:r>
      <w:r w:rsidRPr="00586B40">
        <w:rPr>
          <w:rFonts w:ascii="Times New Roman" w:hAnsi="Times New Roman"/>
          <w:color w:val="222222"/>
          <w:sz w:val="20"/>
          <w:szCs w:val="20"/>
          <w:shd w:val="clear" w:color="auto" w:fill="FFFFFF"/>
        </w:rPr>
        <w:t>. Courier Corporation: pp. 1 – 819.</w:t>
      </w:r>
    </w:p>
    <w:p w:rsidR="00586B40" w:rsidRPr="00586B40" w:rsidRDefault="00586B40" w:rsidP="00586B40">
      <w:pPr>
        <w:spacing w:after="0" w:line="240" w:lineRule="auto"/>
        <w:jc w:val="both"/>
        <w:rPr>
          <w:rFonts w:ascii="Times New Roman" w:hAnsi="Times New Roman"/>
          <w:color w:val="222222"/>
          <w:sz w:val="20"/>
          <w:szCs w:val="20"/>
          <w:shd w:val="clear" w:color="auto" w:fill="FFFFFF"/>
        </w:rPr>
      </w:pPr>
      <w:bookmarkStart w:id="17" w:name="_GoBack"/>
      <w:bookmarkEnd w:id="17"/>
    </w:p>
    <w:p w:rsidR="00A74A7E" w:rsidRPr="007A738C" w:rsidRDefault="00A74A7E" w:rsidP="002B07BA">
      <w:pPr>
        <w:spacing w:after="0" w:line="240" w:lineRule="auto"/>
        <w:jc w:val="both"/>
        <w:rPr>
          <w:rFonts w:ascii="Times New Roman" w:hAnsi="Times New Roman"/>
          <w:noProof/>
          <w:lang w:bidi="ar-SA"/>
        </w:rPr>
      </w:pPr>
    </w:p>
    <w:sectPr w:rsidR="00A74A7E" w:rsidRPr="007A738C" w:rsidSect="0011370D">
      <w:headerReference w:type="even" r:id="rId21"/>
      <w:headerReference w:type="default" r:id="rId22"/>
      <w:footerReference w:type="even" r:id="rId23"/>
      <w:footerReference w:type="default" r:id="rId24"/>
      <w:pgSz w:w="12240" w:h="15840" w:code="1"/>
      <w:pgMar w:top="1800" w:right="1469" w:bottom="1699" w:left="1440" w:header="706" w:footer="706" w:gutter="0"/>
      <w:pgNumType w:start="6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7BA" w:rsidRDefault="002B07BA" w:rsidP="00FB4C59">
      <w:pPr>
        <w:spacing w:after="0" w:line="240" w:lineRule="auto"/>
      </w:pPr>
      <w:r>
        <w:separator/>
      </w:r>
    </w:p>
  </w:endnote>
  <w:endnote w:type="continuationSeparator" w:id="0">
    <w:p w:rsidR="002B07BA" w:rsidRDefault="002B07B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2B07BA" w:rsidRPr="00C0756D" w:rsidRDefault="002B07BA">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1370D">
          <w:rPr>
            <w:rFonts w:ascii="Times New Roman" w:hAnsi="Times New Roman"/>
            <w:noProof/>
          </w:rPr>
          <w:t>680</w:t>
        </w:r>
        <w:r w:rsidRPr="00C0756D">
          <w:rPr>
            <w:rFonts w:ascii="Times New Roman" w:hAnsi="Times New Roman"/>
            <w:noProof/>
          </w:rPr>
          <w:fldChar w:fldCharType="end"/>
        </w:r>
      </w:p>
    </w:sdtContent>
  </w:sdt>
  <w:p w:rsidR="002B07BA" w:rsidRDefault="002B0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2B07BA" w:rsidRPr="00C0756D" w:rsidRDefault="002B07BA">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1370D">
          <w:rPr>
            <w:rFonts w:ascii="Times New Roman" w:hAnsi="Times New Roman"/>
            <w:noProof/>
          </w:rPr>
          <w:t>679</w:t>
        </w:r>
        <w:r w:rsidRPr="00C0756D">
          <w:rPr>
            <w:rFonts w:ascii="Times New Roman" w:hAnsi="Times New Roman"/>
            <w:noProof/>
          </w:rPr>
          <w:fldChar w:fldCharType="end"/>
        </w:r>
      </w:p>
    </w:sdtContent>
  </w:sdt>
  <w:p w:rsidR="002B07BA" w:rsidRPr="004B43FF" w:rsidRDefault="002B07BA">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7BA" w:rsidRDefault="002B07BA" w:rsidP="00FB4C59">
      <w:pPr>
        <w:spacing w:after="0" w:line="240" w:lineRule="auto"/>
      </w:pPr>
      <w:r>
        <w:separator/>
      </w:r>
    </w:p>
  </w:footnote>
  <w:footnote w:type="continuationSeparator" w:id="0">
    <w:p w:rsidR="002B07BA" w:rsidRDefault="002B07B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7BA" w:rsidRDefault="002B07BA"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sidR="0011370D">
      <w:rPr>
        <w:rFonts w:ascii="Times New Roman" w:hAnsi="Times New Roman"/>
        <w:i/>
        <w:lang w:val="en-US"/>
      </w:rPr>
      <w:t>670</w:t>
    </w:r>
    <w:r>
      <w:rPr>
        <w:rFonts w:ascii="Times New Roman" w:hAnsi="Times New Roman"/>
        <w:i/>
        <w:lang w:val="en-US"/>
      </w:rPr>
      <w:t xml:space="preserve"> -</w:t>
    </w:r>
    <w:r w:rsidR="0011370D">
      <w:rPr>
        <w:rFonts w:ascii="Times New Roman" w:hAnsi="Times New Roman"/>
        <w:i/>
        <w:lang w:val="en-US"/>
      </w:rPr>
      <w:t xml:space="preserve"> 680</w:t>
    </w:r>
  </w:p>
  <w:p w:rsidR="002B07BA" w:rsidRPr="004B43FF" w:rsidRDefault="002B07BA" w:rsidP="006A3A0F">
    <w:pPr>
      <w:pStyle w:val="Header"/>
      <w:jc w:val="right"/>
      <w:rPr>
        <w:rFonts w:ascii="Times New Roman" w:hAnsi="Times New Roman"/>
        <w:i/>
        <w:lang w:val="en-US"/>
      </w:rPr>
    </w:pPr>
    <w:r>
      <w:rPr>
        <w:rFonts w:ascii="Times New Roman" w:hAnsi="Times New Roman"/>
        <w:i/>
        <w:lang w:val="en-US"/>
      </w:rPr>
      <w:t>DOI: https://doi.org/10.17576/mjas-2017-2103</w:t>
    </w:r>
    <w:r w:rsidR="0011370D">
      <w:rPr>
        <w:rFonts w:ascii="Times New Roman" w:hAnsi="Times New Roman"/>
        <w:i/>
        <w:lang w:val="en-US"/>
      </w:rPr>
      <w:t>-16</w:t>
    </w:r>
  </w:p>
  <w:p w:rsidR="002B07BA" w:rsidRDefault="002B07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7BA" w:rsidRPr="00887BF6" w:rsidRDefault="002B07BA" w:rsidP="001841F3">
    <w:pPr>
      <w:spacing w:after="0" w:line="240" w:lineRule="auto"/>
      <w:ind w:left="2520" w:hanging="2520"/>
      <w:outlineLvl w:val="0"/>
      <w:rPr>
        <w:rFonts w:ascii="Times New Roman" w:hAnsi="Times New Roman"/>
        <w:sz w:val="20"/>
        <w:szCs w:val="20"/>
      </w:rPr>
    </w:pPr>
    <w:r w:rsidRPr="00D973DA">
      <w:rPr>
        <w:rFonts w:ascii="Times New Roman" w:hAnsi="Times New Roman"/>
        <w:sz w:val="20"/>
        <w:szCs w:val="20"/>
      </w:rPr>
      <w:t>Abbasgholipourghadim</w:t>
    </w:r>
    <w:r>
      <w:rPr>
        <w:rFonts w:ascii="Times New Roman" w:hAnsi="Times New Roman"/>
        <w:sz w:val="20"/>
        <w:szCs w:val="20"/>
      </w:rPr>
      <w:t xml:space="preserve"> et al</w:t>
    </w:r>
    <w:r w:rsidRPr="00887BF6">
      <w:rPr>
        <w:rFonts w:ascii="Times New Roman" w:hAnsi="Times New Roman"/>
        <w:sz w:val="20"/>
        <w:szCs w:val="20"/>
      </w:rPr>
      <w:t xml:space="preserve">:   </w:t>
    </w:r>
    <w:r>
      <w:rPr>
        <w:rFonts w:ascii="Times New Roman" w:hAnsi="Times New Roman"/>
        <w:sz w:val="20"/>
        <w:szCs w:val="20"/>
      </w:rPr>
      <w:tab/>
    </w:r>
    <w:r w:rsidRPr="00887BF6">
      <w:rPr>
        <w:rFonts w:ascii="Times New Roman" w:hAnsi="Times New Roman"/>
        <w:sz w:val="20"/>
        <w:szCs w:val="20"/>
      </w:rPr>
      <w:t>POROSITY CONTROL OF HOLLOW FIBER MEMBRANES USING A MODEL REFERENCE ADAPTIVE CONTROLLER</w:t>
    </w:r>
  </w:p>
  <w:p w:rsidR="002B07BA" w:rsidRPr="00B75BF6" w:rsidRDefault="002B07BA"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42F"/>
    <w:multiLevelType w:val="hybridMultilevel"/>
    <w:tmpl w:val="97C62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1EC7"/>
    <w:rsid w:val="000E5463"/>
    <w:rsid w:val="000E5AF1"/>
    <w:rsid w:val="000F77DA"/>
    <w:rsid w:val="001068E8"/>
    <w:rsid w:val="0011370D"/>
    <w:rsid w:val="00117BCD"/>
    <w:rsid w:val="001841F3"/>
    <w:rsid w:val="001D035A"/>
    <w:rsid w:val="001D3855"/>
    <w:rsid w:val="001D6F2C"/>
    <w:rsid w:val="00221D39"/>
    <w:rsid w:val="002B07BA"/>
    <w:rsid w:val="002B188F"/>
    <w:rsid w:val="002B3BD8"/>
    <w:rsid w:val="002F3F91"/>
    <w:rsid w:val="00304767"/>
    <w:rsid w:val="00304B34"/>
    <w:rsid w:val="00352825"/>
    <w:rsid w:val="00361BAF"/>
    <w:rsid w:val="00367D1F"/>
    <w:rsid w:val="00373A9B"/>
    <w:rsid w:val="00383F26"/>
    <w:rsid w:val="00390B9A"/>
    <w:rsid w:val="003D585B"/>
    <w:rsid w:val="003E7DA6"/>
    <w:rsid w:val="003F12FF"/>
    <w:rsid w:val="004760D4"/>
    <w:rsid w:val="00494C46"/>
    <w:rsid w:val="004B43FF"/>
    <w:rsid w:val="00502641"/>
    <w:rsid w:val="00503AA3"/>
    <w:rsid w:val="00545363"/>
    <w:rsid w:val="00583C85"/>
    <w:rsid w:val="00584156"/>
    <w:rsid w:val="00586B40"/>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D16E2"/>
    <w:rsid w:val="007E25BD"/>
    <w:rsid w:val="007F4ECC"/>
    <w:rsid w:val="00801E18"/>
    <w:rsid w:val="00802C35"/>
    <w:rsid w:val="0082181A"/>
    <w:rsid w:val="00887BF6"/>
    <w:rsid w:val="008B470E"/>
    <w:rsid w:val="008C14D6"/>
    <w:rsid w:val="008E1211"/>
    <w:rsid w:val="008E5BBF"/>
    <w:rsid w:val="008E6968"/>
    <w:rsid w:val="00A14DB9"/>
    <w:rsid w:val="00A4762A"/>
    <w:rsid w:val="00A74A7E"/>
    <w:rsid w:val="00A87399"/>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3DA"/>
    <w:rsid w:val="00D9792A"/>
    <w:rsid w:val="00DD377F"/>
    <w:rsid w:val="00E25547"/>
    <w:rsid w:val="00E2773B"/>
    <w:rsid w:val="00E3287E"/>
    <w:rsid w:val="00E54A50"/>
    <w:rsid w:val="00E66197"/>
    <w:rsid w:val="00EF4195"/>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887B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4A50"/>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B0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887B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4A50"/>
    <w:pPr>
      <w:jc w:val="center"/>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B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221A6-A580-456E-B3AE-1C7BE24D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7747</Words>
  <Characters>42299</Characters>
  <Application>Microsoft Office Word</Application>
  <DocSecurity>0</DocSecurity>
  <Lines>899</Lines>
  <Paragraphs>397</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49649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10</cp:revision>
  <cp:lastPrinted>2017-05-19T10:51:00Z</cp:lastPrinted>
  <dcterms:created xsi:type="dcterms:W3CDTF">2017-05-19T04:07:00Z</dcterms:created>
  <dcterms:modified xsi:type="dcterms:W3CDTF">2017-05-19T10:54:00Z</dcterms:modified>
</cp:coreProperties>
</file>