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07460" w:rsidRPr="00144DF5" w:rsidRDefault="00B07460" w:rsidP="00144DF5">
      <w:pPr>
        <w:autoSpaceDE w:val="0"/>
        <w:autoSpaceDN w:val="0"/>
        <w:adjustRightInd w:val="0"/>
        <w:spacing w:after="0" w:line="240" w:lineRule="auto"/>
        <w:jc w:val="center"/>
        <w:rPr>
          <w:rFonts w:ascii="Times New Roman" w:hAnsi="Times New Roman"/>
          <w:bCs/>
          <w:sz w:val="28"/>
          <w:szCs w:val="28"/>
        </w:rPr>
      </w:pPr>
      <w:r w:rsidRPr="00A864B0">
        <w:rPr>
          <w:rFonts w:ascii="Times New Roman" w:hAnsi="Times New Roman"/>
          <w:bCs/>
          <w:sz w:val="28"/>
          <w:szCs w:val="28"/>
        </w:rPr>
        <w:t xml:space="preserve">BIOACCUMULATION OF SEDIMENTARY ENDOCRINE DISRUPTING CHEMICALS (EDCs) BY THE BENTHIC FISH, </w:t>
      </w:r>
      <w:r w:rsidRPr="00A864B0">
        <w:rPr>
          <w:rFonts w:ascii="Times New Roman" w:hAnsi="Times New Roman"/>
          <w:bCs/>
          <w:i/>
          <w:iCs/>
          <w:sz w:val="28"/>
          <w:szCs w:val="28"/>
        </w:rPr>
        <w:t>P</w:t>
      </w:r>
      <w:r w:rsidR="00144DF5">
        <w:rPr>
          <w:rFonts w:ascii="Times New Roman" w:hAnsi="Times New Roman"/>
          <w:bCs/>
          <w:i/>
          <w:iCs/>
          <w:sz w:val="28"/>
          <w:szCs w:val="28"/>
        </w:rPr>
        <w:t>leuronectes</w:t>
      </w:r>
      <w:r w:rsidRPr="00A864B0">
        <w:rPr>
          <w:rFonts w:ascii="Times New Roman" w:hAnsi="Times New Roman"/>
          <w:bCs/>
          <w:i/>
          <w:iCs/>
          <w:sz w:val="28"/>
          <w:szCs w:val="28"/>
        </w:rPr>
        <w:t xml:space="preserve"> </w:t>
      </w:r>
      <w:r w:rsidR="00144DF5">
        <w:rPr>
          <w:rFonts w:ascii="Times New Roman" w:hAnsi="Times New Roman"/>
          <w:bCs/>
          <w:i/>
          <w:iCs/>
          <w:sz w:val="28"/>
          <w:szCs w:val="28"/>
        </w:rPr>
        <w:t>yokohamae</w:t>
      </w:r>
    </w:p>
    <w:p w:rsidR="00B07460" w:rsidRPr="00B07460" w:rsidRDefault="00B07460" w:rsidP="00B07460">
      <w:pPr>
        <w:autoSpaceDE w:val="0"/>
        <w:autoSpaceDN w:val="0"/>
        <w:adjustRightInd w:val="0"/>
        <w:spacing w:after="0" w:line="240" w:lineRule="auto"/>
        <w:jc w:val="center"/>
        <w:rPr>
          <w:rFonts w:ascii="Times New Roman" w:hAnsi="Times New Roman"/>
          <w:bCs/>
          <w:iCs/>
          <w:sz w:val="24"/>
          <w:szCs w:val="24"/>
        </w:rPr>
      </w:pPr>
    </w:p>
    <w:p w:rsidR="00B07460" w:rsidRPr="00144DF5" w:rsidRDefault="00B07460" w:rsidP="00144DF5">
      <w:pPr>
        <w:autoSpaceDE w:val="0"/>
        <w:autoSpaceDN w:val="0"/>
        <w:adjustRightInd w:val="0"/>
        <w:spacing w:after="0" w:line="240" w:lineRule="auto"/>
        <w:jc w:val="center"/>
        <w:rPr>
          <w:rFonts w:ascii="Times New Roman" w:hAnsi="Times New Roman"/>
          <w:bCs/>
          <w:sz w:val="24"/>
          <w:szCs w:val="24"/>
        </w:rPr>
      </w:pPr>
      <w:r w:rsidRPr="00A864B0">
        <w:rPr>
          <w:rFonts w:ascii="Times New Roman" w:hAnsi="Times New Roman"/>
          <w:bCs/>
          <w:sz w:val="24"/>
          <w:szCs w:val="24"/>
        </w:rPr>
        <w:t xml:space="preserve">(Biopenumpukan Bahan Kimia Pengganggu Endokrin (EDCs) oleh Ikan Bentik, </w:t>
      </w:r>
      <w:r w:rsidRPr="00A864B0">
        <w:rPr>
          <w:rFonts w:ascii="Times New Roman" w:hAnsi="Times New Roman"/>
          <w:bCs/>
          <w:i/>
          <w:sz w:val="24"/>
          <w:szCs w:val="24"/>
        </w:rPr>
        <w:t>Pleuronectes yokohamae</w:t>
      </w:r>
      <w:r w:rsidRPr="00A864B0">
        <w:rPr>
          <w:rFonts w:ascii="Times New Roman" w:hAnsi="Times New Roman"/>
          <w:bCs/>
          <w:iCs/>
          <w:sz w:val="24"/>
          <w:szCs w:val="24"/>
        </w:rPr>
        <w:t>)</w:t>
      </w:r>
    </w:p>
    <w:p w:rsidR="00B07460" w:rsidRPr="00A864B0" w:rsidRDefault="00B07460" w:rsidP="00B07460">
      <w:pPr>
        <w:autoSpaceDE w:val="0"/>
        <w:autoSpaceDN w:val="0"/>
        <w:adjustRightInd w:val="0"/>
        <w:spacing w:after="0" w:line="240" w:lineRule="auto"/>
        <w:jc w:val="center"/>
        <w:rPr>
          <w:rFonts w:ascii="Times New Roman" w:hAnsi="Times New Roman"/>
          <w:bCs/>
          <w:sz w:val="20"/>
          <w:szCs w:val="20"/>
        </w:rPr>
      </w:pPr>
    </w:p>
    <w:p w:rsidR="00B07460" w:rsidRPr="00B07460" w:rsidRDefault="00B07460" w:rsidP="00B07460">
      <w:pPr>
        <w:autoSpaceDE w:val="0"/>
        <w:autoSpaceDN w:val="0"/>
        <w:adjustRightInd w:val="0"/>
        <w:spacing w:after="0" w:line="240" w:lineRule="auto"/>
        <w:jc w:val="center"/>
        <w:rPr>
          <w:rFonts w:ascii="Times New Roman" w:eastAsia="TimesNewRoman" w:hAnsi="Times New Roman"/>
          <w:sz w:val="20"/>
          <w:szCs w:val="20"/>
          <w:vertAlign w:val="superscript"/>
        </w:rPr>
      </w:pPr>
      <w:r w:rsidRPr="00B07460">
        <w:rPr>
          <w:rFonts w:ascii="Times New Roman" w:eastAsia="TimesNewRoman" w:hAnsi="Times New Roman"/>
          <w:sz w:val="20"/>
          <w:szCs w:val="20"/>
        </w:rPr>
        <w:t>Nurulnadia Mohd Yusoff</w:t>
      </w:r>
      <w:r w:rsidRPr="00B07460">
        <w:rPr>
          <w:rFonts w:ascii="Times New Roman" w:eastAsia="TimesNewRoman" w:hAnsi="Times New Roman"/>
          <w:sz w:val="20"/>
          <w:szCs w:val="20"/>
          <w:vertAlign w:val="superscript"/>
        </w:rPr>
        <w:t>1</w:t>
      </w:r>
      <w:r w:rsidRPr="00B07460">
        <w:rPr>
          <w:rFonts w:ascii="Times New Roman" w:hAnsi="Times New Roman"/>
          <w:i/>
          <w:iCs/>
          <w:sz w:val="20"/>
          <w:szCs w:val="20"/>
        </w:rPr>
        <w:t>*</w:t>
      </w:r>
      <w:r w:rsidRPr="00B07460">
        <w:rPr>
          <w:rFonts w:ascii="Times New Roman" w:eastAsia="TimesNewRoman" w:hAnsi="Times New Roman"/>
          <w:sz w:val="20"/>
          <w:szCs w:val="20"/>
        </w:rPr>
        <w:t>, Jiro Koyama</w:t>
      </w:r>
      <w:r w:rsidRPr="00B07460">
        <w:rPr>
          <w:rFonts w:ascii="Times New Roman" w:eastAsia="TimesNewRoman" w:hAnsi="Times New Roman"/>
          <w:sz w:val="20"/>
          <w:szCs w:val="20"/>
          <w:vertAlign w:val="superscript"/>
        </w:rPr>
        <w:t>2</w:t>
      </w:r>
      <w:r w:rsidRPr="00B07460">
        <w:rPr>
          <w:rFonts w:ascii="Times New Roman" w:eastAsia="TimesNewRoman" w:hAnsi="Times New Roman"/>
          <w:sz w:val="20"/>
          <w:szCs w:val="20"/>
        </w:rPr>
        <w:t>, Seiichi Uno</w:t>
      </w:r>
      <w:r w:rsidRPr="00B07460">
        <w:rPr>
          <w:rFonts w:ascii="Times New Roman" w:eastAsia="TimesNewRoman" w:hAnsi="Times New Roman"/>
          <w:sz w:val="20"/>
          <w:szCs w:val="20"/>
          <w:vertAlign w:val="superscript"/>
        </w:rPr>
        <w:t>2</w:t>
      </w:r>
    </w:p>
    <w:p w:rsidR="00AC0033" w:rsidRPr="00F447A7" w:rsidRDefault="00AC0033" w:rsidP="00AC0033">
      <w:pPr>
        <w:spacing w:after="0" w:line="240" w:lineRule="auto"/>
        <w:jc w:val="center"/>
        <w:rPr>
          <w:rFonts w:ascii="Times New Roman" w:hAnsi="Times New Roman"/>
          <w:noProof/>
          <w:sz w:val="18"/>
          <w:szCs w:val="18"/>
          <w:lang w:bidi="ar-SA"/>
        </w:rPr>
      </w:pPr>
    </w:p>
    <w:p w:rsidR="00B07460" w:rsidRDefault="00B07460" w:rsidP="00B07460">
      <w:pPr>
        <w:autoSpaceDE w:val="0"/>
        <w:autoSpaceDN w:val="0"/>
        <w:adjustRightInd w:val="0"/>
        <w:spacing w:after="0" w:line="240" w:lineRule="auto"/>
        <w:jc w:val="center"/>
        <w:rPr>
          <w:rFonts w:ascii="Times New Roman" w:hAnsi="Times New Roman"/>
          <w:i/>
          <w:iCs/>
          <w:sz w:val="18"/>
          <w:szCs w:val="18"/>
        </w:rPr>
      </w:pPr>
      <w:r w:rsidRPr="00A864B0">
        <w:rPr>
          <w:rFonts w:ascii="Times New Roman" w:hAnsi="Times New Roman"/>
          <w:i/>
          <w:iCs/>
          <w:sz w:val="18"/>
          <w:szCs w:val="18"/>
          <w:vertAlign w:val="superscript"/>
        </w:rPr>
        <w:t>1</w:t>
      </w:r>
      <w:r w:rsidRPr="00A864B0">
        <w:rPr>
          <w:rFonts w:ascii="Times New Roman" w:hAnsi="Times New Roman"/>
          <w:i/>
          <w:iCs/>
          <w:sz w:val="18"/>
          <w:szCs w:val="18"/>
        </w:rPr>
        <w:t xml:space="preserve">School of Marine and Environmental Sciences, </w:t>
      </w:r>
    </w:p>
    <w:p w:rsidR="00B07460" w:rsidRPr="00A864B0" w:rsidRDefault="00B07460" w:rsidP="00B07460">
      <w:pPr>
        <w:autoSpaceDE w:val="0"/>
        <w:autoSpaceDN w:val="0"/>
        <w:adjustRightInd w:val="0"/>
        <w:spacing w:after="0" w:line="240" w:lineRule="auto"/>
        <w:jc w:val="center"/>
        <w:rPr>
          <w:rFonts w:ascii="Times New Roman" w:hAnsi="Times New Roman"/>
          <w:i/>
          <w:iCs/>
          <w:sz w:val="18"/>
          <w:szCs w:val="18"/>
        </w:rPr>
      </w:pPr>
      <w:r w:rsidRPr="00A864B0">
        <w:rPr>
          <w:rFonts w:ascii="Times New Roman" w:hAnsi="Times New Roman"/>
          <w:i/>
          <w:iCs/>
          <w:sz w:val="18"/>
          <w:szCs w:val="18"/>
        </w:rPr>
        <w:t>Universiti Malaysia Terengganu, 21030 Kuala Terengganu, Terengganu, Malaysia</w:t>
      </w:r>
    </w:p>
    <w:p w:rsidR="00B07460" w:rsidRDefault="00B07460" w:rsidP="00B07460">
      <w:pPr>
        <w:autoSpaceDE w:val="0"/>
        <w:autoSpaceDN w:val="0"/>
        <w:adjustRightInd w:val="0"/>
        <w:spacing w:after="0" w:line="240" w:lineRule="auto"/>
        <w:jc w:val="center"/>
        <w:rPr>
          <w:rFonts w:ascii="Times New Roman" w:hAnsi="Times New Roman"/>
          <w:i/>
          <w:iCs/>
          <w:sz w:val="18"/>
          <w:szCs w:val="18"/>
        </w:rPr>
      </w:pPr>
      <w:r w:rsidRPr="00A864B0">
        <w:rPr>
          <w:rFonts w:ascii="Times New Roman" w:hAnsi="Times New Roman"/>
          <w:i/>
          <w:iCs/>
          <w:sz w:val="18"/>
          <w:szCs w:val="18"/>
          <w:vertAlign w:val="superscript"/>
        </w:rPr>
        <w:t>2</w:t>
      </w:r>
      <w:r w:rsidRPr="00A864B0">
        <w:rPr>
          <w:rFonts w:ascii="Times New Roman" w:hAnsi="Times New Roman"/>
          <w:i/>
          <w:iCs/>
          <w:sz w:val="18"/>
          <w:szCs w:val="18"/>
        </w:rPr>
        <w:t xml:space="preserve">Faculty of Fisheries, </w:t>
      </w:r>
    </w:p>
    <w:p w:rsidR="00B07460" w:rsidRPr="00A864B0" w:rsidRDefault="00B07460" w:rsidP="00B07460">
      <w:pPr>
        <w:autoSpaceDE w:val="0"/>
        <w:autoSpaceDN w:val="0"/>
        <w:adjustRightInd w:val="0"/>
        <w:spacing w:after="0" w:line="240" w:lineRule="auto"/>
        <w:jc w:val="center"/>
        <w:rPr>
          <w:rFonts w:ascii="Times New Roman" w:hAnsi="Times New Roman"/>
          <w:i/>
          <w:iCs/>
          <w:sz w:val="18"/>
          <w:szCs w:val="18"/>
        </w:rPr>
      </w:pPr>
      <w:r w:rsidRPr="00A864B0">
        <w:rPr>
          <w:rFonts w:ascii="Times New Roman" w:hAnsi="Times New Roman"/>
          <w:i/>
          <w:iCs/>
          <w:sz w:val="18"/>
          <w:szCs w:val="18"/>
        </w:rPr>
        <w:t>Kagoshima University, Shimoarata 4-50-20, Kagoshima 890-0056, Japan</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B07460" w:rsidRDefault="00AC0033" w:rsidP="00B07460">
      <w:pPr>
        <w:autoSpaceDE w:val="0"/>
        <w:autoSpaceDN w:val="0"/>
        <w:adjustRightInd w:val="0"/>
        <w:spacing w:after="0" w:line="240" w:lineRule="auto"/>
        <w:jc w:val="center"/>
        <w:rPr>
          <w:rFonts w:ascii="Times New Roman" w:hAnsi="Times New Roman"/>
          <w:i/>
          <w:iCs/>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B07460" w:rsidRPr="00A864B0">
        <w:rPr>
          <w:rFonts w:ascii="Times New Roman" w:hAnsi="Times New Roman"/>
          <w:i/>
          <w:iCs/>
          <w:sz w:val="18"/>
          <w:szCs w:val="18"/>
        </w:rPr>
        <w:t>nurulnadia@umt.edu.my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E073F">
        <w:rPr>
          <w:rFonts w:ascii="Times New Roman" w:hAnsi="Times New Roman"/>
          <w:noProof/>
          <w:sz w:val="18"/>
          <w:szCs w:val="18"/>
          <w:lang w:bidi="ar-SA"/>
        </w:rPr>
        <w:t>16 August 2016</w:t>
      </w:r>
      <w:r>
        <w:rPr>
          <w:rFonts w:ascii="Times New Roman" w:hAnsi="Times New Roman"/>
          <w:noProof/>
          <w:sz w:val="18"/>
          <w:szCs w:val="18"/>
          <w:lang w:bidi="ar-SA"/>
        </w:rPr>
        <w:t xml:space="preserve">; Accepted: </w:t>
      </w:r>
      <w:r w:rsidR="00FE073F">
        <w:rPr>
          <w:rFonts w:ascii="Times New Roman" w:hAnsi="Times New Roman"/>
          <w:noProof/>
          <w:sz w:val="18"/>
          <w:szCs w:val="18"/>
          <w:lang w:bidi="ar-SA"/>
        </w:rPr>
        <w:t>20 April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07460" w:rsidRPr="00A864B0" w:rsidRDefault="00B07460" w:rsidP="00B07460">
      <w:pPr>
        <w:autoSpaceDE w:val="0"/>
        <w:autoSpaceDN w:val="0"/>
        <w:adjustRightInd w:val="0"/>
        <w:spacing w:after="0" w:line="240" w:lineRule="auto"/>
        <w:jc w:val="both"/>
        <w:rPr>
          <w:rFonts w:ascii="Times New Roman" w:eastAsia="TimesNewRoman" w:hAnsi="Times New Roman"/>
          <w:sz w:val="18"/>
          <w:szCs w:val="18"/>
        </w:rPr>
      </w:pPr>
      <w:r w:rsidRPr="00A864B0">
        <w:rPr>
          <w:rFonts w:ascii="Times New Roman" w:eastAsia="TimesNewRoman" w:hAnsi="Times New Roman"/>
          <w:sz w:val="18"/>
          <w:szCs w:val="18"/>
        </w:rPr>
        <w:t xml:space="preserve">In this study, </w:t>
      </w:r>
      <w:r w:rsidRPr="00A864B0">
        <w:rPr>
          <w:rFonts w:ascii="Times New Roman" w:hAnsi="Times New Roman"/>
          <w:i/>
          <w:iCs/>
          <w:sz w:val="18"/>
          <w:szCs w:val="18"/>
        </w:rPr>
        <w:t xml:space="preserve">Pleuronectes yokohamae (P. yokohamae) </w:t>
      </w:r>
      <w:r w:rsidRPr="00A864B0">
        <w:rPr>
          <w:rFonts w:ascii="Times New Roman" w:hAnsi="Times New Roman"/>
          <w:iCs/>
          <w:sz w:val="18"/>
          <w:szCs w:val="18"/>
        </w:rPr>
        <w:t>were exposed to the sediment mixed with</w:t>
      </w:r>
      <w:r w:rsidRPr="00A864B0">
        <w:rPr>
          <w:rFonts w:ascii="Times New Roman" w:eastAsia="TimesNewRoman" w:hAnsi="Times New Roman"/>
          <w:sz w:val="18"/>
          <w:szCs w:val="18"/>
        </w:rPr>
        <w:t xml:space="preserve"> mixture of nonylphenol (NP), octylphenol (OP), estrone (E1) and 17β-estradiol (E2) which makes up Endocrine Disrupting Chemicals (EDCs). The target compound was detected in water sample, and NP and OP concentrations were found to be the highest, 7.66 μg/L and 0.63 μg/L respectively (E1 and E2 concentrations were below the limit of detection). In pore water on the other hand, NP concentrations recorded the highest with 35.3 μg/L, while concentrations of OP, E1 and E2 were 4.08 μg/L, 0.06 μg/L and 0.18 μg/L respectively. </w:t>
      </w:r>
      <w:r w:rsidRPr="00A864B0">
        <w:rPr>
          <w:rFonts w:ascii="Times New Roman" w:hAnsi="Times New Roman"/>
          <w:i/>
          <w:iCs/>
          <w:sz w:val="18"/>
          <w:szCs w:val="18"/>
        </w:rPr>
        <w:t xml:space="preserve">P. yokohamae </w:t>
      </w:r>
      <w:r w:rsidRPr="00A864B0">
        <w:rPr>
          <w:rFonts w:ascii="Times New Roman" w:hAnsi="Times New Roman"/>
          <w:iCs/>
          <w:sz w:val="18"/>
          <w:szCs w:val="18"/>
        </w:rPr>
        <w:t xml:space="preserve">shown rapid and maximum accumulation of NP and OP on day 3, where NP recorded to be </w:t>
      </w:r>
      <w:r w:rsidRPr="00A864B0">
        <w:rPr>
          <w:rFonts w:ascii="Times New Roman" w:eastAsia="TimesNewRoman" w:hAnsi="Times New Roman"/>
          <w:sz w:val="18"/>
          <w:szCs w:val="18"/>
        </w:rPr>
        <w:t>2200 ng/g d.w. and OP 168 ng/g d.w. The recorded BAF values in low and high exposure groups were 0.010 and 0.065 for NP, and 0.065 and 0.084 for OP. The BAF findings recorded, being less than 1 indicated that there were no bioaccumulations in the tested fish of both groups. However, due to their nature of being more predisposed to accumulating EDCs than the water column, the bioaccumulation of contaminant in benthic fish should be continually monitored.</w:t>
      </w:r>
    </w:p>
    <w:p w:rsidR="00B07460" w:rsidRPr="00A864B0" w:rsidRDefault="00B07460" w:rsidP="00B07460">
      <w:pPr>
        <w:autoSpaceDE w:val="0"/>
        <w:autoSpaceDN w:val="0"/>
        <w:adjustRightInd w:val="0"/>
        <w:spacing w:after="0" w:line="240" w:lineRule="auto"/>
        <w:jc w:val="both"/>
        <w:rPr>
          <w:rFonts w:ascii="Times New Roman" w:hAnsi="Times New Roman"/>
          <w:b/>
          <w:bCs/>
          <w:sz w:val="18"/>
          <w:szCs w:val="18"/>
        </w:rPr>
      </w:pPr>
    </w:p>
    <w:p w:rsidR="00B07460" w:rsidRPr="00A864B0" w:rsidRDefault="00B07460" w:rsidP="00B07460">
      <w:pPr>
        <w:autoSpaceDE w:val="0"/>
        <w:autoSpaceDN w:val="0"/>
        <w:adjustRightInd w:val="0"/>
        <w:spacing w:after="0" w:line="240" w:lineRule="auto"/>
        <w:jc w:val="both"/>
        <w:rPr>
          <w:rFonts w:ascii="Times New Roman" w:hAnsi="Times New Roman"/>
          <w:i/>
          <w:iCs/>
          <w:sz w:val="18"/>
          <w:szCs w:val="18"/>
        </w:rPr>
      </w:pPr>
      <w:r w:rsidRPr="00A864B0">
        <w:rPr>
          <w:rFonts w:ascii="Times New Roman" w:eastAsia="TimesNewRoman" w:hAnsi="Times New Roman"/>
          <w:b/>
          <w:sz w:val="18"/>
          <w:szCs w:val="18"/>
        </w:rPr>
        <w:t>Keywords</w:t>
      </w:r>
      <w:r w:rsidRPr="00A864B0">
        <w:rPr>
          <w:rFonts w:ascii="Times New Roman" w:eastAsia="TimesNewRoman" w:hAnsi="Times New Roman"/>
          <w:sz w:val="18"/>
          <w:szCs w:val="18"/>
        </w:rPr>
        <w:t>:</w:t>
      </w:r>
      <w:r>
        <w:rPr>
          <w:rFonts w:ascii="Times New Roman" w:eastAsia="TimesNewRoman" w:hAnsi="Times New Roman"/>
          <w:sz w:val="18"/>
          <w:szCs w:val="18"/>
        </w:rPr>
        <w:t xml:space="preserve"> </w:t>
      </w:r>
      <w:r w:rsidRPr="00A864B0">
        <w:rPr>
          <w:rFonts w:ascii="Times New Roman" w:eastAsia="TimesNewRoman" w:hAnsi="Times New Roman"/>
          <w:sz w:val="18"/>
          <w:szCs w:val="18"/>
        </w:rPr>
        <w:t xml:space="preserve"> bioaccumulation, sediment, endocrine disrupting chemical, </w:t>
      </w:r>
      <w:r w:rsidRPr="00A864B0">
        <w:rPr>
          <w:rFonts w:ascii="Times New Roman" w:hAnsi="Times New Roman"/>
          <w:i/>
          <w:iCs/>
          <w:sz w:val="18"/>
          <w:szCs w:val="18"/>
        </w:rPr>
        <w:t>Pleuronectes yokohamae</w:t>
      </w:r>
      <w:r w:rsidRPr="00A864B0">
        <w:rPr>
          <w:rFonts w:ascii="Times New Roman" w:hAnsi="Times New Roman"/>
          <w:iCs/>
          <w:sz w:val="18"/>
          <w:szCs w:val="18"/>
        </w:rPr>
        <w:t>, marbled flounder</w:t>
      </w:r>
    </w:p>
    <w:p w:rsidR="00B07460" w:rsidRPr="00A864B0" w:rsidRDefault="00B07460" w:rsidP="00B07460">
      <w:pPr>
        <w:autoSpaceDE w:val="0"/>
        <w:autoSpaceDN w:val="0"/>
        <w:adjustRightInd w:val="0"/>
        <w:spacing w:after="0" w:line="240" w:lineRule="auto"/>
        <w:jc w:val="center"/>
        <w:rPr>
          <w:rFonts w:ascii="Times New Roman" w:hAnsi="Times New Roman"/>
          <w:b/>
          <w:bCs/>
          <w:sz w:val="20"/>
          <w:szCs w:val="20"/>
        </w:rPr>
      </w:pPr>
    </w:p>
    <w:p w:rsidR="00B07460" w:rsidRPr="00A864B0" w:rsidRDefault="00B07460" w:rsidP="00B07460">
      <w:pPr>
        <w:autoSpaceDE w:val="0"/>
        <w:autoSpaceDN w:val="0"/>
        <w:adjustRightInd w:val="0"/>
        <w:spacing w:after="0" w:line="240" w:lineRule="auto"/>
        <w:jc w:val="center"/>
        <w:rPr>
          <w:rFonts w:ascii="Times New Roman" w:hAnsi="Times New Roman"/>
          <w:b/>
          <w:bCs/>
          <w:sz w:val="18"/>
          <w:szCs w:val="18"/>
        </w:rPr>
      </w:pPr>
      <w:r w:rsidRPr="00A864B0">
        <w:rPr>
          <w:rFonts w:ascii="Times New Roman" w:hAnsi="Times New Roman"/>
          <w:b/>
          <w:bCs/>
          <w:sz w:val="18"/>
          <w:szCs w:val="18"/>
        </w:rPr>
        <w:t>Abstrak</w:t>
      </w:r>
    </w:p>
    <w:p w:rsidR="00B07460" w:rsidRPr="00A864B0" w:rsidRDefault="00B07460" w:rsidP="00B07460">
      <w:pPr>
        <w:autoSpaceDE w:val="0"/>
        <w:autoSpaceDN w:val="0"/>
        <w:adjustRightInd w:val="0"/>
        <w:spacing w:after="0" w:line="240" w:lineRule="auto"/>
        <w:jc w:val="both"/>
        <w:rPr>
          <w:rFonts w:ascii="Times New Roman" w:eastAsia="TimesNewRoman" w:hAnsi="Times New Roman"/>
          <w:noProof/>
          <w:sz w:val="18"/>
          <w:szCs w:val="18"/>
          <w:lang w:val="ms-MY"/>
        </w:rPr>
      </w:pPr>
      <w:r w:rsidRPr="00A864B0">
        <w:rPr>
          <w:rFonts w:ascii="Times New Roman" w:eastAsia="TimesNewRoman" w:hAnsi="Times New Roman"/>
          <w:noProof/>
          <w:sz w:val="18"/>
          <w:szCs w:val="18"/>
          <w:lang w:val="ms-MY"/>
        </w:rPr>
        <w:t xml:space="preserve">Dalam kajian ini, campuran bahan kimia pengganggu endokrin (EDC) terdiri daripada nonilfenol (NP), oktilfenol (OP), estron (E1) dan 17β-estradiol (E2) telah dicampur ke dalam sedimen dan didedahkan kepada </w:t>
      </w:r>
      <w:r w:rsidRPr="00A864B0">
        <w:rPr>
          <w:rFonts w:ascii="Times New Roman" w:hAnsi="Times New Roman"/>
          <w:i/>
          <w:iCs/>
          <w:noProof/>
          <w:sz w:val="18"/>
          <w:szCs w:val="18"/>
          <w:lang w:val="ms-MY"/>
        </w:rPr>
        <w:t>Pleuronectes yokohamae (P. yokohamae)</w:t>
      </w:r>
      <w:r w:rsidRPr="00A864B0">
        <w:rPr>
          <w:rFonts w:ascii="Times New Roman" w:eastAsia="TimesNewRoman" w:hAnsi="Times New Roman"/>
          <w:noProof/>
          <w:sz w:val="18"/>
          <w:szCs w:val="18"/>
          <w:lang w:val="ms-MY"/>
        </w:rPr>
        <w:t xml:space="preserve">. Sebatian sasaran telah dikesan dalam sampel air dengan kepekatan NP dan OP tertinggi iaitu masing-masing 7.66 μg/L dan 0.63 μg/L (kepekatan E1 dan E2 adalah di bawah had pengesanan), manakala kepekatan tertinggi di dalam air liang ialah 35.3 μg/L untuk NP, 4.08 μg/L untuk OP, 0.06 μg/L untuk E1 dan 0.18 μg/L untuk E2. Kepekatan NP dan OP di dalam </w:t>
      </w:r>
      <w:r w:rsidRPr="00A864B0">
        <w:rPr>
          <w:rFonts w:ascii="Times New Roman" w:hAnsi="Times New Roman"/>
          <w:i/>
          <w:iCs/>
          <w:noProof/>
          <w:sz w:val="18"/>
          <w:szCs w:val="18"/>
          <w:lang w:val="ms-MY"/>
        </w:rPr>
        <w:t xml:space="preserve">P. yokohamae </w:t>
      </w:r>
      <w:r w:rsidRPr="00A864B0">
        <w:rPr>
          <w:rFonts w:ascii="Times New Roman" w:eastAsia="TimesNewRoman" w:hAnsi="Times New Roman"/>
          <w:noProof/>
          <w:sz w:val="18"/>
          <w:szCs w:val="18"/>
          <w:lang w:val="ms-MY"/>
        </w:rPr>
        <w:t>meningkat dengan mendadak pada hari 3 dan mencapai kepekatan maksimum 2200 ng/g d.w. dan 168 ng/g d.w. Nilai BAF dalam kumpulan kepekatan rendah dan tinggi ialah 0.010 dan 0.065 untuk NP, dan 0.065 dan 0.084 untuk OP. BAF telah dikira kurang daripada 1 menunjukkan tiada biopenumpukan EDC dalam ikan untuk kedua-dua kumpulan kepekatan. Walaupun begitu, biopenumpukan bahan cemar kepada ikan bentik harus sentiasa dipantau melalui sedimen berikutan kebolehannya menumpuk bahan EDC adalah lebih tinggi berbanding kolum air.</w:t>
      </w:r>
    </w:p>
    <w:p w:rsidR="00B07460" w:rsidRPr="00070C79" w:rsidRDefault="00B07460" w:rsidP="00B07460">
      <w:pPr>
        <w:autoSpaceDE w:val="0"/>
        <w:autoSpaceDN w:val="0"/>
        <w:adjustRightInd w:val="0"/>
        <w:spacing w:after="0" w:line="240" w:lineRule="auto"/>
        <w:jc w:val="both"/>
        <w:rPr>
          <w:rFonts w:ascii="Times New Roman" w:eastAsia="TimesNewRoman" w:hAnsi="Times New Roman"/>
          <w:sz w:val="20"/>
          <w:szCs w:val="20"/>
          <w:lang w:val="ms-MY"/>
        </w:rPr>
      </w:pPr>
    </w:p>
    <w:p w:rsidR="00B07460" w:rsidRPr="00070C79" w:rsidRDefault="00B07460" w:rsidP="00B07460">
      <w:pPr>
        <w:autoSpaceDE w:val="0"/>
        <w:autoSpaceDN w:val="0"/>
        <w:adjustRightInd w:val="0"/>
        <w:spacing w:after="0" w:line="240" w:lineRule="auto"/>
        <w:jc w:val="both"/>
        <w:rPr>
          <w:rFonts w:ascii="Times New Roman" w:hAnsi="Times New Roman"/>
          <w:iCs/>
          <w:sz w:val="18"/>
          <w:szCs w:val="18"/>
          <w:lang w:val="ms-MY"/>
        </w:rPr>
      </w:pPr>
      <w:r w:rsidRPr="00070C79">
        <w:rPr>
          <w:rFonts w:ascii="Times New Roman" w:eastAsia="TimesNewRoman" w:hAnsi="Times New Roman"/>
          <w:b/>
          <w:sz w:val="18"/>
          <w:szCs w:val="18"/>
          <w:lang w:val="ms-MY"/>
        </w:rPr>
        <w:t>Kata kunci</w:t>
      </w:r>
      <w:r w:rsidRPr="00070C79">
        <w:rPr>
          <w:rFonts w:ascii="Times New Roman" w:eastAsia="TimesNewRoman" w:hAnsi="Times New Roman"/>
          <w:sz w:val="18"/>
          <w:szCs w:val="18"/>
          <w:lang w:val="ms-MY"/>
        </w:rPr>
        <w:t>:</w:t>
      </w:r>
      <w:r>
        <w:rPr>
          <w:rFonts w:ascii="Times New Roman" w:eastAsia="TimesNewRoman" w:hAnsi="Times New Roman"/>
          <w:sz w:val="18"/>
          <w:szCs w:val="18"/>
          <w:lang w:val="ms-MY"/>
        </w:rPr>
        <w:t xml:space="preserve"> </w:t>
      </w:r>
      <w:r w:rsidRPr="00070C79">
        <w:rPr>
          <w:rFonts w:ascii="Times New Roman" w:eastAsia="TimesNewRoman" w:hAnsi="Times New Roman"/>
          <w:sz w:val="18"/>
          <w:szCs w:val="18"/>
          <w:lang w:val="ms-MY"/>
        </w:rPr>
        <w:t xml:space="preserve"> </w:t>
      </w:r>
      <w:r w:rsidRPr="00A864B0">
        <w:rPr>
          <w:rFonts w:ascii="Times New Roman" w:eastAsia="TimesNewRoman" w:hAnsi="Times New Roman"/>
          <w:noProof/>
          <w:sz w:val="18"/>
          <w:szCs w:val="18"/>
          <w:lang w:val="ms-MY"/>
        </w:rPr>
        <w:t xml:space="preserve">biopenumpukan, sedimen, bahan kimia pengganggu endokrin, </w:t>
      </w:r>
      <w:r w:rsidRPr="00A864B0">
        <w:rPr>
          <w:rFonts w:ascii="Times New Roman" w:hAnsi="Times New Roman"/>
          <w:i/>
          <w:iCs/>
          <w:noProof/>
          <w:sz w:val="18"/>
          <w:szCs w:val="18"/>
          <w:lang w:val="ms-MY"/>
        </w:rPr>
        <w:t>Pleuronectes yokohamae</w:t>
      </w:r>
      <w:r w:rsidRPr="00A864B0">
        <w:rPr>
          <w:rFonts w:ascii="Times New Roman" w:hAnsi="Times New Roman"/>
          <w:iCs/>
          <w:noProof/>
          <w:sz w:val="18"/>
          <w:szCs w:val="18"/>
          <w:lang w:val="ms-MY"/>
        </w:rPr>
        <w:t>, marbled flounder</w:t>
      </w:r>
    </w:p>
    <w:p w:rsidR="00AC0033" w:rsidRDefault="00AC0033" w:rsidP="00B07460">
      <w:pPr>
        <w:spacing w:after="0" w:line="240" w:lineRule="auto"/>
        <w:jc w:val="center"/>
        <w:rPr>
          <w:rFonts w:ascii="Times New Roman" w:hAnsi="Times New Roman"/>
          <w:noProof/>
          <w:sz w:val="20"/>
          <w:szCs w:val="20"/>
          <w:lang w:bidi="ar-SA"/>
        </w:rPr>
      </w:pPr>
    </w:p>
    <w:p w:rsidR="00144DF5" w:rsidRDefault="00144DF5" w:rsidP="00B07460">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Endocrine Disrupting Chemicals</w:t>
      </w:r>
      <w:r w:rsidRPr="00B07460">
        <w:rPr>
          <w:rFonts w:ascii="Times New Roman" w:hAnsi="Times New Roman"/>
          <w:sz w:val="20"/>
          <w:szCs w:val="20"/>
          <w:lang w:eastAsia="en-MY"/>
        </w:rPr>
        <w:t xml:space="preserve"> (EDCs) are either estrogenic or natural – the estrogenic chemicals such as nonylphenol (NP), and octylphenol (OP) are mostly industrial byproduct of surfactants in detergents and paints, agricultural dispersing agents, and other industrial applications [1] while natural forms which include 17β-estradiol (E2) and estrone (E1) excreted by humans and livestock, are discharged from sewage treatment works and agricultural run-off into the aquatic ecosystems [2]. As a result, these compounds were frequently reported to disturb the reproductive system in fish such as reduced in testicular growth and formation of eggs in testis [3]. </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 xml:space="preserve">Endocrine disruption in fish occurs as a result of the binding of natural and manmade compounds in the aquatic environment to estrogen receptors, in place of endogenous hormone. The EDCs then alter the enzyme system controlling steroidogenesis, causing mimicking or blocking effects that disrupt normal endocrine pathways [4]. </w:t>
      </w:r>
      <w:r w:rsidRPr="00B07460">
        <w:rPr>
          <w:rFonts w:ascii="Times New Roman" w:hAnsi="Times New Roman"/>
          <w:sz w:val="20"/>
          <w:szCs w:val="20"/>
          <w:lang w:eastAsia="en-MY"/>
        </w:rPr>
        <w:t>Researchers hypothesised that EDCs could be hydrophobic substances with affinity to bind to particles and accumulate on bottom sediments [5]. EDCs tend to get adsorbed into sediment due to high octanol-water partition coefficient (log Kow), resulting in vulnerability of aquatic organisms to accumulation</w:t>
      </w:r>
      <w:r w:rsidRPr="00B07460">
        <w:rPr>
          <w:rFonts w:ascii="Times New Roman" w:eastAsia="TimesNewRoman" w:hAnsi="Times New Roman"/>
          <w:sz w:val="20"/>
          <w:szCs w:val="20"/>
        </w:rPr>
        <w:t xml:space="preserve"> [6].</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hAnsi="Times New Roman"/>
          <w:i/>
          <w:iCs/>
          <w:sz w:val="20"/>
          <w:szCs w:val="20"/>
        </w:rPr>
        <w:t>P. yokohamae</w:t>
      </w:r>
      <w:r w:rsidRPr="00B07460">
        <w:rPr>
          <w:rFonts w:ascii="Times New Roman" w:hAnsi="Times New Roman"/>
          <w:sz w:val="20"/>
          <w:szCs w:val="20"/>
        </w:rPr>
        <w:t xml:space="preserve"> resides in sandy-mud bottoms less than 100 m depth [7] and recognised as commercially important species [8]. In Japan, winter is the breeding season of </w:t>
      </w:r>
      <w:r w:rsidRPr="00B07460">
        <w:rPr>
          <w:rFonts w:ascii="Times New Roman" w:hAnsi="Times New Roman"/>
          <w:i/>
          <w:sz w:val="20"/>
          <w:szCs w:val="20"/>
        </w:rPr>
        <w:t>P. yokohamae</w:t>
      </w:r>
      <w:r w:rsidRPr="00B07460">
        <w:rPr>
          <w:rFonts w:ascii="Times New Roman" w:hAnsi="Times New Roman"/>
          <w:sz w:val="20"/>
          <w:szCs w:val="20"/>
        </w:rPr>
        <w:t xml:space="preserve">. Both male and female fish reach maturity at the age of 1 year [9]. </w:t>
      </w:r>
      <w:r w:rsidRPr="00B07460">
        <w:rPr>
          <w:rFonts w:ascii="Times New Roman" w:hAnsi="Times New Roman"/>
          <w:i/>
          <w:iCs/>
          <w:sz w:val="20"/>
          <w:szCs w:val="20"/>
        </w:rPr>
        <w:t xml:space="preserve">P. yokohamae </w:t>
      </w:r>
      <w:r w:rsidRPr="00B07460">
        <w:rPr>
          <w:rFonts w:ascii="Times New Roman" w:hAnsi="Times New Roman"/>
          <w:sz w:val="20"/>
          <w:szCs w:val="20"/>
        </w:rPr>
        <w:t xml:space="preserve">prey mainly on benthic animals and were reported to accumulate organic compounds such as tributyltin (TBT) [10], 1,1-dichloro-2,2-bis(p-chlorophenyl) ethylene (DDE), hexachlorobenzene (HCB) and polychlorinated biphenyls (PCBs) [11] in the liver. Thus, </w:t>
      </w:r>
      <w:r w:rsidRPr="00B07460">
        <w:rPr>
          <w:rFonts w:ascii="Times New Roman" w:hAnsi="Times New Roman"/>
          <w:i/>
          <w:iCs/>
          <w:sz w:val="20"/>
          <w:szCs w:val="20"/>
        </w:rPr>
        <w:t>P. yokohamae</w:t>
      </w:r>
      <w:r w:rsidRPr="00B07460">
        <w:rPr>
          <w:rFonts w:ascii="Times New Roman" w:hAnsi="Times New Roman"/>
          <w:sz w:val="20"/>
          <w:szCs w:val="20"/>
        </w:rPr>
        <w:t xml:space="preserve"> can serve as a good indicator of EDCs accumulation from sediment.</w:t>
      </w:r>
      <w:r w:rsidRPr="00B07460">
        <w:rPr>
          <w:rFonts w:ascii="Times New Roman" w:hAnsi="Times New Roman"/>
          <w:sz w:val="20"/>
          <w:szCs w:val="20"/>
          <w:lang w:eastAsia="en-MY"/>
        </w:rPr>
        <w:t xml:space="preserve"> </w:t>
      </w:r>
    </w:p>
    <w:p w:rsidR="00B07460" w:rsidRPr="00B07460" w:rsidRDefault="00B07460" w:rsidP="00B07460">
      <w:pPr>
        <w:spacing w:after="0" w:line="240" w:lineRule="auto"/>
        <w:jc w:val="both"/>
        <w:rPr>
          <w:rFonts w:ascii="Times New Roman" w:hAnsi="Times New Roman"/>
          <w:sz w:val="20"/>
          <w:szCs w:val="20"/>
        </w:rPr>
      </w:pP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Bioaccumulation of EDCs has been demonstrated in both field and laboratory-based experiment [12, 13]. To date, nearly all experiments conducted on EDCs apply either the waterborne [14] or intraperitoneal exposure methods [15]. Very few studies adopted dietary and sedimentary exposure. Following this observation, this experiment aims to determine the bioaccumulation factor of EDCs through direct sedimentary uptake.</w:t>
      </w:r>
      <w:r w:rsidRPr="00B07460">
        <w:rPr>
          <w:rFonts w:ascii="Times New Roman" w:hAnsi="Times New Roman"/>
          <w:sz w:val="20"/>
          <w:szCs w:val="20"/>
          <w:lang w:eastAsia="en-MY"/>
        </w:rPr>
        <w:t xml:space="preserve"> Realising the significance of fisheries as an important commodity and main sources of diet for Japanese people, investigation on potential bioaccumulation of EDCs in fish is undeniably necessary.</w:t>
      </w:r>
    </w:p>
    <w:p w:rsidR="00B07460" w:rsidRPr="00B07460" w:rsidRDefault="00B07460" w:rsidP="00250127">
      <w:pPr>
        <w:autoSpaceDE w:val="0"/>
        <w:autoSpaceDN w:val="0"/>
        <w:adjustRightInd w:val="0"/>
        <w:spacing w:after="0" w:line="240" w:lineRule="auto"/>
        <w:jc w:val="center"/>
        <w:rPr>
          <w:rFonts w:ascii="Times New Roman" w:hAnsi="Times New Roman"/>
          <w:b/>
          <w:bCs/>
          <w:sz w:val="20"/>
          <w:szCs w:val="20"/>
        </w:rPr>
      </w:pPr>
    </w:p>
    <w:p w:rsidR="00B07460" w:rsidRPr="00B07460" w:rsidRDefault="00B07460" w:rsidP="00250127">
      <w:pPr>
        <w:autoSpaceDE w:val="0"/>
        <w:autoSpaceDN w:val="0"/>
        <w:adjustRightInd w:val="0"/>
        <w:spacing w:after="0" w:line="240" w:lineRule="auto"/>
        <w:jc w:val="center"/>
        <w:rPr>
          <w:rFonts w:ascii="Times New Roman" w:hAnsi="Times New Roman"/>
          <w:b/>
          <w:bCs/>
          <w:sz w:val="20"/>
          <w:szCs w:val="20"/>
        </w:rPr>
      </w:pPr>
      <w:r w:rsidRPr="00B07460">
        <w:rPr>
          <w:rFonts w:ascii="Times New Roman" w:hAnsi="Times New Roman"/>
          <w:b/>
          <w:bCs/>
          <w:sz w:val="20"/>
          <w:szCs w:val="20"/>
        </w:rPr>
        <w:t>Materials and Methods</w:t>
      </w: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t>Test organism (</w:t>
      </w:r>
      <w:r w:rsidRPr="00B07460">
        <w:rPr>
          <w:rFonts w:ascii="Times New Roman" w:hAnsi="Times New Roman"/>
          <w:b/>
          <w:bCs/>
          <w:i/>
          <w:iCs/>
          <w:sz w:val="20"/>
          <w:szCs w:val="20"/>
        </w:rPr>
        <w:t>P. yokohamae</w:t>
      </w:r>
      <w:r w:rsidRPr="00B07460">
        <w:rPr>
          <w:rFonts w:ascii="Times New Roman" w:hAnsi="Times New Roman"/>
          <w:b/>
          <w:bCs/>
          <w:sz w:val="20"/>
          <w:szCs w:val="20"/>
        </w:rPr>
        <w:t>)</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hAnsi="Times New Roman"/>
          <w:i/>
          <w:iCs/>
          <w:sz w:val="20"/>
          <w:szCs w:val="20"/>
        </w:rPr>
        <w:t xml:space="preserve">P. yokohamae </w:t>
      </w:r>
      <w:r w:rsidRPr="00B07460">
        <w:rPr>
          <w:rFonts w:ascii="Times New Roman" w:eastAsia="TimesNewRoman" w:hAnsi="Times New Roman"/>
          <w:sz w:val="20"/>
          <w:szCs w:val="20"/>
        </w:rPr>
        <w:t xml:space="preserve">were purchased from Regional Government Aquaculture Center in Yamaguchi, Japan. They were acclimatized in the laboratory condition for six months to the desired body size and fed with commercial diet. </w:t>
      </w:r>
      <w:r w:rsidRPr="00B07460">
        <w:rPr>
          <w:rFonts w:ascii="Times New Roman" w:hAnsi="Times New Roman"/>
          <w:i/>
          <w:iCs/>
          <w:sz w:val="20"/>
          <w:szCs w:val="20"/>
        </w:rPr>
        <w:t xml:space="preserve">P. yokohamae </w:t>
      </w:r>
      <w:r w:rsidRPr="00B07460">
        <w:rPr>
          <w:rFonts w:ascii="Times New Roman" w:hAnsi="Times New Roman"/>
          <w:iCs/>
          <w:sz w:val="20"/>
          <w:szCs w:val="20"/>
        </w:rPr>
        <w:t>were</w:t>
      </w:r>
      <w:r w:rsidRPr="00B07460">
        <w:rPr>
          <w:rFonts w:ascii="Times New Roman" w:eastAsia="TimesNewRoman" w:hAnsi="Times New Roman"/>
          <w:sz w:val="20"/>
          <w:szCs w:val="20"/>
        </w:rPr>
        <w:t xml:space="preserve"> kept in the water temperature below 25°C as it will die in warm water.</w:t>
      </w: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t>Sampling of sediment</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Approximately ten kilograms of sediment were collected randomly around the Amori River mouth in Kagoshima Bay (Figure 1) on 24 October 2012. Upon arrival at the laboratory, all sediment samples were dried under the sunlight and at room temperature for one week. Prior to spiking with EDCs, the sediment samples were combined and mixed well after sieving using sized 1- mm mesh sieve.</w:t>
      </w: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4A7642" w:rsidRPr="00B07460" w:rsidRDefault="004A7642" w:rsidP="004A7642">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t>Preparation of EDCs spiked sediment</w:t>
      </w:r>
    </w:p>
    <w:p w:rsidR="004A7642" w:rsidRPr="00B07460" w:rsidRDefault="004A7642" w:rsidP="004A7642">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Three kilograms of the sieved sediment were transferred into each glass aquarium (60 x 30 x 40 cm) of control, low and high test groups. The mixture of EDCs was then prepared according to Table 1.</w:t>
      </w:r>
    </w:p>
    <w:p w:rsid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4A7642" w:rsidRPr="00B07460" w:rsidRDefault="004A7642"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4A7642" w:rsidP="00B07460">
      <w:pPr>
        <w:autoSpaceDE w:val="0"/>
        <w:autoSpaceDN w:val="0"/>
        <w:adjustRightInd w:val="0"/>
        <w:spacing w:after="0" w:line="240" w:lineRule="auto"/>
        <w:jc w:val="both"/>
        <w:rPr>
          <w:rFonts w:ascii="Times New Roman" w:hAnsi="Times New Roman"/>
          <w:noProof/>
          <w:sz w:val="20"/>
          <w:szCs w:val="20"/>
          <w:lang w:eastAsia="en-MY"/>
        </w:rPr>
      </w:pPr>
      <w:r w:rsidRPr="00B07460">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4910C56D" wp14:editId="2372AFE1">
            <wp:simplePos x="0" y="0"/>
            <wp:positionH relativeFrom="column">
              <wp:posOffset>396240</wp:posOffset>
            </wp:positionH>
            <wp:positionV relativeFrom="paragraph">
              <wp:posOffset>139065</wp:posOffset>
            </wp:positionV>
            <wp:extent cx="4958080" cy="34277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8080" cy="3427730"/>
                    </a:xfrm>
                    <a:prstGeom prst="rect">
                      <a:avLst/>
                    </a:prstGeom>
                    <a:noFill/>
                  </pic:spPr>
                </pic:pic>
              </a:graphicData>
            </a:graphic>
            <wp14:sizeRelH relativeFrom="page">
              <wp14:pctWidth>0</wp14:pctWidth>
            </wp14:sizeRelH>
            <wp14:sizeRelV relativeFrom="page">
              <wp14:pctHeight>0</wp14:pctHeight>
            </wp14:sizeRelV>
          </wp:anchor>
        </w:drawing>
      </w: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B07460" w:rsidRPr="00B07460" w:rsidRDefault="00B07460" w:rsidP="00B07460">
      <w:pPr>
        <w:autoSpaceDE w:val="0"/>
        <w:autoSpaceDN w:val="0"/>
        <w:adjustRightInd w:val="0"/>
        <w:spacing w:after="0" w:line="240" w:lineRule="auto"/>
        <w:jc w:val="both"/>
        <w:rPr>
          <w:rFonts w:ascii="Times New Roman" w:hAnsi="Times New Roman"/>
          <w:noProof/>
          <w:sz w:val="20"/>
          <w:szCs w:val="20"/>
          <w:lang w:eastAsia="en-MY"/>
        </w:rPr>
      </w:pPr>
    </w:p>
    <w:p w:rsidR="00250127" w:rsidRDefault="00250127" w:rsidP="00B07460">
      <w:pPr>
        <w:autoSpaceDE w:val="0"/>
        <w:autoSpaceDN w:val="0"/>
        <w:adjustRightInd w:val="0"/>
        <w:spacing w:after="0" w:line="240" w:lineRule="auto"/>
        <w:jc w:val="both"/>
        <w:rPr>
          <w:rFonts w:ascii="Times New Roman" w:hAnsi="Times New Roman"/>
          <w:noProof/>
          <w:sz w:val="20"/>
          <w:szCs w:val="20"/>
          <w:lang w:eastAsia="en-MY"/>
        </w:rPr>
      </w:pPr>
    </w:p>
    <w:p w:rsidR="00250127" w:rsidRDefault="00250127" w:rsidP="00250127">
      <w:pPr>
        <w:autoSpaceDE w:val="0"/>
        <w:autoSpaceDN w:val="0"/>
        <w:adjustRightInd w:val="0"/>
        <w:spacing w:after="0" w:line="240" w:lineRule="auto"/>
        <w:jc w:val="center"/>
        <w:rPr>
          <w:rFonts w:ascii="Times New Roman" w:hAnsi="Times New Roman"/>
          <w:noProof/>
          <w:sz w:val="20"/>
          <w:szCs w:val="20"/>
          <w:lang w:eastAsia="en-MY"/>
        </w:rPr>
      </w:pPr>
    </w:p>
    <w:p w:rsidR="00250127" w:rsidRDefault="00250127" w:rsidP="00250127">
      <w:pPr>
        <w:autoSpaceDE w:val="0"/>
        <w:autoSpaceDN w:val="0"/>
        <w:adjustRightInd w:val="0"/>
        <w:spacing w:after="0" w:line="240" w:lineRule="auto"/>
        <w:jc w:val="center"/>
        <w:rPr>
          <w:rFonts w:ascii="Times New Roman" w:hAnsi="Times New Roman"/>
          <w:noProof/>
          <w:sz w:val="20"/>
          <w:szCs w:val="20"/>
          <w:lang w:eastAsia="en-MY"/>
        </w:rPr>
      </w:pPr>
    </w:p>
    <w:p w:rsidR="004A7642" w:rsidRDefault="004A7642" w:rsidP="00250127">
      <w:pPr>
        <w:autoSpaceDE w:val="0"/>
        <w:autoSpaceDN w:val="0"/>
        <w:adjustRightInd w:val="0"/>
        <w:spacing w:after="0" w:line="240" w:lineRule="auto"/>
        <w:jc w:val="center"/>
        <w:rPr>
          <w:rFonts w:ascii="Times New Roman" w:hAnsi="Times New Roman"/>
          <w:noProof/>
          <w:sz w:val="20"/>
          <w:szCs w:val="20"/>
          <w:lang w:eastAsia="en-MY"/>
        </w:rPr>
      </w:pPr>
    </w:p>
    <w:p w:rsidR="004A7642" w:rsidRDefault="004A7642" w:rsidP="00250127">
      <w:pPr>
        <w:autoSpaceDE w:val="0"/>
        <w:autoSpaceDN w:val="0"/>
        <w:adjustRightInd w:val="0"/>
        <w:spacing w:after="0" w:line="240" w:lineRule="auto"/>
        <w:jc w:val="center"/>
        <w:rPr>
          <w:rFonts w:ascii="Times New Roman" w:hAnsi="Times New Roman"/>
          <w:noProof/>
          <w:sz w:val="20"/>
          <w:szCs w:val="20"/>
          <w:lang w:eastAsia="en-MY"/>
        </w:rPr>
      </w:pPr>
    </w:p>
    <w:p w:rsidR="00B07460" w:rsidRPr="00B07460" w:rsidRDefault="00B07460" w:rsidP="00250127">
      <w:pPr>
        <w:autoSpaceDE w:val="0"/>
        <w:autoSpaceDN w:val="0"/>
        <w:adjustRightInd w:val="0"/>
        <w:spacing w:after="0" w:line="240" w:lineRule="auto"/>
        <w:jc w:val="center"/>
        <w:rPr>
          <w:rFonts w:ascii="Times New Roman" w:hAnsi="Times New Roman"/>
          <w:sz w:val="20"/>
          <w:szCs w:val="20"/>
          <w:lang w:eastAsia="en-MY"/>
        </w:rPr>
      </w:pPr>
      <w:r w:rsidRPr="00B07460">
        <w:rPr>
          <w:rFonts w:ascii="Times New Roman" w:hAnsi="Times New Roman"/>
          <w:noProof/>
          <w:sz w:val="20"/>
          <w:szCs w:val="20"/>
          <w:lang w:eastAsia="en-MY"/>
        </w:rPr>
        <w:t xml:space="preserve">Figure 1. </w:t>
      </w:r>
      <w:r w:rsidR="00250127">
        <w:rPr>
          <w:rFonts w:ascii="Times New Roman" w:hAnsi="Times New Roman"/>
          <w:noProof/>
          <w:sz w:val="20"/>
          <w:szCs w:val="20"/>
          <w:lang w:eastAsia="en-MY"/>
        </w:rPr>
        <w:t xml:space="preserve"> </w:t>
      </w:r>
      <w:r w:rsidRPr="00B07460">
        <w:rPr>
          <w:rFonts w:ascii="Times New Roman" w:hAnsi="Times New Roman"/>
          <w:sz w:val="20"/>
          <w:szCs w:val="20"/>
          <w:lang w:eastAsia="en-MY"/>
        </w:rPr>
        <w:t>Sediment sampling stations (1, 2, 3 and 4) located in Kagoshima Bay</w:t>
      </w: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p>
    <w:p w:rsidR="004A7642" w:rsidRDefault="00B07460" w:rsidP="004A7642">
      <w:pPr>
        <w:autoSpaceDE w:val="0"/>
        <w:autoSpaceDN w:val="0"/>
        <w:adjustRightInd w:val="0"/>
        <w:spacing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 xml:space="preserve">Table 1. </w:t>
      </w:r>
      <w:r w:rsidR="004A7642">
        <w:rPr>
          <w:rFonts w:ascii="Times New Roman" w:eastAsia="TimesNewRoman" w:hAnsi="Times New Roman"/>
          <w:sz w:val="20"/>
          <w:szCs w:val="20"/>
        </w:rPr>
        <w:t xml:space="preserve"> </w:t>
      </w:r>
      <w:r w:rsidRPr="00B07460">
        <w:rPr>
          <w:rFonts w:ascii="Times New Roman" w:eastAsia="TimesNewRoman" w:hAnsi="Times New Roman"/>
          <w:sz w:val="20"/>
          <w:szCs w:val="20"/>
        </w:rPr>
        <w:t xml:space="preserve">Mean EDCs concentration, ng/g dry weight (d.w.) in control and spiked sediment, </w:t>
      </w:r>
    </w:p>
    <w:p w:rsidR="00B07460" w:rsidRPr="00B07460" w:rsidRDefault="00B07460" w:rsidP="004A7642">
      <w:pPr>
        <w:autoSpaceDE w:val="0"/>
        <w:autoSpaceDN w:val="0"/>
        <w:adjustRightInd w:val="0"/>
        <w:spacing w:after="12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n = 2</w:t>
      </w:r>
    </w:p>
    <w:tbl>
      <w:tblPr>
        <w:tblW w:w="414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96"/>
        <w:gridCol w:w="1226"/>
        <w:gridCol w:w="855"/>
        <w:gridCol w:w="1063"/>
      </w:tblGrid>
      <w:tr w:rsidR="00B07460" w:rsidRPr="00B07460" w:rsidTr="00321280">
        <w:trPr>
          <w:trHeight w:val="257"/>
          <w:jc w:val="center"/>
        </w:trPr>
        <w:tc>
          <w:tcPr>
            <w:tcW w:w="0" w:type="auto"/>
            <w:vMerge w:val="restart"/>
            <w:shd w:val="clear" w:color="auto" w:fill="auto"/>
          </w:tcPr>
          <w:p w:rsidR="00B07460" w:rsidRPr="00B07460" w:rsidRDefault="00B07460" w:rsidP="004A7642">
            <w:pPr>
              <w:autoSpaceDE w:val="0"/>
              <w:autoSpaceDN w:val="0"/>
              <w:adjustRightInd w:val="0"/>
              <w:spacing w:before="60" w:after="0" w:line="240" w:lineRule="auto"/>
              <w:rPr>
                <w:rFonts w:ascii="Times New Roman" w:eastAsia="TimesNewRoman" w:hAnsi="Times New Roman"/>
                <w:b/>
                <w:sz w:val="20"/>
                <w:szCs w:val="20"/>
              </w:rPr>
            </w:pPr>
            <w:r w:rsidRPr="00B07460">
              <w:rPr>
                <w:rFonts w:ascii="Times New Roman" w:eastAsia="TimesNewRoman" w:hAnsi="Times New Roman"/>
                <w:b/>
                <w:sz w:val="20"/>
                <w:szCs w:val="20"/>
              </w:rPr>
              <w:t xml:space="preserve">EDCs </w:t>
            </w:r>
          </w:p>
        </w:tc>
        <w:tc>
          <w:tcPr>
            <w:tcW w:w="0" w:type="auto"/>
            <w:gridSpan w:val="3"/>
            <w:tcBorders>
              <w:bottom w:val="single" w:sz="4" w:space="0" w:color="auto"/>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b/>
                <w:sz w:val="20"/>
                <w:szCs w:val="20"/>
              </w:rPr>
            </w:pPr>
            <w:r w:rsidRPr="00B07460">
              <w:rPr>
                <w:rFonts w:ascii="Times New Roman" w:eastAsia="TimesNewRoman" w:hAnsi="Times New Roman"/>
                <w:b/>
                <w:sz w:val="20"/>
                <w:szCs w:val="20"/>
              </w:rPr>
              <w:t>ng/g dry weight (d.w.)</w:t>
            </w:r>
          </w:p>
        </w:tc>
      </w:tr>
      <w:tr w:rsidR="00B07460" w:rsidRPr="00B07460" w:rsidTr="00321280">
        <w:trPr>
          <w:trHeight w:val="270"/>
          <w:jc w:val="center"/>
        </w:trPr>
        <w:tc>
          <w:tcPr>
            <w:tcW w:w="0" w:type="auto"/>
            <w:vMerge/>
            <w:tcBorders>
              <w:bottom w:val="single" w:sz="4" w:space="0" w:color="auto"/>
            </w:tcBorders>
            <w:shd w:val="clear" w:color="auto" w:fill="auto"/>
          </w:tcPr>
          <w:p w:rsidR="00B07460" w:rsidRPr="00B07460" w:rsidRDefault="00B07460" w:rsidP="004A7642">
            <w:pPr>
              <w:autoSpaceDE w:val="0"/>
              <w:autoSpaceDN w:val="0"/>
              <w:adjustRightInd w:val="0"/>
              <w:spacing w:after="0" w:line="240" w:lineRule="auto"/>
              <w:rPr>
                <w:rFonts w:ascii="Times New Roman" w:eastAsia="TimesNewRoman" w:hAnsi="Times New Roman"/>
                <w:b/>
                <w:sz w:val="20"/>
                <w:szCs w:val="20"/>
              </w:rPr>
            </w:pPr>
          </w:p>
        </w:tc>
        <w:tc>
          <w:tcPr>
            <w:tcW w:w="0" w:type="auto"/>
            <w:tcBorders>
              <w:bottom w:val="single" w:sz="4" w:space="0" w:color="auto"/>
            </w:tcBorders>
            <w:shd w:val="clear" w:color="auto" w:fill="auto"/>
          </w:tcPr>
          <w:p w:rsidR="00B07460" w:rsidRPr="00B07460" w:rsidRDefault="00B07460" w:rsidP="004A7642">
            <w:pPr>
              <w:autoSpaceDE w:val="0"/>
              <w:autoSpaceDN w:val="0"/>
              <w:adjustRightInd w:val="0"/>
              <w:spacing w:after="0" w:line="240" w:lineRule="auto"/>
              <w:jc w:val="center"/>
              <w:rPr>
                <w:rFonts w:ascii="Times New Roman" w:eastAsia="TimesNewRoman" w:hAnsi="Times New Roman"/>
                <w:b/>
                <w:sz w:val="20"/>
                <w:szCs w:val="20"/>
              </w:rPr>
            </w:pPr>
            <w:r w:rsidRPr="00B07460">
              <w:rPr>
                <w:rFonts w:ascii="Times New Roman" w:eastAsia="TimesNewRoman" w:hAnsi="Times New Roman"/>
                <w:b/>
                <w:sz w:val="20"/>
                <w:szCs w:val="20"/>
              </w:rPr>
              <w:t>Control</w:t>
            </w:r>
          </w:p>
        </w:tc>
        <w:tc>
          <w:tcPr>
            <w:tcW w:w="0" w:type="auto"/>
            <w:tcBorders>
              <w:bottom w:val="single" w:sz="4" w:space="0" w:color="auto"/>
            </w:tcBorders>
            <w:shd w:val="clear" w:color="auto" w:fill="auto"/>
          </w:tcPr>
          <w:p w:rsidR="00B07460" w:rsidRPr="00B07460" w:rsidRDefault="00B07460" w:rsidP="004A7642">
            <w:pPr>
              <w:autoSpaceDE w:val="0"/>
              <w:autoSpaceDN w:val="0"/>
              <w:adjustRightInd w:val="0"/>
              <w:spacing w:after="0" w:line="240" w:lineRule="auto"/>
              <w:jc w:val="center"/>
              <w:rPr>
                <w:rFonts w:ascii="Times New Roman" w:eastAsia="TimesNewRoman" w:hAnsi="Times New Roman"/>
                <w:b/>
                <w:sz w:val="20"/>
                <w:szCs w:val="20"/>
              </w:rPr>
            </w:pPr>
            <w:r w:rsidRPr="00B07460">
              <w:rPr>
                <w:rFonts w:ascii="Times New Roman" w:eastAsia="TimesNewRoman" w:hAnsi="Times New Roman"/>
                <w:b/>
                <w:sz w:val="20"/>
                <w:szCs w:val="20"/>
              </w:rPr>
              <w:t>Low</w:t>
            </w:r>
          </w:p>
        </w:tc>
        <w:tc>
          <w:tcPr>
            <w:tcW w:w="0" w:type="auto"/>
            <w:tcBorders>
              <w:bottom w:val="single" w:sz="4" w:space="0" w:color="auto"/>
            </w:tcBorders>
            <w:shd w:val="clear" w:color="auto" w:fill="auto"/>
          </w:tcPr>
          <w:p w:rsidR="00B07460" w:rsidRPr="00B07460" w:rsidRDefault="00B07460" w:rsidP="004A7642">
            <w:pPr>
              <w:autoSpaceDE w:val="0"/>
              <w:autoSpaceDN w:val="0"/>
              <w:adjustRightInd w:val="0"/>
              <w:spacing w:after="0" w:line="240" w:lineRule="auto"/>
              <w:jc w:val="center"/>
              <w:rPr>
                <w:rFonts w:ascii="Times New Roman" w:eastAsia="TimesNewRoman" w:hAnsi="Times New Roman"/>
                <w:b/>
                <w:sz w:val="20"/>
                <w:szCs w:val="20"/>
              </w:rPr>
            </w:pPr>
            <w:r w:rsidRPr="00B07460">
              <w:rPr>
                <w:rFonts w:ascii="Times New Roman" w:eastAsia="TimesNewRoman" w:hAnsi="Times New Roman"/>
                <w:b/>
                <w:sz w:val="20"/>
                <w:szCs w:val="20"/>
              </w:rPr>
              <w:t>High</w:t>
            </w:r>
          </w:p>
        </w:tc>
      </w:tr>
      <w:tr w:rsidR="00B07460" w:rsidRPr="00B07460" w:rsidTr="00321280">
        <w:trPr>
          <w:trHeight w:val="257"/>
          <w:jc w:val="center"/>
        </w:trPr>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rPr>
                <w:rFonts w:ascii="Times New Roman" w:eastAsia="TimesNewRoman" w:hAnsi="Times New Roman"/>
                <w:sz w:val="20"/>
                <w:szCs w:val="20"/>
              </w:rPr>
            </w:pPr>
            <w:r w:rsidRPr="00B07460">
              <w:rPr>
                <w:rFonts w:ascii="Times New Roman" w:eastAsia="TimesNewRoman" w:hAnsi="Times New Roman"/>
                <w:sz w:val="20"/>
                <w:szCs w:val="20"/>
              </w:rPr>
              <w:t xml:space="preserve">NP </w:t>
            </w:r>
          </w:p>
        </w:tc>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5.09</w:t>
            </w:r>
          </w:p>
        </w:tc>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2750</w:t>
            </w:r>
          </w:p>
        </w:tc>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30,400</w:t>
            </w:r>
          </w:p>
        </w:tc>
      </w:tr>
      <w:tr w:rsidR="00B07460" w:rsidRPr="00B07460" w:rsidTr="00321280">
        <w:trPr>
          <w:trHeight w:val="257"/>
          <w:jc w:val="center"/>
        </w:trPr>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rPr>
                <w:rFonts w:ascii="Times New Roman" w:eastAsia="TimesNewRoman" w:hAnsi="Times New Roman"/>
                <w:sz w:val="20"/>
                <w:szCs w:val="20"/>
              </w:rPr>
            </w:pPr>
            <w:r w:rsidRPr="00B07460">
              <w:rPr>
                <w:rFonts w:ascii="Times New Roman" w:eastAsia="TimesNewRoman" w:hAnsi="Times New Roman"/>
                <w:sz w:val="20"/>
                <w:szCs w:val="20"/>
              </w:rPr>
              <w:t xml:space="preserve">OP </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0.63</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169</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1,210</w:t>
            </w:r>
          </w:p>
        </w:tc>
      </w:tr>
      <w:tr w:rsidR="00B07460" w:rsidRPr="00B07460" w:rsidTr="00321280">
        <w:trPr>
          <w:trHeight w:val="257"/>
          <w:jc w:val="center"/>
        </w:trPr>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rPr>
                <w:rFonts w:ascii="Times New Roman" w:eastAsia="TimesNewRoman" w:hAnsi="Times New Roman"/>
                <w:sz w:val="20"/>
                <w:szCs w:val="20"/>
              </w:rPr>
            </w:pPr>
            <w:r w:rsidRPr="00B07460">
              <w:rPr>
                <w:rFonts w:ascii="Times New Roman" w:eastAsia="TimesNewRoman" w:hAnsi="Times New Roman"/>
                <w:sz w:val="20"/>
                <w:szCs w:val="20"/>
              </w:rPr>
              <w:t xml:space="preserve">E1 </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2.36</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1.90</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10.8</w:t>
            </w:r>
          </w:p>
        </w:tc>
      </w:tr>
      <w:tr w:rsidR="00B07460" w:rsidRPr="00B07460" w:rsidTr="00321280">
        <w:trPr>
          <w:trHeight w:val="257"/>
          <w:jc w:val="center"/>
        </w:trPr>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rPr>
                <w:rFonts w:ascii="Times New Roman" w:eastAsia="TimesNewRoman" w:hAnsi="Times New Roman"/>
                <w:sz w:val="20"/>
                <w:szCs w:val="20"/>
              </w:rPr>
            </w:pPr>
            <w:r w:rsidRPr="00B07460">
              <w:rPr>
                <w:rFonts w:ascii="Times New Roman" w:eastAsia="TimesNewRoman" w:hAnsi="Times New Roman"/>
                <w:sz w:val="20"/>
                <w:szCs w:val="20"/>
              </w:rPr>
              <w:t xml:space="preserve">E2 </w:t>
            </w:r>
          </w:p>
        </w:tc>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n.d</w:t>
            </w:r>
          </w:p>
        </w:tc>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0.83</w:t>
            </w:r>
          </w:p>
        </w:tc>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6.70</w:t>
            </w:r>
          </w:p>
        </w:tc>
      </w:tr>
    </w:tbl>
    <w:p w:rsidR="00B07460" w:rsidRPr="004A7642" w:rsidRDefault="00B07460" w:rsidP="004A7642">
      <w:pPr>
        <w:autoSpaceDE w:val="0"/>
        <w:autoSpaceDN w:val="0"/>
        <w:adjustRightInd w:val="0"/>
        <w:spacing w:before="60" w:after="0" w:line="240" w:lineRule="auto"/>
        <w:jc w:val="both"/>
        <w:rPr>
          <w:rFonts w:ascii="Times New Roman" w:eastAsia="TimesNewRoman" w:hAnsi="Times New Roman"/>
          <w:sz w:val="18"/>
          <w:szCs w:val="18"/>
        </w:rPr>
      </w:pPr>
      <w:r w:rsidRPr="004A7642">
        <w:rPr>
          <w:rFonts w:ascii="Times New Roman" w:eastAsia="TimesNewRoman" w:hAnsi="Times New Roman"/>
          <w:sz w:val="18"/>
          <w:szCs w:val="18"/>
        </w:rPr>
        <w:t xml:space="preserve">                                                     </w:t>
      </w:r>
      <w:r w:rsidR="004A7642">
        <w:rPr>
          <w:rFonts w:ascii="Times New Roman" w:eastAsia="TimesNewRoman" w:hAnsi="Times New Roman"/>
          <w:sz w:val="18"/>
          <w:szCs w:val="18"/>
        </w:rPr>
        <w:t xml:space="preserve">   </w:t>
      </w:r>
      <w:r w:rsidRPr="004A7642">
        <w:rPr>
          <w:rFonts w:ascii="Times New Roman" w:eastAsia="TimesNewRoman" w:hAnsi="Times New Roman"/>
          <w:sz w:val="18"/>
          <w:szCs w:val="18"/>
        </w:rPr>
        <w:t xml:space="preserve"> n.d – Not detected</w:t>
      </w:r>
    </w:p>
    <w:p w:rsidR="00B07460" w:rsidRDefault="00B07460" w:rsidP="00B07460">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t xml:space="preserve"> </w:t>
      </w:r>
    </w:p>
    <w:p w:rsidR="004A7642" w:rsidRPr="00B07460" w:rsidRDefault="004A7642" w:rsidP="00B07460">
      <w:pPr>
        <w:autoSpaceDE w:val="0"/>
        <w:autoSpaceDN w:val="0"/>
        <w:adjustRightInd w:val="0"/>
        <w:spacing w:after="0" w:line="240" w:lineRule="auto"/>
        <w:jc w:val="both"/>
        <w:rPr>
          <w:rFonts w:ascii="Times New Roman" w:hAnsi="Times New Roman"/>
          <w:b/>
          <w:bCs/>
          <w:sz w:val="20"/>
          <w:szCs w:val="20"/>
        </w:rPr>
      </w:pP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t>Exposure scheme</w:t>
      </w:r>
    </w:p>
    <w:p w:rsidR="00B07460" w:rsidRPr="004A7642" w:rsidRDefault="00B07460" w:rsidP="004A7642">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 xml:space="preserve">Before introducing </w:t>
      </w:r>
      <w:r w:rsidRPr="00B07460">
        <w:rPr>
          <w:rFonts w:ascii="Times New Roman" w:hAnsi="Times New Roman"/>
          <w:i/>
          <w:iCs/>
          <w:sz w:val="20"/>
          <w:szCs w:val="20"/>
        </w:rPr>
        <w:t>P. yokohamae</w:t>
      </w:r>
      <w:r w:rsidRPr="00B07460">
        <w:rPr>
          <w:rFonts w:ascii="Times New Roman" w:eastAsia="TimesNewRoman" w:hAnsi="Times New Roman"/>
          <w:sz w:val="20"/>
          <w:szCs w:val="20"/>
        </w:rPr>
        <w:t xml:space="preserve">, the sediment in each aquarium (60 x 30 x 40 cm) was flooded and inundated with 60 L of seawater for a week. This condition was maintained in a water-flow-through system. After one week, fifteen of </w:t>
      </w:r>
      <w:r w:rsidRPr="00B07460">
        <w:rPr>
          <w:rFonts w:ascii="Times New Roman" w:hAnsi="Times New Roman"/>
          <w:i/>
          <w:iCs/>
          <w:sz w:val="20"/>
          <w:szCs w:val="20"/>
        </w:rPr>
        <w:t xml:space="preserve">P. yokohamae </w:t>
      </w:r>
      <w:r w:rsidRPr="00B07460">
        <w:rPr>
          <w:rFonts w:ascii="Times New Roman" w:eastAsia="TimesNewRoman" w:hAnsi="Times New Roman"/>
          <w:sz w:val="20"/>
          <w:szCs w:val="20"/>
        </w:rPr>
        <w:t xml:space="preserve">were introduced into each aquarium including the control group. They were fed ad libitum with commercial fish diet twice daily for 14 days of the experimental duration. Sampling of </w:t>
      </w:r>
      <w:r w:rsidRPr="00B07460">
        <w:rPr>
          <w:rFonts w:ascii="Times New Roman" w:hAnsi="Times New Roman"/>
          <w:i/>
          <w:iCs/>
          <w:sz w:val="20"/>
          <w:szCs w:val="20"/>
        </w:rPr>
        <w:t xml:space="preserve">P. yokohamae </w:t>
      </w:r>
      <w:r w:rsidRPr="00B07460">
        <w:rPr>
          <w:rFonts w:ascii="Times New Roman" w:eastAsia="TimesNewRoman" w:hAnsi="Times New Roman"/>
          <w:sz w:val="20"/>
          <w:szCs w:val="20"/>
        </w:rPr>
        <w:t xml:space="preserve">were done on days 0, 3, 7 and 14 while water sampling was done on days 4, 8, 10 and 13. At the end of exposure, sediment and pore-water samples were gathered. The body weight of individual </w:t>
      </w:r>
      <w:r w:rsidRPr="00B07460">
        <w:rPr>
          <w:rFonts w:ascii="Times New Roman" w:hAnsi="Times New Roman"/>
          <w:i/>
          <w:iCs/>
          <w:sz w:val="20"/>
          <w:szCs w:val="20"/>
        </w:rPr>
        <w:t xml:space="preserve">P. yokohamae </w:t>
      </w:r>
      <w:r w:rsidRPr="00B07460">
        <w:rPr>
          <w:rFonts w:ascii="Times New Roman" w:eastAsia="TimesNewRoman" w:hAnsi="Times New Roman"/>
          <w:sz w:val="20"/>
          <w:szCs w:val="20"/>
        </w:rPr>
        <w:t xml:space="preserve">at the initial of exposure ranged from 7.30 g and 8.70 g. During sampling, </w:t>
      </w:r>
      <w:r w:rsidRPr="00B07460">
        <w:rPr>
          <w:rFonts w:ascii="Times New Roman" w:hAnsi="Times New Roman"/>
          <w:i/>
          <w:iCs/>
          <w:sz w:val="20"/>
          <w:szCs w:val="20"/>
        </w:rPr>
        <w:t xml:space="preserve">P. yokohamae </w:t>
      </w:r>
      <w:r w:rsidRPr="00B07460">
        <w:rPr>
          <w:rFonts w:ascii="Times New Roman" w:eastAsia="TimesNewRoman" w:hAnsi="Times New Roman"/>
          <w:sz w:val="20"/>
          <w:szCs w:val="20"/>
        </w:rPr>
        <w:t>were anaesthetized using 0.05% 2-phenoxyethanol. The body length and weight were recorded prior to stora</w:t>
      </w:r>
      <w:r w:rsidR="00DE2410">
        <w:rPr>
          <w:rFonts w:ascii="Times New Roman" w:eastAsia="TimesNewRoman" w:hAnsi="Times New Roman"/>
          <w:sz w:val="20"/>
          <w:szCs w:val="20"/>
        </w:rPr>
        <w:t xml:space="preserve">ge of the samples in freezer </w:t>
      </w:r>
      <w:r w:rsidRPr="00B07460">
        <w:rPr>
          <w:rFonts w:ascii="Times New Roman" w:eastAsia="TimesNewRoman" w:hAnsi="Times New Roman"/>
          <w:sz w:val="20"/>
          <w:szCs w:val="20"/>
        </w:rPr>
        <w:t>(-18 °C) until analysis stage. Water parameters such as temperature, dissolved oxygen, pH and salinity were measured periodically using the YSI multiprobe meter.</w:t>
      </w:r>
      <w:r w:rsidRPr="00B07460">
        <w:rPr>
          <w:rFonts w:ascii="Times New Roman" w:hAnsi="Times New Roman"/>
          <w:b/>
          <w:bCs/>
          <w:sz w:val="20"/>
          <w:szCs w:val="20"/>
        </w:rPr>
        <w:tab/>
      </w: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lastRenderedPageBreak/>
        <w:t>Pre-treatment of samples</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After thawing, each benthic fish was weighed into a glass bottle to record the wet weight. The fishes were then freeze dried at -48 °C and 7.8 Pa for 7 days, and immediately after that, the dry weights of fishes were recorded. Sediment samples were treated the same way as benthic fishes. Wet and dry weights of sediments were recorded before and after freeze drying process. Water and pore water samples were analysed on the day of collection.</w:t>
      </w: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t>EDCs analysis</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 xml:space="preserve">EDCs were analysed according to the published procedures in Nurulnadia [16]. After addition of external standard of </w:t>
      </w:r>
      <w:r w:rsidRPr="00B07460">
        <w:rPr>
          <w:rFonts w:ascii="Times New Roman" w:hAnsi="Times New Roman"/>
          <w:i/>
          <w:iCs/>
          <w:sz w:val="20"/>
          <w:szCs w:val="20"/>
        </w:rPr>
        <w:t>p</w:t>
      </w:r>
      <w:r w:rsidRPr="00B07460">
        <w:rPr>
          <w:rFonts w:ascii="Times New Roman" w:eastAsia="TimesNewRoman" w:hAnsi="Times New Roman"/>
          <w:sz w:val="20"/>
          <w:szCs w:val="20"/>
        </w:rPr>
        <w:t>-n-NP-d4, target chemicals in the freeze-dried benthic fish (weights of homogenate sample ranged from 0.78 to 3.05 g) were ultrasonically extracted twice with 20 mL of methanol for 15 minutes. After centrifugation (4 °C, 760 x g, 10 minutes), the organic layer was collected and transferred into a separating funnel. Later, 3 mL Milli-Q water and 3 mL hexane were added. As lipid interfere with the measurement, they were removed from methanol using 20 mL hexane with 5 minutes shaking. This step was repeated three times. After shaking, hexane layer was discarded, while methanol (denser than hexane) was collected and combined. Methanol was put into the separating funnel again and mixed with 50 mL of 5% sodium chloride (NaCl) and 0.2 mL concentrated hydrochloric acid. The mixture of solvents was extracted twice using 20 mL dichloromethane and 10 min shaking and concentrated to 0.5 mL using a rotary evaporator and gentle stream of nitrogen (N</w:t>
      </w:r>
      <w:r w:rsidRPr="00B07460">
        <w:rPr>
          <w:rFonts w:ascii="Times New Roman" w:eastAsia="TimesNewRoman" w:hAnsi="Times New Roman"/>
          <w:sz w:val="20"/>
          <w:szCs w:val="20"/>
          <w:vertAlign w:val="subscript"/>
        </w:rPr>
        <w:t>2</w:t>
      </w:r>
      <w:r w:rsidRPr="00B07460">
        <w:rPr>
          <w:rFonts w:ascii="Times New Roman" w:eastAsia="TimesNewRoman" w:hAnsi="Times New Roman"/>
          <w:sz w:val="20"/>
          <w:szCs w:val="20"/>
        </w:rPr>
        <w:t>). The concentrated extract was then replaced with 3 mL hexane and concentrated again to 0.5 mL using N</w:t>
      </w:r>
      <w:r w:rsidRPr="00B07460">
        <w:rPr>
          <w:rFonts w:ascii="Times New Roman" w:eastAsia="TimesNewRoman" w:hAnsi="Times New Roman"/>
          <w:sz w:val="20"/>
          <w:szCs w:val="20"/>
          <w:vertAlign w:val="subscript"/>
        </w:rPr>
        <w:t>2</w:t>
      </w:r>
      <w:r w:rsidRPr="00B07460">
        <w:rPr>
          <w:rFonts w:ascii="Times New Roman" w:eastAsia="TimesNewRoman" w:hAnsi="Times New Roman"/>
          <w:sz w:val="20"/>
          <w:szCs w:val="20"/>
        </w:rPr>
        <w:t>. This step was repeated three times. Cleaning up process was performed in a 5 mL glass pipette (6 mm i.d. x 17 cm) filled with florisil (containing 3% water) and prewashed with 30 mL hexane. The target chemicals were then eluted with 50 mL hexane-isopropyl alcohol (9:1, v/v). The eluate was later concentrated to dryness using a rotary evaporator and gentle stream of N</w:t>
      </w:r>
      <w:r w:rsidRPr="00B07460">
        <w:rPr>
          <w:rFonts w:ascii="Times New Roman" w:eastAsia="TimesNewRoman" w:hAnsi="Times New Roman"/>
          <w:sz w:val="20"/>
          <w:szCs w:val="20"/>
          <w:vertAlign w:val="subscript"/>
        </w:rPr>
        <w:t>2</w:t>
      </w:r>
      <w:r w:rsidRPr="00B07460">
        <w:rPr>
          <w:rFonts w:ascii="Times New Roman" w:eastAsia="TimesNewRoman" w:hAnsi="Times New Roman"/>
          <w:sz w:val="20"/>
          <w:szCs w:val="20"/>
        </w:rPr>
        <w:t>. Finally, internal standard (E2-16,16,17- d3) and acetonitrile were added to achieve the final volume of 0.2 mL before liquid chromatography-tandem mass spectrometry (LC-MS/MS) measurement.</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Similar procedures were applied for sediment, water and diet samples.</w:t>
      </w: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t>Measurement using LC-MS/MS-ESI</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LC–MS/MS analysis was carried out using Agilent 1200 LC system (Agilent Technologies, USA) coupled to an API-2000 triple stage quadruple mass spectrometer (Applied Biosystems, USA). The ESI was employed in negative mode. The optimized parameters were set as follows: curtain gas (40 psi), turbo gas (80 psi) and auxiliary gases (80 psi) using nitrogen, CAD gas, 5 psi; ion spray voltage, -4,500 V; and turbo temperature, 400°C. MS/MS measurements were performed in multiple reactions monitoring mode and target chemicals were four EDC compounds as shown in Table 2. The EDCs were analysed by gradient liquid chromatography using a reverse-phase Extend C-18 column (2.1 mm i.d. 9100 mm, 3.5 μm of particle size, Agilent) kept at 40 °C. The mobile phase consisted of solvents A (100% acetonitrile) and B (water containing 0.1% triethylamine, (v/v)).</w:t>
      </w: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p>
    <w:p w:rsidR="00B07460" w:rsidRP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Quality assurance test was performed using fish diet spiked with 100 ng/g of each EDC standards and internal standard (E2-16,16,17-d3). The EDCs standard extraction and measurement were done as above procedures. Mean percent recovery, as determined from an estimate of the amount of added and recovered, were between 70.0 % and 102.3 %. Analysis were conducted in triplicate (n = 3) with error of all analysis were within ±20 %.</w:t>
      </w:r>
    </w:p>
    <w:p w:rsidR="00613E08" w:rsidRPr="00B07460" w:rsidRDefault="00613E08" w:rsidP="00613E08">
      <w:pPr>
        <w:autoSpaceDE w:val="0"/>
        <w:autoSpaceDN w:val="0"/>
        <w:adjustRightInd w:val="0"/>
        <w:spacing w:after="120" w:line="240" w:lineRule="auto"/>
        <w:jc w:val="both"/>
        <w:rPr>
          <w:rFonts w:ascii="Times New Roman" w:eastAsia="TimesNewRoman" w:hAnsi="Times New Roman"/>
          <w:sz w:val="20"/>
          <w:szCs w:val="20"/>
        </w:rPr>
      </w:pPr>
    </w:p>
    <w:p w:rsidR="00B07460" w:rsidRPr="00B07460" w:rsidRDefault="00B07460" w:rsidP="004A7642">
      <w:pPr>
        <w:autoSpaceDE w:val="0"/>
        <w:autoSpaceDN w:val="0"/>
        <w:adjustRightInd w:val="0"/>
        <w:spacing w:after="120" w:line="240" w:lineRule="auto"/>
        <w:jc w:val="center"/>
        <w:rPr>
          <w:rFonts w:ascii="Times New Roman" w:eastAsia="TimesNewRoman" w:hAnsi="Times New Roman"/>
          <w:sz w:val="20"/>
          <w:szCs w:val="20"/>
        </w:rPr>
      </w:pPr>
      <w:r w:rsidRPr="00B07460">
        <w:rPr>
          <w:rFonts w:ascii="Times New Roman" w:eastAsia="TimesNewRoman" w:hAnsi="Times New Roman"/>
          <w:sz w:val="20"/>
          <w:szCs w:val="20"/>
        </w:rPr>
        <w:t xml:space="preserve">Table 2. </w:t>
      </w:r>
      <w:r w:rsidR="004A7642">
        <w:rPr>
          <w:rFonts w:ascii="Times New Roman" w:eastAsia="TimesNewRoman" w:hAnsi="Times New Roman"/>
          <w:sz w:val="20"/>
          <w:szCs w:val="20"/>
        </w:rPr>
        <w:t xml:space="preserve"> </w:t>
      </w:r>
      <w:r w:rsidRPr="00B07460">
        <w:rPr>
          <w:rFonts w:ascii="Times New Roman" w:eastAsia="TimesNewRoman" w:hAnsi="Times New Roman"/>
          <w:sz w:val="20"/>
          <w:szCs w:val="20"/>
        </w:rPr>
        <w:t>Precursor and daughter ions of EDCs and limit of detection by LC-MS/MS-ESI</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17"/>
        <w:gridCol w:w="1538"/>
        <w:gridCol w:w="1494"/>
        <w:gridCol w:w="1130"/>
        <w:gridCol w:w="1192"/>
      </w:tblGrid>
      <w:tr w:rsidR="00B07460" w:rsidRPr="00B07460" w:rsidTr="00321280">
        <w:trPr>
          <w:jc w:val="center"/>
        </w:trPr>
        <w:tc>
          <w:tcPr>
            <w:tcW w:w="0" w:type="auto"/>
            <w:vMerge w:val="restart"/>
            <w:shd w:val="clear" w:color="auto" w:fill="auto"/>
          </w:tcPr>
          <w:p w:rsidR="00B07460" w:rsidRPr="00B07460" w:rsidRDefault="00B07460" w:rsidP="004A7642">
            <w:pPr>
              <w:autoSpaceDE w:val="0"/>
              <w:autoSpaceDN w:val="0"/>
              <w:adjustRightInd w:val="0"/>
              <w:spacing w:after="0" w:line="240" w:lineRule="auto"/>
              <w:rPr>
                <w:rFonts w:ascii="Times New Roman" w:eastAsia="TimesNewRoman" w:hAnsi="Times New Roman"/>
                <w:b/>
                <w:bCs/>
                <w:sz w:val="20"/>
                <w:szCs w:val="20"/>
              </w:rPr>
            </w:pPr>
            <w:r w:rsidRPr="00B07460">
              <w:rPr>
                <w:rFonts w:ascii="Times New Roman" w:eastAsia="TimesNewRoman" w:hAnsi="Times New Roman"/>
                <w:b/>
                <w:bCs/>
                <w:sz w:val="20"/>
                <w:szCs w:val="20"/>
              </w:rPr>
              <w:t>EDCs</w:t>
            </w:r>
          </w:p>
        </w:tc>
        <w:tc>
          <w:tcPr>
            <w:tcW w:w="0" w:type="auto"/>
            <w:vMerge w:val="restart"/>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lang w:val="es-ES"/>
              </w:rPr>
            </w:pPr>
            <w:r w:rsidRPr="00B07460">
              <w:rPr>
                <w:rFonts w:ascii="Times New Roman" w:eastAsia="TimesNewRoman" w:hAnsi="Times New Roman"/>
                <w:b/>
                <w:bCs/>
                <w:sz w:val="20"/>
                <w:szCs w:val="20"/>
                <w:lang w:val="es-ES"/>
              </w:rPr>
              <w:t>Precursor Ions,</w:t>
            </w:r>
          </w:p>
          <w:p w:rsidR="00B07460" w:rsidRPr="00B07460" w:rsidRDefault="00B07460" w:rsidP="004A7642">
            <w:pPr>
              <w:autoSpaceDE w:val="0"/>
              <w:autoSpaceDN w:val="0"/>
              <w:adjustRightInd w:val="0"/>
              <w:spacing w:after="0" w:line="240" w:lineRule="auto"/>
              <w:jc w:val="center"/>
              <w:rPr>
                <w:rFonts w:ascii="Times New Roman" w:hAnsi="Times New Roman"/>
                <w:b/>
                <w:bCs/>
                <w:sz w:val="20"/>
                <w:szCs w:val="20"/>
                <w:lang w:val="es-ES"/>
              </w:rPr>
            </w:pPr>
            <w:r w:rsidRPr="00B07460">
              <w:rPr>
                <w:rFonts w:ascii="Times New Roman" w:eastAsia="TimesNewRoman" w:hAnsi="Times New Roman"/>
                <w:b/>
                <w:bCs/>
                <w:sz w:val="20"/>
                <w:szCs w:val="20"/>
                <w:lang w:val="es-ES"/>
              </w:rPr>
              <w:t>m/z (amu)</w:t>
            </w:r>
          </w:p>
        </w:tc>
        <w:tc>
          <w:tcPr>
            <w:tcW w:w="0" w:type="auto"/>
            <w:vMerge w:val="restart"/>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b/>
                <w:bCs/>
                <w:sz w:val="20"/>
                <w:szCs w:val="20"/>
              </w:rPr>
              <w:t>Daughter Ions,</w:t>
            </w:r>
          </w:p>
          <w:p w:rsidR="00B07460" w:rsidRPr="00B07460" w:rsidRDefault="00B07460" w:rsidP="004A7642">
            <w:pPr>
              <w:autoSpaceDE w:val="0"/>
              <w:autoSpaceDN w:val="0"/>
              <w:adjustRightInd w:val="0"/>
              <w:spacing w:after="0" w:line="240" w:lineRule="auto"/>
              <w:jc w:val="center"/>
              <w:rPr>
                <w:rFonts w:ascii="Times New Roman" w:hAnsi="Times New Roman"/>
                <w:b/>
                <w:bCs/>
                <w:sz w:val="20"/>
                <w:szCs w:val="20"/>
              </w:rPr>
            </w:pPr>
            <w:r w:rsidRPr="00B07460">
              <w:rPr>
                <w:rFonts w:ascii="Times New Roman" w:eastAsia="TimesNewRoman" w:hAnsi="Times New Roman"/>
                <w:b/>
                <w:bCs/>
                <w:sz w:val="20"/>
                <w:szCs w:val="20"/>
              </w:rPr>
              <w:t>m/z (amu)</w:t>
            </w:r>
          </w:p>
        </w:tc>
        <w:tc>
          <w:tcPr>
            <w:tcW w:w="0" w:type="auto"/>
            <w:gridSpan w:val="2"/>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b/>
                <w:bCs/>
                <w:sz w:val="20"/>
                <w:szCs w:val="20"/>
              </w:rPr>
              <w:t>Limit of Detection (ng/g)</w:t>
            </w:r>
          </w:p>
        </w:tc>
      </w:tr>
      <w:tr w:rsidR="00B07460" w:rsidRPr="00B07460" w:rsidTr="00321280">
        <w:trPr>
          <w:jc w:val="center"/>
        </w:trPr>
        <w:tc>
          <w:tcPr>
            <w:tcW w:w="0" w:type="auto"/>
            <w:vMerge/>
            <w:tcBorders>
              <w:bottom w:val="single" w:sz="4" w:space="0" w:color="auto"/>
            </w:tcBorders>
            <w:shd w:val="clear" w:color="auto" w:fill="auto"/>
          </w:tcPr>
          <w:p w:rsidR="00B07460" w:rsidRPr="00B07460" w:rsidRDefault="00B07460" w:rsidP="004A7642">
            <w:pPr>
              <w:autoSpaceDE w:val="0"/>
              <w:autoSpaceDN w:val="0"/>
              <w:adjustRightInd w:val="0"/>
              <w:spacing w:after="0" w:line="240" w:lineRule="auto"/>
              <w:rPr>
                <w:rFonts w:ascii="Times New Roman" w:hAnsi="Times New Roman"/>
                <w:b/>
                <w:bCs/>
                <w:sz w:val="20"/>
                <w:szCs w:val="20"/>
              </w:rPr>
            </w:pPr>
          </w:p>
        </w:tc>
        <w:tc>
          <w:tcPr>
            <w:tcW w:w="0" w:type="auto"/>
            <w:vMerge/>
            <w:tcBorders>
              <w:bottom w:val="single" w:sz="4" w:space="0" w:color="auto"/>
            </w:tcBorders>
            <w:shd w:val="clear" w:color="auto" w:fill="auto"/>
          </w:tcPr>
          <w:p w:rsidR="00B07460" w:rsidRPr="00B07460" w:rsidRDefault="00B07460" w:rsidP="004A7642">
            <w:pPr>
              <w:autoSpaceDE w:val="0"/>
              <w:autoSpaceDN w:val="0"/>
              <w:adjustRightInd w:val="0"/>
              <w:spacing w:after="0" w:line="240" w:lineRule="auto"/>
              <w:jc w:val="center"/>
              <w:rPr>
                <w:rFonts w:ascii="Times New Roman" w:hAnsi="Times New Roman"/>
                <w:b/>
                <w:bCs/>
                <w:sz w:val="20"/>
                <w:szCs w:val="20"/>
              </w:rPr>
            </w:pPr>
          </w:p>
        </w:tc>
        <w:tc>
          <w:tcPr>
            <w:tcW w:w="0" w:type="auto"/>
            <w:vMerge/>
            <w:tcBorders>
              <w:bottom w:val="single" w:sz="4" w:space="0" w:color="auto"/>
            </w:tcBorders>
            <w:shd w:val="clear" w:color="auto" w:fill="auto"/>
          </w:tcPr>
          <w:p w:rsidR="00B07460" w:rsidRPr="00B07460" w:rsidRDefault="00B07460" w:rsidP="004A7642">
            <w:pPr>
              <w:autoSpaceDE w:val="0"/>
              <w:autoSpaceDN w:val="0"/>
              <w:adjustRightInd w:val="0"/>
              <w:spacing w:after="0" w:line="240" w:lineRule="auto"/>
              <w:jc w:val="center"/>
              <w:rPr>
                <w:rFonts w:ascii="Times New Roman" w:hAnsi="Times New Roman"/>
                <w:b/>
                <w:bCs/>
                <w:sz w:val="20"/>
                <w:szCs w:val="20"/>
              </w:rPr>
            </w:pPr>
          </w:p>
        </w:tc>
        <w:tc>
          <w:tcPr>
            <w:tcW w:w="0" w:type="auto"/>
            <w:tcBorders>
              <w:bottom w:val="single" w:sz="4" w:space="0" w:color="auto"/>
            </w:tcBorders>
            <w:shd w:val="clear" w:color="auto" w:fill="auto"/>
          </w:tcPr>
          <w:p w:rsidR="004A7642" w:rsidRDefault="00B07460" w:rsidP="004A7642">
            <w:pPr>
              <w:autoSpaceDE w:val="0"/>
              <w:autoSpaceDN w:val="0"/>
              <w:adjustRightInd w:val="0"/>
              <w:spacing w:after="0" w:line="240" w:lineRule="auto"/>
              <w:jc w:val="center"/>
              <w:rPr>
                <w:rFonts w:ascii="Times New Roman" w:eastAsia="TimesNewRoman" w:hAnsi="Times New Roman"/>
                <w:b/>
                <w:bCs/>
                <w:sz w:val="20"/>
                <w:szCs w:val="20"/>
              </w:rPr>
            </w:pPr>
            <w:r w:rsidRPr="00B07460">
              <w:rPr>
                <w:rFonts w:ascii="Times New Roman" w:eastAsia="TimesNewRoman" w:hAnsi="Times New Roman"/>
                <w:b/>
                <w:bCs/>
                <w:sz w:val="20"/>
                <w:szCs w:val="20"/>
              </w:rPr>
              <w:t xml:space="preserve">Diet </w:t>
            </w:r>
          </w:p>
          <w:p w:rsidR="00B07460" w:rsidRPr="00B07460" w:rsidRDefault="00B07460" w:rsidP="004A7642">
            <w:pPr>
              <w:autoSpaceDE w:val="0"/>
              <w:autoSpaceDN w:val="0"/>
              <w:adjustRightInd w:val="0"/>
              <w:spacing w:after="60" w:line="240" w:lineRule="auto"/>
              <w:jc w:val="center"/>
              <w:rPr>
                <w:rFonts w:ascii="Times New Roman" w:hAnsi="Times New Roman"/>
                <w:b/>
                <w:bCs/>
                <w:sz w:val="20"/>
                <w:szCs w:val="20"/>
              </w:rPr>
            </w:pPr>
            <w:r w:rsidRPr="00B07460">
              <w:rPr>
                <w:rFonts w:ascii="Times New Roman" w:eastAsia="TimesNewRoman" w:hAnsi="Times New Roman"/>
                <w:b/>
                <w:bCs/>
                <w:sz w:val="20"/>
                <w:szCs w:val="20"/>
              </w:rPr>
              <w:t>(ng/g)</w:t>
            </w:r>
            <w:r w:rsidRPr="00B07460">
              <w:rPr>
                <w:rFonts w:ascii="Times New Roman" w:eastAsia="TimesNewRoman" w:hAnsi="Times New Roman"/>
                <w:b/>
                <w:bCs/>
                <w:sz w:val="20"/>
                <w:szCs w:val="20"/>
                <w:vertAlign w:val="superscript"/>
              </w:rPr>
              <w:t>a</w:t>
            </w:r>
          </w:p>
        </w:tc>
        <w:tc>
          <w:tcPr>
            <w:tcW w:w="0" w:type="auto"/>
            <w:tcBorders>
              <w:bottom w:val="single" w:sz="4" w:space="0" w:color="auto"/>
            </w:tcBorders>
            <w:shd w:val="clear" w:color="auto" w:fill="auto"/>
          </w:tcPr>
          <w:p w:rsidR="004A7642" w:rsidRDefault="00B07460" w:rsidP="004A7642">
            <w:pPr>
              <w:autoSpaceDE w:val="0"/>
              <w:autoSpaceDN w:val="0"/>
              <w:adjustRightInd w:val="0"/>
              <w:spacing w:after="0" w:line="240" w:lineRule="auto"/>
              <w:jc w:val="center"/>
              <w:rPr>
                <w:rFonts w:ascii="Times New Roman" w:eastAsia="TimesNewRoman" w:hAnsi="Times New Roman"/>
                <w:b/>
                <w:bCs/>
                <w:sz w:val="20"/>
                <w:szCs w:val="20"/>
              </w:rPr>
            </w:pPr>
            <w:r w:rsidRPr="00B07460">
              <w:rPr>
                <w:rFonts w:ascii="Times New Roman" w:eastAsia="TimesNewRoman" w:hAnsi="Times New Roman"/>
                <w:b/>
                <w:bCs/>
                <w:sz w:val="20"/>
                <w:szCs w:val="20"/>
              </w:rPr>
              <w:t xml:space="preserve">Water </w:t>
            </w:r>
          </w:p>
          <w:p w:rsidR="00B07460" w:rsidRPr="00B07460" w:rsidRDefault="00B07460" w:rsidP="004A7642">
            <w:pPr>
              <w:autoSpaceDE w:val="0"/>
              <w:autoSpaceDN w:val="0"/>
              <w:adjustRightInd w:val="0"/>
              <w:spacing w:after="0" w:line="240" w:lineRule="auto"/>
              <w:jc w:val="center"/>
              <w:rPr>
                <w:rFonts w:ascii="Times New Roman" w:hAnsi="Times New Roman"/>
                <w:b/>
                <w:bCs/>
                <w:sz w:val="20"/>
                <w:szCs w:val="20"/>
              </w:rPr>
            </w:pPr>
            <w:r w:rsidRPr="00B07460">
              <w:rPr>
                <w:rFonts w:ascii="Times New Roman" w:eastAsia="TimesNewRoman" w:hAnsi="Times New Roman"/>
                <w:b/>
                <w:bCs/>
                <w:sz w:val="20"/>
                <w:szCs w:val="20"/>
              </w:rPr>
              <w:t>(μg/L)</w:t>
            </w:r>
            <w:r w:rsidRPr="00B07460">
              <w:rPr>
                <w:rFonts w:ascii="Times New Roman" w:eastAsia="TimesNewRoman" w:hAnsi="Times New Roman"/>
                <w:b/>
                <w:bCs/>
                <w:sz w:val="20"/>
                <w:szCs w:val="20"/>
                <w:vertAlign w:val="superscript"/>
              </w:rPr>
              <w:t>b</w:t>
            </w:r>
          </w:p>
        </w:tc>
      </w:tr>
      <w:tr w:rsidR="00B07460" w:rsidRPr="00B07460" w:rsidTr="00321280">
        <w:trPr>
          <w:jc w:val="center"/>
        </w:trPr>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rPr>
                <w:rFonts w:ascii="Times New Roman" w:eastAsia="TimesNewRoman" w:hAnsi="Times New Roman"/>
                <w:sz w:val="20"/>
                <w:szCs w:val="20"/>
              </w:rPr>
            </w:pPr>
            <w:r w:rsidRPr="00B07460">
              <w:rPr>
                <w:rFonts w:ascii="Times New Roman" w:eastAsia="TimesNewRoman" w:hAnsi="Times New Roman"/>
                <w:sz w:val="20"/>
                <w:szCs w:val="20"/>
              </w:rPr>
              <w:t>NP</w:t>
            </w:r>
          </w:p>
        </w:tc>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219.0</w:t>
            </w:r>
          </w:p>
        </w:tc>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132.9</w:t>
            </w:r>
          </w:p>
        </w:tc>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2.67</w:t>
            </w:r>
          </w:p>
        </w:tc>
        <w:tc>
          <w:tcPr>
            <w:tcW w:w="0" w:type="auto"/>
            <w:tcBorders>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0.54</w:t>
            </w:r>
          </w:p>
        </w:tc>
      </w:tr>
      <w:tr w:rsidR="00B07460" w:rsidRPr="00B07460" w:rsidTr="00321280">
        <w:trPr>
          <w:jc w:val="center"/>
        </w:trPr>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rPr>
                <w:rFonts w:ascii="Times New Roman" w:eastAsia="TimesNewRoman" w:hAnsi="Times New Roman"/>
                <w:sz w:val="20"/>
                <w:szCs w:val="20"/>
              </w:rPr>
            </w:pPr>
            <w:r w:rsidRPr="00B07460">
              <w:rPr>
                <w:rFonts w:ascii="Times New Roman" w:eastAsia="TimesNewRoman" w:hAnsi="Times New Roman"/>
                <w:sz w:val="20"/>
                <w:szCs w:val="20"/>
              </w:rPr>
              <w:t>OP</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205.0</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132.9</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0.31</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0.05</w:t>
            </w:r>
          </w:p>
        </w:tc>
      </w:tr>
      <w:tr w:rsidR="00B07460" w:rsidRPr="00B07460" w:rsidTr="00321280">
        <w:trPr>
          <w:jc w:val="center"/>
        </w:trPr>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rPr>
                <w:rFonts w:ascii="Times New Roman" w:eastAsia="TimesNewRoman" w:hAnsi="Times New Roman"/>
                <w:sz w:val="20"/>
                <w:szCs w:val="20"/>
              </w:rPr>
            </w:pPr>
            <w:r w:rsidRPr="00B07460">
              <w:rPr>
                <w:rFonts w:ascii="Times New Roman" w:eastAsia="TimesNewRoman" w:hAnsi="Times New Roman"/>
                <w:sz w:val="20"/>
                <w:szCs w:val="20"/>
              </w:rPr>
              <w:t>E1</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269.1</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145.0</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1.01</w:t>
            </w:r>
          </w:p>
        </w:tc>
        <w:tc>
          <w:tcPr>
            <w:tcW w:w="0" w:type="auto"/>
            <w:tcBorders>
              <w:top w:val="nil"/>
              <w:bottom w:val="nil"/>
            </w:tcBorders>
            <w:shd w:val="clear" w:color="auto" w:fill="auto"/>
          </w:tcPr>
          <w:p w:rsidR="00B07460" w:rsidRPr="00B07460" w:rsidRDefault="00B07460" w:rsidP="004A7642">
            <w:pPr>
              <w:autoSpaceDE w:val="0"/>
              <w:autoSpaceDN w:val="0"/>
              <w:adjustRightInd w:val="0"/>
              <w:spacing w:before="60" w:after="0" w:line="240" w:lineRule="auto"/>
              <w:jc w:val="center"/>
              <w:rPr>
                <w:rFonts w:ascii="Times New Roman" w:hAnsi="Times New Roman"/>
                <w:b/>
                <w:bCs/>
                <w:sz w:val="20"/>
                <w:szCs w:val="20"/>
              </w:rPr>
            </w:pPr>
            <w:r w:rsidRPr="00B07460">
              <w:rPr>
                <w:rFonts w:ascii="Times New Roman" w:eastAsia="TimesNewRoman" w:hAnsi="Times New Roman"/>
                <w:sz w:val="20"/>
                <w:szCs w:val="20"/>
              </w:rPr>
              <w:t>0.05</w:t>
            </w:r>
          </w:p>
        </w:tc>
      </w:tr>
      <w:tr w:rsidR="00B07460" w:rsidRPr="00B07460" w:rsidTr="00321280">
        <w:trPr>
          <w:jc w:val="center"/>
        </w:trPr>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rPr>
                <w:rFonts w:ascii="Times New Roman" w:eastAsia="TimesNewRoman" w:hAnsi="Times New Roman"/>
                <w:sz w:val="20"/>
                <w:szCs w:val="20"/>
              </w:rPr>
            </w:pPr>
            <w:r w:rsidRPr="00B07460">
              <w:rPr>
                <w:rFonts w:ascii="Times New Roman" w:eastAsia="TimesNewRoman" w:hAnsi="Times New Roman"/>
                <w:sz w:val="20"/>
                <w:szCs w:val="20"/>
              </w:rPr>
              <w:t>E2</w:t>
            </w:r>
          </w:p>
        </w:tc>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jc w:val="center"/>
              <w:rPr>
                <w:rFonts w:ascii="Times New Roman" w:hAnsi="Times New Roman"/>
                <w:b/>
                <w:bCs/>
                <w:sz w:val="20"/>
                <w:szCs w:val="20"/>
              </w:rPr>
            </w:pPr>
            <w:r w:rsidRPr="00B07460">
              <w:rPr>
                <w:rFonts w:ascii="Times New Roman" w:eastAsia="TimesNewRoman" w:hAnsi="Times New Roman"/>
                <w:sz w:val="20"/>
                <w:szCs w:val="20"/>
              </w:rPr>
              <w:t>271.1</w:t>
            </w:r>
          </w:p>
        </w:tc>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jc w:val="center"/>
              <w:rPr>
                <w:rFonts w:ascii="Times New Roman" w:hAnsi="Times New Roman"/>
                <w:b/>
                <w:bCs/>
                <w:sz w:val="20"/>
                <w:szCs w:val="20"/>
              </w:rPr>
            </w:pPr>
            <w:r w:rsidRPr="00B07460">
              <w:rPr>
                <w:rFonts w:ascii="Times New Roman" w:eastAsia="TimesNewRoman" w:hAnsi="Times New Roman"/>
                <w:sz w:val="20"/>
                <w:szCs w:val="20"/>
              </w:rPr>
              <w:t>144.9</w:t>
            </w:r>
          </w:p>
        </w:tc>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jc w:val="center"/>
              <w:rPr>
                <w:rFonts w:ascii="Times New Roman" w:hAnsi="Times New Roman"/>
                <w:b/>
                <w:bCs/>
                <w:sz w:val="20"/>
                <w:szCs w:val="20"/>
              </w:rPr>
            </w:pPr>
            <w:r w:rsidRPr="00B07460">
              <w:rPr>
                <w:rFonts w:ascii="Times New Roman" w:eastAsia="TimesNewRoman" w:hAnsi="Times New Roman"/>
                <w:sz w:val="20"/>
                <w:szCs w:val="20"/>
              </w:rPr>
              <w:t>1.50</w:t>
            </w:r>
          </w:p>
        </w:tc>
        <w:tc>
          <w:tcPr>
            <w:tcW w:w="0" w:type="auto"/>
            <w:tcBorders>
              <w:top w:val="nil"/>
            </w:tcBorders>
            <w:shd w:val="clear" w:color="auto" w:fill="auto"/>
          </w:tcPr>
          <w:p w:rsidR="00B07460" w:rsidRPr="00B07460" w:rsidRDefault="00B07460" w:rsidP="004A7642">
            <w:pPr>
              <w:autoSpaceDE w:val="0"/>
              <w:autoSpaceDN w:val="0"/>
              <w:adjustRightInd w:val="0"/>
              <w:spacing w:before="60" w:after="60" w:line="240" w:lineRule="auto"/>
              <w:jc w:val="center"/>
              <w:rPr>
                <w:rFonts w:ascii="Times New Roman" w:hAnsi="Times New Roman"/>
                <w:b/>
                <w:bCs/>
                <w:sz w:val="20"/>
                <w:szCs w:val="20"/>
              </w:rPr>
            </w:pPr>
            <w:r w:rsidRPr="00B07460">
              <w:rPr>
                <w:rFonts w:ascii="Times New Roman" w:eastAsia="TimesNewRoman" w:hAnsi="Times New Roman"/>
                <w:sz w:val="20"/>
                <w:szCs w:val="20"/>
              </w:rPr>
              <w:t>0.10</w:t>
            </w:r>
          </w:p>
        </w:tc>
      </w:tr>
    </w:tbl>
    <w:p w:rsidR="00B07460" w:rsidRPr="004A7642" w:rsidRDefault="00B07460" w:rsidP="004A7642">
      <w:pPr>
        <w:autoSpaceDE w:val="0"/>
        <w:autoSpaceDN w:val="0"/>
        <w:adjustRightInd w:val="0"/>
        <w:spacing w:before="60" w:after="0" w:line="240" w:lineRule="auto"/>
        <w:jc w:val="both"/>
        <w:rPr>
          <w:rFonts w:ascii="Times New Roman" w:eastAsia="TimesNewRoman" w:hAnsi="Times New Roman"/>
          <w:sz w:val="18"/>
          <w:szCs w:val="18"/>
        </w:rPr>
      </w:pPr>
      <w:r w:rsidRPr="004A7642">
        <w:rPr>
          <w:rFonts w:ascii="Times New Roman" w:eastAsia="TimesNewRoman" w:hAnsi="Times New Roman"/>
          <w:sz w:val="18"/>
          <w:szCs w:val="18"/>
          <w:vertAlign w:val="superscript"/>
        </w:rPr>
        <w:t xml:space="preserve">                                        </w:t>
      </w:r>
      <w:r w:rsidR="00613E08">
        <w:rPr>
          <w:rFonts w:ascii="Times New Roman" w:eastAsia="TimesNewRoman" w:hAnsi="Times New Roman"/>
          <w:sz w:val="18"/>
          <w:szCs w:val="18"/>
          <w:vertAlign w:val="superscript"/>
        </w:rPr>
        <w:t xml:space="preserve">            </w:t>
      </w:r>
      <w:r w:rsidRPr="004A7642">
        <w:rPr>
          <w:rFonts w:ascii="Times New Roman" w:eastAsia="TimesNewRoman" w:hAnsi="Times New Roman"/>
          <w:sz w:val="18"/>
          <w:szCs w:val="18"/>
          <w:vertAlign w:val="superscript"/>
        </w:rPr>
        <w:t xml:space="preserve"> a</w:t>
      </w:r>
      <w:r w:rsidRPr="004A7642">
        <w:rPr>
          <w:rFonts w:ascii="Times New Roman" w:eastAsia="TimesNewRoman" w:hAnsi="Times New Roman"/>
          <w:sz w:val="18"/>
          <w:szCs w:val="18"/>
        </w:rPr>
        <w:t xml:space="preserve">Detection limit using 0.3 g diet sample; </w:t>
      </w:r>
      <w:r w:rsidRPr="004A7642">
        <w:rPr>
          <w:rFonts w:ascii="Times New Roman" w:eastAsia="TimesNewRoman" w:hAnsi="Times New Roman"/>
          <w:sz w:val="18"/>
          <w:szCs w:val="18"/>
          <w:vertAlign w:val="superscript"/>
        </w:rPr>
        <w:t>b</w:t>
      </w:r>
      <w:r w:rsidRPr="004A7642">
        <w:rPr>
          <w:rFonts w:ascii="Times New Roman" w:eastAsia="TimesNewRoman" w:hAnsi="Times New Roman"/>
          <w:sz w:val="18"/>
          <w:szCs w:val="18"/>
        </w:rPr>
        <w:t>Detection limit using 0.5 L seawater</w:t>
      </w: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p>
    <w:p w:rsidR="00B07460" w:rsidRPr="00B07460" w:rsidRDefault="00B07460" w:rsidP="00B07460">
      <w:pPr>
        <w:autoSpaceDE w:val="0"/>
        <w:autoSpaceDN w:val="0"/>
        <w:adjustRightInd w:val="0"/>
        <w:spacing w:after="0" w:line="240" w:lineRule="auto"/>
        <w:jc w:val="both"/>
        <w:rPr>
          <w:rFonts w:ascii="Times New Roman" w:hAnsi="Times New Roman"/>
          <w:b/>
          <w:bCs/>
          <w:sz w:val="20"/>
          <w:szCs w:val="20"/>
        </w:rPr>
      </w:pPr>
      <w:r w:rsidRPr="00B07460">
        <w:rPr>
          <w:rFonts w:ascii="Times New Roman" w:hAnsi="Times New Roman"/>
          <w:b/>
          <w:bCs/>
          <w:sz w:val="20"/>
          <w:szCs w:val="20"/>
        </w:rPr>
        <w:t>Data analysis</w:t>
      </w:r>
    </w:p>
    <w:p w:rsidR="00B07460" w:rsidRDefault="00B07460" w:rsidP="00B07460">
      <w:pPr>
        <w:autoSpaceDE w:val="0"/>
        <w:autoSpaceDN w:val="0"/>
        <w:adjustRightInd w:val="0"/>
        <w:spacing w:after="0" w:line="240" w:lineRule="auto"/>
        <w:jc w:val="both"/>
        <w:rPr>
          <w:rFonts w:ascii="Times New Roman" w:eastAsia="TimesNewRoman" w:hAnsi="Times New Roman"/>
          <w:sz w:val="20"/>
          <w:szCs w:val="20"/>
        </w:rPr>
      </w:pPr>
      <w:r w:rsidRPr="00B07460">
        <w:rPr>
          <w:rFonts w:ascii="Times New Roman" w:eastAsia="TimesNewRoman" w:hAnsi="Times New Roman"/>
          <w:sz w:val="20"/>
          <w:szCs w:val="20"/>
        </w:rPr>
        <w:t xml:space="preserve">BAF (bioaccumulation factors) were calculated as the ratio of concentration in biota to sediment [17, 18] using the formula stated below: </w:t>
      </w:r>
    </w:p>
    <w:p w:rsidR="00613E08" w:rsidRPr="00B07460" w:rsidRDefault="00613E08" w:rsidP="00B07460">
      <w:pPr>
        <w:autoSpaceDE w:val="0"/>
        <w:autoSpaceDN w:val="0"/>
        <w:adjustRightInd w:val="0"/>
        <w:spacing w:after="0" w:line="240" w:lineRule="auto"/>
        <w:jc w:val="both"/>
        <w:rPr>
          <w:rFonts w:ascii="Times New Roman" w:eastAsia="TimesNewRoman" w:hAnsi="Times New Roman"/>
          <w:sz w:val="20"/>
          <w:szCs w:val="20"/>
        </w:rPr>
      </w:pPr>
    </w:p>
    <w:p w:rsidR="00B07460" w:rsidRPr="00B07460" w:rsidRDefault="00613E08" w:rsidP="00B07460">
      <w:pPr>
        <w:autoSpaceDE w:val="0"/>
        <w:autoSpaceDN w:val="0"/>
        <w:adjustRightInd w:val="0"/>
        <w:spacing w:after="0" w:line="240" w:lineRule="auto"/>
        <w:jc w:val="both"/>
        <w:rPr>
          <w:rFonts w:ascii="Times New Roman" w:eastAsia="TimesNewRoman" w:hAnsi="Times New Roman"/>
          <w:sz w:val="20"/>
          <w:szCs w:val="20"/>
        </w:rPr>
      </w:pPr>
      <w:r>
        <w:rPr>
          <w:rFonts w:ascii="Times New Roman" w:eastAsia="TimesNewRoman" w:hAnsi="Times New Roman"/>
          <w:sz w:val="20"/>
          <w:szCs w:val="20"/>
        </w:rPr>
        <w:t xml:space="preserve">                                </w:t>
      </w:r>
      <w:r w:rsidRPr="00613E08">
        <w:rPr>
          <w:rFonts w:ascii="Times New Roman" w:eastAsia="TimesNewRoman" w:hAnsi="Times New Roman"/>
          <w:sz w:val="20"/>
          <w:szCs w:val="20"/>
        </w:rPr>
        <w:t xml:space="preserve">(EDCs concentration at steady state in </w:t>
      </w:r>
      <w:r w:rsidRPr="00613E08">
        <w:rPr>
          <w:rFonts w:ascii="Times New Roman" w:hAnsi="Times New Roman"/>
          <w:i/>
          <w:iCs/>
          <w:sz w:val="20"/>
          <w:szCs w:val="20"/>
        </w:rPr>
        <w:t>P. yokohamae</w:t>
      </w:r>
      <w:r w:rsidRPr="00613E08">
        <w:rPr>
          <w:rFonts w:ascii="Times New Roman" w:eastAsia="TimesNewRoman" w:hAnsi="Times New Roman"/>
          <w:sz w:val="20"/>
          <w:szCs w:val="20"/>
        </w:rPr>
        <w:t>)</w:t>
      </w:r>
    </w:p>
    <w:p w:rsidR="00B07460" w:rsidRPr="00613E08" w:rsidRDefault="00613E08" w:rsidP="00B07460">
      <w:pPr>
        <w:autoSpaceDE w:val="0"/>
        <w:autoSpaceDN w:val="0"/>
        <w:adjustRightInd w:val="0"/>
        <w:spacing w:after="0" w:line="240" w:lineRule="auto"/>
        <w:ind w:firstLine="720"/>
        <w:jc w:val="both"/>
        <w:rPr>
          <w:rFonts w:ascii="Times New Roman" w:eastAsia="TimesNewRoman" w:hAnsi="Times New Roman"/>
          <w:sz w:val="20"/>
          <w:szCs w:val="20"/>
        </w:rPr>
      </w:pPr>
      <w:r>
        <w:rPr>
          <w:rFonts w:ascii="Times New Roman" w:eastAsia="TimesNewRoman" w:hAnsi="Times New Roman"/>
          <w:noProof/>
          <w:sz w:val="20"/>
          <w:szCs w:val="20"/>
          <w:lang w:bidi="ar-SA"/>
        </w:rPr>
        <mc:AlternateContent>
          <mc:Choice Requires="wps">
            <w:drawing>
              <wp:anchor distT="0" distB="0" distL="114300" distR="114300" simplePos="0" relativeHeight="251661824" behindDoc="0" locked="0" layoutInCell="1" allowOverlap="1">
                <wp:simplePos x="0" y="0"/>
                <wp:positionH relativeFrom="column">
                  <wp:posOffset>895350</wp:posOffset>
                </wp:positionH>
                <wp:positionV relativeFrom="paragraph">
                  <wp:posOffset>66675</wp:posOffset>
                </wp:positionV>
                <wp:extent cx="3019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30194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5.25pt" to="308.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" strokecolor="black [3040]" strokeweight="1pt"/>
            </w:pict>
          </mc:Fallback>
        </mc:AlternateContent>
      </w:r>
      <w:r w:rsidR="00B07460" w:rsidRPr="00B07460">
        <w:rPr>
          <w:rFonts w:ascii="Times New Roman" w:eastAsia="TimesNewRoman" w:hAnsi="Times New Roman"/>
          <w:sz w:val="20"/>
          <w:szCs w:val="20"/>
        </w:rPr>
        <w:t>BAF =</w:t>
      </w:r>
      <w:r>
        <w:rPr>
          <w:rFonts w:ascii="Times New Roman" w:eastAsia="TimesNewRoman" w:hAnsi="Times New Roman"/>
          <w:sz w:val="20"/>
          <w:szCs w:val="20"/>
        </w:rPr>
        <w:t xml:space="preserve">  </w:t>
      </w:r>
      <w:r w:rsidR="00B07460" w:rsidRPr="00B07460">
        <w:rPr>
          <w:rFonts w:ascii="Times New Roman" w:eastAsia="TimesNewRoman" w:hAnsi="Times New Roman"/>
          <w:sz w:val="20"/>
          <w:szCs w:val="20"/>
        </w:rPr>
        <w:t xml:space="preserve"> </w:t>
      </w:r>
      <w:r>
        <w:rPr>
          <w:rFonts w:ascii="Times New Roman" w:eastAsia="TimesNewRoman" w:hAnsi="Times New Roman"/>
          <w:sz w:val="20"/>
          <w:szCs w:val="20"/>
        </w:rPr>
        <w:t xml:space="preserve">                                                                                                                                                         (1)</w:t>
      </w:r>
    </w:p>
    <w:p w:rsidR="00AC0033" w:rsidRPr="00B07460" w:rsidRDefault="00B07460" w:rsidP="00B07460">
      <w:pPr>
        <w:spacing w:after="0" w:line="240" w:lineRule="auto"/>
        <w:jc w:val="both"/>
        <w:rPr>
          <w:rFonts w:ascii="Times New Roman" w:hAnsi="Times New Roman"/>
          <w:noProof/>
          <w:sz w:val="20"/>
          <w:szCs w:val="20"/>
          <w:lang w:bidi="ar-SA"/>
        </w:rPr>
      </w:pPr>
      <w:r w:rsidRPr="00B07460">
        <w:rPr>
          <w:rFonts w:ascii="Times New Roman" w:eastAsia="TimesNewRoman" w:hAnsi="Times New Roman"/>
          <w:sz w:val="20"/>
          <w:szCs w:val="20"/>
        </w:rPr>
        <w:t xml:space="preserve">        </w:t>
      </w:r>
      <w:r w:rsidR="00613E08">
        <w:rPr>
          <w:rFonts w:ascii="Times New Roman" w:eastAsia="TimesNewRoman" w:hAnsi="Times New Roman"/>
          <w:sz w:val="20"/>
          <w:szCs w:val="20"/>
        </w:rPr>
        <w:t xml:space="preserve">                                   </w:t>
      </w:r>
      <w:r w:rsidRPr="00B07460">
        <w:rPr>
          <w:rFonts w:ascii="Times New Roman" w:eastAsia="TimesNewRoman" w:hAnsi="Times New Roman"/>
          <w:sz w:val="20"/>
          <w:szCs w:val="20"/>
        </w:rPr>
        <w:t xml:space="preserve">  (EDCs concen</w:t>
      </w:r>
      <w:r w:rsidR="00613E08">
        <w:rPr>
          <w:rFonts w:ascii="Times New Roman" w:eastAsia="TimesNewRoman" w:hAnsi="Times New Roman"/>
          <w:sz w:val="20"/>
          <w:szCs w:val="20"/>
        </w:rPr>
        <w:t>tration in sediment)</w:t>
      </w:r>
      <w:r w:rsidR="00613E08">
        <w:rPr>
          <w:rFonts w:ascii="Times New Roman" w:eastAsia="TimesNewRoman" w:hAnsi="Times New Roman"/>
          <w:sz w:val="20"/>
          <w:szCs w:val="20"/>
        </w:rPr>
        <w:tab/>
      </w:r>
      <w:r w:rsidR="00613E08">
        <w:rPr>
          <w:rFonts w:ascii="Times New Roman" w:eastAsia="TimesNewRoman" w:hAnsi="Times New Roman"/>
          <w:sz w:val="20"/>
          <w:szCs w:val="20"/>
        </w:rPr>
        <w:tab/>
      </w:r>
      <w:r w:rsidR="00613E08">
        <w:rPr>
          <w:rFonts w:ascii="Times New Roman" w:eastAsia="TimesNewRoman" w:hAnsi="Times New Roman"/>
          <w:sz w:val="20"/>
          <w:szCs w:val="20"/>
        </w:rPr>
        <w:tab/>
      </w:r>
      <w:r w:rsidR="00613E08">
        <w:rPr>
          <w:rFonts w:ascii="Times New Roman" w:eastAsia="TimesNewRoman" w:hAnsi="Times New Roman"/>
          <w:sz w:val="20"/>
          <w:szCs w:val="20"/>
        </w:rPr>
        <w:tab/>
      </w:r>
      <w:r w:rsidR="00613E08">
        <w:rPr>
          <w:rFonts w:ascii="Times New Roman" w:eastAsia="TimesNewRoman" w:hAnsi="Times New Roman"/>
          <w:sz w:val="20"/>
          <w:szCs w:val="20"/>
        </w:rPr>
        <w:tab/>
      </w:r>
      <w:r w:rsidR="00613E08">
        <w:rPr>
          <w:rFonts w:ascii="Times New Roman" w:eastAsia="TimesNewRoman" w:hAnsi="Times New Roman"/>
          <w:sz w:val="20"/>
          <w:szCs w:val="20"/>
        </w:rPr>
        <w:tab/>
        <w:t xml:space="preserve">   </w:t>
      </w:r>
    </w:p>
    <w:p w:rsidR="00B07460" w:rsidRDefault="00B07460" w:rsidP="00AC0033">
      <w:pPr>
        <w:spacing w:after="0" w:line="240" w:lineRule="auto"/>
        <w:jc w:val="center"/>
        <w:rPr>
          <w:rFonts w:ascii="Times New Roman" w:hAnsi="Times New Roman"/>
          <w:b/>
          <w:noProof/>
          <w:sz w:val="20"/>
          <w:szCs w:val="20"/>
          <w:lang w:bidi="ar-SA"/>
        </w:rPr>
      </w:pPr>
    </w:p>
    <w:p w:rsidR="00B07460" w:rsidRDefault="00B07460"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13E08" w:rsidRPr="00613E08" w:rsidRDefault="00613E08" w:rsidP="00613E08">
      <w:pPr>
        <w:autoSpaceDE w:val="0"/>
        <w:autoSpaceDN w:val="0"/>
        <w:adjustRightInd w:val="0"/>
        <w:spacing w:after="0" w:line="240" w:lineRule="auto"/>
        <w:jc w:val="both"/>
        <w:rPr>
          <w:rFonts w:ascii="Times New Roman" w:hAnsi="Times New Roman"/>
          <w:b/>
          <w:bCs/>
          <w:sz w:val="20"/>
          <w:szCs w:val="20"/>
        </w:rPr>
      </w:pPr>
      <w:r w:rsidRPr="00613E08">
        <w:rPr>
          <w:rFonts w:ascii="Times New Roman" w:hAnsi="Times New Roman"/>
          <w:b/>
          <w:bCs/>
          <w:sz w:val="20"/>
          <w:szCs w:val="20"/>
        </w:rPr>
        <w:t>Water parameters and control sediment</w:t>
      </w: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 xml:space="preserve">In the present study, range of water temperature and dissolved oxygen were 12.8 to 14.6 °C and 5.93 to 8.48 mg/L respectively, whereas pH and salinity were 8.01 to 8.08 and 36 to 38 psu respectively. Sediment sample collected from Amori River contains three of the target EDCs as shown in Table 1 (control). Amori River is one of the longest (42.5 km long) river, flowing into Kagoshima Bay, hence it receives large amount of effluent from residential and municipal activities daily. This most likely contributed to some concentrations of NP, OP and E1 in the control sediment. The total organic carbon and total organic nitrogen in sediment were 1.43±0.0.6% and 0.11±0.004% (n=5) respectively. </w:t>
      </w: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 xml:space="preserve">The concentration of EDCs was measured in the water sample during the exposure test, showing a range of 0.85 and 7.66 μg/L for NP, and 0.49 μg/L and 0.63 μg/L for OP, respectively whereas E1 and E2 concentrations were below the limit of detection. Low concentrations of EDCs were expected to be released into the water as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dwell onto the sediment. Low concentrations of EDCs were also recorded in pore water collected right after the exposure period ended (Table 3). In laboratory control</w:t>
      </w:r>
      <w:r w:rsidR="00DE2410">
        <w:rPr>
          <w:rFonts w:ascii="Times New Roman" w:eastAsia="TimesNewRoman" w:hAnsi="Times New Roman"/>
          <w:sz w:val="20"/>
          <w:szCs w:val="20"/>
        </w:rPr>
        <w:t>led uptake studies for NP, Bioconcentration f</w:t>
      </w:r>
      <w:bookmarkStart w:id="0" w:name="_GoBack"/>
      <w:bookmarkEnd w:id="0"/>
      <w:r w:rsidRPr="00613E08">
        <w:rPr>
          <w:rFonts w:ascii="Times New Roman" w:eastAsia="TimesNewRoman" w:hAnsi="Times New Roman"/>
          <w:sz w:val="20"/>
          <w:szCs w:val="20"/>
        </w:rPr>
        <w:t xml:space="preserve">actors (BCFs) yielded ranged from 200 to 300 [19, 20] whereas, OP were recorded to be from 250 to 350 [21, 22]. If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 xml:space="preserve">in this study has bio accumulated the target compound from water, the estimated concentration of NP and OP from maximum value would be approximately 2,300 and 221 ng/g w.w., respectively. However, the maximum wet weight concentrations of NP (532 ng/g w.w.) and OP (45.4 ng/g w.w.) in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 xml:space="preserve">in this study were recorded much lower than those estimated concentration. Thus, it was assumed that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in the present study accumulated EDCs from the spiked sediment.</w:t>
      </w:r>
    </w:p>
    <w:p w:rsid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p w:rsidR="00613E08" w:rsidRPr="00613E08" w:rsidRDefault="00613E08" w:rsidP="00613E08">
      <w:pPr>
        <w:autoSpaceDE w:val="0"/>
        <w:autoSpaceDN w:val="0"/>
        <w:adjustRightInd w:val="0"/>
        <w:spacing w:after="12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 xml:space="preserve">Table 3. </w:t>
      </w:r>
      <w:r>
        <w:rPr>
          <w:rFonts w:ascii="Times New Roman" w:eastAsia="TimesNewRoman" w:hAnsi="Times New Roman"/>
          <w:sz w:val="20"/>
          <w:szCs w:val="20"/>
        </w:rPr>
        <w:t xml:space="preserve"> </w:t>
      </w:r>
      <w:r w:rsidRPr="00613E08">
        <w:rPr>
          <w:rFonts w:ascii="Times New Roman" w:eastAsia="TimesNewRoman" w:hAnsi="Times New Roman"/>
          <w:sz w:val="20"/>
          <w:szCs w:val="20"/>
        </w:rPr>
        <w:t>EDCs concentration (μg/L) in pore water, n = 2</w:t>
      </w:r>
    </w:p>
    <w:tbl>
      <w:tblPr>
        <w:tblW w:w="447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83"/>
        <w:gridCol w:w="648"/>
        <w:gridCol w:w="648"/>
        <w:gridCol w:w="648"/>
        <w:gridCol w:w="648"/>
      </w:tblGrid>
      <w:tr w:rsidR="00613E08" w:rsidRPr="00613E08" w:rsidTr="00E80F08">
        <w:trPr>
          <w:trHeight w:val="256"/>
          <w:jc w:val="center"/>
        </w:trPr>
        <w:tc>
          <w:tcPr>
            <w:tcW w:w="0" w:type="auto"/>
            <w:tcBorders>
              <w:bottom w:val="single" w:sz="4" w:space="0" w:color="auto"/>
            </w:tcBorders>
            <w:shd w:val="clear" w:color="auto" w:fill="auto"/>
          </w:tcPr>
          <w:p w:rsidR="00613E08" w:rsidRPr="00613E08" w:rsidRDefault="00613E08" w:rsidP="00613E08">
            <w:pPr>
              <w:autoSpaceDE w:val="0"/>
              <w:autoSpaceDN w:val="0"/>
              <w:adjustRightInd w:val="0"/>
              <w:spacing w:before="60" w:after="60" w:line="240" w:lineRule="auto"/>
              <w:rPr>
                <w:rFonts w:ascii="Times New Roman" w:eastAsia="TimesNewRoman" w:hAnsi="Times New Roman"/>
                <w:b/>
                <w:sz w:val="20"/>
                <w:szCs w:val="20"/>
              </w:rPr>
            </w:pPr>
            <w:r w:rsidRPr="00613E08">
              <w:rPr>
                <w:rFonts w:ascii="Times New Roman" w:eastAsia="TimesNewRoman" w:hAnsi="Times New Roman"/>
                <w:b/>
                <w:sz w:val="20"/>
                <w:szCs w:val="20"/>
              </w:rPr>
              <w:t>Exposure Group</w:t>
            </w:r>
          </w:p>
        </w:tc>
        <w:tc>
          <w:tcPr>
            <w:tcW w:w="0" w:type="auto"/>
            <w:tcBorders>
              <w:bottom w:val="single" w:sz="4" w:space="0" w:color="auto"/>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b/>
                <w:sz w:val="20"/>
                <w:szCs w:val="20"/>
              </w:rPr>
            </w:pPr>
            <w:r w:rsidRPr="00613E08">
              <w:rPr>
                <w:rFonts w:ascii="Times New Roman" w:eastAsia="TimesNewRoman" w:hAnsi="Times New Roman"/>
                <w:b/>
                <w:sz w:val="20"/>
                <w:szCs w:val="20"/>
              </w:rPr>
              <w:t>NP</w:t>
            </w:r>
          </w:p>
        </w:tc>
        <w:tc>
          <w:tcPr>
            <w:tcW w:w="0" w:type="auto"/>
            <w:tcBorders>
              <w:bottom w:val="single" w:sz="4" w:space="0" w:color="auto"/>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b/>
                <w:sz w:val="20"/>
                <w:szCs w:val="20"/>
              </w:rPr>
            </w:pPr>
            <w:r w:rsidRPr="00613E08">
              <w:rPr>
                <w:rFonts w:ascii="Times New Roman" w:eastAsia="TimesNewRoman" w:hAnsi="Times New Roman"/>
                <w:b/>
                <w:sz w:val="20"/>
                <w:szCs w:val="20"/>
              </w:rPr>
              <w:t>OP</w:t>
            </w:r>
          </w:p>
        </w:tc>
        <w:tc>
          <w:tcPr>
            <w:tcW w:w="0" w:type="auto"/>
            <w:tcBorders>
              <w:bottom w:val="single" w:sz="4" w:space="0" w:color="auto"/>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b/>
                <w:sz w:val="20"/>
                <w:szCs w:val="20"/>
              </w:rPr>
            </w:pPr>
            <w:r w:rsidRPr="00613E08">
              <w:rPr>
                <w:rFonts w:ascii="Times New Roman" w:eastAsia="TimesNewRoman" w:hAnsi="Times New Roman"/>
                <w:b/>
                <w:sz w:val="20"/>
                <w:szCs w:val="20"/>
              </w:rPr>
              <w:t>E1</w:t>
            </w:r>
          </w:p>
        </w:tc>
        <w:tc>
          <w:tcPr>
            <w:tcW w:w="0" w:type="auto"/>
            <w:tcBorders>
              <w:bottom w:val="single" w:sz="4" w:space="0" w:color="auto"/>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b/>
                <w:sz w:val="20"/>
                <w:szCs w:val="20"/>
              </w:rPr>
            </w:pPr>
            <w:r w:rsidRPr="00613E08">
              <w:rPr>
                <w:rFonts w:ascii="Times New Roman" w:eastAsia="TimesNewRoman" w:hAnsi="Times New Roman"/>
                <w:b/>
                <w:sz w:val="20"/>
                <w:szCs w:val="20"/>
              </w:rPr>
              <w:t>E2</w:t>
            </w:r>
          </w:p>
        </w:tc>
      </w:tr>
      <w:tr w:rsidR="00613E08" w:rsidRPr="00613E08" w:rsidTr="00E80F08">
        <w:trPr>
          <w:trHeight w:val="256"/>
          <w:jc w:val="center"/>
        </w:trPr>
        <w:tc>
          <w:tcPr>
            <w:tcW w:w="0" w:type="auto"/>
            <w:tcBorders>
              <w:bottom w:val="nil"/>
            </w:tcBorders>
            <w:shd w:val="clear" w:color="auto" w:fill="auto"/>
          </w:tcPr>
          <w:p w:rsidR="00613E08" w:rsidRPr="00613E08" w:rsidRDefault="00613E08" w:rsidP="00613E08">
            <w:pPr>
              <w:autoSpaceDE w:val="0"/>
              <w:autoSpaceDN w:val="0"/>
              <w:adjustRightInd w:val="0"/>
              <w:spacing w:before="60" w:after="0" w:line="240" w:lineRule="auto"/>
              <w:rPr>
                <w:rFonts w:ascii="Times New Roman" w:eastAsia="TimesNewRoman" w:hAnsi="Times New Roman"/>
                <w:sz w:val="20"/>
                <w:szCs w:val="20"/>
              </w:rPr>
            </w:pPr>
            <w:r w:rsidRPr="00613E08">
              <w:rPr>
                <w:rFonts w:ascii="Times New Roman" w:eastAsia="TimesNewRoman" w:hAnsi="Times New Roman"/>
                <w:sz w:val="20"/>
                <w:szCs w:val="20"/>
              </w:rPr>
              <w:t xml:space="preserve">Control </w:t>
            </w:r>
          </w:p>
        </w:tc>
        <w:tc>
          <w:tcPr>
            <w:tcW w:w="0" w:type="auto"/>
            <w:tcBorders>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16.9</w:t>
            </w:r>
          </w:p>
        </w:tc>
        <w:tc>
          <w:tcPr>
            <w:tcW w:w="0" w:type="auto"/>
            <w:tcBorders>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n.d</w:t>
            </w:r>
          </w:p>
        </w:tc>
        <w:tc>
          <w:tcPr>
            <w:tcW w:w="0" w:type="auto"/>
            <w:tcBorders>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n.d</w:t>
            </w:r>
          </w:p>
        </w:tc>
        <w:tc>
          <w:tcPr>
            <w:tcW w:w="0" w:type="auto"/>
            <w:tcBorders>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n.d</w:t>
            </w:r>
          </w:p>
        </w:tc>
      </w:tr>
      <w:tr w:rsidR="00613E08" w:rsidRPr="00613E08" w:rsidTr="00E80F08">
        <w:trPr>
          <w:trHeight w:val="256"/>
          <w:jc w:val="center"/>
        </w:trPr>
        <w:tc>
          <w:tcPr>
            <w:tcW w:w="0" w:type="auto"/>
            <w:tcBorders>
              <w:top w:val="nil"/>
              <w:bottom w:val="nil"/>
            </w:tcBorders>
            <w:shd w:val="clear" w:color="auto" w:fill="auto"/>
          </w:tcPr>
          <w:p w:rsidR="00613E08" w:rsidRPr="00613E08" w:rsidRDefault="00613E08" w:rsidP="00613E08">
            <w:pPr>
              <w:autoSpaceDE w:val="0"/>
              <w:autoSpaceDN w:val="0"/>
              <w:adjustRightInd w:val="0"/>
              <w:spacing w:before="60" w:after="0" w:line="240" w:lineRule="auto"/>
              <w:rPr>
                <w:rFonts w:ascii="Times New Roman" w:eastAsia="TimesNewRoman" w:hAnsi="Times New Roman"/>
                <w:sz w:val="20"/>
                <w:szCs w:val="20"/>
              </w:rPr>
            </w:pPr>
            <w:r w:rsidRPr="00613E08">
              <w:rPr>
                <w:rFonts w:ascii="Times New Roman" w:eastAsia="TimesNewRoman" w:hAnsi="Times New Roman"/>
                <w:sz w:val="20"/>
                <w:szCs w:val="20"/>
              </w:rPr>
              <w:t xml:space="preserve">Low </w:t>
            </w:r>
          </w:p>
        </w:tc>
        <w:tc>
          <w:tcPr>
            <w:tcW w:w="0" w:type="auto"/>
            <w:tcBorders>
              <w:top w:val="nil"/>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11.7</w:t>
            </w:r>
          </w:p>
        </w:tc>
        <w:tc>
          <w:tcPr>
            <w:tcW w:w="0" w:type="auto"/>
            <w:tcBorders>
              <w:top w:val="nil"/>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0.15</w:t>
            </w:r>
          </w:p>
        </w:tc>
        <w:tc>
          <w:tcPr>
            <w:tcW w:w="0" w:type="auto"/>
            <w:tcBorders>
              <w:top w:val="nil"/>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n.d</w:t>
            </w:r>
          </w:p>
        </w:tc>
        <w:tc>
          <w:tcPr>
            <w:tcW w:w="0" w:type="auto"/>
            <w:tcBorders>
              <w:top w:val="nil"/>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n.d</w:t>
            </w:r>
          </w:p>
        </w:tc>
      </w:tr>
      <w:tr w:rsidR="00613E08" w:rsidRPr="00613E08" w:rsidTr="00E80F08">
        <w:trPr>
          <w:trHeight w:val="256"/>
          <w:jc w:val="center"/>
        </w:trPr>
        <w:tc>
          <w:tcPr>
            <w:tcW w:w="0" w:type="auto"/>
            <w:tcBorders>
              <w:top w:val="nil"/>
            </w:tcBorders>
            <w:shd w:val="clear" w:color="auto" w:fill="auto"/>
          </w:tcPr>
          <w:p w:rsidR="00613E08" w:rsidRPr="00613E08" w:rsidRDefault="00613E08" w:rsidP="00613E08">
            <w:pPr>
              <w:autoSpaceDE w:val="0"/>
              <w:autoSpaceDN w:val="0"/>
              <w:adjustRightInd w:val="0"/>
              <w:spacing w:before="60" w:after="60" w:line="240" w:lineRule="auto"/>
              <w:rPr>
                <w:rFonts w:ascii="Times New Roman" w:eastAsia="TimesNewRoman" w:hAnsi="Times New Roman"/>
                <w:sz w:val="20"/>
                <w:szCs w:val="20"/>
              </w:rPr>
            </w:pPr>
            <w:r w:rsidRPr="00613E08">
              <w:rPr>
                <w:rFonts w:ascii="Times New Roman" w:eastAsia="TimesNewRoman" w:hAnsi="Times New Roman"/>
                <w:sz w:val="20"/>
                <w:szCs w:val="20"/>
              </w:rPr>
              <w:t xml:space="preserve">High </w:t>
            </w:r>
          </w:p>
        </w:tc>
        <w:tc>
          <w:tcPr>
            <w:tcW w:w="0" w:type="auto"/>
            <w:tcBorders>
              <w:top w:val="nil"/>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35.3</w:t>
            </w:r>
          </w:p>
        </w:tc>
        <w:tc>
          <w:tcPr>
            <w:tcW w:w="0" w:type="auto"/>
            <w:tcBorders>
              <w:top w:val="nil"/>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4.08</w:t>
            </w:r>
          </w:p>
        </w:tc>
        <w:tc>
          <w:tcPr>
            <w:tcW w:w="0" w:type="auto"/>
            <w:tcBorders>
              <w:top w:val="nil"/>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0.06</w:t>
            </w:r>
          </w:p>
        </w:tc>
        <w:tc>
          <w:tcPr>
            <w:tcW w:w="0" w:type="auto"/>
            <w:tcBorders>
              <w:top w:val="nil"/>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0.18</w:t>
            </w:r>
          </w:p>
        </w:tc>
      </w:tr>
    </w:tbl>
    <w:p w:rsidR="00613E08" w:rsidRPr="00613E08" w:rsidRDefault="00613E08" w:rsidP="00613E08">
      <w:pPr>
        <w:autoSpaceDE w:val="0"/>
        <w:autoSpaceDN w:val="0"/>
        <w:adjustRightInd w:val="0"/>
        <w:spacing w:before="60" w:after="0" w:line="240" w:lineRule="auto"/>
        <w:ind w:left="1440" w:firstLine="720"/>
        <w:jc w:val="both"/>
        <w:rPr>
          <w:rFonts w:ascii="Times New Roman" w:eastAsia="TimesNewRoman" w:hAnsi="Times New Roman"/>
          <w:sz w:val="18"/>
          <w:szCs w:val="18"/>
        </w:rPr>
      </w:pPr>
      <w:r w:rsidRPr="00613E08">
        <w:rPr>
          <w:rFonts w:ascii="Times New Roman" w:eastAsia="TimesNewRoman" w:hAnsi="Times New Roman"/>
          <w:sz w:val="18"/>
          <w:szCs w:val="18"/>
        </w:rPr>
        <w:t xml:space="preserve">   </w:t>
      </w:r>
      <w:r>
        <w:rPr>
          <w:rFonts w:ascii="Times New Roman" w:eastAsia="TimesNewRoman" w:hAnsi="Times New Roman"/>
          <w:sz w:val="18"/>
          <w:szCs w:val="18"/>
        </w:rPr>
        <w:t xml:space="preserve">   </w:t>
      </w:r>
      <w:r w:rsidRPr="00613E08">
        <w:rPr>
          <w:rFonts w:ascii="Times New Roman" w:eastAsia="TimesNewRoman" w:hAnsi="Times New Roman"/>
          <w:sz w:val="18"/>
          <w:szCs w:val="18"/>
        </w:rPr>
        <w:t>n.d – Not detected</w:t>
      </w:r>
    </w:p>
    <w:p w:rsidR="00613E08" w:rsidRPr="00613E08" w:rsidRDefault="00613E08" w:rsidP="00613E08">
      <w:pPr>
        <w:autoSpaceDE w:val="0"/>
        <w:autoSpaceDN w:val="0"/>
        <w:adjustRightInd w:val="0"/>
        <w:spacing w:after="0" w:line="240" w:lineRule="auto"/>
        <w:jc w:val="both"/>
        <w:rPr>
          <w:rFonts w:ascii="Times New Roman" w:hAnsi="Times New Roman"/>
          <w:bCs/>
          <w:sz w:val="20"/>
          <w:szCs w:val="20"/>
        </w:rPr>
      </w:pPr>
    </w:p>
    <w:p w:rsidR="00613E08" w:rsidRPr="00613E08" w:rsidRDefault="00613E08" w:rsidP="00613E08">
      <w:pPr>
        <w:autoSpaceDE w:val="0"/>
        <w:autoSpaceDN w:val="0"/>
        <w:adjustRightInd w:val="0"/>
        <w:spacing w:after="0" w:line="240" w:lineRule="auto"/>
        <w:jc w:val="both"/>
        <w:rPr>
          <w:rFonts w:ascii="Times New Roman" w:hAnsi="Times New Roman"/>
          <w:bCs/>
          <w:sz w:val="20"/>
          <w:szCs w:val="20"/>
        </w:rPr>
      </w:pPr>
    </w:p>
    <w:p w:rsidR="00613E08" w:rsidRPr="00613E08" w:rsidRDefault="00613E08" w:rsidP="00613E08">
      <w:pPr>
        <w:autoSpaceDE w:val="0"/>
        <w:autoSpaceDN w:val="0"/>
        <w:adjustRightInd w:val="0"/>
        <w:spacing w:after="0" w:line="240" w:lineRule="auto"/>
        <w:jc w:val="both"/>
        <w:rPr>
          <w:rFonts w:ascii="Times New Roman" w:hAnsi="Times New Roman"/>
          <w:b/>
          <w:bCs/>
          <w:i/>
          <w:iCs/>
          <w:sz w:val="20"/>
          <w:szCs w:val="20"/>
        </w:rPr>
      </w:pPr>
      <w:r w:rsidRPr="00613E08">
        <w:rPr>
          <w:rFonts w:ascii="Times New Roman" w:hAnsi="Times New Roman"/>
          <w:b/>
          <w:bCs/>
          <w:sz w:val="20"/>
          <w:szCs w:val="20"/>
        </w:rPr>
        <w:t xml:space="preserve">NP and OP concentrations in </w:t>
      </w:r>
      <w:r w:rsidRPr="00613E08">
        <w:rPr>
          <w:rFonts w:ascii="Times New Roman" w:hAnsi="Times New Roman"/>
          <w:b/>
          <w:bCs/>
          <w:i/>
          <w:iCs/>
          <w:sz w:val="20"/>
          <w:szCs w:val="20"/>
        </w:rPr>
        <w:t>P. yokohamae</w:t>
      </w:r>
    </w:p>
    <w:p w:rsidR="00613E08" w:rsidRPr="00613E08" w:rsidRDefault="00613E08" w:rsidP="00613E08">
      <w:pPr>
        <w:spacing w:after="0" w:line="240" w:lineRule="auto"/>
        <w:jc w:val="both"/>
        <w:rPr>
          <w:rFonts w:ascii="Times New Roman" w:hAnsi="Times New Roman"/>
          <w:sz w:val="20"/>
          <w:szCs w:val="20"/>
        </w:rPr>
      </w:pPr>
      <w:r w:rsidRPr="00613E08">
        <w:rPr>
          <w:rFonts w:ascii="Times New Roman" w:eastAsia="TimesNewRoman" w:hAnsi="Times New Roman"/>
          <w:sz w:val="20"/>
          <w:szCs w:val="20"/>
        </w:rPr>
        <w:t xml:space="preserve">As reported in previous study [23], E1 and E2 could not be detected in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 xml:space="preserve">due to rapid metabolism of the substance in the fish. The accumulation of NP and OP in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 xml:space="preserve">from the sediment is shown in Figure 2. The concentration is calculated in dry weight (d.w.) basis to ease the determination of bioaccumulation factor (BAF). On day 0, NP and OP were detected in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 xml:space="preserve">with 114±91 and 34.4±15 ng/g d.w., respectively. Both compounds probably accumulated from commercial diet fed during the acclimatization period [24] as they were measured </w:t>
      </w:r>
      <w:r w:rsidRPr="00613E08">
        <w:rPr>
          <w:rFonts w:ascii="Times New Roman" w:hAnsi="Times New Roman"/>
          <w:sz w:val="20"/>
          <w:szCs w:val="20"/>
        </w:rPr>
        <w:t>27.9±1.77</w:t>
      </w:r>
      <w:r w:rsidRPr="00613E08">
        <w:rPr>
          <w:rFonts w:ascii="Times New Roman" w:eastAsia="TimesNewRoman" w:hAnsi="Times New Roman"/>
          <w:sz w:val="20"/>
          <w:szCs w:val="20"/>
        </w:rPr>
        <w:t xml:space="preserve"> ng/g d.w</w:t>
      </w:r>
      <w:r w:rsidRPr="00613E08">
        <w:rPr>
          <w:rFonts w:ascii="Times New Roman" w:hAnsi="Times New Roman"/>
          <w:sz w:val="20"/>
          <w:szCs w:val="20"/>
        </w:rPr>
        <w:t xml:space="preserve"> of NP and 3.02±0.34 </w:t>
      </w:r>
      <w:r w:rsidRPr="00613E08">
        <w:rPr>
          <w:rFonts w:ascii="Times New Roman" w:eastAsia="TimesNewRoman" w:hAnsi="Times New Roman"/>
          <w:sz w:val="20"/>
          <w:szCs w:val="20"/>
        </w:rPr>
        <w:t>ng/g d.w</w:t>
      </w:r>
      <w:r w:rsidRPr="00613E08">
        <w:rPr>
          <w:rFonts w:ascii="Times New Roman" w:hAnsi="Times New Roman"/>
          <w:sz w:val="20"/>
          <w:szCs w:val="20"/>
        </w:rPr>
        <w:t xml:space="preserve"> of OP in the control diet</w:t>
      </w:r>
      <w:r w:rsidRPr="00613E08">
        <w:rPr>
          <w:rFonts w:ascii="Times New Roman" w:eastAsia="TimesNewRoman" w:hAnsi="Times New Roman"/>
          <w:sz w:val="20"/>
          <w:szCs w:val="20"/>
        </w:rPr>
        <w:t xml:space="preserve">.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 xml:space="preserve">rapidly accumulated NP and OP on day 3 of exposure period and reached the maximum concentration. The highest concentration of NP in low and high exposure groups were 249 and 2200 ng/g d.w. respectively, whereas the recorded OP concentrations were 56.3 and 168 ng/g d.w. respectively. After day 3, observations shown that the </w:t>
      </w:r>
      <w:r w:rsidRPr="00613E08">
        <w:rPr>
          <w:rFonts w:ascii="Times New Roman" w:eastAsia="TimesNewRoman" w:hAnsi="Times New Roman"/>
          <w:sz w:val="20"/>
          <w:szCs w:val="20"/>
        </w:rPr>
        <w:lastRenderedPageBreak/>
        <w:t>concentrations declined consistently until the end of experiment. Hence, day 3 was decided as the point at which steady state was reached for both NP and OP and these concentrations were used for the BAF computation.</w:t>
      </w:r>
    </w:p>
    <w:p w:rsidR="00613E08" w:rsidRPr="00613E08" w:rsidRDefault="00613E08" w:rsidP="00613E08">
      <w:pPr>
        <w:autoSpaceDE w:val="0"/>
        <w:autoSpaceDN w:val="0"/>
        <w:adjustRightInd w:val="0"/>
        <w:spacing w:after="0" w:line="240" w:lineRule="auto"/>
        <w:jc w:val="both"/>
        <w:rPr>
          <w:rFonts w:ascii="Times New Roman" w:hAnsi="Times New Roman"/>
          <w:b/>
          <w:bCs/>
          <w:sz w:val="20"/>
          <w:szCs w:val="20"/>
        </w:rPr>
      </w:pPr>
    </w:p>
    <w:p w:rsidR="00613E08" w:rsidRPr="00613E08" w:rsidRDefault="00613E08" w:rsidP="00613E08">
      <w:pPr>
        <w:autoSpaceDE w:val="0"/>
        <w:autoSpaceDN w:val="0"/>
        <w:adjustRightInd w:val="0"/>
        <w:spacing w:after="0" w:line="240" w:lineRule="auto"/>
        <w:jc w:val="both"/>
        <w:rPr>
          <w:rFonts w:ascii="Times New Roman" w:hAnsi="Times New Roman"/>
          <w:b/>
          <w:bCs/>
          <w:sz w:val="20"/>
          <w:szCs w:val="20"/>
        </w:rPr>
      </w:pPr>
      <w:r w:rsidRPr="00613E08">
        <w:rPr>
          <w:rFonts w:ascii="Times New Roman" w:hAnsi="Times New Roman"/>
          <w:b/>
          <w:bCs/>
          <w:sz w:val="20"/>
          <w:szCs w:val="20"/>
        </w:rPr>
        <w:t>Bioaccumulation factors (BAF)</w:t>
      </w: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 xml:space="preserve">BAFs were calculated using the concentration of NP and OP at day 3 of each group relative to measured concentration of the respective compound in the spiked sediment (Table 4). BAF values were similar between the low and high exposure groups indicating that the difference in concentration does not affect the bioaccumulation. However, NP and OP were not bio accumulated in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as the BAF values less than 1 [23].</w:t>
      </w:r>
    </w:p>
    <w:p w:rsid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p w:rsidR="00613E08" w:rsidRPr="00613E08" w:rsidRDefault="00613E08" w:rsidP="00613E08">
      <w:pPr>
        <w:autoSpaceDE w:val="0"/>
        <w:autoSpaceDN w:val="0"/>
        <w:adjustRightInd w:val="0"/>
        <w:spacing w:after="12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 xml:space="preserve">Table 4. </w:t>
      </w:r>
      <w:r>
        <w:rPr>
          <w:rFonts w:ascii="Times New Roman" w:eastAsia="TimesNewRoman" w:hAnsi="Times New Roman"/>
          <w:sz w:val="20"/>
          <w:szCs w:val="20"/>
        </w:rPr>
        <w:t xml:space="preserve"> </w:t>
      </w:r>
      <w:r w:rsidRPr="00613E08">
        <w:rPr>
          <w:rFonts w:ascii="Times New Roman" w:eastAsia="TimesNewRoman" w:hAnsi="Times New Roman"/>
          <w:sz w:val="20"/>
          <w:szCs w:val="20"/>
        </w:rPr>
        <w:t>BAF in low and high exposure groups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06"/>
        <w:gridCol w:w="1221"/>
        <w:gridCol w:w="1221"/>
      </w:tblGrid>
      <w:tr w:rsidR="00613E08" w:rsidRPr="00613E08" w:rsidTr="00E80F08">
        <w:trPr>
          <w:trHeight w:val="254"/>
          <w:jc w:val="center"/>
        </w:trPr>
        <w:tc>
          <w:tcPr>
            <w:tcW w:w="1306" w:type="dxa"/>
            <w:tcBorders>
              <w:bottom w:val="single" w:sz="4" w:space="0" w:color="auto"/>
            </w:tcBorders>
            <w:shd w:val="clear" w:color="auto" w:fill="auto"/>
          </w:tcPr>
          <w:p w:rsidR="00613E08" w:rsidRPr="00613E08" w:rsidRDefault="00613E08" w:rsidP="00613E08">
            <w:pPr>
              <w:autoSpaceDE w:val="0"/>
              <w:autoSpaceDN w:val="0"/>
              <w:adjustRightInd w:val="0"/>
              <w:spacing w:before="60" w:after="60" w:line="240" w:lineRule="auto"/>
              <w:rPr>
                <w:rFonts w:ascii="Times New Roman" w:eastAsia="TimesNewRoman" w:hAnsi="Times New Roman"/>
                <w:b/>
                <w:bCs/>
                <w:sz w:val="20"/>
                <w:szCs w:val="20"/>
              </w:rPr>
            </w:pPr>
            <w:r w:rsidRPr="00613E08">
              <w:rPr>
                <w:rFonts w:ascii="Times New Roman" w:eastAsia="TimesNewRoman" w:hAnsi="Times New Roman"/>
                <w:b/>
                <w:bCs/>
                <w:sz w:val="20"/>
                <w:szCs w:val="20"/>
              </w:rPr>
              <w:t xml:space="preserve">EDCs </w:t>
            </w:r>
          </w:p>
        </w:tc>
        <w:tc>
          <w:tcPr>
            <w:tcW w:w="1221" w:type="dxa"/>
            <w:tcBorders>
              <w:bottom w:val="single" w:sz="4" w:space="0" w:color="auto"/>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b/>
                <w:bCs/>
                <w:sz w:val="20"/>
                <w:szCs w:val="20"/>
              </w:rPr>
            </w:pPr>
            <w:r w:rsidRPr="00613E08">
              <w:rPr>
                <w:rFonts w:ascii="Times New Roman" w:eastAsia="TimesNewRoman" w:hAnsi="Times New Roman"/>
                <w:b/>
                <w:bCs/>
                <w:sz w:val="20"/>
                <w:szCs w:val="20"/>
              </w:rPr>
              <w:t>Low</w:t>
            </w:r>
          </w:p>
        </w:tc>
        <w:tc>
          <w:tcPr>
            <w:tcW w:w="1221" w:type="dxa"/>
            <w:tcBorders>
              <w:bottom w:val="single" w:sz="4" w:space="0" w:color="auto"/>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b/>
                <w:bCs/>
                <w:sz w:val="20"/>
                <w:szCs w:val="20"/>
              </w:rPr>
            </w:pPr>
            <w:r w:rsidRPr="00613E08">
              <w:rPr>
                <w:rFonts w:ascii="Times New Roman" w:eastAsia="TimesNewRoman" w:hAnsi="Times New Roman"/>
                <w:b/>
                <w:bCs/>
                <w:sz w:val="20"/>
                <w:szCs w:val="20"/>
              </w:rPr>
              <w:t>High</w:t>
            </w:r>
          </w:p>
        </w:tc>
      </w:tr>
      <w:tr w:rsidR="00613E08" w:rsidRPr="00613E08" w:rsidTr="00E80F08">
        <w:trPr>
          <w:trHeight w:val="254"/>
          <w:jc w:val="center"/>
        </w:trPr>
        <w:tc>
          <w:tcPr>
            <w:tcW w:w="1306" w:type="dxa"/>
            <w:tcBorders>
              <w:bottom w:val="nil"/>
            </w:tcBorders>
            <w:shd w:val="clear" w:color="auto" w:fill="auto"/>
          </w:tcPr>
          <w:p w:rsidR="00613E08" w:rsidRPr="00613E08" w:rsidRDefault="00613E08" w:rsidP="00613E08">
            <w:pPr>
              <w:autoSpaceDE w:val="0"/>
              <w:autoSpaceDN w:val="0"/>
              <w:adjustRightInd w:val="0"/>
              <w:spacing w:before="60" w:after="0" w:line="240" w:lineRule="auto"/>
              <w:rPr>
                <w:rFonts w:ascii="Times New Roman" w:eastAsia="TimesNewRoman" w:hAnsi="Times New Roman"/>
                <w:sz w:val="20"/>
                <w:szCs w:val="20"/>
              </w:rPr>
            </w:pPr>
            <w:r w:rsidRPr="00613E08">
              <w:rPr>
                <w:rFonts w:ascii="Times New Roman" w:eastAsia="TimesNewRoman" w:hAnsi="Times New Roman"/>
                <w:sz w:val="20"/>
                <w:szCs w:val="20"/>
              </w:rPr>
              <w:t>NP</w:t>
            </w:r>
          </w:p>
        </w:tc>
        <w:tc>
          <w:tcPr>
            <w:tcW w:w="1221" w:type="dxa"/>
            <w:tcBorders>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0.010</w:t>
            </w:r>
          </w:p>
        </w:tc>
        <w:tc>
          <w:tcPr>
            <w:tcW w:w="1221" w:type="dxa"/>
            <w:tcBorders>
              <w:bottom w:val="nil"/>
            </w:tcBorders>
            <w:shd w:val="clear" w:color="auto" w:fill="auto"/>
          </w:tcPr>
          <w:p w:rsidR="00613E08" w:rsidRPr="00613E08" w:rsidRDefault="00613E08" w:rsidP="00613E08">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0.065</w:t>
            </w:r>
          </w:p>
        </w:tc>
      </w:tr>
      <w:tr w:rsidR="00613E08" w:rsidRPr="00613E08" w:rsidTr="00E80F08">
        <w:trPr>
          <w:trHeight w:val="254"/>
          <w:jc w:val="center"/>
        </w:trPr>
        <w:tc>
          <w:tcPr>
            <w:tcW w:w="1306" w:type="dxa"/>
            <w:tcBorders>
              <w:top w:val="nil"/>
            </w:tcBorders>
            <w:shd w:val="clear" w:color="auto" w:fill="auto"/>
          </w:tcPr>
          <w:p w:rsidR="00613E08" w:rsidRPr="00613E08" w:rsidRDefault="00613E08" w:rsidP="00613E08">
            <w:pPr>
              <w:autoSpaceDE w:val="0"/>
              <w:autoSpaceDN w:val="0"/>
              <w:adjustRightInd w:val="0"/>
              <w:spacing w:before="60" w:after="60" w:line="240" w:lineRule="auto"/>
              <w:rPr>
                <w:rFonts w:ascii="Times New Roman" w:eastAsia="TimesNewRoman" w:hAnsi="Times New Roman"/>
                <w:sz w:val="20"/>
                <w:szCs w:val="20"/>
              </w:rPr>
            </w:pPr>
            <w:r w:rsidRPr="00613E08">
              <w:rPr>
                <w:rFonts w:ascii="Times New Roman" w:eastAsia="TimesNewRoman" w:hAnsi="Times New Roman"/>
                <w:sz w:val="20"/>
                <w:szCs w:val="20"/>
              </w:rPr>
              <w:t xml:space="preserve">OP </w:t>
            </w:r>
          </w:p>
        </w:tc>
        <w:tc>
          <w:tcPr>
            <w:tcW w:w="1221" w:type="dxa"/>
            <w:tcBorders>
              <w:top w:val="nil"/>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0.065</w:t>
            </w:r>
          </w:p>
        </w:tc>
        <w:tc>
          <w:tcPr>
            <w:tcW w:w="1221" w:type="dxa"/>
            <w:tcBorders>
              <w:top w:val="nil"/>
            </w:tcBorders>
            <w:shd w:val="clear" w:color="auto" w:fill="auto"/>
          </w:tcPr>
          <w:p w:rsidR="00613E08" w:rsidRPr="00613E08" w:rsidRDefault="00613E08" w:rsidP="00613E08">
            <w:pPr>
              <w:autoSpaceDE w:val="0"/>
              <w:autoSpaceDN w:val="0"/>
              <w:adjustRightInd w:val="0"/>
              <w:spacing w:before="60" w:after="6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0.084</w:t>
            </w:r>
          </w:p>
        </w:tc>
      </w:tr>
    </w:tbl>
    <w:p w:rsidR="00613E08" w:rsidRDefault="00613E08" w:rsidP="00613E08">
      <w:pPr>
        <w:autoSpaceDE w:val="0"/>
        <w:autoSpaceDN w:val="0"/>
        <w:adjustRightInd w:val="0"/>
        <w:spacing w:after="0" w:line="240" w:lineRule="auto"/>
        <w:jc w:val="both"/>
        <w:rPr>
          <w:rFonts w:ascii="Times New Roman" w:hAnsi="Times New Roman"/>
          <w:b/>
          <w:bCs/>
          <w:sz w:val="20"/>
          <w:szCs w:val="20"/>
        </w:rPr>
      </w:pPr>
    </w:p>
    <w:p w:rsidR="00613E08" w:rsidRDefault="00613E08" w:rsidP="00613E08">
      <w:pPr>
        <w:autoSpaceDE w:val="0"/>
        <w:autoSpaceDN w:val="0"/>
        <w:adjustRightInd w:val="0"/>
        <w:spacing w:after="0" w:line="240" w:lineRule="auto"/>
        <w:jc w:val="both"/>
        <w:rPr>
          <w:rFonts w:ascii="Times New Roman" w:hAnsi="Times New Roman"/>
          <w:b/>
          <w:bCs/>
          <w:sz w:val="20"/>
          <w:szCs w:val="20"/>
        </w:rPr>
      </w:pPr>
    </w:p>
    <w:p w:rsidR="00613E08" w:rsidRPr="00613E08" w:rsidRDefault="00613E08" w:rsidP="00613E08">
      <w:pPr>
        <w:autoSpaceDE w:val="0"/>
        <w:autoSpaceDN w:val="0"/>
        <w:adjustRightInd w:val="0"/>
        <w:spacing w:after="0" w:line="240" w:lineRule="auto"/>
        <w:jc w:val="both"/>
        <w:rPr>
          <w:rFonts w:ascii="Times New Roman" w:hAnsi="Times New Roman"/>
          <w:b/>
          <w:bCs/>
          <w:sz w:val="20"/>
          <w:szCs w:val="20"/>
        </w:rPr>
      </w:pPr>
    </w:p>
    <w:p w:rsidR="00613E08" w:rsidRPr="00613E08" w:rsidRDefault="00613E08" w:rsidP="00613E08">
      <w:pPr>
        <w:spacing w:after="0" w:line="240" w:lineRule="auto"/>
        <w:jc w:val="center"/>
        <w:rPr>
          <w:rFonts w:ascii="Times New Roman" w:hAnsi="Times New Roman"/>
          <w:noProof/>
          <w:sz w:val="20"/>
          <w:szCs w:val="20"/>
        </w:rPr>
      </w:pPr>
      <w:r w:rsidRPr="00613E08">
        <w:rPr>
          <w:rFonts w:ascii="Times New Roman" w:hAnsi="Times New Roman"/>
          <w:noProof/>
          <w:sz w:val="20"/>
          <w:szCs w:val="20"/>
        </w:rPr>
        <w:object w:dxaOrig="7194" w:dyaOrig="4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95pt;height:129.7pt;mso-position-vertical:absolute" o:ole="">
            <v:imagedata r:id="rId12" o:title=""/>
          </v:shape>
          <o:OLEObject Type="Embed" ProgID="Excel.Sheet.8" ShapeID="_x0000_i1025" DrawAspect="Content" ObjectID="_1558627152" r:id="rId13"/>
        </w:object>
      </w:r>
      <w:r w:rsidRPr="00613E08">
        <w:rPr>
          <w:rFonts w:ascii="Times New Roman" w:hAnsi="Times New Roman"/>
          <w:noProof/>
          <w:sz w:val="20"/>
          <w:szCs w:val="20"/>
        </w:rPr>
        <w:object w:dxaOrig="7194" w:dyaOrig="4075">
          <v:shape id="_x0000_i1026" type="#_x0000_t75" style="width:228.75pt;height:129.8pt" o:ole="">
            <v:imagedata r:id="rId14" o:title=""/>
          </v:shape>
          <o:OLEObject Type="Embed" ProgID="Excel.Sheet.8" ShapeID="_x0000_i1026" DrawAspect="Content" ObjectID="_1558627153" r:id="rId15"/>
        </w:object>
      </w:r>
    </w:p>
    <w:p w:rsidR="00613E08" w:rsidRPr="00613E08" w:rsidRDefault="00613E08" w:rsidP="00613E08">
      <w:pPr>
        <w:spacing w:after="0" w:line="240" w:lineRule="auto"/>
        <w:jc w:val="both"/>
        <w:rPr>
          <w:rFonts w:ascii="Times New Roman" w:hAnsi="Times New Roman"/>
          <w:sz w:val="20"/>
          <w:szCs w:val="20"/>
        </w:rPr>
      </w:pPr>
    </w:p>
    <w:p w:rsidR="00613E08" w:rsidRPr="00613E08" w:rsidRDefault="00613E08" w:rsidP="00613E08">
      <w:pPr>
        <w:spacing w:after="0" w:line="240" w:lineRule="auto"/>
        <w:ind w:left="851" w:hanging="851"/>
        <w:jc w:val="both"/>
        <w:rPr>
          <w:rFonts w:ascii="Times New Roman" w:hAnsi="Times New Roman"/>
          <w:sz w:val="20"/>
          <w:szCs w:val="20"/>
        </w:rPr>
      </w:pPr>
      <w:r w:rsidRPr="00613E08">
        <w:rPr>
          <w:rFonts w:ascii="Times New Roman" w:eastAsia="TimesNewRoman" w:hAnsi="Times New Roman"/>
          <w:sz w:val="20"/>
          <w:szCs w:val="20"/>
        </w:rPr>
        <w:t xml:space="preserve">Figure 2. </w:t>
      </w:r>
      <w:r>
        <w:rPr>
          <w:rFonts w:ascii="Times New Roman" w:eastAsia="TimesNewRoman" w:hAnsi="Times New Roman"/>
          <w:sz w:val="20"/>
          <w:szCs w:val="20"/>
        </w:rPr>
        <w:tab/>
      </w:r>
      <w:r w:rsidRPr="00613E08">
        <w:rPr>
          <w:rFonts w:ascii="Times New Roman" w:eastAsia="TimesNewRoman" w:hAnsi="Times New Roman"/>
          <w:sz w:val="20"/>
          <w:szCs w:val="20"/>
        </w:rPr>
        <w:t xml:space="preserve">Accumulation of NP and OP (ng/g dry weight) in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in control, low and high exposure groups. Error bars indicate the standard deviation (n = 3)</w:t>
      </w:r>
    </w:p>
    <w:p w:rsidR="00613E08" w:rsidRDefault="00613E08" w:rsidP="00613E08">
      <w:pPr>
        <w:autoSpaceDE w:val="0"/>
        <w:autoSpaceDN w:val="0"/>
        <w:adjustRightInd w:val="0"/>
        <w:spacing w:after="0" w:line="240" w:lineRule="auto"/>
        <w:jc w:val="both"/>
        <w:rPr>
          <w:rFonts w:ascii="Times New Roman" w:hAnsi="Times New Roman"/>
          <w:b/>
          <w:bCs/>
          <w:sz w:val="20"/>
          <w:szCs w:val="20"/>
        </w:rPr>
      </w:pPr>
    </w:p>
    <w:p w:rsidR="00613E08" w:rsidRPr="00613E08" w:rsidRDefault="00613E08" w:rsidP="00613E08">
      <w:pPr>
        <w:autoSpaceDE w:val="0"/>
        <w:autoSpaceDN w:val="0"/>
        <w:adjustRightInd w:val="0"/>
        <w:spacing w:after="0" w:line="240" w:lineRule="auto"/>
        <w:jc w:val="both"/>
        <w:rPr>
          <w:rFonts w:ascii="Times New Roman" w:hAnsi="Times New Roman"/>
          <w:b/>
          <w:bCs/>
          <w:sz w:val="20"/>
          <w:szCs w:val="20"/>
        </w:rPr>
      </w:pP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BAF from previous studies are tabulated in Table 5. Based on the values, NP was discovered to be bio accumulated in bluegill, flounder and goby with BAF of 2.33, 6.24 and 27.0, respectively. These fishes were collected near sewage treatment water effluent; thus, it was probable that they may have accumulated NP from the water as well. NP was also found to be bioaccumulated in worm, mussel and bivalve. As sediment-dwelling organism, worms are in direct exposure to the pollutant in sediment – which may cause bioaccumulation [25]; higher concentration of NP in benthic worm compared to sediment was also observed in our previous field study [26]. Meanwhile, mussel and bivalve were sampled in urban and industrial areas [16, 27], hence received NP at frequent term which could lead to bioaccumulation. However, many other studies reported the same results as the present study that NP was not bioaccumulated in fish. In the case of OP on the other hand, no bioaccumulation was observed either in fish or invertebrate.</w:t>
      </w: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lang w:eastAsia="en-MY"/>
        </w:rPr>
      </w:pPr>
      <w:r w:rsidRPr="00613E08">
        <w:rPr>
          <w:rFonts w:ascii="Times New Roman" w:eastAsia="TimesNewRoman" w:hAnsi="Times New Roman"/>
          <w:sz w:val="20"/>
          <w:szCs w:val="20"/>
        </w:rPr>
        <w:t xml:space="preserve">NP and OP did not bioaccumulate in </w:t>
      </w:r>
      <w:r w:rsidRPr="00613E08">
        <w:rPr>
          <w:rFonts w:ascii="Times New Roman" w:hAnsi="Times New Roman"/>
          <w:i/>
          <w:iCs/>
          <w:sz w:val="20"/>
          <w:szCs w:val="20"/>
        </w:rPr>
        <w:t xml:space="preserve">P. yokohamae </w:t>
      </w:r>
      <w:r w:rsidRPr="00613E08">
        <w:rPr>
          <w:rFonts w:ascii="Times New Roman" w:eastAsia="TimesNewRoman" w:hAnsi="Times New Roman"/>
          <w:sz w:val="20"/>
          <w:szCs w:val="20"/>
        </w:rPr>
        <w:t xml:space="preserve">through the sediment as suggested by BAF values. However, certain aquatic organisms could probably accumulate EDCs (e.g. bluegill, flounder, and goby). This provides an impression that accumulation is probably influenced by species specific. </w:t>
      </w:r>
      <w:r w:rsidRPr="00613E08">
        <w:rPr>
          <w:rFonts w:ascii="Times New Roman" w:eastAsia="TimesNewRoman" w:hAnsi="Times New Roman"/>
          <w:sz w:val="20"/>
          <w:szCs w:val="20"/>
          <w:lang w:eastAsia="en-MY"/>
        </w:rPr>
        <w:t>This study was conducted to investigate the extremely high BAF values of EDCs measured in benthic worm compared to sediment samples of Osaka Bay [16]. If the worm accumulated EDCs from the sediment, the fish might accumulate the same compounds. Following this hypothesis, the EDCs have great potentials to be transferred into human as they consume the fish. Therefore, the EDCs measurement in fish from Osaka Bay should be conducted in order to prove the hypothesis.</w:t>
      </w:r>
    </w:p>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p w:rsidR="00613E08" w:rsidRPr="00613E08" w:rsidRDefault="00613E08" w:rsidP="00613E08">
      <w:pPr>
        <w:autoSpaceDE w:val="0"/>
        <w:autoSpaceDN w:val="0"/>
        <w:adjustRightInd w:val="0"/>
        <w:spacing w:after="12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 xml:space="preserve">Table 5. </w:t>
      </w:r>
      <w:r>
        <w:rPr>
          <w:rFonts w:ascii="Times New Roman" w:eastAsia="TimesNewRoman" w:hAnsi="Times New Roman"/>
          <w:sz w:val="20"/>
          <w:szCs w:val="20"/>
        </w:rPr>
        <w:t xml:space="preserve"> </w:t>
      </w:r>
      <w:r w:rsidRPr="00613E08">
        <w:rPr>
          <w:rFonts w:ascii="Times New Roman" w:eastAsia="TimesNewRoman" w:hAnsi="Times New Roman"/>
          <w:sz w:val="20"/>
          <w:szCs w:val="20"/>
        </w:rPr>
        <w:t>Bioaccumulation factors (BAF) of NP and OP in fishes and invertebrates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12"/>
        <w:gridCol w:w="666"/>
        <w:gridCol w:w="666"/>
        <w:gridCol w:w="3382"/>
        <w:gridCol w:w="1378"/>
      </w:tblGrid>
      <w:tr w:rsidR="00613E08" w:rsidRPr="00613E08" w:rsidTr="00E80F08">
        <w:trPr>
          <w:trHeight w:val="185"/>
          <w:jc w:val="center"/>
        </w:trPr>
        <w:tc>
          <w:tcPr>
            <w:tcW w:w="0" w:type="auto"/>
            <w:vMerge w:val="restart"/>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b/>
                <w:bCs/>
                <w:sz w:val="20"/>
                <w:szCs w:val="20"/>
              </w:rPr>
            </w:pPr>
          </w:p>
        </w:tc>
        <w:tc>
          <w:tcPr>
            <w:tcW w:w="0" w:type="auto"/>
            <w:gridSpan w:val="2"/>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b/>
                <w:bCs/>
                <w:sz w:val="20"/>
                <w:szCs w:val="20"/>
              </w:rPr>
            </w:pPr>
            <w:r w:rsidRPr="00613E08">
              <w:rPr>
                <w:rFonts w:ascii="Times New Roman" w:eastAsia="TimesNewRoman" w:hAnsi="Times New Roman"/>
                <w:b/>
                <w:bCs/>
                <w:sz w:val="20"/>
                <w:szCs w:val="20"/>
              </w:rPr>
              <w:t>BAF</w:t>
            </w:r>
          </w:p>
        </w:tc>
        <w:tc>
          <w:tcPr>
            <w:tcW w:w="0" w:type="auto"/>
            <w:vMerge w:val="restart"/>
            <w:shd w:val="clear" w:color="auto" w:fill="auto"/>
          </w:tcPr>
          <w:p w:rsidR="00613E08" w:rsidRPr="00613E08" w:rsidRDefault="00613E08" w:rsidP="00613E08">
            <w:pPr>
              <w:autoSpaceDE w:val="0"/>
              <w:autoSpaceDN w:val="0"/>
              <w:adjustRightInd w:val="0"/>
              <w:spacing w:before="60" w:after="0" w:line="240" w:lineRule="auto"/>
              <w:jc w:val="both"/>
              <w:rPr>
                <w:rFonts w:ascii="Times New Roman" w:eastAsia="TimesNewRoman" w:hAnsi="Times New Roman"/>
                <w:b/>
                <w:bCs/>
                <w:sz w:val="20"/>
                <w:szCs w:val="20"/>
              </w:rPr>
            </w:pPr>
            <w:r w:rsidRPr="00613E08">
              <w:rPr>
                <w:rFonts w:ascii="Times New Roman" w:eastAsia="TimesNewRoman" w:hAnsi="Times New Roman"/>
                <w:b/>
                <w:bCs/>
                <w:sz w:val="20"/>
                <w:szCs w:val="20"/>
              </w:rPr>
              <w:t>Study Area</w:t>
            </w:r>
          </w:p>
        </w:tc>
        <w:tc>
          <w:tcPr>
            <w:tcW w:w="0" w:type="auto"/>
            <w:vMerge w:val="restart"/>
            <w:shd w:val="clear" w:color="auto" w:fill="auto"/>
          </w:tcPr>
          <w:p w:rsidR="00613E08" w:rsidRPr="00613E08" w:rsidRDefault="00613E08" w:rsidP="00613E08">
            <w:pPr>
              <w:autoSpaceDE w:val="0"/>
              <w:autoSpaceDN w:val="0"/>
              <w:adjustRightInd w:val="0"/>
              <w:spacing w:before="60" w:after="0" w:line="240" w:lineRule="auto"/>
              <w:jc w:val="both"/>
              <w:rPr>
                <w:rFonts w:ascii="Times New Roman" w:eastAsia="TimesNewRoman" w:hAnsi="Times New Roman"/>
                <w:b/>
                <w:bCs/>
                <w:sz w:val="20"/>
                <w:szCs w:val="20"/>
              </w:rPr>
            </w:pPr>
            <w:r w:rsidRPr="00613E08">
              <w:rPr>
                <w:rFonts w:ascii="Times New Roman" w:eastAsia="TimesNewRoman" w:hAnsi="Times New Roman"/>
                <w:b/>
                <w:bCs/>
                <w:sz w:val="20"/>
                <w:szCs w:val="20"/>
              </w:rPr>
              <w:t>Reference</w:t>
            </w:r>
          </w:p>
        </w:tc>
      </w:tr>
      <w:tr w:rsidR="00613E08" w:rsidRPr="00613E08" w:rsidTr="00E80F08">
        <w:trPr>
          <w:jc w:val="center"/>
        </w:trPr>
        <w:tc>
          <w:tcPr>
            <w:tcW w:w="0" w:type="auto"/>
            <w:vMerge/>
            <w:tcBorders>
              <w:bottom w:val="single" w:sz="4" w:space="0" w:color="auto"/>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tc>
        <w:tc>
          <w:tcPr>
            <w:tcW w:w="0" w:type="auto"/>
            <w:tcBorders>
              <w:bottom w:val="single" w:sz="4" w:space="0" w:color="auto"/>
            </w:tcBorders>
            <w:shd w:val="clear" w:color="auto" w:fill="auto"/>
          </w:tcPr>
          <w:p w:rsidR="00613E08" w:rsidRPr="00613E08" w:rsidRDefault="00613E08" w:rsidP="0066031C">
            <w:pPr>
              <w:autoSpaceDE w:val="0"/>
              <w:autoSpaceDN w:val="0"/>
              <w:adjustRightInd w:val="0"/>
              <w:spacing w:after="60" w:line="240" w:lineRule="auto"/>
              <w:jc w:val="center"/>
              <w:rPr>
                <w:rFonts w:ascii="Times New Roman" w:eastAsia="TimesNewRoman" w:hAnsi="Times New Roman"/>
                <w:b/>
                <w:bCs/>
                <w:sz w:val="20"/>
                <w:szCs w:val="20"/>
              </w:rPr>
            </w:pPr>
            <w:r w:rsidRPr="00613E08">
              <w:rPr>
                <w:rFonts w:ascii="Times New Roman" w:eastAsia="TimesNewRoman" w:hAnsi="Times New Roman"/>
                <w:b/>
                <w:bCs/>
                <w:sz w:val="20"/>
                <w:szCs w:val="20"/>
              </w:rPr>
              <w:t>NP</w:t>
            </w:r>
          </w:p>
        </w:tc>
        <w:tc>
          <w:tcPr>
            <w:tcW w:w="0" w:type="auto"/>
            <w:tcBorders>
              <w:bottom w:val="single" w:sz="4" w:space="0" w:color="auto"/>
            </w:tcBorders>
            <w:shd w:val="clear" w:color="auto" w:fill="auto"/>
          </w:tcPr>
          <w:p w:rsidR="00613E08" w:rsidRPr="00613E08" w:rsidRDefault="00613E08" w:rsidP="0066031C">
            <w:pPr>
              <w:autoSpaceDE w:val="0"/>
              <w:autoSpaceDN w:val="0"/>
              <w:adjustRightInd w:val="0"/>
              <w:spacing w:after="0" w:line="240" w:lineRule="auto"/>
              <w:jc w:val="center"/>
              <w:rPr>
                <w:rFonts w:ascii="Times New Roman" w:eastAsia="TimesNewRoman" w:hAnsi="Times New Roman"/>
                <w:b/>
                <w:bCs/>
                <w:sz w:val="20"/>
                <w:szCs w:val="20"/>
              </w:rPr>
            </w:pPr>
            <w:r w:rsidRPr="00613E08">
              <w:rPr>
                <w:rFonts w:ascii="Times New Roman" w:eastAsia="TimesNewRoman" w:hAnsi="Times New Roman"/>
                <w:b/>
                <w:bCs/>
                <w:sz w:val="20"/>
                <w:szCs w:val="20"/>
              </w:rPr>
              <w:t>OP</w:t>
            </w:r>
          </w:p>
        </w:tc>
        <w:tc>
          <w:tcPr>
            <w:tcW w:w="0" w:type="auto"/>
            <w:vMerge/>
            <w:tcBorders>
              <w:bottom w:val="single" w:sz="4" w:space="0" w:color="auto"/>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tc>
        <w:tc>
          <w:tcPr>
            <w:tcW w:w="0" w:type="auto"/>
            <w:vMerge/>
            <w:tcBorders>
              <w:bottom w:val="single" w:sz="4" w:space="0" w:color="auto"/>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tc>
      </w:tr>
      <w:tr w:rsidR="00613E08" w:rsidRPr="00613E08" w:rsidTr="00E80F08">
        <w:trPr>
          <w:jc w:val="center"/>
        </w:trPr>
        <w:tc>
          <w:tcPr>
            <w:tcW w:w="0" w:type="auto"/>
            <w:tcBorders>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hAnsi="Times New Roman"/>
                <w:i/>
                <w:iCs/>
                <w:sz w:val="20"/>
                <w:szCs w:val="20"/>
              </w:rPr>
            </w:pPr>
            <w:r w:rsidRPr="00613E08">
              <w:rPr>
                <w:rFonts w:ascii="Times New Roman" w:hAnsi="Times New Roman"/>
                <w:i/>
                <w:iCs/>
                <w:sz w:val="20"/>
                <w:szCs w:val="20"/>
              </w:rPr>
              <w:t>Fish</w:t>
            </w:r>
          </w:p>
        </w:tc>
        <w:tc>
          <w:tcPr>
            <w:tcW w:w="0" w:type="auto"/>
            <w:tcBorders>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p>
        </w:tc>
        <w:tc>
          <w:tcPr>
            <w:tcW w:w="0" w:type="auto"/>
            <w:tcBorders>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p>
        </w:tc>
        <w:tc>
          <w:tcPr>
            <w:tcW w:w="0" w:type="auto"/>
            <w:tcBorders>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p>
        </w:tc>
        <w:tc>
          <w:tcPr>
            <w:tcW w:w="0" w:type="auto"/>
            <w:tcBorders>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Bluegill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2.330</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Kalamazoo River, US</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[28]</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Flounder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6.240</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Tyne Estuary, UK</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[29]</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0.042</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0.960</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Tees Estuary, UK</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Various fish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0.208</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0.121</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 xml:space="preserve">Ebro river basin, Spain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[30]</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Flatfish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0.981</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 xml:space="preserve">Southern California Bight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[31]</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Black seabream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0.013</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0.009</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 xml:space="preserve">Yundang Lagoon, China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[32]</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Yellowfin seabream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0.082</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0.014</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Tilapia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0.303</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0.073</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Goby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27.00</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North American Pacific Coast estuaries</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[12]</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3"/>
              <w:jc w:val="both"/>
              <w:rPr>
                <w:rFonts w:ascii="Times New Roman" w:hAnsi="Times New Roman"/>
                <w:b/>
                <w:bCs/>
                <w:sz w:val="20"/>
                <w:szCs w:val="20"/>
              </w:rPr>
            </w:pPr>
            <w:r w:rsidRPr="00613E08">
              <w:rPr>
                <w:rFonts w:ascii="Times New Roman" w:hAnsi="Times New Roman"/>
                <w:b/>
                <w:bCs/>
                <w:sz w:val="20"/>
                <w:szCs w:val="20"/>
              </w:rPr>
              <w:t xml:space="preserve">Sole </w:t>
            </w:r>
          </w:p>
          <w:p w:rsidR="00613E08" w:rsidRPr="00613E08" w:rsidRDefault="00613E08" w:rsidP="0066031C">
            <w:pPr>
              <w:autoSpaceDE w:val="0"/>
              <w:autoSpaceDN w:val="0"/>
              <w:adjustRightInd w:val="0"/>
              <w:spacing w:after="0" w:line="240" w:lineRule="auto"/>
              <w:ind w:left="179"/>
              <w:jc w:val="both"/>
              <w:rPr>
                <w:rFonts w:ascii="Times New Roman" w:hAnsi="Times New Roman"/>
                <w:b/>
                <w:bCs/>
                <w:i/>
                <w:iCs/>
                <w:sz w:val="20"/>
                <w:szCs w:val="20"/>
              </w:rPr>
            </w:pPr>
            <w:r w:rsidRPr="00613E08">
              <w:rPr>
                <w:rFonts w:ascii="Times New Roman" w:hAnsi="Times New Roman"/>
                <w:b/>
                <w:bCs/>
                <w:sz w:val="20"/>
                <w:szCs w:val="20"/>
              </w:rPr>
              <w:t>(</w:t>
            </w:r>
            <w:r w:rsidRPr="00613E08">
              <w:rPr>
                <w:rFonts w:ascii="Times New Roman" w:hAnsi="Times New Roman"/>
                <w:b/>
                <w:bCs/>
                <w:i/>
                <w:iCs/>
                <w:sz w:val="20"/>
                <w:szCs w:val="20"/>
              </w:rPr>
              <w:t>P. yokohamae</w:t>
            </w:r>
            <w:r w:rsidRPr="00613E08">
              <w:rPr>
                <w:rFonts w:ascii="Times New Roman" w:hAnsi="Times New Roman"/>
                <w:b/>
                <w:bCs/>
                <w:sz w:val="20"/>
                <w:szCs w:val="20"/>
              </w:rPr>
              <w:t xml:space="preserve">)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hAnsi="Times New Roman"/>
                <w:b/>
                <w:bCs/>
                <w:sz w:val="20"/>
                <w:szCs w:val="20"/>
              </w:rPr>
              <w:t>0.038</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hAnsi="Times New Roman"/>
                <w:b/>
                <w:bCs/>
                <w:sz w:val="20"/>
                <w:szCs w:val="20"/>
              </w:rPr>
              <w:t>0.075</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hAnsi="Times New Roman"/>
                <w:b/>
                <w:bCs/>
                <w:sz w:val="20"/>
                <w:szCs w:val="20"/>
              </w:rPr>
              <w:t>Lab exposure</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hAnsi="Times New Roman"/>
                <w:b/>
                <w:bCs/>
                <w:sz w:val="20"/>
                <w:szCs w:val="20"/>
              </w:rPr>
              <w:t>Present study</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6031C">
            <w:pPr>
              <w:autoSpaceDE w:val="0"/>
              <w:autoSpaceDN w:val="0"/>
              <w:adjustRightInd w:val="0"/>
              <w:spacing w:after="0" w:line="240" w:lineRule="auto"/>
              <w:jc w:val="center"/>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6031C">
            <w:pPr>
              <w:autoSpaceDE w:val="0"/>
              <w:autoSpaceDN w:val="0"/>
              <w:adjustRightInd w:val="0"/>
              <w:spacing w:after="0" w:line="240" w:lineRule="auto"/>
              <w:jc w:val="center"/>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hAnsi="Times New Roman"/>
                <w:i/>
                <w:iCs/>
                <w:sz w:val="20"/>
                <w:szCs w:val="20"/>
              </w:rPr>
            </w:pPr>
            <w:r w:rsidRPr="00613E08">
              <w:rPr>
                <w:rFonts w:ascii="Times New Roman" w:hAnsi="Times New Roman"/>
                <w:i/>
                <w:iCs/>
                <w:sz w:val="20"/>
                <w:szCs w:val="20"/>
              </w:rPr>
              <w:t>Invertebrate</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after="0" w:line="240" w:lineRule="auto"/>
              <w:jc w:val="center"/>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6031C">
            <w:pPr>
              <w:autoSpaceDE w:val="0"/>
              <w:autoSpaceDN w:val="0"/>
              <w:adjustRightInd w:val="0"/>
              <w:spacing w:after="0" w:line="240" w:lineRule="auto"/>
              <w:jc w:val="center"/>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tc>
        <w:tc>
          <w:tcPr>
            <w:tcW w:w="0" w:type="auto"/>
            <w:tcBorders>
              <w:top w:val="nil"/>
              <w:bottom w:val="nil"/>
            </w:tcBorders>
            <w:shd w:val="clear" w:color="auto" w:fill="auto"/>
          </w:tcPr>
          <w:p w:rsidR="00613E08" w:rsidRPr="00613E08" w:rsidRDefault="00613E08" w:rsidP="00613E08">
            <w:pPr>
              <w:autoSpaceDE w:val="0"/>
              <w:autoSpaceDN w:val="0"/>
              <w:adjustRightInd w:val="0"/>
              <w:spacing w:after="0" w:line="240" w:lineRule="auto"/>
              <w:jc w:val="both"/>
              <w:rPr>
                <w:rFonts w:ascii="Times New Roman" w:eastAsia="TimesNewRoman" w:hAnsi="Times New Roman"/>
                <w:sz w:val="20"/>
                <w:szCs w:val="20"/>
              </w:rPr>
            </w:pP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Shrimp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0.002</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Scheldt estuary, The Netherlands</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[33]</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Bivalve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6.580</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Northeast coast of China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[34]</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Worm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5.900</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Lab exposure</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[26]</w:t>
            </w:r>
          </w:p>
        </w:tc>
      </w:tr>
      <w:tr w:rsidR="00613E08" w:rsidRPr="00613E08" w:rsidTr="00E80F08">
        <w:trPr>
          <w:jc w:val="center"/>
        </w:trPr>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Short-necked clam </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0.065</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0.042</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Yundang Lagoon, China</w:t>
            </w:r>
          </w:p>
        </w:tc>
        <w:tc>
          <w:tcPr>
            <w:tcW w:w="0" w:type="auto"/>
            <w:tcBorders>
              <w:top w:val="nil"/>
              <w:bottom w:val="nil"/>
            </w:tcBorders>
            <w:shd w:val="clear" w:color="auto" w:fill="auto"/>
          </w:tcPr>
          <w:p w:rsidR="00613E08" w:rsidRPr="00613E08" w:rsidRDefault="00613E08" w:rsidP="0066031C">
            <w:pPr>
              <w:autoSpaceDE w:val="0"/>
              <w:autoSpaceDN w:val="0"/>
              <w:adjustRightInd w:val="0"/>
              <w:spacing w:before="60" w:after="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[32]</w:t>
            </w:r>
          </w:p>
        </w:tc>
      </w:tr>
      <w:tr w:rsidR="00613E08" w:rsidRPr="00613E08" w:rsidTr="00E80F08">
        <w:trPr>
          <w:jc w:val="center"/>
        </w:trPr>
        <w:tc>
          <w:tcPr>
            <w:tcW w:w="0" w:type="auto"/>
            <w:tcBorders>
              <w:top w:val="nil"/>
            </w:tcBorders>
            <w:shd w:val="clear" w:color="auto" w:fill="auto"/>
          </w:tcPr>
          <w:p w:rsidR="00613E08" w:rsidRPr="00613E08" w:rsidRDefault="00613E08" w:rsidP="0066031C">
            <w:pPr>
              <w:autoSpaceDE w:val="0"/>
              <w:autoSpaceDN w:val="0"/>
              <w:adjustRightInd w:val="0"/>
              <w:spacing w:before="60" w:after="60" w:line="240" w:lineRule="auto"/>
              <w:ind w:left="179"/>
              <w:jc w:val="both"/>
              <w:rPr>
                <w:rFonts w:ascii="Times New Roman" w:eastAsia="TimesNewRoman" w:hAnsi="Times New Roman"/>
                <w:sz w:val="20"/>
                <w:szCs w:val="20"/>
              </w:rPr>
            </w:pPr>
            <w:r w:rsidRPr="00613E08">
              <w:rPr>
                <w:rFonts w:ascii="Times New Roman" w:eastAsia="TimesNewRoman" w:hAnsi="Times New Roman"/>
                <w:sz w:val="20"/>
                <w:szCs w:val="20"/>
              </w:rPr>
              <w:t xml:space="preserve">Mussel </w:t>
            </w:r>
          </w:p>
        </w:tc>
        <w:tc>
          <w:tcPr>
            <w:tcW w:w="0" w:type="auto"/>
            <w:tcBorders>
              <w:top w:val="nil"/>
            </w:tcBorders>
            <w:shd w:val="clear" w:color="auto" w:fill="auto"/>
          </w:tcPr>
          <w:p w:rsidR="00613E08" w:rsidRPr="00613E08" w:rsidRDefault="00613E08" w:rsidP="0066031C">
            <w:pPr>
              <w:autoSpaceDE w:val="0"/>
              <w:autoSpaceDN w:val="0"/>
              <w:adjustRightInd w:val="0"/>
              <w:spacing w:before="60" w:after="6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1.990</w:t>
            </w:r>
          </w:p>
        </w:tc>
        <w:tc>
          <w:tcPr>
            <w:tcW w:w="0" w:type="auto"/>
            <w:tcBorders>
              <w:top w:val="nil"/>
            </w:tcBorders>
            <w:shd w:val="clear" w:color="auto" w:fill="auto"/>
          </w:tcPr>
          <w:p w:rsidR="00613E08" w:rsidRPr="00613E08" w:rsidRDefault="00613E08" w:rsidP="0066031C">
            <w:pPr>
              <w:autoSpaceDE w:val="0"/>
              <w:autoSpaceDN w:val="0"/>
              <w:adjustRightInd w:val="0"/>
              <w:spacing w:before="60" w:after="60" w:line="240" w:lineRule="auto"/>
              <w:jc w:val="center"/>
              <w:rPr>
                <w:rFonts w:ascii="Times New Roman" w:eastAsia="TimesNewRoman" w:hAnsi="Times New Roman"/>
                <w:sz w:val="20"/>
                <w:szCs w:val="20"/>
              </w:rPr>
            </w:pPr>
            <w:r w:rsidRPr="00613E08">
              <w:rPr>
                <w:rFonts w:ascii="Times New Roman" w:eastAsia="TimesNewRoman" w:hAnsi="Times New Roman"/>
                <w:sz w:val="20"/>
                <w:szCs w:val="20"/>
              </w:rPr>
              <w:t>n.a</w:t>
            </w:r>
          </w:p>
        </w:tc>
        <w:tc>
          <w:tcPr>
            <w:tcW w:w="0" w:type="auto"/>
            <w:tcBorders>
              <w:top w:val="nil"/>
            </w:tcBorders>
            <w:shd w:val="clear" w:color="auto" w:fill="auto"/>
          </w:tcPr>
          <w:p w:rsidR="00613E08" w:rsidRPr="00613E08" w:rsidRDefault="00613E08" w:rsidP="0066031C">
            <w:pPr>
              <w:autoSpaceDE w:val="0"/>
              <w:autoSpaceDN w:val="0"/>
              <w:adjustRightInd w:val="0"/>
              <w:spacing w:before="60" w:after="6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Venice lagoon, Italy</w:t>
            </w:r>
          </w:p>
        </w:tc>
        <w:tc>
          <w:tcPr>
            <w:tcW w:w="0" w:type="auto"/>
            <w:tcBorders>
              <w:top w:val="nil"/>
            </w:tcBorders>
            <w:shd w:val="clear" w:color="auto" w:fill="auto"/>
          </w:tcPr>
          <w:p w:rsidR="00613E08" w:rsidRPr="00613E08" w:rsidRDefault="00613E08" w:rsidP="0066031C">
            <w:pPr>
              <w:autoSpaceDE w:val="0"/>
              <w:autoSpaceDN w:val="0"/>
              <w:adjustRightInd w:val="0"/>
              <w:spacing w:before="60" w:after="60" w:line="240" w:lineRule="auto"/>
              <w:jc w:val="both"/>
              <w:rPr>
                <w:rFonts w:ascii="Times New Roman" w:eastAsia="TimesNewRoman" w:hAnsi="Times New Roman"/>
                <w:sz w:val="20"/>
                <w:szCs w:val="20"/>
              </w:rPr>
            </w:pPr>
            <w:r w:rsidRPr="00613E08">
              <w:rPr>
                <w:rFonts w:ascii="Times New Roman" w:eastAsia="TimesNewRoman" w:hAnsi="Times New Roman"/>
                <w:sz w:val="20"/>
                <w:szCs w:val="20"/>
              </w:rPr>
              <w:t>[27]</w:t>
            </w:r>
          </w:p>
        </w:tc>
      </w:tr>
    </w:tbl>
    <w:p w:rsidR="00613E08" w:rsidRPr="0066031C" w:rsidRDefault="00613E08" w:rsidP="0066031C">
      <w:pPr>
        <w:autoSpaceDE w:val="0"/>
        <w:autoSpaceDN w:val="0"/>
        <w:adjustRightInd w:val="0"/>
        <w:spacing w:before="60" w:after="0" w:line="240" w:lineRule="auto"/>
        <w:jc w:val="both"/>
        <w:rPr>
          <w:rFonts w:ascii="Times New Roman" w:eastAsia="TimesNewRoman" w:hAnsi="Times New Roman"/>
          <w:sz w:val="18"/>
          <w:szCs w:val="18"/>
        </w:rPr>
      </w:pPr>
      <w:r w:rsidRPr="0066031C">
        <w:rPr>
          <w:rFonts w:ascii="Times New Roman" w:eastAsia="TimesNewRoman" w:hAnsi="Times New Roman"/>
          <w:sz w:val="18"/>
          <w:szCs w:val="18"/>
        </w:rPr>
        <w:t xml:space="preserve">           </w:t>
      </w:r>
      <w:r w:rsidR="0066031C">
        <w:rPr>
          <w:rFonts w:ascii="Times New Roman" w:eastAsia="TimesNewRoman" w:hAnsi="Times New Roman"/>
          <w:sz w:val="18"/>
          <w:szCs w:val="18"/>
        </w:rPr>
        <w:t xml:space="preserve"> </w:t>
      </w:r>
      <w:r w:rsidRPr="0066031C">
        <w:rPr>
          <w:rFonts w:ascii="Times New Roman" w:eastAsia="TimesNewRoman" w:hAnsi="Times New Roman"/>
          <w:sz w:val="18"/>
          <w:szCs w:val="18"/>
        </w:rPr>
        <w:t xml:space="preserve"> n.a – not available</w:t>
      </w:r>
    </w:p>
    <w:p w:rsidR="00613E08" w:rsidRPr="00613E08" w:rsidRDefault="00613E08" w:rsidP="0066031C">
      <w:pPr>
        <w:autoSpaceDE w:val="0"/>
        <w:autoSpaceDN w:val="0"/>
        <w:adjustRightInd w:val="0"/>
        <w:spacing w:after="0" w:line="240" w:lineRule="auto"/>
        <w:jc w:val="center"/>
        <w:rPr>
          <w:rFonts w:ascii="Times New Roman" w:eastAsia="TimesNewRoman" w:hAnsi="Times New Roman"/>
          <w:sz w:val="20"/>
          <w:szCs w:val="20"/>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6031C" w:rsidRPr="00A864B0" w:rsidRDefault="0066031C" w:rsidP="0066031C">
      <w:pPr>
        <w:autoSpaceDE w:val="0"/>
        <w:autoSpaceDN w:val="0"/>
        <w:adjustRightInd w:val="0"/>
        <w:spacing w:after="0" w:line="240" w:lineRule="auto"/>
        <w:jc w:val="both"/>
        <w:rPr>
          <w:rFonts w:ascii="Times New Roman" w:eastAsia="TimesNewRoman" w:hAnsi="Times New Roman"/>
          <w:sz w:val="20"/>
          <w:szCs w:val="20"/>
        </w:rPr>
      </w:pPr>
      <w:r w:rsidRPr="00A864B0">
        <w:rPr>
          <w:rFonts w:ascii="Times New Roman" w:hAnsi="Times New Roman"/>
          <w:i/>
          <w:iCs/>
          <w:sz w:val="20"/>
          <w:szCs w:val="20"/>
        </w:rPr>
        <w:t xml:space="preserve">P. yokohamae </w:t>
      </w:r>
      <w:r w:rsidRPr="00A864B0">
        <w:rPr>
          <w:rFonts w:ascii="Times New Roman" w:eastAsia="TimesNewRoman" w:hAnsi="Times New Roman"/>
          <w:sz w:val="20"/>
          <w:szCs w:val="20"/>
        </w:rPr>
        <w:t xml:space="preserve">in this study rapidly accumulated NP and OP from the sediment until day 3. After that the concentrations of both EDCs decreased to constant level until the end of experiment. E1 and E2 could not be detected in </w:t>
      </w:r>
      <w:r w:rsidRPr="00A864B0">
        <w:rPr>
          <w:rFonts w:ascii="Times New Roman" w:hAnsi="Times New Roman"/>
          <w:i/>
          <w:iCs/>
          <w:sz w:val="20"/>
          <w:szCs w:val="20"/>
        </w:rPr>
        <w:t xml:space="preserve">P. yokohamae </w:t>
      </w:r>
      <w:r w:rsidRPr="00A864B0">
        <w:rPr>
          <w:rFonts w:ascii="Times New Roman" w:eastAsia="TimesNewRoman" w:hAnsi="Times New Roman"/>
          <w:sz w:val="20"/>
          <w:szCs w:val="20"/>
        </w:rPr>
        <w:t xml:space="preserve">due to rapid metabolism which were proven in our recent study [23]. BAF values for both compounds (NP and OP) indicated bioaccumulation did not occur in </w:t>
      </w:r>
      <w:r w:rsidRPr="00A864B0">
        <w:rPr>
          <w:rFonts w:ascii="Times New Roman" w:hAnsi="Times New Roman"/>
          <w:i/>
          <w:iCs/>
          <w:sz w:val="20"/>
          <w:szCs w:val="20"/>
        </w:rPr>
        <w:t xml:space="preserve">P. yokohamae </w:t>
      </w:r>
      <w:r w:rsidRPr="00A864B0">
        <w:rPr>
          <w:rFonts w:ascii="Times New Roman" w:eastAsia="TimesNewRoman" w:hAnsi="Times New Roman"/>
          <w:sz w:val="20"/>
          <w:szCs w:val="20"/>
        </w:rPr>
        <w:t>after being exposed to EDCs spiked sediment. However, bioaccumulation of EDCs to benthic organism should be continually investigated as sediment can concentrate higher levels of pollutant than the water column.</w:t>
      </w:r>
    </w:p>
    <w:p w:rsidR="0066031C" w:rsidRPr="00A864B0" w:rsidRDefault="0066031C" w:rsidP="0066031C">
      <w:pPr>
        <w:autoSpaceDE w:val="0"/>
        <w:autoSpaceDN w:val="0"/>
        <w:adjustRightInd w:val="0"/>
        <w:spacing w:after="0" w:line="240" w:lineRule="auto"/>
        <w:jc w:val="center"/>
        <w:rPr>
          <w:rFonts w:ascii="Times New Roman" w:hAnsi="Times New Roman"/>
          <w:b/>
          <w:bCs/>
          <w:sz w:val="20"/>
          <w:szCs w:val="20"/>
        </w:rPr>
      </w:pPr>
    </w:p>
    <w:p w:rsidR="0066031C" w:rsidRPr="00A864B0" w:rsidRDefault="0066031C" w:rsidP="0066031C">
      <w:pPr>
        <w:autoSpaceDE w:val="0"/>
        <w:autoSpaceDN w:val="0"/>
        <w:adjustRightInd w:val="0"/>
        <w:spacing w:after="0" w:line="240" w:lineRule="auto"/>
        <w:jc w:val="center"/>
        <w:rPr>
          <w:rFonts w:ascii="Times New Roman" w:hAnsi="Times New Roman"/>
          <w:b/>
          <w:bCs/>
          <w:sz w:val="20"/>
          <w:szCs w:val="20"/>
        </w:rPr>
      </w:pPr>
      <w:r w:rsidRPr="00A864B0">
        <w:rPr>
          <w:rFonts w:ascii="Times New Roman" w:hAnsi="Times New Roman"/>
          <w:b/>
          <w:bCs/>
          <w:sz w:val="20"/>
          <w:szCs w:val="20"/>
        </w:rPr>
        <w:t>Acknowledgement</w:t>
      </w:r>
    </w:p>
    <w:p w:rsidR="00AC0033" w:rsidRPr="0066031C" w:rsidRDefault="0066031C" w:rsidP="0066031C">
      <w:pPr>
        <w:autoSpaceDE w:val="0"/>
        <w:autoSpaceDN w:val="0"/>
        <w:adjustRightInd w:val="0"/>
        <w:spacing w:after="0" w:line="240" w:lineRule="auto"/>
        <w:jc w:val="both"/>
        <w:rPr>
          <w:rFonts w:ascii="Times New Roman" w:eastAsia="TimesNewRoman" w:hAnsi="Times New Roman"/>
          <w:sz w:val="20"/>
          <w:szCs w:val="20"/>
        </w:rPr>
      </w:pPr>
      <w:r w:rsidRPr="00A864B0">
        <w:rPr>
          <w:rFonts w:ascii="Times New Roman" w:eastAsia="TimesNewRoman" w:hAnsi="Times New Roman"/>
          <w:sz w:val="20"/>
          <w:szCs w:val="20"/>
        </w:rPr>
        <w:t>The present study was partly funded by the EXTEND 2010 Program, Ministry of Environment, Japan.</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rPr>
        <w:t>Folmar, L. C., Denslow, N. D., Kroll, K., Orlando, E. F., Enblom, J., Marcino, J., Metcalfe, C. and Guillette Jr., L. J. (2001). Altered serum sex steroids and vitellogenin induction in walleye (</w:t>
      </w:r>
      <w:r w:rsidRPr="0066031C">
        <w:rPr>
          <w:rFonts w:ascii="Times New Roman" w:hAnsi="Times New Roman"/>
          <w:i/>
          <w:iCs/>
          <w:sz w:val="20"/>
          <w:szCs w:val="20"/>
        </w:rPr>
        <w:t>Stizostedion vitreum</w:t>
      </w:r>
      <w:r w:rsidRPr="0066031C">
        <w:rPr>
          <w:rFonts w:ascii="Times New Roman" w:hAnsi="Times New Roman"/>
          <w:sz w:val="20"/>
          <w:szCs w:val="20"/>
        </w:rPr>
        <w:t xml:space="preserve">) collected near a metropolitan sewage treatment plant. </w:t>
      </w:r>
      <w:r w:rsidRPr="0066031C">
        <w:rPr>
          <w:rFonts w:ascii="Times New Roman" w:hAnsi="Times New Roman"/>
          <w:i/>
          <w:iCs/>
          <w:sz w:val="20"/>
          <w:szCs w:val="20"/>
        </w:rPr>
        <w:t>Archives of Environmental Contamination &amp; Toxicology</w:t>
      </w:r>
      <w:r w:rsidRPr="0066031C">
        <w:rPr>
          <w:rFonts w:ascii="Times New Roman" w:hAnsi="Times New Roman"/>
          <w:sz w:val="20"/>
          <w:szCs w:val="20"/>
        </w:rPr>
        <w:t xml:space="preserve">, </w:t>
      </w:r>
      <w:r w:rsidRPr="0066031C">
        <w:rPr>
          <w:rFonts w:ascii="Times New Roman" w:hAnsi="Times New Roman"/>
          <w:i/>
          <w:iCs/>
          <w:sz w:val="20"/>
          <w:szCs w:val="20"/>
        </w:rPr>
        <w:t>40</w:t>
      </w:r>
      <w:r w:rsidRPr="0066031C">
        <w:rPr>
          <w:rFonts w:ascii="Times New Roman" w:hAnsi="Times New Roman"/>
          <w:sz w:val="20"/>
          <w:szCs w:val="20"/>
        </w:rPr>
        <w:t>: 392 – 398.</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rPr>
        <w:t xml:space="preserve">Tashiro, Y., Takemura, A., Fujii, H., Takahira, K. and Nakanishi, Y. (2003). Livestock wastes as a source of estrogens and their effects on wildlife of Manko tidal flat, Okinawa. </w:t>
      </w:r>
      <w:r w:rsidRPr="0066031C">
        <w:rPr>
          <w:rFonts w:ascii="Times New Roman" w:hAnsi="Times New Roman"/>
          <w:i/>
          <w:iCs/>
          <w:sz w:val="20"/>
          <w:szCs w:val="20"/>
        </w:rPr>
        <w:t>Marine Pollution Bulletin</w:t>
      </w:r>
      <w:r w:rsidRPr="0066031C">
        <w:rPr>
          <w:rFonts w:ascii="Times New Roman" w:hAnsi="Times New Roman"/>
          <w:sz w:val="20"/>
          <w:szCs w:val="20"/>
        </w:rPr>
        <w:t xml:space="preserve">, </w:t>
      </w:r>
      <w:r w:rsidRPr="0066031C">
        <w:rPr>
          <w:rFonts w:ascii="Times New Roman" w:hAnsi="Times New Roman"/>
          <w:i/>
          <w:iCs/>
          <w:sz w:val="20"/>
          <w:szCs w:val="20"/>
        </w:rPr>
        <w:t>47</w:t>
      </w:r>
      <w:r w:rsidRPr="0066031C">
        <w:rPr>
          <w:rFonts w:ascii="Times New Roman" w:hAnsi="Times New Roman"/>
          <w:sz w:val="20"/>
          <w:szCs w:val="20"/>
        </w:rPr>
        <w:t>: 143 – 147.</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rPr>
        <w:t>Gray, M. A. and Metcalfe, C. D. (1997). Induction of testis</w:t>
      </w:r>
      <w:r w:rsidRPr="0066031C">
        <w:rPr>
          <w:rFonts w:ascii="Cambria Math" w:hAnsi="Cambria Math" w:cs="Cambria Math"/>
          <w:sz w:val="20"/>
          <w:szCs w:val="20"/>
        </w:rPr>
        <w:t>‐</w:t>
      </w:r>
      <w:r w:rsidRPr="0066031C">
        <w:rPr>
          <w:rFonts w:ascii="Times New Roman" w:hAnsi="Times New Roman"/>
          <w:sz w:val="20"/>
          <w:szCs w:val="20"/>
        </w:rPr>
        <w:t>ova in Japanese medaka (</w:t>
      </w:r>
      <w:r w:rsidRPr="0066031C">
        <w:rPr>
          <w:rFonts w:ascii="Times New Roman" w:hAnsi="Times New Roman"/>
          <w:i/>
          <w:iCs/>
          <w:sz w:val="20"/>
          <w:szCs w:val="20"/>
        </w:rPr>
        <w:t>Oryzias latipes</w:t>
      </w:r>
      <w:r w:rsidRPr="0066031C">
        <w:rPr>
          <w:rFonts w:ascii="Times New Roman" w:hAnsi="Times New Roman"/>
          <w:sz w:val="20"/>
          <w:szCs w:val="20"/>
        </w:rPr>
        <w:t>) exposed to p</w:t>
      </w:r>
      <w:r w:rsidRPr="0066031C">
        <w:rPr>
          <w:rFonts w:ascii="Cambria Math" w:hAnsi="Cambria Math" w:cs="Cambria Math"/>
          <w:sz w:val="20"/>
          <w:szCs w:val="20"/>
        </w:rPr>
        <w:t>‐</w:t>
      </w:r>
      <w:r w:rsidRPr="0066031C">
        <w:rPr>
          <w:rFonts w:ascii="Times New Roman" w:hAnsi="Times New Roman"/>
          <w:sz w:val="20"/>
          <w:szCs w:val="20"/>
        </w:rPr>
        <w:t xml:space="preserve">nonylphenol. </w:t>
      </w:r>
      <w:r w:rsidRPr="0066031C">
        <w:rPr>
          <w:rFonts w:ascii="Times New Roman" w:hAnsi="Times New Roman"/>
          <w:i/>
          <w:iCs/>
          <w:sz w:val="20"/>
          <w:szCs w:val="20"/>
        </w:rPr>
        <w:t>Environmental Toxicology &amp; Chemistry</w:t>
      </w:r>
      <w:r w:rsidRPr="0066031C">
        <w:rPr>
          <w:rFonts w:ascii="Times New Roman" w:hAnsi="Times New Roman"/>
          <w:sz w:val="20"/>
          <w:szCs w:val="20"/>
        </w:rPr>
        <w:t>, 16(5): 1082 – 1086.</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lang w:val="es-ES"/>
        </w:rPr>
        <w:lastRenderedPageBreak/>
        <w:t xml:space="preserve">Tapiero, H., Nguyen, Ba G. and Tew K. D. (2002). </w:t>
      </w:r>
      <w:r w:rsidRPr="0066031C">
        <w:rPr>
          <w:rFonts w:ascii="Times New Roman" w:eastAsia="TimesNewRoman" w:hAnsi="Times New Roman"/>
          <w:sz w:val="20"/>
          <w:szCs w:val="20"/>
        </w:rPr>
        <w:t xml:space="preserve">Estrogens and environmental estrogens. </w:t>
      </w:r>
      <w:r w:rsidRPr="0066031C">
        <w:rPr>
          <w:rFonts w:ascii="Times New Roman" w:hAnsi="Times New Roman"/>
          <w:i/>
          <w:iCs/>
          <w:sz w:val="20"/>
          <w:szCs w:val="20"/>
        </w:rPr>
        <w:t xml:space="preserve">Biomedicine </w:t>
      </w:r>
      <w:r w:rsidRPr="0066031C">
        <w:rPr>
          <w:rFonts w:ascii="Times New Roman" w:eastAsia="TimesNewRoman" w:hAnsi="Times New Roman"/>
          <w:sz w:val="20"/>
          <w:szCs w:val="20"/>
        </w:rPr>
        <w:t xml:space="preserve">&amp; </w:t>
      </w:r>
      <w:r w:rsidRPr="0066031C">
        <w:rPr>
          <w:rFonts w:ascii="Times New Roman" w:hAnsi="Times New Roman"/>
          <w:i/>
          <w:iCs/>
          <w:sz w:val="20"/>
          <w:szCs w:val="20"/>
        </w:rPr>
        <w:t>Pharmacotherapy, 56</w:t>
      </w:r>
      <w:r w:rsidRPr="0066031C">
        <w:rPr>
          <w:rFonts w:ascii="Times New Roman" w:eastAsia="TimesNewRoman" w:hAnsi="Times New Roman"/>
          <w:sz w:val="20"/>
          <w:szCs w:val="20"/>
        </w:rPr>
        <w:t>: 36 – 44.</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lang w:eastAsia="en-MY"/>
        </w:rPr>
        <w:t xml:space="preserve">Yu, Z. Q., Xiao, B. H., Huang,W. L. and Peng, P. (2004). Sorption of steroid estrogens to soils and sediments. </w:t>
      </w:r>
      <w:r w:rsidRPr="0066031C">
        <w:rPr>
          <w:rFonts w:ascii="Times New Roman" w:hAnsi="Times New Roman"/>
          <w:i/>
          <w:sz w:val="20"/>
          <w:szCs w:val="20"/>
          <w:lang w:eastAsia="en-MY"/>
        </w:rPr>
        <w:t xml:space="preserve">Environmental Toxicology and Chemistry, </w:t>
      </w:r>
      <w:r w:rsidRPr="0066031C">
        <w:rPr>
          <w:rFonts w:ascii="Times New Roman" w:hAnsi="Times New Roman"/>
          <w:iCs/>
          <w:sz w:val="20"/>
          <w:szCs w:val="20"/>
          <w:lang w:eastAsia="en-MY"/>
        </w:rPr>
        <w:t>23:</w:t>
      </w:r>
      <w:r w:rsidRPr="0066031C">
        <w:rPr>
          <w:rFonts w:ascii="Times New Roman" w:hAnsi="Times New Roman"/>
          <w:sz w:val="20"/>
          <w:szCs w:val="20"/>
          <w:lang w:eastAsia="en-MY"/>
        </w:rPr>
        <w:t xml:space="preserve"> 531 – 539.</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David, A., Fenet, H. and Gomez, E. (2009). Alkylphenols in marine environments: distribution monitoring strategies and detection considerations. </w:t>
      </w:r>
      <w:r w:rsidRPr="0066031C">
        <w:rPr>
          <w:rFonts w:ascii="Times New Roman" w:hAnsi="Times New Roman"/>
          <w:i/>
          <w:iCs/>
          <w:sz w:val="20"/>
          <w:szCs w:val="20"/>
        </w:rPr>
        <w:t xml:space="preserve">Marine Pollution Bulletin, </w:t>
      </w:r>
      <w:r w:rsidRPr="0066031C">
        <w:rPr>
          <w:rFonts w:ascii="Times New Roman" w:hAnsi="Times New Roman"/>
          <w:sz w:val="20"/>
          <w:szCs w:val="20"/>
        </w:rPr>
        <w:t>58</w:t>
      </w:r>
      <w:r w:rsidRPr="0066031C">
        <w:rPr>
          <w:rFonts w:ascii="Times New Roman" w:eastAsia="TimesNewRoman" w:hAnsi="Times New Roman"/>
          <w:sz w:val="20"/>
          <w:szCs w:val="20"/>
        </w:rPr>
        <w:t>: 953 – 960.</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rPr>
        <w:t xml:space="preserve">Sakamoto, K. (1984). Pleuronectidae righteye flounders. </w:t>
      </w:r>
      <w:r w:rsidRPr="0066031C">
        <w:rPr>
          <w:rFonts w:ascii="Times New Roman" w:hAnsi="Times New Roman"/>
          <w:sz w:val="20"/>
          <w:szCs w:val="20"/>
          <w:lang w:val="es-ES"/>
        </w:rPr>
        <w:t xml:space="preserve">In H. Masuda, K. Amaoka, T. Araga, T. Ueno, &amp; T. Yoshino (Eds.). </w:t>
      </w:r>
      <w:r w:rsidRPr="0066031C">
        <w:rPr>
          <w:rFonts w:ascii="Times New Roman" w:hAnsi="Times New Roman"/>
          <w:sz w:val="20"/>
          <w:szCs w:val="20"/>
        </w:rPr>
        <w:t>The Fishes of the Japanese Archipelago Tokyo: Tokai University Press: pp. 336 –340.</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rPr>
        <w:t xml:space="preserve">Park, J. S. (1988). A study on the pleuronectid flounder </w:t>
      </w:r>
      <w:r w:rsidRPr="0066031C">
        <w:rPr>
          <w:rFonts w:ascii="Times New Roman" w:hAnsi="Times New Roman"/>
          <w:i/>
          <w:iCs/>
          <w:sz w:val="20"/>
          <w:szCs w:val="20"/>
        </w:rPr>
        <w:t xml:space="preserve">Limanda yokohamae </w:t>
      </w:r>
      <w:r w:rsidRPr="0066031C">
        <w:rPr>
          <w:rFonts w:ascii="Times New Roman" w:hAnsi="Times New Roman"/>
          <w:sz w:val="20"/>
          <w:szCs w:val="20"/>
        </w:rPr>
        <w:t>population in Tokyo Bay. PhD Thesis, University of Tokyo, Tokyo (</w:t>
      </w:r>
      <w:r w:rsidRPr="0066031C">
        <w:rPr>
          <w:rFonts w:ascii="Times New Roman" w:hAnsi="Times New Roman"/>
          <w:i/>
          <w:iCs/>
          <w:sz w:val="20"/>
          <w:szCs w:val="20"/>
        </w:rPr>
        <w:t>in Japanese</w:t>
      </w:r>
      <w:r w:rsidRPr="0066031C">
        <w:rPr>
          <w:rFonts w:ascii="Times New Roman" w:hAnsi="Times New Roman"/>
          <w:sz w:val="20"/>
          <w:szCs w:val="20"/>
        </w:rPr>
        <w:t>).</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rPr>
        <w:t xml:space="preserve">Park, J. S. and Simizu, M. (1990). Maturity and spawning season of the </w:t>
      </w:r>
      <w:r w:rsidRPr="0066031C">
        <w:rPr>
          <w:rFonts w:ascii="Times New Roman" w:hAnsi="Times New Roman"/>
          <w:i/>
          <w:iCs/>
          <w:sz w:val="20"/>
          <w:szCs w:val="20"/>
        </w:rPr>
        <w:t>Limanda yokohamae</w:t>
      </w:r>
      <w:r w:rsidRPr="0066031C">
        <w:rPr>
          <w:rFonts w:ascii="Times New Roman" w:hAnsi="Times New Roman"/>
          <w:sz w:val="20"/>
          <w:szCs w:val="20"/>
        </w:rPr>
        <w:t xml:space="preserve"> (Günther) in Tokyo Bay, Japan. </w:t>
      </w:r>
      <w:r w:rsidRPr="0066031C">
        <w:rPr>
          <w:rFonts w:ascii="Times New Roman" w:hAnsi="Times New Roman"/>
          <w:i/>
          <w:iCs/>
          <w:sz w:val="20"/>
          <w:szCs w:val="20"/>
        </w:rPr>
        <w:t xml:space="preserve">Bulletin of Fisheries Science Institute, </w:t>
      </w:r>
      <w:r w:rsidRPr="0066031C">
        <w:rPr>
          <w:rFonts w:ascii="Times New Roman" w:hAnsi="Times New Roman"/>
          <w:sz w:val="20"/>
          <w:szCs w:val="20"/>
        </w:rPr>
        <w:t>6, 1 – 6.</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rPr>
        <w:t xml:space="preserve">Takayama, T., Hashimoto, S., Tokai, T. and Otsuki, A. (1995). Measurements of organic tin compounds in fish and crustacean of Tokyo Bay. </w:t>
      </w:r>
      <w:r w:rsidRPr="0066031C">
        <w:rPr>
          <w:rFonts w:ascii="Times New Roman" w:hAnsi="Times New Roman"/>
          <w:i/>
          <w:iCs/>
          <w:sz w:val="20"/>
          <w:szCs w:val="20"/>
        </w:rPr>
        <w:t>Environmental Science</w:t>
      </w:r>
      <w:r w:rsidRPr="0066031C">
        <w:rPr>
          <w:rFonts w:ascii="Times New Roman" w:hAnsi="Times New Roman"/>
          <w:sz w:val="20"/>
          <w:szCs w:val="20"/>
        </w:rPr>
        <w:t>,</w:t>
      </w:r>
      <w:r w:rsidRPr="0066031C">
        <w:rPr>
          <w:rFonts w:ascii="Times New Roman" w:hAnsi="Times New Roman"/>
          <w:i/>
          <w:sz w:val="20"/>
          <w:szCs w:val="20"/>
        </w:rPr>
        <w:t xml:space="preserve"> </w:t>
      </w:r>
      <w:r w:rsidRPr="0066031C">
        <w:rPr>
          <w:rFonts w:ascii="Times New Roman" w:hAnsi="Times New Roman"/>
          <w:iCs/>
          <w:sz w:val="20"/>
          <w:szCs w:val="20"/>
        </w:rPr>
        <w:t>8:</w:t>
      </w:r>
      <w:r w:rsidRPr="0066031C">
        <w:rPr>
          <w:rFonts w:ascii="Times New Roman" w:hAnsi="Times New Roman"/>
          <w:sz w:val="20"/>
          <w:szCs w:val="20"/>
        </w:rPr>
        <w:t xml:space="preserve"> 1 – 9.</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hAnsi="Times New Roman"/>
          <w:sz w:val="20"/>
          <w:szCs w:val="20"/>
        </w:rPr>
        <w:t xml:space="preserve">Kammann, U., Landgraff, O. and Steinhart, H. (1993). Distribution of aromatic organochlorines in livers and reproductive organs of male and female dabs from the German Bight. </w:t>
      </w:r>
      <w:r w:rsidRPr="0066031C">
        <w:rPr>
          <w:rFonts w:ascii="Times New Roman" w:hAnsi="Times New Roman"/>
          <w:i/>
          <w:iCs/>
          <w:sz w:val="20"/>
          <w:szCs w:val="20"/>
        </w:rPr>
        <w:t>Marine Pollution Bulletin,</w:t>
      </w:r>
      <w:r w:rsidRPr="0066031C">
        <w:rPr>
          <w:rFonts w:ascii="Times New Roman" w:hAnsi="Times New Roman"/>
          <w:sz w:val="20"/>
          <w:szCs w:val="20"/>
        </w:rPr>
        <w:t xml:space="preserve"> 26: 629 – 635.</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Diehl, J., Johnson, S. E., Xia, K., West, A. and Tomanek, L. (2012). The distribution of 4 nonylphenol in marine organisms of North American Pacific Coast estuaries. </w:t>
      </w:r>
      <w:r w:rsidRPr="0066031C">
        <w:rPr>
          <w:rFonts w:ascii="Times New Roman" w:hAnsi="Times New Roman"/>
          <w:i/>
          <w:iCs/>
          <w:sz w:val="20"/>
          <w:szCs w:val="20"/>
        </w:rPr>
        <w:t>Chemosphere</w:t>
      </w:r>
      <w:r w:rsidRPr="0066031C">
        <w:rPr>
          <w:rFonts w:ascii="Times New Roman" w:eastAsia="TimesNewRoman" w:hAnsi="Times New Roman"/>
          <w:sz w:val="20"/>
          <w:szCs w:val="20"/>
        </w:rPr>
        <w:t xml:space="preserve">, </w:t>
      </w:r>
      <w:r w:rsidRPr="0066031C">
        <w:rPr>
          <w:rFonts w:ascii="Times New Roman" w:hAnsi="Times New Roman"/>
          <w:sz w:val="20"/>
          <w:szCs w:val="20"/>
        </w:rPr>
        <w:t>87</w:t>
      </w:r>
      <w:r w:rsidRPr="0066031C">
        <w:rPr>
          <w:rFonts w:ascii="Times New Roman" w:eastAsia="TimesNewRoman" w:hAnsi="Times New Roman"/>
          <w:sz w:val="20"/>
          <w:szCs w:val="20"/>
        </w:rPr>
        <w:t>(5): 490 –</w:t>
      </w:r>
      <w:r w:rsidRPr="0066031C">
        <w:rPr>
          <w:rFonts w:ascii="Times New Roman" w:hAnsi="Times New Roman"/>
          <w:sz w:val="20"/>
          <w:szCs w:val="20"/>
        </w:rPr>
        <w:t xml:space="preserve"> </w:t>
      </w:r>
      <w:r w:rsidRPr="0066031C">
        <w:rPr>
          <w:rFonts w:ascii="Times New Roman" w:eastAsia="TimesNewRoman" w:hAnsi="Times New Roman"/>
          <w:sz w:val="20"/>
          <w:szCs w:val="20"/>
        </w:rPr>
        <w:t>497.</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Liber, K., Gangl, J. A., Corry, T. D., Heinis, L. J. and Stay, F. S. (1999). Lethality and bioaccumulation of 4-nonylphenol in bluegill sunfish in littoral enclosures. </w:t>
      </w:r>
      <w:r w:rsidRPr="0066031C">
        <w:rPr>
          <w:rFonts w:ascii="Times New Roman" w:hAnsi="Times New Roman"/>
          <w:i/>
          <w:iCs/>
          <w:sz w:val="20"/>
          <w:szCs w:val="20"/>
        </w:rPr>
        <w:t>Environmental Toxicology &amp; Chemistry</w:t>
      </w:r>
      <w:r w:rsidRPr="0066031C">
        <w:rPr>
          <w:rFonts w:ascii="Times New Roman" w:eastAsia="TimesNewRoman" w:hAnsi="Times New Roman"/>
          <w:sz w:val="20"/>
          <w:szCs w:val="20"/>
        </w:rPr>
        <w:t xml:space="preserve">, </w:t>
      </w:r>
      <w:r w:rsidRPr="0066031C">
        <w:rPr>
          <w:rFonts w:ascii="Times New Roman" w:hAnsi="Times New Roman"/>
          <w:sz w:val="20"/>
          <w:szCs w:val="20"/>
        </w:rPr>
        <w:t>18:</w:t>
      </w:r>
      <w:r w:rsidRPr="0066031C">
        <w:rPr>
          <w:rFonts w:ascii="Times New Roman" w:eastAsia="TimesNewRoman" w:hAnsi="Times New Roman"/>
          <w:sz w:val="20"/>
          <w:szCs w:val="20"/>
        </w:rPr>
        <w:t xml:space="preserve"> 394 –</w:t>
      </w:r>
      <w:r w:rsidRPr="0066031C">
        <w:rPr>
          <w:rFonts w:ascii="Times New Roman" w:hAnsi="Times New Roman"/>
          <w:sz w:val="20"/>
          <w:szCs w:val="20"/>
        </w:rPr>
        <w:t xml:space="preserve"> </w:t>
      </w:r>
      <w:r w:rsidRPr="0066031C">
        <w:rPr>
          <w:rFonts w:ascii="Times New Roman" w:eastAsia="TimesNewRoman" w:hAnsi="Times New Roman"/>
          <w:sz w:val="20"/>
          <w:szCs w:val="20"/>
        </w:rPr>
        <w:t>400.</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Thorpe, K. L., Hutchinson, T. H., Hetheridge, M. J., Scholze, M., Sumpter, J. P. and Tyler, C. R. (2001). Assessing the biological potency of binary mixtures of environmental estrogens using vitellogenin induction in juvenile rainbow trout (</w:t>
      </w:r>
      <w:r w:rsidRPr="0066031C">
        <w:rPr>
          <w:rFonts w:ascii="Times New Roman" w:hAnsi="Times New Roman"/>
          <w:i/>
          <w:iCs/>
          <w:sz w:val="20"/>
          <w:szCs w:val="20"/>
        </w:rPr>
        <w:t>Oncorhynchus mykiss</w:t>
      </w:r>
      <w:r w:rsidRPr="0066031C">
        <w:rPr>
          <w:rFonts w:ascii="Times New Roman" w:eastAsia="TimesNewRoman" w:hAnsi="Times New Roman"/>
          <w:sz w:val="20"/>
          <w:szCs w:val="20"/>
        </w:rPr>
        <w:t xml:space="preserve">). </w:t>
      </w:r>
      <w:r w:rsidRPr="0066031C">
        <w:rPr>
          <w:rFonts w:ascii="Times New Roman" w:hAnsi="Times New Roman"/>
          <w:i/>
          <w:iCs/>
          <w:sz w:val="20"/>
          <w:szCs w:val="20"/>
        </w:rPr>
        <w:t>Environmental Science &amp; Technology</w:t>
      </w:r>
      <w:r w:rsidRPr="0066031C">
        <w:rPr>
          <w:rFonts w:ascii="Times New Roman" w:eastAsia="TimesNewRoman" w:hAnsi="Times New Roman"/>
          <w:sz w:val="20"/>
          <w:szCs w:val="20"/>
        </w:rPr>
        <w:t xml:space="preserve">, </w:t>
      </w:r>
      <w:r w:rsidRPr="0066031C">
        <w:rPr>
          <w:rFonts w:ascii="Times New Roman" w:hAnsi="Times New Roman"/>
          <w:sz w:val="20"/>
          <w:szCs w:val="20"/>
        </w:rPr>
        <w:t>35</w:t>
      </w:r>
      <w:r w:rsidRPr="0066031C">
        <w:rPr>
          <w:rFonts w:ascii="Times New Roman" w:eastAsia="TimesNewRoman" w:hAnsi="Times New Roman"/>
          <w:sz w:val="20"/>
          <w:szCs w:val="20"/>
        </w:rPr>
        <w:t>(12): 2476 –</w:t>
      </w:r>
      <w:r w:rsidRPr="0066031C">
        <w:rPr>
          <w:rFonts w:ascii="Times New Roman" w:hAnsi="Times New Roman"/>
          <w:sz w:val="20"/>
          <w:szCs w:val="20"/>
        </w:rPr>
        <w:t xml:space="preserve"> </w:t>
      </w:r>
      <w:r w:rsidRPr="0066031C">
        <w:rPr>
          <w:rFonts w:ascii="Times New Roman" w:eastAsia="TimesNewRoman" w:hAnsi="Times New Roman"/>
          <w:sz w:val="20"/>
          <w:szCs w:val="20"/>
        </w:rPr>
        <w:t>2481.</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Arukwe, A., Thibaut, R., Ingebrigsten, K., Celius, T., Goksøyr, A. and Cravedi, J. P. (2000). In vivo and in vitro metabolism and organ distribution of nonylphenol in Atlantic salmon (</w:t>
      </w:r>
      <w:r w:rsidRPr="0066031C">
        <w:rPr>
          <w:rFonts w:ascii="Times New Roman" w:hAnsi="Times New Roman"/>
          <w:i/>
          <w:iCs/>
          <w:sz w:val="20"/>
          <w:szCs w:val="20"/>
        </w:rPr>
        <w:t>Salmo salar</w:t>
      </w:r>
      <w:r w:rsidRPr="0066031C">
        <w:rPr>
          <w:rFonts w:ascii="Times New Roman" w:eastAsia="TimesNewRoman" w:hAnsi="Times New Roman"/>
          <w:sz w:val="20"/>
          <w:szCs w:val="20"/>
        </w:rPr>
        <w:t xml:space="preserve">). </w:t>
      </w:r>
      <w:r w:rsidRPr="0066031C">
        <w:rPr>
          <w:rFonts w:ascii="Times New Roman" w:hAnsi="Times New Roman"/>
          <w:i/>
          <w:iCs/>
          <w:sz w:val="20"/>
          <w:szCs w:val="20"/>
        </w:rPr>
        <w:t xml:space="preserve">Aquatic Toxicology, </w:t>
      </w:r>
      <w:r w:rsidRPr="0066031C">
        <w:rPr>
          <w:rFonts w:ascii="Times New Roman" w:hAnsi="Times New Roman"/>
          <w:sz w:val="20"/>
          <w:szCs w:val="20"/>
        </w:rPr>
        <w:t>49</w:t>
      </w:r>
      <w:r w:rsidRPr="0066031C">
        <w:rPr>
          <w:rFonts w:ascii="Times New Roman" w:eastAsia="TimesNewRoman" w:hAnsi="Times New Roman"/>
          <w:sz w:val="20"/>
          <w:szCs w:val="20"/>
        </w:rPr>
        <w:t>(4): 289 –</w:t>
      </w:r>
      <w:r w:rsidRPr="0066031C">
        <w:rPr>
          <w:rFonts w:ascii="Times New Roman" w:hAnsi="Times New Roman"/>
          <w:sz w:val="20"/>
          <w:szCs w:val="20"/>
        </w:rPr>
        <w:t xml:space="preserve"> </w:t>
      </w:r>
      <w:r w:rsidRPr="0066031C">
        <w:rPr>
          <w:rFonts w:ascii="Times New Roman" w:eastAsia="TimesNewRoman" w:hAnsi="Times New Roman"/>
          <w:sz w:val="20"/>
          <w:szCs w:val="20"/>
        </w:rPr>
        <w:t>304.</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Nurulnadia, M. Y., Koyama, J., Uno, S., Kito, A., Kokushi, E., Bacolod, E. T., Ito, K. and Chuman, Y. (2014). Accumulation of endocrine disrupting chemicals (EDCs) in the polychaete </w:t>
      </w:r>
      <w:r w:rsidRPr="0066031C">
        <w:rPr>
          <w:rFonts w:ascii="Times New Roman" w:hAnsi="Times New Roman"/>
          <w:i/>
          <w:iCs/>
          <w:sz w:val="20"/>
          <w:szCs w:val="20"/>
        </w:rPr>
        <w:t xml:space="preserve">Paraprionospio </w:t>
      </w:r>
      <w:r w:rsidRPr="0066031C">
        <w:rPr>
          <w:rFonts w:ascii="Times New Roman" w:eastAsia="TimesNewRoman" w:hAnsi="Times New Roman"/>
          <w:sz w:val="20"/>
          <w:szCs w:val="20"/>
        </w:rPr>
        <w:t xml:space="preserve">sp. from the Yodo River mouth, Osaka Bay, Japan. </w:t>
      </w:r>
      <w:r w:rsidRPr="0066031C">
        <w:rPr>
          <w:rFonts w:ascii="Times New Roman" w:hAnsi="Times New Roman"/>
          <w:i/>
          <w:iCs/>
          <w:sz w:val="20"/>
          <w:szCs w:val="20"/>
        </w:rPr>
        <w:t>Environmental Monitoring &amp; Assessment</w:t>
      </w:r>
      <w:r w:rsidRPr="0066031C">
        <w:rPr>
          <w:rFonts w:ascii="Times New Roman" w:eastAsia="TimesNewRoman" w:hAnsi="Times New Roman"/>
          <w:sz w:val="20"/>
          <w:szCs w:val="20"/>
        </w:rPr>
        <w:t xml:space="preserve">, </w:t>
      </w:r>
      <w:r w:rsidRPr="0066031C">
        <w:rPr>
          <w:rFonts w:ascii="Times New Roman" w:hAnsi="Times New Roman"/>
          <w:sz w:val="20"/>
          <w:szCs w:val="20"/>
        </w:rPr>
        <w:t>186</w:t>
      </w:r>
      <w:r w:rsidRPr="0066031C">
        <w:rPr>
          <w:rFonts w:ascii="Times New Roman" w:eastAsia="TimesNewRoman" w:hAnsi="Times New Roman"/>
          <w:sz w:val="20"/>
          <w:szCs w:val="20"/>
        </w:rPr>
        <w:t>(3): 1453 –</w:t>
      </w:r>
      <w:r w:rsidRPr="0066031C">
        <w:rPr>
          <w:rFonts w:ascii="Times New Roman" w:hAnsi="Times New Roman"/>
          <w:sz w:val="20"/>
          <w:szCs w:val="20"/>
        </w:rPr>
        <w:t xml:space="preserve"> </w:t>
      </w:r>
      <w:r w:rsidRPr="0066031C">
        <w:rPr>
          <w:rFonts w:ascii="Times New Roman" w:eastAsia="TimesNewRoman" w:hAnsi="Times New Roman"/>
          <w:sz w:val="20"/>
          <w:szCs w:val="20"/>
        </w:rPr>
        <w:t>1463.</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Kwok, C. K., Liang, Y., Leung, S. Y., Wang, H., Dong, Y. H., Young, L., Giesy, J. P. and Wong, M. H. (2013). Biota–sediment accumulation factor (BSAF), bioaccumulation factor (BAF), and contaminant levels in prey fish to indicate the extent of PAHs and OCPs contamination in eggs of waterbirds. </w:t>
      </w:r>
      <w:r w:rsidRPr="0066031C">
        <w:rPr>
          <w:rFonts w:ascii="Times New Roman" w:hAnsi="Times New Roman"/>
          <w:i/>
          <w:iCs/>
          <w:sz w:val="20"/>
          <w:szCs w:val="20"/>
        </w:rPr>
        <w:t>Environmental Science &amp; Pollution Research</w:t>
      </w:r>
      <w:r w:rsidRPr="0066031C">
        <w:rPr>
          <w:rFonts w:ascii="Times New Roman" w:eastAsia="TimesNewRoman" w:hAnsi="Times New Roman"/>
          <w:sz w:val="20"/>
          <w:szCs w:val="20"/>
        </w:rPr>
        <w:t xml:space="preserve">, 20(12): 8425 – </w:t>
      </w:r>
      <w:r w:rsidRPr="0066031C">
        <w:rPr>
          <w:rFonts w:ascii="Times New Roman" w:hAnsi="Times New Roman"/>
          <w:sz w:val="20"/>
          <w:szCs w:val="20"/>
        </w:rPr>
        <w:t>8434</w:t>
      </w:r>
      <w:r w:rsidRPr="0066031C">
        <w:rPr>
          <w:rFonts w:ascii="Times New Roman" w:eastAsia="TimesNewRoman" w:hAnsi="Times New Roman"/>
          <w:sz w:val="20"/>
          <w:szCs w:val="20"/>
        </w:rPr>
        <w:t>.</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Melwani, A. R., Greenfield, B. K. and Byron, E. R. (2009). Empirical estimation of biota exposure range for calculation of bioaccumulation parameters. </w:t>
      </w:r>
      <w:r w:rsidRPr="0066031C">
        <w:rPr>
          <w:rFonts w:ascii="Times New Roman" w:hAnsi="Times New Roman"/>
          <w:i/>
          <w:iCs/>
          <w:sz w:val="20"/>
          <w:szCs w:val="20"/>
        </w:rPr>
        <w:t>Integrated Environmental Assessment &amp; Management</w:t>
      </w:r>
      <w:r w:rsidRPr="0066031C">
        <w:rPr>
          <w:rFonts w:ascii="Times New Roman" w:eastAsia="TimesNewRoman" w:hAnsi="Times New Roman"/>
          <w:sz w:val="20"/>
          <w:szCs w:val="20"/>
        </w:rPr>
        <w:t xml:space="preserve">, </w:t>
      </w:r>
      <w:r w:rsidRPr="0066031C">
        <w:rPr>
          <w:rFonts w:ascii="Times New Roman" w:hAnsi="Times New Roman"/>
          <w:sz w:val="20"/>
          <w:szCs w:val="20"/>
        </w:rPr>
        <w:t>5</w:t>
      </w:r>
      <w:r w:rsidRPr="0066031C">
        <w:rPr>
          <w:rFonts w:ascii="Times New Roman" w:eastAsia="TimesNewRoman" w:hAnsi="Times New Roman"/>
          <w:sz w:val="20"/>
          <w:szCs w:val="20"/>
        </w:rPr>
        <w:t>(1): 138 –</w:t>
      </w:r>
      <w:r w:rsidRPr="0066031C">
        <w:rPr>
          <w:rFonts w:ascii="Times New Roman" w:hAnsi="Times New Roman"/>
          <w:sz w:val="20"/>
          <w:szCs w:val="20"/>
        </w:rPr>
        <w:t xml:space="preserve"> </w:t>
      </w:r>
      <w:r w:rsidRPr="0066031C">
        <w:rPr>
          <w:rFonts w:ascii="Times New Roman" w:eastAsia="TimesNewRoman" w:hAnsi="Times New Roman"/>
          <w:sz w:val="20"/>
          <w:szCs w:val="20"/>
        </w:rPr>
        <w:t>149.</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Servos, M. R. (1999). Review of the aquatic toxicity, estrogenic responses and bioaccumulation of alkylphenols and alkylphenol polyethoxylates. </w:t>
      </w:r>
      <w:r w:rsidRPr="0066031C">
        <w:rPr>
          <w:rFonts w:ascii="Times New Roman" w:hAnsi="Times New Roman"/>
          <w:i/>
          <w:iCs/>
          <w:sz w:val="20"/>
          <w:szCs w:val="20"/>
        </w:rPr>
        <w:t xml:space="preserve">Water Quality Research Journal of Canada, </w:t>
      </w:r>
      <w:r w:rsidRPr="0066031C">
        <w:rPr>
          <w:rFonts w:ascii="Times New Roman" w:hAnsi="Times New Roman"/>
          <w:sz w:val="20"/>
          <w:szCs w:val="20"/>
        </w:rPr>
        <w:t>34</w:t>
      </w:r>
      <w:r w:rsidRPr="0066031C">
        <w:rPr>
          <w:rFonts w:ascii="Times New Roman" w:eastAsia="TimesNewRoman" w:hAnsi="Times New Roman"/>
          <w:sz w:val="20"/>
          <w:szCs w:val="20"/>
        </w:rPr>
        <w:t>: 123 –177.</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Staples, C., Mihaich, E., Carbone, J., Woodburn, K. and Klecka, G. (2004). A weight of evidence analysis of the chronic ecotoxicity of nonylpenol ethoxylates, nonylphenol ether carboxylates, and nonylphenol. </w:t>
      </w:r>
      <w:r w:rsidRPr="0066031C">
        <w:rPr>
          <w:rFonts w:ascii="Times New Roman" w:hAnsi="Times New Roman"/>
          <w:i/>
          <w:iCs/>
          <w:sz w:val="20"/>
          <w:szCs w:val="20"/>
        </w:rPr>
        <w:t xml:space="preserve">Human &amp; Ecological Risk Assessment, </w:t>
      </w:r>
      <w:r w:rsidRPr="0066031C">
        <w:rPr>
          <w:rFonts w:ascii="Times New Roman" w:hAnsi="Times New Roman"/>
          <w:sz w:val="20"/>
          <w:szCs w:val="20"/>
        </w:rPr>
        <w:t>10</w:t>
      </w:r>
      <w:r w:rsidRPr="0066031C">
        <w:rPr>
          <w:rFonts w:ascii="Times New Roman" w:eastAsia="TimesNewRoman" w:hAnsi="Times New Roman"/>
          <w:sz w:val="20"/>
          <w:szCs w:val="20"/>
        </w:rPr>
        <w:t>: 999 – 1017.</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Ferreira-Leach, A. M. R. amd Hill, E. M. (2000). Bioconcentration and metabolism of 4-</w:t>
      </w:r>
      <w:r w:rsidRPr="0066031C">
        <w:rPr>
          <w:rFonts w:ascii="Times New Roman" w:hAnsi="Times New Roman"/>
          <w:i/>
          <w:iCs/>
          <w:sz w:val="20"/>
          <w:szCs w:val="20"/>
        </w:rPr>
        <w:t>tert</w:t>
      </w:r>
      <w:r w:rsidRPr="0066031C">
        <w:rPr>
          <w:rFonts w:ascii="Times New Roman" w:eastAsia="TimesNewRoman" w:hAnsi="Times New Roman"/>
          <w:sz w:val="20"/>
          <w:szCs w:val="20"/>
        </w:rPr>
        <w:t xml:space="preserve"> octylphenol in roach (</w:t>
      </w:r>
      <w:r w:rsidRPr="0066031C">
        <w:rPr>
          <w:rFonts w:ascii="Times New Roman" w:hAnsi="Times New Roman"/>
          <w:i/>
          <w:iCs/>
          <w:sz w:val="20"/>
          <w:szCs w:val="20"/>
        </w:rPr>
        <w:t>Rutilus rutilus</w:t>
      </w:r>
      <w:r w:rsidRPr="0066031C">
        <w:rPr>
          <w:rFonts w:ascii="Times New Roman" w:eastAsia="TimesNewRoman" w:hAnsi="Times New Roman"/>
          <w:sz w:val="20"/>
          <w:szCs w:val="20"/>
        </w:rPr>
        <w:t xml:space="preserve">) fry. </w:t>
      </w:r>
      <w:r w:rsidRPr="0066031C">
        <w:rPr>
          <w:rFonts w:ascii="Times New Roman" w:hAnsi="Times New Roman"/>
          <w:i/>
          <w:iCs/>
          <w:sz w:val="20"/>
          <w:szCs w:val="20"/>
        </w:rPr>
        <w:t>Analysis</w:t>
      </w:r>
      <w:r w:rsidRPr="0066031C">
        <w:rPr>
          <w:rFonts w:ascii="Times New Roman" w:eastAsia="TimesNewRoman" w:hAnsi="Times New Roman"/>
          <w:sz w:val="20"/>
          <w:szCs w:val="20"/>
        </w:rPr>
        <w:t xml:space="preserve">, </w:t>
      </w:r>
      <w:r w:rsidRPr="0066031C">
        <w:rPr>
          <w:rFonts w:ascii="Times New Roman" w:hAnsi="Times New Roman"/>
          <w:sz w:val="20"/>
          <w:szCs w:val="20"/>
        </w:rPr>
        <w:t>28</w:t>
      </w:r>
      <w:r w:rsidRPr="0066031C">
        <w:rPr>
          <w:rFonts w:ascii="Times New Roman" w:eastAsia="TimesNewRoman" w:hAnsi="Times New Roman"/>
          <w:sz w:val="20"/>
          <w:szCs w:val="20"/>
        </w:rPr>
        <w:t>(9): 789 – 792.</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Tsuda, T., Takino, A., Muraki, K., Harada, H. and Kojima, M. (2001). Evaluation of 4 nonylphenols and 4-tert-octylphenol contamination of fish in rivers by laboratory accumulation and excretion experiments. </w:t>
      </w:r>
      <w:r w:rsidRPr="0066031C">
        <w:rPr>
          <w:rFonts w:ascii="Times New Roman" w:hAnsi="Times New Roman"/>
          <w:i/>
          <w:iCs/>
          <w:sz w:val="20"/>
          <w:szCs w:val="20"/>
        </w:rPr>
        <w:t>Water Research</w:t>
      </w:r>
      <w:r w:rsidRPr="0066031C">
        <w:rPr>
          <w:rFonts w:ascii="Times New Roman" w:eastAsia="TimesNewRoman" w:hAnsi="Times New Roman"/>
          <w:sz w:val="20"/>
          <w:szCs w:val="20"/>
        </w:rPr>
        <w:t xml:space="preserve">, </w:t>
      </w:r>
      <w:r w:rsidRPr="0066031C">
        <w:rPr>
          <w:rFonts w:ascii="Times New Roman" w:hAnsi="Times New Roman"/>
          <w:sz w:val="20"/>
          <w:szCs w:val="20"/>
        </w:rPr>
        <w:t>35</w:t>
      </w:r>
      <w:r w:rsidRPr="0066031C">
        <w:rPr>
          <w:rFonts w:ascii="Times New Roman" w:eastAsia="TimesNewRoman" w:hAnsi="Times New Roman"/>
          <w:sz w:val="20"/>
          <w:szCs w:val="20"/>
        </w:rPr>
        <w:t>(7): 1786 –</w:t>
      </w:r>
      <w:r w:rsidRPr="0066031C">
        <w:rPr>
          <w:rFonts w:ascii="Times New Roman" w:hAnsi="Times New Roman"/>
          <w:sz w:val="20"/>
          <w:szCs w:val="20"/>
        </w:rPr>
        <w:t xml:space="preserve"> </w:t>
      </w:r>
      <w:r w:rsidRPr="0066031C">
        <w:rPr>
          <w:rFonts w:ascii="Times New Roman" w:eastAsia="TimesNewRoman" w:hAnsi="Times New Roman"/>
          <w:sz w:val="20"/>
          <w:szCs w:val="20"/>
        </w:rPr>
        <w:t>1792.</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lang w:val="es-ES"/>
        </w:rPr>
        <w:t xml:space="preserve">Nurulnadia, M. Y., Koyama, J., Uno, S. and Amano, H. (2016). </w:t>
      </w:r>
      <w:r w:rsidRPr="0066031C">
        <w:rPr>
          <w:rFonts w:ascii="Times New Roman" w:eastAsia="TimesNewRoman" w:hAnsi="Times New Roman"/>
          <w:sz w:val="20"/>
          <w:szCs w:val="20"/>
        </w:rPr>
        <w:t xml:space="preserve">Biomagnification of endocrine disrupting chemicals (EDCs) by </w:t>
      </w:r>
      <w:r w:rsidRPr="0066031C">
        <w:rPr>
          <w:rFonts w:ascii="Times New Roman" w:eastAsia="TimesNewRoman" w:hAnsi="Times New Roman"/>
          <w:i/>
          <w:iCs/>
          <w:sz w:val="20"/>
          <w:szCs w:val="20"/>
        </w:rPr>
        <w:t>Pleuronectes yokohamae</w:t>
      </w:r>
      <w:r w:rsidRPr="0066031C">
        <w:rPr>
          <w:rFonts w:ascii="Times New Roman" w:eastAsia="TimesNewRoman" w:hAnsi="Times New Roman"/>
          <w:sz w:val="20"/>
          <w:szCs w:val="20"/>
        </w:rPr>
        <w:t xml:space="preserve">: Does </w:t>
      </w:r>
      <w:r w:rsidRPr="0066031C">
        <w:rPr>
          <w:rFonts w:ascii="Times New Roman" w:eastAsia="TimesNewRoman" w:hAnsi="Times New Roman"/>
          <w:i/>
          <w:iCs/>
          <w:sz w:val="20"/>
          <w:szCs w:val="20"/>
        </w:rPr>
        <w:t>P. yokohamae</w:t>
      </w:r>
      <w:r w:rsidRPr="0066031C">
        <w:rPr>
          <w:rFonts w:ascii="Times New Roman" w:eastAsia="TimesNewRoman" w:hAnsi="Times New Roman"/>
          <w:sz w:val="20"/>
          <w:szCs w:val="20"/>
        </w:rPr>
        <w:t xml:space="preserve"> accumulate dietary EDCs?. </w:t>
      </w:r>
      <w:r w:rsidRPr="0066031C">
        <w:rPr>
          <w:rFonts w:ascii="Times New Roman" w:hAnsi="Times New Roman"/>
          <w:i/>
          <w:iCs/>
          <w:sz w:val="20"/>
          <w:szCs w:val="20"/>
        </w:rPr>
        <w:t>Chemosphere</w:t>
      </w:r>
      <w:r w:rsidRPr="0066031C">
        <w:rPr>
          <w:rFonts w:ascii="Times New Roman" w:eastAsia="TimesNewRoman" w:hAnsi="Times New Roman"/>
          <w:sz w:val="20"/>
          <w:szCs w:val="20"/>
        </w:rPr>
        <w:t xml:space="preserve">, </w:t>
      </w:r>
      <w:r w:rsidRPr="0066031C">
        <w:rPr>
          <w:rFonts w:ascii="Times New Roman" w:hAnsi="Times New Roman"/>
          <w:sz w:val="20"/>
          <w:szCs w:val="20"/>
        </w:rPr>
        <w:t>144</w:t>
      </w:r>
      <w:r w:rsidRPr="0066031C">
        <w:rPr>
          <w:rFonts w:ascii="Times New Roman" w:eastAsia="TimesNewRoman" w:hAnsi="Times New Roman"/>
          <w:sz w:val="20"/>
          <w:szCs w:val="20"/>
        </w:rPr>
        <w:t>: 185 –</w:t>
      </w:r>
      <w:r w:rsidRPr="0066031C">
        <w:rPr>
          <w:rFonts w:ascii="Times New Roman" w:hAnsi="Times New Roman"/>
          <w:sz w:val="20"/>
          <w:szCs w:val="20"/>
        </w:rPr>
        <w:t xml:space="preserve"> </w:t>
      </w:r>
      <w:r w:rsidRPr="0066031C">
        <w:rPr>
          <w:rFonts w:ascii="Times New Roman" w:eastAsia="TimesNewRoman" w:hAnsi="Times New Roman"/>
          <w:sz w:val="20"/>
          <w:szCs w:val="20"/>
        </w:rPr>
        <w:t>192.</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Nurulnadia, M. Y., Koyama, J., Uno, S., Kokushi, E., Bacolod, E. T., Ito, K. and Chuman, Y. (2013). Bioaccumulation of dietary Endocrine Disrupting Chemicals (EDCs) by the Polychaete,           </w:t>
      </w:r>
      <w:r w:rsidRPr="0066031C">
        <w:rPr>
          <w:rFonts w:ascii="Times New Roman" w:hAnsi="Times New Roman"/>
          <w:i/>
          <w:iCs/>
          <w:sz w:val="20"/>
          <w:szCs w:val="20"/>
        </w:rPr>
        <w:t>Perinereisnuntia</w:t>
      </w:r>
      <w:r w:rsidRPr="0066031C">
        <w:rPr>
          <w:rFonts w:ascii="Times New Roman" w:eastAsia="TimesNewRoman" w:hAnsi="Times New Roman"/>
          <w:sz w:val="20"/>
          <w:szCs w:val="20"/>
        </w:rPr>
        <w:t xml:space="preserve">. </w:t>
      </w:r>
      <w:r w:rsidRPr="0066031C">
        <w:rPr>
          <w:rFonts w:ascii="Times New Roman" w:hAnsi="Times New Roman"/>
          <w:i/>
          <w:iCs/>
          <w:sz w:val="20"/>
          <w:szCs w:val="20"/>
        </w:rPr>
        <w:t>Bulletin of Environmental Contamination &amp; Toxicology</w:t>
      </w:r>
      <w:r w:rsidRPr="0066031C">
        <w:rPr>
          <w:rFonts w:ascii="Times New Roman" w:eastAsia="TimesNewRoman" w:hAnsi="Times New Roman"/>
          <w:sz w:val="20"/>
          <w:szCs w:val="20"/>
        </w:rPr>
        <w:t xml:space="preserve">, </w:t>
      </w:r>
      <w:r w:rsidRPr="0066031C">
        <w:rPr>
          <w:rFonts w:ascii="Times New Roman" w:hAnsi="Times New Roman"/>
          <w:sz w:val="20"/>
          <w:szCs w:val="20"/>
        </w:rPr>
        <w:t>91</w:t>
      </w:r>
      <w:r w:rsidRPr="0066031C">
        <w:rPr>
          <w:rFonts w:ascii="Times New Roman" w:eastAsia="TimesNewRoman" w:hAnsi="Times New Roman"/>
          <w:sz w:val="20"/>
          <w:szCs w:val="20"/>
        </w:rPr>
        <w:t>(4): 372 –</w:t>
      </w:r>
      <w:r w:rsidRPr="0066031C">
        <w:rPr>
          <w:rFonts w:ascii="Times New Roman" w:hAnsi="Times New Roman"/>
          <w:sz w:val="20"/>
          <w:szCs w:val="20"/>
        </w:rPr>
        <w:t xml:space="preserve"> </w:t>
      </w:r>
      <w:r w:rsidRPr="0066031C">
        <w:rPr>
          <w:rFonts w:ascii="Times New Roman" w:eastAsia="TimesNewRoman" w:hAnsi="Times New Roman"/>
          <w:sz w:val="20"/>
          <w:szCs w:val="20"/>
        </w:rPr>
        <w:t>376.</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lastRenderedPageBreak/>
        <w:t>Mitchelmore, C. L. and Rice, C. P. (2006). Correlations of nonylphenol-ethoxylates and nonylphenol with biomarkers of reproductive function in carp (</w:t>
      </w:r>
      <w:r w:rsidRPr="0066031C">
        <w:rPr>
          <w:rFonts w:ascii="Times New Roman" w:hAnsi="Times New Roman"/>
          <w:i/>
          <w:iCs/>
          <w:sz w:val="20"/>
          <w:szCs w:val="20"/>
        </w:rPr>
        <w:t>Cyprinus carpio</w:t>
      </w:r>
      <w:r w:rsidRPr="0066031C">
        <w:rPr>
          <w:rFonts w:ascii="Times New Roman" w:eastAsia="TimesNewRoman" w:hAnsi="Times New Roman"/>
          <w:sz w:val="20"/>
          <w:szCs w:val="20"/>
        </w:rPr>
        <w:t xml:space="preserve">) from the Cuyahoga River. </w:t>
      </w:r>
      <w:r w:rsidRPr="0066031C">
        <w:rPr>
          <w:rFonts w:ascii="Times New Roman" w:hAnsi="Times New Roman"/>
          <w:i/>
          <w:iCs/>
          <w:sz w:val="20"/>
          <w:szCs w:val="20"/>
        </w:rPr>
        <w:t>Science of The Total Environment</w:t>
      </w:r>
      <w:r w:rsidRPr="0066031C">
        <w:rPr>
          <w:rFonts w:ascii="Times New Roman" w:eastAsia="TimesNewRoman" w:hAnsi="Times New Roman"/>
          <w:sz w:val="20"/>
          <w:szCs w:val="20"/>
        </w:rPr>
        <w:t xml:space="preserve">, </w:t>
      </w:r>
      <w:r w:rsidRPr="0066031C">
        <w:rPr>
          <w:rFonts w:ascii="Times New Roman" w:hAnsi="Times New Roman"/>
          <w:sz w:val="20"/>
          <w:szCs w:val="20"/>
        </w:rPr>
        <w:t>371</w:t>
      </w:r>
      <w:r w:rsidRPr="0066031C">
        <w:rPr>
          <w:rFonts w:ascii="Times New Roman" w:eastAsia="TimesNewRoman" w:hAnsi="Times New Roman"/>
          <w:sz w:val="20"/>
          <w:szCs w:val="20"/>
        </w:rPr>
        <w:t>(1): 391 –</w:t>
      </w:r>
      <w:r w:rsidRPr="0066031C">
        <w:rPr>
          <w:rFonts w:ascii="Times New Roman" w:hAnsi="Times New Roman"/>
          <w:sz w:val="20"/>
          <w:szCs w:val="20"/>
        </w:rPr>
        <w:t xml:space="preserve"> </w:t>
      </w:r>
      <w:r w:rsidRPr="0066031C">
        <w:rPr>
          <w:rFonts w:ascii="Times New Roman" w:eastAsia="TimesNewRoman" w:hAnsi="Times New Roman"/>
          <w:sz w:val="20"/>
          <w:szCs w:val="20"/>
        </w:rPr>
        <w:t>401.</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Mäenpää, K. and Kukkonen, J. V. K. (2006). Bioaccumulation and toxicity of 4-nonylphenol (4-NP) and 4-(2-dodecyl)-benzene sulfonate (LAS) in </w:t>
      </w:r>
      <w:r w:rsidRPr="0066031C">
        <w:rPr>
          <w:rFonts w:ascii="Times New Roman" w:hAnsi="Times New Roman"/>
          <w:i/>
          <w:iCs/>
          <w:sz w:val="20"/>
          <w:szCs w:val="20"/>
        </w:rPr>
        <w:t xml:space="preserve">Lumbriculus variegatus </w:t>
      </w:r>
      <w:r w:rsidRPr="0066031C">
        <w:rPr>
          <w:rFonts w:ascii="Times New Roman" w:eastAsia="TimesNewRoman" w:hAnsi="Times New Roman"/>
          <w:sz w:val="20"/>
          <w:szCs w:val="20"/>
        </w:rPr>
        <w:t xml:space="preserve">(Oligochaeta) and </w:t>
      </w:r>
      <w:r w:rsidRPr="0066031C">
        <w:rPr>
          <w:rFonts w:ascii="Times New Roman" w:hAnsi="Times New Roman"/>
          <w:i/>
          <w:iCs/>
          <w:sz w:val="20"/>
          <w:szCs w:val="20"/>
        </w:rPr>
        <w:t xml:space="preserve">Chironomus riparius </w:t>
      </w:r>
      <w:r w:rsidRPr="0066031C">
        <w:rPr>
          <w:rFonts w:ascii="Times New Roman" w:eastAsia="TimesNewRoman" w:hAnsi="Times New Roman"/>
          <w:sz w:val="20"/>
          <w:szCs w:val="20"/>
        </w:rPr>
        <w:t xml:space="preserve">(Insecta). </w:t>
      </w:r>
      <w:r w:rsidRPr="0066031C">
        <w:rPr>
          <w:rFonts w:ascii="Times New Roman" w:hAnsi="Times New Roman"/>
          <w:i/>
          <w:iCs/>
          <w:sz w:val="20"/>
          <w:szCs w:val="20"/>
        </w:rPr>
        <w:t>Aquatic Toxicology</w:t>
      </w:r>
      <w:r w:rsidRPr="0066031C">
        <w:rPr>
          <w:rFonts w:ascii="Times New Roman" w:eastAsia="TimesNewRoman" w:hAnsi="Times New Roman"/>
          <w:sz w:val="20"/>
          <w:szCs w:val="20"/>
        </w:rPr>
        <w:t xml:space="preserve">, </w:t>
      </w:r>
      <w:r w:rsidRPr="0066031C">
        <w:rPr>
          <w:rFonts w:ascii="Times New Roman" w:hAnsi="Times New Roman"/>
          <w:sz w:val="20"/>
          <w:szCs w:val="20"/>
        </w:rPr>
        <w:t>77</w:t>
      </w:r>
      <w:r w:rsidRPr="0066031C">
        <w:rPr>
          <w:rFonts w:ascii="Times New Roman" w:eastAsia="TimesNewRoman" w:hAnsi="Times New Roman"/>
          <w:sz w:val="20"/>
          <w:szCs w:val="20"/>
        </w:rPr>
        <w:t>(3): 329 –</w:t>
      </w:r>
      <w:r w:rsidRPr="0066031C">
        <w:rPr>
          <w:rFonts w:ascii="Times New Roman" w:hAnsi="Times New Roman"/>
          <w:sz w:val="20"/>
          <w:szCs w:val="20"/>
        </w:rPr>
        <w:t xml:space="preserve"> </w:t>
      </w:r>
      <w:r w:rsidRPr="0066031C">
        <w:rPr>
          <w:rFonts w:ascii="Times New Roman" w:eastAsia="TimesNewRoman" w:hAnsi="Times New Roman"/>
          <w:sz w:val="20"/>
          <w:szCs w:val="20"/>
        </w:rPr>
        <w:t>338.</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Pojana, G., Gomiero, A., Jonkers, N. and Marcomini, A. (2007). Natural and synthetic endocrine disrupting compounds (EDCs) in water, sediment and biota of a coastal lagoon. </w:t>
      </w:r>
      <w:r w:rsidRPr="0066031C">
        <w:rPr>
          <w:rFonts w:ascii="Times New Roman" w:hAnsi="Times New Roman"/>
          <w:i/>
          <w:iCs/>
          <w:sz w:val="20"/>
          <w:szCs w:val="20"/>
        </w:rPr>
        <w:t>Environment International</w:t>
      </w:r>
      <w:r w:rsidRPr="0066031C">
        <w:rPr>
          <w:rFonts w:ascii="Times New Roman" w:eastAsia="TimesNewRoman" w:hAnsi="Times New Roman"/>
          <w:sz w:val="20"/>
          <w:szCs w:val="20"/>
        </w:rPr>
        <w:t xml:space="preserve">, </w:t>
      </w:r>
      <w:r w:rsidRPr="0066031C">
        <w:rPr>
          <w:rFonts w:ascii="Times New Roman" w:hAnsi="Times New Roman"/>
          <w:sz w:val="20"/>
          <w:szCs w:val="20"/>
        </w:rPr>
        <w:t>33</w:t>
      </w:r>
      <w:r w:rsidRPr="0066031C">
        <w:rPr>
          <w:rFonts w:ascii="Times New Roman" w:eastAsia="TimesNewRoman" w:hAnsi="Times New Roman"/>
          <w:sz w:val="20"/>
          <w:szCs w:val="20"/>
        </w:rPr>
        <w:t>(7): 929 –</w:t>
      </w:r>
      <w:r w:rsidRPr="0066031C">
        <w:rPr>
          <w:rFonts w:ascii="Times New Roman" w:hAnsi="Times New Roman"/>
          <w:sz w:val="20"/>
          <w:szCs w:val="20"/>
        </w:rPr>
        <w:t xml:space="preserve"> </w:t>
      </w:r>
      <w:r w:rsidRPr="0066031C">
        <w:rPr>
          <w:rFonts w:ascii="Times New Roman" w:eastAsia="TimesNewRoman" w:hAnsi="Times New Roman"/>
          <w:sz w:val="20"/>
          <w:szCs w:val="20"/>
        </w:rPr>
        <w:t>936.</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Kannan, K., Keith, T. L., Naylor, C. G., Staples, C. A., Snyder, S. A. and Giesy, J. P. (2003). Nonylphenol and nonylphenol ethoxylates in fish, sediment, and water from the Kalamazoo River, Michigan. </w:t>
      </w:r>
      <w:r w:rsidRPr="0066031C">
        <w:rPr>
          <w:rFonts w:ascii="Times New Roman" w:hAnsi="Times New Roman"/>
          <w:i/>
          <w:iCs/>
          <w:sz w:val="20"/>
          <w:szCs w:val="20"/>
        </w:rPr>
        <w:t>Archives of Environmental Contamination &amp; Toxicology</w:t>
      </w:r>
      <w:r w:rsidRPr="0066031C">
        <w:rPr>
          <w:rFonts w:ascii="Times New Roman" w:eastAsia="TimesNewRoman" w:hAnsi="Times New Roman"/>
          <w:sz w:val="20"/>
          <w:szCs w:val="20"/>
        </w:rPr>
        <w:t xml:space="preserve">, </w:t>
      </w:r>
      <w:r w:rsidRPr="0066031C">
        <w:rPr>
          <w:rFonts w:ascii="Times New Roman" w:hAnsi="Times New Roman"/>
          <w:sz w:val="20"/>
          <w:szCs w:val="20"/>
        </w:rPr>
        <w:t>44</w:t>
      </w:r>
      <w:r w:rsidRPr="0066031C">
        <w:rPr>
          <w:rFonts w:ascii="Times New Roman" w:eastAsia="TimesNewRoman" w:hAnsi="Times New Roman"/>
          <w:sz w:val="20"/>
          <w:szCs w:val="20"/>
        </w:rPr>
        <w:t>(1): 77 –</w:t>
      </w:r>
      <w:r w:rsidRPr="0066031C">
        <w:rPr>
          <w:rFonts w:ascii="Times New Roman" w:hAnsi="Times New Roman"/>
          <w:sz w:val="20"/>
          <w:szCs w:val="20"/>
        </w:rPr>
        <w:t xml:space="preserve"> </w:t>
      </w:r>
      <w:r w:rsidRPr="0066031C">
        <w:rPr>
          <w:rFonts w:ascii="Times New Roman" w:eastAsia="TimesNewRoman" w:hAnsi="Times New Roman"/>
          <w:sz w:val="20"/>
          <w:szCs w:val="20"/>
        </w:rPr>
        <w:t>82.</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Lye, C. M., Frid, C. L. J., Gill, M. E., Cooper, D. W. and Jones, D. M. (1999). Estrogenic alkylphenols in fish tissues, sediments, and waters from the UK Tyne and Tees estuaries. </w:t>
      </w:r>
      <w:r w:rsidRPr="0066031C">
        <w:rPr>
          <w:rFonts w:ascii="Times New Roman" w:hAnsi="Times New Roman"/>
          <w:i/>
          <w:iCs/>
          <w:sz w:val="20"/>
          <w:szCs w:val="20"/>
        </w:rPr>
        <w:t>Environmental Science &amp; Technology</w:t>
      </w:r>
      <w:r w:rsidRPr="0066031C">
        <w:rPr>
          <w:rFonts w:ascii="Times New Roman" w:eastAsia="TimesNewRoman" w:hAnsi="Times New Roman"/>
          <w:sz w:val="20"/>
          <w:szCs w:val="20"/>
        </w:rPr>
        <w:t xml:space="preserve">, </w:t>
      </w:r>
      <w:r w:rsidRPr="0066031C">
        <w:rPr>
          <w:rFonts w:ascii="Times New Roman" w:hAnsi="Times New Roman"/>
          <w:sz w:val="20"/>
          <w:szCs w:val="20"/>
        </w:rPr>
        <w:t>33</w:t>
      </w:r>
      <w:r w:rsidRPr="0066031C">
        <w:rPr>
          <w:rFonts w:ascii="Times New Roman" w:eastAsia="TimesNewRoman" w:hAnsi="Times New Roman"/>
          <w:sz w:val="20"/>
          <w:szCs w:val="20"/>
        </w:rPr>
        <w:t>(7): 1009 –</w:t>
      </w:r>
      <w:r w:rsidRPr="0066031C">
        <w:rPr>
          <w:rFonts w:ascii="Times New Roman" w:hAnsi="Times New Roman"/>
          <w:sz w:val="20"/>
          <w:szCs w:val="20"/>
        </w:rPr>
        <w:t xml:space="preserve"> </w:t>
      </w:r>
      <w:r w:rsidRPr="0066031C">
        <w:rPr>
          <w:rFonts w:ascii="Times New Roman" w:eastAsia="TimesNewRoman" w:hAnsi="Times New Roman"/>
          <w:sz w:val="20"/>
          <w:szCs w:val="20"/>
        </w:rPr>
        <w:t>1014.</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lang w:val="es-ES"/>
        </w:rPr>
        <w:t xml:space="preserve">Lacorte, S., Raldúa, D., Martínez, E., Navarro, A., Diez, S., Bayona, J. M. and Barceló, D. (2006). </w:t>
      </w:r>
      <w:r w:rsidRPr="0066031C">
        <w:rPr>
          <w:rFonts w:ascii="Times New Roman" w:eastAsia="TimesNewRoman" w:hAnsi="Times New Roman"/>
          <w:sz w:val="20"/>
          <w:szCs w:val="20"/>
        </w:rPr>
        <w:t xml:space="preserve">Pilot survey of a broad range of priority pollutants in sediment and fish from the Ebro river basin (NE Spain). </w:t>
      </w:r>
      <w:r w:rsidRPr="0066031C">
        <w:rPr>
          <w:rFonts w:ascii="Times New Roman" w:hAnsi="Times New Roman"/>
          <w:i/>
          <w:iCs/>
          <w:sz w:val="20"/>
          <w:szCs w:val="20"/>
        </w:rPr>
        <w:t>Environmental Pollution</w:t>
      </w:r>
      <w:r w:rsidRPr="0066031C">
        <w:rPr>
          <w:rFonts w:ascii="Times New Roman" w:eastAsia="TimesNewRoman" w:hAnsi="Times New Roman"/>
          <w:sz w:val="20"/>
          <w:szCs w:val="20"/>
        </w:rPr>
        <w:t xml:space="preserve">, </w:t>
      </w:r>
      <w:r w:rsidRPr="0066031C">
        <w:rPr>
          <w:rFonts w:ascii="Times New Roman" w:hAnsi="Times New Roman"/>
          <w:sz w:val="20"/>
          <w:szCs w:val="20"/>
        </w:rPr>
        <w:t>140</w:t>
      </w:r>
      <w:r w:rsidRPr="0066031C">
        <w:rPr>
          <w:rFonts w:ascii="Times New Roman" w:eastAsia="TimesNewRoman" w:hAnsi="Times New Roman"/>
          <w:sz w:val="20"/>
          <w:szCs w:val="20"/>
        </w:rPr>
        <w:t>(3): 471 –</w:t>
      </w:r>
      <w:r w:rsidRPr="0066031C">
        <w:rPr>
          <w:rFonts w:ascii="Times New Roman" w:hAnsi="Times New Roman"/>
          <w:sz w:val="20"/>
          <w:szCs w:val="20"/>
        </w:rPr>
        <w:t xml:space="preserve"> </w:t>
      </w:r>
      <w:r w:rsidRPr="0066031C">
        <w:rPr>
          <w:rFonts w:ascii="Times New Roman" w:eastAsia="TimesNewRoman" w:hAnsi="Times New Roman"/>
          <w:sz w:val="20"/>
          <w:szCs w:val="20"/>
        </w:rPr>
        <w:t>482.</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Maruya, K. A., Vidal</w:t>
      </w:r>
      <w:r w:rsidRPr="0066031C">
        <w:rPr>
          <w:rFonts w:ascii="Cambria Math" w:eastAsia="CambriaMath" w:hAnsi="Cambria Math" w:cs="Cambria Math"/>
          <w:sz w:val="20"/>
          <w:szCs w:val="20"/>
        </w:rPr>
        <w:t>‐</w:t>
      </w:r>
      <w:r w:rsidRPr="0066031C">
        <w:rPr>
          <w:rFonts w:ascii="Times New Roman" w:eastAsia="TimesNewRoman" w:hAnsi="Times New Roman"/>
          <w:sz w:val="20"/>
          <w:szCs w:val="20"/>
        </w:rPr>
        <w:t xml:space="preserve">Dorsch, D. E., Bay, S. M., Kwon, J. W., Xia, K. and Armbrust, K. L. (2012). Organic contaminants of emerging concern in sediments and flatfish collected near outfalls discharging treated wastewater effluent to the Southern California Bight. </w:t>
      </w:r>
      <w:r w:rsidRPr="0066031C">
        <w:rPr>
          <w:rFonts w:ascii="Times New Roman" w:hAnsi="Times New Roman"/>
          <w:i/>
          <w:iCs/>
          <w:sz w:val="20"/>
          <w:szCs w:val="20"/>
        </w:rPr>
        <w:t>Environmental Toxicology &amp; Chemistry</w:t>
      </w:r>
      <w:r w:rsidRPr="0066031C">
        <w:rPr>
          <w:rFonts w:ascii="Times New Roman" w:eastAsia="TimesNewRoman" w:hAnsi="Times New Roman"/>
          <w:sz w:val="20"/>
          <w:szCs w:val="20"/>
        </w:rPr>
        <w:t xml:space="preserve">, </w:t>
      </w:r>
      <w:r w:rsidRPr="0066031C">
        <w:rPr>
          <w:rFonts w:ascii="Times New Roman" w:hAnsi="Times New Roman"/>
          <w:sz w:val="20"/>
          <w:szCs w:val="20"/>
        </w:rPr>
        <w:t>31</w:t>
      </w:r>
      <w:r w:rsidRPr="0066031C">
        <w:rPr>
          <w:rFonts w:ascii="Times New Roman" w:eastAsia="TimesNewRoman" w:hAnsi="Times New Roman"/>
          <w:sz w:val="20"/>
          <w:szCs w:val="20"/>
        </w:rPr>
        <w:t>(12): 2683 –</w:t>
      </w:r>
      <w:r w:rsidRPr="0066031C">
        <w:rPr>
          <w:rFonts w:ascii="Times New Roman" w:hAnsi="Times New Roman"/>
          <w:sz w:val="20"/>
          <w:szCs w:val="20"/>
        </w:rPr>
        <w:t xml:space="preserve"> </w:t>
      </w:r>
      <w:r w:rsidRPr="0066031C">
        <w:rPr>
          <w:rFonts w:ascii="Times New Roman" w:eastAsia="TimesNewRoman" w:hAnsi="Times New Roman"/>
          <w:sz w:val="20"/>
          <w:szCs w:val="20"/>
        </w:rPr>
        <w:t>2688.</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Zhang, X., Gao, Y., Li, Q., Li, G., Guo, Q. and Yan, C. (2011). Estrogenic compounds and estrogenicity in surface water, sediments, and organisms from Yundang Lagoon in Xiamen, China. </w:t>
      </w:r>
      <w:r w:rsidRPr="0066031C">
        <w:rPr>
          <w:rFonts w:ascii="Times New Roman" w:hAnsi="Times New Roman"/>
          <w:i/>
          <w:iCs/>
          <w:sz w:val="20"/>
          <w:szCs w:val="20"/>
        </w:rPr>
        <w:t>Archives of Environmental Contamination &amp; Toxicology</w:t>
      </w:r>
      <w:r w:rsidRPr="0066031C">
        <w:rPr>
          <w:rFonts w:ascii="Times New Roman" w:eastAsia="TimesNewRoman" w:hAnsi="Times New Roman"/>
          <w:sz w:val="20"/>
          <w:szCs w:val="20"/>
        </w:rPr>
        <w:t xml:space="preserve">, </w:t>
      </w:r>
      <w:r w:rsidRPr="0066031C">
        <w:rPr>
          <w:rFonts w:ascii="Times New Roman" w:hAnsi="Times New Roman"/>
          <w:sz w:val="20"/>
          <w:szCs w:val="20"/>
        </w:rPr>
        <w:t>61</w:t>
      </w:r>
      <w:r w:rsidRPr="0066031C">
        <w:rPr>
          <w:rFonts w:ascii="Times New Roman" w:eastAsia="TimesNewRoman" w:hAnsi="Times New Roman"/>
          <w:sz w:val="20"/>
          <w:szCs w:val="20"/>
        </w:rPr>
        <w:t>(1): 93 –</w:t>
      </w:r>
      <w:r w:rsidRPr="0066031C">
        <w:rPr>
          <w:rFonts w:ascii="Times New Roman" w:hAnsi="Times New Roman"/>
          <w:sz w:val="20"/>
          <w:szCs w:val="20"/>
        </w:rPr>
        <w:t xml:space="preserve"> </w:t>
      </w:r>
      <w:r w:rsidRPr="0066031C">
        <w:rPr>
          <w:rFonts w:ascii="Times New Roman" w:eastAsia="TimesNewRoman" w:hAnsi="Times New Roman"/>
          <w:sz w:val="20"/>
          <w:szCs w:val="20"/>
        </w:rPr>
        <w:t>100.</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Verslycke, T. A., Vethaak, A. D., Arijs, K. and Janssen, C. R. (2005). Flame retardants, surfactants and organotins in sediment and mysid shrimp of the Scheldt estuary (The Netherlands). </w:t>
      </w:r>
      <w:r w:rsidRPr="0066031C">
        <w:rPr>
          <w:rFonts w:ascii="Times New Roman" w:hAnsi="Times New Roman"/>
          <w:i/>
          <w:iCs/>
          <w:sz w:val="20"/>
          <w:szCs w:val="20"/>
        </w:rPr>
        <w:t>Environmental Pollution</w:t>
      </w:r>
      <w:r w:rsidRPr="0066031C">
        <w:rPr>
          <w:rFonts w:ascii="Times New Roman" w:eastAsia="TimesNewRoman" w:hAnsi="Times New Roman"/>
          <w:sz w:val="20"/>
          <w:szCs w:val="20"/>
        </w:rPr>
        <w:t xml:space="preserve">, </w:t>
      </w:r>
      <w:r w:rsidRPr="0066031C">
        <w:rPr>
          <w:rFonts w:ascii="Times New Roman" w:hAnsi="Times New Roman"/>
          <w:sz w:val="20"/>
          <w:szCs w:val="20"/>
        </w:rPr>
        <w:t>136</w:t>
      </w:r>
      <w:r w:rsidRPr="0066031C">
        <w:rPr>
          <w:rFonts w:ascii="Times New Roman" w:eastAsia="TimesNewRoman" w:hAnsi="Times New Roman"/>
          <w:sz w:val="20"/>
          <w:szCs w:val="20"/>
        </w:rPr>
        <w:t>(1): 19 –</w:t>
      </w:r>
      <w:r w:rsidRPr="0066031C">
        <w:rPr>
          <w:rFonts w:ascii="Times New Roman" w:hAnsi="Times New Roman"/>
          <w:sz w:val="20"/>
          <w:szCs w:val="20"/>
        </w:rPr>
        <w:t xml:space="preserve"> </w:t>
      </w:r>
      <w:r w:rsidRPr="0066031C">
        <w:rPr>
          <w:rFonts w:ascii="Times New Roman" w:eastAsia="TimesNewRoman" w:hAnsi="Times New Roman"/>
          <w:sz w:val="20"/>
          <w:szCs w:val="20"/>
        </w:rPr>
        <w:t>31.</w:t>
      </w:r>
    </w:p>
    <w:p w:rsidR="0066031C" w:rsidRPr="0066031C" w:rsidRDefault="0066031C" w:rsidP="001F0901">
      <w:pPr>
        <w:numPr>
          <w:ilvl w:val="0"/>
          <w:numId w:val="3"/>
        </w:numPr>
        <w:autoSpaceDE w:val="0"/>
        <w:autoSpaceDN w:val="0"/>
        <w:adjustRightInd w:val="0"/>
        <w:spacing w:after="0" w:line="240" w:lineRule="auto"/>
        <w:ind w:left="360"/>
        <w:jc w:val="both"/>
        <w:rPr>
          <w:rFonts w:ascii="Times New Roman" w:hAnsi="Times New Roman"/>
          <w:sz w:val="20"/>
          <w:szCs w:val="20"/>
        </w:rPr>
      </w:pPr>
      <w:r w:rsidRPr="0066031C">
        <w:rPr>
          <w:rFonts w:ascii="Times New Roman" w:eastAsia="TimesNewRoman" w:hAnsi="Times New Roman"/>
          <w:sz w:val="20"/>
          <w:szCs w:val="20"/>
        </w:rPr>
        <w:t xml:space="preserve">Wang, J., Shim, W. J., Yim, U. H., Kannan, N. and Li, D. (2010). Nonylphenol in bivalves and sediments in the northeast coast of China. </w:t>
      </w:r>
      <w:r w:rsidRPr="0066031C">
        <w:rPr>
          <w:rFonts w:ascii="Times New Roman" w:hAnsi="Times New Roman"/>
          <w:i/>
          <w:iCs/>
          <w:sz w:val="20"/>
          <w:szCs w:val="20"/>
        </w:rPr>
        <w:t>Journal of Environmental Sciences</w:t>
      </w:r>
      <w:r w:rsidRPr="0066031C">
        <w:rPr>
          <w:rFonts w:ascii="Times New Roman" w:eastAsia="TimesNewRoman" w:hAnsi="Times New Roman"/>
          <w:sz w:val="20"/>
          <w:szCs w:val="20"/>
        </w:rPr>
        <w:t xml:space="preserve">, </w:t>
      </w:r>
      <w:r w:rsidRPr="0066031C">
        <w:rPr>
          <w:rFonts w:ascii="Times New Roman" w:hAnsi="Times New Roman"/>
          <w:sz w:val="20"/>
          <w:szCs w:val="20"/>
        </w:rPr>
        <w:t>22</w:t>
      </w:r>
      <w:r w:rsidRPr="0066031C">
        <w:rPr>
          <w:rFonts w:ascii="Times New Roman" w:eastAsia="TimesNewRoman" w:hAnsi="Times New Roman"/>
          <w:sz w:val="20"/>
          <w:szCs w:val="20"/>
        </w:rPr>
        <w:t>(11): 1735 –</w:t>
      </w:r>
      <w:r w:rsidRPr="0066031C">
        <w:rPr>
          <w:rFonts w:ascii="Times New Roman" w:hAnsi="Times New Roman"/>
          <w:sz w:val="20"/>
          <w:szCs w:val="20"/>
        </w:rPr>
        <w:t xml:space="preserve"> </w:t>
      </w:r>
      <w:r w:rsidRPr="0066031C">
        <w:rPr>
          <w:rFonts w:ascii="Times New Roman" w:eastAsia="TimesNewRoman" w:hAnsi="Times New Roman"/>
          <w:sz w:val="20"/>
          <w:szCs w:val="20"/>
        </w:rPr>
        <w:t>1740.</w:t>
      </w:r>
    </w:p>
    <w:p w:rsidR="00AC0033" w:rsidRPr="0066031C" w:rsidRDefault="00AC0033" w:rsidP="001F0901">
      <w:pPr>
        <w:spacing w:after="0" w:line="240" w:lineRule="auto"/>
        <w:ind w:left="360" w:hanging="360"/>
        <w:jc w:val="both"/>
        <w:rPr>
          <w:rFonts w:ascii="Times New Roman" w:hAnsi="Times New Roman"/>
          <w:noProof/>
          <w:sz w:val="20"/>
          <w:szCs w:val="20"/>
          <w:lang w:bidi="ar-SA"/>
        </w:rPr>
      </w:pPr>
    </w:p>
    <w:sectPr w:rsidR="00AC0033" w:rsidRPr="0066031C" w:rsidSect="001F0901">
      <w:headerReference w:type="even" r:id="rId16"/>
      <w:headerReference w:type="default" r:id="rId17"/>
      <w:footerReference w:type="even" r:id="rId18"/>
      <w:footerReference w:type="default" r:id="rId19"/>
      <w:pgSz w:w="12240" w:h="15840" w:code="1"/>
      <w:pgMar w:top="1800" w:right="1469" w:bottom="1699" w:left="1440" w:header="706" w:footer="706" w:gutter="0"/>
      <w:pgNumType w:start="5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Mat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F506C">
      <w:rPr>
        <w:rFonts w:ascii="Times New Roman" w:hAnsi="Times New Roman"/>
        <w:noProof/>
      </w:rPr>
      <w:t>542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F506C">
      <w:rPr>
        <w:rFonts w:ascii="Times New Roman" w:hAnsi="Times New Roman"/>
        <w:noProof/>
      </w:rPr>
      <w:t>543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F5" w:rsidRPr="00144DF5" w:rsidRDefault="00144DF5" w:rsidP="00E27461">
    <w:pPr>
      <w:autoSpaceDE w:val="0"/>
      <w:autoSpaceDN w:val="0"/>
      <w:adjustRightInd w:val="0"/>
      <w:spacing w:after="0" w:line="240" w:lineRule="auto"/>
      <w:ind w:left="1530" w:hanging="1530"/>
      <w:rPr>
        <w:rFonts w:ascii="Times New Roman" w:hAnsi="Times New Roman"/>
        <w:bCs/>
        <w:sz w:val="20"/>
        <w:szCs w:val="20"/>
      </w:rPr>
    </w:pPr>
    <w:r>
      <w:rPr>
        <w:rFonts w:ascii="Times New Roman" w:hAnsi="Times New Roman"/>
        <w:sz w:val="20"/>
        <w:szCs w:val="20"/>
      </w:rPr>
      <w:t>Nurulnadia et al</w:t>
    </w:r>
    <w:r w:rsidR="006B72B0" w:rsidRPr="00144DF5">
      <w:rPr>
        <w:rFonts w:ascii="Times New Roman" w:hAnsi="Times New Roman"/>
        <w:sz w:val="20"/>
        <w:szCs w:val="20"/>
      </w:rPr>
      <w:t xml:space="preserve">: </w:t>
    </w:r>
    <w:r w:rsidR="00070F31" w:rsidRPr="00144DF5">
      <w:rPr>
        <w:rFonts w:ascii="Times New Roman" w:hAnsi="Times New Roman"/>
        <w:sz w:val="20"/>
        <w:szCs w:val="20"/>
      </w:rPr>
      <w:t xml:space="preserve"> </w:t>
    </w:r>
    <w:r w:rsidRPr="00144DF5">
      <w:rPr>
        <w:rFonts w:ascii="Times New Roman" w:hAnsi="Times New Roman"/>
        <w:sz w:val="20"/>
        <w:szCs w:val="20"/>
      </w:rPr>
      <w:t xml:space="preserve"> </w:t>
    </w:r>
    <w:r w:rsidR="00E27461">
      <w:rPr>
        <w:rFonts w:ascii="Times New Roman" w:hAnsi="Times New Roman"/>
        <w:sz w:val="20"/>
        <w:szCs w:val="20"/>
      </w:rPr>
      <w:tab/>
    </w:r>
    <w:r w:rsidRPr="00144DF5">
      <w:rPr>
        <w:rFonts w:ascii="Times New Roman" w:hAnsi="Times New Roman"/>
        <w:bCs/>
        <w:sz w:val="20"/>
        <w:szCs w:val="20"/>
      </w:rPr>
      <w:t xml:space="preserve">BIOACCUMULATION OF SEDIMENTARY ENDOCRINE DISRUPTING CHEMICALS (EDCs) BY THE BENTHIC FISH, </w:t>
    </w:r>
    <w:r w:rsidRPr="00144DF5">
      <w:rPr>
        <w:rFonts w:ascii="Times New Roman" w:hAnsi="Times New Roman"/>
        <w:bCs/>
        <w:i/>
        <w:iCs/>
        <w:sz w:val="20"/>
        <w:szCs w:val="20"/>
      </w:rPr>
      <w:t>Pleuronectes yokohamae</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ED0F50">
      <w:rPr>
        <w:rFonts w:ascii="Times New Roman" w:hAnsi="Times New Roman"/>
        <w:i/>
        <w:lang w:val="en-US"/>
      </w:rPr>
      <w:t>535</w:t>
    </w:r>
    <w:r>
      <w:rPr>
        <w:rFonts w:ascii="Times New Roman" w:hAnsi="Times New Roman"/>
        <w:i/>
        <w:lang w:val="en-US"/>
      </w:rPr>
      <w:t xml:space="preserve"> </w:t>
    </w:r>
    <w:r w:rsidR="007A0583">
      <w:rPr>
        <w:rFonts w:ascii="Times New Roman" w:hAnsi="Times New Roman"/>
        <w:i/>
        <w:lang w:val="en-US"/>
      </w:rPr>
      <w:t>-</w:t>
    </w:r>
    <w:r w:rsidR="00ED0F50">
      <w:rPr>
        <w:rFonts w:ascii="Times New Roman" w:hAnsi="Times New Roman"/>
        <w:i/>
        <w:lang w:val="en-US"/>
      </w:rPr>
      <w:t xml:space="preserve"> 543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ED0F50">
      <w:rPr>
        <w:rFonts w:ascii="Times New Roman" w:hAnsi="Times New Roman"/>
        <w:i/>
        <w:lang w:val="en-US"/>
      </w:rPr>
      <w:t>-03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EF03699"/>
    <w:multiLevelType w:val="hybridMultilevel"/>
    <w:tmpl w:val="58D69474"/>
    <w:lvl w:ilvl="0" w:tplc="C0A2B5CA">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B247D"/>
    <w:rsid w:val="000C49FF"/>
    <w:rsid w:val="000D16A1"/>
    <w:rsid w:val="000D2B0C"/>
    <w:rsid w:val="000F77DA"/>
    <w:rsid w:val="001068E8"/>
    <w:rsid w:val="001106D8"/>
    <w:rsid w:val="00117BCD"/>
    <w:rsid w:val="00144DF5"/>
    <w:rsid w:val="001D035A"/>
    <w:rsid w:val="001D3855"/>
    <w:rsid w:val="001D6F2C"/>
    <w:rsid w:val="001F0901"/>
    <w:rsid w:val="00250127"/>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A7642"/>
    <w:rsid w:val="004B43FF"/>
    <w:rsid w:val="004D7E25"/>
    <w:rsid w:val="00502641"/>
    <w:rsid w:val="005C6768"/>
    <w:rsid w:val="005E4871"/>
    <w:rsid w:val="00601C8A"/>
    <w:rsid w:val="00613E08"/>
    <w:rsid w:val="00623CB8"/>
    <w:rsid w:val="006257E5"/>
    <w:rsid w:val="00634C25"/>
    <w:rsid w:val="006416AB"/>
    <w:rsid w:val="0065447F"/>
    <w:rsid w:val="0066031C"/>
    <w:rsid w:val="006768E9"/>
    <w:rsid w:val="00687982"/>
    <w:rsid w:val="006B3EC8"/>
    <w:rsid w:val="006B72B0"/>
    <w:rsid w:val="006D286E"/>
    <w:rsid w:val="006D695E"/>
    <w:rsid w:val="00725A6A"/>
    <w:rsid w:val="007943F3"/>
    <w:rsid w:val="007A0583"/>
    <w:rsid w:val="007A738C"/>
    <w:rsid w:val="007B1349"/>
    <w:rsid w:val="007D45AC"/>
    <w:rsid w:val="007E25BD"/>
    <w:rsid w:val="007F506C"/>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33A06"/>
    <w:rsid w:val="00A4762A"/>
    <w:rsid w:val="00A74A7E"/>
    <w:rsid w:val="00A91EFF"/>
    <w:rsid w:val="00AC0033"/>
    <w:rsid w:val="00AD1B8A"/>
    <w:rsid w:val="00AE713F"/>
    <w:rsid w:val="00AF2305"/>
    <w:rsid w:val="00AF2821"/>
    <w:rsid w:val="00B07460"/>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DE1546"/>
    <w:rsid w:val="00DE2410"/>
    <w:rsid w:val="00E25547"/>
    <w:rsid w:val="00E27461"/>
    <w:rsid w:val="00E3287E"/>
    <w:rsid w:val="00E54D12"/>
    <w:rsid w:val="00E66197"/>
    <w:rsid w:val="00ED0F50"/>
    <w:rsid w:val="00F31093"/>
    <w:rsid w:val="00F412AF"/>
    <w:rsid w:val="00F43667"/>
    <w:rsid w:val="00F447A7"/>
    <w:rsid w:val="00F4760B"/>
    <w:rsid w:val="00F67B39"/>
    <w:rsid w:val="00FB4C59"/>
    <w:rsid w:val="00FE0572"/>
    <w:rsid w:val="00FE073F"/>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Microsoft_Excel_97-2003_Worksheet2.xls"/><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FC179-F599-4D68-B200-76E6950A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4314</Words>
  <Characters>23264</Characters>
  <Application>Microsoft Office Word</Application>
  <DocSecurity>0</DocSecurity>
  <Lines>566</Lines>
  <Paragraphs>262</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14</cp:revision>
  <cp:lastPrinted>2017-06-10T11:10:00Z</cp:lastPrinted>
  <dcterms:created xsi:type="dcterms:W3CDTF">2017-04-27T04:43:00Z</dcterms:created>
  <dcterms:modified xsi:type="dcterms:W3CDTF">2017-06-10T11:11:00Z</dcterms:modified>
</cp:coreProperties>
</file>