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825624" w:rsidP="00E3287E">
      <w:pPr>
        <w:spacing w:after="0" w:line="240" w:lineRule="auto"/>
        <w:rPr>
          <w:rFonts w:ascii="Times New Roman" w:hAnsi="Times New Roman"/>
          <w:noProof/>
          <w:lang w:bidi="ar-SA"/>
        </w:rPr>
      </w:pPr>
      <w:bookmarkStart w:id="0" w:name="_GoBack"/>
      <w:bookmarkEnd w:id="0"/>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825624"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Default="00084936" w:rsidP="00F447A7">
      <w:pPr>
        <w:spacing w:after="0" w:line="240" w:lineRule="auto"/>
        <w:jc w:val="center"/>
        <w:rPr>
          <w:rFonts w:ascii="Times New Roman" w:hAnsi="Times New Roman"/>
          <w:noProof/>
          <w:sz w:val="20"/>
          <w:szCs w:val="20"/>
          <w:lang w:bidi="ar-SA"/>
        </w:rPr>
      </w:pPr>
    </w:p>
    <w:p w:rsidR="00095ED9" w:rsidRPr="00001D81" w:rsidRDefault="00095ED9" w:rsidP="00095ED9">
      <w:pPr>
        <w:spacing w:after="0" w:line="240" w:lineRule="auto"/>
        <w:jc w:val="center"/>
        <w:outlineLvl w:val="0"/>
        <w:rPr>
          <w:rFonts w:ascii="Times New Roman" w:hAnsi="Times New Roman"/>
          <w:b/>
          <w:color w:val="548DD4" w:themeColor="text2" w:themeTint="99"/>
          <w:sz w:val="28"/>
        </w:rPr>
      </w:pPr>
      <w:r>
        <w:rPr>
          <w:rFonts w:ascii="Times New Roman" w:hAnsi="Times New Roman"/>
          <w:sz w:val="28"/>
          <w:lang w:val="en-MY"/>
        </w:rPr>
        <w:t xml:space="preserve">PRELIMINARY STUDIES ON POWER GENERATION BY </w:t>
      </w:r>
      <w:r w:rsidRPr="009B5D3A">
        <w:rPr>
          <w:rFonts w:ascii="Times New Roman" w:hAnsi="Times New Roman"/>
          <w:i/>
          <w:sz w:val="28"/>
          <w:lang w:val="en-MY"/>
        </w:rPr>
        <w:t>Bacilli E1</w:t>
      </w:r>
      <w:r>
        <w:rPr>
          <w:rFonts w:ascii="Times New Roman" w:hAnsi="Times New Roman"/>
          <w:sz w:val="28"/>
          <w:lang w:val="en-MY"/>
        </w:rPr>
        <w:t xml:space="preserve"> USING DUAL CHAMBER MICROBIAL FUEL CELL </w:t>
      </w:r>
    </w:p>
    <w:p w:rsidR="00095ED9" w:rsidRPr="00095ED9" w:rsidRDefault="00095ED9" w:rsidP="00095ED9">
      <w:pPr>
        <w:spacing w:after="0" w:line="240" w:lineRule="auto"/>
        <w:jc w:val="center"/>
        <w:outlineLvl w:val="0"/>
        <w:rPr>
          <w:rFonts w:ascii="Times New Roman" w:hAnsi="Times New Roman"/>
          <w:color w:val="548DD4" w:themeColor="text2" w:themeTint="99"/>
          <w:sz w:val="24"/>
        </w:rPr>
      </w:pPr>
    </w:p>
    <w:p w:rsidR="00095ED9" w:rsidRPr="008B1F9C" w:rsidRDefault="00095ED9" w:rsidP="00095ED9">
      <w:pPr>
        <w:spacing w:after="0" w:line="240" w:lineRule="auto"/>
        <w:jc w:val="center"/>
        <w:outlineLvl w:val="0"/>
        <w:rPr>
          <w:rFonts w:ascii="Times New Roman" w:hAnsi="Times New Roman"/>
          <w:b/>
          <w:color w:val="548DD4" w:themeColor="text2" w:themeTint="99"/>
          <w:sz w:val="24"/>
          <w:szCs w:val="24"/>
        </w:rPr>
      </w:pPr>
      <w:r>
        <w:rPr>
          <w:rFonts w:ascii="Times New Roman" w:hAnsi="Times New Roman"/>
          <w:color w:val="222222"/>
          <w:sz w:val="24"/>
          <w:szCs w:val="24"/>
          <w:shd w:val="clear" w:color="auto" w:fill="FFFFFF"/>
        </w:rPr>
        <w:t xml:space="preserve"> (Kajian Awal Penghasilan E</w:t>
      </w:r>
      <w:r w:rsidRPr="008B1F9C">
        <w:rPr>
          <w:rFonts w:ascii="Times New Roman" w:hAnsi="Times New Roman"/>
          <w:color w:val="222222"/>
          <w:sz w:val="24"/>
          <w:szCs w:val="24"/>
          <w:shd w:val="clear" w:color="auto" w:fill="FFFFFF"/>
        </w:rPr>
        <w:t xml:space="preserve">lektrik oleh </w:t>
      </w:r>
      <w:r>
        <w:rPr>
          <w:rFonts w:ascii="Times New Roman" w:hAnsi="Times New Roman"/>
          <w:i/>
          <w:color w:val="222222"/>
          <w:sz w:val="24"/>
          <w:szCs w:val="24"/>
          <w:shd w:val="clear" w:color="auto" w:fill="FFFFFF"/>
        </w:rPr>
        <w:t>Basilli El</w:t>
      </w:r>
      <w:r>
        <w:rPr>
          <w:rFonts w:ascii="Times New Roman" w:hAnsi="Times New Roman"/>
          <w:color w:val="222222"/>
          <w:sz w:val="24"/>
          <w:szCs w:val="24"/>
          <w:shd w:val="clear" w:color="auto" w:fill="FFFFFF"/>
        </w:rPr>
        <w:t xml:space="preserve"> Menggunakan S</w:t>
      </w:r>
      <w:r w:rsidRPr="008B1F9C">
        <w:rPr>
          <w:rFonts w:ascii="Times New Roman" w:hAnsi="Times New Roman"/>
          <w:color w:val="222222"/>
          <w:sz w:val="24"/>
          <w:szCs w:val="24"/>
          <w:shd w:val="clear" w:color="auto" w:fill="FFFFFF"/>
        </w:rPr>
        <w:t xml:space="preserve">el </w:t>
      </w:r>
      <w:r>
        <w:rPr>
          <w:rFonts w:ascii="Times New Roman" w:hAnsi="Times New Roman"/>
          <w:color w:val="222222"/>
          <w:sz w:val="24"/>
          <w:szCs w:val="24"/>
          <w:shd w:val="clear" w:color="auto" w:fill="FFFFFF"/>
        </w:rPr>
        <w:t>Bahan Api M</w:t>
      </w:r>
      <w:r w:rsidRPr="008B1F9C">
        <w:rPr>
          <w:rFonts w:ascii="Times New Roman" w:hAnsi="Times New Roman"/>
          <w:color w:val="222222"/>
          <w:sz w:val="24"/>
          <w:szCs w:val="24"/>
          <w:shd w:val="clear" w:color="auto" w:fill="FFFFFF"/>
        </w:rPr>
        <w:t xml:space="preserve">ikroorganisma </w:t>
      </w:r>
      <w:r>
        <w:rPr>
          <w:rFonts w:ascii="Times New Roman" w:hAnsi="Times New Roman"/>
          <w:color w:val="222222"/>
          <w:sz w:val="24"/>
          <w:szCs w:val="24"/>
          <w:shd w:val="clear" w:color="auto" w:fill="FFFFFF"/>
        </w:rPr>
        <w:t>D</w:t>
      </w:r>
      <w:r w:rsidRPr="008B1F9C">
        <w:rPr>
          <w:rFonts w:ascii="Times New Roman" w:hAnsi="Times New Roman"/>
          <w:color w:val="222222"/>
          <w:sz w:val="24"/>
          <w:szCs w:val="24"/>
          <w:shd w:val="clear" w:color="auto" w:fill="FFFFFF"/>
        </w:rPr>
        <w:t>wi-kebuk</w:t>
      </w:r>
      <w:r>
        <w:rPr>
          <w:rFonts w:ascii="Times New Roman" w:hAnsi="Times New Roman"/>
          <w:color w:val="222222"/>
          <w:sz w:val="24"/>
          <w:szCs w:val="24"/>
          <w:shd w:val="clear" w:color="auto" w:fill="FFFFFF"/>
        </w:rPr>
        <w:t>)</w:t>
      </w:r>
    </w:p>
    <w:p w:rsidR="00095ED9" w:rsidRPr="00095ED9" w:rsidRDefault="00095ED9" w:rsidP="00095ED9">
      <w:pPr>
        <w:spacing w:after="0" w:line="240" w:lineRule="auto"/>
        <w:jc w:val="center"/>
        <w:outlineLvl w:val="0"/>
        <w:rPr>
          <w:rFonts w:ascii="Times New Roman" w:hAnsi="Times New Roman"/>
          <w:sz w:val="20"/>
          <w:szCs w:val="20"/>
        </w:rPr>
      </w:pPr>
    </w:p>
    <w:p w:rsidR="00095ED9" w:rsidRPr="00095ED9" w:rsidRDefault="00095ED9" w:rsidP="00095ED9">
      <w:pPr>
        <w:spacing w:after="0" w:line="240" w:lineRule="auto"/>
        <w:jc w:val="center"/>
        <w:outlineLvl w:val="0"/>
        <w:rPr>
          <w:rFonts w:ascii="Times New Roman" w:hAnsi="Times New Roman"/>
          <w:sz w:val="20"/>
          <w:szCs w:val="20"/>
        </w:rPr>
      </w:pPr>
      <w:r w:rsidRPr="00095ED9">
        <w:rPr>
          <w:rFonts w:ascii="Times New Roman" w:hAnsi="Times New Roman"/>
          <w:sz w:val="20"/>
          <w:szCs w:val="20"/>
        </w:rPr>
        <w:t>Nazlee Faisal Ghazali</w:t>
      </w:r>
      <w:r w:rsidRPr="00095ED9">
        <w:rPr>
          <w:rFonts w:ascii="Times New Roman" w:hAnsi="Times New Roman"/>
          <w:sz w:val="20"/>
          <w:szCs w:val="20"/>
          <w:vertAlign w:val="superscript"/>
        </w:rPr>
        <w:t>1</w:t>
      </w:r>
      <w:r w:rsidRPr="00095ED9">
        <w:rPr>
          <w:rFonts w:ascii="Times New Roman" w:hAnsi="Times New Roman"/>
          <w:sz w:val="20"/>
          <w:szCs w:val="20"/>
        </w:rPr>
        <w:t>*, Nik Azmi Nik Mahmood</w:t>
      </w:r>
      <w:r w:rsidRPr="00095ED9">
        <w:rPr>
          <w:rFonts w:ascii="Times New Roman" w:hAnsi="Times New Roman"/>
          <w:sz w:val="20"/>
          <w:szCs w:val="20"/>
          <w:vertAlign w:val="superscript"/>
        </w:rPr>
        <w:t>1</w:t>
      </w:r>
      <w:r w:rsidRPr="00095ED9">
        <w:rPr>
          <w:rFonts w:ascii="Times New Roman" w:hAnsi="Times New Roman"/>
          <w:sz w:val="20"/>
          <w:szCs w:val="20"/>
        </w:rPr>
        <w:t>, Kamarul Asri Ibrahim</w:t>
      </w:r>
      <w:r w:rsidRPr="00095ED9">
        <w:rPr>
          <w:rFonts w:ascii="Times New Roman" w:hAnsi="Times New Roman"/>
          <w:sz w:val="20"/>
          <w:szCs w:val="20"/>
          <w:vertAlign w:val="superscript"/>
        </w:rPr>
        <w:t>2</w:t>
      </w:r>
      <w:r w:rsidRPr="00095ED9">
        <w:rPr>
          <w:rFonts w:ascii="Times New Roman" w:hAnsi="Times New Roman"/>
          <w:sz w:val="20"/>
          <w:szCs w:val="20"/>
        </w:rPr>
        <w:t>, Amir Asyraf Nasaruddin</w:t>
      </w:r>
      <w:r w:rsidRPr="00095ED9">
        <w:rPr>
          <w:rFonts w:ascii="Times New Roman" w:hAnsi="Times New Roman"/>
          <w:sz w:val="20"/>
          <w:szCs w:val="20"/>
          <w:vertAlign w:val="superscript"/>
        </w:rPr>
        <w:t>1</w:t>
      </w:r>
    </w:p>
    <w:p w:rsidR="00AC0033" w:rsidRPr="00F447A7" w:rsidRDefault="00AC0033" w:rsidP="00AC0033">
      <w:pPr>
        <w:spacing w:after="0" w:line="240" w:lineRule="auto"/>
        <w:jc w:val="center"/>
        <w:rPr>
          <w:rFonts w:ascii="Times New Roman" w:hAnsi="Times New Roman"/>
          <w:noProof/>
          <w:sz w:val="18"/>
          <w:szCs w:val="18"/>
          <w:lang w:bidi="ar-SA"/>
        </w:rPr>
      </w:pPr>
    </w:p>
    <w:p w:rsidR="00095ED9" w:rsidRDefault="00095ED9" w:rsidP="00095ED9">
      <w:pPr>
        <w:spacing w:after="0" w:line="240" w:lineRule="auto"/>
        <w:jc w:val="center"/>
        <w:outlineLvl w:val="0"/>
        <w:rPr>
          <w:rFonts w:ascii="Times New Roman" w:hAnsi="Times New Roman"/>
          <w:i/>
          <w:sz w:val="18"/>
          <w:szCs w:val="18"/>
        </w:rPr>
      </w:pPr>
      <w:r w:rsidRPr="00A415C1">
        <w:rPr>
          <w:rFonts w:ascii="Times New Roman" w:hAnsi="Times New Roman"/>
          <w:i/>
          <w:sz w:val="18"/>
          <w:szCs w:val="18"/>
          <w:vertAlign w:val="superscript"/>
        </w:rPr>
        <w:t>1</w:t>
      </w:r>
      <w:r>
        <w:rPr>
          <w:rFonts w:ascii="Times New Roman" w:hAnsi="Times New Roman"/>
          <w:i/>
          <w:sz w:val="18"/>
          <w:szCs w:val="18"/>
        </w:rPr>
        <w:t>Department of Bioprocess and Polymer Engineering</w:t>
      </w:r>
    </w:p>
    <w:p w:rsidR="00095ED9" w:rsidRDefault="00095ED9" w:rsidP="00095ED9">
      <w:pPr>
        <w:spacing w:after="0" w:line="240" w:lineRule="auto"/>
        <w:jc w:val="center"/>
        <w:outlineLvl w:val="0"/>
        <w:rPr>
          <w:rFonts w:ascii="Times New Roman" w:hAnsi="Times New Roman"/>
          <w:i/>
          <w:sz w:val="18"/>
          <w:szCs w:val="18"/>
        </w:rPr>
      </w:pPr>
      <w:r w:rsidRPr="00A415C1">
        <w:rPr>
          <w:rFonts w:ascii="Times New Roman" w:hAnsi="Times New Roman"/>
          <w:i/>
          <w:sz w:val="18"/>
          <w:szCs w:val="18"/>
          <w:vertAlign w:val="superscript"/>
        </w:rPr>
        <w:t>2</w:t>
      </w:r>
      <w:r>
        <w:rPr>
          <w:rFonts w:ascii="Times New Roman" w:hAnsi="Times New Roman"/>
          <w:i/>
          <w:sz w:val="18"/>
          <w:szCs w:val="18"/>
        </w:rPr>
        <w:t>Department of Chemical Engineerin</w:t>
      </w:r>
      <w:r w:rsidRPr="008069C5">
        <w:rPr>
          <w:rFonts w:ascii="Times New Roman" w:hAnsi="Times New Roman"/>
          <w:i/>
          <w:sz w:val="18"/>
          <w:szCs w:val="18"/>
        </w:rPr>
        <w:t>g</w:t>
      </w:r>
    </w:p>
    <w:p w:rsidR="00095ED9" w:rsidRPr="00A415C1" w:rsidRDefault="00095ED9" w:rsidP="00095ED9">
      <w:pPr>
        <w:spacing w:after="0" w:line="240" w:lineRule="auto"/>
        <w:jc w:val="center"/>
        <w:outlineLvl w:val="0"/>
        <w:rPr>
          <w:rFonts w:ascii="Times New Roman" w:hAnsi="Times New Roman"/>
          <w:i/>
          <w:sz w:val="18"/>
          <w:szCs w:val="18"/>
        </w:rPr>
      </w:pPr>
      <w:r>
        <w:rPr>
          <w:rFonts w:ascii="Times New Roman" w:hAnsi="Times New Roman"/>
          <w:i/>
          <w:sz w:val="18"/>
          <w:szCs w:val="18"/>
        </w:rPr>
        <w:t>Faculty of Chemical and Energy Engineering,</w:t>
      </w:r>
    </w:p>
    <w:p w:rsidR="00095ED9" w:rsidRPr="00A415C1" w:rsidRDefault="00095ED9" w:rsidP="00095ED9">
      <w:pPr>
        <w:spacing w:after="0" w:line="240" w:lineRule="auto"/>
        <w:jc w:val="center"/>
        <w:outlineLvl w:val="0"/>
        <w:rPr>
          <w:rFonts w:ascii="Times New Roman" w:hAnsi="Times New Roman"/>
          <w:i/>
          <w:sz w:val="18"/>
          <w:szCs w:val="18"/>
        </w:rPr>
      </w:pPr>
      <w:r>
        <w:rPr>
          <w:rFonts w:ascii="Times New Roman" w:hAnsi="Times New Roman"/>
          <w:i/>
          <w:sz w:val="18"/>
          <w:szCs w:val="18"/>
        </w:rPr>
        <w:t>Universiti Teknologi Malaysia, 81310 Johor Bahru, Johor, Malaysia</w:t>
      </w:r>
    </w:p>
    <w:p w:rsidR="00AC0033" w:rsidRPr="00F447A7" w:rsidRDefault="00AC0033" w:rsidP="00095ED9">
      <w:pPr>
        <w:spacing w:after="0" w:line="240" w:lineRule="auto"/>
        <w:jc w:val="center"/>
        <w:rPr>
          <w:rFonts w:ascii="Times New Roman" w:hAnsi="Times New Roman"/>
          <w:noProof/>
          <w:sz w:val="18"/>
          <w:szCs w:val="18"/>
          <w:lang w:bidi="ar-SA"/>
        </w:rPr>
      </w:pPr>
    </w:p>
    <w:p w:rsidR="00AC0033" w:rsidRPr="00095ED9" w:rsidRDefault="00AC0033" w:rsidP="00095ED9">
      <w:pPr>
        <w:spacing w:after="0" w:line="240" w:lineRule="auto"/>
        <w:jc w:val="center"/>
        <w:outlineLvl w:val="0"/>
        <w:rPr>
          <w:rFonts w:ascii="Times New Roman" w:hAnsi="Times New Roman"/>
          <w:i/>
          <w:color w:val="548DD4" w:themeColor="text2" w:themeTint="99"/>
          <w:sz w:val="18"/>
          <w:szCs w:val="18"/>
        </w:rPr>
      </w:pPr>
      <w:r w:rsidRPr="00095ED9">
        <w:rPr>
          <w:rFonts w:ascii="Times New Roman" w:hAnsi="Times New Roman"/>
          <w:i/>
          <w:noProof/>
          <w:sz w:val="18"/>
          <w:szCs w:val="18"/>
          <w:lang w:bidi="ar-SA"/>
        </w:rPr>
        <w:t xml:space="preserve">*Corresponding author: </w:t>
      </w:r>
      <w:r w:rsidR="00095ED9" w:rsidRPr="00095ED9">
        <w:rPr>
          <w:rFonts w:ascii="Times New Roman" w:hAnsi="Times New Roman"/>
          <w:i/>
          <w:sz w:val="18"/>
          <w:szCs w:val="18"/>
        </w:rPr>
        <w:t>nazlee@utm.my</w:t>
      </w:r>
      <w:r w:rsidR="00095ED9" w:rsidRPr="00095ED9">
        <w:rPr>
          <w:rFonts w:ascii="Times New Roman" w:hAnsi="Times New Roman"/>
          <w:i/>
          <w:color w:val="000000" w:themeColor="text1"/>
          <w:sz w:val="18"/>
          <w:szCs w:val="18"/>
        </w:rPr>
        <w:t xml:space="preserve"> </w:t>
      </w: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Default="00AC0033" w:rsidP="00AC0033">
      <w:pPr>
        <w:spacing w:after="0" w:line="240" w:lineRule="auto"/>
        <w:jc w:val="center"/>
        <w:rPr>
          <w:rFonts w:ascii="Times New Roman" w:hAnsi="Times New Roman"/>
          <w:noProof/>
          <w:sz w:val="18"/>
          <w:szCs w:val="18"/>
          <w:lang w:bidi="ar-SA"/>
        </w:rPr>
      </w:pPr>
    </w:p>
    <w:p w:rsidR="00AC0033" w:rsidRDefault="00AC0033" w:rsidP="00AC0033">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D75002">
        <w:rPr>
          <w:rFonts w:ascii="Times New Roman" w:hAnsi="Times New Roman"/>
          <w:noProof/>
          <w:sz w:val="18"/>
          <w:szCs w:val="18"/>
          <w:lang w:bidi="ar-SA"/>
        </w:rPr>
        <w:t>26 August 2016</w:t>
      </w:r>
      <w:r>
        <w:rPr>
          <w:rFonts w:ascii="Times New Roman" w:hAnsi="Times New Roman"/>
          <w:noProof/>
          <w:sz w:val="18"/>
          <w:szCs w:val="18"/>
          <w:lang w:bidi="ar-SA"/>
        </w:rPr>
        <w:t xml:space="preserve">; Accepted: </w:t>
      </w:r>
      <w:r w:rsidR="00D75002">
        <w:rPr>
          <w:rFonts w:ascii="Times New Roman" w:hAnsi="Times New Roman"/>
          <w:noProof/>
          <w:sz w:val="18"/>
          <w:szCs w:val="18"/>
          <w:lang w:bidi="ar-SA"/>
        </w:rPr>
        <w:t>8 January 2017</w:t>
      </w:r>
    </w:p>
    <w:p w:rsidR="00AC0033" w:rsidRDefault="00AC0033" w:rsidP="00AC0033">
      <w:pPr>
        <w:spacing w:after="0" w:line="240" w:lineRule="auto"/>
        <w:jc w:val="center"/>
        <w:rPr>
          <w:rFonts w:ascii="Times New Roman" w:hAnsi="Times New Roman"/>
          <w:noProof/>
          <w:sz w:val="18"/>
          <w:szCs w:val="18"/>
          <w:lang w:bidi="ar-SA"/>
        </w:rPr>
      </w:pP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Pr="00F447A7" w:rsidRDefault="00AC0033" w:rsidP="00AC0033">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095ED9" w:rsidRPr="009B5D3A" w:rsidRDefault="00095ED9" w:rsidP="00095ED9">
      <w:pPr>
        <w:spacing w:after="0" w:line="240" w:lineRule="auto"/>
        <w:jc w:val="both"/>
        <w:outlineLvl w:val="0"/>
        <w:rPr>
          <w:rFonts w:ascii="Times New Roman" w:hAnsi="Times New Roman"/>
          <w:color w:val="000000" w:themeColor="text1"/>
          <w:sz w:val="18"/>
          <w:szCs w:val="18"/>
        </w:rPr>
      </w:pPr>
      <w:r w:rsidRPr="009B5D3A">
        <w:rPr>
          <w:rFonts w:ascii="Times New Roman" w:hAnsi="Times New Roman"/>
          <w:sz w:val="18"/>
          <w:szCs w:val="18"/>
        </w:rPr>
        <w:t xml:space="preserve">Microbial fuel cell (MFC) </w:t>
      </w:r>
      <w:r w:rsidRPr="009B5D3A">
        <w:rPr>
          <w:rFonts w:ascii="Times New Roman" w:hAnsi="Times New Roman"/>
          <w:color w:val="000000" w:themeColor="text1"/>
          <w:sz w:val="18"/>
          <w:szCs w:val="18"/>
        </w:rPr>
        <w:t xml:space="preserve">is a developed technology to utilize microbial degradation ability and turned the degradation products to electricity. One of the limiting factor that contributes to the performance level of MFC is the microorganism used in the MFC. In the present research, </w:t>
      </w:r>
      <w:r w:rsidRPr="009B5D3A">
        <w:rPr>
          <w:rFonts w:ascii="Times New Roman" w:hAnsi="Times New Roman"/>
          <w:i/>
          <w:color w:val="000000" w:themeColor="text1"/>
          <w:sz w:val="18"/>
          <w:szCs w:val="18"/>
        </w:rPr>
        <w:t>Bacilli E1</w:t>
      </w:r>
      <w:r w:rsidRPr="009B5D3A">
        <w:rPr>
          <w:rFonts w:ascii="Times New Roman" w:hAnsi="Times New Roman"/>
          <w:color w:val="000000" w:themeColor="text1"/>
          <w:sz w:val="18"/>
          <w:szCs w:val="18"/>
        </w:rPr>
        <w:t xml:space="preserve"> has been tested for its ability to utilize glucose and converted it to electricity in dual chamber MFC. The MFC operated using E1 produced a maximum average of open circuit voltage (OCV) of 0.8 V.  Meanwhile, by inserting a 1000 Ω resistance in the MFC circuit, produced a stable voltage of 0.1 V and calculated current and power were 0.2 ± 0.017 mA and 0.1 Wm</w:t>
      </w:r>
      <w:r w:rsidRPr="009B5D3A">
        <w:rPr>
          <w:rFonts w:ascii="Times New Roman" w:hAnsi="Times New Roman"/>
          <w:color w:val="000000" w:themeColor="text1"/>
          <w:sz w:val="18"/>
          <w:szCs w:val="18"/>
          <w:vertAlign w:val="superscript"/>
        </w:rPr>
        <w:t>-2</w:t>
      </w:r>
      <w:r w:rsidRPr="009B5D3A">
        <w:rPr>
          <w:rFonts w:ascii="Times New Roman" w:hAnsi="Times New Roman"/>
          <w:color w:val="000000" w:themeColor="text1"/>
          <w:sz w:val="18"/>
          <w:szCs w:val="18"/>
        </w:rPr>
        <w:t xml:space="preserve"> Comparison of glucose based voltage production between individual and mixed culture shows similar pattern of voltage profile and since individual CC did not show any significant increase of OCV, it was concluded that </w:t>
      </w:r>
      <w:r w:rsidRPr="009B5D3A">
        <w:rPr>
          <w:rFonts w:ascii="Times New Roman" w:hAnsi="Times New Roman"/>
          <w:i/>
          <w:color w:val="000000" w:themeColor="text1"/>
          <w:sz w:val="18"/>
          <w:szCs w:val="18"/>
        </w:rPr>
        <w:t>Bacilli E1</w:t>
      </w:r>
      <w:r w:rsidRPr="009B5D3A">
        <w:rPr>
          <w:rFonts w:ascii="Times New Roman" w:hAnsi="Times New Roman"/>
          <w:color w:val="000000" w:themeColor="text1"/>
          <w:sz w:val="18"/>
          <w:szCs w:val="18"/>
        </w:rPr>
        <w:t xml:space="preserve"> plays major role in the present MFC for power production. </w:t>
      </w:r>
    </w:p>
    <w:p w:rsidR="00095ED9" w:rsidRPr="009B5D3A" w:rsidRDefault="00095ED9" w:rsidP="00095ED9">
      <w:pPr>
        <w:spacing w:after="0" w:line="240" w:lineRule="auto"/>
        <w:jc w:val="both"/>
        <w:outlineLvl w:val="0"/>
        <w:rPr>
          <w:rFonts w:ascii="Times New Roman" w:hAnsi="Times New Roman"/>
          <w:color w:val="000000" w:themeColor="text1"/>
          <w:sz w:val="18"/>
          <w:szCs w:val="18"/>
        </w:rPr>
      </w:pPr>
    </w:p>
    <w:p w:rsidR="00095ED9" w:rsidRPr="009B5D3A" w:rsidRDefault="00095ED9" w:rsidP="00095ED9">
      <w:pPr>
        <w:spacing w:after="0" w:line="240" w:lineRule="auto"/>
        <w:jc w:val="both"/>
        <w:outlineLvl w:val="0"/>
        <w:rPr>
          <w:rFonts w:ascii="Times New Roman" w:hAnsi="Times New Roman"/>
          <w:bCs/>
          <w:color w:val="000000" w:themeColor="text1"/>
          <w:sz w:val="18"/>
          <w:szCs w:val="18"/>
        </w:rPr>
      </w:pPr>
      <w:r w:rsidRPr="009B5D3A">
        <w:rPr>
          <w:rFonts w:ascii="Times New Roman" w:hAnsi="Times New Roman"/>
          <w:b/>
          <w:color w:val="000000" w:themeColor="text1"/>
          <w:sz w:val="18"/>
          <w:szCs w:val="18"/>
        </w:rPr>
        <w:t>Keyword</w:t>
      </w:r>
      <w:r>
        <w:rPr>
          <w:rFonts w:ascii="Times New Roman" w:hAnsi="Times New Roman"/>
          <w:b/>
          <w:color w:val="000000" w:themeColor="text1"/>
          <w:sz w:val="18"/>
          <w:szCs w:val="18"/>
        </w:rPr>
        <w:t>s</w:t>
      </w:r>
      <w:r w:rsidRPr="009B5D3A">
        <w:rPr>
          <w:rFonts w:ascii="Times New Roman" w:hAnsi="Times New Roman"/>
          <w:color w:val="000000" w:themeColor="text1"/>
          <w:sz w:val="18"/>
          <w:szCs w:val="18"/>
        </w:rPr>
        <w:t>:</w:t>
      </w:r>
      <w:r>
        <w:rPr>
          <w:rFonts w:ascii="Times New Roman" w:hAnsi="Times New Roman"/>
          <w:color w:val="000000" w:themeColor="text1"/>
          <w:sz w:val="18"/>
          <w:szCs w:val="18"/>
        </w:rPr>
        <w:t xml:space="preserve"> </w:t>
      </w:r>
      <w:r w:rsidRPr="009B5D3A">
        <w:rPr>
          <w:rFonts w:ascii="Times New Roman" w:hAnsi="Times New Roman"/>
          <w:color w:val="000000" w:themeColor="text1"/>
          <w:sz w:val="18"/>
          <w:szCs w:val="18"/>
        </w:rPr>
        <w:t xml:space="preserve"> </w:t>
      </w:r>
      <w:r>
        <w:rPr>
          <w:rFonts w:ascii="Times New Roman" w:hAnsi="Times New Roman"/>
          <w:bCs/>
          <w:color w:val="000000" w:themeColor="text1"/>
          <w:sz w:val="18"/>
          <w:szCs w:val="18"/>
        </w:rPr>
        <w:t xml:space="preserve">microbial fuel cell, </w:t>
      </w:r>
      <w:r w:rsidRPr="00157E06">
        <w:rPr>
          <w:rFonts w:ascii="Times New Roman" w:hAnsi="Times New Roman"/>
          <w:bCs/>
          <w:i/>
          <w:color w:val="000000" w:themeColor="text1"/>
          <w:sz w:val="18"/>
          <w:szCs w:val="18"/>
        </w:rPr>
        <w:t>bacilli</w:t>
      </w:r>
      <w:r>
        <w:rPr>
          <w:rFonts w:ascii="Times New Roman" w:hAnsi="Times New Roman"/>
          <w:bCs/>
          <w:color w:val="000000" w:themeColor="text1"/>
          <w:sz w:val="18"/>
          <w:szCs w:val="18"/>
        </w:rPr>
        <w:t>,</w:t>
      </w:r>
      <w:r w:rsidRPr="009B5D3A">
        <w:rPr>
          <w:rFonts w:ascii="Times New Roman" w:hAnsi="Times New Roman"/>
          <w:bCs/>
          <w:color w:val="000000" w:themeColor="text1"/>
          <w:sz w:val="18"/>
          <w:szCs w:val="18"/>
        </w:rPr>
        <w:t xml:space="preserve"> glucose</w:t>
      </w:r>
    </w:p>
    <w:p w:rsidR="00095ED9" w:rsidRPr="009B5D3A" w:rsidRDefault="00095ED9" w:rsidP="00095ED9">
      <w:pPr>
        <w:spacing w:after="0" w:line="240" w:lineRule="auto"/>
        <w:jc w:val="center"/>
        <w:outlineLvl w:val="0"/>
        <w:rPr>
          <w:rFonts w:ascii="Times New Roman" w:hAnsi="Times New Roman"/>
          <w:b/>
          <w:color w:val="548DD4" w:themeColor="text2" w:themeTint="99"/>
          <w:sz w:val="18"/>
          <w:szCs w:val="18"/>
        </w:rPr>
      </w:pPr>
    </w:p>
    <w:p w:rsidR="00095ED9" w:rsidRPr="00157E06" w:rsidRDefault="00095ED9" w:rsidP="00095ED9">
      <w:pPr>
        <w:spacing w:after="0" w:line="240" w:lineRule="auto"/>
        <w:jc w:val="center"/>
        <w:outlineLvl w:val="0"/>
        <w:rPr>
          <w:rFonts w:ascii="Times New Roman" w:hAnsi="Times New Roman"/>
          <w:b/>
          <w:noProof/>
          <w:sz w:val="18"/>
          <w:szCs w:val="18"/>
          <w:lang w:val="ms-MY"/>
        </w:rPr>
      </w:pPr>
      <w:r w:rsidRPr="00157E06">
        <w:rPr>
          <w:rFonts w:ascii="Times New Roman" w:hAnsi="Times New Roman"/>
          <w:b/>
          <w:noProof/>
          <w:sz w:val="18"/>
          <w:szCs w:val="18"/>
          <w:lang w:val="ms-MY"/>
        </w:rPr>
        <w:t>Abstrak</w:t>
      </w:r>
    </w:p>
    <w:p w:rsidR="00095ED9" w:rsidRPr="00157E06" w:rsidRDefault="00095ED9" w:rsidP="00095ED9">
      <w:pPr>
        <w:spacing w:after="0" w:line="240" w:lineRule="auto"/>
        <w:jc w:val="both"/>
        <w:outlineLvl w:val="0"/>
        <w:rPr>
          <w:rFonts w:ascii="Times New Roman" w:hAnsi="Times New Roman"/>
          <w:noProof/>
          <w:sz w:val="18"/>
          <w:szCs w:val="18"/>
          <w:lang w:val="ms-MY"/>
        </w:rPr>
      </w:pPr>
      <w:r w:rsidRPr="00157E06">
        <w:rPr>
          <w:rFonts w:ascii="Times New Roman" w:hAnsi="Times New Roman"/>
          <w:noProof/>
          <w:sz w:val="18"/>
          <w:szCs w:val="18"/>
          <w:lang w:val="ms-MY"/>
        </w:rPr>
        <w:t>Sel bahan</w:t>
      </w:r>
      <w:r>
        <w:rPr>
          <w:rFonts w:ascii="Times New Roman" w:hAnsi="Times New Roman"/>
          <w:noProof/>
          <w:sz w:val="18"/>
          <w:szCs w:val="18"/>
          <w:lang w:val="ms-MY"/>
        </w:rPr>
        <w:t xml:space="preserve"> </w:t>
      </w:r>
      <w:r w:rsidRPr="00157E06">
        <w:rPr>
          <w:rFonts w:ascii="Times New Roman" w:hAnsi="Times New Roman"/>
          <w:noProof/>
          <w:sz w:val="18"/>
          <w:szCs w:val="18"/>
          <w:lang w:val="ms-MY"/>
        </w:rPr>
        <w:t xml:space="preserve">api berasaskan mikrob (MFC) adalah satu teknologi terbangun yang menggunakan keupayaan mikroorganisma mendegradasi dan menukarkan produk degradasi kepada elektrik. Antara yang menjadi faktor penghad yang menyumbangkan kepada tingkat prestasi MFC adalah mikroorganisma yang digunakan di dalam MFC. Dalam kajian ini, </w:t>
      </w:r>
      <w:r w:rsidRPr="00157E06">
        <w:rPr>
          <w:rFonts w:ascii="Times New Roman" w:hAnsi="Times New Roman"/>
          <w:i/>
          <w:noProof/>
          <w:sz w:val="18"/>
          <w:szCs w:val="18"/>
          <w:lang w:val="ms-MY"/>
        </w:rPr>
        <w:t>Bacilli E1</w:t>
      </w:r>
      <w:r w:rsidRPr="00157E06">
        <w:rPr>
          <w:rFonts w:ascii="Times New Roman" w:hAnsi="Times New Roman"/>
          <w:noProof/>
          <w:sz w:val="18"/>
          <w:szCs w:val="18"/>
          <w:lang w:val="ms-MY"/>
        </w:rPr>
        <w:t xml:space="preserve"> telah diuji keupayaannya untuk menggunakan glukosa dan menukarkannya kepada elektrik dalam dwikebuk MFC. MFC yang dijalankan dengan menggunakan E1, telah menghasilkan voltan litar terbuka (OCV) sebanyak 0.8 V. Manakala, dengan memasukkan rintangan sebanyak 1000 Ohm dalam litar MFC menghasilkan voltan yang stabil berjumlah 0.1 V serta jumlah arus dan kuasa yang dikira adalah masing-masing 0.2 ± 0.017 mA dan 0.1 Wm</w:t>
      </w:r>
      <w:r w:rsidRPr="00157E06">
        <w:rPr>
          <w:rFonts w:ascii="Times New Roman" w:hAnsi="Times New Roman"/>
          <w:noProof/>
          <w:sz w:val="18"/>
          <w:szCs w:val="18"/>
          <w:vertAlign w:val="superscript"/>
          <w:lang w:val="ms-MY"/>
        </w:rPr>
        <w:t>-2</w:t>
      </w:r>
      <w:r w:rsidRPr="00157E06">
        <w:rPr>
          <w:rFonts w:ascii="Times New Roman" w:hAnsi="Times New Roman"/>
          <w:noProof/>
          <w:sz w:val="18"/>
          <w:szCs w:val="18"/>
          <w:lang w:val="ms-MY"/>
        </w:rPr>
        <w:t>. Perbandingan antara penghasilan voltan daripada glukosa menggunakan individu dan kultur campuran</w:t>
      </w:r>
      <w:r>
        <w:rPr>
          <w:rFonts w:ascii="Times New Roman" w:hAnsi="Times New Roman"/>
          <w:noProof/>
          <w:sz w:val="18"/>
          <w:szCs w:val="18"/>
          <w:lang w:val="ms-MY"/>
        </w:rPr>
        <w:t xml:space="preserve"> adalah hampi</w:t>
      </w:r>
      <w:r w:rsidRPr="00157E06">
        <w:rPr>
          <w:rFonts w:ascii="Times New Roman" w:hAnsi="Times New Roman"/>
          <w:noProof/>
          <w:sz w:val="18"/>
          <w:szCs w:val="18"/>
          <w:lang w:val="ms-MY"/>
        </w:rPr>
        <w:t xml:space="preserve">r serupa dan memandangkan CC secara individu tidak menunjukkan sebarang kenaikan dalam OCV, maka kesimpulan dibuat bahawa </w:t>
      </w:r>
      <w:r w:rsidRPr="00157E06">
        <w:rPr>
          <w:rFonts w:ascii="Times New Roman" w:hAnsi="Times New Roman"/>
          <w:i/>
          <w:noProof/>
          <w:sz w:val="18"/>
          <w:szCs w:val="18"/>
          <w:lang w:val="ms-MY"/>
        </w:rPr>
        <w:t>Bacilli E1</w:t>
      </w:r>
      <w:r w:rsidRPr="00157E06">
        <w:rPr>
          <w:rFonts w:ascii="Times New Roman" w:hAnsi="Times New Roman"/>
          <w:noProof/>
          <w:sz w:val="18"/>
          <w:szCs w:val="18"/>
          <w:lang w:val="ms-MY"/>
        </w:rPr>
        <w:t xml:space="preserve"> memainkan peranan besar dalam MFC yang dijalankan untuk penghasilan kuasa..</w:t>
      </w:r>
    </w:p>
    <w:p w:rsidR="00095ED9" w:rsidRPr="00157E06" w:rsidRDefault="00095ED9" w:rsidP="00095ED9">
      <w:pPr>
        <w:spacing w:after="0" w:line="240" w:lineRule="auto"/>
        <w:jc w:val="both"/>
        <w:outlineLvl w:val="0"/>
        <w:rPr>
          <w:rFonts w:ascii="Times New Roman" w:hAnsi="Times New Roman"/>
          <w:noProof/>
          <w:sz w:val="18"/>
          <w:szCs w:val="18"/>
          <w:lang w:val="ms-MY"/>
        </w:rPr>
      </w:pPr>
    </w:p>
    <w:p w:rsidR="00095ED9" w:rsidRPr="00157E06" w:rsidRDefault="00095ED9" w:rsidP="00095ED9">
      <w:pPr>
        <w:spacing w:after="0" w:line="240" w:lineRule="auto"/>
        <w:jc w:val="both"/>
        <w:outlineLvl w:val="0"/>
        <w:rPr>
          <w:rFonts w:ascii="Times New Roman" w:hAnsi="Times New Roman"/>
          <w:bCs/>
          <w:noProof/>
          <w:color w:val="000000" w:themeColor="text1"/>
          <w:sz w:val="18"/>
          <w:szCs w:val="18"/>
          <w:lang w:val="ms-MY"/>
        </w:rPr>
      </w:pPr>
      <w:r w:rsidRPr="00157E06">
        <w:rPr>
          <w:rFonts w:ascii="Times New Roman" w:hAnsi="Times New Roman"/>
          <w:b/>
          <w:noProof/>
          <w:sz w:val="18"/>
          <w:szCs w:val="18"/>
          <w:lang w:val="ms-MY"/>
        </w:rPr>
        <w:t>Kata kunci:</w:t>
      </w:r>
      <w:r w:rsidRPr="00157E06">
        <w:rPr>
          <w:rFonts w:ascii="Times New Roman" w:hAnsi="Times New Roman"/>
          <w:b/>
          <w:noProof/>
          <w:color w:val="000000" w:themeColor="text1"/>
          <w:sz w:val="18"/>
          <w:szCs w:val="18"/>
          <w:lang w:val="ms-MY"/>
        </w:rPr>
        <w:t xml:space="preserve"> </w:t>
      </w:r>
      <w:r>
        <w:rPr>
          <w:rFonts w:ascii="Times New Roman" w:hAnsi="Times New Roman"/>
          <w:b/>
          <w:noProof/>
          <w:color w:val="000000" w:themeColor="text1"/>
          <w:sz w:val="18"/>
          <w:szCs w:val="18"/>
          <w:lang w:val="ms-MY"/>
        </w:rPr>
        <w:t xml:space="preserve"> </w:t>
      </w:r>
      <w:r w:rsidRPr="00157E06">
        <w:rPr>
          <w:rFonts w:ascii="Times New Roman" w:hAnsi="Times New Roman"/>
          <w:bCs/>
          <w:noProof/>
          <w:color w:val="000000" w:themeColor="text1"/>
          <w:sz w:val="18"/>
          <w:szCs w:val="18"/>
          <w:lang w:val="ms-MY"/>
        </w:rPr>
        <w:t>sel bahan</w:t>
      </w:r>
      <w:r>
        <w:rPr>
          <w:rFonts w:ascii="Times New Roman" w:hAnsi="Times New Roman"/>
          <w:bCs/>
          <w:noProof/>
          <w:color w:val="000000" w:themeColor="text1"/>
          <w:sz w:val="18"/>
          <w:szCs w:val="18"/>
          <w:lang w:val="ms-MY"/>
        </w:rPr>
        <w:t xml:space="preserve"> </w:t>
      </w:r>
      <w:r w:rsidRPr="00157E06">
        <w:rPr>
          <w:rFonts w:ascii="Times New Roman" w:hAnsi="Times New Roman"/>
          <w:bCs/>
          <w:noProof/>
          <w:color w:val="000000" w:themeColor="text1"/>
          <w:sz w:val="18"/>
          <w:szCs w:val="18"/>
          <w:lang w:val="ms-MY"/>
        </w:rPr>
        <w:t>api berasaskan mikro</w:t>
      </w:r>
      <w:r>
        <w:rPr>
          <w:rFonts w:ascii="Times New Roman" w:hAnsi="Times New Roman"/>
          <w:bCs/>
          <w:noProof/>
          <w:color w:val="000000" w:themeColor="text1"/>
          <w:sz w:val="18"/>
          <w:szCs w:val="18"/>
          <w:lang w:val="ms-MY"/>
        </w:rPr>
        <w:t xml:space="preserve">b, </w:t>
      </w:r>
      <w:r w:rsidRPr="00157E06">
        <w:rPr>
          <w:rFonts w:ascii="Times New Roman" w:hAnsi="Times New Roman"/>
          <w:bCs/>
          <w:i/>
          <w:noProof/>
          <w:color w:val="000000" w:themeColor="text1"/>
          <w:sz w:val="18"/>
          <w:szCs w:val="18"/>
          <w:lang w:val="ms-MY"/>
        </w:rPr>
        <w:t>bacilli</w:t>
      </w:r>
      <w:r>
        <w:rPr>
          <w:rFonts w:ascii="Times New Roman" w:hAnsi="Times New Roman"/>
          <w:bCs/>
          <w:noProof/>
          <w:color w:val="000000" w:themeColor="text1"/>
          <w:sz w:val="18"/>
          <w:szCs w:val="18"/>
          <w:lang w:val="ms-MY"/>
        </w:rPr>
        <w:t>, glukosa</w:t>
      </w:r>
    </w:p>
    <w:p w:rsidR="00AC0033" w:rsidRDefault="00AC0033" w:rsidP="00095ED9">
      <w:pPr>
        <w:spacing w:after="0" w:line="240" w:lineRule="auto"/>
        <w:jc w:val="center"/>
        <w:rPr>
          <w:rFonts w:ascii="Times New Roman" w:hAnsi="Times New Roman"/>
          <w:noProof/>
          <w:sz w:val="20"/>
          <w:szCs w:val="20"/>
          <w:lang w:bidi="ar-SA"/>
        </w:rPr>
      </w:pPr>
    </w:p>
    <w:p w:rsidR="00AC0033" w:rsidRPr="00BE7C30"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095ED9" w:rsidRPr="00095ED9" w:rsidRDefault="00095ED9" w:rsidP="00095ED9">
      <w:pPr>
        <w:spacing w:after="0" w:line="240" w:lineRule="auto"/>
        <w:jc w:val="both"/>
        <w:rPr>
          <w:rFonts w:ascii="Times New Roman" w:hAnsi="Times New Roman"/>
          <w:sz w:val="20"/>
          <w:szCs w:val="20"/>
        </w:rPr>
      </w:pPr>
      <w:r w:rsidRPr="00095ED9">
        <w:rPr>
          <w:rFonts w:ascii="Times New Roman" w:hAnsi="Times New Roman"/>
          <w:sz w:val="20"/>
          <w:szCs w:val="20"/>
        </w:rPr>
        <w:t xml:space="preserve">Microorganism(s) which has the ability to oxidize organic compounds to carbon dioxide, protons and electrons which the electrons are then been transferred to electrodes is called ‘electricigens’ [1, 2]. Electricigens are known to </w:t>
      </w:r>
      <w:r w:rsidRPr="00095ED9">
        <w:rPr>
          <w:rFonts w:ascii="Times New Roman" w:hAnsi="Times New Roman"/>
          <w:sz w:val="20"/>
          <w:szCs w:val="20"/>
        </w:rPr>
        <w:lastRenderedPageBreak/>
        <w:t>convert organic waste into protons and electrons directly from the waste itself or with help of different alternative mechanism(s). However,</w:t>
      </w:r>
      <w:r w:rsidRPr="00095ED9">
        <w:rPr>
          <w:rFonts w:ascii="Times New Roman" w:hAnsi="Times New Roman"/>
          <w:color w:val="FF0000"/>
          <w:sz w:val="20"/>
          <w:szCs w:val="20"/>
        </w:rPr>
        <w:t xml:space="preserve"> </w:t>
      </w:r>
      <w:r w:rsidRPr="00095ED9">
        <w:rPr>
          <w:rFonts w:ascii="Times New Roman" w:hAnsi="Times New Roman"/>
          <w:color w:val="000000" w:themeColor="text1"/>
          <w:sz w:val="20"/>
          <w:szCs w:val="20"/>
        </w:rPr>
        <w:t xml:space="preserve">in the </w:t>
      </w:r>
      <w:r w:rsidRPr="00095ED9">
        <w:rPr>
          <w:rFonts w:ascii="Times New Roman" w:hAnsi="Times New Roman"/>
          <w:sz w:val="20"/>
          <w:szCs w:val="20"/>
        </w:rPr>
        <w:t xml:space="preserve">advances in microbiology and biotechnology, some of the microorganisms have been identified as ‘super bug’ that mainly referred as unique microbes that can perform electron transfer directly with the aid of appendages equipped on the microorganisms or some natural surface proteins on the microbes. For example, </w:t>
      </w:r>
      <w:r w:rsidRPr="00095ED9">
        <w:rPr>
          <w:rFonts w:ascii="Times New Roman" w:hAnsi="Times New Roman"/>
          <w:i/>
          <w:sz w:val="20"/>
          <w:szCs w:val="20"/>
        </w:rPr>
        <w:t>Geobacter</w:t>
      </w:r>
      <w:r w:rsidRPr="00095ED9">
        <w:rPr>
          <w:rFonts w:ascii="Times New Roman" w:hAnsi="Times New Roman"/>
          <w:sz w:val="20"/>
          <w:szCs w:val="20"/>
        </w:rPr>
        <w:t xml:space="preserve"> sp. [3] has been reported to possess appendage-like accessory called nanowire that can attach to electrodes and directly transferred electrons without any aid of other chemical substance or physical means.</w:t>
      </w:r>
      <w:r w:rsidRPr="00095ED9">
        <w:rPr>
          <w:sz w:val="20"/>
          <w:szCs w:val="20"/>
        </w:rPr>
        <w:t xml:space="preserve"> </w:t>
      </w:r>
      <w:r w:rsidRPr="00095ED9">
        <w:rPr>
          <w:rFonts w:ascii="Times New Roman" w:hAnsi="Times New Roman"/>
          <w:sz w:val="20"/>
          <w:szCs w:val="20"/>
        </w:rPr>
        <w:t xml:space="preserve">Recently, </w:t>
      </w:r>
      <w:r w:rsidRPr="00095ED9">
        <w:rPr>
          <w:rFonts w:ascii="Times New Roman" w:hAnsi="Times New Roman"/>
          <w:i/>
          <w:sz w:val="20"/>
          <w:szCs w:val="20"/>
        </w:rPr>
        <w:t>Geobacter sulfurreducens</w:t>
      </w:r>
      <w:r w:rsidRPr="00095ED9">
        <w:rPr>
          <w:rFonts w:ascii="Times New Roman" w:hAnsi="Times New Roman"/>
          <w:sz w:val="20"/>
          <w:szCs w:val="20"/>
        </w:rPr>
        <w:t xml:space="preserve"> KN400 mutants were discovered to produce high current densities in pure cultures [4]. The addition of </w:t>
      </w:r>
      <w:r w:rsidRPr="00095ED9">
        <w:rPr>
          <w:rFonts w:ascii="Times New Roman" w:hAnsi="Times New Roman"/>
          <w:i/>
          <w:sz w:val="20"/>
          <w:szCs w:val="20"/>
        </w:rPr>
        <w:t>Shewanella</w:t>
      </w:r>
      <w:r w:rsidRPr="00095ED9">
        <w:rPr>
          <w:rFonts w:ascii="Times New Roman" w:hAnsi="Times New Roman"/>
          <w:sz w:val="20"/>
          <w:szCs w:val="20"/>
        </w:rPr>
        <w:t xml:space="preserve"> sp. and </w:t>
      </w:r>
      <w:r w:rsidRPr="00095ED9">
        <w:rPr>
          <w:rFonts w:ascii="Times New Roman" w:hAnsi="Times New Roman"/>
          <w:i/>
          <w:sz w:val="20"/>
          <w:szCs w:val="20"/>
        </w:rPr>
        <w:t>Pseudomonas</w:t>
      </w:r>
      <w:r w:rsidRPr="00095ED9">
        <w:rPr>
          <w:rFonts w:ascii="Times New Roman" w:hAnsi="Times New Roman"/>
          <w:sz w:val="20"/>
          <w:szCs w:val="20"/>
        </w:rPr>
        <w:t xml:space="preserve"> sp. diversified the types of unique microorganisms that each of one of them possesses different capacity of power generating mechanism(s).</w:t>
      </w:r>
    </w:p>
    <w:p w:rsidR="00095ED9" w:rsidRPr="00095ED9" w:rsidRDefault="00095ED9" w:rsidP="00095ED9">
      <w:pPr>
        <w:spacing w:after="0" w:line="240" w:lineRule="auto"/>
        <w:jc w:val="both"/>
        <w:rPr>
          <w:rFonts w:ascii="Times New Roman" w:hAnsi="Times New Roman"/>
          <w:sz w:val="20"/>
          <w:szCs w:val="20"/>
        </w:rPr>
      </w:pPr>
    </w:p>
    <w:p w:rsidR="00095ED9" w:rsidRPr="00095ED9" w:rsidRDefault="00095ED9" w:rsidP="00095ED9">
      <w:pPr>
        <w:spacing w:after="0" w:line="240" w:lineRule="auto"/>
        <w:jc w:val="both"/>
        <w:rPr>
          <w:rFonts w:ascii="Times New Roman" w:hAnsi="Times New Roman"/>
          <w:sz w:val="20"/>
          <w:szCs w:val="20"/>
        </w:rPr>
      </w:pPr>
      <w:r w:rsidRPr="00095ED9">
        <w:rPr>
          <w:rFonts w:ascii="Times New Roman" w:hAnsi="Times New Roman"/>
          <w:sz w:val="20"/>
          <w:szCs w:val="20"/>
        </w:rPr>
        <w:t>Naturally, microorganism(s) competes to use substrate available in order to survive in their micro-environment and this may be a challenge in bioreactor like an MFC. However, there were reports of more than two microbes present in an MFC and able to produce way better or more or less similar power value to individual microbes [5, 6]. Previously, it was conducted by our research team on immobilized cells which were individual microbes been immobilized separately and then mixed in a single chamber MFC and produced comparable power to other MFC trials to date [7].</w:t>
      </w:r>
    </w:p>
    <w:p w:rsidR="00095ED9" w:rsidRPr="00095ED9" w:rsidRDefault="00095ED9" w:rsidP="00095ED9">
      <w:pPr>
        <w:spacing w:after="0" w:line="240" w:lineRule="auto"/>
        <w:jc w:val="both"/>
        <w:rPr>
          <w:rFonts w:ascii="Times New Roman" w:hAnsi="Times New Roman"/>
          <w:sz w:val="20"/>
          <w:szCs w:val="20"/>
        </w:rPr>
      </w:pPr>
    </w:p>
    <w:p w:rsidR="00095ED9" w:rsidRPr="00095ED9" w:rsidRDefault="00095ED9" w:rsidP="00095ED9">
      <w:pPr>
        <w:spacing w:after="0" w:line="240" w:lineRule="auto"/>
        <w:jc w:val="both"/>
        <w:rPr>
          <w:rFonts w:ascii="Times New Roman" w:hAnsi="Times New Roman"/>
          <w:sz w:val="20"/>
          <w:szCs w:val="20"/>
        </w:rPr>
      </w:pPr>
      <w:r w:rsidRPr="00095ED9">
        <w:rPr>
          <w:rFonts w:ascii="Times New Roman" w:hAnsi="Times New Roman"/>
          <w:sz w:val="20"/>
          <w:szCs w:val="20"/>
        </w:rPr>
        <w:t xml:space="preserve">In the present research, a bacilli species has been isolated from anaerobic digester of a local waste water treatment plant (designated as E1) and been tested for its ability to initiate electricity production in a MFC. In addition, the </w:t>
      </w:r>
      <w:r w:rsidRPr="00095ED9">
        <w:rPr>
          <w:rFonts w:ascii="Times New Roman" w:hAnsi="Times New Roman"/>
          <w:i/>
          <w:sz w:val="20"/>
          <w:szCs w:val="20"/>
        </w:rPr>
        <w:t>Bacilli E1</w:t>
      </w:r>
      <w:r w:rsidRPr="00095ED9">
        <w:rPr>
          <w:rFonts w:ascii="Times New Roman" w:hAnsi="Times New Roman"/>
          <w:sz w:val="20"/>
          <w:szCs w:val="20"/>
        </w:rPr>
        <w:t xml:space="preserve"> was mixed with another microorganisms which is known not able to conduct any voltage production as a control. The data will be presented on its open circuit and closed-circuit condition using a structurally designed MFC which was based on the principle of a dual chamber reactor separated by a proton-exchange membrane.  </w:t>
      </w:r>
    </w:p>
    <w:p w:rsidR="00095ED9" w:rsidRPr="00095ED9" w:rsidRDefault="00095ED9" w:rsidP="00095ED9">
      <w:pPr>
        <w:spacing w:after="0" w:line="240" w:lineRule="auto"/>
        <w:jc w:val="center"/>
        <w:outlineLvl w:val="0"/>
        <w:rPr>
          <w:rFonts w:ascii="Times New Roman" w:hAnsi="Times New Roman"/>
          <w:sz w:val="20"/>
          <w:szCs w:val="20"/>
        </w:rPr>
      </w:pPr>
    </w:p>
    <w:p w:rsidR="00095ED9" w:rsidRPr="00095ED9" w:rsidRDefault="00095ED9" w:rsidP="00095ED9">
      <w:pPr>
        <w:spacing w:after="0" w:line="240" w:lineRule="auto"/>
        <w:jc w:val="center"/>
        <w:outlineLvl w:val="0"/>
        <w:rPr>
          <w:rFonts w:ascii="Times New Roman" w:hAnsi="Times New Roman"/>
          <w:b/>
          <w:sz w:val="20"/>
          <w:szCs w:val="20"/>
        </w:rPr>
      </w:pPr>
      <w:r w:rsidRPr="00095ED9">
        <w:rPr>
          <w:rFonts w:ascii="Times New Roman" w:hAnsi="Times New Roman"/>
          <w:b/>
          <w:sz w:val="20"/>
          <w:szCs w:val="20"/>
        </w:rPr>
        <w:t>Materials and Methods</w:t>
      </w:r>
    </w:p>
    <w:p w:rsidR="00095ED9" w:rsidRPr="00095ED9" w:rsidRDefault="00095ED9" w:rsidP="00095ED9">
      <w:pPr>
        <w:spacing w:after="0" w:line="240" w:lineRule="auto"/>
        <w:jc w:val="both"/>
        <w:rPr>
          <w:rFonts w:ascii="Times New Roman" w:hAnsi="Times New Roman"/>
          <w:b/>
          <w:bCs/>
          <w:color w:val="000000" w:themeColor="text1"/>
          <w:sz w:val="20"/>
          <w:szCs w:val="20"/>
        </w:rPr>
      </w:pPr>
      <w:r w:rsidRPr="00095ED9">
        <w:rPr>
          <w:rFonts w:ascii="Times New Roman" w:hAnsi="Times New Roman"/>
          <w:b/>
          <w:bCs/>
          <w:color w:val="000000" w:themeColor="text1"/>
          <w:sz w:val="20"/>
          <w:szCs w:val="20"/>
        </w:rPr>
        <w:t>Microorganism characterization</w:t>
      </w:r>
    </w:p>
    <w:p w:rsidR="00095ED9" w:rsidRPr="00095ED9" w:rsidRDefault="00095ED9" w:rsidP="00095ED9">
      <w:pPr>
        <w:spacing w:after="0" w:line="240" w:lineRule="auto"/>
        <w:jc w:val="both"/>
        <w:rPr>
          <w:rFonts w:ascii="Times New Roman" w:hAnsi="Times New Roman"/>
          <w:sz w:val="20"/>
          <w:szCs w:val="20"/>
        </w:rPr>
      </w:pPr>
      <w:r w:rsidRPr="00095ED9">
        <w:rPr>
          <w:rFonts w:ascii="Times New Roman" w:hAnsi="Times New Roman"/>
          <w:i/>
          <w:sz w:val="20"/>
          <w:szCs w:val="20"/>
        </w:rPr>
        <w:t>Bacilli E1</w:t>
      </w:r>
      <w:r w:rsidRPr="00095ED9">
        <w:rPr>
          <w:rFonts w:ascii="Times New Roman" w:hAnsi="Times New Roman"/>
          <w:sz w:val="20"/>
          <w:szCs w:val="20"/>
        </w:rPr>
        <w:t xml:space="preserve"> was isolated from an anaerobic digester of wastewater treatment system in a local palm oil mill in Pasir Gudang, Johor. Briefly, wastewater samples were diluted several times with sterile distilled water and dilutions were plated onto nutrient agar and incubated in an anaerobic jar (Thermo scientific Oxoid) supplemented with a commercially available Anaerogen sachet (Oxoid) which provides anaerobic conditions. Emerging microbes were then re-isolated in the same conditions and selected for MFC trials. Meanwhile, </w:t>
      </w:r>
      <w:r w:rsidRPr="00095ED9">
        <w:rPr>
          <w:rFonts w:ascii="Times New Roman" w:hAnsi="Times New Roman"/>
          <w:i/>
          <w:sz w:val="20"/>
          <w:szCs w:val="20"/>
        </w:rPr>
        <w:t>Clostridium cellulolyticum</w:t>
      </w:r>
      <w:r w:rsidRPr="00095ED9">
        <w:rPr>
          <w:rFonts w:ascii="Times New Roman" w:hAnsi="Times New Roman"/>
          <w:sz w:val="20"/>
          <w:szCs w:val="20"/>
        </w:rPr>
        <w:t xml:space="preserve"> ATCC35319 (designated as CC) a strictly anaerobic microorganism has been purchased from American Type Culture Collection (ATCC). </w:t>
      </w:r>
    </w:p>
    <w:p w:rsidR="00095ED9" w:rsidRPr="00095ED9" w:rsidRDefault="00095ED9" w:rsidP="00095ED9">
      <w:pPr>
        <w:spacing w:after="0" w:line="240" w:lineRule="auto"/>
        <w:jc w:val="both"/>
        <w:rPr>
          <w:rFonts w:ascii="Times New Roman" w:hAnsi="Times New Roman"/>
          <w:sz w:val="20"/>
          <w:szCs w:val="20"/>
        </w:rPr>
      </w:pPr>
    </w:p>
    <w:p w:rsidR="00095ED9" w:rsidRPr="00095ED9" w:rsidRDefault="00095ED9" w:rsidP="00095ED9">
      <w:pPr>
        <w:spacing w:after="0" w:line="240" w:lineRule="auto"/>
        <w:jc w:val="both"/>
        <w:rPr>
          <w:rFonts w:ascii="Times New Roman" w:hAnsi="Times New Roman"/>
          <w:sz w:val="20"/>
          <w:szCs w:val="20"/>
        </w:rPr>
      </w:pPr>
      <w:r w:rsidRPr="00095ED9">
        <w:rPr>
          <w:rFonts w:ascii="Times New Roman" w:hAnsi="Times New Roman"/>
          <w:sz w:val="20"/>
          <w:szCs w:val="20"/>
        </w:rPr>
        <w:t>Both microbes were subjected to standard simple staining and gram staining. Briefly, for simple staining, the microbes were heat-fixed onto a glass slide and one drop of methylene blue stain (Merck) was added to the glass slide for staining. Meanwhile, gram staining was conducted by fixing individual microbes onto a glass side and stained with sequential steps of different solutions (crystal violet, iodine, and safranin) which was purchased as kit from Merck Milipore.</w:t>
      </w:r>
    </w:p>
    <w:p w:rsidR="00095ED9" w:rsidRPr="00095ED9" w:rsidRDefault="00095ED9" w:rsidP="00095ED9">
      <w:pPr>
        <w:spacing w:after="0" w:line="240" w:lineRule="auto"/>
        <w:jc w:val="both"/>
        <w:rPr>
          <w:rFonts w:ascii="Times New Roman" w:hAnsi="Times New Roman"/>
          <w:sz w:val="20"/>
          <w:szCs w:val="20"/>
        </w:rPr>
      </w:pPr>
    </w:p>
    <w:p w:rsidR="00095ED9" w:rsidRPr="00095ED9" w:rsidRDefault="00095ED9" w:rsidP="00095ED9">
      <w:pPr>
        <w:spacing w:after="0" w:line="240" w:lineRule="auto"/>
        <w:jc w:val="both"/>
        <w:rPr>
          <w:rFonts w:ascii="Times New Roman" w:hAnsi="Times New Roman"/>
          <w:b/>
          <w:bCs/>
          <w:sz w:val="20"/>
          <w:szCs w:val="20"/>
        </w:rPr>
      </w:pPr>
      <w:r w:rsidRPr="00095ED9">
        <w:rPr>
          <w:rFonts w:ascii="Times New Roman" w:hAnsi="Times New Roman"/>
          <w:b/>
          <w:bCs/>
          <w:sz w:val="20"/>
          <w:szCs w:val="20"/>
        </w:rPr>
        <w:t>MFC preparation</w:t>
      </w:r>
    </w:p>
    <w:p w:rsidR="00095ED9" w:rsidRPr="00095ED9" w:rsidRDefault="00095ED9" w:rsidP="00095ED9">
      <w:pPr>
        <w:spacing w:after="0" w:line="240" w:lineRule="auto"/>
        <w:jc w:val="both"/>
        <w:rPr>
          <w:rFonts w:ascii="Times New Roman" w:hAnsi="Times New Roman"/>
          <w:sz w:val="20"/>
          <w:szCs w:val="20"/>
        </w:rPr>
      </w:pPr>
      <w:r w:rsidRPr="00095ED9">
        <w:rPr>
          <w:rFonts w:ascii="Times New Roman" w:hAnsi="Times New Roman"/>
          <w:sz w:val="20"/>
          <w:szCs w:val="20"/>
        </w:rPr>
        <w:t xml:space="preserve">Stock </w:t>
      </w:r>
      <w:r w:rsidRPr="00095ED9">
        <w:rPr>
          <w:rFonts w:ascii="Times New Roman" w:hAnsi="Times New Roman"/>
          <w:i/>
          <w:sz w:val="20"/>
          <w:szCs w:val="20"/>
        </w:rPr>
        <w:t>Bacilli E1</w:t>
      </w:r>
      <w:r w:rsidRPr="00095ED9">
        <w:rPr>
          <w:rFonts w:ascii="Times New Roman" w:hAnsi="Times New Roman"/>
          <w:sz w:val="20"/>
          <w:szCs w:val="20"/>
        </w:rPr>
        <w:t xml:space="preserve"> and </w:t>
      </w:r>
      <w:r w:rsidRPr="00095ED9">
        <w:rPr>
          <w:rFonts w:ascii="Times New Roman" w:hAnsi="Times New Roman"/>
          <w:i/>
          <w:sz w:val="20"/>
          <w:szCs w:val="20"/>
        </w:rPr>
        <w:t>CC</w:t>
      </w:r>
      <w:r w:rsidRPr="00095ED9">
        <w:rPr>
          <w:rFonts w:ascii="Times New Roman" w:hAnsi="Times New Roman"/>
          <w:sz w:val="20"/>
          <w:szCs w:val="20"/>
        </w:rPr>
        <w:t xml:space="preserve"> cell suspensions were maintained in -80 </w:t>
      </w:r>
      <w:r w:rsidRPr="00095ED9">
        <w:rPr>
          <w:rFonts w:ascii="Times New Roman" w:hAnsi="Times New Roman"/>
          <w:sz w:val="20"/>
          <w:szCs w:val="20"/>
          <w:vertAlign w:val="superscript"/>
        </w:rPr>
        <w:t>°</w:t>
      </w:r>
      <w:r w:rsidRPr="00095ED9">
        <w:rPr>
          <w:rFonts w:ascii="Times New Roman" w:hAnsi="Times New Roman"/>
          <w:sz w:val="20"/>
          <w:szCs w:val="20"/>
        </w:rPr>
        <w:t xml:space="preserve">C previously and thawed prior to use. An amount 12.5 mL each of the cell suspension were transferred into a freshly prepared MFC containing 10% glucose in 0.1 M Potassium phosphate (Kpi) buffer with a pH of 7. All chemicals were analytical grade and sterilized through autoclaving prior to use. </w:t>
      </w:r>
    </w:p>
    <w:p w:rsidR="00095ED9" w:rsidRPr="00095ED9" w:rsidRDefault="00095ED9" w:rsidP="00095ED9">
      <w:pPr>
        <w:spacing w:after="0" w:line="240" w:lineRule="auto"/>
        <w:jc w:val="both"/>
        <w:rPr>
          <w:rFonts w:ascii="Times New Roman" w:hAnsi="Times New Roman"/>
          <w:b/>
          <w:bCs/>
          <w:sz w:val="20"/>
          <w:szCs w:val="20"/>
        </w:rPr>
      </w:pPr>
    </w:p>
    <w:p w:rsidR="00095ED9" w:rsidRPr="00095ED9" w:rsidRDefault="00095ED9" w:rsidP="00095ED9">
      <w:pPr>
        <w:spacing w:after="0" w:line="240" w:lineRule="auto"/>
        <w:jc w:val="both"/>
        <w:rPr>
          <w:rFonts w:ascii="Times New Roman" w:hAnsi="Times New Roman"/>
          <w:b/>
          <w:bCs/>
          <w:sz w:val="20"/>
          <w:szCs w:val="20"/>
        </w:rPr>
      </w:pPr>
      <w:r w:rsidRPr="00095ED9">
        <w:rPr>
          <w:rFonts w:ascii="Times New Roman" w:hAnsi="Times New Roman"/>
          <w:b/>
          <w:bCs/>
          <w:sz w:val="20"/>
          <w:szCs w:val="20"/>
        </w:rPr>
        <w:t>MFC operation</w:t>
      </w:r>
    </w:p>
    <w:p w:rsidR="00095ED9" w:rsidRPr="00095ED9" w:rsidRDefault="00095ED9" w:rsidP="00095ED9">
      <w:pPr>
        <w:spacing w:after="0" w:line="240" w:lineRule="auto"/>
        <w:jc w:val="both"/>
        <w:rPr>
          <w:rFonts w:ascii="Times New Roman" w:hAnsi="Times New Roman"/>
          <w:sz w:val="20"/>
          <w:szCs w:val="20"/>
        </w:rPr>
      </w:pPr>
      <w:r w:rsidRPr="00095ED9">
        <w:rPr>
          <w:rFonts w:ascii="Times New Roman" w:hAnsi="Times New Roman"/>
          <w:sz w:val="20"/>
          <w:szCs w:val="20"/>
        </w:rPr>
        <w:t xml:space="preserve">An acrylic dual chamber MFC was designed with a total volume of 250 mL for each chamber. In addition, anodic chamber was filled with 0.1 M Kpi, pH 7.0 mixed with cell suspension </w:t>
      </w:r>
      <w:r w:rsidRPr="00095ED9">
        <w:rPr>
          <w:rFonts w:ascii="Times New Roman" w:hAnsi="Times New Roman"/>
          <w:i/>
          <w:sz w:val="20"/>
          <w:szCs w:val="20"/>
        </w:rPr>
        <w:t>Bacilli E1</w:t>
      </w:r>
      <w:r w:rsidRPr="00095ED9">
        <w:rPr>
          <w:rFonts w:ascii="Times New Roman" w:hAnsi="Times New Roman"/>
          <w:sz w:val="20"/>
          <w:szCs w:val="20"/>
        </w:rPr>
        <w:t xml:space="preserve"> and glucose as described previously or otherwise mixed of </w:t>
      </w:r>
      <w:r w:rsidRPr="00095ED9">
        <w:rPr>
          <w:rFonts w:ascii="Times New Roman" w:hAnsi="Times New Roman"/>
          <w:i/>
          <w:sz w:val="20"/>
          <w:szCs w:val="20"/>
        </w:rPr>
        <w:t>E1</w:t>
      </w:r>
      <w:r w:rsidRPr="00095ED9">
        <w:rPr>
          <w:rFonts w:ascii="Times New Roman" w:hAnsi="Times New Roman"/>
          <w:sz w:val="20"/>
          <w:szCs w:val="20"/>
        </w:rPr>
        <w:t xml:space="preserve"> and </w:t>
      </w:r>
      <w:r w:rsidRPr="00095ED9">
        <w:rPr>
          <w:rFonts w:ascii="Times New Roman" w:hAnsi="Times New Roman"/>
          <w:i/>
          <w:sz w:val="20"/>
          <w:szCs w:val="20"/>
        </w:rPr>
        <w:t>CC</w:t>
      </w:r>
      <w:r w:rsidRPr="00095ED9">
        <w:rPr>
          <w:rFonts w:ascii="Times New Roman" w:hAnsi="Times New Roman"/>
          <w:sz w:val="20"/>
          <w:szCs w:val="20"/>
        </w:rPr>
        <w:t xml:space="preserve"> for comparison. As for the cathodic chamber, 0.005 M of potassium permanganate in 0.1 M Kpi, pH 7, was added. Both chamber was equipped with rectangular shaped reticulated carbon cloth with a surface area of 20 cm</w:t>
      </w:r>
      <w:r w:rsidRPr="00095ED9">
        <w:rPr>
          <w:rFonts w:ascii="Times New Roman" w:hAnsi="Times New Roman"/>
          <w:sz w:val="20"/>
          <w:szCs w:val="20"/>
          <w:vertAlign w:val="superscript"/>
        </w:rPr>
        <w:t>2</w:t>
      </w:r>
      <w:r w:rsidRPr="00095ED9">
        <w:rPr>
          <w:rFonts w:ascii="Times New Roman" w:hAnsi="Times New Roman"/>
          <w:sz w:val="20"/>
          <w:szCs w:val="20"/>
        </w:rPr>
        <w:t xml:space="preserve">. Meanwhile, a Nafion membrane (117) was pre-treated and set in between the chambers to separate them. The MFC was operated for three days to analyze the MFC performance in electrical production or voltage values with no resistant applied in between anode and cathode or indicated as open </w:t>
      </w:r>
      <w:r w:rsidRPr="00095ED9">
        <w:rPr>
          <w:rFonts w:ascii="Times New Roman" w:hAnsi="Times New Roman"/>
          <w:sz w:val="20"/>
          <w:szCs w:val="20"/>
        </w:rPr>
        <w:lastRenderedPageBreak/>
        <w:t>circuit voltage (OCV). In addition, after OCV values were stable, different resistant values were applied in between the anode and cathode and voltage values were measured or indicated as closed-circuit voltage (CCV). Both OCV and CCV were monitored and recorded using an auto-logged multimeter.</w:t>
      </w:r>
    </w:p>
    <w:p w:rsidR="00095ED9" w:rsidRPr="00095ED9" w:rsidRDefault="00095ED9" w:rsidP="00095ED9">
      <w:pPr>
        <w:spacing w:after="0" w:line="240" w:lineRule="auto"/>
        <w:jc w:val="both"/>
        <w:rPr>
          <w:rFonts w:ascii="Times New Roman" w:hAnsi="Times New Roman"/>
          <w:sz w:val="20"/>
          <w:szCs w:val="20"/>
        </w:rPr>
      </w:pPr>
    </w:p>
    <w:p w:rsidR="00095ED9" w:rsidRPr="00095ED9" w:rsidRDefault="00095ED9" w:rsidP="00095ED9">
      <w:pPr>
        <w:spacing w:after="0" w:line="240" w:lineRule="auto"/>
        <w:jc w:val="both"/>
        <w:rPr>
          <w:rFonts w:ascii="Times New Roman" w:hAnsi="Times New Roman"/>
          <w:b/>
          <w:bCs/>
          <w:sz w:val="20"/>
          <w:szCs w:val="20"/>
        </w:rPr>
      </w:pPr>
      <w:r w:rsidRPr="00095ED9">
        <w:rPr>
          <w:rFonts w:ascii="Times New Roman" w:hAnsi="Times New Roman"/>
          <w:b/>
          <w:bCs/>
          <w:sz w:val="20"/>
          <w:szCs w:val="20"/>
        </w:rPr>
        <w:t>Closed-circuit voltage analysis</w:t>
      </w:r>
    </w:p>
    <w:p w:rsidR="00095ED9" w:rsidRPr="00095ED9" w:rsidRDefault="00095ED9" w:rsidP="00095ED9">
      <w:pPr>
        <w:spacing w:after="0" w:line="240" w:lineRule="auto"/>
        <w:jc w:val="both"/>
        <w:rPr>
          <w:rFonts w:ascii="Times New Roman" w:hAnsi="Times New Roman"/>
          <w:sz w:val="20"/>
          <w:szCs w:val="20"/>
        </w:rPr>
      </w:pPr>
      <w:r w:rsidRPr="00095ED9">
        <w:rPr>
          <w:rFonts w:ascii="Times New Roman" w:hAnsi="Times New Roman"/>
          <w:sz w:val="20"/>
          <w:szCs w:val="20"/>
        </w:rPr>
        <w:t>CCV obtained was then calculated for power and current using the general equation (1 and 2) by Ohm’s Law;</w:t>
      </w:r>
    </w:p>
    <w:p w:rsidR="00095ED9" w:rsidRPr="00095ED9" w:rsidRDefault="00095ED9" w:rsidP="00095ED9">
      <w:pPr>
        <w:spacing w:after="0" w:line="240" w:lineRule="auto"/>
        <w:jc w:val="both"/>
        <w:rPr>
          <w:rFonts w:ascii="Times New Roman" w:hAnsi="Times New Roman"/>
          <w:sz w:val="20"/>
          <w:szCs w:val="20"/>
        </w:rPr>
      </w:pPr>
    </w:p>
    <w:p w:rsidR="00095ED9" w:rsidRPr="00095ED9" w:rsidRDefault="00095ED9" w:rsidP="00095ED9">
      <w:pPr>
        <w:spacing w:after="0" w:line="240" w:lineRule="auto"/>
        <w:ind w:firstLine="720"/>
        <w:jc w:val="both"/>
        <w:rPr>
          <w:rFonts w:ascii="Times New Roman" w:hAnsi="Times New Roman"/>
          <w:sz w:val="20"/>
          <w:szCs w:val="20"/>
        </w:rPr>
      </w:pPr>
      <w:r w:rsidRPr="00095ED9">
        <w:rPr>
          <w:rFonts w:ascii="Times New Roman" w:hAnsi="Times New Roman"/>
          <w:sz w:val="20"/>
          <w:szCs w:val="20"/>
        </w:rPr>
        <w:t xml:space="preserve">V = IR                                                                                                                                                     </w:t>
      </w:r>
      <w:r>
        <w:rPr>
          <w:rFonts w:ascii="Times New Roman" w:hAnsi="Times New Roman"/>
          <w:sz w:val="20"/>
          <w:szCs w:val="20"/>
        </w:rPr>
        <w:t xml:space="preserve">      </w:t>
      </w:r>
      <w:r w:rsidRPr="00095ED9">
        <w:rPr>
          <w:rFonts w:ascii="Times New Roman" w:hAnsi="Times New Roman"/>
          <w:sz w:val="20"/>
          <w:szCs w:val="20"/>
        </w:rPr>
        <w:t xml:space="preserve"> (1)</w:t>
      </w:r>
    </w:p>
    <w:p w:rsidR="00095ED9" w:rsidRPr="00095ED9" w:rsidRDefault="00095ED9" w:rsidP="00095ED9">
      <w:pPr>
        <w:spacing w:after="0" w:line="240" w:lineRule="auto"/>
        <w:ind w:firstLine="720"/>
        <w:jc w:val="both"/>
        <w:rPr>
          <w:rFonts w:ascii="Times New Roman" w:hAnsi="Times New Roman"/>
          <w:sz w:val="20"/>
          <w:szCs w:val="20"/>
        </w:rPr>
      </w:pPr>
    </w:p>
    <w:p w:rsidR="00095ED9" w:rsidRPr="00095ED9" w:rsidRDefault="00095ED9" w:rsidP="00095ED9">
      <w:pPr>
        <w:spacing w:after="0" w:line="240" w:lineRule="auto"/>
        <w:ind w:firstLine="720"/>
        <w:jc w:val="both"/>
        <w:rPr>
          <w:rFonts w:ascii="Times New Roman" w:hAnsi="Times New Roman"/>
          <w:sz w:val="20"/>
          <w:szCs w:val="20"/>
        </w:rPr>
      </w:pPr>
      <w:r w:rsidRPr="00095ED9">
        <w:rPr>
          <w:rFonts w:ascii="Times New Roman" w:hAnsi="Times New Roman"/>
          <w:sz w:val="20"/>
          <w:szCs w:val="20"/>
        </w:rPr>
        <w:t>P = V</w:t>
      </w:r>
      <w:r w:rsidRPr="00095ED9">
        <w:rPr>
          <w:rFonts w:ascii="Times New Roman" w:hAnsi="Times New Roman"/>
          <w:sz w:val="20"/>
          <w:szCs w:val="20"/>
          <w:vertAlign w:val="superscript"/>
        </w:rPr>
        <w:t>2</w:t>
      </w:r>
      <w:r w:rsidRPr="00095ED9">
        <w:rPr>
          <w:rFonts w:ascii="Times New Roman" w:hAnsi="Times New Roman"/>
          <w:sz w:val="20"/>
          <w:szCs w:val="20"/>
        </w:rPr>
        <w:t xml:space="preserve">R                                                                                                                                                    </w:t>
      </w:r>
      <w:r>
        <w:rPr>
          <w:rFonts w:ascii="Times New Roman" w:hAnsi="Times New Roman"/>
          <w:sz w:val="20"/>
          <w:szCs w:val="20"/>
        </w:rPr>
        <w:t xml:space="preserve">      </w:t>
      </w:r>
      <w:r w:rsidRPr="00095ED9">
        <w:rPr>
          <w:rFonts w:ascii="Times New Roman" w:hAnsi="Times New Roman"/>
          <w:sz w:val="20"/>
          <w:szCs w:val="20"/>
        </w:rPr>
        <w:t>(2)</w:t>
      </w:r>
    </w:p>
    <w:p w:rsidR="00095ED9" w:rsidRPr="00095ED9" w:rsidRDefault="00095ED9" w:rsidP="00095ED9">
      <w:pPr>
        <w:spacing w:after="0" w:line="240" w:lineRule="auto"/>
        <w:jc w:val="both"/>
        <w:rPr>
          <w:rFonts w:ascii="Times New Roman" w:hAnsi="Times New Roman"/>
          <w:sz w:val="20"/>
          <w:szCs w:val="20"/>
        </w:rPr>
      </w:pPr>
    </w:p>
    <w:p w:rsidR="00095ED9" w:rsidRPr="00095ED9" w:rsidRDefault="00095ED9" w:rsidP="00095ED9">
      <w:pPr>
        <w:spacing w:after="0" w:line="240" w:lineRule="auto"/>
        <w:jc w:val="both"/>
        <w:rPr>
          <w:rFonts w:ascii="Times New Roman" w:hAnsi="Times New Roman"/>
          <w:sz w:val="20"/>
          <w:szCs w:val="20"/>
        </w:rPr>
      </w:pPr>
      <w:r w:rsidRPr="00095ED9">
        <w:rPr>
          <w:rFonts w:ascii="Times New Roman" w:hAnsi="Times New Roman"/>
          <w:sz w:val="20"/>
          <w:szCs w:val="20"/>
        </w:rPr>
        <w:t xml:space="preserve">where V is the voltage obtained, I is the current calculated from V and resistant applied designated as R. P is the calculated power. All MFC trials were done in duplicates. </w:t>
      </w:r>
    </w:p>
    <w:p w:rsidR="00AC0033" w:rsidRPr="00F447A7" w:rsidRDefault="00AC0033" w:rsidP="00095ED9">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095ED9" w:rsidRPr="00095ED9" w:rsidRDefault="00095ED9" w:rsidP="00095ED9">
      <w:pPr>
        <w:spacing w:after="0" w:line="240" w:lineRule="auto"/>
        <w:jc w:val="both"/>
        <w:outlineLvl w:val="0"/>
        <w:rPr>
          <w:rFonts w:ascii="Times New Roman" w:hAnsi="Times New Roman"/>
          <w:b/>
          <w:bCs/>
          <w:sz w:val="20"/>
          <w:szCs w:val="20"/>
        </w:rPr>
      </w:pPr>
      <w:r w:rsidRPr="00095ED9">
        <w:rPr>
          <w:rFonts w:ascii="Times New Roman" w:hAnsi="Times New Roman"/>
          <w:b/>
          <w:bCs/>
          <w:sz w:val="20"/>
          <w:szCs w:val="20"/>
        </w:rPr>
        <w:t>General characterization</w:t>
      </w:r>
    </w:p>
    <w:p w:rsidR="00095ED9" w:rsidRPr="00095ED9" w:rsidRDefault="00095ED9" w:rsidP="00095ED9">
      <w:pPr>
        <w:spacing w:after="0" w:line="240" w:lineRule="auto"/>
        <w:jc w:val="both"/>
        <w:outlineLvl w:val="0"/>
        <w:rPr>
          <w:rFonts w:ascii="Times New Roman" w:hAnsi="Times New Roman"/>
          <w:sz w:val="20"/>
          <w:szCs w:val="20"/>
        </w:rPr>
      </w:pPr>
      <w:r w:rsidRPr="00095ED9">
        <w:rPr>
          <w:rFonts w:ascii="Times New Roman" w:hAnsi="Times New Roman"/>
          <w:sz w:val="20"/>
          <w:szCs w:val="20"/>
        </w:rPr>
        <w:t xml:space="preserve">Simple and gram staining reveals that the microbe designated as E1 was bacilli in shape as shown in Figure 1. In addition, the gram staining shows that </w:t>
      </w:r>
      <w:r w:rsidRPr="00095ED9">
        <w:rPr>
          <w:rFonts w:ascii="Times New Roman" w:hAnsi="Times New Roman"/>
          <w:i/>
          <w:sz w:val="20"/>
          <w:szCs w:val="20"/>
        </w:rPr>
        <w:t>Bacilli E1</w:t>
      </w:r>
      <w:r w:rsidRPr="00095ED9">
        <w:rPr>
          <w:rFonts w:ascii="Times New Roman" w:hAnsi="Times New Roman"/>
          <w:sz w:val="20"/>
          <w:szCs w:val="20"/>
        </w:rPr>
        <w:t xml:space="preserve"> was gram negative. In the group of ‘electricigens’ so far, there is no generalization that ‘electricigens’ are gram negative in nature but it is known from literature that generally in the MFC, these microbes tend to form electroactive biofilms on the anodic electrode [7, 8, 9] and it was also observed that after a period of time, biofilm formed on the anodic surface (data not shown). It was shown in several MFC trials that these electricigens within the attached biofilm on the anodic electrodes, capable of donating electrons or receiving electrons from electrodes, via extracellular electron transfer within the MFC environment [10]. However, it was difficult to explore how the electron transfer occurs in the vicinity of </w:t>
      </w:r>
      <w:r w:rsidRPr="00095ED9">
        <w:rPr>
          <w:rFonts w:ascii="Times New Roman" w:hAnsi="Times New Roman"/>
          <w:i/>
          <w:sz w:val="20"/>
          <w:szCs w:val="20"/>
        </w:rPr>
        <w:t>Bacilli E1</w:t>
      </w:r>
      <w:r w:rsidRPr="00095ED9">
        <w:rPr>
          <w:rFonts w:ascii="Times New Roman" w:hAnsi="Times New Roman"/>
          <w:sz w:val="20"/>
          <w:szCs w:val="20"/>
        </w:rPr>
        <w:t xml:space="preserve"> without further dissections of the electron transfer process. In the next section, </w:t>
      </w:r>
      <w:r w:rsidRPr="00095ED9">
        <w:rPr>
          <w:rFonts w:ascii="Times New Roman" w:hAnsi="Times New Roman"/>
          <w:i/>
          <w:sz w:val="20"/>
          <w:szCs w:val="20"/>
        </w:rPr>
        <w:t>Bacilli E1</w:t>
      </w:r>
      <w:r w:rsidRPr="00095ED9">
        <w:rPr>
          <w:rFonts w:ascii="Times New Roman" w:hAnsi="Times New Roman"/>
          <w:sz w:val="20"/>
          <w:szCs w:val="20"/>
        </w:rPr>
        <w:t xml:space="preserve"> capability in producing electricity will be discussed. </w:t>
      </w:r>
    </w:p>
    <w:p w:rsidR="00095ED9" w:rsidRDefault="00095ED9" w:rsidP="00095ED9">
      <w:pPr>
        <w:spacing w:after="0" w:line="240" w:lineRule="auto"/>
        <w:jc w:val="both"/>
        <w:outlineLvl w:val="0"/>
        <w:rPr>
          <w:rFonts w:ascii="Times New Roman" w:hAnsi="Times New Roman"/>
          <w:sz w:val="20"/>
          <w:szCs w:val="20"/>
        </w:rPr>
      </w:pPr>
    </w:p>
    <w:p w:rsidR="00095ED9" w:rsidRPr="00095ED9" w:rsidRDefault="00095ED9" w:rsidP="00095ED9">
      <w:pPr>
        <w:spacing w:after="0" w:line="240" w:lineRule="auto"/>
        <w:jc w:val="both"/>
        <w:outlineLvl w:val="0"/>
        <w:rPr>
          <w:rFonts w:ascii="Times New Roman" w:hAnsi="Times New Roman"/>
          <w:sz w:val="20"/>
          <w:szCs w:val="20"/>
        </w:rPr>
      </w:pPr>
    </w:p>
    <w:p w:rsidR="00095ED9" w:rsidRPr="00095ED9" w:rsidRDefault="00095ED9" w:rsidP="00095ED9">
      <w:pPr>
        <w:spacing w:after="0" w:line="240" w:lineRule="auto"/>
        <w:jc w:val="center"/>
        <w:outlineLvl w:val="0"/>
        <w:rPr>
          <w:rFonts w:ascii="Times New Roman" w:hAnsi="Times New Roman"/>
          <w:sz w:val="20"/>
          <w:szCs w:val="20"/>
        </w:rPr>
      </w:pPr>
      <w:r w:rsidRPr="00095ED9">
        <w:rPr>
          <w:rFonts w:ascii="Times New Roman" w:hAnsi="Times New Roman"/>
          <w:noProof/>
          <w:sz w:val="20"/>
          <w:szCs w:val="20"/>
          <w:lang w:bidi="ar-SA"/>
        </w:rPr>
        <w:drawing>
          <wp:inline distT="0" distB="0" distL="0" distR="0" wp14:anchorId="5E8823A9" wp14:editId="27CCE6C8">
            <wp:extent cx="1885093" cy="170481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98351" cy="1716804"/>
                    </a:xfrm>
                    <a:prstGeom prst="rect">
                      <a:avLst/>
                    </a:prstGeom>
                    <a:noFill/>
                  </pic:spPr>
                </pic:pic>
              </a:graphicData>
            </a:graphic>
          </wp:inline>
        </w:drawing>
      </w:r>
    </w:p>
    <w:p w:rsidR="00095ED9" w:rsidRPr="00095ED9" w:rsidRDefault="00095ED9" w:rsidP="00095ED9">
      <w:pPr>
        <w:spacing w:after="0" w:line="240" w:lineRule="auto"/>
        <w:jc w:val="both"/>
        <w:outlineLvl w:val="0"/>
        <w:rPr>
          <w:rFonts w:ascii="Times New Roman" w:hAnsi="Times New Roman"/>
          <w:sz w:val="20"/>
          <w:szCs w:val="20"/>
        </w:rPr>
      </w:pPr>
    </w:p>
    <w:p w:rsidR="00095ED9" w:rsidRPr="00095ED9" w:rsidRDefault="00095ED9" w:rsidP="00095ED9">
      <w:pPr>
        <w:spacing w:after="0" w:line="240" w:lineRule="auto"/>
        <w:jc w:val="center"/>
        <w:outlineLvl w:val="0"/>
        <w:rPr>
          <w:rFonts w:ascii="Times New Roman" w:hAnsi="Times New Roman"/>
          <w:sz w:val="20"/>
          <w:szCs w:val="20"/>
        </w:rPr>
      </w:pPr>
      <w:r w:rsidRPr="00095ED9">
        <w:rPr>
          <w:rFonts w:ascii="Times New Roman" w:hAnsi="Times New Roman"/>
          <w:sz w:val="20"/>
          <w:szCs w:val="20"/>
        </w:rPr>
        <w:t xml:space="preserve">Figure 1. </w:t>
      </w:r>
      <w:r>
        <w:rPr>
          <w:rFonts w:ascii="Times New Roman" w:hAnsi="Times New Roman"/>
          <w:sz w:val="20"/>
          <w:szCs w:val="20"/>
        </w:rPr>
        <w:t xml:space="preserve"> </w:t>
      </w:r>
      <w:r w:rsidRPr="00095ED9">
        <w:rPr>
          <w:rFonts w:ascii="Times New Roman" w:hAnsi="Times New Roman"/>
          <w:i/>
          <w:sz w:val="20"/>
          <w:szCs w:val="20"/>
        </w:rPr>
        <w:t>Bacilli</w:t>
      </w:r>
      <w:r w:rsidRPr="00095ED9">
        <w:rPr>
          <w:rFonts w:ascii="Times New Roman" w:hAnsi="Times New Roman"/>
          <w:sz w:val="20"/>
          <w:szCs w:val="20"/>
        </w:rPr>
        <w:t xml:space="preserve"> E1 stained as gram negative</w:t>
      </w:r>
    </w:p>
    <w:p w:rsidR="00095ED9" w:rsidRDefault="00095ED9" w:rsidP="00095ED9">
      <w:pPr>
        <w:spacing w:after="0" w:line="240" w:lineRule="auto"/>
        <w:jc w:val="both"/>
        <w:outlineLvl w:val="0"/>
        <w:rPr>
          <w:rFonts w:ascii="Times New Roman" w:hAnsi="Times New Roman"/>
          <w:sz w:val="20"/>
          <w:szCs w:val="20"/>
        </w:rPr>
      </w:pPr>
    </w:p>
    <w:p w:rsidR="00095ED9" w:rsidRPr="00095ED9" w:rsidRDefault="00095ED9" w:rsidP="00095ED9">
      <w:pPr>
        <w:spacing w:after="0" w:line="240" w:lineRule="auto"/>
        <w:jc w:val="both"/>
        <w:outlineLvl w:val="0"/>
        <w:rPr>
          <w:rFonts w:ascii="Times New Roman" w:hAnsi="Times New Roman"/>
          <w:sz w:val="20"/>
          <w:szCs w:val="20"/>
        </w:rPr>
      </w:pPr>
    </w:p>
    <w:p w:rsidR="00095ED9" w:rsidRPr="00095ED9" w:rsidRDefault="00095ED9" w:rsidP="00095ED9">
      <w:pPr>
        <w:spacing w:after="0" w:line="240" w:lineRule="auto"/>
        <w:jc w:val="both"/>
        <w:outlineLvl w:val="0"/>
        <w:rPr>
          <w:rFonts w:ascii="Times New Roman" w:hAnsi="Times New Roman"/>
          <w:b/>
          <w:bCs/>
          <w:sz w:val="20"/>
          <w:szCs w:val="20"/>
        </w:rPr>
      </w:pPr>
      <w:r w:rsidRPr="00095ED9">
        <w:rPr>
          <w:rFonts w:ascii="Times New Roman" w:hAnsi="Times New Roman"/>
          <w:b/>
          <w:bCs/>
          <w:sz w:val="20"/>
          <w:szCs w:val="20"/>
        </w:rPr>
        <w:t>Open circuit voltage</w:t>
      </w:r>
    </w:p>
    <w:p w:rsidR="00095ED9" w:rsidRPr="00095ED9" w:rsidRDefault="00095ED9" w:rsidP="00095ED9">
      <w:pPr>
        <w:spacing w:after="0" w:line="240" w:lineRule="auto"/>
        <w:jc w:val="both"/>
        <w:outlineLvl w:val="0"/>
        <w:rPr>
          <w:rFonts w:ascii="Times New Roman" w:hAnsi="Times New Roman"/>
          <w:sz w:val="20"/>
          <w:szCs w:val="20"/>
        </w:rPr>
      </w:pPr>
      <w:r w:rsidRPr="00095ED9">
        <w:rPr>
          <w:rFonts w:ascii="Times New Roman" w:hAnsi="Times New Roman"/>
          <w:sz w:val="20"/>
          <w:szCs w:val="20"/>
        </w:rPr>
        <w:t xml:space="preserve">Basically, OCV cannot be evaluated as indicator of the MFC performance but merely indicates of potential existence. Figure 2 (a) shows that a maximum average of 0.8 (V) was produced using </w:t>
      </w:r>
      <w:r w:rsidRPr="00095ED9">
        <w:rPr>
          <w:rFonts w:ascii="Times New Roman" w:hAnsi="Times New Roman"/>
          <w:i/>
          <w:sz w:val="20"/>
          <w:szCs w:val="20"/>
        </w:rPr>
        <w:t>Bacilli E1</w:t>
      </w:r>
      <w:r w:rsidRPr="00095ED9">
        <w:rPr>
          <w:rFonts w:ascii="Times New Roman" w:hAnsi="Times New Roman"/>
          <w:sz w:val="20"/>
          <w:szCs w:val="20"/>
        </w:rPr>
        <w:t xml:space="preserve"> but </w:t>
      </w:r>
      <w:r w:rsidRPr="00095ED9">
        <w:rPr>
          <w:rFonts w:ascii="Times New Roman" w:hAnsi="Times New Roman"/>
          <w:i/>
          <w:sz w:val="20"/>
          <w:szCs w:val="20"/>
        </w:rPr>
        <w:t>CC</w:t>
      </w:r>
      <w:r w:rsidRPr="00095ED9">
        <w:rPr>
          <w:rFonts w:ascii="Times New Roman" w:hAnsi="Times New Roman"/>
          <w:sz w:val="20"/>
          <w:szCs w:val="20"/>
        </w:rPr>
        <w:t xml:space="preserve"> did not show any changes in OCV values and produced less potential difference. Furthermore, similar maximum average of 0.8 (V) was observed for using a mixture of both microbes in the same MFC. This observation proved that the presence of E1 is needed to ensure the possibility of electrical activity initiated in the MFC. However, the OCV start-up seems to shift rapidly for mixed culture which an indication of possible fast degradation though there was no test done in access of the degradation products content. In addition, thermodynamically, the OCV value can be evaluated as the cell electron motive force (E</w:t>
      </w:r>
      <w:r w:rsidRPr="00095ED9">
        <w:rPr>
          <w:rFonts w:ascii="Times New Roman" w:hAnsi="Times New Roman"/>
          <w:sz w:val="20"/>
          <w:szCs w:val="20"/>
          <w:vertAlign w:val="subscript"/>
        </w:rPr>
        <w:t>mf</w:t>
      </w:r>
      <w:r w:rsidRPr="00095ED9">
        <w:rPr>
          <w:rFonts w:ascii="Times New Roman" w:hAnsi="Times New Roman"/>
          <w:sz w:val="20"/>
          <w:szCs w:val="20"/>
        </w:rPr>
        <w:t>) which is a maximum achievable voltage without taking account on the losses due internal resistance in the system [11, 12]. From the present results, E</w:t>
      </w:r>
      <w:r w:rsidRPr="00095ED9">
        <w:rPr>
          <w:rFonts w:ascii="Times New Roman" w:hAnsi="Times New Roman"/>
          <w:sz w:val="20"/>
          <w:szCs w:val="20"/>
          <w:vertAlign w:val="subscript"/>
        </w:rPr>
        <w:t>mf</w:t>
      </w:r>
      <w:r w:rsidRPr="00095ED9">
        <w:rPr>
          <w:rFonts w:ascii="Times New Roman" w:hAnsi="Times New Roman"/>
          <w:sz w:val="20"/>
          <w:szCs w:val="20"/>
        </w:rPr>
        <w:t xml:space="preserve"> = 0.8 V was achieved after 5 </w:t>
      </w:r>
      <w:r w:rsidRPr="00095ED9">
        <w:rPr>
          <w:rFonts w:ascii="Times New Roman" w:hAnsi="Times New Roman"/>
          <w:sz w:val="20"/>
          <w:szCs w:val="20"/>
        </w:rPr>
        <w:lastRenderedPageBreak/>
        <w:t>to 6 hours of operation and stabilized for almost 50 hours as shown Figure 2a. In contrast, as later shown, with current presents, the maximum voltage produced was much less than 0.8 V.</w:t>
      </w:r>
    </w:p>
    <w:p w:rsidR="00095ED9" w:rsidRDefault="00095ED9" w:rsidP="00095ED9">
      <w:pPr>
        <w:spacing w:after="0" w:line="240" w:lineRule="auto"/>
        <w:jc w:val="both"/>
        <w:outlineLvl w:val="0"/>
        <w:rPr>
          <w:rFonts w:ascii="Times New Roman" w:hAnsi="Times New Roman"/>
          <w:sz w:val="20"/>
          <w:szCs w:val="20"/>
        </w:rPr>
      </w:pPr>
    </w:p>
    <w:p w:rsidR="00095ED9" w:rsidRPr="00095ED9" w:rsidRDefault="00095ED9" w:rsidP="00095ED9">
      <w:pPr>
        <w:spacing w:after="0" w:line="240" w:lineRule="auto"/>
        <w:jc w:val="both"/>
        <w:outlineLvl w:val="0"/>
        <w:rPr>
          <w:rFonts w:ascii="Times New Roman" w:hAnsi="Times New Roman"/>
          <w:sz w:val="20"/>
          <w:szCs w:val="20"/>
        </w:rPr>
      </w:pPr>
      <w:r w:rsidRPr="00095ED9">
        <w:rPr>
          <w:rFonts w:ascii="Times New Roman" w:hAnsi="Times New Roman"/>
          <w:sz w:val="20"/>
          <w:szCs w:val="20"/>
        </w:rPr>
        <w:tab/>
      </w:r>
      <w:r w:rsidRPr="00095ED9">
        <w:rPr>
          <w:rFonts w:ascii="Times New Roman" w:hAnsi="Times New Roman"/>
          <w:sz w:val="20"/>
          <w:szCs w:val="20"/>
        </w:rPr>
        <w:tab/>
      </w:r>
      <w:r w:rsidRPr="00095ED9">
        <w:rPr>
          <w:rFonts w:ascii="Times New Roman" w:hAnsi="Times New Roman"/>
          <w:sz w:val="20"/>
          <w:szCs w:val="20"/>
        </w:rPr>
        <w:tab/>
      </w:r>
      <w:r w:rsidRPr="00095ED9">
        <w:rPr>
          <w:rFonts w:ascii="Times New Roman" w:hAnsi="Times New Roman"/>
          <w:sz w:val="20"/>
          <w:szCs w:val="20"/>
        </w:rPr>
        <w:tab/>
      </w:r>
      <w:r w:rsidRPr="00095ED9">
        <w:rPr>
          <w:rFonts w:ascii="Times New Roman" w:hAnsi="Times New Roman"/>
          <w:sz w:val="20"/>
          <w:szCs w:val="20"/>
        </w:rPr>
        <w:tab/>
      </w:r>
    </w:p>
    <w:p w:rsidR="00095ED9" w:rsidRPr="00095ED9" w:rsidRDefault="00E42CB9" w:rsidP="00095ED9">
      <w:pPr>
        <w:spacing w:after="0" w:line="240" w:lineRule="auto"/>
        <w:jc w:val="center"/>
        <w:outlineLvl w:val="0"/>
        <w:rPr>
          <w:rFonts w:ascii="Times New Roman" w:hAnsi="Times New Roman"/>
          <w:sz w:val="20"/>
          <w:szCs w:val="20"/>
        </w:rPr>
      </w:pPr>
      <w:r w:rsidRPr="00095ED9">
        <w:rPr>
          <w:rFonts w:ascii="Times New Roman" w:hAnsi="Times New Roman"/>
          <w:noProof/>
          <w:sz w:val="20"/>
          <w:szCs w:val="20"/>
          <w:lang w:bidi="ar-SA"/>
        </w:rPr>
        <mc:AlternateContent>
          <mc:Choice Requires="wps">
            <w:drawing>
              <wp:anchor distT="0" distB="0" distL="114300" distR="114300" simplePos="0" relativeHeight="251661824" behindDoc="0" locked="0" layoutInCell="1" allowOverlap="1" wp14:anchorId="7D49DE76" wp14:editId="15E8621C">
                <wp:simplePos x="0" y="0"/>
                <wp:positionH relativeFrom="column">
                  <wp:posOffset>5135880</wp:posOffset>
                </wp:positionH>
                <wp:positionV relativeFrom="paragraph">
                  <wp:posOffset>123190</wp:posOffset>
                </wp:positionV>
                <wp:extent cx="373380" cy="246380"/>
                <wp:effectExtent l="0" t="0" r="26670" b="20320"/>
                <wp:wrapNone/>
                <wp:docPr id="5" name="Text Box 5"/>
                <wp:cNvGraphicFramePr/>
                <a:graphic xmlns:a="http://schemas.openxmlformats.org/drawingml/2006/main">
                  <a:graphicData uri="http://schemas.microsoft.com/office/word/2010/wordprocessingShape">
                    <wps:wsp>
                      <wps:cNvSpPr txBox="1"/>
                      <wps:spPr>
                        <a:xfrm>
                          <a:off x="0" y="0"/>
                          <a:ext cx="373380" cy="24638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095ED9" w:rsidRPr="006B0D30" w:rsidRDefault="00095ED9" w:rsidP="00095ED9">
                            <w:pPr>
                              <w:rPr>
                                <w:rFonts w:ascii="Times New Roman" w:hAnsi="Times New Roman"/>
                              </w:rPr>
                            </w:pPr>
                            <w:r w:rsidRPr="006B0D30">
                              <w:rPr>
                                <w:rFonts w:ascii="Times New Roman" w:hAnsi="Times New Roman"/>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7" type="#_x0000_t202" style="position:absolute;left:0;text-align:left;margin-left:404.4pt;margin-top:9.7pt;width:29.4pt;height:19.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" fillcolor="white [3201]" strokecolor="white [3212]" strokeweight=".5pt">
                <v:textbox>
                  <w:txbxContent>
                    <w:p w:rsidR="00095ED9" w:rsidRPr="006B0D30" w:rsidRDefault="00095ED9" w:rsidP="00095ED9">
                      <w:pPr>
                        <w:rPr>
                          <w:rFonts w:ascii="Times New Roman" w:hAnsi="Times New Roman"/>
                        </w:rPr>
                      </w:pPr>
                      <w:r w:rsidRPr="006B0D30">
                        <w:rPr>
                          <w:rFonts w:ascii="Times New Roman" w:hAnsi="Times New Roman"/>
                        </w:rPr>
                        <w:t>(b)</w:t>
                      </w:r>
                    </w:p>
                  </w:txbxContent>
                </v:textbox>
              </v:shape>
            </w:pict>
          </mc:Fallback>
        </mc:AlternateContent>
      </w:r>
      <w:r w:rsidR="00095ED9" w:rsidRPr="00095ED9">
        <w:rPr>
          <w:rFonts w:ascii="Times New Roman" w:hAnsi="Times New Roman"/>
          <w:noProof/>
          <w:sz w:val="20"/>
          <w:szCs w:val="20"/>
          <w:lang w:bidi="ar-SA"/>
        </w:rPr>
        <mc:AlternateContent>
          <mc:Choice Requires="wps">
            <w:drawing>
              <wp:anchor distT="0" distB="0" distL="114300" distR="114300" simplePos="0" relativeHeight="251660800" behindDoc="0" locked="0" layoutInCell="1" allowOverlap="1" wp14:anchorId="03BFCA98" wp14:editId="6FCBECD7">
                <wp:simplePos x="0" y="0"/>
                <wp:positionH relativeFrom="column">
                  <wp:posOffset>2400300</wp:posOffset>
                </wp:positionH>
                <wp:positionV relativeFrom="paragraph">
                  <wp:posOffset>119380</wp:posOffset>
                </wp:positionV>
                <wp:extent cx="400050" cy="246380"/>
                <wp:effectExtent l="0" t="0" r="19050" b="20320"/>
                <wp:wrapNone/>
                <wp:docPr id="2" name="Text Box 2"/>
                <wp:cNvGraphicFramePr/>
                <a:graphic xmlns:a="http://schemas.openxmlformats.org/drawingml/2006/main">
                  <a:graphicData uri="http://schemas.microsoft.com/office/word/2010/wordprocessingShape">
                    <wps:wsp>
                      <wps:cNvSpPr txBox="1"/>
                      <wps:spPr>
                        <a:xfrm>
                          <a:off x="0" y="0"/>
                          <a:ext cx="400050" cy="24638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095ED9" w:rsidRPr="006B0D30" w:rsidRDefault="00095ED9" w:rsidP="00095ED9">
                            <w:pPr>
                              <w:rPr>
                                <w:rFonts w:ascii="Times New Roman" w:hAnsi="Times New Roman"/>
                              </w:rPr>
                            </w:pPr>
                            <w:r w:rsidRPr="006B0D30">
                              <w:rPr>
                                <w:rFonts w:ascii="Times New Roman" w:hAnsi="Times New Roman"/>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left:0;text-align:left;margin-left:189pt;margin-top:9.4pt;width:31.5pt;height:19.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" fillcolor="white [3201]" strokecolor="white [3212]" strokeweight=".5pt">
                <v:textbox>
                  <w:txbxContent>
                    <w:p w:rsidR="00095ED9" w:rsidRPr="006B0D30" w:rsidRDefault="00095ED9" w:rsidP="00095ED9">
                      <w:pPr>
                        <w:rPr>
                          <w:rFonts w:ascii="Times New Roman" w:hAnsi="Times New Roman"/>
                        </w:rPr>
                      </w:pPr>
                      <w:r w:rsidRPr="006B0D30">
                        <w:rPr>
                          <w:rFonts w:ascii="Times New Roman" w:hAnsi="Times New Roman"/>
                        </w:rPr>
                        <w:t>(a)</w:t>
                      </w:r>
                    </w:p>
                  </w:txbxContent>
                </v:textbox>
              </v:shape>
            </w:pict>
          </mc:Fallback>
        </mc:AlternateContent>
      </w:r>
      <w:r w:rsidR="00095ED9" w:rsidRPr="00095ED9">
        <w:rPr>
          <w:rFonts w:ascii="Times New Roman" w:hAnsi="Times New Roman"/>
          <w:noProof/>
          <w:sz w:val="20"/>
          <w:szCs w:val="20"/>
          <w:lang w:bidi="ar-SA"/>
        </w:rPr>
        <w:drawing>
          <wp:inline distT="0" distB="0" distL="0" distR="0" wp14:anchorId="0C3971C0" wp14:editId="12CD7F6A">
            <wp:extent cx="2639695" cy="169481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39695" cy="1694815"/>
                    </a:xfrm>
                    <a:prstGeom prst="rect">
                      <a:avLst/>
                    </a:prstGeom>
                    <a:noFill/>
                  </pic:spPr>
                </pic:pic>
              </a:graphicData>
            </a:graphic>
          </wp:inline>
        </w:drawing>
      </w:r>
      <w:r w:rsidR="00095ED9" w:rsidRPr="00095ED9">
        <w:rPr>
          <w:rFonts w:ascii="Times New Roman" w:hAnsi="Times New Roman"/>
          <w:noProof/>
          <w:sz w:val="20"/>
          <w:szCs w:val="20"/>
          <w:lang w:bidi="ar-SA"/>
        </w:rPr>
        <w:drawing>
          <wp:inline distT="0" distB="0" distL="0" distR="0" wp14:anchorId="6CFC3AAF" wp14:editId="23643380">
            <wp:extent cx="2627630" cy="169481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27630" cy="1694815"/>
                    </a:xfrm>
                    <a:prstGeom prst="rect">
                      <a:avLst/>
                    </a:prstGeom>
                    <a:noFill/>
                  </pic:spPr>
                </pic:pic>
              </a:graphicData>
            </a:graphic>
          </wp:inline>
        </w:drawing>
      </w:r>
    </w:p>
    <w:p w:rsidR="00095ED9" w:rsidRPr="00095ED9" w:rsidRDefault="00095ED9" w:rsidP="00095ED9">
      <w:pPr>
        <w:spacing w:after="0" w:line="240" w:lineRule="auto"/>
        <w:jc w:val="both"/>
        <w:outlineLvl w:val="0"/>
        <w:rPr>
          <w:rFonts w:ascii="Times New Roman" w:hAnsi="Times New Roman"/>
          <w:sz w:val="20"/>
          <w:szCs w:val="20"/>
        </w:rPr>
      </w:pPr>
    </w:p>
    <w:p w:rsidR="00095ED9" w:rsidRPr="00095ED9" w:rsidRDefault="00095ED9" w:rsidP="00095ED9">
      <w:pPr>
        <w:spacing w:after="0" w:line="240" w:lineRule="auto"/>
        <w:ind w:left="851" w:hanging="851"/>
        <w:jc w:val="both"/>
        <w:outlineLvl w:val="0"/>
        <w:rPr>
          <w:rFonts w:ascii="Times New Roman" w:hAnsi="Times New Roman"/>
          <w:sz w:val="20"/>
          <w:szCs w:val="20"/>
        </w:rPr>
      </w:pPr>
      <w:r w:rsidRPr="00095ED9">
        <w:rPr>
          <w:rFonts w:ascii="Times New Roman" w:hAnsi="Times New Roman"/>
          <w:sz w:val="20"/>
          <w:szCs w:val="20"/>
        </w:rPr>
        <w:t xml:space="preserve">Figure 2. </w:t>
      </w:r>
      <w:r w:rsidR="00E42CB9">
        <w:rPr>
          <w:rFonts w:ascii="Times New Roman" w:hAnsi="Times New Roman"/>
          <w:sz w:val="20"/>
          <w:szCs w:val="20"/>
        </w:rPr>
        <w:tab/>
      </w:r>
      <w:r w:rsidRPr="00095ED9">
        <w:rPr>
          <w:rFonts w:ascii="Times New Roman" w:hAnsi="Times New Roman"/>
          <w:sz w:val="20"/>
          <w:szCs w:val="20"/>
        </w:rPr>
        <w:t xml:space="preserve">Voltage production in open and close circuit conditions (a) the open circuit voltage (OCV) profile and (b) shows the closed-circuit settings with 1000 Ohm as the resistant applied </w:t>
      </w:r>
    </w:p>
    <w:p w:rsidR="00095ED9" w:rsidRDefault="00095ED9" w:rsidP="00095ED9">
      <w:pPr>
        <w:spacing w:after="0" w:line="240" w:lineRule="auto"/>
        <w:jc w:val="both"/>
        <w:outlineLvl w:val="0"/>
        <w:rPr>
          <w:rFonts w:ascii="Times New Roman" w:hAnsi="Times New Roman"/>
          <w:sz w:val="20"/>
          <w:szCs w:val="20"/>
        </w:rPr>
      </w:pPr>
    </w:p>
    <w:p w:rsidR="00E42CB9" w:rsidRPr="00095ED9" w:rsidRDefault="00E42CB9" w:rsidP="00095ED9">
      <w:pPr>
        <w:spacing w:after="0" w:line="240" w:lineRule="auto"/>
        <w:jc w:val="both"/>
        <w:outlineLvl w:val="0"/>
        <w:rPr>
          <w:rFonts w:ascii="Times New Roman" w:hAnsi="Times New Roman"/>
          <w:sz w:val="20"/>
          <w:szCs w:val="20"/>
        </w:rPr>
      </w:pPr>
    </w:p>
    <w:p w:rsidR="00095ED9" w:rsidRPr="00095ED9" w:rsidRDefault="00095ED9" w:rsidP="00095ED9">
      <w:pPr>
        <w:spacing w:after="0" w:line="240" w:lineRule="auto"/>
        <w:jc w:val="both"/>
        <w:outlineLvl w:val="0"/>
        <w:rPr>
          <w:rFonts w:ascii="Times New Roman" w:hAnsi="Times New Roman"/>
          <w:b/>
          <w:bCs/>
          <w:sz w:val="20"/>
          <w:szCs w:val="20"/>
        </w:rPr>
      </w:pPr>
      <w:r w:rsidRPr="00095ED9">
        <w:rPr>
          <w:rFonts w:ascii="Times New Roman" w:hAnsi="Times New Roman"/>
          <w:b/>
          <w:bCs/>
          <w:sz w:val="20"/>
          <w:szCs w:val="20"/>
        </w:rPr>
        <w:t>Closed circuit voltage</w:t>
      </w:r>
    </w:p>
    <w:p w:rsidR="00095ED9" w:rsidRPr="00095ED9" w:rsidRDefault="00095ED9" w:rsidP="00095ED9">
      <w:pPr>
        <w:spacing w:after="0" w:line="240" w:lineRule="auto"/>
        <w:jc w:val="both"/>
        <w:outlineLvl w:val="0"/>
        <w:rPr>
          <w:rFonts w:ascii="Times New Roman" w:hAnsi="Times New Roman"/>
          <w:sz w:val="20"/>
          <w:szCs w:val="20"/>
        </w:rPr>
      </w:pPr>
      <w:r w:rsidRPr="00095ED9">
        <w:rPr>
          <w:rFonts w:ascii="Times New Roman" w:hAnsi="Times New Roman"/>
          <w:sz w:val="20"/>
          <w:szCs w:val="20"/>
        </w:rPr>
        <w:t>The presence of load or resistant, at 1000 Ohm showed a rapid voltage drop (from 0.3 V to approximately 0.1 V) using the mixed culture which an indication of higher current densities produced (based on Ohm’s Law) with maximum average calculated value of 0.2 ± 0.017 mA. In contrast, more stable voltage was activated after approximately 5 hours, mainly after large internal resistant and external resistant were equal [13]. It was reported previously more than 50% glucose carbon was discharged as carbon dioxide gas, acetate and various soluble products [14]. Meanwhile, it was also reported that the glucose metabolism within the fuel cell was a combination of both aerobic and anaerobic conditions which also means that the varieties of ionic components produced would probably lead to high internal resistance [12, 13, 14]. However, to synthesize the true source of high internal resistance that occurs in a particular MFC, further comparison in terms of type of membranes, electrolyte used and electrodes type should be conducted [15].</w:t>
      </w:r>
    </w:p>
    <w:p w:rsidR="00095ED9" w:rsidRPr="00095ED9" w:rsidRDefault="00095ED9" w:rsidP="00095ED9">
      <w:pPr>
        <w:spacing w:after="0" w:line="240" w:lineRule="auto"/>
        <w:jc w:val="both"/>
        <w:outlineLvl w:val="0"/>
        <w:rPr>
          <w:rFonts w:ascii="Times New Roman" w:hAnsi="Times New Roman"/>
          <w:sz w:val="20"/>
          <w:szCs w:val="20"/>
        </w:rPr>
      </w:pPr>
    </w:p>
    <w:p w:rsidR="00095ED9" w:rsidRPr="00095ED9" w:rsidRDefault="00095ED9" w:rsidP="00095ED9">
      <w:pPr>
        <w:spacing w:after="0" w:line="240" w:lineRule="auto"/>
        <w:jc w:val="both"/>
        <w:outlineLvl w:val="0"/>
        <w:rPr>
          <w:rFonts w:ascii="Times New Roman" w:hAnsi="Times New Roman"/>
          <w:sz w:val="20"/>
          <w:szCs w:val="20"/>
        </w:rPr>
      </w:pPr>
      <w:r w:rsidRPr="00095ED9">
        <w:rPr>
          <w:rFonts w:ascii="Times New Roman" w:hAnsi="Times New Roman"/>
          <w:sz w:val="20"/>
          <w:szCs w:val="20"/>
        </w:rPr>
        <w:t>Meanwhile, Table 1 shows comparison of some established lab-scale MFC with the present tested MFC. Based on calculation, the presence dual chambered MFC for mixed culture used produced approximately 0.1 Wm</w:t>
      </w:r>
      <w:r w:rsidRPr="00095ED9">
        <w:rPr>
          <w:rFonts w:ascii="Times New Roman" w:hAnsi="Times New Roman"/>
          <w:sz w:val="20"/>
          <w:szCs w:val="20"/>
          <w:vertAlign w:val="superscript"/>
        </w:rPr>
        <w:t>-2</w:t>
      </w:r>
      <w:r w:rsidRPr="00095ED9">
        <w:rPr>
          <w:rFonts w:ascii="Times New Roman" w:hAnsi="Times New Roman"/>
          <w:sz w:val="20"/>
          <w:szCs w:val="20"/>
        </w:rPr>
        <w:t xml:space="preserve">. The power density obtained was comparable to most sugar-based MFC but the differences in value are due to different materials of electrodes, the microbes used and independent design (anode surface area, volume, etc.) [16] which influence the performance of the MFC. </w:t>
      </w:r>
    </w:p>
    <w:p w:rsidR="00095ED9" w:rsidRDefault="00095ED9" w:rsidP="00095ED9">
      <w:pPr>
        <w:spacing w:after="0" w:line="240" w:lineRule="auto"/>
        <w:jc w:val="both"/>
        <w:outlineLvl w:val="0"/>
        <w:rPr>
          <w:rFonts w:ascii="Times New Roman" w:hAnsi="Times New Roman"/>
          <w:sz w:val="20"/>
          <w:szCs w:val="20"/>
        </w:rPr>
      </w:pPr>
      <w:r w:rsidRPr="00095ED9">
        <w:rPr>
          <w:rFonts w:ascii="Times New Roman" w:hAnsi="Times New Roman"/>
          <w:sz w:val="20"/>
          <w:szCs w:val="20"/>
        </w:rPr>
        <w:t xml:space="preserve"> </w:t>
      </w:r>
    </w:p>
    <w:p w:rsidR="00E42CB9" w:rsidRPr="00095ED9" w:rsidRDefault="00E42CB9" w:rsidP="00095ED9">
      <w:pPr>
        <w:spacing w:after="0" w:line="240" w:lineRule="auto"/>
        <w:jc w:val="both"/>
        <w:outlineLvl w:val="0"/>
        <w:rPr>
          <w:rFonts w:ascii="Times New Roman" w:hAnsi="Times New Roman"/>
          <w:sz w:val="20"/>
          <w:szCs w:val="20"/>
        </w:rPr>
      </w:pPr>
    </w:p>
    <w:p w:rsidR="00095ED9" w:rsidRPr="00095ED9" w:rsidRDefault="00095ED9" w:rsidP="00E42CB9">
      <w:pPr>
        <w:spacing w:after="120" w:line="240" w:lineRule="auto"/>
        <w:jc w:val="center"/>
        <w:outlineLvl w:val="0"/>
        <w:rPr>
          <w:rFonts w:ascii="Times New Roman" w:hAnsi="Times New Roman"/>
          <w:sz w:val="20"/>
          <w:szCs w:val="20"/>
        </w:rPr>
      </w:pPr>
      <w:r w:rsidRPr="00095ED9">
        <w:rPr>
          <w:rFonts w:ascii="Times New Roman" w:hAnsi="Times New Roman"/>
          <w:sz w:val="20"/>
          <w:szCs w:val="20"/>
        </w:rPr>
        <w:t xml:space="preserve">Table 1. </w:t>
      </w:r>
      <w:r w:rsidR="00E42CB9">
        <w:rPr>
          <w:rFonts w:ascii="Times New Roman" w:hAnsi="Times New Roman"/>
          <w:sz w:val="20"/>
          <w:szCs w:val="20"/>
        </w:rPr>
        <w:t xml:space="preserve"> </w:t>
      </w:r>
      <w:r w:rsidRPr="00095ED9">
        <w:rPr>
          <w:rFonts w:ascii="Times New Roman" w:hAnsi="Times New Roman"/>
          <w:sz w:val="20"/>
          <w:szCs w:val="20"/>
        </w:rPr>
        <w:t>Comparison of different studies of sugar-based MFC</w:t>
      </w:r>
    </w:p>
    <w:tbl>
      <w:tblPr>
        <w:tblStyle w:val="TableGrid"/>
        <w:tblW w:w="0" w:type="auto"/>
        <w:jc w:val="center"/>
        <w:tblLook w:val="04A0" w:firstRow="1" w:lastRow="0" w:firstColumn="1" w:lastColumn="0" w:noHBand="0" w:noVBand="1"/>
      </w:tblPr>
      <w:tblGrid>
        <w:gridCol w:w="1372"/>
        <w:gridCol w:w="1705"/>
        <w:gridCol w:w="1094"/>
        <w:gridCol w:w="825"/>
        <w:gridCol w:w="1288"/>
      </w:tblGrid>
      <w:tr w:rsidR="00095ED9" w:rsidRPr="00095ED9" w:rsidTr="00130A58">
        <w:trPr>
          <w:jc w:val="center"/>
        </w:trPr>
        <w:tc>
          <w:tcPr>
            <w:tcW w:w="0" w:type="auto"/>
            <w:tcBorders>
              <w:top w:val="single" w:sz="4" w:space="0" w:color="auto"/>
              <w:left w:val="nil"/>
              <w:bottom w:val="single" w:sz="4" w:space="0" w:color="auto"/>
              <w:right w:val="nil"/>
            </w:tcBorders>
            <w:shd w:val="clear" w:color="auto" w:fill="auto"/>
          </w:tcPr>
          <w:p w:rsidR="00095ED9" w:rsidRPr="00095ED9" w:rsidRDefault="00095ED9" w:rsidP="00E42CB9">
            <w:pPr>
              <w:spacing w:before="60" w:after="0" w:line="240" w:lineRule="auto"/>
              <w:jc w:val="both"/>
              <w:outlineLvl w:val="0"/>
              <w:rPr>
                <w:rFonts w:ascii="Times New Roman" w:hAnsi="Times New Roman" w:cs="Times New Roman"/>
                <w:b/>
                <w:sz w:val="20"/>
                <w:szCs w:val="20"/>
                <w:lang w:val="en-MY"/>
              </w:rPr>
            </w:pPr>
            <w:r w:rsidRPr="00095ED9">
              <w:rPr>
                <w:rFonts w:ascii="Times New Roman" w:hAnsi="Times New Roman" w:cs="Times New Roman"/>
                <w:b/>
                <w:sz w:val="20"/>
                <w:szCs w:val="20"/>
                <w:lang w:val="en-MY"/>
              </w:rPr>
              <w:t>Type of MFC</w:t>
            </w:r>
          </w:p>
        </w:tc>
        <w:tc>
          <w:tcPr>
            <w:tcW w:w="0" w:type="auto"/>
            <w:tcBorders>
              <w:top w:val="single" w:sz="4" w:space="0" w:color="auto"/>
              <w:left w:val="nil"/>
              <w:bottom w:val="single" w:sz="4" w:space="0" w:color="auto"/>
              <w:right w:val="nil"/>
            </w:tcBorders>
            <w:shd w:val="clear" w:color="auto" w:fill="auto"/>
          </w:tcPr>
          <w:p w:rsidR="00095ED9" w:rsidRPr="00095ED9" w:rsidRDefault="00095ED9" w:rsidP="00E42CB9">
            <w:pPr>
              <w:spacing w:before="60" w:after="0" w:line="240" w:lineRule="auto"/>
              <w:jc w:val="both"/>
              <w:outlineLvl w:val="0"/>
              <w:rPr>
                <w:rFonts w:ascii="Times New Roman" w:hAnsi="Times New Roman" w:cs="Times New Roman"/>
                <w:b/>
                <w:sz w:val="20"/>
                <w:szCs w:val="20"/>
                <w:lang w:val="en-MY"/>
              </w:rPr>
            </w:pPr>
            <w:r w:rsidRPr="00095ED9">
              <w:rPr>
                <w:rFonts w:ascii="Times New Roman" w:hAnsi="Times New Roman" w:cs="Times New Roman"/>
                <w:b/>
                <w:sz w:val="20"/>
                <w:szCs w:val="20"/>
                <w:lang w:val="en-MY"/>
              </w:rPr>
              <w:t>Substrate or Fuel</w:t>
            </w:r>
          </w:p>
        </w:tc>
        <w:tc>
          <w:tcPr>
            <w:tcW w:w="0" w:type="auto"/>
            <w:tcBorders>
              <w:top w:val="single" w:sz="4" w:space="0" w:color="auto"/>
              <w:left w:val="nil"/>
              <w:bottom w:val="single" w:sz="4" w:space="0" w:color="auto"/>
              <w:right w:val="nil"/>
            </w:tcBorders>
            <w:shd w:val="clear" w:color="auto" w:fill="auto"/>
          </w:tcPr>
          <w:p w:rsidR="00095ED9" w:rsidRPr="00095ED9" w:rsidRDefault="00095ED9" w:rsidP="00E42CB9">
            <w:pPr>
              <w:spacing w:before="60" w:after="0" w:line="240" w:lineRule="auto"/>
              <w:jc w:val="both"/>
              <w:outlineLvl w:val="0"/>
              <w:rPr>
                <w:rFonts w:ascii="Times New Roman" w:hAnsi="Times New Roman" w:cs="Times New Roman"/>
                <w:b/>
                <w:sz w:val="20"/>
                <w:szCs w:val="20"/>
                <w:lang w:val="en-MY"/>
              </w:rPr>
            </w:pPr>
            <w:r w:rsidRPr="00095ED9">
              <w:rPr>
                <w:rFonts w:ascii="Times New Roman" w:hAnsi="Times New Roman" w:cs="Times New Roman"/>
                <w:b/>
                <w:sz w:val="20"/>
                <w:szCs w:val="20"/>
                <w:lang w:val="en-MY"/>
              </w:rPr>
              <w:t xml:space="preserve">Mode of </w:t>
            </w:r>
          </w:p>
          <w:p w:rsidR="00095ED9" w:rsidRPr="00095ED9" w:rsidRDefault="00095ED9" w:rsidP="00095ED9">
            <w:pPr>
              <w:spacing w:after="0" w:line="240" w:lineRule="auto"/>
              <w:jc w:val="both"/>
              <w:outlineLvl w:val="0"/>
              <w:rPr>
                <w:rFonts w:ascii="Times New Roman" w:hAnsi="Times New Roman" w:cs="Times New Roman"/>
                <w:b/>
                <w:sz w:val="20"/>
                <w:szCs w:val="20"/>
                <w:lang w:val="en-MY"/>
              </w:rPr>
            </w:pPr>
            <w:r w:rsidRPr="00095ED9">
              <w:rPr>
                <w:rFonts w:ascii="Times New Roman" w:hAnsi="Times New Roman" w:cs="Times New Roman"/>
                <w:b/>
                <w:sz w:val="20"/>
                <w:szCs w:val="20"/>
                <w:lang w:val="en-MY"/>
              </w:rPr>
              <w:t>Operation</w:t>
            </w:r>
          </w:p>
        </w:tc>
        <w:tc>
          <w:tcPr>
            <w:tcW w:w="0" w:type="auto"/>
            <w:tcBorders>
              <w:top w:val="single" w:sz="4" w:space="0" w:color="auto"/>
              <w:left w:val="nil"/>
              <w:bottom w:val="single" w:sz="4" w:space="0" w:color="auto"/>
              <w:right w:val="nil"/>
            </w:tcBorders>
            <w:shd w:val="clear" w:color="auto" w:fill="auto"/>
          </w:tcPr>
          <w:p w:rsidR="00095ED9" w:rsidRPr="00095ED9" w:rsidRDefault="00095ED9" w:rsidP="00E42CB9">
            <w:pPr>
              <w:spacing w:before="60" w:after="0" w:line="240" w:lineRule="auto"/>
              <w:jc w:val="center"/>
              <w:outlineLvl w:val="0"/>
              <w:rPr>
                <w:rFonts w:ascii="Times New Roman" w:hAnsi="Times New Roman" w:cs="Times New Roman"/>
                <w:b/>
                <w:sz w:val="20"/>
                <w:szCs w:val="20"/>
                <w:lang w:val="en-MY"/>
              </w:rPr>
            </w:pPr>
            <w:r w:rsidRPr="00095ED9">
              <w:rPr>
                <w:rFonts w:ascii="Times New Roman" w:hAnsi="Times New Roman" w:cs="Times New Roman"/>
                <w:b/>
                <w:sz w:val="20"/>
                <w:szCs w:val="20"/>
                <w:lang w:val="en-MY"/>
              </w:rPr>
              <w:t>Power</w:t>
            </w:r>
          </w:p>
          <w:p w:rsidR="00095ED9" w:rsidRPr="00095ED9" w:rsidRDefault="00095ED9" w:rsidP="00E42CB9">
            <w:pPr>
              <w:spacing w:after="60" w:line="240" w:lineRule="auto"/>
              <w:jc w:val="center"/>
              <w:outlineLvl w:val="0"/>
              <w:rPr>
                <w:rFonts w:ascii="Times New Roman" w:hAnsi="Times New Roman" w:cs="Times New Roman"/>
                <w:b/>
                <w:sz w:val="20"/>
                <w:szCs w:val="20"/>
                <w:lang w:val="en-MY"/>
              </w:rPr>
            </w:pPr>
            <w:r w:rsidRPr="00095ED9">
              <w:rPr>
                <w:rFonts w:ascii="Times New Roman" w:hAnsi="Times New Roman" w:cs="Times New Roman"/>
                <w:b/>
                <w:sz w:val="20"/>
                <w:szCs w:val="20"/>
                <w:lang w:val="en-MY"/>
              </w:rPr>
              <w:t>(Wm</w:t>
            </w:r>
            <w:r w:rsidRPr="00095ED9">
              <w:rPr>
                <w:rFonts w:ascii="Times New Roman" w:hAnsi="Times New Roman" w:cs="Times New Roman"/>
                <w:b/>
                <w:sz w:val="20"/>
                <w:szCs w:val="20"/>
                <w:vertAlign w:val="superscript"/>
                <w:lang w:val="en-MY"/>
              </w:rPr>
              <w:t>-2</w:t>
            </w:r>
            <w:r w:rsidRPr="00095ED9">
              <w:rPr>
                <w:rFonts w:ascii="Times New Roman" w:hAnsi="Times New Roman" w:cs="Times New Roman"/>
                <w:b/>
                <w:sz w:val="20"/>
                <w:szCs w:val="20"/>
                <w:lang w:val="en-MY"/>
              </w:rPr>
              <w:t>)</w:t>
            </w:r>
          </w:p>
        </w:tc>
        <w:tc>
          <w:tcPr>
            <w:tcW w:w="0" w:type="auto"/>
            <w:tcBorders>
              <w:top w:val="single" w:sz="4" w:space="0" w:color="auto"/>
              <w:left w:val="nil"/>
              <w:bottom w:val="single" w:sz="4" w:space="0" w:color="auto"/>
              <w:right w:val="nil"/>
            </w:tcBorders>
            <w:shd w:val="clear" w:color="auto" w:fill="auto"/>
          </w:tcPr>
          <w:p w:rsidR="00095ED9" w:rsidRPr="00095ED9" w:rsidRDefault="00095ED9" w:rsidP="00E42CB9">
            <w:pPr>
              <w:spacing w:before="60" w:after="0" w:line="240" w:lineRule="auto"/>
              <w:jc w:val="both"/>
              <w:outlineLvl w:val="0"/>
              <w:rPr>
                <w:rFonts w:ascii="Times New Roman" w:hAnsi="Times New Roman" w:cs="Times New Roman"/>
                <w:b/>
                <w:sz w:val="20"/>
                <w:szCs w:val="20"/>
                <w:lang w:val="en-MY"/>
              </w:rPr>
            </w:pPr>
            <w:r w:rsidRPr="00095ED9">
              <w:rPr>
                <w:rFonts w:ascii="Times New Roman" w:hAnsi="Times New Roman" w:cs="Times New Roman"/>
                <w:b/>
                <w:sz w:val="20"/>
                <w:szCs w:val="20"/>
                <w:lang w:val="en-MY"/>
              </w:rPr>
              <w:t>References</w:t>
            </w:r>
          </w:p>
        </w:tc>
      </w:tr>
      <w:tr w:rsidR="00095ED9" w:rsidRPr="00095ED9" w:rsidTr="00130A58">
        <w:trPr>
          <w:jc w:val="center"/>
        </w:trPr>
        <w:tc>
          <w:tcPr>
            <w:tcW w:w="0" w:type="auto"/>
            <w:tcBorders>
              <w:top w:val="single" w:sz="4" w:space="0" w:color="auto"/>
              <w:left w:val="nil"/>
              <w:bottom w:val="nil"/>
              <w:right w:val="nil"/>
            </w:tcBorders>
          </w:tcPr>
          <w:p w:rsidR="00095ED9" w:rsidRPr="00095ED9" w:rsidRDefault="00095ED9" w:rsidP="00E42CB9">
            <w:pPr>
              <w:spacing w:before="60" w:after="0" w:line="240" w:lineRule="auto"/>
              <w:jc w:val="both"/>
              <w:outlineLvl w:val="0"/>
              <w:rPr>
                <w:rFonts w:ascii="Times New Roman" w:hAnsi="Times New Roman" w:cs="Times New Roman"/>
                <w:sz w:val="20"/>
                <w:szCs w:val="20"/>
                <w:lang w:val="en-MY"/>
              </w:rPr>
            </w:pPr>
            <w:r w:rsidRPr="00095ED9">
              <w:rPr>
                <w:rFonts w:ascii="Times New Roman" w:hAnsi="Times New Roman" w:cs="Times New Roman"/>
                <w:sz w:val="20"/>
                <w:szCs w:val="20"/>
                <w:lang w:val="en-MY"/>
              </w:rPr>
              <w:t>Dual chamber</w:t>
            </w:r>
          </w:p>
        </w:tc>
        <w:tc>
          <w:tcPr>
            <w:tcW w:w="0" w:type="auto"/>
            <w:tcBorders>
              <w:top w:val="single" w:sz="4" w:space="0" w:color="auto"/>
              <w:left w:val="nil"/>
              <w:bottom w:val="nil"/>
              <w:right w:val="nil"/>
            </w:tcBorders>
          </w:tcPr>
          <w:p w:rsidR="00095ED9" w:rsidRPr="00095ED9" w:rsidRDefault="00095ED9" w:rsidP="00E42CB9">
            <w:pPr>
              <w:spacing w:before="60" w:after="0" w:line="240" w:lineRule="auto"/>
              <w:jc w:val="both"/>
              <w:outlineLvl w:val="0"/>
              <w:rPr>
                <w:rFonts w:ascii="Times New Roman" w:hAnsi="Times New Roman" w:cs="Times New Roman"/>
                <w:sz w:val="20"/>
                <w:szCs w:val="20"/>
                <w:lang w:val="en-MY"/>
              </w:rPr>
            </w:pPr>
            <w:r w:rsidRPr="00095ED9">
              <w:rPr>
                <w:rFonts w:ascii="Times New Roman" w:hAnsi="Times New Roman" w:cs="Times New Roman"/>
                <w:sz w:val="20"/>
                <w:szCs w:val="20"/>
                <w:lang w:val="en-MY"/>
              </w:rPr>
              <w:t>Date syrup</w:t>
            </w:r>
          </w:p>
        </w:tc>
        <w:tc>
          <w:tcPr>
            <w:tcW w:w="0" w:type="auto"/>
            <w:tcBorders>
              <w:top w:val="single" w:sz="4" w:space="0" w:color="auto"/>
              <w:left w:val="nil"/>
              <w:bottom w:val="nil"/>
              <w:right w:val="nil"/>
            </w:tcBorders>
          </w:tcPr>
          <w:p w:rsidR="00095ED9" w:rsidRPr="00095ED9" w:rsidRDefault="00095ED9" w:rsidP="00E42CB9">
            <w:pPr>
              <w:spacing w:before="60" w:after="0" w:line="240" w:lineRule="auto"/>
              <w:jc w:val="both"/>
              <w:outlineLvl w:val="0"/>
              <w:rPr>
                <w:rFonts w:ascii="Times New Roman" w:hAnsi="Times New Roman" w:cs="Times New Roman"/>
                <w:sz w:val="20"/>
                <w:szCs w:val="20"/>
                <w:lang w:val="en-MY"/>
              </w:rPr>
            </w:pPr>
            <w:r w:rsidRPr="00095ED9">
              <w:rPr>
                <w:rFonts w:ascii="Times New Roman" w:hAnsi="Times New Roman" w:cs="Times New Roman"/>
                <w:sz w:val="20"/>
                <w:szCs w:val="20"/>
                <w:lang w:val="en-MY"/>
              </w:rPr>
              <w:t>Batch</w:t>
            </w:r>
          </w:p>
        </w:tc>
        <w:tc>
          <w:tcPr>
            <w:tcW w:w="0" w:type="auto"/>
            <w:tcBorders>
              <w:top w:val="single" w:sz="4" w:space="0" w:color="auto"/>
              <w:left w:val="nil"/>
              <w:bottom w:val="nil"/>
              <w:right w:val="nil"/>
            </w:tcBorders>
          </w:tcPr>
          <w:p w:rsidR="00095ED9" w:rsidRPr="00095ED9" w:rsidRDefault="00095ED9" w:rsidP="00E42CB9">
            <w:pPr>
              <w:spacing w:before="60" w:after="0" w:line="240" w:lineRule="auto"/>
              <w:jc w:val="center"/>
              <w:outlineLvl w:val="0"/>
              <w:rPr>
                <w:rFonts w:ascii="Times New Roman" w:hAnsi="Times New Roman" w:cs="Times New Roman"/>
                <w:sz w:val="20"/>
                <w:szCs w:val="20"/>
                <w:lang w:val="en-MY"/>
              </w:rPr>
            </w:pPr>
            <w:r w:rsidRPr="00095ED9">
              <w:rPr>
                <w:rFonts w:ascii="Times New Roman" w:hAnsi="Times New Roman" w:cs="Times New Roman"/>
                <w:sz w:val="20"/>
                <w:szCs w:val="20"/>
                <w:lang w:val="en-MY"/>
              </w:rPr>
              <w:t>0.065</w:t>
            </w:r>
          </w:p>
        </w:tc>
        <w:tc>
          <w:tcPr>
            <w:tcW w:w="0" w:type="auto"/>
            <w:tcBorders>
              <w:top w:val="single" w:sz="4" w:space="0" w:color="auto"/>
              <w:left w:val="nil"/>
              <w:bottom w:val="nil"/>
              <w:right w:val="nil"/>
            </w:tcBorders>
          </w:tcPr>
          <w:p w:rsidR="00095ED9" w:rsidRPr="00095ED9" w:rsidRDefault="00095ED9" w:rsidP="00E42CB9">
            <w:pPr>
              <w:spacing w:before="60" w:after="0" w:line="240" w:lineRule="auto"/>
              <w:jc w:val="both"/>
              <w:outlineLvl w:val="0"/>
              <w:rPr>
                <w:rFonts w:ascii="Times New Roman" w:hAnsi="Times New Roman" w:cs="Times New Roman"/>
                <w:sz w:val="20"/>
                <w:szCs w:val="20"/>
                <w:lang w:val="en-MY"/>
              </w:rPr>
            </w:pPr>
            <w:r w:rsidRPr="00095ED9">
              <w:rPr>
                <w:rFonts w:ascii="Times New Roman" w:hAnsi="Times New Roman" w:cs="Times New Roman"/>
                <w:sz w:val="20"/>
                <w:szCs w:val="20"/>
                <w:lang w:val="en-MY"/>
              </w:rPr>
              <w:t>[17]</w:t>
            </w:r>
          </w:p>
        </w:tc>
      </w:tr>
      <w:tr w:rsidR="00095ED9" w:rsidRPr="00095ED9" w:rsidTr="00130A58">
        <w:trPr>
          <w:jc w:val="center"/>
        </w:trPr>
        <w:tc>
          <w:tcPr>
            <w:tcW w:w="0" w:type="auto"/>
            <w:tcBorders>
              <w:top w:val="nil"/>
              <w:left w:val="nil"/>
              <w:bottom w:val="nil"/>
              <w:right w:val="nil"/>
            </w:tcBorders>
          </w:tcPr>
          <w:p w:rsidR="00095ED9" w:rsidRPr="00095ED9" w:rsidRDefault="00095ED9" w:rsidP="00E42CB9">
            <w:pPr>
              <w:spacing w:before="60" w:after="0" w:line="240" w:lineRule="auto"/>
              <w:jc w:val="both"/>
              <w:outlineLvl w:val="0"/>
              <w:rPr>
                <w:rFonts w:ascii="Times New Roman" w:hAnsi="Times New Roman" w:cs="Times New Roman"/>
                <w:sz w:val="20"/>
                <w:szCs w:val="20"/>
                <w:lang w:val="en-MY"/>
              </w:rPr>
            </w:pPr>
            <w:r w:rsidRPr="00095ED9">
              <w:rPr>
                <w:rFonts w:ascii="Times New Roman" w:hAnsi="Times New Roman" w:cs="Times New Roman"/>
                <w:sz w:val="20"/>
                <w:szCs w:val="20"/>
                <w:lang w:val="en-MY"/>
              </w:rPr>
              <w:t xml:space="preserve">Dual chamber </w:t>
            </w:r>
          </w:p>
        </w:tc>
        <w:tc>
          <w:tcPr>
            <w:tcW w:w="0" w:type="auto"/>
            <w:tcBorders>
              <w:top w:val="nil"/>
              <w:left w:val="nil"/>
              <w:bottom w:val="nil"/>
              <w:right w:val="nil"/>
            </w:tcBorders>
          </w:tcPr>
          <w:p w:rsidR="00095ED9" w:rsidRPr="00095ED9" w:rsidRDefault="00095ED9" w:rsidP="00E42CB9">
            <w:pPr>
              <w:spacing w:before="60" w:after="0" w:line="240" w:lineRule="auto"/>
              <w:jc w:val="both"/>
              <w:outlineLvl w:val="0"/>
              <w:rPr>
                <w:rFonts w:ascii="Times New Roman" w:hAnsi="Times New Roman" w:cs="Times New Roman"/>
                <w:sz w:val="20"/>
                <w:szCs w:val="20"/>
                <w:lang w:val="en-MY"/>
              </w:rPr>
            </w:pPr>
            <w:r w:rsidRPr="00095ED9">
              <w:rPr>
                <w:rFonts w:ascii="Times New Roman" w:hAnsi="Times New Roman" w:cs="Times New Roman"/>
                <w:sz w:val="20"/>
                <w:szCs w:val="20"/>
                <w:lang w:val="en-MY"/>
              </w:rPr>
              <w:t>Date syrup</w:t>
            </w:r>
          </w:p>
        </w:tc>
        <w:tc>
          <w:tcPr>
            <w:tcW w:w="0" w:type="auto"/>
            <w:tcBorders>
              <w:top w:val="nil"/>
              <w:left w:val="nil"/>
              <w:bottom w:val="nil"/>
              <w:right w:val="nil"/>
            </w:tcBorders>
          </w:tcPr>
          <w:p w:rsidR="00095ED9" w:rsidRPr="00095ED9" w:rsidRDefault="00095ED9" w:rsidP="00E42CB9">
            <w:pPr>
              <w:spacing w:before="60" w:after="0" w:line="240" w:lineRule="auto"/>
              <w:jc w:val="both"/>
              <w:outlineLvl w:val="0"/>
              <w:rPr>
                <w:rFonts w:ascii="Times New Roman" w:hAnsi="Times New Roman" w:cs="Times New Roman"/>
                <w:sz w:val="20"/>
                <w:szCs w:val="20"/>
                <w:lang w:val="en-MY"/>
              </w:rPr>
            </w:pPr>
            <w:r w:rsidRPr="00095ED9">
              <w:rPr>
                <w:rFonts w:ascii="Times New Roman" w:hAnsi="Times New Roman" w:cs="Times New Roman"/>
                <w:sz w:val="20"/>
                <w:szCs w:val="20"/>
                <w:lang w:val="en-MY"/>
              </w:rPr>
              <w:t>Batch</w:t>
            </w:r>
          </w:p>
        </w:tc>
        <w:tc>
          <w:tcPr>
            <w:tcW w:w="0" w:type="auto"/>
            <w:tcBorders>
              <w:top w:val="nil"/>
              <w:left w:val="nil"/>
              <w:bottom w:val="nil"/>
              <w:right w:val="nil"/>
            </w:tcBorders>
          </w:tcPr>
          <w:p w:rsidR="00095ED9" w:rsidRPr="00095ED9" w:rsidRDefault="00095ED9" w:rsidP="00E42CB9">
            <w:pPr>
              <w:spacing w:before="60" w:after="0" w:line="240" w:lineRule="auto"/>
              <w:jc w:val="center"/>
              <w:outlineLvl w:val="0"/>
              <w:rPr>
                <w:rFonts w:ascii="Times New Roman" w:hAnsi="Times New Roman" w:cs="Times New Roman"/>
                <w:sz w:val="20"/>
                <w:szCs w:val="20"/>
                <w:lang w:val="en-MY"/>
              </w:rPr>
            </w:pPr>
            <w:r w:rsidRPr="00095ED9">
              <w:rPr>
                <w:rFonts w:ascii="Times New Roman" w:hAnsi="Times New Roman" w:cs="Times New Roman"/>
                <w:sz w:val="20"/>
                <w:szCs w:val="20"/>
                <w:lang w:val="en-MY"/>
              </w:rPr>
              <w:t>0.052</w:t>
            </w:r>
          </w:p>
        </w:tc>
        <w:tc>
          <w:tcPr>
            <w:tcW w:w="0" w:type="auto"/>
            <w:tcBorders>
              <w:top w:val="nil"/>
              <w:left w:val="nil"/>
              <w:bottom w:val="nil"/>
              <w:right w:val="nil"/>
            </w:tcBorders>
          </w:tcPr>
          <w:p w:rsidR="00095ED9" w:rsidRPr="00095ED9" w:rsidRDefault="00095ED9" w:rsidP="00E42CB9">
            <w:pPr>
              <w:spacing w:before="60" w:after="0" w:line="240" w:lineRule="auto"/>
              <w:jc w:val="both"/>
              <w:outlineLvl w:val="0"/>
              <w:rPr>
                <w:rFonts w:ascii="Times New Roman" w:hAnsi="Times New Roman" w:cs="Times New Roman"/>
                <w:sz w:val="20"/>
                <w:szCs w:val="20"/>
                <w:lang w:val="en-MY"/>
              </w:rPr>
            </w:pPr>
            <w:r w:rsidRPr="00095ED9">
              <w:rPr>
                <w:rFonts w:ascii="Times New Roman" w:hAnsi="Times New Roman" w:cs="Times New Roman"/>
                <w:sz w:val="20"/>
                <w:szCs w:val="20"/>
                <w:lang w:val="en-MY"/>
              </w:rPr>
              <w:t>[18]</w:t>
            </w:r>
          </w:p>
        </w:tc>
      </w:tr>
      <w:tr w:rsidR="00095ED9" w:rsidRPr="00095ED9" w:rsidTr="00130A58">
        <w:trPr>
          <w:jc w:val="center"/>
        </w:trPr>
        <w:tc>
          <w:tcPr>
            <w:tcW w:w="0" w:type="auto"/>
            <w:tcBorders>
              <w:top w:val="nil"/>
              <w:left w:val="nil"/>
              <w:bottom w:val="nil"/>
              <w:right w:val="nil"/>
            </w:tcBorders>
          </w:tcPr>
          <w:p w:rsidR="00095ED9" w:rsidRPr="00095ED9" w:rsidRDefault="00095ED9" w:rsidP="00E42CB9">
            <w:pPr>
              <w:spacing w:before="60" w:after="0" w:line="240" w:lineRule="auto"/>
              <w:jc w:val="both"/>
              <w:outlineLvl w:val="0"/>
              <w:rPr>
                <w:rFonts w:ascii="Times New Roman" w:hAnsi="Times New Roman" w:cs="Times New Roman"/>
                <w:sz w:val="20"/>
                <w:szCs w:val="20"/>
                <w:lang w:val="en-MY"/>
              </w:rPr>
            </w:pPr>
            <w:r w:rsidRPr="00095ED9">
              <w:rPr>
                <w:rFonts w:ascii="Times New Roman" w:hAnsi="Times New Roman" w:cs="Times New Roman"/>
                <w:sz w:val="20"/>
                <w:szCs w:val="20"/>
                <w:lang w:val="en-MY"/>
              </w:rPr>
              <w:t>Dual chamber</w:t>
            </w:r>
          </w:p>
        </w:tc>
        <w:tc>
          <w:tcPr>
            <w:tcW w:w="0" w:type="auto"/>
            <w:tcBorders>
              <w:top w:val="nil"/>
              <w:left w:val="nil"/>
              <w:bottom w:val="nil"/>
              <w:right w:val="nil"/>
            </w:tcBorders>
          </w:tcPr>
          <w:p w:rsidR="00095ED9" w:rsidRPr="00095ED9" w:rsidRDefault="00095ED9" w:rsidP="00E42CB9">
            <w:pPr>
              <w:spacing w:before="60" w:after="0" w:line="240" w:lineRule="auto"/>
              <w:jc w:val="both"/>
              <w:outlineLvl w:val="0"/>
              <w:rPr>
                <w:rFonts w:ascii="Times New Roman" w:hAnsi="Times New Roman" w:cs="Times New Roman"/>
                <w:sz w:val="20"/>
                <w:szCs w:val="20"/>
                <w:lang w:val="en-MY"/>
              </w:rPr>
            </w:pPr>
            <w:r w:rsidRPr="00095ED9">
              <w:rPr>
                <w:rFonts w:ascii="Times New Roman" w:hAnsi="Times New Roman" w:cs="Times New Roman"/>
                <w:sz w:val="20"/>
                <w:szCs w:val="20"/>
                <w:lang w:val="en-MY"/>
              </w:rPr>
              <w:t>Glucose</w:t>
            </w:r>
          </w:p>
        </w:tc>
        <w:tc>
          <w:tcPr>
            <w:tcW w:w="0" w:type="auto"/>
            <w:tcBorders>
              <w:top w:val="nil"/>
              <w:left w:val="nil"/>
              <w:bottom w:val="nil"/>
              <w:right w:val="nil"/>
            </w:tcBorders>
          </w:tcPr>
          <w:p w:rsidR="00095ED9" w:rsidRPr="00095ED9" w:rsidRDefault="00095ED9" w:rsidP="00E42CB9">
            <w:pPr>
              <w:spacing w:before="60" w:after="0" w:line="240" w:lineRule="auto"/>
              <w:jc w:val="both"/>
              <w:outlineLvl w:val="0"/>
              <w:rPr>
                <w:rFonts w:ascii="Times New Roman" w:hAnsi="Times New Roman" w:cs="Times New Roman"/>
                <w:sz w:val="20"/>
                <w:szCs w:val="20"/>
                <w:lang w:val="en-MY"/>
              </w:rPr>
            </w:pPr>
            <w:r w:rsidRPr="00095ED9">
              <w:rPr>
                <w:rFonts w:ascii="Times New Roman" w:hAnsi="Times New Roman" w:cs="Times New Roman"/>
                <w:sz w:val="20"/>
                <w:szCs w:val="20"/>
                <w:lang w:val="en-MY"/>
              </w:rPr>
              <w:t>Fed-batch</w:t>
            </w:r>
          </w:p>
        </w:tc>
        <w:tc>
          <w:tcPr>
            <w:tcW w:w="0" w:type="auto"/>
            <w:tcBorders>
              <w:top w:val="nil"/>
              <w:left w:val="nil"/>
              <w:bottom w:val="nil"/>
              <w:right w:val="nil"/>
            </w:tcBorders>
          </w:tcPr>
          <w:p w:rsidR="00095ED9" w:rsidRPr="00095ED9" w:rsidRDefault="00095ED9" w:rsidP="00E42CB9">
            <w:pPr>
              <w:spacing w:before="60" w:after="0" w:line="240" w:lineRule="auto"/>
              <w:jc w:val="center"/>
              <w:outlineLvl w:val="0"/>
              <w:rPr>
                <w:rFonts w:ascii="Times New Roman" w:hAnsi="Times New Roman" w:cs="Times New Roman"/>
                <w:sz w:val="20"/>
                <w:szCs w:val="20"/>
                <w:lang w:val="en-MY"/>
              </w:rPr>
            </w:pPr>
            <w:r w:rsidRPr="00095ED9">
              <w:rPr>
                <w:rFonts w:ascii="Times New Roman" w:hAnsi="Times New Roman" w:cs="Times New Roman"/>
                <w:sz w:val="20"/>
                <w:szCs w:val="20"/>
                <w:lang w:val="en-MY"/>
              </w:rPr>
              <w:t>3.6</w:t>
            </w:r>
          </w:p>
        </w:tc>
        <w:tc>
          <w:tcPr>
            <w:tcW w:w="0" w:type="auto"/>
            <w:tcBorders>
              <w:top w:val="nil"/>
              <w:left w:val="nil"/>
              <w:bottom w:val="nil"/>
              <w:right w:val="nil"/>
            </w:tcBorders>
          </w:tcPr>
          <w:p w:rsidR="00095ED9" w:rsidRPr="00095ED9" w:rsidRDefault="00095ED9" w:rsidP="00E42CB9">
            <w:pPr>
              <w:spacing w:before="60" w:after="0" w:line="240" w:lineRule="auto"/>
              <w:jc w:val="both"/>
              <w:outlineLvl w:val="0"/>
              <w:rPr>
                <w:rFonts w:ascii="Times New Roman" w:hAnsi="Times New Roman" w:cs="Times New Roman"/>
                <w:sz w:val="20"/>
                <w:szCs w:val="20"/>
                <w:lang w:val="en-MY"/>
              </w:rPr>
            </w:pPr>
            <w:r w:rsidRPr="00095ED9">
              <w:rPr>
                <w:rFonts w:ascii="Times New Roman" w:hAnsi="Times New Roman" w:cs="Times New Roman"/>
                <w:sz w:val="20"/>
                <w:szCs w:val="20"/>
                <w:lang w:val="en-MY"/>
              </w:rPr>
              <w:t>[19]</w:t>
            </w:r>
          </w:p>
        </w:tc>
      </w:tr>
      <w:tr w:rsidR="00095ED9" w:rsidRPr="00095ED9" w:rsidTr="00130A58">
        <w:trPr>
          <w:jc w:val="center"/>
        </w:trPr>
        <w:tc>
          <w:tcPr>
            <w:tcW w:w="0" w:type="auto"/>
            <w:tcBorders>
              <w:top w:val="nil"/>
              <w:left w:val="nil"/>
              <w:bottom w:val="single" w:sz="4" w:space="0" w:color="auto"/>
              <w:right w:val="nil"/>
            </w:tcBorders>
          </w:tcPr>
          <w:p w:rsidR="00095ED9" w:rsidRPr="00095ED9" w:rsidRDefault="00095ED9" w:rsidP="00E42CB9">
            <w:pPr>
              <w:spacing w:before="60" w:after="60" w:line="240" w:lineRule="auto"/>
              <w:jc w:val="both"/>
              <w:outlineLvl w:val="0"/>
              <w:rPr>
                <w:rFonts w:ascii="Times New Roman" w:hAnsi="Times New Roman" w:cs="Times New Roman"/>
                <w:sz w:val="20"/>
                <w:szCs w:val="20"/>
                <w:lang w:val="en-MY"/>
              </w:rPr>
            </w:pPr>
            <w:r w:rsidRPr="00095ED9">
              <w:rPr>
                <w:rFonts w:ascii="Times New Roman" w:hAnsi="Times New Roman" w:cs="Times New Roman"/>
                <w:sz w:val="20"/>
                <w:szCs w:val="20"/>
                <w:lang w:val="en-MY"/>
              </w:rPr>
              <w:t xml:space="preserve">Dual chamber </w:t>
            </w:r>
          </w:p>
        </w:tc>
        <w:tc>
          <w:tcPr>
            <w:tcW w:w="0" w:type="auto"/>
            <w:tcBorders>
              <w:top w:val="nil"/>
              <w:left w:val="nil"/>
              <w:bottom w:val="single" w:sz="4" w:space="0" w:color="auto"/>
              <w:right w:val="nil"/>
            </w:tcBorders>
          </w:tcPr>
          <w:p w:rsidR="00095ED9" w:rsidRPr="00095ED9" w:rsidRDefault="00095ED9" w:rsidP="00E42CB9">
            <w:pPr>
              <w:spacing w:before="60" w:after="60" w:line="240" w:lineRule="auto"/>
              <w:jc w:val="both"/>
              <w:outlineLvl w:val="0"/>
              <w:rPr>
                <w:rFonts w:ascii="Times New Roman" w:hAnsi="Times New Roman" w:cs="Times New Roman"/>
                <w:sz w:val="20"/>
                <w:szCs w:val="20"/>
                <w:lang w:val="en-MY"/>
              </w:rPr>
            </w:pPr>
            <w:r w:rsidRPr="00095ED9">
              <w:rPr>
                <w:rFonts w:ascii="Times New Roman" w:hAnsi="Times New Roman" w:cs="Times New Roman"/>
                <w:sz w:val="20"/>
                <w:szCs w:val="20"/>
                <w:lang w:val="en-MY"/>
              </w:rPr>
              <w:t>Glucose</w:t>
            </w:r>
          </w:p>
        </w:tc>
        <w:tc>
          <w:tcPr>
            <w:tcW w:w="0" w:type="auto"/>
            <w:tcBorders>
              <w:top w:val="nil"/>
              <w:left w:val="nil"/>
              <w:bottom w:val="single" w:sz="4" w:space="0" w:color="auto"/>
              <w:right w:val="nil"/>
            </w:tcBorders>
          </w:tcPr>
          <w:p w:rsidR="00095ED9" w:rsidRPr="00095ED9" w:rsidRDefault="00095ED9" w:rsidP="00E42CB9">
            <w:pPr>
              <w:spacing w:before="60" w:after="60" w:line="240" w:lineRule="auto"/>
              <w:jc w:val="both"/>
              <w:outlineLvl w:val="0"/>
              <w:rPr>
                <w:rFonts w:ascii="Times New Roman" w:hAnsi="Times New Roman" w:cs="Times New Roman"/>
                <w:sz w:val="20"/>
                <w:szCs w:val="20"/>
                <w:lang w:val="en-MY"/>
              </w:rPr>
            </w:pPr>
            <w:r w:rsidRPr="00095ED9">
              <w:rPr>
                <w:rFonts w:ascii="Times New Roman" w:hAnsi="Times New Roman" w:cs="Times New Roman"/>
                <w:sz w:val="20"/>
                <w:szCs w:val="20"/>
                <w:lang w:val="en-MY"/>
              </w:rPr>
              <w:t>Batch</w:t>
            </w:r>
          </w:p>
        </w:tc>
        <w:tc>
          <w:tcPr>
            <w:tcW w:w="0" w:type="auto"/>
            <w:tcBorders>
              <w:top w:val="nil"/>
              <w:left w:val="nil"/>
              <w:bottom w:val="single" w:sz="4" w:space="0" w:color="auto"/>
              <w:right w:val="nil"/>
            </w:tcBorders>
          </w:tcPr>
          <w:p w:rsidR="00095ED9" w:rsidRPr="00095ED9" w:rsidRDefault="00095ED9" w:rsidP="00E42CB9">
            <w:pPr>
              <w:spacing w:before="60" w:after="60" w:line="240" w:lineRule="auto"/>
              <w:jc w:val="center"/>
              <w:outlineLvl w:val="0"/>
              <w:rPr>
                <w:rFonts w:ascii="Times New Roman" w:hAnsi="Times New Roman" w:cs="Times New Roman"/>
                <w:sz w:val="20"/>
                <w:szCs w:val="20"/>
                <w:lang w:val="en-MY"/>
              </w:rPr>
            </w:pPr>
            <w:r w:rsidRPr="00095ED9">
              <w:rPr>
                <w:rFonts w:ascii="Times New Roman" w:hAnsi="Times New Roman" w:cs="Times New Roman"/>
                <w:sz w:val="20"/>
                <w:szCs w:val="20"/>
                <w:lang w:val="en-MY"/>
              </w:rPr>
              <w:t>0.1</w:t>
            </w:r>
          </w:p>
        </w:tc>
        <w:tc>
          <w:tcPr>
            <w:tcW w:w="0" w:type="auto"/>
            <w:tcBorders>
              <w:top w:val="nil"/>
              <w:left w:val="nil"/>
              <w:bottom w:val="single" w:sz="4" w:space="0" w:color="auto"/>
              <w:right w:val="nil"/>
            </w:tcBorders>
          </w:tcPr>
          <w:p w:rsidR="00095ED9" w:rsidRPr="00095ED9" w:rsidRDefault="00095ED9" w:rsidP="00E42CB9">
            <w:pPr>
              <w:spacing w:before="60" w:after="60" w:line="240" w:lineRule="auto"/>
              <w:jc w:val="both"/>
              <w:outlineLvl w:val="0"/>
              <w:rPr>
                <w:rFonts w:ascii="Times New Roman" w:hAnsi="Times New Roman" w:cs="Times New Roman"/>
                <w:sz w:val="20"/>
                <w:szCs w:val="20"/>
                <w:lang w:val="en-MY"/>
              </w:rPr>
            </w:pPr>
            <w:r w:rsidRPr="00095ED9">
              <w:rPr>
                <w:rFonts w:ascii="Times New Roman" w:hAnsi="Times New Roman" w:cs="Times New Roman"/>
                <w:sz w:val="20"/>
                <w:szCs w:val="20"/>
                <w:lang w:val="en-MY"/>
              </w:rPr>
              <w:t>Current work</w:t>
            </w:r>
          </w:p>
        </w:tc>
      </w:tr>
    </w:tbl>
    <w:p w:rsidR="00E42CB9" w:rsidRDefault="00E42CB9" w:rsidP="00E42CB9">
      <w:pPr>
        <w:spacing w:after="0" w:line="240" w:lineRule="auto"/>
        <w:jc w:val="center"/>
        <w:rPr>
          <w:rFonts w:ascii="Times New Roman" w:hAnsi="Times New Roman"/>
          <w:noProof/>
          <w:sz w:val="20"/>
          <w:szCs w:val="20"/>
          <w:lang w:bidi="ar-SA"/>
        </w:rPr>
      </w:pPr>
    </w:p>
    <w:p w:rsidR="00E42CB9" w:rsidRDefault="00E42CB9" w:rsidP="00E42CB9">
      <w:pPr>
        <w:spacing w:after="0" w:line="240" w:lineRule="auto"/>
        <w:jc w:val="center"/>
        <w:rPr>
          <w:rFonts w:ascii="Times New Roman" w:hAnsi="Times New Roman"/>
          <w:noProof/>
          <w:sz w:val="20"/>
          <w:szCs w:val="20"/>
          <w:lang w:bidi="ar-SA"/>
        </w:rPr>
      </w:pPr>
    </w:p>
    <w:p w:rsidR="00E42CB9" w:rsidRDefault="00E42CB9" w:rsidP="00E42CB9">
      <w:pPr>
        <w:spacing w:after="0" w:line="240" w:lineRule="auto"/>
        <w:jc w:val="center"/>
        <w:rPr>
          <w:rFonts w:ascii="Times New Roman" w:hAnsi="Times New Roman"/>
          <w:noProof/>
          <w:sz w:val="20"/>
          <w:szCs w:val="20"/>
          <w:lang w:bidi="ar-SA"/>
        </w:rPr>
      </w:pPr>
    </w:p>
    <w:p w:rsidR="00E42CB9" w:rsidRPr="00F447A7" w:rsidRDefault="00E42CB9" w:rsidP="00E42CB9">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Conclusion</w:t>
      </w:r>
    </w:p>
    <w:p w:rsidR="00E42CB9" w:rsidRPr="00E42CB9" w:rsidRDefault="00E42CB9" w:rsidP="00E42CB9">
      <w:pPr>
        <w:spacing w:after="0" w:line="240" w:lineRule="auto"/>
        <w:jc w:val="both"/>
        <w:outlineLvl w:val="0"/>
        <w:rPr>
          <w:rFonts w:ascii="Times New Roman" w:hAnsi="Times New Roman"/>
          <w:sz w:val="20"/>
          <w:szCs w:val="20"/>
        </w:rPr>
      </w:pPr>
      <w:r w:rsidRPr="00E42CB9">
        <w:rPr>
          <w:rFonts w:ascii="Times New Roman" w:hAnsi="Times New Roman"/>
          <w:sz w:val="20"/>
          <w:szCs w:val="20"/>
        </w:rPr>
        <w:t xml:space="preserve">It was revealed that </w:t>
      </w:r>
      <w:r w:rsidRPr="00E42CB9">
        <w:rPr>
          <w:rFonts w:ascii="Times New Roman" w:hAnsi="Times New Roman"/>
          <w:i/>
          <w:sz w:val="20"/>
          <w:szCs w:val="20"/>
        </w:rPr>
        <w:t>Bacilli E1</w:t>
      </w:r>
      <w:r w:rsidRPr="00E42CB9">
        <w:rPr>
          <w:rFonts w:ascii="Times New Roman" w:hAnsi="Times New Roman"/>
          <w:sz w:val="20"/>
          <w:szCs w:val="20"/>
        </w:rPr>
        <w:t xml:space="preserve"> was able to be used for electricity production using microbial fuel cell (MFC). The highest OCV obtained by single microorganism </w:t>
      </w:r>
      <w:r w:rsidRPr="00E42CB9">
        <w:rPr>
          <w:rFonts w:ascii="Times New Roman" w:hAnsi="Times New Roman"/>
          <w:i/>
          <w:sz w:val="20"/>
          <w:szCs w:val="20"/>
        </w:rPr>
        <w:t>Bacilli E1</w:t>
      </w:r>
      <w:r w:rsidRPr="00E42CB9">
        <w:rPr>
          <w:rFonts w:ascii="Times New Roman" w:hAnsi="Times New Roman"/>
          <w:sz w:val="20"/>
          <w:szCs w:val="20"/>
        </w:rPr>
        <w:t xml:space="preserve"> was 0.8 V and the CCV value with 1000 Ohm resistant produced a stable 0.1 V with calculated current of 0.2 ± 0.017 mA.</w:t>
      </w:r>
    </w:p>
    <w:p w:rsidR="00E42CB9" w:rsidRPr="00E42CB9" w:rsidRDefault="00E42CB9" w:rsidP="00E42CB9">
      <w:pPr>
        <w:spacing w:after="0" w:line="240" w:lineRule="auto"/>
        <w:jc w:val="center"/>
        <w:outlineLvl w:val="0"/>
        <w:rPr>
          <w:rFonts w:ascii="Times New Roman" w:hAnsi="Times New Roman"/>
          <w:sz w:val="20"/>
          <w:szCs w:val="20"/>
        </w:rPr>
      </w:pPr>
    </w:p>
    <w:p w:rsidR="00E42CB9" w:rsidRPr="00E42CB9" w:rsidRDefault="00E42CB9" w:rsidP="00E42CB9">
      <w:pPr>
        <w:spacing w:after="0" w:line="240" w:lineRule="auto"/>
        <w:jc w:val="center"/>
        <w:outlineLvl w:val="0"/>
        <w:rPr>
          <w:rFonts w:ascii="Times New Roman" w:hAnsi="Times New Roman"/>
          <w:b/>
          <w:sz w:val="20"/>
          <w:szCs w:val="20"/>
        </w:rPr>
      </w:pPr>
      <w:r w:rsidRPr="00E42CB9">
        <w:rPr>
          <w:rFonts w:ascii="Times New Roman" w:hAnsi="Times New Roman"/>
          <w:b/>
          <w:sz w:val="20"/>
          <w:szCs w:val="20"/>
        </w:rPr>
        <w:t>Acknowledgement</w:t>
      </w:r>
    </w:p>
    <w:p w:rsidR="00AC0033" w:rsidRPr="00E42CB9" w:rsidRDefault="00E42CB9" w:rsidP="00E42CB9">
      <w:pPr>
        <w:spacing w:after="0" w:line="240" w:lineRule="auto"/>
        <w:jc w:val="both"/>
        <w:outlineLvl w:val="0"/>
        <w:rPr>
          <w:rFonts w:ascii="Times New Roman" w:hAnsi="Times New Roman"/>
          <w:b/>
          <w:color w:val="548DD4" w:themeColor="text2" w:themeTint="99"/>
          <w:sz w:val="20"/>
          <w:szCs w:val="20"/>
          <w:u w:val="single"/>
        </w:rPr>
      </w:pPr>
      <w:r w:rsidRPr="00E42CB9">
        <w:rPr>
          <w:rFonts w:ascii="Times New Roman" w:hAnsi="Times New Roman"/>
          <w:sz w:val="20"/>
          <w:szCs w:val="20"/>
        </w:rPr>
        <w:t xml:space="preserve">We wish to acknowledge Universiti Teknologi Malaysia (UTM) for providing the facilities and venue for us to conduct the present research and also platform for students to participate in this study. We also like to acknowledge the technical staff in Department of Bioprocess and Polymer Engineering, UTM for the technical and analysis provision. This work was supported by Ministry of Higher Education (MOHE), grant no. FRGS (PY2014/04052). Also we would like to acknowledge UTM for GUP grant (PY2016/06351). </w:t>
      </w:r>
    </w:p>
    <w:p w:rsidR="00AC0033" w:rsidRPr="00F447A7"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E42CB9" w:rsidRPr="00E42CB9" w:rsidRDefault="00E42CB9" w:rsidP="00E42CB9">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E42CB9">
        <w:rPr>
          <w:rFonts w:ascii="Times New Roman" w:hAnsi="Times New Roman"/>
          <w:sz w:val="20"/>
          <w:szCs w:val="20"/>
        </w:rPr>
        <w:t xml:space="preserve">Lovely, D. R. (2006). Microbial energizers: Fuel cells that keep on going. </w:t>
      </w:r>
      <w:r w:rsidRPr="00E42CB9">
        <w:rPr>
          <w:rFonts w:ascii="Times New Roman" w:hAnsi="Times New Roman"/>
          <w:i/>
          <w:sz w:val="20"/>
          <w:szCs w:val="20"/>
        </w:rPr>
        <w:t xml:space="preserve">Microbe, </w:t>
      </w:r>
      <w:r w:rsidRPr="00E42CB9">
        <w:rPr>
          <w:rFonts w:ascii="Times New Roman" w:hAnsi="Times New Roman"/>
          <w:sz w:val="20"/>
          <w:szCs w:val="20"/>
        </w:rPr>
        <w:t>1(7): 323 – 329.</w:t>
      </w:r>
    </w:p>
    <w:p w:rsidR="00E42CB9" w:rsidRPr="00E42CB9" w:rsidRDefault="00E42CB9" w:rsidP="00E42CB9">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E42CB9">
        <w:rPr>
          <w:rFonts w:ascii="Times New Roman" w:hAnsi="Times New Roman"/>
          <w:sz w:val="20"/>
          <w:szCs w:val="20"/>
        </w:rPr>
        <w:t xml:space="preserve">Logan, B. E. (2009). Exoelectrogenic bacteria that power microbial fuel cells. </w:t>
      </w:r>
      <w:r w:rsidRPr="00E42CB9">
        <w:rPr>
          <w:rFonts w:ascii="Times New Roman" w:hAnsi="Times New Roman"/>
          <w:i/>
          <w:sz w:val="20"/>
          <w:szCs w:val="20"/>
        </w:rPr>
        <w:t xml:space="preserve">Nature Review Microbiology, </w:t>
      </w:r>
      <w:r w:rsidRPr="00E42CB9">
        <w:rPr>
          <w:rFonts w:ascii="Times New Roman" w:hAnsi="Times New Roman"/>
          <w:sz w:val="20"/>
          <w:szCs w:val="20"/>
        </w:rPr>
        <w:t>7: 375 – 381.</w:t>
      </w:r>
    </w:p>
    <w:p w:rsidR="00E42CB9" w:rsidRPr="00E42CB9" w:rsidRDefault="00E42CB9" w:rsidP="00E42CB9">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E42CB9">
        <w:rPr>
          <w:rFonts w:ascii="Times New Roman" w:hAnsi="Times New Roman"/>
          <w:sz w:val="20"/>
          <w:szCs w:val="20"/>
        </w:rPr>
        <w:t xml:space="preserve">Poddar, S. and Khurana, S. (2011) Geobacter: The electric microbe! efficient microbial fuel cells to generate clean, cheap electricity. </w:t>
      </w:r>
      <w:r w:rsidRPr="00E42CB9">
        <w:rPr>
          <w:rFonts w:ascii="Times New Roman" w:hAnsi="Times New Roman"/>
          <w:i/>
          <w:sz w:val="20"/>
          <w:szCs w:val="20"/>
        </w:rPr>
        <w:t>Indian Journal of Microbiology,</w:t>
      </w:r>
      <w:r w:rsidRPr="00E42CB9">
        <w:rPr>
          <w:rFonts w:ascii="Times New Roman" w:hAnsi="Times New Roman"/>
          <w:sz w:val="20"/>
          <w:szCs w:val="20"/>
        </w:rPr>
        <w:t xml:space="preserve"> 51(2): 240 – 241.</w:t>
      </w:r>
    </w:p>
    <w:p w:rsidR="00E42CB9" w:rsidRPr="00E42CB9" w:rsidRDefault="00E42CB9" w:rsidP="00E42CB9">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E42CB9">
        <w:rPr>
          <w:rFonts w:ascii="Times New Roman" w:hAnsi="Times New Roman"/>
          <w:sz w:val="20"/>
          <w:szCs w:val="20"/>
        </w:rPr>
        <w:t xml:space="preserve">Yi, H., Nevin, K. P., Kim, B. C., Franks, A. E., Klimes, A., Tender, L. M. and Lovley, D. R. (2009). Selection of a variant of Geobacter sulfurreducens with enhanced capacity for current production in microbial fuel cells. </w:t>
      </w:r>
      <w:r w:rsidRPr="00E42CB9">
        <w:rPr>
          <w:rFonts w:ascii="Times New Roman" w:hAnsi="Times New Roman"/>
          <w:i/>
          <w:sz w:val="20"/>
          <w:szCs w:val="20"/>
        </w:rPr>
        <w:t>Biosensors and Bioelectronics</w:t>
      </w:r>
      <w:r w:rsidRPr="00E42CB9">
        <w:rPr>
          <w:rFonts w:ascii="Times New Roman" w:hAnsi="Times New Roman"/>
          <w:sz w:val="20"/>
          <w:szCs w:val="20"/>
        </w:rPr>
        <w:t>, 24(12): 3498 – 3503.</w:t>
      </w:r>
    </w:p>
    <w:p w:rsidR="00E42CB9" w:rsidRPr="00E42CB9" w:rsidRDefault="00E42CB9" w:rsidP="00E42CB9">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E42CB9">
        <w:rPr>
          <w:rFonts w:ascii="Times New Roman" w:hAnsi="Times New Roman"/>
          <w:sz w:val="20"/>
          <w:szCs w:val="20"/>
        </w:rPr>
        <w:t xml:space="preserve">Zain, S.M., Rosiani, N.S., Hashim, Anuar, N., Suja, F., Daud, W. R. W. and Basri, N. E. A. (2011) Microbial fuel cells using mixed cultures of wastewater for electricity generation. </w:t>
      </w:r>
      <w:r w:rsidRPr="00E42CB9">
        <w:rPr>
          <w:rFonts w:ascii="Times New Roman" w:hAnsi="Times New Roman"/>
          <w:i/>
          <w:sz w:val="20"/>
          <w:szCs w:val="20"/>
        </w:rPr>
        <w:t>Sains Malaysiana,</w:t>
      </w:r>
      <w:r w:rsidRPr="00E42CB9">
        <w:rPr>
          <w:rFonts w:ascii="Times New Roman" w:hAnsi="Times New Roman"/>
          <w:sz w:val="20"/>
          <w:szCs w:val="20"/>
        </w:rPr>
        <w:t xml:space="preserve"> 40(9): 993 – 997.</w:t>
      </w:r>
    </w:p>
    <w:p w:rsidR="00E42CB9" w:rsidRPr="00E42CB9" w:rsidRDefault="00E42CB9" w:rsidP="00E42CB9">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E42CB9">
        <w:rPr>
          <w:rFonts w:ascii="Times New Roman" w:hAnsi="Times New Roman"/>
          <w:sz w:val="20"/>
          <w:szCs w:val="20"/>
        </w:rPr>
        <w:t xml:space="preserve">Ren, Z., Ward, T. E., and Regan, J. M. (2007) Electricity production from cellulose in a microbial fuel cell using a defined binary culture. </w:t>
      </w:r>
      <w:r w:rsidRPr="00E42CB9">
        <w:rPr>
          <w:rFonts w:ascii="Times New Roman" w:hAnsi="Times New Roman"/>
          <w:i/>
          <w:sz w:val="20"/>
          <w:szCs w:val="20"/>
        </w:rPr>
        <w:t>Environmental Science and Technology</w:t>
      </w:r>
      <w:r w:rsidRPr="00E42CB9">
        <w:rPr>
          <w:rFonts w:ascii="Times New Roman" w:hAnsi="Times New Roman"/>
          <w:sz w:val="20"/>
          <w:szCs w:val="20"/>
        </w:rPr>
        <w:t>, 41: 4781 – 4786.</w:t>
      </w:r>
    </w:p>
    <w:p w:rsidR="00E42CB9" w:rsidRPr="00E42CB9" w:rsidRDefault="00E42CB9" w:rsidP="00E42CB9">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E42CB9">
        <w:rPr>
          <w:rFonts w:ascii="Times New Roman" w:hAnsi="Times New Roman"/>
          <w:sz w:val="20"/>
          <w:szCs w:val="20"/>
        </w:rPr>
        <w:t>Mesran, H., Mamat, S., Pang, Y. R., Hong, T. Y., Muneera, Z, Ali, M. A, Ghazali, N. F. M. and Mahmood, N. A. N. (2014). Preliminary studies on immobilized cell-based microbial fuel cell system on its power generation performance.</w:t>
      </w:r>
      <w:r w:rsidRPr="00E42CB9">
        <w:rPr>
          <w:sz w:val="20"/>
          <w:szCs w:val="20"/>
        </w:rPr>
        <w:t xml:space="preserve"> </w:t>
      </w:r>
      <w:r w:rsidRPr="00E42CB9">
        <w:rPr>
          <w:rFonts w:ascii="Times New Roman" w:hAnsi="Times New Roman"/>
          <w:i/>
          <w:sz w:val="20"/>
          <w:szCs w:val="20"/>
        </w:rPr>
        <w:t>Journal of Asian Scientific Research,</w:t>
      </w:r>
      <w:r w:rsidRPr="00E42CB9">
        <w:rPr>
          <w:rFonts w:ascii="Times New Roman" w:hAnsi="Times New Roman"/>
          <w:sz w:val="20"/>
          <w:szCs w:val="20"/>
        </w:rPr>
        <w:t xml:space="preserve"> 4(8): 428 – 435.</w:t>
      </w:r>
    </w:p>
    <w:p w:rsidR="00E42CB9" w:rsidRPr="00E42CB9" w:rsidRDefault="00E42CB9" w:rsidP="00E42CB9">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E42CB9">
        <w:rPr>
          <w:rFonts w:ascii="Times New Roman" w:hAnsi="Times New Roman"/>
          <w:sz w:val="20"/>
          <w:szCs w:val="20"/>
        </w:rPr>
        <w:t xml:space="preserve">Mohan, S. V., Raghavulu, S. V. and Sarma, P. N. (2008). Influence of anode biofilm growth on bioelectricity production in a single chambered mediatorless microbial fuel cell using anaerobic consortia. </w:t>
      </w:r>
      <w:r w:rsidRPr="00E42CB9">
        <w:rPr>
          <w:rFonts w:ascii="Times New Roman" w:hAnsi="Times New Roman"/>
          <w:i/>
          <w:sz w:val="20"/>
          <w:szCs w:val="20"/>
        </w:rPr>
        <w:t>Biosensor and Bioelectronics</w:t>
      </w:r>
      <w:r w:rsidRPr="00E42CB9">
        <w:rPr>
          <w:rFonts w:ascii="Times New Roman" w:hAnsi="Times New Roman"/>
          <w:sz w:val="20"/>
          <w:szCs w:val="20"/>
        </w:rPr>
        <w:t>, 24: 41 – 47.</w:t>
      </w:r>
    </w:p>
    <w:p w:rsidR="00E42CB9" w:rsidRPr="00E42CB9" w:rsidRDefault="00E42CB9" w:rsidP="00E42CB9">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E42CB9">
        <w:rPr>
          <w:rFonts w:ascii="Times New Roman" w:hAnsi="Times New Roman"/>
          <w:sz w:val="20"/>
          <w:szCs w:val="20"/>
        </w:rPr>
        <w:t xml:space="preserve">Franks, A. E, Malvankar, N. and Nevin, K. P. (2010). Bacterial biofilms: The powerhouse of a microbial fuel cell. </w:t>
      </w:r>
      <w:r w:rsidRPr="00E42CB9">
        <w:rPr>
          <w:rFonts w:ascii="Times New Roman" w:hAnsi="Times New Roman"/>
          <w:i/>
          <w:sz w:val="20"/>
          <w:szCs w:val="20"/>
        </w:rPr>
        <w:t xml:space="preserve">Biofuels, </w:t>
      </w:r>
      <w:r w:rsidRPr="00E42CB9">
        <w:rPr>
          <w:rFonts w:ascii="Times New Roman" w:hAnsi="Times New Roman"/>
          <w:sz w:val="20"/>
          <w:szCs w:val="20"/>
        </w:rPr>
        <w:t>1(4): 589 – 604.</w:t>
      </w:r>
    </w:p>
    <w:p w:rsidR="00E42CB9" w:rsidRPr="00E42CB9" w:rsidRDefault="00E42CB9" w:rsidP="00E42CB9">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E42CB9">
        <w:rPr>
          <w:rFonts w:ascii="Times New Roman" w:hAnsi="Times New Roman"/>
          <w:sz w:val="20"/>
          <w:szCs w:val="20"/>
        </w:rPr>
        <w:t xml:space="preserve">Kiely, P. D., Call, D. F., Yates, M. D., Regan, J. M. and Logan, B. E. (2010). Anodic biofilms in microbial fuel cells harbor low numbers of higher-power-producing bacteria than abundant genera. </w:t>
      </w:r>
      <w:r w:rsidRPr="00E42CB9">
        <w:rPr>
          <w:rFonts w:ascii="Times New Roman" w:hAnsi="Times New Roman"/>
          <w:i/>
          <w:sz w:val="20"/>
          <w:szCs w:val="20"/>
        </w:rPr>
        <w:t xml:space="preserve">Applied Microbiol and Biotechnology, </w:t>
      </w:r>
      <w:r w:rsidRPr="00E42CB9">
        <w:rPr>
          <w:rFonts w:ascii="Times New Roman" w:hAnsi="Times New Roman"/>
          <w:sz w:val="20"/>
          <w:szCs w:val="20"/>
        </w:rPr>
        <w:t>88: 371 – 380.</w:t>
      </w:r>
    </w:p>
    <w:p w:rsidR="00E42CB9" w:rsidRPr="00E42CB9" w:rsidRDefault="00E42CB9" w:rsidP="00E42CB9">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E42CB9">
        <w:rPr>
          <w:rFonts w:ascii="Times New Roman" w:hAnsi="Times New Roman"/>
          <w:sz w:val="20"/>
          <w:szCs w:val="20"/>
        </w:rPr>
        <w:t xml:space="preserve">Semenec, L. and Franks, A. E. (2015). Delving through electrogenic biofilms: From anodes to cathodes to microbes. </w:t>
      </w:r>
      <w:r w:rsidRPr="00E42CB9">
        <w:rPr>
          <w:rFonts w:ascii="Times New Roman" w:hAnsi="Times New Roman"/>
          <w:i/>
          <w:sz w:val="20"/>
          <w:szCs w:val="20"/>
        </w:rPr>
        <w:t>AIMS Bioengineering,</w:t>
      </w:r>
      <w:r w:rsidRPr="00E42CB9">
        <w:rPr>
          <w:rFonts w:ascii="Times New Roman" w:hAnsi="Times New Roman"/>
          <w:sz w:val="20"/>
          <w:szCs w:val="20"/>
        </w:rPr>
        <w:t xml:space="preserve"> 2(3): 222 – 248.</w:t>
      </w:r>
    </w:p>
    <w:p w:rsidR="00E42CB9" w:rsidRPr="00E42CB9" w:rsidRDefault="00E42CB9" w:rsidP="00E42CB9">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E42CB9">
        <w:rPr>
          <w:rFonts w:ascii="Times New Roman" w:hAnsi="Times New Roman"/>
          <w:sz w:val="20"/>
          <w:szCs w:val="20"/>
        </w:rPr>
        <w:t xml:space="preserve">Logan, B. E., Hmelers, B., Rozendal, R. A., Schroeder, U., Keller, J., Freguia, S., Aelterman, P., Verstratete, W. and Rabaey, K. (2006). Microbial fuel cells: Methodology and technology. </w:t>
      </w:r>
      <w:r w:rsidRPr="00E42CB9">
        <w:rPr>
          <w:rFonts w:ascii="Times New Roman" w:hAnsi="Times New Roman"/>
          <w:i/>
          <w:sz w:val="20"/>
          <w:szCs w:val="20"/>
        </w:rPr>
        <w:t>Environmental Science and Technology,</w:t>
      </w:r>
      <w:r w:rsidRPr="00E42CB9">
        <w:rPr>
          <w:rFonts w:ascii="Times New Roman" w:hAnsi="Times New Roman"/>
          <w:sz w:val="20"/>
          <w:szCs w:val="20"/>
        </w:rPr>
        <w:t xml:space="preserve"> 40 (17): 5181 – 5192.</w:t>
      </w:r>
    </w:p>
    <w:p w:rsidR="00E42CB9" w:rsidRPr="00E42CB9" w:rsidRDefault="00E42CB9" w:rsidP="00E42CB9">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E42CB9">
        <w:rPr>
          <w:rFonts w:ascii="Times New Roman" w:hAnsi="Times New Roman"/>
          <w:sz w:val="20"/>
          <w:szCs w:val="20"/>
        </w:rPr>
        <w:t xml:space="preserve">Harnisch, F. and Schrçder, U. (2009). Selectivity versus mobility: Separation of anode and cathode in microbial bioelectrochemical systems. </w:t>
      </w:r>
      <w:r w:rsidRPr="00E42CB9">
        <w:rPr>
          <w:rFonts w:ascii="Times New Roman" w:hAnsi="Times New Roman"/>
          <w:i/>
          <w:sz w:val="20"/>
          <w:szCs w:val="20"/>
        </w:rPr>
        <w:t>ChemSusChem,</w:t>
      </w:r>
      <w:r w:rsidRPr="00E42CB9">
        <w:rPr>
          <w:rFonts w:ascii="Times New Roman" w:hAnsi="Times New Roman"/>
          <w:sz w:val="20"/>
          <w:szCs w:val="20"/>
        </w:rPr>
        <w:t xml:space="preserve"> 2: 921 – 926.</w:t>
      </w:r>
    </w:p>
    <w:p w:rsidR="00E42CB9" w:rsidRPr="00E42CB9" w:rsidRDefault="00E42CB9" w:rsidP="00E42CB9">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E42CB9">
        <w:rPr>
          <w:rFonts w:ascii="Times New Roman" w:hAnsi="Times New Roman"/>
          <w:sz w:val="20"/>
          <w:szCs w:val="20"/>
        </w:rPr>
        <w:t xml:space="preserve">Vazquez-Larios, A. L., Solorza-Feria, O., Vazquez-Huerta, G., Rios-Leal, E., Rinderknecht-Seijas, N. and Poggi-Varaldo, H. M. (2011). Internal resistance and performance of microbial fuel cells: influence of cell configuration and temperature. </w:t>
      </w:r>
      <w:r w:rsidRPr="00E42CB9">
        <w:rPr>
          <w:rFonts w:ascii="Times New Roman" w:hAnsi="Times New Roman"/>
          <w:i/>
          <w:sz w:val="20"/>
          <w:szCs w:val="20"/>
        </w:rPr>
        <w:t>Journal of New Materials for Electrochemical Systems,</w:t>
      </w:r>
      <w:r w:rsidRPr="00E42CB9">
        <w:rPr>
          <w:rFonts w:ascii="Times New Roman" w:hAnsi="Times New Roman"/>
          <w:sz w:val="20"/>
          <w:szCs w:val="20"/>
        </w:rPr>
        <w:t xml:space="preserve"> 14(2), 99-105.</w:t>
      </w:r>
    </w:p>
    <w:p w:rsidR="00E42CB9" w:rsidRPr="00E42CB9" w:rsidRDefault="00E42CB9" w:rsidP="00E42CB9">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E42CB9">
        <w:rPr>
          <w:rFonts w:ascii="Times New Roman" w:hAnsi="Times New Roman"/>
          <w:sz w:val="20"/>
          <w:szCs w:val="20"/>
        </w:rPr>
        <w:t xml:space="preserve">Thurston, C. F., Bennetto, H. P., Delaney, G. M., Delaney, G., Mason, J. R., Roller, S. D. and Stirling, J. L. (1985). Glucose metabolism in a microbial fuel cell. stoichiometry of product formation in a thionine-mediated proteus vulgaris fuel cell and its relation to coulombic yields. </w:t>
      </w:r>
      <w:r w:rsidRPr="00E42CB9">
        <w:rPr>
          <w:rFonts w:ascii="Times New Roman" w:hAnsi="Times New Roman"/>
          <w:i/>
          <w:sz w:val="20"/>
          <w:szCs w:val="20"/>
        </w:rPr>
        <w:t>Journal of General Microbiology,</w:t>
      </w:r>
      <w:r w:rsidRPr="00E42CB9">
        <w:rPr>
          <w:rFonts w:ascii="Times New Roman" w:hAnsi="Times New Roman"/>
          <w:sz w:val="20"/>
          <w:szCs w:val="20"/>
        </w:rPr>
        <w:t xml:space="preserve"> 131: 1393 – 1401.</w:t>
      </w:r>
    </w:p>
    <w:p w:rsidR="00E42CB9" w:rsidRDefault="00E42CB9" w:rsidP="00E42CB9">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E42CB9">
        <w:rPr>
          <w:rFonts w:ascii="Times New Roman" w:hAnsi="Times New Roman"/>
          <w:sz w:val="20"/>
          <w:szCs w:val="20"/>
        </w:rPr>
        <w:t xml:space="preserve">Zhang, P. Y. and Liu, Z. L. (2010). Experimental study of the microbial fuel cell internal resistance. </w:t>
      </w:r>
      <w:r w:rsidRPr="00E42CB9">
        <w:rPr>
          <w:rFonts w:ascii="Times New Roman" w:hAnsi="Times New Roman"/>
          <w:i/>
          <w:sz w:val="20"/>
          <w:szCs w:val="20"/>
        </w:rPr>
        <w:t>Journal of Power Sources</w:t>
      </w:r>
      <w:r w:rsidRPr="00E42CB9">
        <w:rPr>
          <w:rFonts w:ascii="Times New Roman" w:hAnsi="Times New Roman"/>
          <w:sz w:val="20"/>
          <w:szCs w:val="20"/>
        </w:rPr>
        <w:t>, 195(24): 8013 – 8018.</w:t>
      </w:r>
    </w:p>
    <w:p w:rsidR="00E42CB9" w:rsidRPr="00E42CB9" w:rsidRDefault="00E42CB9" w:rsidP="00E42CB9">
      <w:pPr>
        <w:widowControl w:val="0"/>
        <w:autoSpaceDE w:val="0"/>
        <w:autoSpaceDN w:val="0"/>
        <w:spacing w:after="0" w:line="240" w:lineRule="auto"/>
        <w:jc w:val="both"/>
        <w:outlineLvl w:val="0"/>
        <w:rPr>
          <w:rFonts w:ascii="Times New Roman" w:hAnsi="Times New Roman"/>
          <w:sz w:val="20"/>
          <w:szCs w:val="20"/>
        </w:rPr>
      </w:pPr>
    </w:p>
    <w:p w:rsidR="00E42CB9" w:rsidRPr="00E42CB9" w:rsidRDefault="00E42CB9" w:rsidP="00E42CB9">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E42CB9">
        <w:rPr>
          <w:rFonts w:ascii="Times New Roman" w:hAnsi="Times New Roman"/>
          <w:sz w:val="20"/>
          <w:szCs w:val="20"/>
        </w:rPr>
        <w:lastRenderedPageBreak/>
        <w:t xml:space="preserve">Jafary, T., Ghoreyshi, A. A., Najafpour, G. D., Fatemi, S. and Rahimnejad, M. (2013). Investigation on performance of microbial fuel cells based on carbon sources and kinetic models. </w:t>
      </w:r>
      <w:r w:rsidRPr="00E42CB9">
        <w:rPr>
          <w:rFonts w:ascii="Times New Roman" w:hAnsi="Times New Roman"/>
          <w:i/>
          <w:sz w:val="20"/>
          <w:szCs w:val="20"/>
        </w:rPr>
        <w:t>International Journal of Energy Research,</w:t>
      </w:r>
      <w:r w:rsidRPr="00E42CB9">
        <w:rPr>
          <w:rFonts w:ascii="Times New Roman" w:hAnsi="Times New Roman"/>
          <w:sz w:val="20"/>
          <w:szCs w:val="20"/>
        </w:rPr>
        <w:t xml:space="preserve"> 37: 1539 – 1549.</w:t>
      </w:r>
    </w:p>
    <w:p w:rsidR="00E42CB9" w:rsidRPr="00E42CB9" w:rsidRDefault="00E42CB9" w:rsidP="00E42CB9">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E42CB9">
        <w:rPr>
          <w:rFonts w:ascii="Times New Roman" w:hAnsi="Times New Roman"/>
          <w:sz w:val="20"/>
          <w:szCs w:val="20"/>
        </w:rPr>
        <w:t>Ghoreyshi, A. A., Jafary, T., Najafpour, G. D. and Haghparast, F. (2011) Effect of type and concentration of substrate on power generation in a dual chambered microbial fuel cell. World Renewable Energy Congress 2011. Lingkoping, Sweden: pp. 1174 – 1181.</w:t>
      </w:r>
    </w:p>
    <w:p w:rsidR="00E42CB9" w:rsidRPr="00E42CB9" w:rsidRDefault="00E42CB9" w:rsidP="00E42CB9">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E42CB9">
        <w:rPr>
          <w:rFonts w:ascii="Times New Roman" w:hAnsi="Times New Roman"/>
          <w:sz w:val="20"/>
          <w:szCs w:val="20"/>
        </w:rPr>
        <w:t xml:space="preserve">Rabaey, K., Lissens, G., Siciliano, S. D. and Verstraete, W. (2003). A microbial fuel cell capable of converting glucose to electricity at high rate and efﬁciency. </w:t>
      </w:r>
      <w:r w:rsidRPr="00E42CB9">
        <w:rPr>
          <w:rFonts w:ascii="Times New Roman" w:hAnsi="Times New Roman"/>
          <w:i/>
          <w:sz w:val="20"/>
          <w:szCs w:val="20"/>
        </w:rPr>
        <w:t>Biotechnology Letters</w:t>
      </w:r>
      <w:r w:rsidRPr="00E42CB9">
        <w:rPr>
          <w:rFonts w:ascii="Times New Roman" w:hAnsi="Times New Roman"/>
          <w:sz w:val="20"/>
          <w:szCs w:val="20"/>
        </w:rPr>
        <w:t>, 25: 1531 – 1535.</w:t>
      </w:r>
    </w:p>
    <w:p w:rsidR="00AC0033" w:rsidRPr="00E42CB9" w:rsidRDefault="00AC0033" w:rsidP="00E42CB9">
      <w:pPr>
        <w:spacing w:after="0" w:line="240" w:lineRule="auto"/>
        <w:ind w:left="360" w:hanging="360"/>
        <w:jc w:val="both"/>
        <w:rPr>
          <w:rFonts w:ascii="Times New Roman" w:hAnsi="Times New Roman"/>
          <w:noProof/>
          <w:sz w:val="20"/>
          <w:szCs w:val="20"/>
          <w:lang w:bidi="ar-SA"/>
        </w:rPr>
      </w:pPr>
    </w:p>
    <w:sectPr w:rsidR="00AC0033" w:rsidRPr="00E42CB9" w:rsidSect="0029434A">
      <w:headerReference w:type="even" r:id="rId14"/>
      <w:headerReference w:type="default" r:id="rId15"/>
      <w:footerReference w:type="even" r:id="rId16"/>
      <w:footerReference w:type="default" r:id="rId17"/>
      <w:pgSz w:w="12240" w:h="15840" w:code="1"/>
      <w:pgMar w:top="1800" w:right="1469" w:bottom="1699" w:left="1440" w:header="706" w:footer="706" w:gutter="0"/>
      <w:pgNumType w:start="66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87A" w:rsidRDefault="0083587A" w:rsidP="00FB4C59">
      <w:pPr>
        <w:spacing w:after="0" w:line="240" w:lineRule="auto"/>
      </w:pPr>
      <w:r>
        <w:separator/>
      </w:r>
    </w:p>
  </w:endnote>
  <w:endnote w:type="continuationSeparator" w:id="0">
    <w:p w:rsidR="0083587A" w:rsidRDefault="0083587A"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7B0563">
      <w:rPr>
        <w:rFonts w:ascii="Times New Roman" w:hAnsi="Times New Roman"/>
        <w:noProof/>
      </w:rPr>
      <w:t>674</w:t>
    </w:r>
    <w:r w:rsidRPr="008B5904">
      <w:rPr>
        <w:rFonts w:ascii="Times New Roman" w:hAnsi="Times New Roman"/>
        <w:noProof/>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jc w:val="right"/>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7B0563">
      <w:rPr>
        <w:rFonts w:ascii="Times New Roman" w:hAnsi="Times New Roman"/>
        <w:noProof/>
      </w:rPr>
      <w:t>673</w:t>
    </w:r>
    <w:r w:rsidRPr="008B5904">
      <w:rPr>
        <w:rFonts w:ascii="Times New Roman" w:hAnsi="Times New Roman"/>
        <w:noProof/>
      </w:rPr>
      <w:fldChar w:fldCharType="end"/>
    </w:r>
  </w:p>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87A" w:rsidRDefault="0083587A" w:rsidP="00FB4C59">
      <w:pPr>
        <w:spacing w:after="0" w:line="240" w:lineRule="auto"/>
      </w:pPr>
      <w:r>
        <w:separator/>
      </w:r>
    </w:p>
  </w:footnote>
  <w:footnote w:type="continuationSeparator" w:id="0">
    <w:p w:rsidR="0083587A" w:rsidRDefault="0083587A"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CB9" w:rsidRPr="00E42CB9" w:rsidRDefault="00E42CB9" w:rsidP="00E42CB9">
    <w:pPr>
      <w:spacing w:after="0" w:line="240" w:lineRule="auto"/>
      <w:ind w:left="1710" w:hanging="1710"/>
      <w:outlineLvl w:val="0"/>
      <w:rPr>
        <w:rFonts w:ascii="Times New Roman" w:hAnsi="Times New Roman"/>
        <w:b/>
        <w:color w:val="548DD4" w:themeColor="text2" w:themeTint="99"/>
        <w:sz w:val="20"/>
        <w:szCs w:val="20"/>
      </w:rPr>
    </w:pPr>
    <w:r>
      <w:rPr>
        <w:rFonts w:ascii="Times New Roman" w:hAnsi="Times New Roman"/>
        <w:sz w:val="20"/>
        <w:szCs w:val="20"/>
      </w:rPr>
      <w:t>Nazlee Faisal et al</w:t>
    </w:r>
    <w:r w:rsidR="006B72B0" w:rsidRPr="00E42CB9">
      <w:rPr>
        <w:rFonts w:ascii="Times New Roman" w:hAnsi="Times New Roman"/>
        <w:sz w:val="20"/>
        <w:szCs w:val="20"/>
      </w:rPr>
      <w:t xml:space="preserve">: </w:t>
    </w:r>
    <w:r w:rsidR="00070F31" w:rsidRPr="00E42CB9">
      <w:rPr>
        <w:rFonts w:ascii="Times New Roman" w:hAnsi="Times New Roman"/>
        <w:sz w:val="20"/>
        <w:szCs w:val="20"/>
      </w:rPr>
      <w:t xml:space="preserve"> </w:t>
    </w:r>
    <w:r w:rsidRPr="00E42CB9">
      <w:rPr>
        <w:rFonts w:ascii="Times New Roman" w:hAnsi="Times New Roman"/>
        <w:sz w:val="20"/>
        <w:szCs w:val="20"/>
      </w:rPr>
      <w:t xml:space="preserve"> </w:t>
    </w:r>
    <w:r>
      <w:rPr>
        <w:rFonts w:ascii="Times New Roman" w:hAnsi="Times New Roman"/>
        <w:sz w:val="20"/>
        <w:szCs w:val="20"/>
      </w:rPr>
      <w:tab/>
    </w:r>
    <w:r w:rsidRPr="00E42CB9">
      <w:rPr>
        <w:rFonts w:ascii="Times New Roman" w:hAnsi="Times New Roman"/>
        <w:sz w:val="20"/>
        <w:szCs w:val="20"/>
        <w:lang w:val="en-MY"/>
      </w:rPr>
      <w:t xml:space="preserve">PRELIMINARY STUDIES ON POWER GENERATION BY </w:t>
    </w:r>
    <w:r w:rsidRPr="00E42CB9">
      <w:rPr>
        <w:rFonts w:ascii="Times New Roman" w:hAnsi="Times New Roman"/>
        <w:i/>
        <w:sz w:val="20"/>
        <w:szCs w:val="20"/>
        <w:lang w:val="en-MY"/>
      </w:rPr>
      <w:t>Bacilli E1</w:t>
    </w:r>
    <w:r w:rsidRPr="00E42CB9">
      <w:rPr>
        <w:rFonts w:ascii="Times New Roman" w:hAnsi="Times New Roman"/>
        <w:sz w:val="20"/>
        <w:szCs w:val="20"/>
        <w:lang w:val="en-MY"/>
      </w:rPr>
      <w:t xml:space="preserve"> USING DUAL CHAMBER MICROBIAL FUEL CELL </w:t>
    </w:r>
  </w:p>
  <w:p w:rsidR="00A14DB9" w:rsidRPr="00070F31" w:rsidRDefault="00A14DB9" w:rsidP="00E42CB9">
    <w:pPr>
      <w:autoSpaceDE w:val="0"/>
      <w:autoSpaceDN w:val="0"/>
      <w:adjustRightInd w:val="0"/>
      <w:spacing w:after="0" w:line="240" w:lineRule="auto"/>
      <w:ind w:left="1710" w:hanging="1710"/>
      <w:rPr>
        <w:rFonts w:ascii="Times New Roman" w:hAnsi="Times New Roman"/>
        <w:color w:val="000000" w:themeColor="text1"/>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C234BA">
      <w:rPr>
        <w:rFonts w:ascii="Times New Roman" w:hAnsi="Times New Roman"/>
        <w:i/>
        <w:lang w:val="en-US"/>
      </w:rPr>
      <w:t>21</w:t>
    </w:r>
    <w:r>
      <w:rPr>
        <w:rFonts w:ascii="Times New Roman" w:hAnsi="Times New Roman"/>
        <w:i/>
      </w:rPr>
      <w:t xml:space="preserve"> </w:t>
    </w:r>
    <w:r w:rsidR="000875CD">
      <w:rPr>
        <w:rFonts w:ascii="Times New Roman" w:hAnsi="Times New Roman"/>
        <w:i/>
        <w:lang w:val="en-US"/>
      </w:rPr>
      <w:t>No 3</w:t>
    </w:r>
    <w:r>
      <w:rPr>
        <w:rFonts w:ascii="Times New Roman" w:hAnsi="Times New Roman"/>
        <w:i/>
      </w:rPr>
      <w:t xml:space="preserve"> (201</w:t>
    </w:r>
    <w:r w:rsidR="00C234BA">
      <w:rPr>
        <w:rFonts w:ascii="Times New Roman" w:hAnsi="Times New Roman"/>
        <w:i/>
        <w:lang w:val="en-US"/>
      </w:rPr>
      <w:t>7</w:t>
    </w:r>
    <w:r w:rsidRPr="00D75B35">
      <w:rPr>
        <w:rFonts w:ascii="Times New Roman" w:hAnsi="Times New Roman"/>
        <w:i/>
      </w:rPr>
      <w:t xml:space="preserve">): </w:t>
    </w:r>
    <w:r w:rsidR="0029434A">
      <w:rPr>
        <w:rFonts w:ascii="Times New Roman" w:hAnsi="Times New Roman"/>
        <w:i/>
        <w:lang w:val="en-US"/>
      </w:rPr>
      <w:t>669</w:t>
    </w:r>
    <w:r>
      <w:rPr>
        <w:rFonts w:ascii="Times New Roman" w:hAnsi="Times New Roman"/>
        <w:i/>
        <w:lang w:val="en-US"/>
      </w:rPr>
      <w:t xml:space="preserve"> </w:t>
    </w:r>
    <w:r w:rsidR="007A0583">
      <w:rPr>
        <w:rFonts w:ascii="Times New Roman" w:hAnsi="Times New Roman"/>
        <w:i/>
        <w:lang w:val="en-US"/>
      </w:rPr>
      <w:t>-</w:t>
    </w:r>
    <w:r w:rsidR="0029434A">
      <w:rPr>
        <w:rFonts w:ascii="Times New Roman" w:hAnsi="Times New Roman"/>
        <w:i/>
        <w:lang w:val="en-US"/>
      </w:rPr>
      <w:t xml:space="preserve"> 674</w:t>
    </w:r>
  </w:p>
  <w:p w:rsidR="00F4760B" w:rsidRDefault="00F4760B" w:rsidP="00F4760B">
    <w:pPr>
      <w:pStyle w:val="Header"/>
      <w:jc w:val="right"/>
      <w:rPr>
        <w:rFonts w:ascii="Times New Roman" w:hAnsi="Times New Roman"/>
        <w:i/>
        <w:lang w:val="en-US"/>
      </w:rPr>
    </w:pPr>
    <w:r>
      <w:rPr>
        <w:rFonts w:ascii="Times New Roman" w:hAnsi="Times New Roman"/>
        <w:i/>
        <w:lang w:val="en-US"/>
      </w:rPr>
      <w:t>DOI: http</w:t>
    </w:r>
    <w:r w:rsidR="0003330A">
      <w:rPr>
        <w:rFonts w:ascii="Times New Roman" w:hAnsi="Times New Roman"/>
        <w:i/>
        <w:lang w:val="en-US"/>
      </w:rPr>
      <w:t>s://</w:t>
    </w:r>
    <w:r w:rsidR="00C234BA">
      <w:rPr>
        <w:rFonts w:ascii="Times New Roman" w:hAnsi="Times New Roman"/>
        <w:i/>
        <w:lang w:val="en-US"/>
      </w:rPr>
      <w:t>doi.org/10.17576/mjas-2017-21</w:t>
    </w:r>
    <w:r w:rsidR="00B91DE7">
      <w:rPr>
        <w:rFonts w:ascii="Times New Roman" w:hAnsi="Times New Roman"/>
        <w:i/>
        <w:lang w:val="en-US"/>
      </w:rPr>
      <w:t>0</w:t>
    </w:r>
    <w:r w:rsidR="000875CD">
      <w:rPr>
        <w:rFonts w:ascii="Times New Roman" w:hAnsi="Times New Roman"/>
        <w:i/>
        <w:lang w:val="en-US"/>
      </w:rPr>
      <w:t>3</w:t>
    </w:r>
    <w:r w:rsidR="0029434A">
      <w:rPr>
        <w:rFonts w:ascii="Times New Roman" w:hAnsi="Times New Roman"/>
        <w:i/>
        <w:lang w:val="en-US"/>
      </w:rPr>
      <w:t>-16</w:t>
    </w:r>
  </w:p>
  <w:p w:rsidR="00F4760B" w:rsidRPr="00F4760B" w:rsidRDefault="00F4760B"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30468"/>
    <w:multiLevelType w:val="hybridMultilevel"/>
    <w:tmpl w:val="4F2E0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3330A"/>
    <w:rsid w:val="00070F31"/>
    <w:rsid w:val="00084936"/>
    <w:rsid w:val="000875CD"/>
    <w:rsid w:val="00095ED9"/>
    <w:rsid w:val="000C1D16"/>
    <w:rsid w:val="000C49FF"/>
    <w:rsid w:val="000D16A1"/>
    <w:rsid w:val="000D2B0C"/>
    <w:rsid w:val="000F77DA"/>
    <w:rsid w:val="001068E8"/>
    <w:rsid w:val="001106D8"/>
    <w:rsid w:val="00111143"/>
    <w:rsid w:val="00117BCD"/>
    <w:rsid w:val="00172903"/>
    <w:rsid w:val="001D035A"/>
    <w:rsid w:val="001D3855"/>
    <w:rsid w:val="001D6F2C"/>
    <w:rsid w:val="00277498"/>
    <w:rsid w:val="0028007D"/>
    <w:rsid w:val="002860B7"/>
    <w:rsid w:val="00290F4D"/>
    <w:rsid w:val="0029434A"/>
    <w:rsid w:val="002A2FC0"/>
    <w:rsid w:val="002B188F"/>
    <w:rsid w:val="002B3BD8"/>
    <w:rsid w:val="002F3F91"/>
    <w:rsid w:val="00304767"/>
    <w:rsid w:val="00304B34"/>
    <w:rsid w:val="00361BAF"/>
    <w:rsid w:val="00362FCE"/>
    <w:rsid w:val="00367D1F"/>
    <w:rsid w:val="003B6019"/>
    <w:rsid w:val="003D4CDD"/>
    <w:rsid w:val="003D585B"/>
    <w:rsid w:val="003E7DA6"/>
    <w:rsid w:val="003F12FF"/>
    <w:rsid w:val="00401EB9"/>
    <w:rsid w:val="004760D4"/>
    <w:rsid w:val="00494C46"/>
    <w:rsid w:val="004B43FF"/>
    <w:rsid w:val="004D7E25"/>
    <w:rsid w:val="00502641"/>
    <w:rsid w:val="005C6768"/>
    <w:rsid w:val="005E4871"/>
    <w:rsid w:val="00601C8A"/>
    <w:rsid w:val="00623CB8"/>
    <w:rsid w:val="006257E5"/>
    <w:rsid w:val="00634C25"/>
    <w:rsid w:val="006416AB"/>
    <w:rsid w:val="0065447F"/>
    <w:rsid w:val="006768E9"/>
    <w:rsid w:val="00687982"/>
    <w:rsid w:val="006B3EC8"/>
    <w:rsid w:val="006B72B0"/>
    <w:rsid w:val="006D286E"/>
    <w:rsid w:val="006D695E"/>
    <w:rsid w:val="00725A6A"/>
    <w:rsid w:val="007943F3"/>
    <w:rsid w:val="007A0583"/>
    <w:rsid w:val="007A738C"/>
    <w:rsid w:val="007B0563"/>
    <w:rsid w:val="007B1349"/>
    <w:rsid w:val="007D45AC"/>
    <w:rsid w:val="007E25BD"/>
    <w:rsid w:val="00802C35"/>
    <w:rsid w:val="0082181A"/>
    <w:rsid w:val="00825624"/>
    <w:rsid w:val="0083587A"/>
    <w:rsid w:val="00883CC3"/>
    <w:rsid w:val="008B470E"/>
    <w:rsid w:val="008B5904"/>
    <w:rsid w:val="008D29BF"/>
    <w:rsid w:val="008E1211"/>
    <w:rsid w:val="008E5BBF"/>
    <w:rsid w:val="008E6968"/>
    <w:rsid w:val="009211AF"/>
    <w:rsid w:val="009357B8"/>
    <w:rsid w:val="009866F6"/>
    <w:rsid w:val="009D030D"/>
    <w:rsid w:val="00A14DB9"/>
    <w:rsid w:val="00A4762A"/>
    <w:rsid w:val="00A74A7E"/>
    <w:rsid w:val="00A91EFF"/>
    <w:rsid w:val="00AC0033"/>
    <w:rsid w:val="00AD1B8A"/>
    <w:rsid w:val="00AE713F"/>
    <w:rsid w:val="00AF2305"/>
    <w:rsid w:val="00AF2821"/>
    <w:rsid w:val="00B1121C"/>
    <w:rsid w:val="00B25B65"/>
    <w:rsid w:val="00B2770A"/>
    <w:rsid w:val="00B314AD"/>
    <w:rsid w:val="00B75BF6"/>
    <w:rsid w:val="00B7735A"/>
    <w:rsid w:val="00B91DE7"/>
    <w:rsid w:val="00BA1595"/>
    <w:rsid w:val="00BA1F7B"/>
    <w:rsid w:val="00BB58AF"/>
    <w:rsid w:val="00BE7C30"/>
    <w:rsid w:val="00C055BF"/>
    <w:rsid w:val="00C2226A"/>
    <w:rsid w:val="00C234BA"/>
    <w:rsid w:val="00C93BC0"/>
    <w:rsid w:val="00C94D92"/>
    <w:rsid w:val="00C97340"/>
    <w:rsid w:val="00CA513F"/>
    <w:rsid w:val="00CB3AA6"/>
    <w:rsid w:val="00CC20C2"/>
    <w:rsid w:val="00CF05FF"/>
    <w:rsid w:val="00D340BB"/>
    <w:rsid w:val="00D505D5"/>
    <w:rsid w:val="00D75002"/>
    <w:rsid w:val="00D75B35"/>
    <w:rsid w:val="00D76E09"/>
    <w:rsid w:val="00D9736F"/>
    <w:rsid w:val="00D9792A"/>
    <w:rsid w:val="00DD377F"/>
    <w:rsid w:val="00E25547"/>
    <w:rsid w:val="00E3287E"/>
    <w:rsid w:val="00E42CB9"/>
    <w:rsid w:val="00E54D12"/>
    <w:rsid w:val="00E66197"/>
    <w:rsid w:val="00EF2A03"/>
    <w:rsid w:val="00F31093"/>
    <w:rsid w:val="00F412AF"/>
    <w:rsid w:val="00F43667"/>
    <w:rsid w:val="00F447A7"/>
    <w:rsid w:val="00F4760B"/>
    <w:rsid w:val="00FB4C59"/>
    <w:rsid w:val="00FE0572"/>
    <w:rsid w:val="00FF7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 w:type="table" w:styleId="TableGrid">
    <w:name w:val="Table Grid"/>
    <w:basedOn w:val="TableNormal"/>
    <w:uiPriority w:val="59"/>
    <w:rsid w:val="00095ED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 w:type="table" w:styleId="TableGrid">
    <w:name w:val="Table Grid"/>
    <w:basedOn w:val="TableNormal"/>
    <w:uiPriority w:val="59"/>
    <w:rsid w:val="00095ED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E40D0D-8FFC-4803-AA2F-7BA6D1442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2771</Words>
  <Characters>15104</Characters>
  <Application>Microsoft Office Word</Application>
  <DocSecurity>0</DocSecurity>
  <Lines>279</Lines>
  <Paragraphs>115</Paragraphs>
  <ScaleCrop>false</ScaleCrop>
  <HeadingPairs>
    <vt:vector size="2" baseType="variant">
      <vt:variant>
        <vt:lpstr>Title</vt:lpstr>
      </vt:variant>
      <vt:variant>
        <vt:i4>1</vt:i4>
      </vt:variant>
    </vt:vector>
  </HeadingPairs>
  <TitlesOfParts>
    <vt:vector size="1" baseType="lpstr">
      <vt:lpstr>MJAS Vol 21 No 3 (2017)</vt:lpstr>
    </vt:vector>
  </TitlesOfParts>
  <Company>UKM</Company>
  <LinksUpToDate>false</LinksUpToDate>
  <CharactersWithSpaces>17760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21 No 3 (2017)</dc:title>
  <dc:creator>Harun Hj Hamzah</dc:creator>
  <cp:lastModifiedBy>Harun Hamzah</cp:lastModifiedBy>
  <cp:revision>10</cp:revision>
  <cp:lastPrinted>2017-06-11T04:05:00Z</cp:lastPrinted>
  <dcterms:created xsi:type="dcterms:W3CDTF">2017-05-23T11:40:00Z</dcterms:created>
  <dcterms:modified xsi:type="dcterms:W3CDTF">2017-06-11T04:06:00Z</dcterms:modified>
</cp:coreProperties>
</file>