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4FA8" w:rsidRPr="00E3287E" w:rsidRDefault="007D4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D4FA8" w:rsidRDefault="007D4FA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7D4FA8" w:rsidRPr="00E3287E" w:rsidRDefault="007D4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D4FA8" w:rsidRDefault="007D4FA8"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C436E" w:rsidRDefault="00DC436E" w:rsidP="00DC436E">
      <w:pPr>
        <w:spacing w:after="0" w:line="240" w:lineRule="auto"/>
        <w:jc w:val="center"/>
        <w:outlineLvl w:val="0"/>
        <w:rPr>
          <w:rFonts w:ascii="Times New Roman" w:hAnsi="Times New Roman"/>
          <w:sz w:val="28"/>
        </w:rPr>
      </w:pPr>
      <w:r w:rsidRPr="00B943E9">
        <w:rPr>
          <w:rFonts w:ascii="Times New Roman" w:hAnsi="Times New Roman"/>
          <w:sz w:val="28"/>
        </w:rPr>
        <w:t>DEVELOPMENT AND VALIDATION OF A R</w:t>
      </w:r>
      <w:r>
        <w:rPr>
          <w:rFonts w:ascii="Times New Roman" w:hAnsi="Times New Roman"/>
          <w:sz w:val="28"/>
        </w:rPr>
        <w:t xml:space="preserve">EVERSE </w:t>
      </w:r>
      <w:r w:rsidRPr="00B943E9">
        <w:rPr>
          <w:rFonts w:ascii="Times New Roman" w:hAnsi="Times New Roman"/>
          <w:sz w:val="28"/>
        </w:rPr>
        <w:t>P</w:t>
      </w:r>
      <w:r>
        <w:rPr>
          <w:rFonts w:ascii="Times New Roman" w:hAnsi="Times New Roman"/>
          <w:sz w:val="28"/>
        </w:rPr>
        <w:t>HASE</w:t>
      </w:r>
      <w:r w:rsidRPr="00B943E9">
        <w:rPr>
          <w:rFonts w:ascii="Times New Roman" w:hAnsi="Times New Roman"/>
          <w:sz w:val="28"/>
        </w:rPr>
        <w:t>-H</w:t>
      </w:r>
      <w:r>
        <w:rPr>
          <w:rFonts w:ascii="Times New Roman" w:hAnsi="Times New Roman"/>
          <w:sz w:val="28"/>
        </w:rPr>
        <w:t xml:space="preserve">IGH </w:t>
      </w:r>
      <w:r w:rsidRPr="00B943E9">
        <w:rPr>
          <w:rFonts w:ascii="Times New Roman" w:hAnsi="Times New Roman"/>
          <w:sz w:val="28"/>
        </w:rPr>
        <w:t>P</w:t>
      </w:r>
      <w:r>
        <w:rPr>
          <w:rFonts w:ascii="Times New Roman" w:hAnsi="Times New Roman"/>
          <w:sz w:val="28"/>
        </w:rPr>
        <w:t xml:space="preserve">ERFORMANCE </w:t>
      </w:r>
      <w:r w:rsidRPr="00B943E9">
        <w:rPr>
          <w:rFonts w:ascii="Times New Roman" w:hAnsi="Times New Roman"/>
          <w:sz w:val="28"/>
        </w:rPr>
        <w:t>L</w:t>
      </w:r>
      <w:r>
        <w:rPr>
          <w:rFonts w:ascii="Times New Roman" w:hAnsi="Times New Roman"/>
          <w:sz w:val="28"/>
        </w:rPr>
        <w:t xml:space="preserve">IQUID </w:t>
      </w:r>
      <w:r w:rsidRPr="00B943E9">
        <w:rPr>
          <w:rFonts w:ascii="Times New Roman" w:hAnsi="Times New Roman"/>
          <w:sz w:val="28"/>
        </w:rPr>
        <w:t>C</w:t>
      </w:r>
      <w:r>
        <w:rPr>
          <w:rFonts w:ascii="Times New Roman" w:hAnsi="Times New Roman"/>
          <w:sz w:val="28"/>
        </w:rPr>
        <w:t>HROMATOGRAPHY</w:t>
      </w:r>
      <w:r w:rsidRPr="00B943E9">
        <w:rPr>
          <w:rFonts w:ascii="Times New Roman" w:hAnsi="Times New Roman"/>
          <w:sz w:val="28"/>
        </w:rPr>
        <w:t>-U</w:t>
      </w:r>
      <w:r>
        <w:rPr>
          <w:rFonts w:ascii="Times New Roman" w:hAnsi="Times New Roman"/>
          <w:sz w:val="28"/>
        </w:rPr>
        <w:t>LTRAVIOLET</w:t>
      </w:r>
      <w:r w:rsidRPr="00B943E9">
        <w:rPr>
          <w:rFonts w:ascii="Times New Roman" w:hAnsi="Times New Roman"/>
          <w:sz w:val="28"/>
        </w:rPr>
        <w:t xml:space="preserve"> METHOD FOR SIMULTANEOUS DETECTION OF</w:t>
      </w:r>
      <w:r w:rsidR="007D4FA8">
        <w:rPr>
          <w:rFonts w:ascii="Times New Roman" w:hAnsi="Times New Roman"/>
          <w:sz w:val="28"/>
        </w:rPr>
        <w:t xml:space="preserve"> </w:t>
      </w:r>
      <w:r w:rsidRPr="00B943E9">
        <w:rPr>
          <w:rFonts w:ascii="Times New Roman" w:hAnsi="Times New Roman"/>
          <w:sz w:val="28"/>
        </w:rPr>
        <w:t>CAFFEINE AND PHENOLPHTHALEIN IN</w:t>
      </w:r>
      <w:r>
        <w:rPr>
          <w:rFonts w:ascii="Times New Roman" w:hAnsi="Times New Roman"/>
          <w:sz w:val="28"/>
        </w:rPr>
        <w:t xml:space="preserve"> </w:t>
      </w:r>
      <w:r w:rsidRPr="00B943E9">
        <w:rPr>
          <w:rFonts w:ascii="Times New Roman" w:hAnsi="Times New Roman"/>
          <w:sz w:val="28"/>
        </w:rPr>
        <w:t>WEIGHT REDUCING SUPPLEMENTS</w:t>
      </w:r>
    </w:p>
    <w:p w:rsidR="00DC436E" w:rsidRPr="00DC436E" w:rsidRDefault="00DC436E" w:rsidP="00DC436E">
      <w:pPr>
        <w:spacing w:after="0" w:line="240" w:lineRule="auto"/>
        <w:jc w:val="center"/>
        <w:outlineLvl w:val="0"/>
        <w:rPr>
          <w:rFonts w:ascii="Times New Roman" w:hAnsi="Times New Roman"/>
          <w:sz w:val="24"/>
          <w:szCs w:val="24"/>
        </w:rPr>
      </w:pPr>
    </w:p>
    <w:p w:rsidR="00DC436E" w:rsidRPr="004A078C" w:rsidRDefault="00DC436E" w:rsidP="00DC436E">
      <w:pPr>
        <w:spacing w:after="0" w:line="240" w:lineRule="auto"/>
        <w:jc w:val="center"/>
        <w:rPr>
          <w:rFonts w:ascii="Times New Roman" w:eastAsia="Batang" w:hAnsi="Times New Roman"/>
          <w:bCs/>
          <w:noProof/>
          <w:kern w:val="24"/>
          <w:sz w:val="24"/>
          <w:szCs w:val="24"/>
          <w:lang w:val="ms-MY"/>
        </w:rPr>
      </w:pPr>
      <w:r w:rsidRPr="004A078C">
        <w:rPr>
          <w:rFonts w:ascii="Times New Roman" w:hAnsi="Times New Roman"/>
          <w:noProof/>
          <w:sz w:val="24"/>
          <w:szCs w:val="24"/>
          <w:lang w:val="ms-MY"/>
        </w:rPr>
        <w:t>(</w:t>
      </w:r>
      <w:r w:rsidRPr="004A078C">
        <w:rPr>
          <w:rFonts w:ascii="Times New Roman" w:eastAsia="Batang" w:hAnsi="Times New Roman"/>
          <w:bCs/>
          <w:noProof/>
          <w:kern w:val="24"/>
          <w:sz w:val="24"/>
          <w:szCs w:val="24"/>
          <w:lang w:val="ms-MY"/>
        </w:rPr>
        <w:t xml:space="preserve">Pembangunan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 xml:space="preserve">an Pengesahsahihan Kaedah Fasa Terbalik-Kromatografi Cecair Prestasi Tinggi Ultraungu </w:t>
      </w:r>
      <w:r>
        <w:rPr>
          <w:rFonts w:ascii="Times New Roman" w:eastAsia="Batang" w:hAnsi="Times New Roman"/>
          <w:bCs/>
          <w:noProof/>
          <w:kern w:val="24"/>
          <w:sz w:val="24"/>
          <w:szCs w:val="24"/>
          <w:lang w:val="ms-MY"/>
        </w:rPr>
        <w:t>b</w:t>
      </w:r>
      <w:r w:rsidRPr="004A078C">
        <w:rPr>
          <w:rFonts w:ascii="Times New Roman" w:eastAsia="Batang" w:hAnsi="Times New Roman"/>
          <w:bCs/>
          <w:noProof/>
          <w:kern w:val="24"/>
          <w:sz w:val="24"/>
          <w:szCs w:val="24"/>
          <w:lang w:val="ms-MY"/>
        </w:rPr>
        <w:t xml:space="preserve">agi Pengesanan Kafein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an Fenolftalein Dalam</w:t>
      </w:r>
      <w:r>
        <w:rPr>
          <w:rFonts w:ascii="Times New Roman" w:eastAsia="Batang" w:hAnsi="Times New Roman"/>
          <w:bCs/>
          <w:noProof/>
          <w:kern w:val="24"/>
          <w:sz w:val="24"/>
          <w:szCs w:val="24"/>
          <w:lang w:val="ms-MY"/>
        </w:rPr>
        <w:t xml:space="preserve"> Suplemen Pengurangan</w:t>
      </w:r>
      <w:r w:rsidR="001A1401">
        <w:rPr>
          <w:rFonts w:ascii="Times New Roman" w:eastAsia="Batang" w:hAnsi="Times New Roman"/>
          <w:bCs/>
          <w:noProof/>
          <w:kern w:val="24"/>
          <w:sz w:val="24"/>
          <w:szCs w:val="24"/>
          <w:lang w:val="ms-MY"/>
        </w:rPr>
        <w:t xml:space="preserve"> Berat </w:t>
      </w:r>
      <w:r w:rsidRPr="004A078C">
        <w:rPr>
          <w:rFonts w:ascii="Times New Roman" w:eastAsia="Batang" w:hAnsi="Times New Roman"/>
          <w:bCs/>
          <w:noProof/>
          <w:kern w:val="24"/>
          <w:sz w:val="24"/>
          <w:szCs w:val="24"/>
          <w:lang w:val="ms-MY"/>
        </w:rPr>
        <w:t>Badan)</w:t>
      </w:r>
    </w:p>
    <w:p w:rsidR="00DC436E" w:rsidRPr="00DC436E" w:rsidRDefault="00DC436E" w:rsidP="00DC436E">
      <w:pPr>
        <w:spacing w:after="0" w:line="240" w:lineRule="auto"/>
        <w:jc w:val="center"/>
        <w:rPr>
          <w:rFonts w:ascii="Times New Roman" w:eastAsia="Batang" w:hAnsi="Times New Roman"/>
          <w:bCs/>
          <w:kern w:val="24"/>
          <w:sz w:val="20"/>
          <w:szCs w:val="20"/>
        </w:rPr>
      </w:pPr>
    </w:p>
    <w:p w:rsidR="00DC436E" w:rsidRPr="00D11CD9" w:rsidRDefault="00DC436E" w:rsidP="00DC436E">
      <w:pPr>
        <w:spacing w:after="0" w:line="240" w:lineRule="auto"/>
        <w:jc w:val="center"/>
        <w:rPr>
          <w:rFonts w:ascii="Times New Roman" w:eastAsia="Batang" w:hAnsi="Times New Roman"/>
          <w:bCs/>
          <w:kern w:val="24"/>
          <w:sz w:val="20"/>
          <w:szCs w:val="20"/>
        </w:rPr>
      </w:pPr>
      <w:r w:rsidRPr="00D11CD9">
        <w:rPr>
          <w:rFonts w:ascii="Times New Roman" w:eastAsia="Batang" w:hAnsi="Times New Roman"/>
          <w:bCs/>
          <w:kern w:val="24"/>
          <w:sz w:val="20"/>
          <w:szCs w:val="20"/>
        </w:rPr>
        <w:t>Elham Mohammadi Nasr and Lai Chun Wong*</w:t>
      </w:r>
    </w:p>
    <w:p w:rsidR="00AC0033" w:rsidRPr="00F447A7" w:rsidRDefault="00AC0033" w:rsidP="00AC0033">
      <w:pPr>
        <w:spacing w:after="0" w:line="240" w:lineRule="auto"/>
        <w:jc w:val="center"/>
        <w:rPr>
          <w:rFonts w:ascii="Times New Roman" w:hAnsi="Times New Roman"/>
          <w:noProof/>
          <w:sz w:val="18"/>
          <w:szCs w:val="18"/>
          <w:lang w:bidi="ar-SA"/>
        </w:rPr>
      </w:pPr>
    </w:p>
    <w:p w:rsidR="00DC436E" w:rsidRDefault="00DC436E" w:rsidP="00DC436E">
      <w:pPr>
        <w:spacing w:after="0"/>
        <w:jc w:val="center"/>
        <w:outlineLvl w:val="0"/>
        <w:rPr>
          <w:rFonts w:ascii="Times New Roman" w:hAnsi="Times New Roman"/>
          <w:i/>
          <w:sz w:val="18"/>
          <w:szCs w:val="18"/>
        </w:rPr>
      </w:pPr>
      <w:r>
        <w:rPr>
          <w:rFonts w:ascii="Times New Roman" w:hAnsi="Times New Roman"/>
          <w:i/>
          <w:sz w:val="18"/>
          <w:szCs w:val="18"/>
        </w:rPr>
        <w:t>Department of Pharmaceutical Chemistry, S</w:t>
      </w:r>
      <w:r w:rsidRPr="00A415C1">
        <w:rPr>
          <w:rFonts w:ascii="Times New Roman" w:hAnsi="Times New Roman"/>
          <w:i/>
          <w:sz w:val="18"/>
          <w:szCs w:val="18"/>
        </w:rPr>
        <w:t>chool</w:t>
      </w:r>
      <w:r>
        <w:rPr>
          <w:rFonts w:ascii="Times New Roman" w:hAnsi="Times New Roman"/>
          <w:i/>
          <w:sz w:val="18"/>
          <w:szCs w:val="18"/>
        </w:rPr>
        <w:t xml:space="preserve"> of Pharmacy, </w:t>
      </w:r>
    </w:p>
    <w:p w:rsidR="00DC436E" w:rsidRDefault="00DC436E" w:rsidP="00DC436E">
      <w:pPr>
        <w:spacing w:after="0"/>
        <w:jc w:val="center"/>
        <w:outlineLvl w:val="0"/>
        <w:rPr>
          <w:rFonts w:ascii="Times New Roman" w:hAnsi="Times New Roman"/>
          <w:i/>
          <w:sz w:val="18"/>
          <w:szCs w:val="18"/>
        </w:rPr>
      </w:pPr>
      <w:r>
        <w:rPr>
          <w:rFonts w:ascii="Times New Roman" w:hAnsi="Times New Roman"/>
          <w:i/>
          <w:sz w:val="18"/>
          <w:szCs w:val="18"/>
        </w:rPr>
        <w:t>International Medical University, 57000 Kuala Lumpur, Malaysia</w:t>
      </w:r>
    </w:p>
    <w:p w:rsidR="00AC0033" w:rsidRPr="00F447A7" w:rsidRDefault="00AC0033" w:rsidP="00DC436E">
      <w:pPr>
        <w:spacing w:after="0" w:line="240" w:lineRule="auto"/>
        <w:jc w:val="center"/>
        <w:rPr>
          <w:rFonts w:ascii="Times New Roman" w:hAnsi="Times New Roman"/>
          <w:noProof/>
          <w:sz w:val="18"/>
          <w:szCs w:val="18"/>
          <w:lang w:bidi="ar-SA"/>
        </w:rPr>
      </w:pPr>
    </w:p>
    <w:p w:rsidR="00AC0033" w:rsidRPr="00F447A7" w:rsidRDefault="00AC0033" w:rsidP="00DC436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DC436E">
        <w:rPr>
          <w:rFonts w:ascii="Times New Roman" w:hAnsi="Times New Roman"/>
          <w:i/>
          <w:sz w:val="18"/>
        </w:rPr>
        <w:t>laichunwong@imu.edu.my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83E29">
        <w:rPr>
          <w:rFonts w:ascii="Times New Roman" w:hAnsi="Times New Roman"/>
          <w:noProof/>
          <w:sz w:val="18"/>
          <w:szCs w:val="18"/>
          <w:lang w:bidi="ar-SA"/>
        </w:rPr>
        <w:t>13 May 2016</w:t>
      </w:r>
      <w:r>
        <w:rPr>
          <w:rFonts w:ascii="Times New Roman" w:hAnsi="Times New Roman"/>
          <w:noProof/>
          <w:sz w:val="18"/>
          <w:szCs w:val="18"/>
          <w:lang w:bidi="ar-SA"/>
        </w:rPr>
        <w:t xml:space="preserve">; Accepted: </w:t>
      </w:r>
      <w:r w:rsidR="00B83E29">
        <w:rPr>
          <w:rFonts w:ascii="Times New Roman" w:hAnsi="Times New Roman"/>
          <w:noProof/>
          <w:sz w:val="18"/>
          <w:szCs w:val="18"/>
          <w:lang w:bidi="ar-SA"/>
        </w:rPr>
        <w:t>12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C436E" w:rsidRPr="00DD2C8B" w:rsidRDefault="00DC436E" w:rsidP="00DD2C8B">
      <w:pPr>
        <w:spacing w:after="0" w:line="240" w:lineRule="auto"/>
        <w:jc w:val="both"/>
        <w:rPr>
          <w:rFonts w:ascii="Times New Roman" w:eastAsia="Batang" w:hAnsi="Times New Roman"/>
          <w:bCs/>
          <w:kern w:val="24"/>
          <w:sz w:val="18"/>
          <w:szCs w:val="18"/>
        </w:rPr>
      </w:pPr>
      <w:r w:rsidRPr="00DD2C8B">
        <w:rPr>
          <w:rFonts w:ascii="Times New Roman" w:eastAsia="Batang" w:hAnsi="Times New Roman"/>
          <w:bCs/>
          <w:kern w:val="24"/>
          <w:sz w:val="18"/>
          <w:szCs w:val="18"/>
        </w:rPr>
        <w:t xml:space="preserve">A reversed-phase high performance liquid chromatography analytical method with variable wavelength detection was developed for the simultaneous detection of caffeine and phenolphthalein in weight reducing supplements. Chromatographic separation was achieved with a C18 reversed-phase column using a gradient elution of methanol and an ammonium acetate buffer (pH 5; 25 mM), with the detector wavelength set at 254 nm. The method was validated according to The International Conference on Harmonisation of Technical Requirements for Registration of Pharmaceuticals for Human Use guidelines. The method was proven to be linear over a concentration of 10 – 100 μg/mL for both caffeine and phenolphthalein, with mean correlation coefficients of 1.000 and 0.999, respectively. The limit of detection for caffeine and phenolphthalein was 0.77 μg/mL and 0.47 μg/mL respectively, while the limit of quantification for caffeine and phenolphthalein was 2.35 μg/mL and </w:t>
      </w:r>
      <w:r w:rsidRPr="00DD2C8B">
        <w:rPr>
          <w:rFonts w:ascii="Times New Roman" w:hAnsi="Times New Roman"/>
          <w:color w:val="000000"/>
          <w:sz w:val="18"/>
          <w:szCs w:val="18"/>
        </w:rPr>
        <w:t xml:space="preserve">1.44 </w:t>
      </w:r>
      <w:r w:rsidRPr="00DD2C8B">
        <w:rPr>
          <w:rFonts w:ascii="Times New Roman" w:eastAsia="Batang" w:hAnsi="Times New Roman"/>
          <w:bCs/>
          <w:kern w:val="24"/>
          <w:sz w:val="18"/>
          <w:szCs w:val="18"/>
        </w:rPr>
        <w:t xml:space="preserve">μg/mL, resspectively. The percentage relative standard deviation for both intra and inter-day precision was less than 2%. The mean recovery values were calculated as 105.84% and 113.58% for caffeine and phenolphthalein. In addition, the method was proven to be robust when deliberate changes in flow rate, buffer pH and organic mobile phase composition were tested. </w:t>
      </w:r>
    </w:p>
    <w:p w:rsidR="00DC436E" w:rsidRPr="00DD2C8B" w:rsidRDefault="00DC436E" w:rsidP="00DD2C8B">
      <w:pPr>
        <w:spacing w:after="0" w:line="240" w:lineRule="auto"/>
        <w:jc w:val="both"/>
        <w:outlineLvl w:val="0"/>
        <w:rPr>
          <w:rFonts w:ascii="Times New Roman" w:hAnsi="Times New Roman"/>
          <w:sz w:val="18"/>
          <w:szCs w:val="18"/>
        </w:rPr>
      </w:pPr>
    </w:p>
    <w:p w:rsidR="00DC436E" w:rsidRPr="00DD2C8B" w:rsidRDefault="00DC436E" w:rsidP="00DD2C8B">
      <w:pPr>
        <w:spacing w:after="0" w:line="240" w:lineRule="auto"/>
        <w:ind w:left="993" w:hanging="993"/>
        <w:jc w:val="both"/>
        <w:outlineLvl w:val="0"/>
        <w:rPr>
          <w:rFonts w:ascii="Times New Roman" w:hAnsi="Times New Roman"/>
          <w:b/>
          <w:color w:val="548DD4" w:themeColor="text2" w:themeTint="99"/>
          <w:sz w:val="18"/>
          <w:szCs w:val="18"/>
        </w:rPr>
      </w:pPr>
      <w:r w:rsidRPr="00DD2C8B">
        <w:rPr>
          <w:rFonts w:ascii="Times New Roman" w:hAnsi="Times New Roman"/>
          <w:b/>
          <w:sz w:val="18"/>
          <w:szCs w:val="18"/>
        </w:rPr>
        <w:t>Keywords</w:t>
      </w:r>
      <w:r w:rsidR="00CD15EE">
        <w:rPr>
          <w:rFonts w:ascii="Times New Roman" w:hAnsi="Times New Roman"/>
          <w:sz w:val="18"/>
          <w:szCs w:val="18"/>
        </w:rPr>
        <w:t xml:space="preserve">: </w:t>
      </w:r>
      <w:r w:rsidRPr="00DD2C8B">
        <w:rPr>
          <w:rFonts w:ascii="Times New Roman" w:eastAsia="Batang" w:hAnsi="Times New Roman"/>
          <w:bCs/>
          <w:kern w:val="24"/>
          <w:sz w:val="18"/>
          <w:szCs w:val="18"/>
        </w:rPr>
        <w:t>caffeine, phenolphthalein, high performance liquid chromatography, validation, weight reducing supplement</w:t>
      </w:r>
      <w:r w:rsidRPr="00DD2C8B">
        <w:rPr>
          <w:rFonts w:ascii="Times New Roman" w:hAnsi="Times New Roman"/>
          <w:b/>
          <w:color w:val="548DD4" w:themeColor="text2" w:themeTint="99"/>
          <w:sz w:val="18"/>
          <w:szCs w:val="18"/>
        </w:rPr>
        <w:t xml:space="preserve"> </w:t>
      </w:r>
    </w:p>
    <w:p w:rsidR="00DC436E" w:rsidRPr="00DD2C8B" w:rsidRDefault="00DC436E" w:rsidP="00DD2C8B">
      <w:pPr>
        <w:spacing w:after="0" w:line="240" w:lineRule="auto"/>
        <w:jc w:val="center"/>
        <w:outlineLvl w:val="0"/>
        <w:rPr>
          <w:rFonts w:ascii="Times New Roman" w:hAnsi="Times New Roman"/>
          <w:color w:val="548DD4" w:themeColor="text2" w:themeTint="99"/>
          <w:sz w:val="18"/>
          <w:szCs w:val="18"/>
        </w:rPr>
      </w:pPr>
    </w:p>
    <w:p w:rsidR="00DC436E" w:rsidRPr="00DD2C8B" w:rsidRDefault="00DC436E" w:rsidP="00DD2C8B">
      <w:pPr>
        <w:spacing w:after="0" w:line="240" w:lineRule="auto"/>
        <w:jc w:val="center"/>
        <w:outlineLvl w:val="0"/>
        <w:rPr>
          <w:rFonts w:ascii="Times New Roman" w:hAnsi="Times New Roman"/>
          <w:b/>
          <w:noProof/>
          <w:sz w:val="18"/>
          <w:szCs w:val="18"/>
          <w:lang w:val="ms-MY"/>
        </w:rPr>
      </w:pPr>
      <w:r w:rsidRPr="00DD2C8B">
        <w:rPr>
          <w:rFonts w:ascii="Times New Roman" w:hAnsi="Times New Roman"/>
          <w:b/>
          <w:noProof/>
          <w:sz w:val="18"/>
          <w:szCs w:val="18"/>
          <w:lang w:val="ms-MY"/>
        </w:rPr>
        <w:t>Abstrak</w:t>
      </w:r>
    </w:p>
    <w:p w:rsidR="00DC436E" w:rsidRPr="00DD2C8B" w:rsidRDefault="00DC436E" w:rsidP="00DD2C8B">
      <w:pPr>
        <w:spacing w:after="0" w:line="240" w:lineRule="auto"/>
        <w:jc w:val="both"/>
        <w:rPr>
          <w:rFonts w:ascii="Times New Roman" w:eastAsia="Batang" w:hAnsi="Times New Roman"/>
          <w:bCs/>
          <w:noProof/>
          <w:kern w:val="24"/>
          <w:sz w:val="18"/>
          <w:szCs w:val="18"/>
          <w:lang w:val="ms-MY"/>
        </w:rPr>
      </w:pPr>
      <w:r w:rsidRPr="00DD2C8B">
        <w:rPr>
          <w:rFonts w:ascii="Times New Roman" w:eastAsia="Batang" w:hAnsi="Times New Roman"/>
          <w:bCs/>
          <w:noProof/>
          <w:kern w:val="24"/>
          <w:sz w:val="18"/>
          <w:szCs w:val="18"/>
          <w:lang w:val="ms-MY"/>
        </w:rPr>
        <w:t>Satu kaedah analitikal kromatografi cecair prestasi tinggi (KCPT) fasa terbalik dengan pengesanan pada pelbagai panjang gel</w:t>
      </w:r>
      <w:r w:rsidR="007D4FA8">
        <w:rPr>
          <w:rFonts w:ascii="Times New Roman" w:eastAsia="Batang" w:hAnsi="Times New Roman"/>
          <w:bCs/>
          <w:noProof/>
          <w:kern w:val="24"/>
          <w:sz w:val="18"/>
          <w:szCs w:val="18"/>
          <w:lang w:val="ms-MY"/>
        </w:rPr>
        <w:t>o</w:t>
      </w:r>
      <w:r w:rsidRPr="00DD2C8B">
        <w:rPr>
          <w:rFonts w:ascii="Times New Roman" w:eastAsia="Batang" w:hAnsi="Times New Roman"/>
          <w:bCs/>
          <w:noProof/>
          <w:kern w:val="24"/>
          <w:sz w:val="18"/>
          <w:szCs w:val="18"/>
          <w:lang w:val="ms-MY"/>
        </w:rPr>
        <w:t xml:space="preserve">mbang telah dibangunkan untuk  pengesahan kafein dan fenolftalein dalam suplemen pengurangan berat badan. Pemisahan kromatografik dicapai dengan turus fasa terbalik C18 menggunakan kecerunan elusi metanol dan penampan ammonium asetat (pH 5; 25 mM), pada panjang gelombong </w:t>
      </w:r>
      <w:r w:rsidRPr="00DD2C8B">
        <w:rPr>
          <w:rFonts w:ascii="Times New Roman" w:hAnsi="Times New Roman"/>
          <w:noProof/>
          <w:sz w:val="18"/>
          <w:szCs w:val="18"/>
          <w:lang w:val="ms-MY"/>
        </w:rPr>
        <w:sym w:font="Symbol" w:char="F06C"/>
      </w:r>
      <w:r w:rsidRPr="00DD2C8B">
        <w:rPr>
          <w:rFonts w:ascii="Times New Roman" w:hAnsi="Times New Roman"/>
          <w:noProof/>
          <w:sz w:val="18"/>
          <w:szCs w:val="18"/>
          <w:lang w:val="ms-MY"/>
        </w:rPr>
        <w:t xml:space="preserve"> = 254 nm. Kaedah ini telah ditentusahkan mengikut garis panduan harmonisasi persidangan antarabangsa keperluan teknikal untuk pendaftaran famaseutikal bagi pengunaan manusia. Kaedah ini dibuktikan linear dalam julat kepekatan larutan piawai kafein dan </w:t>
      </w:r>
      <w:r w:rsidRPr="00DD2C8B">
        <w:rPr>
          <w:rFonts w:ascii="Times New Roman" w:eastAsia="Batang" w:hAnsi="Times New Roman"/>
          <w:bCs/>
          <w:noProof/>
          <w:kern w:val="24"/>
          <w:sz w:val="18"/>
          <w:szCs w:val="18"/>
          <w:lang w:val="ms-MY"/>
        </w:rPr>
        <w:t>fenolftalein</w:t>
      </w:r>
      <w:r w:rsidRPr="00DD2C8B">
        <w:rPr>
          <w:rFonts w:ascii="Times New Roman" w:hAnsi="Times New Roman"/>
          <w:noProof/>
          <w:sz w:val="18"/>
          <w:szCs w:val="18"/>
          <w:lang w:val="ms-MY"/>
        </w:rPr>
        <w:t xml:space="preserve"> di antara </w:t>
      </w:r>
      <w:r w:rsidRPr="00DD2C8B">
        <w:rPr>
          <w:rFonts w:ascii="Times New Roman" w:eastAsia="Batang" w:hAnsi="Times New Roman"/>
          <w:bCs/>
          <w:noProof/>
          <w:kern w:val="24"/>
          <w:sz w:val="18"/>
          <w:szCs w:val="18"/>
          <w:lang w:val="ms-MY"/>
        </w:rPr>
        <w:t>10 – 100 μg/mL dengan nilai pekali korelasi (R</w:t>
      </w:r>
      <w:r w:rsidRPr="00DD2C8B">
        <w:rPr>
          <w:rFonts w:ascii="Times New Roman" w:eastAsia="Batang" w:hAnsi="Times New Roman"/>
          <w:bCs/>
          <w:noProof/>
          <w:kern w:val="24"/>
          <w:sz w:val="18"/>
          <w:szCs w:val="18"/>
          <w:vertAlign w:val="superscript"/>
          <w:lang w:val="ms-MY"/>
        </w:rPr>
        <w:t>2</w:t>
      </w:r>
      <w:r w:rsidRPr="00DD2C8B">
        <w:rPr>
          <w:rFonts w:ascii="Times New Roman" w:eastAsia="Batang" w:hAnsi="Times New Roman"/>
          <w:bCs/>
          <w:noProof/>
          <w:kern w:val="24"/>
          <w:sz w:val="18"/>
          <w:szCs w:val="18"/>
          <w:lang w:val="ms-MY"/>
        </w:rPr>
        <w:t xml:space="preserve">) 1.000 dan 0.999 untuk masing – masing bagi kafein dan fenolftalein. Had pengesanan bagi </w:t>
      </w:r>
      <w:r w:rsidR="00AD2272">
        <w:rPr>
          <w:rFonts w:ascii="Times New Roman" w:eastAsia="Batang" w:hAnsi="Times New Roman"/>
          <w:bCs/>
          <w:noProof/>
          <w:kern w:val="24"/>
          <w:sz w:val="18"/>
          <w:szCs w:val="18"/>
          <w:lang w:val="ms-MY"/>
        </w:rPr>
        <w:t>kafein dan fenolftalein masing-</w:t>
      </w:r>
      <w:r w:rsidRPr="00DD2C8B">
        <w:rPr>
          <w:rFonts w:ascii="Times New Roman" w:eastAsia="Batang" w:hAnsi="Times New Roman"/>
          <w:bCs/>
          <w:noProof/>
          <w:kern w:val="24"/>
          <w:sz w:val="18"/>
          <w:szCs w:val="18"/>
          <w:lang w:val="ms-MY"/>
        </w:rPr>
        <w:t xml:space="preserve"> masing ialah 0.77 μg/mL and 0.47 μg/mL. Keputusan had kuantifikasi bagi kafein dan </w:t>
      </w:r>
      <w:r w:rsidR="007D4FA8" w:rsidRPr="00DD2C8B">
        <w:rPr>
          <w:rFonts w:ascii="Times New Roman" w:eastAsia="Batang" w:hAnsi="Times New Roman"/>
          <w:bCs/>
          <w:noProof/>
          <w:kern w:val="24"/>
          <w:sz w:val="18"/>
          <w:szCs w:val="18"/>
          <w:lang w:val="ms-MY"/>
        </w:rPr>
        <w:t>fenolftalein</w:t>
      </w:r>
      <w:r w:rsidR="007D4FA8">
        <w:rPr>
          <w:rFonts w:ascii="Times New Roman" w:eastAsia="Batang" w:hAnsi="Times New Roman"/>
          <w:bCs/>
          <w:noProof/>
          <w:kern w:val="24"/>
          <w:sz w:val="18"/>
          <w:szCs w:val="18"/>
          <w:lang w:val="ms-MY"/>
        </w:rPr>
        <w:t xml:space="preserve"> masing-</w:t>
      </w:r>
      <w:r w:rsidRPr="00DD2C8B">
        <w:rPr>
          <w:rFonts w:ascii="Times New Roman" w:eastAsia="Batang" w:hAnsi="Times New Roman"/>
          <w:bCs/>
          <w:noProof/>
          <w:kern w:val="24"/>
          <w:sz w:val="18"/>
          <w:szCs w:val="18"/>
          <w:lang w:val="ms-MY"/>
        </w:rPr>
        <w:t xml:space="preserve">masing ialah 2.35 μg/mL and </w:t>
      </w:r>
      <w:r w:rsidRPr="00DD2C8B">
        <w:rPr>
          <w:rFonts w:ascii="Times New Roman" w:hAnsi="Times New Roman"/>
          <w:noProof/>
          <w:color w:val="000000"/>
          <w:sz w:val="18"/>
          <w:szCs w:val="18"/>
          <w:lang w:val="ms-MY"/>
        </w:rPr>
        <w:t xml:space="preserve">1.44 </w:t>
      </w:r>
      <w:r w:rsidRPr="00DD2C8B">
        <w:rPr>
          <w:rFonts w:ascii="Times New Roman" w:eastAsia="Batang" w:hAnsi="Times New Roman"/>
          <w:bCs/>
          <w:noProof/>
          <w:kern w:val="24"/>
          <w:sz w:val="18"/>
          <w:szCs w:val="18"/>
          <w:lang w:val="ms-MY"/>
        </w:rPr>
        <w:t xml:space="preserve">μg/mL. Peratus relatif sisihan piawai bagi ketepatan intra dan antara hari yang diukur ialah kurang dari nilai 2%. Nilai min pemulihan semula yang dikira bagi kafein dan fenolftalein masing-masing ialah 105.84 dan 113.58%. Kaedah ini juga dibuktikan teguh apabila perubahan dalam kadar aliran, pH panampan dan komposisi fasa bergerak diuji. </w:t>
      </w:r>
    </w:p>
    <w:p w:rsidR="00DC436E" w:rsidRPr="00DD2C8B" w:rsidRDefault="00DC436E" w:rsidP="00DD2C8B">
      <w:pPr>
        <w:spacing w:after="0" w:line="240" w:lineRule="auto"/>
        <w:jc w:val="both"/>
        <w:outlineLvl w:val="0"/>
        <w:rPr>
          <w:rFonts w:ascii="Times New Roman" w:hAnsi="Times New Roman"/>
          <w:noProof/>
          <w:sz w:val="18"/>
          <w:szCs w:val="18"/>
          <w:lang w:val="ms-MY"/>
        </w:rPr>
      </w:pPr>
    </w:p>
    <w:p w:rsidR="00DC436E" w:rsidRPr="00DD2C8B" w:rsidRDefault="00DD2C8B" w:rsidP="00DD2C8B">
      <w:pPr>
        <w:spacing w:after="0" w:line="240" w:lineRule="auto"/>
        <w:ind w:left="1134" w:hanging="1134"/>
        <w:jc w:val="both"/>
        <w:outlineLvl w:val="0"/>
        <w:rPr>
          <w:rFonts w:ascii="Times New Roman" w:hAnsi="Times New Roman"/>
          <w:b/>
          <w:noProof/>
          <w:color w:val="548DD4" w:themeColor="text2" w:themeTint="99"/>
          <w:sz w:val="18"/>
          <w:szCs w:val="18"/>
          <w:lang w:val="ms-MY"/>
        </w:rPr>
      </w:pPr>
      <w:r>
        <w:rPr>
          <w:rFonts w:ascii="Times New Roman" w:hAnsi="Times New Roman"/>
          <w:b/>
          <w:noProof/>
          <w:sz w:val="18"/>
          <w:szCs w:val="18"/>
          <w:lang w:val="ms-MY"/>
        </w:rPr>
        <w:lastRenderedPageBreak/>
        <w:t xml:space="preserve">Kata kunci:  </w:t>
      </w:r>
      <w:r w:rsidR="00DC436E" w:rsidRPr="00DD2C8B">
        <w:rPr>
          <w:rFonts w:ascii="Times New Roman" w:eastAsia="Batang" w:hAnsi="Times New Roman"/>
          <w:bCs/>
          <w:noProof/>
          <w:kern w:val="24"/>
          <w:sz w:val="18"/>
          <w:szCs w:val="18"/>
          <w:lang w:val="ms-MY"/>
        </w:rPr>
        <w:t>kafein, fenolftalein, kromatografi cecair prestasi tinggi, pengesahsahihan, suplemen pengurangan berat badan</w:t>
      </w:r>
      <w:r w:rsidR="00DC436E" w:rsidRPr="00DD2C8B">
        <w:rPr>
          <w:rFonts w:ascii="Times New Roman" w:hAnsi="Times New Roman"/>
          <w:b/>
          <w:noProof/>
          <w:color w:val="548DD4" w:themeColor="text2" w:themeTint="99"/>
          <w:sz w:val="18"/>
          <w:szCs w:val="18"/>
          <w:lang w:val="ms-MY"/>
        </w:rPr>
        <w:t xml:space="preserve"> </w:t>
      </w:r>
    </w:p>
    <w:p w:rsidR="00AC0033" w:rsidRDefault="00AC0033" w:rsidP="00DC436E">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Obesity is a worldwide health epidemic. It is reported that among adults aged 18 and above, 11% of men and 15% of women were obese in 2014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"http://www.who.int/features/factfiles/obesity/facts/en/index1.html", "accessed" : { "date-parts" : [ [ "2015", "7", "29" ] ] }, "author" : [ { "dropping-particle" : "", "family" : "WHO", "given" : "", "non-dropping-particle" : "", "parse-names" : false, "suffix" : "" } ], "id" : "ITEM-1", "issued" : { "date-parts" : [ [ "0" ] ] }, "title" : "10 facts on obesity", "type" : "webpage" }, "uris" : [ "http://www.mendeley.com/documents/?uuid=ad70c2a0-0434-4a5b-85db-913bf13fdc32" ] } ], "mendeley" : { "formattedCitation" : "(1)", "plainTextFormattedCitation" : "(1)", "previouslyFormattedCitation" : "(1)"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 xml:space="preserve">[1].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Because of the health risks associated from being overweight, and also pressure from society to have a slim and attractive body, weight reducing supplements are popular worldwide among both men and women. The majority of these weight reducing supplements are marketed as being derived from phytotherapeutic formulations and are advertised as being natural and safe. Unfortunately this is not the case in reality, as there have been many reports worldwide of weight reducing supplements being adulterated with undeclared prescription pharmaceuticals and banned substances to enhance their efficiency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"ITEM-1", "issue" : "1", "issued" : { "date-parts" : [ [ "2013" ] ] }, "page" : "28-44", "title" : "Weight loss food supplements: adulteration and multiple quality issues in two products of chinese origin", "type" : "article-journal", "volume" : "61" }, "uris" : [ "http://www.mendeley.com/documents/?uuid=fa614d99-3691-4b82-9d9f-bf1ec43687e1" ] }, { "id" : "ITEM-2",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"ITEM-2",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"id" : "ITEM-3", "itemData" : { "ISSN" : "0278-6915", "PMID" : "12453725", "abstract" : "Over the last 10 years, numerous cases of intoxications, leading for the most part to end-stage renal failure, have been reported after consumption of slimming regimens made of Chinese herbal preparations. These intoxications were associated with species of the Aristolochia genus, such as Aristolochia fangchi (Aristolochiaceae), known to contain very nephrotoxic and carcinogenic metabolites named aristolochic acids. Several commercial dietary supplements, teas and phytomedicines used as slimming regimens were analysed for their aristolochic acid I content. A preliminary detection of this toxic compound was made by thin-layer chromatography. The presence of aristolochic acid I in these preparations was confirmed by a HPLC/UV-DAD/MS analysis. A quantitative determination of aristolochic acid I was also achieved in the incriminated preparations using both UV and MS detection. Out of 42 analysed preparations, four were found to contain aristolochic acid I and two were suspected to contain aristolochic acid derivatives. Immediate removal of these products from the Swiss market was called for.", "author" : [ { "dropping-particle" : "", "family" : "Ioset", "given" : "J-R", "non-dropping-particle" : "", "parse-names" : false, "suffix" : "" }, { "dropping-particle" : "", "family" : "Raoelison", "given" : "G E", "non-dropping-particle" : "", "parse-names" : false, "suffix" : "" }, { "dropping-particle" : "", "family" : "Hostettmann", "given" : "K", "non-dropping-particle" : "", "parse-names" : false, "suffix" : "" } ], "container-title" : "Food and chemical toxicology : an international journal published for the British Industrial Biological Research Association", "id" : "ITEM-3", "issue" : "1", "issued" : { "date-parts" : [ [ "2003", "1" ] ] }, "page" : "29-36", "title" : "Detection of aristolochic acid in Chinese phytomedicines and dietary supplements used as slimming regimens.", "type" : "article-journal", "volume" : "41" }, "uris" : [ "http://www.mendeley.com/documents/?uuid=72a9c330-8c9e-4466-a2a3-4875b4918a50" ] }, { "id" : "ITEM-4",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"ITEM-4",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"id" : "ITEM-5", "itemData" : { "DOI" : "10.1016/j.chroma.2011.08.038", "ISSN" : "1873-3778", "PMID" : "21899853", "abstract" : "A method for simultaneous determination of eight adulterants including two appetite suppressants, two energy expenditure-enhancing drugs, one diuretic and three cathartics in slimming functional foods by high performance liquid chromatography with electrospray ionization-tandem mass spectrometry (HPLC-ESI-MS/MS) was established. After samples were ultrasonically extracted with 70% (v/v) methanol aqueous solution and centrifuged, the components of ephedrine, norpseudoephedrine, fenfluramine, sibutramine, clopamide, emodin, rhein, and chrysophanol in sample solution were separated by a Hypersil Gold column (2.1 mm \u00d7 150 mm, 5 \u03bcm) using a programmed gradient elution. A mobile phase consisting of 0.02% (v/v) formic acid-ammonium formate buffer solution (pH=3.50) and methanol was used for elution with a flow rate set at 250 \u03bcL/min and column temperature of 25 \u00b0C. Qualitative determination was based on characteristic ion pairs and retention time of the targeted compounds using SRM (selective reaction monitoring) mode. Clenbuterol and ibuprofen were internal standards in positive and negative ionization mode, respectively. The internal standard curves were used for quantification measurement. The average recoveries of three different concentrations were from 80.2% to 94.5%. The limits of detection (LODs) were from 0.03 to 0.66 mg/kg (except chrysophanol 1.6 mg/kg). The linear dynamic range covered from 1 to 500 \u03bcg/L (except chrysophanol 50-5000 \u03bcg/L) for the twelve samples analyzed. Adulterants in four different kinds of slimming functional foods were determined by this developed method, and satisfactory results were obtained. These experimental results showed that, adulteration of sibutramine or/and fenfluramine were the major adulterating components with contents varying from 6.1 to 1.3\u00d710(3) mg/kg and 1.9 to 9.7\u00d710(3) mg/kg, respectively. In addition, three cathartic compounds were detected in six of those tested samples, and ephedrine, norpseudoephedrine and clopamide were not detected in all samples.", "author" : [ { "dropping-particle" : "", "family" : "Shi", "given" : "Ying", "non-dropping-particle" : "", "parse-names" : false, "suffix" : "" }, { "dropping-particle" : "", "family" : "Sun", "given" : "Chengjun", "non-dropping-particle" : "", "parse-names" : false, "suffix" : "" }, { "dropping-particle" : "", "family" : "Gao", "given" : "Bo", "non-dropping-particle" : "", "parse-names" : false, "suffix" : "" }, { "dropping-particle" : "", "family" : "Sun", "given" : "Aimin", "non-dropping-particle" : "", "parse-names" : false, "suffix" : "" } ], "container-title" : "Journal of chromatography. A", "id" : "ITEM-5", "issue" : "42", "issued" : { "date-parts" : [ [ "2011", "10", "21" ] ] }, "page" : "7655-62", "publisher" : "Elsevier B.V.", "title" : "Development of a liquid chromatography tandem mass spectrometry method for simultaneous determination of eight adulterants in slimming functional foods.", "type" : "article-journal", "volume" : "1218" }, "uris" : [ "http://www.mendeley.com/documents/?uuid=a446f1d6-b978-4def-92b1-a87baf2bd40d" ] }, { "id" : "ITEM-6", "itemData" : { "author" : [ { "dropping-particle" : "", "family" : "Haneef", "given" : "Jamshed", "non-dropping-particle" : "", "parse-names" : false, "suffix" : "" }, { "dropping-particle" : "", "family" : "Shaharyar", "given" : "Mohammad", "non-dropping-particle" : "", "parse-names" : false, "suffix" : "" }, { "dropping-particle" : "", "family" : "Husain", "given" : "Asif", "non-dropping-particle" : "", "parse-names" : false, "suffix" : "" }, { "dropping-particle" : "", "family" : "Rashid", "given" : "Mohd", "non-dropping-particle" : "", "parse-names" : false, "suffix" : "" }, { "dropping-particle" : "", "family" : "Mishra", "given" : "Ravinesh", "non-dropping-particle" : "", "parse-names" : false, "suffix" : "" }, { "dropping-particle" : "", "family" : "Siddique", "given" : "Nadeem A.", "non-dropping-particle" : "", "parse-names" : false, "suffix" : "" }, { "dropping-particle" : "", "family" : "Pal", "given" : "Manoj", "non-dropping-particle" : "", "parse-names" : false, "suffix" : "" } ], "container-title" : "Drug testing and Analysis", "id" : "ITEM-6", "issued" : { "date-parts" : [ [ "2013" ] ] }, "page" : "607-613", "title" : "Analytical methods for the detection of undeclared synthetic drugs in traditional herbal medicines as adulterants", "type" : "article-journal", "volume" : "5" }, "uris" : [ "http://www.mendeley.com/documents/?uuid=e024edf7-04a8-4580-8e57-ebc83a398e46" ] }, { "id" : "ITEM-7", "itemData" : { "DOI" : "10.1016/j.jpba.2012.07.020", "ISSN" : "1873-264X", "PMID" : "22902504", "abstract" : "Ion mobility spectrometry (IMS) served as a rapid, qualitative screening tool for the analysis of adulterated weight-loss products. We have previously shown that sibutramine extracted into methanol from dietary supplements can be detected at low levels (2ng) using a portable IMS spectrometer, and have adapted a similar method for the analysis of additional weight-loss product adulterants. An FDA collaborative study helped to define the limits for fluoxetine with a limit of detection of 2ng. We also evaluated more readily available, less toxic extraction solvents and found isopropanol and water were comparable to methanol. Isopropanol was favored over water for two reasons: (1) water increases the analysis time and (2) aqueous solutions were more susceptible to pH change, which affected the detection of sibutramine. In addition to sibutamine and fluoxetine, we surveyed 11 weight-loss adulterants; bumetanide, fenfluramine, furosemide, orlistat, phenolphthalein, phentermine, phenytoin, rimonabant, sertraline and two sibutramine analogs, desmethylsibutramine and didesmethylsibutramine, using portable and benchtop ion mobility spectrometers. Out of these 13 active pharmaceutical ingredients (APIs), portable and benchtop ion mobility spectrometers were capable of screening products for 10 of these APIs. The developed procedure was applied to two weight-loss dietary supplements using both portable and benchtop instruments. One product contained didesmethylsibutramine while the other contained didesmethylsibutramine and phenolphthalein.", "author" : [ { "dropping-particle" : "", "family" : "Dunn", "given" : "Jamie D", "non-dropping-particle" : "", "parse-names" : false, "suffix" : "" }, { "dropping-particle" : "", "family" : "Gryniewicz-Ruzicka", "given" : "Connie M", "non-dropping-particle" : "", "parse-names" : false, "suffix" : "" }, { "dropping-particle" : "", "family" : "Mans", "given" : "Daniel J", "non-dropping-particle" : "", "parse-names" : false, "suffix" : "" }, { "dropping-particle" : "", "family" : "Mecker-Pogue", "given" : "Laura C", "non-dropping-particle" : "", "parse-names" : false, "suffix" : "" }, { "dropping-particle" : "", "family" : "Kauffman", "given" : "John F", "non-dropping-particle" : "", "parse-names" : false, "suffix" : "" }, { "dropping-particle" : "", "family" : "Westenberger", "given" : "Benjamin J", "non-dropping-particle" : "", "parse-names" : false, "suffix" : "" }, { "dropping-particle" : "", "family" : "Buhse", "given" : "Lucinda F", "non-dropping-particle" : "", "parse-names" : false, "suffix" : "" } ], "container-title" : "Journal of pharmaceutical and biomedical analysis", "id" : "ITEM-7", "issued" : { "date-parts" : [ [ "2012", "12" ] ] }, "page" : "18-26", "publisher" : "Elsevier B.V.", "title" : "Qualitative screening for adulterants in weight-loss supplements by ion mobility spectrometry.", "type" : "article-journal", "volume" : "71" }, "uris" : [ "http://www.mendeley.com/documents/?uuid=7d8f1110-ceda-48e8-8f84-a07d7657d08a" ] }, { "id" : "ITEM-8",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"ITEM-8",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"id" : "ITEM-9",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"ITEM-9",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"ITEM-10", "itemData" : { "DOI" : "10.1016/j.forsciint.2011.12.004", "ISSN" : "1872-6283", "PMID" : "22227151", "abstract" : "A simple thin layer chromatographic (TLC)-image analysis method was developed for rapid determination and quantitation of sibutramine hydrochloride (SH) adulterated in herbal slimming products. Chromatographic separation of SH was achieved on a silica gel 60 F(254) TLC plate, using toluene-n-hexane-diethylamine (9:1:0.3, v/v/v) as the mobile phase and Dragendorff reagent as spot detection. Image analysis of the scanned TLC plate was performed to quantify the amount of SH. The polynomial regression data for the calibration plots showed good linear relationship in the concentration range of 1-6 \u03bcg/spot. The limits of detection and quantitation were 190 and 634 ng/spot, respectively. The method gave satisfactory specificity, precision, accuracy, robustness and was applied for determination of SH in herbal formulations. The contents of SH in adulterated samples determined by the TLC-image analysis and TLC-densitometry were also compared.", "author" : [ { "dropping-particle" : "", "family" : "Phattanawasin", "given" : "Panadda", "non-dropping-particle" : "", "parse-names" : false, "suffix" : "" }, { "dropping-particle" : "", "family" : "Sotanaphun", "given" : "Uthai", "non-dropping-particle" : "", "parse-names" : false, "suffix" : "" }, { "dropping-particle" : "", "family" : "Sukwattanasinit", "given" : "Tasamaporn", "non-dropping-particle" : "", "parse-names" : false, "suffix" : "" }, { "dropping-particle" : "", "family" : "Akkarawaranthorn", "given" : "Jariya", "non-dropping-particle" : "", "parse-names" : false, "suffix" : "" }, { "dropping-particle" : "", "family" : "Kitchaiya", "given" : "Sarunyaporn", "non-dropping-particle" : "", "parse-names" : false, "suffix" : "" } ], "container-title" : "Forensic science international", "id" : "ITEM-10", "issued" : { "date-parts" : [ [ "2012", "6", "10" ] ] }, "page" : "96-100", "publisher" : "Elsevier Ireland Ltd", "title" : "Quantitative determination of sibutramine in adulterated herbal slimming formulations by TLC-image analysis method.", "type" : "article-journal", "volume" : "219" }, "uris" : [ "http://www.mendeley.com/documents/?uuid=ff4e8c0f-9980-4720-8456-16d01a31fdcc" ] } ], "mendeley" : { "formattedCitation" : "(2\u201311)", "plainTextFormattedCitation" : "(2\u201311)", "previouslyFormattedCitation" : "(2\u201311)"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[2–11]</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p>
    <w:p w:rsidR="00DD2C8B" w:rsidRPr="00DD2C8B" w:rsidRDefault="00DD2C8B" w:rsidP="00DD2C8B">
      <w:pPr>
        <w:spacing w:after="0" w:line="240" w:lineRule="auto"/>
        <w:jc w:val="both"/>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pP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In the US, the Food and Drug Administration (FDA) has detected the presence of  adulterants such as sibutramine, fenproporex, fluoxetine, bumetanide, furosemide, phenytoin, rimonabant, cetilistat and phenolphthalein in various weigh reducing  products sold over the counter (OTC) and online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"http://www.fda.gov/Drugs/ResourcesForYou/Consumers/QuestionsAnswers/ucm136187.htm", "author" : [ { "dropping-particle" : "", "family" : "FDA", "given" : "", "non-dropping-particle" : "", "parse-names" : false, "suffix" : "" } ], "id" : "ITEM-1", "issued" : { "date-parts" : [ [ "2009" ] ] }, "title" : "Drugs", "type" : "webpage" }, "uris" : [ "http://www.mendeley.com/documents/?uuid=2918ab20-2cd0-42a4-a8e5-83af9d6edcf4" ] } ], "mendeley" : { "formattedCitation" : "(12)", "plainTextFormattedCitation" : "(12)", "previouslyFormattedCitation" : "(12)"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[12]</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We are interested in developing a simple and fast HPLC method to quantify caffeine and phenolphthalein, as these compounds are popular choices as adulterants due to their relatively cheap price and easy accessibility. Phenolphthalein, a synthetic compound, was a stimulant laxative  used for the treatment of constipation and for bowel evacuation until 1999, when the FDA reclassified the drug as ‘not generally safe and effective’ after studies indicated that it presented a potential carcinogenic risk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"Phenolphthalein (a triphenylmethane derivative) has been commonly used as a laxative for most of the twentieth century, but little Is known about its long-term carcinogenic potential in experimental studies. In our studies, phenolphthalein administered continuously In the feed for 2 years to F344 rats at doses of 0, 12,500, 25,000, and 50,000 ppm and to C57BIJ 6 x CR3 F1(hereafter calledB6C3F1)miceat dosesofO,3,000,6,000,and 12,000 ppm caused multiple carcinogenic effects. Treatment-related neo plasma occurred in the kidney and adrenal medulla in male rats, adrenal medulla in female rats, hematopoletic system in male and female mice (histiocytic sarcomas and malignant lymphomas), and ovary of female mice. Phenolphthalein has been shown to have estrogenic and clastogenic properties. Previous studies of other estrogenic chemicals (e.g., zearalenone) in the F344 rat and B6C3F1 mouse have not shown the same spectrum of carcinogenk activity as that found with phenolphthalein, suggesting that phenolphthaleln estrogenic activity alone is not responsi ble for the spectrum oftwnors observed. It is more likely that the multiple biological properties of phenolphthalein, including Its ability to form free radicals, its clastogenic activity, and its estrogenic activity, contributed to the carcinogenic effects observed. These studies show that phenolphthal em is a multisite/multispecies carcinogen. One of the sites for neoplasm that is of particular concern is the ovary, and epidemiology studies are under way to identify any potential effects of phenolphthalein exposure at this site in humans.", "author" : [ { "dropping-particle" : "", "family" : "Dunnick", "given" : "June K", "non-dropping-particle" : "", "parse-names" : false, "suffix" : "" }, { "dropping-particle" : "", "family" : "Hailey", "given" : "James R", "non-dropping-particle" : "", "parse-names" : false, "suffix" : "" } ], "container-title" : "Cancer Research", "id" : "ITEM-1", "issue" : "21", "issued" : { "date-parts" : [ [ "1996" ] ] }, "page" : "4922-4926", "title" : "Phenolphthalein Exposure Causes Multiple Carcinogenic Effects in Experimental Model Systems Phenolphthalein Exposure Causes Multiple Carcinogenic Effects in Experimental Model Systems", "type" : "article-journal", "volume" : "56" }, "uris" : [ "http://www.mendeley.com/documents/?uuid=2d148922-6ddb-4bda-9919-e197fcff324c" ] } ], "mendeley" : { "formattedCitation" : "(13)", "plainTextFormattedCitation" : "(13)", "previouslyFormattedCitation" : "(13)"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[13]</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Since then, the United Kingdom has changed the status of phenolphthalein from OTC to prescription agent, while European countries such as Italy and France have suspended the use of it in prescription and OTC pharmaceutical preparations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"WHO", "given" : "", "non-dropping-particle" : "", "parse-names" : false, "suffix" : "" } ], "container-title" : "WHO Drug Information", "id" : "ITEM-1", "issue" : "1", "issued" : { "date-parts" : [ [ "1998" ] ] }, "page" : "13-17", "title" : "Regulatory matters", "type" : "article-journal", "volume" : "12" }, "uris" : [ "http://www.mendeley.com/documents/?uuid=30448f34-841c-472e-a11d-411cf1de3e01" ] }, { "id" : "ITEM-2", "itemData" : { "author" : [ { "dropping-particle" : "", "family" : "International agency on research for cancer", "given" : "", "non-dropping-particle" : "", "parse-names" : false, "suffix" : "" } ], "container-title" : "IARC Monograph on the Carcinogenic Risks to Humans", "id" : "ITEM-2", "issued" : { "date-parts" : [ [ "2000" ] ] }, "page" : "387-415", "title" : "Some Antiviral and Antineoplastic Drugs, and Other Pharmaceutical Agents", "type" : "article-journal", "volume" : "76" }, "uris" : [ "http://www.mendeley.com/documents/?uuid=ae35cf65-3f2b-4914-9030-1888f6f20cf3" ] } ], "mendeley" : { "formattedCitation" : "(14,15)", "plainTextFormattedCitation" : "(14,15)", "previouslyFormattedCitation" : "(14,15)"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[14, 15]</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Caffeine is a natural product found in the leaves, seeds, and fruits of more than 60 plants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"Caffeine from natural sources has been consumed and enjoyed by people throughout the world for centuries, dating back to perhaps as early as the Paleolithic period. The widespread natural occurrence of caffeine in a variety of plants undoubtedly played a major role in the long-standing popularity of caffeine-containing products, especially beverages. More than 60 plant species throughout the world have been identified as containing caffeine. Caffeine-containing beverages made form native plants in South America, such as guarana, yoco, and mate, have been traced back to antiquity (Rall 1980). Similarly, North American natives made use of the caffeine-containing cassina.", "author" : [ { "dropping-particle" : "", "family" : "Barone", "given" : "J. J.", "non-dropping-particle" : "", "parse-names" : false, "suffix" : "" }, { "dropping-particle" : "", "family" : "Roberts", "given" : "H", "non-dropping-particle" : "", "parse-names" : false, "suffix" : "" } ], "container-title" : "Caffeine", "id" : "ITEM-1", "issued" : { "date-parts" : [ [ "1984" ] ] }, "page" : "59-73", "publisher" : "Springer link", "title" : "Human consumption of caffeine", "type" : "chapter" }, "uris" : [ "http://www.mendeley.com/documents/?uuid=622df9ab-441a-4dbb-8a55-a13cd8ed83ba" ] } ], "mendeley" : { "formattedCitation" : "(16)", "plainTextFormattedCitation" : "(16)", "previouslyFormattedCitation" : "(16)"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[16]</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color w:val="FF0000"/>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hAnsi="Times New Roman"/>
          <w:sz w:val="20"/>
          <w:szCs w:val="20"/>
        </w:rPr>
        <w:t xml:space="preserve">As a stimulant, caffeine was reported to be one of the most used drugs for slimming purposes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"ITEM-1",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"mendeley" : { "formattedCitation" : "(3)", "plainTextFormattedCitation" : "(3)", "previouslyFormattedCitation" : "(3)"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 xml:space="preserve">[3]. </w:t>
      </w:r>
      <w:r w:rsidRPr="00DD2C8B">
        <w:rPr>
          <w:rFonts w:ascii="Times New Roman" w:hAnsi="Times New Roman"/>
          <w:sz w:val="20"/>
          <w:szCs w:val="20"/>
        </w:rPr>
        <w:fldChar w:fldCharType="end"/>
      </w:r>
      <w:r w:rsidRPr="00DD2C8B">
        <w:rPr>
          <w:rFonts w:ascii="Times New Roman" w:hAnsi="Times New Roman"/>
          <w:sz w:val="20"/>
          <w:szCs w:val="20"/>
        </w:rPr>
        <w:t xml:space="preserve">Consuming caffeine increases energy expenditure, making the individual more alert and hence more active, leading to weight loss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"10.1152/ajpregu.00832.2005", "ISSN" : "0363-6119", "PMID" : "16840650", "abstract" : "The global prevalence of obesity has increased considerably in the last decade. Tools for obesity management, including caffeine, ephedrine, capsaicin, and green tea have been proposed as strategies for weight loss and weight maintenance, since they may increase energy expenditure and have been proposed to counteract the decrease in metabolic rate that is present during weight loss. A combination of caffeine and ephedrine has shown to be effective in long-term weight management, likely due to different mechanisms that may operate synergistically, e.g., respectively inhibiting the phosphodiesterase-induced degradation of cAMP and enhancing the sympathetic release of catecholamines. However, adverse effects of ephedrine prevent the feasibility of this approach. Capsaicin has been shown to be effective, yet when it is used clinically it requires a strong compliance to a certain dosage, that has not been shown to be feasible yet. Also positive effects on body-weight management have been shown using green tea mixtures. Green tea, by containing both tea catechins and caffeine, may act through inhibition of catechol O-methyl-transferase, and inhibition of phosphodiesterase. Here, the mechanisms may also operate synergistically. In addition, tea catechins have antiangiogenic properties that may prevent development of overweight and obesity. Furthermore, the sympathetic nervous system is involved in the regulation of lipolysis, and the sympathetic innervation of white adipose tissue may play an important role in the regulation of total body fat in general.", "author" : [ { "dropping-particle" : "", "family" : "Diepvens", "given" : "Kristel", "non-dropping-particle" : "", "parse-names" : false, "suffix" : "" }, { "dropping-particle" : "", "family" : "Westerterp", "given" : "Klaas R", "non-dropping-particle" : "", "parse-names" : false, "suffix" : "" }, { "dropping-particle" : "", "family" : "Westerterp-Plantenga", "given" : "Margriet S", "non-dropping-particle" : "", "parse-names" : false, "suffix" : "" } ], "container-title" : "American journal of physiology. Regulatory, integrative and comparative physiology", "id" : "ITEM-1", "issue" : "1", "issued" : { "date-parts" : [ [ "2007", "1" ] ] }, "page" : "R77-85", "title" : "Obesity and thermogenesis related to the consumption of caffeine, ephedrine, capsaicin, and green tea.", "type" : "article-journal", "volume" : "292" }, "uris" : [ "http://www.mendeley.com/documents/?uuid=3a7c1af2-b4ec-47a5-b554-f02b7df52de8" ] } ], "mendeley" : { "formattedCitation" : "(17)", "plainTextFormattedCitation" : "(17)", "previouslyFormattedCitation" : "(17)"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[17].</w:t>
      </w:r>
      <w:r w:rsidRPr="00DD2C8B">
        <w:rPr>
          <w:rFonts w:ascii="Times New Roman" w:hAnsi="Times New Roman"/>
          <w:sz w:val="20"/>
          <w:szCs w:val="20"/>
        </w:rPr>
        <w:fldChar w:fldCharType="end"/>
      </w:r>
      <w:r w:rsidRPr="00DD2C8B">
        <w:rPr>
          <w:rFonts w:ascii="Times New Roman" w:hAnsi="Times New Roman"/>
          <w:sz w:val="20"/>
          <w:szCs w:val="20"/>
        </w:rPr>
        <w:t xml:space="preserve">  Caffeine has also been proposed to counteract the decrease in metabolic rates, and may also act as an appetite suppressant. Although complications due to caffeine toxicity are rare, excessive consumption of caffeine can lead to health problems such as sleep disruption, headache, nausea, anxiety, and even caffeine-induced cardiac arrhythmia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"abstract" : "Caffeine can be used effectively to manipulate our mental state. It is beneficial in restoring low levels of wakefulness and in counteracting degraded cognitive task performance due to sleep deprivation. However, caffeine may produce detrimental effects on subsequent sleep, resulting in daytime sleepiness. This justifies a careful consideration of risks related to sleep deprivation in combination with caffeine consumption, especially in adolescents. The efficacy of caffeine to restore detrimental effects of sleep deprivation seems to be partly due to caffeine expectancy and to placebo effects. The claim that stimulant effects of caffeine are related to withdrawal or withdrawal reversal seems to be untenable", "author" : [ { "dropping-particle" : "", "family" : "Snel", "given" : "J", "non-dropping-particle" : "", "parse-names" : false, "suffix" : "" }, { "dropping-particle" : "", "family" : "MM", "given" : "Lorist", "non-dropping-particle" : "", "parse-names" : false, "suffix" : "" } ], "container-title" : "Prog Brain Res", "id" : "ITEM-1", "issued" : { "date-parts" : [ [ "2011" ] ] }, "page" : "105-117", "title" : "Effects of caffeine on sleep and cognition", "type" : "article-journal", "volume" : "190" }, "uris" : [ "http://www.mendeley.com/documents/?uuid=582ac2e0-c04b-4e0c-8cf0-d0ab82b63bf7" ] }, { "id" : "ITEM-2", "itemData" : { "abstract" : "We describe a 25-year-old woman with pre-existing mitral valve prolapse who developed intractable ventricular fibrillation after consuming a \"natural energy\" guarana health drink containing a high concentration of caffeine. This case highlights the need for adequate labelling and regulation of such products.", "author" : [ { "dropping-particle" : "", "family" : "Cannon", "given" : "Marianne E", "non-dropping-particle" : "", "parse-names" : false, "suffix" : "" }, { "dropping-particle" : "", "family" : "Cook", "given" : "Clive T", "non-dropping-particle" : "", "parse-names" : false, "suffix" : "" }, { "dropping-particle" : "", "family" : "McCarthy", "given" : "James S", "non-dropping-particle" : "", "parse-names" : false, "suffix" : "" } ], "container-title" : "The Medical JOurnal of Australia", "id" : "ITEM-2", "issue" : "10", "issued" : { "date-parts" : [ [ "2001" ] ] }, "page" : "520-521", "title" : "Caffeine-induced cardiac arrhythmia: an unrecognised danger of healthfood products", "type" : "article-journal", "volume" : "174" }, "uris" : [ "http://www.mendeley.com/documents/?uuid=f37f7b72-d33b-4ab9-a370-78c445f610f9" ] } ], "mendeley" : { "formattedCitation" : "(18,19)", "plainTextFormattedCitation" : "(18,19)", "previouslyFormattedCitation" : "(18,19)"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 xml:space="preserve">[18,19]. </w:t>
      </w:r>
      <w:r w:rsidRPr="00DD2C8B">
        <w:rPr>
          <w:rFonts w:ascii="Times New Roman" w:hAnsi="Times New Roman"/>
          <w:sz w:val="20"/>
          <w:szCs w:val="20"/>
        </w:rPr>
        <w:fldChar w:fldCharType="end"/>
      </w:r>
      <w:r w:rsidRPr="00DD2C8B">
        <w:rPr>
          <w:rFonts w:ascii="Times New Roman" w:hAnsi="Times New Roman"/>
          <w:sz w:val="20"/>
          <w:szCs w:val="20"/>
        </w:rPr>
        <w:t>The chemical structures of caffeine and phenolphthalein are shown in Figure 1 below.</w:t>
      </w:r>
    </w:p>
    <w:p w:rsid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12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noProof/>
          <w:kern w:val="24"/>
          <w:sz w:val="20"/>
          <w:szCs w:val="20"/>
          <w:lang w:bidi="ar-SA"/>
        </w:rPr>
        <w:drawing>
          <wp:inline distT="0" distB="0" distL="0" distR="0" wp14:anchorId="7030C837" wp14:editId="1A7DE117">
            <wp:extent cx="3216910" cy="1550504"/>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0798" cy="1557198"/>
                    </a:xfrm>
                    <a:prstGeom prst="rect">
                      <a:avLst/>
                    </a:prstGeom>
                    <a:noFill/>
                  </pic:spPr>
                </pic:pic>
              </a:graphicData>
            </a:graphic>
          </wp:inline>
        </w:drawing>
      </w:r>
    </w:p>
    <w:p w:rsidR="00DD2C8B" w:rsidRP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Figure 1.</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b/>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Chemical structures of t</w:t>
      </w:r>
      <w:r w:rsidR="007D4FA8">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he adulterants of interest (a) C</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affeine (1,3,7-trimethyl-3,7-dihydro-1H-purine-2,6-dione) and (b) Phenolphthalein (</w:t>
      </w:r>
      <w:r w:rsidRPr="00DD2C8B">
        <w:rPr>
          <w:rFonts w:ascii="Times New Roman" w:hAnsi="Times New Roman"/>
          <w:color w:val="000000"/>
          <w:sz w:val="20"/>
          <w:szCs w:val="20"/>
          <w:shd w:val="clear" w:color="auto" w:fill="FFFFFF"/>
        </w:rPr>
        <w:t>3,3-Bis(4-hydroxyphenyl)-2-benzofuran-1(3H)-one</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w:t>
      </w:r>
    </w:p>
    <w:p w:rsid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Style w:val="apple-converted-space"/>
          <w:rFonts w:ascii="Times New Roman" w:hAnsi="Times New Roman"/>
          <w:sz w:val="20"/>
          <w:szCs w:val="20"/>
          <w:shd w:val="clear" w:color="auto" w:fill="FFFFFF"/>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In this paper, the development and validation of a reversed-phase high performance liquid chromatography-ultra violet (RP-HPLC-UV) analytical method to detect caffeine and phenolphthalein in weight reducing supplements was investigated. The developed method was validated according to The International Conference on Harmonisation of Technical Requirements for Registration of Pharmaceuticals for Human Use</w:t>
      </w:r>
      <w:r w:rsidRPr="00DD2C8B">
        <w:rPr>
          <w:rStyle w:val="apple-converted-space"/>
          <w:rFonts w:ascii="Times New Roman" w:hAnsi="Times New Roman"/>
          <w:sz w:val="20"/>
          <w:szCs w:val="20"/>
          <w:shd w:val="clear" w:color="auto" w:fill="FFFFFF"/>
        </w:rPr>
        <w:t xml:space="preserve"> (ICH) guidelines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"mendeley" : { "formattedCitation" : "(20)", "plainTextFormattedCitation" : "(20)", "previouslyFormattedCitation" : "(20)"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 xml:space="preserve">[20]. </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xml:space="preserve">Among the existing analytical methods reported in the literature to detect caffeine and phenolphthalein simultaneously are ultra-high performance liquid chromatography (UHPLC) and liquid chromatography-mass </w:t>
      </w:r>
      <w:r w:rsidRPr="00DD2C8B">
        <w:rPr>
          <w:rStyle w:val="apple-converted-space"/>
          <w:rFonts w:ascii="Times New Roman" w:hAnsi="Times New Roman"/>
          <w:sz w:val="20"/>
          <w:szCs w:val="20"/>
          <w:shd w:val="clear" w:color="auto" w:fill="FFFFFF"/>
        </w:rPr>
        <w:lastRenderedPageBreak/>
        <w:t>spectroscopy (LC-MS)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"abstract" : "Abstract\uff1aObjective To establish a quick\uff0caccurate\uff0csensitive method for determination of caffeine\uff0cphenolphthalein and sibutramine illegally added to weigh loss functional foods. Methods The chromatographic conditions included ACQUITY BEH C18 analysis column \uff082.1\u00d7150mm\uff0c1.7\u03bcm\uff09\uff0cmobile phase of 0.03 mol\u00b7L-1 ammonium acetate\uff08containing 0.1% acetic acid\uff09-methanol \uff08B\uff09with gradient elution\uff0cat flow rate of 0.25 mL\u00b7L -1. The detection wavelength was set at 225nm. Qualitative and quantitative analysis in the MRM mode by UPLC/MS/MS. Results Caffeine\uff0cphenolphthalein and sibutramine wree detected in weigh loss functional foods. Conclusion The method is sensitive and accurate\uff0cand can be use to detect the caffeine\uff0cphenolphthalein and sibutramine wree found in weigh loss functional foods.", "author" : [ { "dropping-particle" : "", "family" : "Zheng-fei", "given" : "PAN", "non-dropping-particle" : "", "parse-names" : false, "suffix" : "" } ], "container-title" : "China Tropical Medicine", "id" : "ITEM-1", "issue" : "9", "issued" : { "date-parts" : [ [ "2011" ] ] }, "page" : "1116-1117", "title" : "Determination of caffeine,phenolphthalein and sibutramine illegally added to weight loss functional food with UPLC/MS/MS", "type" : "article-journal", "volume" : "11" }, "uris" : [ "http://www.mendeley.com/documents/?uuid=1dbddd6c-ee26-4db3-8201-83d5c58dbd0f" ] }, { "id" : "ITEM-2",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"ITEM-2",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"(9,21)", "plainTextFormattedCitation" : "(9,21)", "previouslyFormattedCitation" : "(9,21)"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 xml:space="preserve">9, 21]. </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xml:space="preserve">Recently, an article was published reporting a HPLC-UV method for quantitative determination of six adulterant drugs, including caffeine and phenolphthalein, in slimming supplements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[22]</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However, the published method uses different HPLC parameters from our study. The method which we have developed can be applied to analytical laboratories in developing countries which are only equipped with HPLC-UV instrumentation to screen and quantify for caffeine and phenolphthalein in weight reducing supplements.</w:t>
      </w:r>
    </w:p>
    <w:p w:rsidR="00DD2C8B" w:rsidRPr="00DD2C8B" w:rsidRDefault="00DD2C8B" w:rsidP="00DD2C8B">
      <w:pPr>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Materials and Methods</w:t>
      </w: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Chemicals and reagents</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Caffeine (≥99.0%) and phenolphthalein (ACS reagent), used as standards, were purchased from Sigma Aldrich and Merck, respectively. HPLC-grade methanol and ammonium acetate (&gt;99%) was obtained from Fischer Scientific. The mobile phase was filtered through a 0.45 µm nylon membrane filter and ultrasonically degassed before use. Other reagents, including glacial acetic acid, were of analytical grade. Ultrapure water was prepared using an atrium</w:t>
      </w:r>
      <w:r w:rsidRPr="00DD2C8B">
        <w:rPr>
          <w:rFonts w:ascii="Times New Roman" w:eastAsia="Batang" w:hAnsi="Times New Roman"/>
          <w:bCs/>
          <w:kern w:val="24"/>
          <w:sz w:val="20"/>
          <w:szCs w:val="20"/>
          <w:vertAlign w:val="superscript"/>
          <w14:reflection w14:blurRad="6350" w14:stA="100000" w14:stPos="0" w14:endA="0" w14:endPos="0" w14:dist="0" w14:dir="5400000" w14:fadeDir="5400000" w14:sx="100000" w14:sy="-100000" w14:kx="0" w14:ky="0" w14:algn="bl"/>
        </w:rPr>
        <w:t>®</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611 Ultrapure Water System (Sartorius, Germany). </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Instrumentation and chromatographic system</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Method development and validation was performed on a 1200 series HPLC (Agilent Technologies, US), interfaced with a binary pump (G1312A, Agilent Technologies, US), degasser (G1379B, Agilent Technologies, US), variable wavelength detector (VWD) (Agilent Technologies, US) and manual injector (G1328B, Agilent Technologies, US). The HPLC was interfaced to a Hewlett-Packard L1908 computer equipped with ChemStation System (version 2008) software.</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chromatography method was developed using a C18 Hypersil GOLD column (150 mm x 4.6 mm internal diameter, 5 µm particle size) at room temperature. The mobile phase was composed of (A) an ammonium acetate buffer 25 mM solution adjusted to pH 5 with glacial acetic acid and (B) methanol with a gradient elution programme, as shown in Table 1. The mobile phase was delivered at a flow rate of 1.1 mL/min. The injection loop volume was 20 µl. The detection wavelength was set at 254 nm.</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120" w:line="240" w:lineRule="auto"/>
        <w:jc w:val="center"/>
        <w:rPr>
          <w:rFonts w:ascii="Times New Roman" w:hAnsi="Times New Roman"/>
          <w:sz w:val="20"/>
          <w:szCs w:val="20"/>
          <w:lang w:eastAsia="en-MY"/>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1.</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Gradient elution profile used in HPLC system</w:t>
      </w:r>
    </w:p>
    <w:tbl>
      <w:tblPr>
        <w:tblStyle w:val="LightShading-Accent1"/>
        <w:tblW w:w="4298" w:type="dxa"/>
        <w:jc w:val="center"/>
        <w:tblBorders>
          <w:top w:val="none" w:sz="0" w:space="0" w:color="auto"/>
          <w:bottom w:val="none" w:sz="0" w:space="0" w:color="auto"/>
        </w:tblBorders>
        <w:tblLook w:val="0660" w:firstRow="1" w:lastRow="1" w:firstColumn="0" w:lastColumn="0" w:noHBand="1" w:noVBand="1"/>
      </w:tblPr>
      <w:tblGrid>
        <w:gridCol w:w="1553"/>
        <w:gridCol w:w="549"/>
        <w:gridCol w:w="549"/>
        <w:gridCol w:w="549"/>
        <w:gridCol w:w="549"/>
        <w:gridCol w:w="549"/>
      </w:tblGrid>
      <w:tr w:rsidR="00DD2C8B" w:rsidRPr="00DD2C8B" w:rsidTr="00DD2C8B">
        <w:trPr>
          <w:cnfStyle w:val="100000000000" w:firstRow="1" w:lastRow="0" w:firstColumn="0" w:lastColumn="0" w:oddVBand="0" w:evenVBand="0" w:oddHBand="0" w:evenHBand="0" w:firstRowFirstColumn="0" w:firstRowLastColumn="0" w:lastRowFirstColumn="0" w:lastRowLastColumn="0"/>
          <w:trHeight w:val="254"/>
          <w:jc w:val="center"/>
        </w:trPr>
        <w:tc>
          <w:tcPr>
            <w:tcW w:w="0" w:type="auto"/>
            <w:tcBorders>
              <w:top w:val="single" w:sz="4" w:space="0" w:color="auto"/>
              <w:left w:val="none" w:sz="0" w:space="0" w:color="auto"/>
              <w:bottom w:val="single" w:sz="4" w:space="0" w:color="auto"/>
              <w:right w:val="none" w:sz="0" w:space="0" w:color="auto"/>
            </w:tcBorders>
            <w:noWrap/>
          </w:tcPr>
          <w:p w:rsidR="00DD2C8B" w:rsidRPr="00DD2C8B" w:rsidRDefault="00DD2C8B" w:rsidP="00DD2C8B">
            <w:pPr>
              <w:spacing w:before="60" w:after="6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Time (min)</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0</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3</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5</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10</w:t>
            </w:r>
          </w:p>
        </w:tc>
      </w:tr>
      <w:tr w:rsidR="00DD2C8B" w:rsidRPr="00DD2C8B" w:rsidTr="00DD2C8B">
        <w:trPr>
          <w:trHeight w:val="254"/>
          <w:jc w:val="center"/>
        </w:trPr>
        <w:tc>
          <w:tcPr>
            <w:tcW w:w="0" w:type="auto"/>
            <w:tcBorders>
              <w:top w:val="single" w:sz="4" w:space="0" w:color="auto"/>
            </w:tcBorders>
            <w:noWrap/>
          </w:tcPr>
          <w:p w:rsidR="00DD2C8B" w:rsidRPr="00DD2C8B" w:rsidRDefault="00DD2C8B" w:rsidP="00DD2C8B">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A (%)</w:t>
            </w:r>
          </w:p>
        </w:tc>
        <w:tc>
          <w:tcPr>
            <w:tcW w:w="0" w:type="auto"/>
            <w:tcBorders>
              <w:top w:val="single" w:sz="4" w:space="0" w:color="auto"/>
            </w:tcBorders>
          </w:tcPr>
          <w:p w:rsidR="00DD2C8B" w:rsidRPr="00DD2C8B" w:rsidRDefault="00DD2C8B" w:rsidP="00DD2C8B">
            <w:pPr>
              <w:spacing w:before="60" w:after="0" w:line="240" w:lineRule="auto"/>
              <w:jc w:val="center"/>
              <w:rPr>
                <w:rStyle w:val="SubtleEmphasis"/>
                <w:rFonts w:ascii="Times New Roman" w:hAnsi="Times New Roman" w:cs="Times New Roman"/>
                <w:i w:val="0"/>
                <w:sz w:val="20"/>
                <w:szCs w:val="20"/>
              </w:rPr>
            </w:pPr>
            <w:r w:rsidRPr="00DD2C8B">
              <w:rPr>
                <w:rStyle w:val="SubtleEmphasis"/>
                <w:rFonts w:ascii="Times New Roman" w:hAnsi="Times New Roman" w:cs="Times New Roman"/>
                <w:i w:val="0"/>
                <w:color w:val="auto"/>
                <w:sz w:val="20"/>
                <w:szCs w:val="20"/>
              </w:rPr>
              <w:t>90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90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60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45</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45</w:t>
            </w:r>
          </w:p>
        </w:tc>
      </w:tr>
      <w:tr w:rsidR="00DD2C8B" w:rsidRPr="00DD2C8B" w:rsidTr="00DD2C8B">
        <w:trPr>
          <w:cnfStyle w:val="010000000000" w:firstRow="0" w:lastRow="1" w:firstColumn="0" w:lastColumn="0" w:oddVBand="0" w:evenVBand="0" w:oddHBand="0" w:evenHBand="0" w:firstRowFirstColumn="0" w:firstRowLastColumn="0" w:lastRowFirstColumn="0" w:lastRowLastColumn="0"/>
          <w:trHeight w:val="269"/>
          <w:jc w:val="center"/>
        </w:trPr>
        <w:tc>
          <w:tcPr>
            <w:tcW w:w="0" w:type="auto"/>
            <w:tcBorders>
              <w:top w:val="none" w:sz="0" w:space="0" w:color="auto"/>
              <w:bottom w:val="single" w:sz="4" w:space="0" w:color="auto"/>
            </w:tcBorders>
            <w:noWrap/>
          </w:tcPr>
          <w:p w:rsidR="00DD2C8B" w:rsidRPr="00DD2C8B" w:rsidRDefault="00DD2C8B" w:rsidP="00DD2C8B">
            <w:pPr>
              <w:spacing w:before="60" w:after="60" w:line="240" w:lineRule="auto"/>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B (%)</w:t>
            </w:r>
          </w:p>
        </w:tc>
        <w:tc>
          <w:tcPr>
            <w:tcW w:w="0" w:type="auto"/>
            <w:tcBorders>
              <w:top w:val="none" w:sz="0" w:space="0" w:color="auto"/>
              <w:bottom w:val="single" w:sz="4" w:space="0" w:color="auto"/>
            </w:tcBorders>
          </w:tcPr>
          <w:p w:rsidR="00DD2C8B" w:rsidRPr="007D4FA8" w:rsidRDefault="00DD2C8B" w:rsidP="00DD2C8B">
            <w:pPr>
              <w:spacing w:before="60" w:after="60" w:line="240" w:lineRule="auto"/>
              <w:jc w:val="center"/>
              <w:rPr>
                <w:rStyle w:val="SubtleEmphasis"/>
                <w:rFonts w:ascii="Times New Roman" w:hAnsi="Times New Roman" w:cs="Times New Roman"/>
                <w:b w:val="0"/>
                <w:i w:val="0"/>
                <w:color w:val="auto"/>
                <w:sz w:val="20"/>
                <w:szCs w:val="20"/>
              </w:rPr>
            </w:pPr>
            <w:r w:rsidRPr="007D4FA8">
              <w:rPr>
                <w:rStyle w:val="SubtleEmphasis"/>
                <w:rFonts w:ascii="Times New Roman" w:hAnsi="Times New Roman" w:cs="Times New Roman"/>
                <w:b w:val="0"/>
                <w:i w:val="0"/>
                <w:color w:val="auto"/>
                <w:sz w:val="20"/>
                <w:szCs w:val="20"/>
              </w:rPr>
              <w:t>10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10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40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55</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55</w:t>
            </w:r>
          </w:p>
        </w:tc>
      </w:tr>
    </w:tbl>
    <w:p w:rsidR="00DD2C8B" w:rsidRPr="00DD2C8B" w:rsidRDefault="00DD2C8B" w:rsidP="00DD2C8B">
      <w:pPr>
        <w:pStyle w:val="FootnoteText"/>
        <w:spacing w:before="60"/>
        <w:ind w:firstLine="2520"/>
        <w:jc w:val="both"/>
        <w:rPr>
          <w:rFonts w:ascii="Times New Roman" w:hAnsi="Times New Roman" w:cs="Times New Roman"/>
          <w:sz w:val="18"/>
          <w:szCs w:val="18"/>
        </w:rPr>
      </w:pPr>
      <w:r w:rsidRPr="00DD2C8B">
        <w:rPr>
          <w:rFonts w:ascii="Times New Roman" w:hAnsi="Times New Roman" w:cs="Times New Roman"/>
          <w:sz w:val="18"/>
          <w:szCs w:val="18"/>
        </w:rPr>
        <w:t>A = ammonium acetate buffer (pH 5; 25 mM); B = methanol</w:t>
      </w:r>
    </w:p>
    <w:p w:rsidR="00DD2C8B" w:rsidRDefault="00DD2C8B" w:rsidP="00DD2C8B">
      <w:pPr>
        <w:pStyle w:val="FootnoteText"/>
        <w:jc w:val="both"/>
        <w:rPr>
          <w:rFonts w:ascii="Times New Roman" w:eastAsia="Batang" w:hAnsi="Times New Roman" w:cs="Times New Roman"/>
          <w:bCs/>
          <w:kern w:val="24"/>
          <w14:reflection w14:blurRad="6350" w14:stA="100000" w14:stPos="0" w14:endA="0" w14:endPos="0" w14:dist="0" w14:dir="5400000" w14:fadeDir="5400000" w14:sx="100000" w14:sy="-100000" w14:kx="0" w14:ky="0" w14:algn="bl"/>
        </w:rPr>
      </w:pPr>
    </w:p>
    <w:p w:rsidR="00DD2C8B" w:rsidRPr="00DD2C8B" w:rsidRDefault="00DD2C8B" w:rsidP="00DD2C8B">
      <w:pPr>
        <w:pStyle w:val="FootnoteText"/>
        <w:jc w:val="both"/>
        <w:rPr>
          <w:rFonts w:ascii="Times New Roman" w:eastAsia="Batang" w:hAnsi="Times New Roman" w:cs="Times New Roman"/>
          <w:bCs/>
          <w:kern w:val="24"/>
          <w14:reflection w14:blurRad="6350" w14:stA="100000" w14:stPos="0" w14:endA="0" w14:endPos="0" w14:dist="0" w14:dir="5400000" w14:fadeDir="5400000" w14:sx="100000" w14:sy="-100000" w14:kx="0" w14:ky="0" w14:algn="bl"/>
        </w:rPr>
      </w:pPr>
    </w:p>
    <w:p w:rsidR="00DD2C8B" w:rsidRPr="00DD2C8B" w:rsidRDefault="00DD2C8B" w:rsidP="00DD2C8B">
      <w:pPr>
        <w:pStyle w:val="FootnoteText"/>
        <w:jc w:val="both"/>
        <w:rPr>
          <w:rFonts w:ascii="Times New Roman" w:hAnsi="Times New Roman" w:cs="Times New Roman"/>
          <w:vertAlign w:val="subscript"/>
        </w:rPr>
      </w:pPr>
      <w:r w:rsidRPr="00DD2C8B">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t>Preparation of stock standard solution</w:t>
      </w:r>
    </w:p>
    <w:p w:rsidR="00DD2C8B" w:rsidRPr="00DD2C8B" w:rsidRDefault="00DD2C8B" w:rsidP="00DD2C8B">
      <w:pPr>
        <w:pStyle w:val="FootnoteText"/>
        <w:jc w:val="both"/>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Stock standard solutions of </w:t>
      </w:r>
      <w:r w:rsidRPr="00DD2C8B">
        <w:rPr>
          <w:rFonts w:ascii="Times New Roman" w:hAnsi="Times New Roman" w:cs="Times New Roman"/>
          <w:lang w:val="en-MY"/>
        </w:rPr>
        <w:t xml:space="preserve">1 mg/mL </w:t>
      </w:r>
      <w:r w:rsidRPr="00DD2C8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caffeine and phenolphthalein were </w:t>
      </w:r>
      <w:r w:rsidRPr="00DD2C8B">
        <w:rPr>
          <w:rFonts w:ascii="Times New Roman" w:hAnsi="Times New Roman" w:cs="Times New Roman"/>
          <w:lang w:val="en-MY"/>
        </w:rPr>
        <w:t xml:space="preserve">prepared separately in HPLC grade methanol. The resulting stock solutions were sonicated and filtered using a 0.2 μm nylon syringe filter. </w:t>
      </w:r>
    </w:p>
    <w:p w:rsidR="00DD2C8B" w:rsidRPr="00DD2C8B" w:rsidRDefault="00DD2C8B" w:rsidP="00DD2C8B">
      <w:pPr>
        <w:pStyle w:val="FootnoteText"/>
        <w:jc w:val="both"/>
        <w:rPr>
          <w:rFonts w:ascii="Times New Roman" w:hAnsi="Times New Roman" w:cs="Times New Roman"/>
          <w:lang w:val="en-MY"/>
        </w:rPr>
      </w:pPr>
    </w:p>
    <w:p w:rsidR="00DD2C8B" w:rsidRPr="00DD2C8B" w:rsidRDefault="00DD2C8B" w:rsidP="00DD2C8B">
      <w:pPr>
        <w:pStyle w:val="FootnoteText"/>
        <w:jc w:val="both"/>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DD2C8B">
        <w:rPr>
          <w:rFonts w:ascii="Times New Roman" w:hAnsi="Times New Roman" w:cs="Times New Roman"/>
          <w:b/>
          <w:lang w:val="en-MY"/>
        </w:rPr>
        <w:t xml:space="preserve">Preparation of mixed standard and mixed working solution </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r w:rsidRPr="00DD2C8B">
        <w:rPr>
          <w:rFonts w:ascii="Times New Roman" w:hAnsi="Times New Roman"/>
          <w:sz w:val="20"/>
          <w:szCs w:val="20"/>
          <w:lang w:val="en-MY"/>
        </w:rPr>
        <w:t xml:space="preserve">Mixed standard solution in concentration 100 µg/mL was prepared from the stock standard solutions. Using this tertiary solution, mixed working solutions of 10, 20, 40, 60 and 80 µg/mL were prepared by diluting with the appropriate amount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of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methanol. </w:t>
      </w:r>
      <w:r w:rsidR="00111389">
        <w:rPr>
          <w:rFonts w:ascii="Times New Roman" w:hAnsi="Times New Roman"/>
          <w:sz w:val="20"/>
          <w:szCs w:val="20"/>
          <w:lang w:val="en-MY"/>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All </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solutions</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were </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prepared in HPLC grade methanol, stored in a refrigerator </w:t>
      </w:r>
      <w:r w:rsidRPr="00DD2C8B">
        <w:rPr>
          <w:rFonts w:ascii="Times New Roman" w:hAnsi="Times New Roman"/>
          <w:sz w:val="20"/>
          <w:szCs w:val="20"/>
          <w:lang w:val="en-MY"/>
        </w:rPr>
        <w:t>(4 ºC) and brought to room temperature before use.</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hAnsi="Times New Roman"/>
          <w:b/>
          <w:sz w:val="20"/>
          <w:szCs w:val="20"/>
          <w:lang w:val="en-MY"/>
        </w:rPr>
        <w:t>Preparation of blank sample</w:t>
      </w:r>
    </w:p>
    <w:p w:rsidR="00DD2C8B" w:rsidRPr="00DD2C8B" w:rsidRDefault="00DD2C8B" w:rsidP="00DD2C8B">
      <w:pPr>
        <w:autoSpaceDE w:val="0"/>
        <w:autoSpaceDN w:val="0"/>
        <w:adjustRightInd w:val="0"/>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sz w:val="20"/>
          <w:szCs w:val="20"/>
          <w:lang w:val="en-MY"/>
        </w:rPr>
        <w:t>The blank sample for</w:t>
      </w:r>
      <w:r w:rsidR="00111389">
        <w:rPr>
          <w:rFonts w:ascii="Times New Roman" w:hAnsi="Times New Roman"/>
          <w:sz w:val="20"/>
          <w:szCs w:val="20"/>
          <w:lang w:val="en-MY"/>
        </w:rPr>
        <w:t xml:space="preserve"> </w:t>
      </w:r>
      <w:r w:rsidRPr="00DD2C8B">
        <w:rPr>
          <w:rFonts w:ascii="Times New Roman" w:hAnsi="Times New Roman"/>
          <w:sz w:val="20"/>
          <w:szCs w:val="20"/>
          <w:lang w:val="en-MY"/>
        </w:rPr>
        <w:t>validation of specificity was</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 prepared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according </w:t>
      </w:r>
      <w:r w:rsidR="00111389">
        <w:rPr>
          <w:rFonts w:ascii="Times New Roman" w:hAnsi="Times New Roman"/>
          <w:sz w:val="20"/>
          <w:szCs w:val="20"/>
          <w:lang w:val="en-MY"/>
        </w:rPr>
        <w:t xml:space="preserve"> </w:t>
      </w:r>
      <w:r w:rsidRPr="00DD2C8B">
        <w:rPr>
          <w:rFonts w:ascii="Times New Roman" w:hAnsi="Times New Roman"/>
          <w:sz w:val="20"/>
          <w:szCs w:val="20"/>
          <w:lang w:val="en-MY"/>
        </w:rPr>
        <w:t>to</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 methods </w:t>
      </w:r>
      <w:r w:rsidR="00111389">
        <w:rPr>
          <w:rFonts w:ascii="Times New Roman" w:hAnsi="Times New Roman"/>
          <w:sz w:val="20"/>
          <w:szCs w:val="20"/>
          <w:lang w:val="en-MY"/>
        </w:rPr>
        <w:t xml:space="preserve"> </w:t>
      </w:r>
      <w:r w:rsidRPr="00DD2C8B">
        <w:rPr>
          <w:rFonts w:ascii="Times New Roman" w:hAnsi="Times New Roman"/>
          <w:sz w:val="20"/>
          <w:szCs w:val="20"/>
          <w:lang w:val="en-MY"/>
        </w:rPr>
        <w:t>modified</w:t>
      </w:r>
      <w:r w:rsidR="00111389">
        <w:rPr>
          <w:rFonts w:ascii="Times New Roman" w:hAnsi="Times New Roman"/>
          <w:sz w:val="20"/>
          <w:szCs w:val="20"/>
          <w:lang w:val="en-MY"/>
        </w:rPr>
        <w:t xml:space="preserve"> </w:t>
      </w:r>
      <w:bookmarkStart w:id="0" w:name="_GoBack"/>
      <w:bookmarkEnd w:id="0"/>
      <w:r w:rsidRPr="00DD2C8B">
        <w:rPr>
          <w:rFonts w:ascii="Times New Roman" w:hAnsi="Times New Roman"/>
          <w:sz w:val="20"/>
          <w:szCs w:val="20"/>
          <w:lang w:val="en-MY"/>
        </w:rPr>
        <w:t xml:space="preserve"> from the literature </w:t>
      </w:r>
      <w:r w:rsidRPr="00DD2C8B">
        <w:rPr>
          <w:rFonts w:ascii="Times New Roman" w:hAnsi="Times New Roman"/>
          <w:sz w:val="20"/>
          <w:szCs w:val="20"/>
          <w:lang w:val="en-MY"/>
        </w:rPr>
        <w:fldChar w:fldCharType="begin" w:fldLock="1"/>
      </w:r>
      <w:r w:rsidRPr="00DD2C8B">
        <w:rPr>
          <w:rFonts w:ascii="Times New Roman" w:hAnsi="Times New Roman"/>
          <w:sz w:val="20"/>
          <w:szCs w:val="20"/>
          <w:lang w:val="en-MY"/>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"ITEM-2",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"(5,10)", "plainTextFormattedCitation" : "(5,10)", "previouslyFormattedCitation" : "(5,10)" }, "properties" : { "noteIndex" : 0 }, "schema" : "https://github.com/citation-style-language/schema/raw/master/csl-citation.json" }</w:instrText>
      </w:r>
      <w:r w:rsidRPr="00DD2C8B">
        <w:rPr>
          <w:rFonts w:ascii="Times New Roman" w:hAnsi="Times New Roman"/>
          <w:sz w:val="20"/>
          <w:szCs w:val="20"/>
          <w:lang w:val="en-MY"/>
        </w:rPr>
        <w:fldChar w:fldCharType="separate"/>
      </w:r>
      <w:r w:rsidRPr="00DD2C8B">
        <w:rPr>
          <w:rFonts w:ascii="Times New Roman" w:hAnsi="Times New Roman"/>
          <w:noProof/>
          <w:sz w:val="20"/>
          <w:szCs w:val="20"/>
          <w:lang w:val="en-MY"/>
        </w:rPr>
        <w:t>[5, 10]</w:t>
      </w:r>
      <w:r w:rsidRPr="00DD2C8B">
        <w:rPr>
          <w:rFonts w:ascii="Times New Roman" w:hAnsi="Times New Roman"/>
          <w:sz w:val="20"/>
          <w:szCs w:val="20"/>
          <w:lang w:val="en-MY"/>
        </w:rPr>
        <w:fldChar w:fldCharType="end"/>
      </w:r>
      <w:r w:rsidRPr="00DD2C8B">
        <w:rPr>
          <w:rFonts w:ascii="Times New Roman" w:hAnsi="Times New Roman"/>
          <w:sz w:val="20"/>
          <w:szCs w:val="20"/>
          <w:lang w:val="en-MY"/>
        </w:rPr>
        <w:t xml:space="preserve">. A herbal weight reducing supplement purchased from a local pharmacy was considered as a blank sample. The capsule was opened, and 0.1 g of powder was weighed. The powder was then extracted with 25 mL of HPLC grade methanol by sonication for 10 minutes. The mixture was then centrifuged at 10 000 rpm for five minutes, and the </w:t>
      </w:r>
      <w:r w:rsidRPr="00DD2C8B">
        <w:rPr>
          <w:rFonts w:ascii="Times New Roman" w:hAnsi="Times New Roman"/>
          <w:sz w:val="20"/>
          <w:szCs w:val="20"/>
          <w:lang w:val="en-MY"/>
        </w:rPr>
        <w:lastRenderedPageBreak/>
        <w:t xml:space="preserve">supernatant was then collected and filtered through a 0.2 µm nylon syringe filter. The blank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sample was stored at 4 ºC in the refrigerator and brought to room temperature before injection into the HPLC.</w:t>
      </w:r>
    </w:p>
    <w:p w:rsidR="00DD2C8B" w:rsidRPr="00DD2C8B" w:rsidRDefault="00DD2C8B" w:rsidP="00DD2C8B">
      <w:pPr>
        <w:autoSpaceDE w:val="0"/>
        <w:autoSpaceDN w:val="0"/>
        <w:adjustRightInd w:val="0"/>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hAnsi="Times New Roman"/>
          <w:b/>
          <w:sz w:val="20"/>
          <w:szCs w:val="20"/>
          <w:lang w:val="en-MY"/>
        </w:rPr>
        <w:t>System suitability tests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lang w:val="en-MY"/>
        </w:rPr>
        <w:t xml:space="preserve">System suitability tests were carried out before performing validation parameters. </w:t>
      </w:r>
      <w:r w:rsidRPr="00DD2C8B">
        <w:rPr>
          <w:rFonts w:ascii="Times New Roman" w:hAnsi="Times New Roman"/>
          <w:sz w:val="20"/>
          <w:szCs w:val="20"/>
        </w:rPr>
        <w:t>The following system suitability tests were performed: peak symmetry, number of theoretical plates, resolution and capacity factor.</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Method validation</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method validation was performed according to ICH guidelines for the following parameters: specificity, linearity, limit of detection (LOD), limit of quantification (LOQ), accuracy, precision, and robustness. Stability of a mixed working solution at a 50 μg/mL concentration was also investigated.</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tabs>
          <w:tab w:val="left" w:pos="3193"/>
        </w:tabs>
        <w:spacing w:after="0" w:line="240" w:lineRule="auto"/>
        <w:jc w:val="both"/>
        <w:rPr>
          <w:rFonts w:ascii="Times New Roman" w:hAnsi="Times New Roman"/>
          <w:b/>
          <w:sz w:val="20"/>
          <w:szCs w:val="20"/>
        </w:rPr>
      </w:pPr>
      <w:r w:rsidRPr="00DD2C8B">
        <w:rPr>
          <w:rFonts w:ascii="Times New Roman" w:hAnsi="Times New Roman"/>
          <w:b/>
          <w:sz w:val="20"/>
          <w:szCs w:val="20"/>
        </w:rPr>
        <w:t>Specificity</w:t>
      </w:r>
      <w:r w:rsidRPr="00DD2C8B">
        <w:rPr>
          <w:rFonts w:ascii="Times New Roman" w:hAnsi="Times New Roman"/>
          <w:b/>
          <w:sz w:val="20"/>
          <w:szCs w:val="20"/>
        </w:rPr>
        <w:tab/>
      </w:r>
    </w:p>
    <w:p w:rsidR="00DD2C8B" w:rsidRPr="00DD2C8B" w:rsidRDefault="00DD2C8B" w:rsidP="00DD2C8B">
      <w:pPr>
        <w:tabs>
          <w:tab w:val="left" w:pos="3193"/>
        </w:tabs>
        <w:spacing w:after="0" w:line="240" w:lineRule="auto"/>
        <w:jc w:val="both"/>
        <w:rPr>
          <w:rFonts w:ascii="Times New Roman" w:hAnsi="Times New Roman"/>
          <w:sz w:val="20"/>
          <w:szCs w:val="20"/>
        </w:rPr>
      </w:pPr>
      <w:r w:rsidRPr="00DD2C8B">
        <w:rPr>
          <w:rFonts w:ascii="Times New Roman" w:hAnsi="Times New Roman"/>
          <w:sz w:val="20"/>
          <w:szCs w:val="20"/>
        </w:rPr>
        <w:t>Specificity is defined as the ability to assess unequivocally the analytes in the presence of components which may be expected to be present. Specificity was determined by injecting blank samples into the HPLC system to test for interference of a complex matrix of the blank samples with caffeine and phenolphthalein peaks. Blank samples used were OTC weight reducing supplements.</w:t>
      </w:r>
    </w:p>
    <w:p w:rsidR="00DD2C8B" w:rsidRPr="00DD2C8B" w:rsidRDefault="00DD2C8B" w:rsidP="00DD2C8B">
      <w:pPr>
        <w:tabs>
          <w:tab w:val="left" w:pos="2515"/>
        </w:tabs>
        <w:spacing w:after="0" w:line="240" w:lineRule="auto"/>
        <w:jc w:val="both"/>
        <w:rPr>
          <w:rFonts w:ascii="Times New Roman" w:hAnsi="Times New Roman"/>
          <w:b/>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Linearity of the calibration curve</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linearity of the calibration curves were constructed by analysing mixed working solutions of caffeine and phenolphthalein. Six concentrations of mixed working solutions containing them ranging from 10 µg/mL to 100 µg/mL were prepared. The linearity was obtained by the injection of the mixed standard working solutions at each concentration in triplicates (n = 3), </w:t>
      </w:r>
      <w:r w:rsidRPr="00DD2C8B">
        <w:rPr>
          <w:rFonts w:ascii="Times New Roman" w:hAnsi="Times New Roman"/>
          <w:sz w:val="20"/>
          <w:szCs w:val="20"/>
        </w:rPr>
        <w:t>and the results were expressed as the mean of the triplicates.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Limit of detection and limit of quantification</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LOD is defined as the lowest analyte concentration of a sample that can be detected by the analyst, while LOQ is the lowest analyte concentration which can be quantitatively detected with accuracy and acceptable precision. The LOD is expressed as 3.3δ/S, and LOQ is expressed as 10δ/S, where S refers to the slope of the calibration curve and δ refers to the standard deviation of the response. The value of δ was determined from the residual standard deviation of the calibration curve.  </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Accuracy</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accuracy of the method, expressed as percentage recovery (% recovery), was established via spiking studies. The % recovery values were evaluated by spiking blank samples with low, medium and high levels of caffeine and phenolphthalein standards. The concentrations of caffeine standard spiked into</w:t>
      </w:r>
      <w:r w:rsidRPr="00DD2C8B">
        <w:rPr>
          <w:rFonts w:ascii="Times New Roman" w:hAnsi="Times New Roman"/>
          <w:b/>
          <w:sz w:val="20"/>
          <w:szCs w:val="20"/>
        </w:rPr>
        <w:t xml:space="preserve"> </w:t>
      </w:r>
      <w:r w:rsidRPr="00DD2C8B">
        <w:rPr>
          <w:rFonts w:ascii="Times New Roman" w:hAnsi="Times New Roman"/>
          <w:sz w:val="20"/>
          <w:szCs w:val="20"/>
        </w:rPr>
        <w:t xml:space="preserve">the samples were 11, 22 and 33 µg/mL, while the concentrations of phenolphthalein standard spiked were 10.44, 20.88 and 31.32 µg/mL. Each standards of the same concentration was injected into the HPLC in triplicates (n = 3) and the results are expressed as the mean of the triplicates. The % recovery values were established by calculating the ratio of the experimentally determined concentration of each analytes spiked into the blank samples to its theoretical amount (equation 1): </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ind w:firstLine="720"/>
        <w:jc w:val="both"/>
        <w:rPr>
          <w:rFonts w:ascii="Times New Roman" w:hAnsi="Times New Roman"/>
          <w:sz w:val="20"/>
          <w:szCs w:val="20"/>
        </w:rPr>
      </w:pPr>
      <w:r w:rsidRPr="00DD2C8B">
        <w:rPr>
          <w:rFonts w:ascii="Times New Roman" w:hAnsi="Times New Roman"/>
          <w:sz w:val="20"/>
          <w:szCs w:val="20"/>
        </w:rPr>
        <w:t xml:space="preserve">% Recovery = </w:t>
      </w:r>
      <m:oMath>
        <m:f>
          <m:fPr>
            <m:ctrlPr>
              <w:rPr>
                <w:rFonts w:ascii="Cambria Math" w:hAnsi="Cambria Math"/>
                <w:sz w:val="20"/>
                <w:szCs w:val="20"/>
              </w:rPr>
            </m:ctrlPr>
          </m:fPr>
          <m:num>
            <m:r>
              <m:rPr>
                <m:sty m:val="p"/>
              </m:rPr>
              <w:rPr>
                <w:rFonts w:ascii="Cambria Math" w:hAnsi="Cambria Math"/>
                <w:sz w:val="20"/>
                <w:szCs w:val="20"/>
              </w:rPr>
              <m:t>(Recovered concentration of analytes)</m:t>
            </m:r>
          </m:num>
          <m:den>
            <m:r>
              <m:rPr>
                <m:sty m:val="p"/>
              </m:rPr>
              <w:rPr>
                <w:rFonts w:ascii="Cambria Math" w:hAnsi="Cambria Math"/>
                <w:sz w:val="20"/>
                <w:szCs w:val="20"/>
              </w:rPr>
              <m:t>(Theoretical concentration of analytes)</m:t>
            </m:r>
          </m:den>
        </m:f>
        <m:r>
          <w:rPr>
            <w:rFonts w:ascii="Cambria Math" w:hAnsi="Cambria Math"/>
            <w:sz w:val="20"/>
            <w:szCs w:val="20"/>
          </w:rPr>
          <m:t xml:space="preserve"> </m:t>
        </m:r>
        <m:r>
          <m:rPr>
            <m:sty m:val="p"/>
          </m:rPr>
          <w:rPr>
            <w:rFonts w:ascii="Cambria Math" w:hAnsi="Cambria Math"/>
            <w:sz w:val="20"/>
            <w:szCs w:val="20"/>
          </w:rPr>
          <m:t xml:space="preserve">x 100% </m:t>
        </m:r>
      </m:oMath>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DD2C8B">
        <w:rPr>
          <w:rFonts w:ascii="Times New Roman" w:eastAsiaTheme="minorEastAsia" w:hAnsi="Times New Roman"/>
          <w:sz w:val="20"/>
          <w:szCs w:val="20"/>
        </w:rPr>
        <w:t xml:space="preserve"> (1)</w:t>
      </w:r>
    </w:p>
    <w:p w:rsidR="00DD2C8B" w:rsidRDefault="00DD2C8B" w:rsidP="00DD2C8B">
      <w:pPr>
        <w:tabs>
          <w:tab w:val="left" w:pos="3858"/>
        </w:tabs>
        <w:spacing w:after="0" w:line="240" w:lineRule="auto"/>
        <w:jc w:val="both"/>
        <w:rPr>
          <w:rFonts w:ascii="Times New Roman" w:hAnsi="Times New Roman"/>
          <w:sz w:val="20"/>
          <w:szCs w:val="20"/>
        </w:rPr>
      </w:pPr>
    </w:p>
    <w:p w:rsidR="00DD2C8B" w:rsidRPr="00DD2C8B" w:rsidRDefault="00DD2C8B" w:rsidP="00DD2C8B">
      <w:pPr>
        <w:tabs>
          <w:tab w:val="left" w:pos="3858"/>
        </w:tabs>
        <w:spacing w:after="0" w:line="240" w:lineRule="auto"/>
        <w:jc w:val="both"/>
        <w:rPr>
          <w:rFonts w:ascii="Times New Roman" w:hAnsi="Times New Roman"/>
          <w:sz w:val="20"/>
          <w:szCs w:val="20"/>
        </w:rPr>
      </w:pPr>
      <w:r w:rsidRPr="00DD2C8B">
        <w:rPr>
          <w:rFonts w:ascii="Times New Roman" w:hAnsi="Times New Roman"/>
          <w:sz w:val="20"/>
          <w:szCs w:val="20"/>
        </w:rPr>
        <w:tab/>
      </w: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Precision</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Precision is the measure for the relative errors of the method and is expressed as the percentage relative standard deviation (% RSD) for intra-day precision (repeatability) and inter-day precision (intermediate precision). To find the intra-day precision, mixed working solutions at low, medium and high concentrations were injected consecutively in the same day. Each sample of a similar concentration was injected in triplicates (n = 3), and the results were expressed as the mean of the triplicates. To find the inter-day precision, the process to do so was repeated where injections of mixed working standard solutions at low, medium and high concentrations were performed over three consecutive days. Each sample of a similar concentration was injected in triplicates (n = 3), and the results were expressed as the mean of the triplicates.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lastRenderedPageBreak/>
        <w:t xml:space="preserve">Stability of mixed standard solution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A mixed working solution of concentration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w:t>
      </w:r>
      <w:r w:rsidRPr="00DD2C8B">
        <w:rPr>
          <w:rFonts w:ascii="Times New Roman" w:hAnsi="Times New Roman"/>
          <w:sz w:val="20"/>
          <w:szCs w:val="20"/>
        </w:rPr>
        <w:t xml:space="preserve"> was prepared fresh. The stability of this solution was checked after 24 hours under refrigerated conditions (4 °C). </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Robustness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robustness of the method was determined by analysing the mixed standard solution after deliberate changes in flow rate (± 0.2 mL/min), buffer pH (± 0.2 units) and organic content of the mobile phase (± 2.0%). System suitability was applied after each of the above mentioned changes. The method is considered robust for the parameter tested if it conforms to the system suitability tests.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Preparation of representative samples</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r w:rsidRPr="00DD2C8B">
        <w:rPr>
          <w:rFonts w:ascii="Times New Roman" w:hAnsi="Times New Roman"/>
          <w:sz w:val="20"/>
          <w:szCs w:val="20"/>
          <w:lang w:val="en-MY"/>
        </w:rPr>
        <w:t>The representative samples were prepared according to similar method employed to prepare the blank sample. Five weight reducing supplements in the form of capsules and powder were purchased from the Kuala Lumpur area (products A, B, C, D and E). The filtered solution of product A was diluted by 10 times with HPLC grade methanol before injection into the HPLC to obtain concentrations within the calibration range. No dilutions were required for the other samples before injection into the HPLC. All solutions were injected in triplicate.</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 xml:space="preserve">Liquid-liquid extraction </w:t>
      </w:r>
      <w:r w:rsidR="007D4FA8">
        <w:rPr>
          <w:rFonts w:ascii="Times New Roman" w:hAnsi="Times New Roman"/>
          <w:b/>
          <w:sz w:val="20"/>
          <w:szCs w:val="20"/>
        </w:rPr>
        <w:t>(LLE)</w:t>
      </w:r>
    </w:p>
    <w:p w:rsidR="00AC0033" w:rsidRPr="00DD2C8B" w:rsidRDefault="00DD2C8B" w:rsidP="00DD2C8B">
      <w:pPr>
        <w:spacing w:after="0" w:line="240" w:lineRule="auto"/>
        <w:jc w:val="both"/>
        <w:rPr>
          <w:rFonts w:ascii="Times New Roman" w:hAnsi="Times New Roman"/>
          <w:noProof/>
          <w:sz w:val="20"/>
          <w:szCs w:val="20"/>
          <w:lang w:bidi="ar-SA"/>
        </w:rPr>
      </w:pPr>
      <w:r w:rsidRPr="00DD2C8B">
        <w:rPr>
          <w:rFonts w:ascii="Times New Roman" w:hAnsi="Times New Roman"/>
          <w:sz w:val="20"/>
          <w:szCs w:val="20"/>
        </w:rPr>
        <w:t>To clean-up product E, 0.05 g of the product was weighed and dissolved in 20 mL sodium carbonate solution. Solids were removed by filtering, and the filtrate collected into a separating funnel. The filtrate was extracted with dichloromethane (20 mL x 3), the dichloromethane fractions pooled into a round bottom flask and the solvent removed using a rotary evaporator. The residue left in the round bottom flask was reconstituted with 10 mL of HPLC grade methanol and filtered through a 0.2 µm nylon syringe filter prior to injection into the HPLC.</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Selection and optimisation of the method</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chromatographic method was optimised during the method developing stage by trying different mobile phase compositions and flow rates. The final method was obtained using an ammonium acetate buffer (pH 5; 25 mM) as an aqueous mobile phase and methanol as an organic mobile phase at a flow rate of 1.1 mL/min</w:t>
      </w:r>
      <w:r w:rsidRPr="00DD2C8B">
        <w:rPr>
          <w:rFonts w:ascii="Times New Roman" w:hAnsi="Times New Roman"/>
          <w:color w:val="000000" w:themeColor="text1"/>
          <w:sz w:val="20"/>
          <w:szCs w:val="20"/>
        </w:rPr>
        <w:t xml:space="preserve">. The buffer was used as an aqueous mobile phase to obtain good peak shape and a constant retention time, as caffeine and phenolphthalein contains pH sensitive functional groups </w:t>
      </w:r>
      <w:r w:rsidRPr="00DD2C8B">
        <w:rPr>
          <w:rFonts w:ascii="Times New Roman" w:hAnsi="Times New Roman"/>
          <w:color w:val="000000" w:themeColor="text1"/>
          <w:sz w:val="20"/>
          <w:szCs w:val="20"/>
        </w:rPr>
        <w:fldChar w:fldCharType="begin" w:fldLock="1"/>
      </w:r>
      <w:r w:rsidRPr="00DD2C8B">
        <w:rPr>
          <w:rFonts w:ascii="Times New Roman" w:hAnsi="Times New Roman"/>
          <w:color w:val="000000" w:themeColor="text1"/>
          <w:sz w:val="20"/>
          <w:szCs w:val="20"/>
        </w:rPr>
        <w:instrText>ADDIN CSL_CITATION { "citationItems" : [ { "id" : "ITEM-1", "itemData" : { "URL" : "http://pubchem.ncbi.nlm.nih.gov/summary/summary.cgi?cid=2519", "author" : [ { "dropping-particle" : "", "family" : "National Center for Biotechnology Information", "given" : "", "non-dropping-particle" : "", "parse-names" : false, "suffix" : "" } ], "container-title" : "PubChem compound", "id" : "ITEM-1", "issued" : { "date-parts" : [ [ "2004" ] ] }, "title" : "Caffeine", "type" : "webpage" }, "uris" : [ "http://www.mendeley.com/documents/?uuid=3dcfc4d2-930e-4c58-95b4-4d9887429c50" ] }, { "id" : "ITEM-2", "itemData" : { "URL" : "http://pubchem.ncbi.nlm.nih.gov/summary/summary.cgi?cid=4764", "author" : [ { "dropping-particle" : "", "family" : "National Center for Biotechnology Information", "given" : "", "non-dropping-particle" : "", "parse-names" : false, "suffix" : "" } ], "container-title" : "PubChem compound", "id" : "ITEM-2", "issued" : { "date-parts" : [ [ "2005" ] ] }, "title" : "Phenolphthalein", "type" : "webpage" }, "uris" : [ "http://www.mendeley.com/documents/?uuid=a378b2d9-bef6-4c86-a5c9-22550ee57617" ] } ], "mendeley" : { "formattedCitation" : "(23,24)", "plainTextFormattedCitation" : "(23,24)", "previouslyFormattedCitation" : "(23,24)" }, "properties" : { "noteIndex" : 0 }, "schema" : "https://github.com/citation-style-language/schema/raw/master/csl-citation.json" }</w:instrText>
      </w:r>
      <w:r w:rsidRPr="00DD2C8B">
        <w:rPr>
          <w:rFonts w:ascii="Times New Roman" w:hAnsi="Times New Roman"/>
          <w:color w:val="000000" w:themeColor="text1"/>
          <w:sz w:val="20"/>
          <w:szCs w:val="20"/>
        </w:rPr>
        <w:fldChar w:fldCharType="separate"/>
      </w:r>
      <w:r w:rsidRPr="00DD2C8B">
        <w:rPr>
          <w:rFonts w:ascii="Times New Roman" w:hAnsi="Times New Roman"/>
          <w:noProof/>
          <w:color w:val="000000" w:themeColor="text1"/>
          <w:sz w:val="20"/>
          <w:szCs w:val="20"/>
        </w:rPr>
        <w:t>[23, 24]</w:t>
      </w:r>
      <w:r w:rsidRPr="00DD2C8B">
        <w:rPr>
          <w:rFonts w:ascii="Times New Roman" w:hAnsi="Times New Roman"/>
          <w:color w:val="000000" w:themeColor="text1"/>
          <w:sz w:val="20"/>
          <w:szCs w:val="20"/>
        </w:rPr>
        <w:fldChar w:fldCharType="end"/>
      </w:r>
      <w:r w:rsidRPr="00DD2C8B">
        <w:rPr>
          <w:rFonts w:ascii="Times New Roman" w:hAnsi="Times New Roman"/>
          <w:color w:val="000000" w:themeColor="text1"/>
          <w:sz w:val="20"/>
          <w:szCs w:val="20"/>
        </w:rPr>
        <w:t xml:space="preserve">. Additional peaks were observed when ammonium acetate buffer pH 5 was substituted with ammonium acetate buffer pH 3.8 and pH 5.8 (Figures 2a and 2b). </w:t>
      </w:r>
      <w:r w:rsidRPr="00DD2C8B">
        <w:rPr>
          <w:rFonts w:ascii="Times New Roman" w:hAnsi="Times New Roman"/>
          <w:sz w:val="20"/>
          <w:szCs w:val="20"/>
        </w:rPr>
        <w:t xml:space="preserve">The optimum wavelength allowing for sensitive detection for both caffeine and phenolphthalein was set at 254 nm based on literature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"10.1016/j.foodchem.2013.09.131", "ISSN" : "0308-8146", "PMID" : "24206716", "abstract" : "A rapid reversed-phase high performance liquid chromatographic method using a monolithic column for the determination of eight catechin monomers and caffeine was developed. Using a mobile phase of water:acetonitrile:methanol (83:6:11) at a flow rate of 1.4 mL min(-1), the catechins and caffeine were isocratically separated in about 7 min. The limits of detection and quantification were in the range of 0.11-0.29 and 0.33-0.87 mg L(-1), respectively. Satisfactory recoveries were obtained (94.2-105.2 \u00b1 1.8%) for all samples when spiked at three concentrations (5, 40 and 70 mg L(-1)). In combination with microwave-assisted extraction (MAE), the method was applied to the determination of the catechins and caffeine in eleven tea samples (6 green, 3 black and 2 oolong teas). Relatively high levels of caffeine were found in black tea, but higher levels of the catechins, especially epigallocatechin gallate (EGCG) were found in green teas.", "author" : [ { "dropping-particle" : "", "family" : "Rahim", "given" : "A. A", "non-dropping-particle" : "", "parse-names" : false, "suffix" : "" }, { "dropping-particle" : "", "family" : "Nofrizal", "given" : "S", "non-dropping-particle" : "", "parse-names" : false, "suffix" : "" }, { "dropping-particle" : "", "family" : "Saad", "given" : "Bahruddin", "non-dropping-particle" : "", "parse-names" : false, "suffix" : "" } ], "container-title" : "Food chemistry", "id" : "ITEM-2", "issued" : { "date-parts" : [ [ "2014", "3", "15" ] ] }, "page" : "262-8", "publisher" : "Elsevier Ltd", "title" : "Rapid tea catechins and caffeine determination by HPLC using microwave-assisted extraction and silica monolithic column.", "type" : "article-journal", "volume" : "147" }, "uris" : [ "http://www.mendeley.com/documents/?uuid=955b4fad-b03b-45c0-ba38-06e198f9d554" ] }, { "id" : "ITEM-3",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"ITEM-3",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"(9,10,25)", "plainTextFormattedCitation" : "(9,10,25)", "previouslyFormattedCitation" : "(9,10,25)"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[9, 10, 25]</w:t>
      </w:r>
      <w:r w:rsidRPr="00DD2C8B">
        <w:rPr>
          <w:rFonts w:ascii="Times New Roman" w:hAnsi="Times New Roman"/>
          <w:sz w:val="20"/>
          <w:szCs w:val="20"/>
        </w:rPr>
        <w:fldChar w:fldCharType="end"/>
      </w:r>
      <w:r w:rsidRPr="00DD2C8B">
        <w:rPr>
          <w:rFonts w:ascii="Times New Roman" w:hAnsi="Times New Roman"/>
          <w:sz w:val="20"/>
          <w:szCs w:val="20"/>
        </w:rPr>
        <w:t>.</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elution gradient begins with 10% methanol and 90% buffer. After one minute a linear gradient is started where 40% methanol composition is reached after 2 minutes from the time of gradient. A second linear gradient is then applied where methanol composition increases to 55% after 2 minutes and kept constant for 5 minutes until caffeine and phenolphthalein elutes out at 5.61 minutes and 8.78 minutes respectively. The separation achieved using the experimental conditions described are presented in Figure 2c. The following system suitability test parameters were performed: peak symmetry, number of theoretical plates, resolution and capacity factor (Table 2). All system suitability test parameters were found to be within the ICH requirements.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lastRenderedPageBreak/>
        <w:drawing>
          <wp:inline distT="0" distB="0" distL="0" distR="0" wp14:anchorId="20490F89" wp14:editId="2DE5B1D8">
            <wp:extent cx="4335880" cy="2340000"/>
            <wp:effectExtent l="0" t="0" r="762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5880" cy="2340000"/>
                    </a:xfrm>
                    <a:prstGeom prst="rect">
                      <a:avLst/>
                    </a:prstGeom>
                    <a:noFill/>
                    <a:ln>
                      <a:noFill/>
                    </a:ln>
                  </pic:spPr>
                </pic:pic>
              </a:graphicData>
            </a:graphic>
          </wp:inline>
        </w:drawing>
      </w:r>
    </w:p>
    <w:p w:rsidR="00DD2C8B" w:rsidRPr="00DD2C8B" w:rsidRDefault="00DD2C8B" w:rsidP="00DD2C8B">
      <w:pPr>
        <w:spacing w:after="0" w:line="240" w:lineRule="auto"/>
        <w:jc w:val="both"/>
        <w:rPr>
          <w:rFonts w:ascii="Times New Roman" w:hAnsi="Times New Roman"/>
          <w:sz w:val="20"/>
          <w:szCs w:val="20"/>
        </w:rPr>
      </w:pPr>
    </w:p>
    <w:p w:rsid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drawing>
          <wp:inline distT="0" distB="0" distL="0" distR="0" wp14:anchorId="0B3C71CE" wp14:editId="28E69F17">
            <wp:extent cx="4318854" cy="2340000"/>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854" cy="2340000"/>
                    </a:xfrm>
                    <a:prstGeom prst="rect">
                      <a:avLst/>
                    </a:prstGeom>
                    <a:noFill/>
                    <a:ln>
                      <a:noFill/>
                    </a:ln>
                  </pic:spPr>
                </pic:pic>
              </a:graphicData>
            </a:graphic>
          </wp:inline>
        </w:drawing>
      </w:r>
    </w:p>
    <w:p w:rsidR="00DD2C8B" w:rsidRPr="00DD2C8B" w:rsidRDefault="00DD2C8B" w:rsidP="00DD2C8B">
      <w:pPr>
        <w:spacing w:after="0" w:line="240" w:lineRule="auto"/>
        <w:jc w:val="center"/>
        <w:rPr>
          <w:rFonts w:ascii="Times New Roman" w:hAnsi="Times New Roman"/>
          <w:sz w:val="20"/>
          <w:szCs w:val="20"/>
        </w:rPr>
      </w:pPr>
    </w:p>
    <w:p w:rsidR="00DD2C8B" w:rsidRP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5C06E490" wp14:editId="0F7B4AD9">
                <wp:simplePos x="0" y="0"/>
                <wp:positionH relativeFrom="column">
                  <wp:posOffset>1010920</wp:posOffset>
                </wp:positionH>
                <wp:positionV relativeFrom="paragraph">
                  <wp:posOffset>135890</wp:posOffset>
                </wp:positionV>
                <wp:extent cx="262393" cy="23853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2393" cy="23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FA8" w:rsidRPr="00EA2FB5" w:rsidRDefault="007D4FA8" w:rsidP="00DD2C8B">
                            <w:pPr>
                              <w:rPr>
                                <w:rFonts w:ascii="Times New Roman" w:hAnsi="Times New Roman"/>
                              </w:rPr>
                            </w:pPr>
                            <w:r w:rsidRPr="00EA2FB5">
                              <w:rPr>
                                <w:rFonts w:ascii="Times New Roman" w:hAnsi="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9.6pt;margin-top:10.7pt;width:20.65pt;height: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" filled="f" stroked="f" strokeweight=".5pt">
                <v:textbox>
                  <w:txbxContent>
                    <w:p w:rsidR="007D4FA8" w:rsidRPr="00EA2FB5" w:rsidRDefault="007D4FA8" w:rsidP="00DD2C8B">
                      <w:pPr>
                        <w:rPr>
                          <w:rFonts w:ascii="Times New Roman" w:hAnsi="Times New Roman"/>
                        </w:rPr>
                      </w:pPr>
                      <w:r w:rsidRPr="00EA2FB5">
                        <w:rPr>
                          <w:rFonts w:ascii="Times New Roman" w:hAnsi="Times New Roman"/>
                        </w:rPr>
                        <w:t>c</w:t>
                      </w:r>
                    </w:p>
                  </w:txbxContent>
                </v:textbox>
              </v:shape>
            </w:pict>
          </mc:Fallback>
        </mc:AlternateContent>
      </w:r>
      <w:r w:rsidRPr="00DD2C8B">
        <w:rPr>
          <w:rFonts w:ascii="Times New Roman" w:hAnsi="Times New Roman"/>
          <w:noProof/>
          <w:sz w:val="20"/>
          <w:szCs w:val="20"/>
          <w:lang w:bidi="ar-SA"/>
        </w:rPr>
        <w:drawing>
          <wp:inline distT="0" distB="0" distL="0" distR="0" wp14:anchorId="07F314D7" wp14:editId="137343D1">
            <wp:extent cx="4320000" cy="2143786"/>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2143786"/>
                    </a:xfrm>
                    <a:prstGeom prst="rect">
                      <a:avLst/>
                    </a:prstGeom>
                    <a:noFill/>
                  </pic:spPr>
                </pic:pic>
              </a:graphicData>
            </a:graphic>
          </wp:inline>
        </w:drawing>
      </w:r>
    </w:p>
    <w:p w:rsidR="00DD2C8B" w:rsidRDefault="00DD2C8B" w:rsidP="00DD2C8B">
      <w:pPr>
        <w:spacing w:after="0" w:line="240" w:lineRule="auto"/>
        <w:ind w:left="851" w:hanging="851"/>
        <w:jc w:val="both"/>
        <w:rPr>
          <w:rFonts w:ascii="Times New Roman" w:hAnsi="Times New Roman"/>
          <w:sz w:val="20"/>
          <w:szCs w:val="20"/>
          <w:lang w:val="en-MY" w:eastAsia="en-MY"/>
        </w:rPr>
      </w:pPr>
    </w:p>
    <w:p w:rsidR="00DD2C8B" w:rsidRPr="00DD2C8B" w:rsidRDefault="00DD2C8B" w:rsidP="00DD2C8B">
      <w:pPr>
        <w:spacing w:after="0" w:line="240" w:lineRule="auto"/>
        <w:ind w:left="851" w:hanging="851"/>
        <w:jc w:val="both"/>
        <w:rPr>
          <w:rFonts w:ascii="Times New Roman" w:hAnsi="Times New Roman"/>
          <w:sz w:val="20"/>
          <w:szCs w:val="20"/>
          <w:lang w:val="en-MY" w:eastAsia="en-MY"/>
        </w:rPr>
      </w:pPr>
      <w:r w:rsidRPr="00DD2C8B">
        <w:rPr>
          <w:rFonts w:ascii="Times New Roman" w:hAnsi="Times New Roman"/>
          <w:sz w:val="20"/>
          <w:szCs w:val="20"/>
          <w:lang w:val="en-MY" w:eastAsia="en-MY"/>
        </w:rPr>
        <w:t>Figure 2.</w:t>
      </w:r>
      <w:r w:rsidRPr="00DD2C8B">
        <w:rPr>
          <w:rFonts w:ascii="Times New Roman" w:hAnsi="Times New Roman"/>
          <w:b/>
          <w:sz w:val="20"/>
          <w:szCs w:val="20"/>
          <w:lang w:val="en-MY" w:eastAsia="en-MY"/>
        </w:rPr>
        <w:t xml:space="preserve"> </w:t>
      </w:r>
      <w:r>
        <w:rPr>
          <w:rFonts w:ascii="Times New Roman" w:hAnsi="Times New Roman"/>
          <w:b/>
          <w:sz w:val="20"/>
          <w:szCs w:val="20"/>
          <w:lang w:val="en-MY" w:eastAsia="en-MY"/>
        </w:rPr>
        <w:t xml:space="preserve"> </w:t>
      </w:r>
      <w:r w:rsidRPr="00DD2C8B">
        <w:rPr>
          <w:rFonts w:ascii="Times New Roman" w:hAnsi="Times New Roman"/>
          <w:sz w:val="20"/>
          <w:szCs w:val="20"/>
          <w:lang w:val="en-MY" w:eastAsia="en-MY"/>
        </w:rPr>
        <w:t xml:space="preserve">The HPLC chromatogram of mixed working solution </w:t>
      </w:r>
      <w:r w:rsidRPr="00DD2C8B">
        <w:rPr>
          <w:rFonts w:ascii="Times New Roman" w:hAnsi="Times New Roman"/>
          <w:sz w:val="20"/>
          <w:szCs w:val="20"/>
        </w:rPr>
        <w:t xml:space="preserve">(50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w:t>
      </w:r>
      <w:r w:rsidRPr="00DD2C8B">
        <w:rPr>
          <w:rFonts w:ascii="Times New Roman" w:hAnsi="Times New Roman"/>
          <w:sz w:val="20"/>
          <w:szCs w:val="20"/>
        </w:rPr>
        <w:t>)</w:t>
      </w:r>
      <w:r w:rsidRPr="00DD2C8B">
        <w:rPr>
          <w:rFonts w:ascii="Times New Roman" w:hAnsi="Times New Roman"/>
          <w:sz w:val="20"/>
          <w:szCs w:val="20"/>
          <w:lang w:val="en-MY" w:eastAsia="en-MY"/>
        </w:rPr>
        <w:t xml:space="preserve"> under chromatographic conditions of the developed method with ammonium acetate buffer at (a) pH 3.8; (b) pH 5.8 and (c) pH 5</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2F4CD2">
      <w:pPr>
        <w:spacing w:after="12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2.</w:t>
      </w:r>
      <w:r w:rsidR="002F4CD2">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System suitability test parameters</w:t>
      </w:r>
    </w:p>
    <w:tbl>
      <w:tblPr>
        <w:tblStyle w:val="LightShading-Accent1"/>
        <w:tblW w:w="0" w:type="auto"/>
        <w:jc w:val="center"/>
        <w:tblBorders>
          <w:top w:val="none" w:sz="0" w:space="0" w:color="auto"/>
          <w:bottom w:val="none" w:sz="0" w:space="0" w:color="auto"/>
        </w:tblBorders>
        <w:tblLook w:val="0660" w:firstRow="1" w:lastRow="1" w:firstColumn="0" w:lastColumn="0" w:noHBand="1" w:noVBand="1"/>
      </w:tblPr>
      <w:tblGrid>
        <w:gridCol w:w="2499"/>
        <w:gridCol w:w="938"/>
        <w:gridCol w:w="1617"/>
        <w:gridCol w:w="1338"/>
      </w:tblGrid>
      <w:tr w:rsidR="00DD2C8B" w:rsidRPr="00DD2C8B" w:rsidTr="00DD2C8B">
        <w:trPr>
          <w:cnfStyle w:val="100000000000" w:firstRow="1" w:lastRow="0" w:firstColumn="0" w:lastColumn="0" w:oddVBand="0" w:evenVBand="0" w:oddHBand="0" w:evenHBand="0" w:firstRowFirstColumn="0" w:firstRowLastColumn="0" w:lastRowFirstColumn="0" w:lastRowLastColumn="0"/>
          <w:trHeight w:val="253"/>
          <w:jc w:val="center"/>
        </w:trPr>
        <w:tc>
          <w:tcPr>
            <w:tcW w:w="0" w:type="auto"/>
            <w:tcBorders>
              <w:top w:val="single" w:sz="4" w:space="0" w:color="auto"/>
              <w:bottom w:val="single" w:sz="4" w:space="0" w:color="000000"/>
            </w:tcBorders>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Parameters</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Caffeine</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Phenolphthalein</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ICH</w:t>
            </w:r>
          </w:p>
          <w:p w:rsidR="00DD2C8B" w:rsidRPr="00DD2C8B" w:rsidRDefault="00DD2C8B" w:rsidP="002F4CD2">
            <w:pPr>
              <w:spacing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Requirement</w:t>
            </w:r>
          </w:p>
        </w:tc>
      </w:tr>
      <w:tr w:rsidR="00DD2C8B" w:rsidRPr="00DD2C8B" w:rsidTr="00DD2C8B">
        <w:trPr>
          <w:jc w:val="center"/>
        </w:trPr>
        <w:tc>
          <w:tcPr>
            <w:tcW w:w="0" w:type="auto"/>
            <w:tcBorders>
              <w:top w:val="single" w:sz="4" w:space="0" w:color="000000"/>
            </w:tcBorders>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Numbers of theoretical plate</w:t>
            </w:r>
          </w:p>
        </w:tc>
        <w:tc>
          <w:tcPr>
            <w:tcW w:w="0" w:type="auto"/>
            <w:tcBorders>
              <w:top w:val="single" w:sz="4" w:space="0" w:color="000000"/>
            </w:tcBorders>
          </w:tcPr>
          <w:p w:rsidR="00DD2C8B" w:rsidRPr="00DD2C8B" w:rsidRDefault="00DD2C8B" w:rsidP="002F4CD2">
            <w:pPr>
              <w:spacing w:before="60" w:after="0" w:line="240" w:lineRule="auto"/>
              <w:jc w:val="center"/>
              <w:rPr>
                <w:rStyle w:val="SubtleEmphasis"/>
                <w:rFonts w:ascii="Times New Roman" w:hAnsi="Times New Roman" w:cs="Times New Roman"/>
                <w:i w:val="0"/>
                <w:sz w:val="20"/>
                <w:szCs w:val="20"/>
              </w:rPr>
            </w:pPr>
            <w:r w:rsidRPr="00DD2C8B">
              <w:rPr>
                <w:rStyle w:val="SubtleEmphasis"/>
                <w:rFonts w:ascii="Times New Roman" w:hAnsi="Times New Roman" w:cs="Times New Roman"/>
                <w:i w:val="0"/>
                <w:color w:val="auto"/>
                <w:sz w:val="20"/>
                <w:szCs w:val="20"/>
              </w:rPr>
              <w:t>43 442</w:t>
            </w:r>
          </w:p>
        </w:tc>
        <w:tc>
          <w:tcPr>
            <w:tcW w:w="0" w:type="auto"/>
            <w:tcBorders>
              <w:top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58 100</w:t>
            </w:r>
          </w:p>
        </w:tc>
        <w:tc>
          <w:tcPr>
            <w:tcW w:w="0" w:type="auto"/>
            <w:tcBorders>
              <w:top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eastAsia="Calibri" w:hAnsi="Times New Roman" w:cs="Times New Roman"/>
                <w:color w:val="000000" w:themeColor="text1"/>
                <w:sz w:val="20"/>
                <w:szCs w:val="20"/>
              </w:rPr>
              <w:t>&gt;</w:t>
            </w:r>
            <w:r w:rsidRPr="00DD2C8B">
              <w:rPr>
                <w:rFonts w:ascii="Times New Roman" w:hAnsi="Times New Roman" w:cs="Times New Roman"/>
                <w:color w:val="000000" w:themeColor="text1"/>
                <w:sz w:val="20"/>
                <w:szCs w:val="20"/>
              </w:rPr>
              <w:t xml:space="preserve">  10 000</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Peak symmetry</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1.5</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1.3</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&lt; 2</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Retention factor (min)</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2.18</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4.04</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Precision (%RSD, n = 6)</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1.32</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sz w:val="20"/>
                <w:szCs w:val="20"/>
              </w:rPr>
              <w:t>1.49</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&lt; 2 %</w:t>
            </w:r>
          </w:p>
        </w:tc>
      </w:tr>
      <w:tr w:rsidR="00DD2C8B" w:rsidRPr="00DD2C8B" w:rsidTr="00DD2C8B">
        <w:trPr>
          <w:cnfStyle w:val="010000000000" w:firstRow="0" w:lastRow="1" w:firstColumn="0" w:lastColumn="0" w:oddVBand="0" w:evenVBand="0" w:oddHBand="0" w:evenHBand="0" w:firstRowFirstColumn="0" w:firstRowLastColumn="0" w:lastRowFirstColumn="0" w:lastRowLastColumn="0"/>
          <w:jc w:val="center"/>
        </w:trPr>
        <w:tc>
          <w:tcPr>
            <w:tcW w:w="0" w:type="auto"/>
            <w:tcBorders>
              <w:top w:val="none" w:sz="0" w:space="0" w:color="auto"/>
              <w:bottom w:val="single" w:sz="4" w:space="0" w:color="auto"/>
            </w:tcBorders>
            <w:noWrap/>
          </w:tcPr>
          <w:p w:rsidR="00DD2C8B" w:rsidRPr="00DD2C8B" w:rsidRDefault="00DD2C8B" w:rsidP="002F4CD2">
            <w:pPr>
              <w:spacing w:before="60" w:after="0" w:line="240" w:lineRule="auto"/>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 xml:space="preserve">Resolution (R) </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0" w:line="240" w:lineRule="auto"/>
              <w:jc w:val="center"/>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0" w:line="240" w:lineRule="auto"/>
              <w:jc w:val="center"/>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60" w:line="240" w:lineRule="auto"/>
              <w:jc w:val="center"/>
              <w:rPr>
                <w:rFonts w:ascii="Times New Roman" w:hAnsi="Times New Roman" w:cs="Times New Roman"/>
                <w:b w:val="0"/>
                <w:color w:val="000000" w:themeColor="text1" w:themeShade="BF"/>
                <w:sz w:val="20"/>
                <w:szCs w:val="20"/>
              </w:rPr>
            </w:pPr>
            <w:r w:rsidRPr="00DD2C8B">
              <w:rPr>
                <w:rFonts w:ascii="Times New Roman" w:eastAsia="Calibri" w:hAnsi="Times New Roman" w:cs="Times New Roman"/>
                <w:b w:val="0"/>
                <w:color w:val="000000" w:themeColor="text1"/>
                <w:sz w:val="20"/>
                <w:szCs w:val="20"/>
              </w:rPr>
              <w:t>&gt;</w:t>
            </w:r>
            <w:r w:rsidRPr="00DD2C8B">
              <w:rPr>
                <w:rFonts w:ascii="Times New Roman" w:hAnsi="Times New Roman" w:cs="Times New Roman"/>
                <w:b w:val="0"/>
                <w:color w:val="000000" w:themeColor="text1"/>
                <w:sz w:val="20"/>
                <w:szCs w:val="20"/>
              </w:rPr>
              <w:t xml:space="preserve">  1.5</w:t>
            </w:r>
          </w:p>
        </w:tc>
      </w:tr>
    </w:tbl>
    <w:p w:rsidR="00DD2C8B" w:rsidRDefault="00DD2C8B" w:rsidP="00DD2C8B">
      <w:pPr>
        <w:spacing w:after="0" w:line="240" w:lineRule="auto"/>
        <w:jc w:val="both"/>
        <w:rPr>
          <w:rFonts w:ascii="Times New Roman" w:hAnsi="Times New Roman"/>
          <w:b/>
          <w:sz w:val="20"/>
          <w:szCs w:val="20"/>
        </w:rPr>
      </w:pPr>
    </w:p>
    <w:p w:rsidR="002F4CD2" w:rsidRPr="00DD2C8B" w:rsidRDefault="002F4CD2" w:rsidP="00DD2C8B">
      <w:pPr>
        <w:spacing w:after="0" w:line="240" w:lineRule="auto"/>
        <w:jc w:val="both"/>
        <w:rPr>
          <w:rFonts w:ascii="Times New Roman" w:hAnsi="Times New Roman"/>
          <w:b/>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Validation criteria of the HPLC method: Specificity</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Specificity was indicated by the absence of any endogenous interference at retention times close to the peaks of interest, as evaluated by chromatograms of blank samples and blank samples spiked with analytes. Retention times for caffeine and phenolphthalein in the spiked sample were 5.652 minutes and 8.987 minutes respectively. In the blank sample, no interfering peaks were found at the retention times of caffeine and phenolphthalein (Figure 3).</w:t>
      </w:r>
    </w:p>
    <w:p w:rsidR="00DD2C8B" w:rsidRDefault="00DD2C8B" w:rsidP="00DD2C8B">
      <w:pPr>
        <w:spacing w:after="0" w:line="240" w:lineRule="auto"/>
        <w:jc w:val="both"/>
        <w:rPr>
          <w:rFonts w:ascii="Times New Roman" w:hAnsi="Times New Roman"/>
          <w:sz w:val="20"/>
          <w:szCs w:val="20"/>
        </w:rPr>
      </w:pPr>
    </w:p>
    <w:p w:rsidR="002F4CD2" w:rsidRPr="00DD2C8B" w:rsidRDefault="002F4CD2" w:rsidP="00DD2C8B">
      <w:pPr>
        <w:spacing w:after="0" w:line="240" w:lineRule="auto"/>
        <w:jc w:val="both"/>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7FD55E2" wp14:editId="5CD49857">
                <wp:simplePos x="0" y="0"/>
                <wp:positionH relativeFrom="column">
                  <wp:posOffset>905069</wp:posOffset>
                </wp:positionH>
                <wp:positionV relativeFrom="paragraph">
                  <wp:posOffset>85338</wp:posOffset>
                </wp:positionV>
                <wp:extent cx="405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403985"/>
                        </a:xfrm>
                        <a:prstGeom prst="rect">
                          <a:avLst/>
                        </a:prstGeom>
                        <a:noFill/>
                        <a:ln w="9525">
                          <a:noFill/>
                          <a:miter lim="800000"/>
                          <a:headEnd/>
                          <a:tailEnd/>
                        </a:ln>
                      </wps:spPr>
                      <wps:txbx>
                        <w:txbxContent>
                          <w:p w:rsidR="007D4FA8" w:rsidRPr="00A9318A" w:rsidRDefault="007D4FA8" w:rsidP="00DD2C8B">
                            <w:pPr>
                              <w:rPr>
                                <w:rFonts w:ascii="Times New Roman" w:hAnsi="Times New Roman"/>
                                <w:sz w:val="20"/>
                                <w:szCs w:val="28"/>
                              </w:rPr>
                            </w:pPr>
                            <w:r w:rsidRPr="00A9318A">
                              <w:rPr>
                                <w:sz w:val="16"/>
                              </w:rPr>
                              <w:t xml:space="preserve"> </w:t>
                            </w:r>
                            <w:r w:rsidRPr="00A9318A">
                              <w:rPr>
                                <w:rFonts w:ascii="Times New Roman" w:hAnsi="Times New Roman"/>
                                <w:sz w:val="20"/>
                                <w:szCs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71.25pt;margin-top:6.7pt;width:31.9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" filled="f" stroked="f">
                <v:textbox style="mso-fit-shape-to-text:t">
                  <w:txbxContent>
                    <w:p w:rsidR="007D4FA8" w:rsidRPr="00A9318A" w:rsidRDefault="007D4FA8" w:rsidP="00DD2C8B">
                      <w:pPr>
                        <w:rPr>
                          <w:rFonts w:ascii="Times New Roman" w:hAnsi="Times New Roman"/>
                          <w:sz w:val="20"/>
                          <w:szCs w:val="28"/>
                        </w:rPr>
                      </w:pPr>
                      <w:r w:rsidRPr="00A9318A">
                        <w:rPr>
                          <w:sz w:val="16"/>
                        </w:rPr>
                        <w:t xml:space="preserve"> </w:t>
                      </w:r>
                      <w:r w:rsidRPr="00A9318A">
                        <w:rPr>
                          <w:rFonts w:ascii="Times New Roman" w:hAnsi="Times New Roman"/>
                          <w:sz w:val="20"/>
                          <w:szCs w:val="28"/>
                        </w:rPr>
                        <w:t>a</w:t>
                      </w:r>
                    </w:p>
                  </w:txbxContent>
                </v:textbox>
              </v:shape>
            </w:pict>
          </mc:Fallback>
        </mc:AlternateContent>
      </w:r>
      <w:r w:rsidRPr="00DD2C8B">
        <w:rPr>
          <w:rFonts w:ascii="Times New Roman" w:hAnsi="Times New Roman"/>
          <w:noProof/>
          <w:sz w:val="20"/>
          <w:szCs w:val="20"/>
          <w:lang w:bidi="ar-SA"/>
        </w:rPr>
        <w:drawing>
          <wp:inline distT="0" distB="0" distL="0" distR="0" wp14:anchorId="62E52841" wp14:editId="0C463FFA">
            <wp:extent cx="4320000" cy="1824117"/>
            <wp:effectExtent l="19050" t="19050" r="23495" b="241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1824117"/>
                    </a:xfrm>
                    <a:prstGeom prst="rect">
                      <a:avLst/>
                    </a:prstGeom>
                    <a:noFill/>
                    <a:ln>
                      <a:solidFill>
                        <a:schemeClr val="tx1"/>
                      </a:solidFill>
                    </a:ln>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E10FEAE" wp14:editId="6D07677F">
                <wp:simplePos x="0" y="0"/>
                <wp:positionH relativeFrom="column">
                  <wp:posOffset>999187</wp:posOffset>
                </wp:positionH>
                <wp:positionV relativeFrom="paragraph">
                  <wp:posOffset>95581</wp:posOffset>
                </wp:positionV>
                <wp:extent cx="315927" cy="354842"/>
                <wp:effectExtent l="0" t="0" r="825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27" cy="354842"/>
                        </a:xfrm>
                        <a:prstGeom prst="rect">
                          <a:avLst/>
                        </a:prstGeom>
                        <a:solidFill>
                          <a:srgbClr val="FFFFFF"/>
                        </a:solidFill>
                        <a:ln w="9525">
                          <a:noFill/>
                          <a:miter lim="800000"/>
                          <a:headEnd/>
                          <a:tailEnd/>
                        </a:ln>
                      </wps:spPr>
                      <wps:txbx>
                        <w:txbxContent>
                          <w:p w:rsidR="007D4FA8" w:rsidRPr="00A9318A" w:rsidRDefault="007D4FA8" w:rsidP="00DD2C8B">
                            <w:pPr>
                              <w:rPr>
                                <w:rFonts w:ascii="Times New Roman" w:hAnsi="Times New Roman"/>
                                <w:sz w:val="20"/>
                                <w:szCs w:val="28"/>
                              </w:rPr>
                            </w:pPr>
                            <w:r w:rsidRPr="00A9318A">
                              <w:rPr>
                                <w:rFonts w:ascii="Times New Roman" w:hAnsi="Times New Roman"/>
                                <w:sz w:val="20"/>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8.7pt;margin-top:7.55pt;width:24.9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" stroked="f">
                <v:textbox>
                  <w:txbxContent>
                    <w:p w:rsidR="007D4FA8" w:rsidRPr="00A9318A" w:rsidRDefault="007D4FA8" w:rsidP="00DD2C8B">
                      <w:pPr>
                        <w:rPr>
                          <w:rFonts w:ascii="Times New Roman" w:hAnsi="Times New Roman"/>
                          <w:sz w:val="20"/>
                          <w:szCs w:val="28"/>
                        </w:rPr>
                      </w:pPr>
                      <w:r w:rsidRPr="00A9318A">
                        <w:rPr>
                          <w:rFonts w:ascii="Times New Roman" w:hAnsi="Times New Roman"/>
                          <w:sz w:val="20"/>
                          <w:szCs w:val="28"/>
                        </w:rPr>
                        <w:t>b</w:t>
                      </w:r>
                    </w:p>
                  </w:txbxContent>
                </v:textbox>
              </v:shape>
            </w:pict>
          </mc:Fallback>
        </mc:AlternateContent>
      </w:r>
      <w:r w:rsidRPr="00DD2C8B">
        <w:rPr>
          <w:rFonts w:ascii="Times New Roman" w:hAnsi="Times New Roman"/>
          <w:noProof/>
          <w:sz w:val="20"/>
          <w:szCs w:val="20"/>
          <w:lang w:bidi="ar-SA"/>
        </w:rPr>
        <w:drawing>
          <wp:inline distT="0" distB="0" distL="0" distR="0" wp14:anchorId="501A70F1" wp14:editId="216BA67E">
            <wp:extent cx="4339547" cy="1677726"/>
            <wp:effectExtent l="19050" t="19050" r="23495" b="1778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8068" cy="1681020"/>
                    </a:xfrm>
                    <a:prstGeom prst="rect">
                      <a:avLst/>
                    </a:prstGeom>
                    <a:noFill/>
                    <a:ln>
                      <a:solidFill>
                        <a:schemeClr val="tx1"/>
                      </a:solidFill>
                    </a:ln>
                    <a:extLst/>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Default="00DD2C8B"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sz w:val="20"/>
          <w:szCs w:val="20"/>
        </w:rPr>
        <w:t xml:space="preserve">Figure 3. </w:t>
      </w:r>
      <w:r w:rsidR="002F4CD2">
        <w:rPr>
          <w:rFonts w:ascii="Times New Roman" w:hAnsi="Times New Roman"/>
          <w:sz w:val="20"/>
          <w:szCs w:val="20"/>
        </w:rPr>
        <w:t xml:space="preserve"> </w:t>
      </w:r>
      <w:r w:rsidRPr="00DD2C8B">
        <w:rPr>
          <w:rFonts w:ascii="Times New Roman" w:hAnsi="Times New Roman"/>
          <w:sz w:val="20"/>
          <w:szCs w:val="20"/>
        </w:rPr>
        <w:t xml:space="preserve">Representative chromatograms for (a) blank sample and (b) blank sample spiked with caffeine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 and phenolphthalein (50 µg/mL)</w:t>
      </w: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Pr="00DD2C8B" w:rsidRDefault="002F4CD2" w:rsidP="002F4CD2">
      <w:pPr>
        <w:spacing w:after="0" w:line="240" w:lineRule="auto"/>
        <w:ind w:left="900" w:hanging="900"/>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lastRenderedPageBreak/>
        <w:t xml:space="preserve">Linearity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The calibration curves for caffeine and phenolphthalein were plotted using ordinary least-square linear regression over the concentration range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10 µg/mL to 100 µg/mL </w:t>
      </w:r>
      <w:r w:rsidRPr="00DD2C8B">
        <w:rPr>
          <w:rFonts w:ascii="Times New Roman" w:hAnsi="Times New Roman"/>
          <w:sz w:val="20"/>
          <w:szCs w:val="20"/>
        </w:rPr>
        <w:t>(Fig</w:t>
      </w:r>
      <w:r w:rsidR="007D4FA8">
        <w:rPr>
          <w:rFonts w:ascii="Times New Roman" w:hAnsi="Times New Roman"/>
          <w:sz w:val="20"/>
          <w:szCs w:val="20"/>
        </w:rPr>
        <w:t>ure</w:t>
      </w:r>
      <w:r w:rsidRPr="00DD2C8B">
        <w:rPr>
          <w:rFonts w:ascii="Times New Roman" w:hAnsi="Times New Roman"/>
          <w:sz w:val="20"/>
          <w:szCs w:val="20"/>
        </w:rPr>
        <w:t xml:space="preserve"> 4). </w:t>
      </w:r>
      <w:r w:rsidR="007D4FA8">
        <w:rPr>
          <w:rFonts w:ascii="Times New Roman" w:hAnsi="Times New Roman"/>
          <w:sz w:val="20"/>
          <w:szCs w:val="20"/>
        </w:rPr>
        <w:t xml:space="preserve"> </w:t>
      </w:r>
      <w:r w:rsidRPr="00DD2C8B">
        <w:rPr>
          <w:rFonts w:ascii="Times New Roman" w:hAnsi="Times New Roman"/>
          <w:sz w:val="20"/>
          <w:szCs w:val="20"/>
        </w:rPr>
        <w:t>A linear relationship was established between the peak area and analyte concentrations over the range tested, and it was confirmed by the correlation coefficient (R</w:t>
      </w:r>
      <w:r w:rsidRPr="00DD2C8B">
        <w:rPr>
          <w:rFonts w:ascii="Times New Roman" w:hAnsi="Times New Roman"/>
          <w:sz w:val="20"/>
          <w:szCs w:val="20"/>
          <w:vertAlign w:val="superscript"/>
        </w:rPr>
        <w:t>2</w:t>
      </w:r>
      <w:r w:rsidRPr="00DD2C8B">
        <w:rPr>
          <w:rFonts w:ascii="Times New Roman" w:hAnsi="Times New Roman"/>
          <w:sz w:val="20"/>
          <w:szCs w:val="20"/>
        </w:rPr>
        <w:t>) value where  R</w:t>
      </w:r>
      <w:r w:rsidRPr="00DD2C8B">
        <w:rPr>
          <w:rFonts w:ascii="Times New Roman" w:hAnsi="Times New Roman"/>
          <w:sz w:val="20"/>
          <w:szCs w:val="20"/>
          <w:vertAlign w:val="superscript"/>
        </w:rPr>
        <w:t>2</w:t>
      </w:r>
      <w:r w:rsidRPr="00DD2C8B">
        <w:rPr>
          <w:rFonts w:ascii="Times New Roman" w:hAnsi="Times New Roman"/>
          <w:sz w:val="20"/>
          <w:szCs w:val="20"/>
        </w:rPr>
        <w:t xml:space="preserve"> values were higher than 0.990. The slope and intercept of the calibration curve was calculated, and the following linear equation was obtained: y = 22.751x + 66.613 for caffeine and y = 11.352x + 5.716 for phenolphthalein. Therefore, it can be concluded that the calibration curves for caffeine and phenolphthalein is linear within the range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10 µg/mL to 100 µg/mL. </w:t>
      </w:r>
    </w:p>
    <w:p w:rsidR="00DD2C8B" w:rsidRDefault="00DD2C8B" w:rsidP="00DD2C8B">
      <w:pPr>
        <w:spacing w:after="0" w:line="240" w:lineRule="auto"/>
        <w:jc w:val="both"/>
        <w:rPr>
          <w:rFonts w:ascii="Times New Roman" w:hAnsi="Times New Roman"/>
          <w:sz w:val="20"/>
          <w:szCs w:val="20"/>
        </w:rPr>
      </w:pPr>
    </w:p>
    <w:p w:rsidR="002F4CD2" w:rsidRPr="00DD2C8B" w:rsidRDefault="002F4CD2" w:rsidP="00DD2C8B">
      <w:pPr>
        <w:spacing w:after="0" w:line="240" w:lineRule="auto"/>
        <w:jc w:val="both"/>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drawing>
          <wp:inline distT="0" distB="0" distL="0" distR="0" wp14:anchorId="39DEFA8D" wp14:editId="3A3ED7B4">
            <wp:extent cx="2981739" cy="2159616"/>
            <wp:effectExtent l="19050" t="19050" r="952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2496" cy="2167407"/>
                    </a:xfrm>
                    <a:prstGeom prst="rect">
                      <a:avLst/>
                    </a:prstGeom>
                    <a:noFill/>
                    <a:ln>
                      <a:solidFill>
                        <a:schemeClr val="tx1"/>
                      </a:solidFill>
                    </a:ln>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Pr="00DD2C8B" w:rsidRDefault="00DD2C8B" w:rsidP="002F4CD2">
      <w:pPr>
        <w:spacing w:after="0" w:line="240" w:lineRule="auto"/>
        <w:jc w:val="center"/>
        <w:rPr>
          <w:rFonts w:ascii="Times New Roman" w:hAnsi="Times New Roman"/>
          <w:sz w:val="20"/>
          <w:szCs w:val="20"/>
        </w:rPr>
      </w:pPr>
      <w:r w:rsidRPr="00DD2C8B">
        <w:rPr>
          <w:rFonts w:ascii="Times New Roman" w:hAnsi="Times New Roman"/>
          <w:sz w:val="20"/>
          <w:szCs w:val="20"/>
        </w:rPr>
        <w:t xml:space="preserve">Figure 4. </w:t>
      </w:r>
      <w:r w:rsidR="002F4CD2">
        <w:rPr>
          <w:rFonts w:ascii="Times New Roman" w:hAnsi="Times New Roman"/>
          <w:sz w:val="20"/>
          <w:szCs w:val="20"/>
        </w:rPr>
        <w:t xml:space="preserve"> </w:t>
      </w:r>
      <w:r w:rsidRPr="00DD2C8B">
        <w:rPr>
          <w:rFonts w:ascii="Times New Roman" w:hAnsi="Times New Roman"/>
          <w:sz w:val="20"/>
          <w:szCs w:val="20"/>
        </w:rPr>
        <w:t>Calibration curve for caffeine and phenolphthalein in concentration range 10 – 100 µg/mL</w:t>
      </w:r>
    </w:p>
    <w:p w:rsidR="002F4CD2" w:rsidRDefault="002F4CD2"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2F4CD2" w:rsidRPr="002F4CD2" w:rsidRDefault="002F4CD2"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pStyle w:val="NormalWeb"/>
        <w:tabs>
          <w:tab w:val="left" w:pos="6261"/>
        </w:tabs>
        <w:spacing w:before="0" w:beforeAutospacing="0" w:after="0" w:afterAutospacing="0"/>
        <w:jc w:val="both"/>
        <w:rPr>
          <w:rFonts w:eastAsia="Batang"/>
          <w:b/>
          <w:bCs/>
          <w:kern w:val="24"/>
          <w:sz w:val="20"/>
          <w:szCs w:val="20"/>
          <w14:reflection w14:blurRad="6350" w14:stA="100000" w14:stPos="0" w14:endA="0" w14:endPos="0" w14:dist="0" w14:dir="5400000" w14:fadeDir="5400000" w14:sx="100000" w14:sy="-100000" w14:kx="0" w14:ky="0" w14:algn="bl"/>
        </w:rPr>
      </w:pPr>
      <w:r w:rsidRPr="00DD2C8B">
        <w:rPr>
          <w:rFonts w:eastAsia="Batang"/>
          <w:b/>
          <w:bCs/>
          <w:kern w:val="24"/>
          <w:sz w:val="20"/>
          <w:szCs w:val="20"/>
          <w14:reflection w14:blurRad="6350" w14:stA="100000" w14:stPos="0" w14:endA="0" w14:endPos="0" w14:dist="0" w14:dir="5400000" w14:fadeDir="5400000" w14:sx="100000" w14:sy="-100000" w14:kx="0" w14:ky="0" w14:algn="bl"/>
        </w:rPr>
        <w:t>Limit of detection and limit of quantification</w:t>
      </w:r>
    </w:p>
    <w:p w:rsidR="00DD2C8B" w:rsidRPr="00DD2C8B" w:rsidRDefault="00DD2C8B"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r w:rsidRPr="00DD2C8B">
        <w:rPr>
          <w:rFonts w:eastAsia="Batang"/>
          <w:bCs/>
          <w:kern w:val="24"/>
          <w:sz w:val="20"/>
          <w:szCs w:val="20"/>
          <w14:reflection w14:blurRad="6350" w14:stA="100000" w14:stPos="0" w14:endA="0" w14:endPos="0" w14:dist="0" w14:dir="5400000" w14:fadeDir="5400000" w14:sx="100000" w14:sy="-100000" w14:kx="0" w14:ky="0" w14:algn="bl"/>
        </w:rPr>
        <w:t xml:space="preserve">The LOD for both caffeine and phenolphthalein determined from the residual standard deviation of the regression line was found to be 0.77 µg/mL and </w:t>
      </w:r>
      <w:r w:rsidRPr="00DD2C8B">
        <w:rPr>
          <w:color w:val="000000" w:themeColor="dark1"/>
          <w:kern w:val="24"/>
          <w:sz w:val="20"/>
          <w:szCs w:val="20"/>
        </w:rPr>
        <w:t>0.47</w:t>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µg/mL, respectively. The LOQ for caffeine and phenolphthalein determined from the residual standard deviation of a regression line was found to be 2.35 µg/mL and </w:t>
      </w:r>
      <w:r w:rsidRPr="00DD2C8B">
        <w:rPr>
          <w:color w:val="000000" w:themeColor="dark1"/>
          <w:kern w:val="24"/>
          <w:sz w:val="20"/>
          <w:szCs w:val="20"/>
        </w:rPr>
        <w:t>1.44</w:t>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µg/mL, respectively. The LOD and LOQ values for caffeine were found to be comparable with those reported in a previous study using HPLC-UV (0.75 µg/mL and 2.25 µg/mL respectively) </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Pr="00DD2C8B">
        <w:rPr>
          <w:rFonts w:eastAsia="Batang"/>
          <w:bCs/>
          <w:noProof/>
          <w:kern w:val="24"/>
          <w:sz w:val="20"/>
          <w:szCs w:val="20"/>
          <w14:reflection w14:blurRad="6350" w14:stA="100000" w14:stPos="0" w14:endA="0" w14:endPos="0" w14:dist="0" w14:dir="5400000" w14:fadeDir="5400000" w14:sx="100000" w14:sy="-100000" w14:kx="0" w14:ky="0" w14:algn="bl"/>
        </w:rPr>
        <w:t>[22]</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end"/>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However, the LOD and LOQ values for phenolphthalein obtained in this study were higher than the values reported in the previous study (0.1 µg/mL and 0.3 µg/mL, respectively) </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Pr="00DD2C8B">
        <w:rPr>
          <w:rFonts w:eastAsia="Batang"/>
          <w:bCs/>
          <w:noProof/>
          <w:kern w:val="24"/>
          <w:sz w:val="20"/>
          <w:szCs w:val="20"/>
          <w14:reflection w14:blurRad="6350" w14:stA="100000" w14:stPos="0" w14:endA="0" w14:endPos="0" w14:dist="0" w14:dir="5400000" w14:fadeDir="5400000" w14:sx="100000" w14:sy="-100000" w14:kx="0" w14:ky="0" w14:algn="bl"/>
        </w:rPr>
        <w:t>[22]</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end"/>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The higher LOD and LOQ values for phenolphthalein could be attributed by the different wavelength used in our study (254 nm) compared to the previous one (220 nm). </w:t>
      </w:r>
    </w:p>
    <w:p w:rsidR="00DD2C8B" w:rsidRPr="00DD2C8B" w:rsidRDefault="00DD2C8B"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Accuracy</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percentage recovery values of caffeine and phenolphthalein at low, medium and high concentrations are summarised in Table 3. The mean percentage recovery values for caffeine and phenolphthalein in the range of concentration tested were found to 105.84% and 113.58% respectively. The method was proven to be accurate in measuring caffeine and phenolphthalein in the concentrations tested, where the measured concentration values were close to the true values.</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Pr="00DD2C8B" w:rsidRDefault="002F4CD2" w:rsidP="002F4CD2">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Precision</w:t>
      </w:r>
    </w:p>
    <w:p w:rsidR="002F4CD2" w:rsidRDefault="002F4CD2"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intra-day precisions for caffeine and phenolphthalein were found to be between 0.67 – 1.99% and 0.80 – 1.55%, respectively, while the inter-day precisions for caffeine and phenolphthalein over three consecutive days were between 0.67 – 1.99% and 0.80 – 1.79%, respectively. </w:t>
      </w:r>
      <w:r w:rsidRPr="00DD2C8B">
        <w:rPr>
          <w:rFonts w:ascii="Times New Roman" w:hAnsi="Times New Roman"/>
          <w:color w:val="000000"/>
          <w:sz w:val="20"/>
          <w:szCs w:val="20"/>
          <w:shd w:val="clear" w:color="auto" w:fill="FFFFFF"/>
        </w:rPr>
        <w:t xml:space="preserve">In both cases, percentage RSD values were found well within the 2% limit. Therefore, the method is proven to be repeatable and is capable of producing consistent results regardless of whether the analysis is made in the same or on different days. The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percentage RSD values for precision are summarised in Table 4.</w:t>
      </w:r>
    </w:p>
    <w:p w:rsidR="002F4CD2" w:rsidRPr="00DD2C8B" w:rsidRDefault="002F4CD2"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Default="00DD2C8B" w:rsidP="006B3EAA">
      <w:pPr>
        <w:spacing w:after="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Table 3. </w:t>
      </w:r>
      <w:r w:rsidR="002F4CD2">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Accuracy of the HPLC method expressed as percentage recovery (% recovery), determined </w:t>
      </w:r>
    </w:p>
    <w:p w:rsidR="00DD2C8B" w:rsidRPr="00DD2C8B" w:rsidRDefault="00DD2C8B" w:rsidP="002F4CD2">
      <w:pPr>
        <w:spacing w:after="12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using spiking (three spike levels) experiment</w:t>
      </w:r>
    </w:p>
    <w:tbl>
      <w:tblPr>
        <w:tblStyle w:val="TableGrid"/>
        <w:tblW w:w="0" w:type="auto"/>
        <w:jc w:val="center"/>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516"/>
        <w:gridCol w:w="1966"/>
        <w:gridCol w:w="1545"/>
        <w:gridCol w:w="1326"/>
      </w:tblGrid>
      <w:tr w:rsidR="00DD2C8B" w:rsidRPr="00DD2C8B" w:rsidTr="006B3EAA">
        <w:trPr>
          <w:jc w:val="center"/>
        </w:trPr>
        <w:tc>
          <w:tcPr>
            <w:tcW w:w="0" w:type="auto"/>
            <w:tcBorders>
              <w:top w:val="single" w:sz="4" w:space="0" w:color="auto"/>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 Levels</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(Theoretical)</w:t>
            </w:r>
          </w:p>
          <w:p w:rsidR="00DD2C8B" w:rsidRPr="00DD2C8B" w:rsidRDefault="00DD2C8B" w:rsidP="002F4CD2">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cs="Times New Roman"/>
                <w:b/>
                <w:sz w:val="20"/>
                <w:szCs w:val="20"/>
              </w:rPr>
              <w:t>µg/mL</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(Found)</w:t>
            </w:r>
          </w:p>
          <w:p w:rsidR="00DD2C8B" w:rsidRPr="00DD2C8B" w:rsidRDefault="00DD2C8B" w:rsidP="002F4CD2">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cs="Times New Roman"/>
                <w:b/>
                <w:sz w:val="20"/>
                <w:szCs w:val="20"/>
              </w:rPr>
              <w:t>µg/mL</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Recovery</w:t>
            </w:r>
          </w:p>
          <w:p w:rsidR="00DD2C8B" w:rsidRPr="00DD2C8B" w:rsidRDefault="00DD2C8B" w:rsidP="002F4CD2">
            <w:pPr>
              <w:spacing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 = 3)</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Low</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11.00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11.49</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104.45 ± 3.82</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10.44</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12.54</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120.11 ± 4.50</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Medium</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23.78</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108.07 ± 0.59</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20.88</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23.79</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113.94 ± 0.43</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High</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33.00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34.65</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105.00 ± 0.64</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31.32</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33.42</w:t>
            </w:r>
          </w:p>
        </w:tc>
        <w:tc>
          <w:tcPr>
            <w:tcW w:w="0" w:type="auto"/>
            <w:tcBorders>
              <w:bottom w:val="single" w:sz="4" w:space="0" w:color="auto"/>
            </w:tcBorders>
          </w:tcPr>
          <w:p w:rsidR="00DD2C8B" w:rsidRPr="00DD2C8B" w:rsidRDefault="00DD2C8B" w:rsidP="002F4CD2">
            <w:pPr>
              <w:pStyle w:val="NormalWeb"/>
              <w:spacing w:before="60" w:beforeAutospacing="0" w:after="60" w:afterAutospacing="0"/>
              <w:jc w:val="center"/>
              <w:rPr>
                <w:rFonts w:cs="Times New Roman"/>
                <w:color w:val="000000" w:themeColor="text1"/>
                <w:sz w:val="20"/>
                <w:szCs w:val="20"/>
              </w:rPr>
            </w:pPr>
            <w:r w:rsidRPr="00DD2C8B">
              <w:rPr>
                <w:rFonts w:cs="Times New Roman"/>
                <w:color w:val="000000" w:themeColor="text1"/>
                <w:sz w:val="20"/>
                <w:szCs w:val="20"/>
              </w:rPr>
              <w:t xml:space="preserve">106.70 </w:t>
            </w:r>
            <w:r w:rsidRPr="00DD2C8B">
              <w:rPr>
                <w:rFonts w:cs="Times New Roman"/>
                <w:bCs/>
                <w:color w:val="000000" w:themeColor="text1"/>
                <w:kern w:val="24"/>
                <w:sz w:val="20"/>
                <w:szCs w:val="20"/>
                <w:lang w:val="en-GB"/>
              </w:rPr>
              <w:t>± 0.93</w:t>
            </w:r>
          </w:p>
        </w:tc>
      </w:tr>
    </w:tbl>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Default="00DD2C8B" w:rsidP="006B3EAA">
      <w:pPr>
        <w:spacing w:after="0" w:line="240" w:lineRule="auto"/>
        <w:ind w:left="850" w:hanging="850"/>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4.</w:t>
      </w:r>
      <w:r w:rsidR="006B3EAA">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Intra-day and inter-day precision of the HPLC method to detect and quantify caffeine </w:t>
      </w:r>
    </w:p>
    <w:p w:rsidR="00DD2C8B" w:rsidRPr="00DD2C8B" w:rsidRDefault="00DD2C8B" w:rsidP="006B3EAA">
      <w:pPr>
        <w:spacing w:after="120" w:line="240" w:lineRule="auto"/>
        <w:ind w:left="850" w:hanging="850"/>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and phenolphthalein, measured on three consecutive days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842"/>
        <w:gridCol w:w="1559"/>
      </w:tblGrid>
      <w:tr w:rsidR="00DD2C8B" w:rsidRPr="00DD2C8B" w:rsidTr="00DD2C8B">
        <w:trPr>
          <w:jc w:val="center"/>
        </w:trPr>
        <w:tc>
          <w:tcPr>
            <w:tcW w:w="1668" w:type="dxa"/>
            <w:tcBorders>
              <w:top w:val="single" w:sz="4" w:space="0" w:color="auto"/>
              <w:bottom w:val="single" w:sz="4" w:space="0" w:color="auto"/>
            </w:tcBorders>
          </w:tcPr>
          <w:p w:rsidR="00DD2C8B" w:rsidRPr="00DD2C8B" w:rsidRDefault="00DD2C8B" w:rsidP="006B3EAA">
            <w:pPr>
              <w:tabs>
                <w:tab w:val="left" w:pos="988"/>
              </w:tabs>
              <w:spacing w:before="60" w:after="6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Day</w:t>
            </w:r>
          </w:p>
        </w:tc>
        <w:tc>
          <w:tcPr>
            <w:tcW w:w="1842" w:type="dxa"/>
            <w:tcBorders>
              <w:top w:val="single" w:sz="4" w:space="0" w:color="auto"/>
              <w:bottom w:val="single" w:sz="4" w:space="0" w:color="auto"/>
            </w:tcBorders>
          </w:tcPr>
          <w:p w:rsidR="00DD2C8B" w:rsidRPr="00DD2C8B" w:rsidRDefault="00DD2C8B" w:rsidP="006B3EAA">
            <w:pPr>
              <w:spacing w:before="60" w:after="6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1559" w:type="dxa"/>
            <w:tcBorders>
              <w:top w:val="single" w:sz="4" w:space="0" w:color="auto"/>
              <w:bottom w:val="single" w:sz="4" w:space="0" w:color="auto"/>
            </w:tcBorders>
          </w:tcPr>
          <w:p w:rsidR="00DD2C8B" w:rsidRPr="00DD2C8B" w:rsidRDefault="00DD2C8B" w:rsidP="006B3EAA">
            <w:pPr>
              <w:spacing w:before="60"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RSD</w:t>
            </w:r>
          </w:p>
        </w:tc>
      </w:tr>
      <w:tr w:rsidR="00DD2C8B" w:rsidRPr="00DD2C8B" w:rsidTr="00DD2C8B">
        <w:trPr>
          <w:jc w:val="center"/>
        </w:trPr>
        <w:tc>
          <w:tcPr>
            <w:tcW w:w="1668" w:type="dxa"/>
            <w:vMerge w:val="restart"/>
            <w:tcBorders>
              <w:top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w:t>
            </w:r>
          </w:p>
        </w:tc>
        <w:tc>
          <w:tcPr>
            <w:tcW w:w="1842" w:type="dxa"/>
            <w:tcBorders>
              <w:top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Borders>
              <w:top w:val="single" w:sz="4" w:space="0" w:color="auto"/>
            </w:tcBorders>
          </w:tcPr>
          <w:p w:rsidR="00DD2C8B" w:rsidRPr="00DD2C8B" w:rsidRDefault="00DD2C8B" w:rsidP="006B3EAA">
            <w:pPr>
              <w:pStyle w:val="NormalWeb"/>
              <w:spacing w:before="60" w:beforeAutospacing="0" w:after="0" w:afterAutospacing="0"/>
              <w:jc w:val="center"/>
              <w:rPr>
                <w:rFonts w:cs="Times New Roman"/>
                <w:color w:val="000000" w:themeColor="text1"/>
                <w:sz w:val="20"/>
                <w:szCs w:val="20"/>
              </w:rPr>
            </w:pPr>
            <w:r w:rsidRPr="00DD2C8B">
              <w:rPr>
                <w:rFonts w:cs="Times New Roman"/>
                <w:color w:val="000000" w:themeColor="text1"/>
                <w:sz w:val="20"/>
                <w:szCs w:val="20"/>
              </w:rPr>
              <w:t>0.68 – 1.14%</w:t>
            </w:r>
          </w:p>
        </w:tc>
      </w:tr>
      <w:tr w:rsidR="00DD2C8B" w:rsidRPr="00DD2C8B" w:rsidTr="00DD2C8B">
        <w:trPr>
          <w:jc w:val="center"/>
        </w:trPr>
        <w:tc>
          <w:tcPr>
            <w:tcW w:w="1668" w:type="dxa"/>
            <w:vMerge/>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rsidR="00DD2C8B" w:rsidRPr="00DD2C8B" w:rsidRDefault="00DD2C8B" w:rsidP="006B3EAA">
            <w:pPr>
              <w:pStyle w:val="NormalWeb"/>
              <w:spacing w:before="60" w:beforeAutospacing="0" w:after="0" w:afterAutospacing="0"/>
              <w:jc w:val="center"/>
              <w:rPr>
                <w:rFonts w:cs="Times New Roman"/>
                <w:color w:val="000000" w:themeColor="text1"/>
                <w:sz w:val="20"/>
                <w:szCs w:val="20"/>
              </w:rPr>
            </w:pPr>
            <w:r w:rsidRPr="00DD2C8B">
              <w:rPr>
                <w:rFonts w:cs="Times New Roman"/>
                <w:color w:val="000000" w:themeColor="text1"/>
                <w:sz w:val="20"/>
                <w:szCs w:val="20"/>
              </w:rPr>
              <w:t>0.84 – 1.55%</w:t>
            </w:r>
          </w:p>
        </w:tc>
      </w:tr>
      <w:tr w:rsidR="00DD2C8B" w:rsidRPr="00DD2C8B" w:rsidTr="00DD2C8B">
        <w:trPr>
          <w:jc w:val="center"/>
        </w:trPr>
        <w:tc>
          <w:tcPr>
            <w:tcW w:w="1668" w:type="dxa"/>
            <w:vMerge w:val="restart"/>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1.22 </w:t>
            </w:r>
            <w:r w:rsidRPr="00DD2C8B">
              <w:rPr>
                <w:rFonts w:ascii="Times New Roman" w:hAnsi="Times New Roman" w:cs="Times New Roman"/>
                <w:color w:val="000000" w:themeColor="text1"/>
                <w:sz w:val="20"/>
                <w:szCs w:val="20"/>
              </w:rPr>
              <w:t>– 1.48%</w:t>
            </w:r>
          </w:p>
        </w:tc>
      </w:tr>
      <w:tr w:rsidR="00DD2C8B" w:rsidRPr="00DD2C8B" w:rsidTr="00DD2C8B">
        <w:trPr>
          <w:jc w:val="center"/>
        </w:trPr>
        <w:tc>
          <w:tcPr>
            <w:tcW w:w="1668" w:type="dxa"/>
            <w:vMerge/>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1.00 – 1.52%</w:t>
            </w:r>
          </w:p>
        </w:tc>
      </w:tr>
      <w:tr w:rsidR="00DD2C8B" w:rsidRPr="00DD2C8B" w:rsidTr="00DD2C8B">
        <w:trPr>
          <w:jc w:val="center"/>
        </w:trPr>
        <w:tc>
          <w:tcPr>
            <w:tcW w:w="1668" w:type="dxa"/>
            <w:vMerge w:val="restart"/>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w:t>
            </w: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1.41 </w:t>
            </w:r>
            <w:r w:rsidRPr="00DD2C8B">
              <w:rPr>
                <w:rFonts w:ascii="Times New Roman" w:hAnsi="Times New Roman" w:cs="Times New Roman"/>
                <w:color w:val="000000" w:themeColor="text1"/>
                <w:sz w:val="20"/>
                <w:szCs w:val="20"/>
              </w:rPr>
              <w:t>– 1.85%</w:t>
            </w:r>
          </w:p>
        </w:tc>
      </w:tr>
      <w:tr w:rsidR="00DD2C8B" w:rsidRPr="00DD2C8B" w:rsidTr="00DD2C8B">
        <w:trPr>
          <w:jc w:val="center"/>
        </w:trPr>
        <w:tc>
          <w:tcPr>
            <w:tcW w:w="1668" w:type="dxa"/>
            <w:vMerge/>
            <w:tcBorders>
              <w:bottom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Borders>
              <w:bottom w:val="single" w:sz="4" w:space="0" w:color="auto"/>
            </w:tcBorders>
          </w:tcPr>
          <w:p w:rsidR="00DD2C8B" w:rsidRPr="00DD2C8B" w:rsidRDefault="00DD2C8B" w:rsidP="006B3EAA">
            <w:pPr>
              <w:spacing w:before="60" w:after="6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Borders>
              <w:bottom w:val="single" w:sz="4" w:space="0" w:color="auto"/>
            </w:tcBorders>
          </w:tcPr>
          <w:p w:rsidR="00DD2C8B" w:rsidRPr="00DD2C8B" w:rsidRDefault="00DD2C8B" w:rsidP="006B3EAA">
            <w:pPr>
              <w:spacing w:before="60" w:after="6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0.93 </w:t>
            </w:r>
            <w:r w:rsidRPr="00DD2C8B">
              <w:rPr>
                <w:rFonts w:ascii="Times New Roman" w:hAnsi="Times New Roman" w:cs="Times New Roman"/>
                <w:color w:val="000000" w:themeColor="text1"/>
                <w:sz w:val="20"/>
                <w:szCs w:val="20"/>
              </w:rPr>
              <w:t>– 1.79%</w:t>
            </w:r>
          </w:p>
        </w:tc>
      </w:tr>
    </w:tbl>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Pr="00DD2C8B" w:rsidRDefault="006B3EAA"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 xml:space="preserve">Stability of mixed working standard solution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Mixed working standard solution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µg/mL) </w:t>
      </w:r>
      <w:r w:rsidRPr="00DD2C8B">
        <w:rPr>
          <w:rFonts w:ascii="Times New Roman" w:hAnsi="Times New Roman"/>
          <w:sz w:val="20"/>
          <w:szCs w:val="20"/>
        </w:rPr>
        <w:t>was found to be stable over up to 24 hours under refrigeration conditions (4 °C). Stability values for caffeine and phenolphthalein were 99.0 ± 0.9% and 97.4 ± 2.5%, respectively. The stability values are summarised in Table 5 below.</w:t>
      </w:r>
    </w:p>
    <w:p w:rsidR="006B3EAA" w:rsidRPr="00DD2C8B" w:rsidRDefault="006B3EAA" w:rsidP="005E6D44">
      <w:pPr>
        <w:spacing w:after="120" w:line="240" w:lineRule="auto"/>
        <w:jc w:val="both"/>
        <w:rPr>
          <w:rFonts w:ascii="Times New Roman" w:hAnsi="Times New Roman"/>
          <w:sz w:val="20"/>
          <w:szCs w:val="20"/>
        </w:rPr>
      </w:pPr>
    </w:p>
    <w:p w:rsidR="00DD2C8B" w:rsidRPr="00DD2C8B" w:rsidRDefault="00DD2C8B" w:rsidP="006B3EAA">
      <w:pPr>
        <w:spacing w:after="120" w:line="240" w:lineRule="auto"/>
        <w:jc w:val="center"/>
        <w:rPr>
          <w:rFonts w:ascii="Times New Roman" w:hAnsi="Times New Roman"/>
          <w:sz w:val="20"/>
          <w:szCs w:val="20"/>
        </w:rPr>
      </w:pPr>
      <w:r w:rsidRPr="00DD2C8B">
        <w:rPr>
          <w:rFonts w:ascii="Times New Roman" w:hAnsi="Times New Roman"/>
          <w:sz w:val="20"/>
          <w:szCs w:val="20"/>
        </w:rPr>
        <w:t xml:space="preserve">Table 5. </w:t>
      </w:r>
      <w:r w:rsidR="006B3EAA">
        <w:rPr>
          <w:rFonts w:ascii="Times New Roman" w:hAnsi="Times New Roman"/>
          <w:sz w:val="20"/>
          <w:szCs w:val="20"/>
        </w:rPr>
        <w:t xml:space="preserve"> </w:t>
      </w:r>
      <w:r w:rsidRPr="00DD2C8B">
        <w:rPr>
          <w:rFonts w:ascii="Times New Roman" w:hAnsi="Times New Roman"/>
          <w:sz w:val="20"/>
          <w:szCs w:val="20"/>
        </w:rPr>
        <w:t>Stability of mixed working standard solution at 4°C after 24 hours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516"/>
        <w:gridCol w:w="1930"/>
      </w:tblGrid>
      <w:tr w:rsidR="00DD2C8B" w:rsidRPr="00DD2C8B" w:rsidTr="00DD2C8B">
        <w:trPr>
          <w:jc w:val="center"/>
        </w:trPr>
        <w:tc>
          <w:tcPr>
            <w:tcW w:w="0" w:type="auto"/>
            <w:tcBorders>
              <w:top w:val="single" w:sz="4" w:space="0" w:color="auto"/>
              <w:bottom w:val="single" w:sz="4" w:space="0" w:color="auto"/>
            </w:tcBorders>
          </w:tcPr>
          <w:p w:rsidR="00DD2C8B" w:rsidRPr="00DD2C8B" w:rsidRDefault="00DD2C8B" w:rsidP="006B3EAA">
            <w:pPr>
              <w:spacing w:before="60" w:after="60" w:line="240" w:lineRule="auto"/>
              <w:jc w:val="both"/>
              <w:rPr>
                <w:rFonts w:ascii="Times New Roman" w:hAnsi="Times New Roman" w:cs="Times New Roman"/>
                <w:b/>
                <w:sz w:val="20"/>
                <w:szCs w:val="20"/>
              </w:rPr>
            </w:pPr>
            <w:r w:rsidRPr="00DD2C8B">
              <w:rPr>
                <w:rFonts w:ascii="Times New Roman" w:hAnsi="Times New Roman" w:cs="Times New Roman"/>
                <w:b/>
                <w:sz w:val="20"/>
                <w:szCs w:val="20"/>
              </w:rPr>
              <w:t>Solution</w:t>
            </w:r>
          </w:p>
        </w:tc>
        <w:tc>
          <w:tcPr>
            <w:tcW w:w="0" w:type="auto"/>
            <w:tcBorders>
              <w:top w:val="single" w:sz="4" w:space="0" w:color="auto"/>
              <w:bottom w:val="single" w:sz="4" w:space="0" w:color="auto"/>
            </w:tcBorders>
          </w:tcPr>
          <w:p w:rsidR="00DD2C8B" w:rsidRPr="00DD2C8B" w:rsidRDefault="00DD2C8B" w:rsidP="006B3EAA">
            <w:pPr>
              <w:spacing w:before="60" w:after="60" w:line="240" w:lineRule="auto"/>
              <w:rPr>
                <w:rFonts w:ascii="Times New Roman" w:hAnsi="Times New Roman" w:cs="Times New Roman"/>
                <w:b/>
                <w:sz w:val="20"/>
                <w:szCs w:val="20"/>
              </w:rPr>
            </w:pPr>
            <w:r w:rsidRPr="00DD2C8B">
              <w:rPr>
                <w:rFonts w:ascii="Times New Roman" w:hAnsi="Times New Roman" w:cs="Times New Roman"/>
                <w:b/>
                <w:sz w:val="20"/>
                <w:szCs w:val="20"/>
              </w:rPr>
              <w:t>Compounds</w:t>
            </w:r>
          </w:p>
        </w:tc>
        <w:tc>
          <w:tcPr>
            <w:tcW w:w="0" w:type="auto"/>
            <w:tcBorders>
              <w:top w:val="single" w:sz="4" w:space="0" w:color="auto"/>
              <w:bottom w:val="single" w:sz="4" w:space="0" w:color="auto"/>
            </w:tcBorders>
          </w:tcPr>
          <w:p w:rsidR="00DD2C8B" w:rsidRPr="00DD2C8B" w:rsidRDefault="00DD2C8B" w:rsidP="006B3EAA">
            <w:pPr>
              <w:spacing w:before="60" w:after="60" w:line="240" w:lineRule="auto"/>
              <w:jc w:val="center"/>
              <w:rPr>
                <w:rFonts w:ascii="Times New Roman" w:hAnsi="Times New Roman" w:cs="Times New Roman"/>
                <w:b/>
                <w:sz w:val="20"/>
                <w:szCs w:val="20"/>
              </w:rPr>
            </w:pPr>
            <w:r w:rsidRPr="00DD2C8B">
              <w:rPr>
                <w:rFonts w:ascii="Times New Roman" w:hAnsi="Times New Roman" w:cs="Times New Roman"/>
                <w:b/>
                <w:sz w:val="20"/>
                <w:szCs w:val="20"/>
              </w:rPr>
              <w:t>Stability (%) (n = 3)</w:t>
            </w:r>
          </w:p>
        </w:tc>
      </w:tr>
      <w:tr w:rsidR="00DD2C8B" w:rsidRPr="00DD2C8B" w:rsidTr="00DD2C8B">
        <w:trPr>
          <w:jc w:val="center"/>
        </w:trPr>
        <w:tc>
          <w:tcPr>
            <w:tcW w:w="0" w:type="auto"/>
            <w:vMerge w:val="restart"/>
            <w:tcBorders>
              <w:top w:val="single" w:sz="4" w:space="0" w:color="auto"/>
            </w:tcBorders>
          </w:tcPr>
          <w:p w:rsidR="00DD2C8B" w:rsidRPr="00DD2C8B" w:rsidRDefault="00DD2C8B" w:rsidP="006B3EAA">
            <w:pPr>
              <w:spacing w:before="60" w:after="0" w:line="240" w:lineRule="auto"/>
              <w:jc w:val="both"/>
              <w:rPr>
                <w:rFonts w:ascii="Times New Roman" w:hAnsi="Times New Roman" w:cs="Times New Roman"/>
                <w:sz w:val="20"/>
                <w:szCs w:val="20"/>
              </w:rPr>
            </w:pPr>
            <w:r w:rsidRPr="00DD2C8B">
              <w:rPr>
                <w:rFonts w:ascii="Times New Roman" w:hAnsi="Times New Roman" w:cs="Times New Roman"/>
                <w:sz w:val="20"/>
                <w:szCs w:val="20"/>
              </w:rPr>
              <w:t>Mixed working solution</w:t>
            </w:r>
          </w:p>
          <w:p w:rsidR="00DD2C8B" w:rsidRPr="00DD2C8B" w:rsidRDefault="00DD2C8B" w:rsidP="006B3EAA">
            <w:pPr>
              <w:spacing w:after="0" w:line="240" w:lineRule="auto"/>
              <w:jc w:val="both"/>
              <w:rPr>
                <w:rFonts w:ascii="Times New Roman" w:hAnsi="Times New Roman" w:cs="Times New Roman"/>
                <w:sz w:val="20"/>
                <w:szCs w:val="20"/>
              </w:rPr>
            </w:pPr>
            <w:r w:rsidRPr="00DD2C8B">
              <w:rPr>
                <w:rFonts w:ascii="Times New Roman" w:hAnsi="Times New Roman" w:cs="Times New Roman"/>
                <w:sz w:val="20"/>
                <w:szCs w:val="20"/>
              </w:rPr>
              <w:t xml:space="preserve">(50 </w:t>
            </w: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p>
        </w:tc>
        <w:tc>
          <w:tcPr>
            <w:tcW w:w="0" w:type="auto"/>
            <w:tcBorders>
              <w:top w:val="single" w:sz="4" w:space="0" w:color="auto"/>
            </w:tcBorders>
          </w:tcPr>
          <w:p w:rsidR="00DD2C8B" w:rsidRPr="00DD2C8B" w:rsidRDefault="00DD2C8B" w:rsidP="006B3EAA">
            <w:pPr>
              <w:spacing w:before="60" w:after="0" w:line="240" w:lineRule="auto"/>
              <w:rPr>
                <w:rFonts w:ascii="Times New Roman" w:hAnsi="Times New Roman" w:cs="Times New Roman"/>
                <w:sz w:val="20"/>
                <w:szCs w:val="20"/>
              </w:rPr>
            </w:pPr>
            <w:r w:rsidRPr="00DD2C8B">
              <w:rPr>
                <w:rFonts w:ascii="Times New Roman" w:hAnsi="Times New Roman" w:cs="Times New Roman"/>
                <w:sz w:val="20"/>
                <w:szCs w:val="20"/>
              </w:rPr>
              <w:t>Caffeine</w:t>
            </w:r>
          </w:p>
        </w:tc>
        <w:tc>
          <w:tcPr>
            <w:tcW w:w="0" w:type="auto"/>
            <w:tcBorders>
              <w:top w:val="single" w:sz="4" w:space="0" w:color="auto"/>
            </w:tcBorders>
          </w:tcPr>
          <w:p w:rsidR="00DD2C8B" w:rsidRPr="00DD2C8B" w:rsidRDefault="00DD2C8B" w:rsidP="006B3EAA">
            <w:pPr>
              <w:spacing w:before="60" w:after="0" w:line="240" w:lineRule="auto"/>
              <w:jc w:val="center"/>
              <w:rPr>
                <w:rFonts w:ascii="Times New Roman" w:hAnsi="Times New Roman" w:cs="Times New Roman"/>
                <w:sz w:val="20"/>
                <w:szCs w:val="20"/>
              </w:rPr>
            </w:pPr>
            <w:r w:rsidRPr="00DD2C8B">
              <w:rPr>
                <w:rFonts w:ascii="Times New Roman" w:hAnsi="Times New Roman" w:cs="Times New Roman"/>
                <w:sz w:val="20"/>
                <w:szCs w:val="20"/>
              </w:rPr>
              <w:t>99.0 ± 0.9</w:t>
            </w:r>
          </w:p>
        </w:tc>
      </w:tr>
      <w:tr w:rsidR="00DD2C8B" w:rsidRPr="00DD2C8B" w:rsidTr="00DD2C8B">
        <w:trPr>
          <w:jc w:val="center"/>
        </w:trPr>
        <w:tc>
          <w:tcPr>
            <w:tcW w:w="0" w:type="auto"/>
            <w:vMerge/>
            <w:tcBorders>
              <w:bottom w:val="single" w:sz="4" w:space="0" w:color="auto"/>
            </w:tcBorders>
          </w:tcPr>
          <w:p w:rsidR="00DD2C8B" w:rsidRPr="00DD2C8B" w:rsidRDefault="00DD2C8B" w:rsidP="006B3EAA">
            <w:pPr>
              <w:spacing w:before="60" w:after="0" w:line="240" w:lineRule="auto"/>
              <w:jc w:val="both"/>
              <w:rPr>
                <w:rFonts w:ascii="Times New Roman" w:hAnsi="Times New Roman" w:cs="Times New Roman"/>
                <w:sz w:val="20"/>
                <w:szCs w:val="20"/>
              </w:rPr>
            </w:pPr>
          </w:p>
        </w:tc>
        <w:tc>
          <w:tcPr>
            <w:tcW w:w="0" w:type="auto"/>
            <w:tcBorders>
              <w:bottom w:val="single" w:sz="4" w:space="0" w:color="auto"/>
            </w:tcBorders>
          </w:tcPr>
          <w:p w:rsidR="00DD2C8B" w:rsidRPr="00DD2C8B" w:rsidRDefault="00DD2C8B" w:rsidP="006B3EAA">
            <w:pPr>
              <w:spacing w:before="60" w:after="0" w:line="240" w:lineRule="auto"/>
              <w:rPr>
                <w:rFonts w:ascii="Times New Roman" w:hAnsi="Times New Roman" w:cs="Times New Roman"/>
                <w:sz w:val="20"/>
                <w:szCs w:val="20"/>
              </w:rPr>
            </w:pPr>
            <w:r w:rsidRPr="00DD2C8B">
              <w:rPr>
                <w:rFonts w:ascii="Times New Roman" w:hAnsi="Times New Roman" w:cs="Times New Roman"/>
                <w:sz w:val="20"/>
                <w:szCs w:val="20"/>
              </w:rPr>
              <w:t>Phenolphthalein</w:t>
            </w:r>
          </w:p>
        </w:tc>
        <w:tc>
          <w:tcPr>
            <w:tcW w:w="0" w:type="auto"/>
            <w:tcBorders>
              <w:bottom w:val="single" w:sz="4" w:space="0" w:color="auto"/>
            </w:tcBorders>
          </w:tcPr>
          <w:p w:rsidR="00DD2C8B" w:rsidRPr="00DD2C8B" w:rsidRDefault="00DD2C8B" w:rsidP="006B3EAA">
            <w:pPr>
              <w:spacing w:before="60" w:after="60" w:line="240" w:lineRule="auto"/>
              <w:jc w:val="center"/>
              <w:rPr>
                <w:rFonts w:ascii="Times New Roman" w:hAnsi="Times New Roman" w:cs="Times New Roman"/>
                <w:sz w:val="20"/>
                <w:szCs w:val="20"/>
              </w:rPr>
            </w:pPr>
            <w:r w:rsidRPr="00DD2C8B">
              <w:rPr>
                <w:rFonts w:ascii="Times New Roman" w:hAnsi="Times New Roman" w:cs="Times New Roman"/>
                <w:sz w:val="20"/>
                <w:szCs w:val="20"/>
              </w:rPr>
              <w:t>97.4 ± 2.5</w:t>
            </w:r>
          </w:p>
        </w:tc>
      </w:tr>
    </w:tbl>
    <w:p w:rsidR="006B3EAA" w:rsidRPr="00DD2C8B" w:rsidRDefault="006B3EAA" w:rsidP="005E6D44">
      <w:pPr>
        <w:spacing w:after="12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Robustness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System suitability parameters (precision, peak symmetry, number of theoretical plates, retention factor and resolution) remained within the acceptable limit range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"id" : "ITEM-2", "itemData" : { "abstract" : "One of the most critical factors in developing pharmaceutical drug substances and drug products today is ensuring that the HPLC analytical test methods that are used to analyze the products generate meaningful data. The US Food and Drug Administration (FDA) and United States Pharmacopeia (USP) have each recognized the importance of this to the drug development process and have separately increased validation requirements in recent years. A third source, the International Conference on Harmonization (ICH), has added requirements that, when combined with the previous two sources, have led to three different sets of validation requirements leaving the industry in a state of confusion. This paper is written to clear up the confusion over the validation requirements that are presented by each of these three sources.", "author" : [ { "dropping-particle" : "", "family" : "Shabir", "given" : "GA", "non-dropping-particle" : "", "parse-names" : false, "suffix" : "" } ], "container-title" : "J Chromatogr A", "id" : "ITEM-2", "issue" : "1-2", "issued" : { "date-parts" : [ [ "2003" ] ] }, "note" : "Form this book:\n          \nAnalytical Instrumentation Handbook, Third Edition\u00a0edited by Jack Cazes\n\n        \nReference to ths paper, where for impurities, % RSD &amp;lt; 5.", "page" : "56-66", "title" : "Validation of high-performance liquid chromatography methods for pharmaceutical analysis. Understanding the differences and similarities between validation requirements of the US Food and Drug Administration, the US Pharmacopeia and the International Conf", "type" : "article-journal", "volume" : "987" }, "uris" : [ "http://www.mendeley.com/documents/?uuid=644dd6bc-68cf-474b-ac8f-d137fca36b09" ] }, { "id" : "ITEM-3", "itemData" : { "author" : [ { "dropping-particle" : "", "family" : "Center for Drug Evaluation and Research (CDER)", "given" : "", "non-dropping-particle" : "", "parse-names" : false, "suffix" : "" } ], "id" : "ITEM-3", "issue" : "November", "issued" : { "date-parts" : [ [ "1994" ] ] }, "number-of-pages" : "33", "title" : "Reviewer Guidance-Validation of Chromatographic Methods", "type" : "report" }, "uris" : [ "http://www.mendeley.com/documents/?uuid=74b16dda-cdba-4bd2-9c90-bcb37f11e2d5" ] } ], "mendeley" : { "formattedCitation" : "(20,26,27)", "plainTextFormattedCitation" : "(20,26,27)", "previouslyFormattedCitation" : "(20,26,27)"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[20,26,27]</w:t>
      </w:r>
      <w:r w:rsidRPr="00DD2C8B">
        <w:rPr>
          <w:rFonts w:ascii="Times New Roman" w:hAnsi="Times New Roman"/>
          <w:sz w:val="20"/>
          <w:szCs w:val="20"/>
        </w:rPr>
        <w:fldChar w:fldCharType="end"/>
      </w:r>
      <w:r w:rsidRPr="00DD2C8B">
        <w:rPr>
          <w:rFonts w:ascii="Times New Roman" w:hAnsi="Times New Roman"/>
          <w:sz w:val="20"/>
          <w:szCs w:val="20"/>
        </w:rPr>
        <w:t xml:space="preserve"> after deliberate changes in the three robustness parameters tested (Table 6). This indicates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robustness of method for flow rate </w:t>
      </w:r>
      <w:r w:rsidRPr="00DD2C8B">
        <w:rPr>
          <w:rFonts w:ascii="Times New Roman" w:hAnsi="Times New Roman"/>
          <w:sz w:val="20"/>
          <w:szCs w:val="20"/>
        </w:rPr>
        <w:t>± 0.2 mL/min, buffer pH ± 0.2 units and organic content ± 2.0%.</w:t>
      </w:r>
    </w:p>
    <w:p w:rsidR="00DD2C8B" w:rsidRDefault="00DD2C8B" w:rsidP="00DD2C8B">
      <w:pPr>
        <w:spacing w:after="0" w:line="240" w:lineRule="auto"/>
        <w:jc w:val="both"/>
        <w:rPr>
          <w:rFonts w:ascii="Times New Roman" w:hAnsi="Times New Roman"/>
          <w:sz w:val="20"/>
          <w:szCs w:val="20"/>
        </w:rPr>
      </w:pPr>
    </w:p>
    <w:p w:rsidR="005E6D44" w:rsidRPr="00DD2C8B" w:rsidRDefault="005E6D44" w:rsidP="005E6D44">
      <w:pPr>
        <w:tabs>
          <w:tab w:val="left" w:pos="1290"/>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Analysis of representative samples</w:t>
      </w:r>
    </w:p>
    <w:p w:rsidR="005E6D44" w:rsidRPr="00DD2C8B" w:rsidRDefault="005E6D44"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Five herbal weight reducing supplements (products A, B, C, D and E) were purchased from the Kuala Lumpur area. All the products were advertised by the manufacturers to be derived from natural plant sources. The concentrations of caffeine and phenolphthalein quantified in the products are summarised in Table 7 below. Phenolphthalein was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lastRenderedPageBreak/>
        <w:t xml:space="preserve">detected in two of the five products. Product A was found to contain the highest amount of phenolphthalein, about 40 mg per capsule. The chromatogram of product A is shown in Figure 5 below. As the instruction on the product label recommends three capsules daily, a consumer may be ingesting up to 120 mg of phenolphthalein a day. The typical dose for adults before it was withdrawn as a laxative was 30 – 200 mg, and it was not recommended to exceed 270 mg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"U.S. Department of Health and Human Services", "given" : "", "non-dropping-particle" : "", "parse-names" : false, "suffix" : "" } ], "id" : "ITEM-1", "issued" : { "date-parts" : [ [ "2016" ] ] }, "number-of-pages" : "3", "title" : "14th Report on Carcinogens. Phenolphthalein.", "type" : "report" }, "uris" : [ "http://www.mendeley.com/documents/?uuid=821badf4-c15f-48d6-926a-f541f011d858" ] } ], "mendeley" : { "formattedCitation" : "(28)", "plainTextFormattedCitation" : "(28)", "previouslyFormattedCitation" : "(28)"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[28</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Phenolphthalein has been detected as an undeclared drug in weight reducing supplements around the world in concentrations ranging from 48.20 – 1167 mg/capsule of mg/pill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"10.5812/ircmj.15344", "ISBN" : "9821224024", "abstract" : "Background: Adulterated herbal weight loss products with containing undeclared synthetic drugs are common and responsible for many serious health damages. Objectives: The purpose of the study was to determine five synthetic adulterants in eight common herbal weight loss supplements, which are currently sold in Iran markets, to verify their presence in supplements, without mentioning on the labels. Materials and Methods: Eight common herbal weight loss samples were obtained from the Iran pharmaceutical market after advertising in the Persian language on satellite channels and internet. Five pharmacological classes of drugs used for weight loss, namely sibutramine, phenolphthalein, phenytoin, bumetanide and rimonabant, were investigated and quantified by GC-MS for the first three and LC-MS for the last two medications. Results: The most undeclared ingredients, which were illegally added include sibutramine, phenolphthalein, bumetanide, and phenytoin in the original super slim, herbaceous essence, super slim green lean, and fat loss, supplements, respectively. Rimonabant was not found. Caffeine, pseudoephedrine, theobromine and amfepramone were also found in the supplements using GC-MS assay. Conclusions: Adulterated synthetic substances were detected in the herbal weight loss products. Health care professionals should make people aware of the risks of taking herbal weight-loss supplements.", "author" : [ { "dropping-particle" : "", "family" : "Khazan", "given" : "Marjan", "non-dropping-particle" : "", "parse-names" : false, "suffix" : "" }, { "dropping-particle" : "", "family" : "Hedayati", "given" : "Mehdi", "non-dropping-particle" : "", "parse-names" : false, "suffix" : "" }, { "dropping-particle" : "", "family" : "Kobarfard", "given" : "Farzad", "non-dropping-particle" : "", "parse-names" : false, "suffix" : "" }, { "dropping-particle" : "", "family" : "Askari", "given" : "Sahar", "non-dropping-particle" : "", "parse-names" : false, "suffix" : "" }, { "dropping-particle" : "", "family" : "Azizi", "given" : "Fereidoun", "non-dropping-particle" : "", "parse-names" : false, "suffix" : "" } ], "container-title" : "Iran Red Crescent Med J.", "id" : "ITEM-1", "issue" : "3", "issued" : { "date-parts" : [ [ "2014" ] ] }, "page" : "e15344", "title" : "Identification and Determination of Synthetic Pharmaceuticals as Adulterants in Eight Common Herbal Weight Loss Supplements", "type" : "article-journal", "volume" : "16" }, "uris" : [ "http://www.mendeley.com/documents/?uuid=7d3ac7f5-36eb-4acc-9a1e-6cdfa8e8fd94" ] }, { "id" : "ITEM-2",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"ITEM-2", "issue" : "1", "issued" : { "date-parts" : [ [ "2013" ] ] }, "page" : "28-44", "title" : "Weight loss food supplements: adulteration and multiple quality issues in two products of chinese origin", "type" : "article-journal", "volume" : "61" }, "uris" : [ "http://www.mendeley.com/documents/?uuid=fa614d99-3691-4b82-9d9f-bf1ec43687e1" ] } ], "mendeley" : { "formattedCitation" : "(2,29)", "plainTextFormattedCitation" : "(2,29)", "previouslyFormattedCitation" : "(2,29)"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 29]</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and 13.8 – 45.4 mg/g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"ITEM-1",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 "plainTextFormattedCitation" : "(5)", "previouslyFormattedCitation" : "(5)"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[5]</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It is expected that adulteration of weight reducing products with phenolphthalein will be identified more frequently in the future, as phenolphthalein is widely available in laboratories and is cheap. </w:t>
      </w:r>
    </w:p>
    <w:p w:rsidR="006B3EAA" w:rsidRPr="00DD2C8B" w:rsidRDefault="006B3EAA" w:rsidP="005E6D44">
      <w:pPr>
        <w:spacing w:after="120" w:line="240" w:lineRule="auto"/>
        <w:jc w:val="both"/>
        <w:rPr>
          <w:rFonts w:ascii="Times New Roman" w:hAnsi="Times New Roman"/>
          <w:sz w:val="20"/>
          <w:szCs w:val="20"/>
        </w:rPr>
      </w:pPr>
    </w:p>
    <w:p w:rsidR="00DD2C8B" w:rsidRPr="00DD2C8B" w:rsidRDefault="00DD2C8B" w:rsidP="006B3EAA">
      <w:pPr>
        <w:spacing w:after="120" w:line="240" w:lineRule="auto"/>
        <w:ind w:left="850" w:hanging="850"/>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6.</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006B3EAA">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System suitability parameters after deliberate changes in flow rate, buffer pH and buffer organic content of the mobile phase</w:t>
      </w:r>
    </w:p>
    <w:tbl>
      <w:tblPr>
        <w:tblStyle w:val="TableGrid"/>
        <w:tblW w:w="0" w:type="auto"/>
        <w:jc w:val="center"/>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596"/>
        <w:gridCol w:w="1516"/>
        <w:gridCol w:w="1192"/>
        <w:gridCol w:w="1105"/>
        <w:gridCol w:w="1327"/>
        <w:gridCol w:w="1170"/>
        <w:gridCol w:w="1170"/>
      </w:tblGrid>
      <w:tr w:rsidR="00DD2C8B" w:rsidRPr="000D7F58" w:rsidTr="008B1ED1">
        <w:trPr>
          <w:jc w:val="center"/>
        </w:trPr>
        <w:tc>
          <w:tcPr>
            <w:tcW w:w="1302" w:type="dxa"/>
            <w:tcBorders>
              <w:top w:val="single" w:sz="4" w:space="0" w:color="auto"/>
              <w:bottom w:val="single" w:sz="4" w:space="0" w:color="auto"/>
            </w:tcBorders>
          </w:tcPr>
          <w:p w:rsidR="00DD2C8B" w:rsidRPr="000D7F58" w:rsidRDefault="00DD2C8B" w:rsidP="000D7F58">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Parameter</w:t>
            </w:r>
          </w:p>
        </w:tc>
        <w:tc>
          <w:tcPr>
            <w:tcW w:w="0" w:type="auto"/>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Borders>
              <w:top w:val="single" w:sz="4" w:space="0" w:color="auto"/>
              <w:bottom w:val="single" w:sz="4" w:space="0" w:color="auto"/>
            </w:tcBorders>
          </w:tcPr>
          <w:p w:rsidR="00DD2C8B" w:rsidRPr="000D7F58" w:rsidRDefault="00DD2C8B" w:rsidP="008B1ED1">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1192"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Precision</w:t>
            </w:r>
          </w:p>
          <w:p w:rsidR="00DD2C8B" w:rsidRPr="000D7F58" w:rsidRDefault="00DD2C8B" w:rsidP="008B1ED1">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RSD)</w:t>
            </w:r>
          </w:p>
          <w:p w:rsidR="00DD2C8B" w:rsidRPr="000D7F58" w:rsidRDefault="00DD2C8B" w:rsidP="008B1ED1">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 = 6</w:t>
            </w:r>
          </w:p>
        </w:tc>
        <w:tc>
          <w:tcPr>
            <w:tcW w:w="1105"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Peak Symmetry</w:t>
            </w:r>
          </w:p>
        </w:tc>
        <w:tc>
          <w:tcPr>
            <w:tcW w:w="1327" w:type="dxa"/>
            <w:tcBorders>
              <w:top w:val="single" w:sz="4" w:space="0" w:color="auto"/>
              <w:bottom w:val="single" w:sz="4" w:space="0" w:color="auto"/>
            </w:tcBorders>
          </w:tcPr>
          <w:p w:rsidR="00DD2C8B" w:rsidRPr="000D7F58" w:rsidRDefault="00DD2C8B" w:rsidP="008B1ED1">
            <w:pPr>
              <w:spacing w:before="60"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Number of Theoretical Plates</w:t>
            </w:r>
          </w:p>
        </w:tc>
        <w:tc>
          <w:tcPr>
            <w:tcW w:w="1170"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Retention Factor</w:t>
            </w:r>
          </w:p>
        </w:tc>
        <w:tc>
          <w:tcPr>
            <w:tcW w:w="1170"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Resolution</w:t>
            </w:r>
          </w:p>
        </w:tc>
      </w:tr>
      <w:tr w:rsidR="00DD2C8B" w:rsidRPr="000D7F58" w:rsidTr="008B1ED1">
        <w:trPr>
          <w:jc w:val="center"/>
        </w:trPr>
        <w:tc>
          <w:tcPr>
            <w:tcW w:w="1302" w:type="dxa"/>
            <w:vMerge w:val="restart"/>
            <w:tcBorders>
              <w:top w:val="single" w:sz="4" w:space="0" w:color="auto"/>
            </w:tcBorders>
          </w:tcPr>
          <w:p w:rsidR="00DD2C8B" w:rsidRPr="000D7F58" w:rsidRDefault="00DD2C8B" w:rsidP="000D7F58">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Flow rate, mL/min</w:t>
            </w:r>
          </w:p>
        </w:tc>
        <w:tc>
          <w:tcPr>
            <w:tcW w:w="0" w:type="auto"/>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0.9</w:t>
            </w:r>
          </w:p>
        </w:tc>
        <w:tc>
          <w:tcPr>
            <w:tcW w:w="0" w:type="auto"/>
            <w:tcBorders>
              <w:top w:val="single" w:sz="4" w:space="0" w:color="auto"/>
            </w:tcBorders>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1.53</w:t>
            </w:r>
          </w:p>
        </w:tc>
        <w:tc>
          <w:tcPr>
            <w:tcW w:w="1105"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48 771</w:t>
            </w:r>
          </w:p>
        </w:tc>
        <w:tc>
          <w:tcPr>
            <w:tcW w:w="1170"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2.59</w:t>
            </w:r>
          </w:p>
        </w:tc>
        <w:tc>
          <w:tcPr>
            <w:tcW w:w="1170"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25.35</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1.39</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53 313</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4.66</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2.80</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41 145</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25.89</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2.54</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57 037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3.64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val="restart"/>
          </w:tcPr>
          <w:p w:rsidR="00DD2C8B" w:rsidRPr="000D7F58" w:rsidRDefault="00DD2C8B" w:rsidP="000D7F58">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Buffer pH</w:t>
            </w: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4.10</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18 719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21.08</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2.52</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57 110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3.83</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22 693</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22.28</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4.08</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58 254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val="restart"/>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Organic Content</w:t>
            </w: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2.57</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15 374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19.91</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3.53</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76 249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trHeight w:val="60"/>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3.58</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17 140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2.28</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21.99</w:t>
            </w:r>
          </w:p>
        </w:tc>
      </w:tr>
      <w:tr w:rsidR="00DD2C8B" w:rsidRPr="000D7F58" w:rsidTr="008B1ED1">
        <w:trPr>
          <w:jc w:val="center"/>
        </w:trPr>
        <w:tc>
          <w:tcPr>
            <w:tcW w:w="1302" w:type="dxa"/>
            <w:vMerge/>
            <w:tcBorders>
              <w:bottom w:val="single" w:sz="4" w:space="0" w:color="auto"/>
            </w:tcBorders>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0.01</w:t>
            </w:r>
          </w:p>
        </w:tc>
        <w:tc>
          <w:tcPr>
            <w:tcW w:w="1105"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49 863</w:t>
            </w:r>
          </w:p>
        </w:tc>
        <w:tc>
          <w:tcPr>
            <w:tcW w:w="1170"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4.45</w:t>
            </w:r>
          </w:p>
        </w:tc>
        <w:tc>
          <w:tcPr>
            <w:tcW w:w="1170"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bl>
    <w:p w:rsidR="00DD2C8B" w:rsidRDefault="00DD2C8B" w:rsidP="005E6D44">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B82EBD" w:rsidRPr="00DD2C8B" w:rsidRDefault="00B82EBD"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8B1ED1" w:rsidRDefault="00DD2C8B" w:rsidP="008B1ED1">
      <w:pPr>
        <w:tabs>
          <w:tab w:val="left" w:pos="4007"/>
        </w:tabs>
        <w:spacing w:after="0" w:line="240" w:lineRule="auto"/>
        <w:ind w:left="709" w:hanging="709"/>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Table 7. </w:t>
      </w:r>
      <w:r w:rsidR="008B1ED1">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Amount of caffeine and phenolphthalein measured in weight reducing supplements purchased </w:t>
      </w:r>
    </w:p>
    <w:p w:rsidR="00DD2C8B" w:rsidRPr="00DD2C8B" w:rsidRDefault="00DD2C8B" w:rsidP="008B1ED1">
      <w:pPr>
        <w:tabs>
          <w:tab w:val="left" w:pos="4007"/>
        </w:tabs>
        <w:spacing w:after="12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from Kuala Lumpur</w:t>
      </w:r>
    </w:p>
    <w:tbl>
      <w:tblPr>
        <w:tblStyle w:val="PlainTable21"/>
        <w:tblW w:w="0" w:type="auto"/>
        <w:jc w:val="center"/>
        <w:tblLook w:val="04A0" w:firstRow="1" w:lastRow="0" w:firstColumn="1" w:lastColumn="0" w:noHBand="0" w:noVBand="1"/>
      </w:tblPr>
      <w:tblGrid>
        <w:gridCol w:w="905"/>
        <w:gridCol w:w="1294"/>
        <w:gridCol w:w="1516"/>
        <w:gridCol w:w="2055"/>
        <w:gridCol w:w="2316"/>
      </w:tblGrid>
      <w:tr w:rsidR="00DD2C8B" w:rsidRPr="00DD2C8B" w:rsidTr="00DD2C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DD2C8B" w:rsidRPr="00DD2C8B" w:rsidRDefault="00DD2C8B" w:rsidP="008B1ED1">
            <w:pPr>
              <w:tabs>
                <w:tab w:val="left" w:pos="4007"/>
              </w:tabs>
              <w:spacing w:before="60"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Product</w:t>
            </w:r>
          </w:p>
        </w:tc>
        <w:tc>
          <w:tcPr>
            <w:tcW w:w="0" w:type="auto"/>
            <w:vMerge w:val="restart"/>
          </w:tcPr>
          <w:p w:rsidR="00DD2C8B" w:rsidRPr="00DD2C8B" w:rsidRDefault="00DD2C8B" w:rsidP="008B1ED1">
            <w:pPr>
              <w:tabs>
                <w:tab w:val="left" w:pos="4007"/>
              </w:tabs>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Formulation</w:t>
            </w:r>
          </w:p>
        </w:tc>
        <w:tc>
          <w:tcPr>
            <w:tcW w:w="0" w:type="auto"/>
            <w:gridSpan w:val="3"/>
          </w:tcPr>
          <w:p w:rsidR="00DD2C8B" w:rsidRPr="00DD2C8B" w:rsidRDefault="00DD2C8B" w:rsidP="0094096E">
            <w:pPr>
              <w:tabs>
                <w:tab w:val="left" w:pos="4007"/>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Analysis of Weight Reducing Supplements</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DD2C8B" w:rsidRPr="00DD2C8B" w:rsidRDefault="00DD2C8B" w:rsidP="00DD2C8B">
            <w:pPr>
              <w:tabs>
                <w:tab w:val="left" w:pos="4007"/>
              </w:tabs>
              <w:spacing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Pr>
          <w:p w:rsidR="00DD2C8B" w:rsidRPr="00DD2C8B" w:rsidRDefault="00DD2C8B" w:rsidP="00DD2C8B">
            <w:pPr>
              <w:tabs>
                <w:tab w:val="left" w:pos="400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DD2C8B" w:rsidRDefault="00DD2C8B" w:rsidP="0094096E">
            <w:pPr>
              <w:tabs>
                <w:tab w:val="left" w:pos="4007"/>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Analyte</w:t>
            </w:r>
          </w:p>
        </w:tc>
        <w:tc>
          <w:tcPr>
            <w:tcW w:w="0" w:type="auto"/>
          </w:tcPr>
          <w:p w:rsidR="00DD2C8B" w:rsidRPr="00DD2C8B" w:rsidRDefault="00DD2C8B" w:rsidP="0094096E">
            <w:pPr>
              <w:tabs>
                <w:tab w:val="left" w:pos="400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Concentration (mg/g)</w:t>
            </w:r>
          </w:p>
        </w:tc>
        <w:tc>
          <w:tcPr>
            <w:tcW w:w="0" w:type="auto"/>
          </w:tcPr>
          <w:p w:rsidR="00DD2C8B" w:rsidRPr="00DD2C8B" w:rsidRDefault="00DD2C8B" w:rsidP="0094096E">
            <w:pPr>
              <w:tabs>
                <w:tab w:val="left" w:pos="400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Amount Consumed</w:t>
            </w:r>
          </w:p>
          <w:p w:rsidR="00DD2C8B" w:rsidRPr="00DD2C8B" w:rsidRDefault="00DD2C8B" w:rsidP="0094096E">
            <w:pPr>
              <w:tabs>
                <w:tab w:val="left" w:pos="4007"/>
              </w:tabs>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per Sachet/Capsule (mg)</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A</w:t>
            </w:r>
          </w:p>
        </w:tc>
        <w:tc>
          <w:tcPr>
            <w:tcW w:w="0" w:type="auto"/>
            <w:vMerge w:val="restart"/>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1.51 ± 0.038</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0.49 ± 0.012</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126.82 ± 0.46</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40.73 ± 0.14</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B</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0.76 ± 0.002</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0.63 ± 0.002</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C</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D</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E</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Powder</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2.16 ± 0.12</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43.28 ± 2.48</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bl>
    <w:p w:rsidR="005E6D44" w:rsidRPr="001A1401" w:rsidRDefault="00DD2C8B" w:rsidP="001A1401">
      <w:pPr>
        <w:tabs>
          <w:tab w:val="left" w:pos="4007"/>
        </w:tabs>
        <w:spacing w:before="60" w:after="0" w:line="240" w:lineRule="auto"/>
        <w:jc w:val="both"/>
        <w:rPr>
          <w:rFonts w:ascii="Times New Roman" w:eastAsia="Batang" w:hAnsi="Times New Roman"/>
          <w:bCs/>
          <w:kern w:val="24"/>
          <w:sz w:val="18"/>
          <w:szCs w:val="18"/>
          <w14:reflection w14:blurRad="6350" w14:stA="100000" w14:stPos="0" w14:endA="0" w14:endPos="0" w14:dist="0" w14:dir="5400000" w14:fadeDir="5400000" w14:sx="100000" w14:sy="-100000" w14:kx="0" w14:ky="0" w14:algn="bl"/>
        </w:rPr>
      </w:pPr>
      <w:r w:rsidRP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P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Pr="005E6D44">
        <w:rPr>
          <w:rFonts w:ascii="Times New Roman" w:eastAsia="Batang" w:hAnsi="Times New Roman"/>
          <w:bCs/>
          <w:kern w:val="24"/>
          <w:sz w:val="18"/>
          <w:szCs w:val="18"/>
          <w14:reflection w14:blurRad="6350" w14:stA="100000" w14:stPos="0" w14:endA="0" w14:endPos="0" w14:dist="0" w14:dir="5400000" w14:fadeDir="5400000" w14:sx="100000" w14:sy="-100000" w14:kx="0" w14:ky="0" w14:algn="bl"/>
        </w:rPr>
        <w:t>ND: Not detected</w:t>
      </w:r>
    </w:p>
    <w:p w:rsidR="00DD2C8B" w:rsidRPr="00DD2C8B" w:rsidRDefault="00DD2C8B" w:rsidP="005E6D44">
      <w:pPr>
        <w:tabs>
          <w:tab w:val="left" w:pos="4007"/>
        </w:tabs>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noProof/>
          <w:kern w:val="24"/>
          <w:sz w:val="20"/>
          <w:szCs w:val="20"/>
          <w:lang w:bidi="ar-SA"/>
        </w:rPr>
        <w:lastRenderedPageBreak/>
        <w:drawing>
          <wp:inline distT="0" distB="0" distL="0" distR="0" wp14:anchorId="17E5DE1F" wp14:editId="68871AE9">
            <wp:extent cx="4239671" cy="2059388"/>
            <wp:effectExtent l="19050" t="19050" r="27940"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3418" cy="2066066"/>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ind w:left="810" w:hanging="81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5.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A. </w:t>
      </w:r>
      <w:r w:rsidRPr="00DD2C8B">
        <w:rPr>
          <w:rFonts w:ascii="Times New Roman" w:hAnsi="Times New Roman"/>
          <w:sz w:val="20"/>
          <w:szCs w:val="20"/>
          <w:lang w:val="en-MY" w:eastAsia="en-MY"/>
        </w:rPr>
        <w:t>Caffeine and phenolphthalein elutes out at 5.581 and 8.847 minutes, respectively</w:t>
      </w:r>
    </w:p>
    <w:p w:rsid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DD2C8B" w:rsidRDefault="005E6D44"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DD2C8B" w:rsidRDefault="005E6D44"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Caffeine is classified by the FDA as generally recognised as safe (GRAS), with a toxic dose being over 10 g for an average adult. Caffeine was detected in two of the products, and the concentration measured to be within the safe limit. Further clean-up of product E was attempted by the LLE method to improve the reliability of caffeine measurement due to the complicated matrix in the product (Figure 6). The extraction method is as described in the materials and methods section. Product E was dissolved in basic solution prior to extraction of caffeine with dichloromethane. Water soluble impurities and tannins (if present) remained in the basic solution. As observed from the chromatogram in Figure 7, LLE may be an effective clean-up method for products with complicated matrices. However, it should be noted that products suspected to be adulterated with phenolphthalein should be dissolved in water instead of basic solution, as phenolphthalein contains acidic phenolic groups. </w:t>
      </w:r>
    </w:p>
    <w:p w:rsidR="005E6D44" w:rsidRDefault="005E6D44" w:rsidP="005E6D44">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noProof/>
          <w:kern w:val="24"/>
          <w:sz w:val="20"/>
          <w:szCs w:val="20"/>
          <w:lang w:bidi="ar-SA"/>
        </w:rPr>
        <w:drawing>
          <wp:inline distT="0" distB="0" distL="0" distR="0" wp14:anchorId="222039B5" wp14:editId="49529F28">
            <wp:extent cx="3984470" cy="2340000"/>
            <wp:effectExtent l="19050" t="19050" r="1651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84470" cy="2340000"/>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hAnsi="Times New Roman"/>
          <w:sz w:val="20"/>
          <w:szCs w:val="20"/>
          <w:lang w:val="en-MY" w:eastAsia="en-MY"/>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6.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E before LLE. </w:t>
      </w:r>
      <w:r w:rsidRPr="00DD2C8B">
        <w:rPr>
          <w:rFonts w:ascii="Times New Roman" w:hAnsi="Times New Roman"/>
          <w:sz w:val="20"/>
          <w:szCs w:val="20"/>
          <w:lang w:val="en-MY" w:eastAsia="en-MY"/>
        </w:rPr>
        <w:t>Caffeine elutes out at 5.594 minutes</w:t>
      </w:r>
    </w:p>
    <w:p w:rsidR="00DD2C8B" w:rsidRPr="00DD2C8B" w:rsidRDefault="00DD2C8B" w:rsidP="00DD2C8B">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noProof/>
          <w:kern w:val="24"/>
          <w:sz w:val="20"/>
          <w:szCs w:val="20"/>
          <w:lang w:bidi="ar-SA"/>
        </w:rPr>
        <w:lastRenderedPageBreak/>
        <w:drawing>
          <wp:inline distT="0" distB="0" distL="0" distR="0" wp14:anchorId="01B0A989" wp14:editId="7164A4BD">
            <wp:extent cx="3983355" cy="2099144"/>
            <wp:effectExtent l="19050" t="19050" r="1714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9112" cy="2107448"/>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Default="00DD2C8B" w:rsidP="00493C29">
      <w:pPr>
        <w:spacing w:after="0" w:line="240" w:lineRule="auto"/>
        <w:jc w:val="center"/>
        <w:rPr>
          <w:rFonts w:ascii="Times New Roman" w:hAnsi="Times New Roman"/>
          <w:noProof/>
          <w:sz w:val="20"/>
          <w:szCs w:val="20"/>
          <w:lang w:bidi="ar-SA"/>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7.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E after LLE. </w:t>
      </w:r>
      <w:r w:rsidRPr="00DD2C8B">
        <w:rPr>
          <w:rFonts w:ascii="Times New Roman" w:hAnsi="Times New Roman"/>
          <w:sz w:val="20"/>
          <w:szCs w:val="20"/>
          <w:lang w:val="en-MY" w:eastAsia="en-MY"/>
        </w:rPr>
        <w:t>Caffeine elutes out at 5.493 minutes</w:t>
      </w:r>
    </w:p>
    <w:p w:rsidR="005E6D44" w:rsidRDefault="005E6D44" w:rsidP="00B82EBD">
      <w:pPr>
        <w:spacing w:after="0" w:line="240" w:lineRule="auto"/>
        <w:jc w:val="center"/>
        <w:rPr>
          <w:rFonts w:ascii="Times New Roman" w:hAnsi="Times New Roman"/>
          <w:noProof/>
          <w:sz w:val="20"/>
          <w:szCs w:val="20"/>
          <w:lang w:bidi="ar-SA"/>
        </w:rPr>
      </w:pPr>
    </w:p>
    <w:p w:rsidR="00B82EBD" w:rsidRPr="005E6D44" w:rsidRDefault="00B82EBD" w:rsidP="00B82EBD">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E6D44" w:rsidRDefault="005E6D44" w:rsidP="005E6D44">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 RP-HPLC-UV analytical method with variable wavelength detection was developed and validated for the simulta</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neous detection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of caffeine and phenolphthalein in weight reducing supplements. </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Out of five supplements screened, two products were found to be adulterated with phenolphthalein.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validation was performed according to ICH guidelines. The HPLC method developed is selective, accurate, precise, robust and relatively fast (10 minutes). Moreover, the use of ammonium acetate buffer combined with methanol allows the transfer to a mass spectrometer, </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leading to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 more thor</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ough</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investigation in case of any doubt. The method can be easily adapted for rapid detection of caffeine and phenolphthalein in herbal products in quality control laboratories with</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a</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HPLC instrument. </w:t>
      </w:r>
    </w:p>
    <w:p w:rsidR="005E6D44" w:rsidRPr="009A4944" w:rsidRDefault="005E6D44" w:rsidP="005E6D44">
      <w:pPr>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043AE3" w:rsidRDefault="005E6D44" w:rsidP="005E6D44">
      <w:pPr>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Acknowledgement</w:t>
      </w:r>
    </w:p>
    <w:p w:rsidR="00AC0033" w:rsidRPr="00F447A7" w:rsidRDefault="005E6D44" w:rsidP="005E6D44">
      <w:pPr>
        <w:spacing w:after="0" w:line="240" w:lineRule="auto"/>
        <w:jc w:val="both"/>
        <w:rPr>
          <w:rFonts w:ascii="Times New Roman" w:hAnsi="Times New Roman"/>
          <w:sz w:val="20"/>
          <w:szCs w:val="20"/>
        </w:rPr>
      </w:pPr>
      <w:r w:rsidRPr="00043AE3">
        <w:rPr>
          <w:rFonts w:ascii="Times New Roman" w:hAnsi="Times New Roman"/>
          <w:sz w:val="20"/>
          <w:szCs w:val="20"/>
        </w:rPr>
        <w:t xml:space="preserve">This work was supported by the International Medical University (Project ID No.: MAPC </w:t>
      </w:r>
      <w:r w:rsidRPr="00043AE3">
        <w:rPr>
          <w:rFonts w:ascii="Times New Roman" w:hAnsi="Times New Roman"/>
          <w:color w:val="000000"/>
          <w:sz w:val="20"/>
          <w:szCs w:val="20"/>
        </w:rPr>
        <w:t>I1/2013 (4)</w:t>
      </w:r>
      <w:r w:rsidRPr="00043AE3">
        <w:rPr>
          <w:rFonts w:ascii="Times New Roman" w:hAnsi="Times New Roman"/>
          <w:sz w:val="20"/>
          <w:szCs w:val="20"/>
        </w:rPr>
        <w:t xml:space="preserve">). The authors would like to thank Dr. Ng Sook Han for her assistance in supervising Ms </w:t>
      </w:r>
      <w:r w:rsidRPr="00043AE3">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Elham Mohammadi Nasr.</w:t>
      </w:r>
    </w:p>
    <w:p w:rsidR="00AC0033" w:rsidRPr="00F447A7" w:rsidRDefault="00AC0033" w:rsidP="00AC0033">
      <w:pPr>
        <w:spacing w:after="0" w:line="240" w:lineRule="auto"/>
        <w:jc w:val="center"/>
        <w:rPr>
          <w:rFonts w:ascii="Times New Roman" w:hAnsi="Times New Roman"/>
          <w:noProof/>
          <w:sz w:val="20"/>
          <w:szCs w:val="20"/>
          <w:lang w:bidi="ar-SA"/>
        </w:rPr>
      </w:pPr>
    </w:p>
    <w:p w:rsidR="005E6D44" w:rsidRPr="00277615" w:rsidRDefault="005E6D44" w:rsidP="00493C29">
      <w:pPr>
        <w:shd w:val="clear" w:color="auto" w:fill="FFFFFF" w:themeFill="background1"/>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begin" w:fldLock="1"/>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instrText xml:space="preserve">ADDIN Mendeley Bibliography CSL_BIBLIOGRAPHY </w:instrTex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separate"/>
      </w:r>
    </w:p>
    <w:p w:rsidR="005E6D44"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Arroyo-Johnson, C </w:t>
      </w:r>
      <w:r w:rsidR="00277615">
        <w:rPr>
          <w:rFonts w:ascii="Times New Roman" w:hAnsi="Times New Roman"/>
          <w:smallCaps w:val="0"/>
          <w:noProof/>
          <w:spacing w:val="0"/>
          <w:sz w:val="20"/>
          <w:szCs w:val="20"/>
          <w:lang w:val="en-US"/>
        </w:rPr>
        <w:t>a</w:t>
      </w:r>
      <w:r w:rsidRPr="00277615">
        <w:rPr>
          <w:rFonts w:ascii="Times New Roman" w:hAnsi="Times New Roman"/>
          <w:smallCaps w:val="0"/>
          <w:noProof/>
          <w:spacing w:val="0"/>
          <w:sz w:val="20"/>
          <w:szCs w:val="20"/>
        </w:rPr>
        <w:t>nd</w:t>
      </w:r>
      <w:r w:rsidR="00B82EBD">
        <w:rPr>
          <w:rFonts w:ascii="Times New Roman" w:hAnsi="Times New Roman"/>
          <w:smallCaps w:val="0"/>
          <w:noProof/>
          <w:spacing w:val="0"/>
          <w:sz w:val="20"/>
          <w:szCs w:val="20"/>
        </w:rPr>
        <w:t xml:space="preserve"> Mincey, K. D. (2016). Obesity </w:t>
      </w:r>
      <w:r w:rsidR="00B82EBD">
        <w:rPr>
          <w:rFonts w:ascii="Times New Roman" w:hAnsi="Times New Roman"/>
          <w:smallCaps w:val="0"/>
          <w:noProof/>
          <w:spacing w:val="0"/>
          <w:sz w:val="20"/>
          <w:szCs w:val="20"/>
          <w:lang w:val="en-US"/>
        </w:rPr>
        <w:t>e</w:t>
      </w:r>
      <w:r w:rsidR="00B82EBD">
        <w:rPr>
          <w:rFonts w:ascii="Times New Roman" w:hAnsi="Times New Roman"/>
          <w:smallCaps w:val="0"/>
          <w:noProof/>
          <w:spacing w:val="0"/>
          <w:sz w:val="20"/>
          <w:szCs w:val="20"/>
        </w:rPr>
        <w:t xml:space="preserve">pidemiology </w:t>
      </w:r>
      <w:r w:rsidR="00B82EBD">
        <w:rPr>
          <w:rFonts w:ascii="Times New Roman" w:hAnsi="Times New Roman"/>
          <w:smallCaps w:val="0"/>
          <w:noProof/>
          <w:spacing w:val="0"/>
          <w:sz w:val="20"/>
          <w:szCs w:val="20"/>
          <w:lang w:val="en-US"/>
        </w:rPr>
        <w:t>w</w:t>
      </w:r>
      <w:r w:rsidRPr="00277615">
        <w:rPr>
          <w:rFonts w:ascii="Times New Roman" w:hAnsi="Times New Roman"/>
          <w:smallCaps w:val="0"/>
          <w:noProof/>
          <w:spacing w:val="0"/>
          <w:sz w:val="20"/>
          <w:szCs w:val="20"/>
        </w:rPr>
        <w:t xml:space="preserve">orldwide. </w:t>
      </w:r>
      <w:r w:rsidRPr="00277615">
        <w:rPr>
          <w:rFonts w:ascii="Times New Roman" w:hAnsi="Times New Roman"/>
          <w:i/>
          <w:smallCaps w:val="0"/>
          <w:noProof/>
          <w:spacing w:val="0"/>
          <w:sz w:val="20"/>
          <w:szCs w:val="20"/>
        </w:rPr>
        <w:t>Gastroenterology    Clinics</w:t>
      </w:r>
      <w:r w:rsidRPr="00277615">
        <w:rPr>
          <w:rFonts w:ascii="Times New Roman" w:hAnsi="Times New Roman"/>
          <w:smallCaps w:val="0"/>
          <w:noProof/>
          <w:spacing w:val="0"/>
          <w:sz w:val="20"/>
          <w:szCs w:val="20"/>
        </w:rPr>
        <w:t xml:space="preserve">, 45(4): 571 – 579.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Ancuceanu, R., Dinu, M. and Arama, C. (2013). Weight loss food supplements: Adulteration and multiple quality issues in two products of chinese origin. </w:t>
      </w:r>
      <w:r w:rsidRPr="00277615">
        <w:rPr>
          <w:rFonts w:ascii="Times New Roman" w:hAnsi="Times New Roman"/>
          <w:i/>
          <w:smallCaps w:val="0"/>
          <w:noProof/>
          <w:spacing w:val="0"/>
          <w:sz w:val="20"/>
          <w:szCs w:val="20"/>
        </w:rPr>
        <w:t>Farmacia</w:t>
      </w:r>
      <w:r w:rsidRPr="00277615">
        <w:rPr>
          <w:rFonts w:ascii="Times New Roman" w:hAnsi="Times New Roman"/>
          <w:smallCaps w:val="0"/>
          <w:noProof/>
          <w:spacing w:val="0"/>
          <w:sz w:val="20"/>
          <w:szCs w:val="20"/>
        </w:rPr>
        <w:t xml:space="preserve">, 61(1): 28 – 44.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 Carvalho, L. M., Martini, M., Moreira, A. P., de Lima, A. P., Correia, D., Falcão, T., Garcia,  S. C., de Bairros, A. V., do Nascimento, P. C. and Bohrer, D. (2011). Presence of synthetic pharmaceuticals as adulterants in slimming phytotherapeutic formulations and their analytical determination.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204(1-3): 6 – 12.</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Ioset, J. R., Raoelison, G. E. and Hostettmann, K. (2003). Detection of aristolochic acid in chinese phytomedicines </w:t>
      </w:r>
      <w:r w:rsidR="00277615">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 xml:space="preserve">and dietary supplements used as slimming regimens. </w:t>
      </w:r>
      <w:r w:rsidRPr="00277615">
        <w:rPr>
          <w:rFonts w:ascii="Times New Roman" w:hAnsi="Times New Roman"/>
          <w:i/>
          <w:smallCaps w:val="0"/>
          <w:noProof/>
          <w:spacing w:val="0"/>
          <w:sz w:val="20"/>
          <w:szCs w:val="20"/>
        </w:rPr>
        <w:t>Food and Chemical Toxicology</w:t>
      </w:r>
      <w:r w:rsidRPr="00277615">
        <w:rPr>
          <w:rFonts w:ascii="Times New Roman" w:hAnsi="Times New Roman"/>
          <w:smallCaps w:val="0"/>
          <w:noProof/>
          <w:spacing w:val="0"/>
          <w:sz w:val="20"/>
          <w:szCs w:val="20"/>
        </w:rPr>
        <w:t xml:space="preserve">, 41(1): 29 – 36.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Wang, J., Chen, B. and Yao, S. (2008). Analysis of six synthetic adulterants in herbal weight-reducing dietary supplements by LC electrospray ionization-MS.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xml:space="preserve">, 25(7): 822 – 830.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Shi, Y., Sun, C., Gao, B. and Sun, A. (2011). Development of a liquid chromatography tandem mass spectrometry method for simultaneous determination of eight adulterants in slimming functional foods.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1218(42): 7655 – 7662.  </w:t>
      </w:r>
    </w:p>
    <w:p w:rsidR="00493C29"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smallCaps w:val="0"/>
          <w:noProof/>
          <w:spacing w:val="0"/>
          <w:sz w:val="20"/>
          <w:szCs w:val="20"/>
          <w:lang w:val="en-US"/>
        </w:rPr>
      </w:pPr>
      <w:r w:rsidRPr="00493C29">
        <w:rPr>
          <w:rFonts w:ascii="Times New Roman" w:hAnsi="Times New Roman"/>
          <w:smallCaps w:val="0"/>
          <w:noProof/>
          <w:spacing w:val="0"/>
          <w:sz w:val="20"/>
          <w:szCs w:val="20"/>
        </w:rPr>
        <w:t>Haneef, J., Shaharyar, M., Husain, A., Rashid, M., Mish</w:t>
      </w:r>
      <w:r w:rsidR="00B82EBD">
        <w:rPr>
          <w:rFonts w:ascii="Times New Roman" w:hAnsi="Times New Roman"/>
          <w:smallCaps w:val="0"/>
          <w:noProof/>
          <w:spacing w:val="0"/>
          <w:sz w:val="20"/>
          <w:szCs w:val="20"/>
        </w:rPr>
        <w:t>ra, R., Siddique, N. A. and Pal</w:t>
      </w:r>
      <w:r w:rsidR="00B82EBD">
        <w:rPr>
          <w:rFonts w:ascii="Times New Roman" w:hAnsi="Times New Roman"/>
          <w:smallCaps w:val="0"/>
          <w:noProof/>
          <w:spacing w:val="0"/>
          <w:sz w:val="20"/>
          <w:szCs w:val="20"/>
          <w:lang w:val="en-US"/>
        </w:rPr>
        <w:t>,</w:t>
      </w:r>
      <w:r w:rsidRPr="00493C29">
        <w:rPr>
          <w:rFonts w:ascii="Times New Roman" w:hAnsi="Times New Roman"/>
          <w:smallCaps w:val="0"/>
          <w:noProof/>
          <w:spacing w:val="0"/>
          <w:sz w:val="20"/>
          <w:szCs w:val="20"/>
        </w:rPr>
        <w:t xml:space="preserve"> M. (2013). Analytical methods for the detection of undeclared synthetic drugs in traditional herbal medicines as adulterants. </w:t>
      </w:r>
      <w:r w:rsidRPr="00493C29">
        <w:rPr>
          <w:rFonts w:ascii="Times New Roman" w:hAnsi="Times New Roman"/>
          <w:i/>
          <w:smallCaps w:val="0"/>
          <w:noProof/>
          <w:spacing w:val="0"/>
          <w:sz w:val="20"/>
          <w:szCs w:val="20"/>
        </w:rPr>
        <w:t xml:space="preserve">Drug Testing and Analysis, </w:t>
      </w:r>
      <w:r w:rsidRPr="00493C29">
        <w:rPr>
          <w:rFonts w:ascii="Times New Roman" w:hAnsi="Times New Roman"/>
          <w:smallCaps w:val="0"/>
          <w:noProof/>
          <w:spacing w:val="0"/>
          <w:sz w:val="20"/>
          <w:szCs w:val="20"/>
        </w:rPr>
        <w:t xml:space="preserve">5(8): 607 – 613. </w:t>
      </w:r>
    </w:p>
    <w:p w:rsidR="00B82EBD" w:rsidRPr="00B82EBD" w:rsidRDefault="00B82EBD" w:rsidP="00B82EBD">
      <w:pPr>
        <w:rPr>
          <w:lang w:eastAsia="x-none"/>
        </w:rPr>
      </w:pPr>
    </w:p>
    <w:p w:rsidR="00277615" w:rsidRPr="00493C29"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493C29">
        <w:rPr>
          <w:rFonts w:ascii="Times New Roman" w:hAnsi="Times New Roman"/>
          <w:smallCaps w:val="0"/>
          <w:noProof/>
          <w:spacing w:val="0"/>
          <w:sz w:val="20"/>
          <w:szCs w:val="20"/>
        </w:rPr>
        <w:t xml:space="preserve">Dunn, J. D., Gryniewicz-Ruzicka, C. M., Mans, D. J., Mecker-Pogue, L. C., Kauffman, J. F., Westenberger, B. J. and Buhse, L. F. (2012). Qualitative screening for adulterants in weight-loss supplements by ion mobility spectrometry. </w:t>
      </w:r>
      <w:r w:rsidRPr="00493C29">
        <w:rPr>
          <w:rFonts w:ascii="Times New Roman" w:hAnsi="Times New Roman"/>
          <w:i/>
          <w:smallCaps w:val="0"/>
          <w:noProof/>
          <w:spacing w:val="0"/>
          <w:sz w:val="20"/>
          <w:szCs w:val="20"/>
        </w:rPr>
        <w:t>Journal of Pharmaceutical and Biomedical Analysis</w:t>
      </w:r>
      <w:r w:rsidRPr="00493C29">
        <w:rPr>
          <w:rFonts w:ascii="Times New Roman" w:hAnsi="Times New Roman"/>
          <w:smallCaps w:val="0"/>
          <w:noProof/>
          <w:spacing w:val="0"/>
          <w:sz w:val="20"/>
          <w:szCs w:val="20"/>
        </w:rPr>
        <w:t xml:space="preserve">, 71: 18 – 26.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Rebiere, H., Guinot, P., Civade, C., Bonnet, P. and Nicolas,  A. (2012). Detection of hazardous weight-loss substances in adulterated slimming formulations using ultra-high-pressure liquid chromatography with diode-array detection.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29(2): 161 – 171.</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Deconinck, E., Verlinde, K., Courselle, P. and Beer J. O. (2012). A validated ultra high pressure liquid chromatographic method for the characterisation of confiscated illegal slimming products containing anorexics. </w:t>
      </w:r>
      <w:r w:rsidRPr="00277615">
        <w:rPr>
          <w:rFonts w:ascii="Times New Roman" w:hAnsi="Times New Roman"/>
          <w:i/>
          <w:smallCaps w:val="0"/>
          <w:noProof/>
          <w:spacing w:val="0"/>
          <w:sz w:val="20"/>
          <w:szCs w:val="20"/>
        </w:rPr>
        <w:t>Journal of Pharmaceutical and Biomedical Analysis</w:t>
      </w:r>
      <w:r w:rsidRPr="00277615">
        <w:rPr>
          <w:rFonts w:ascii="Times New Roman" w:hAnsi="Times New Roman"/>
          <w:smallCaps w:val="0"/>
          <w:noProof/>
          <w:spacing w:val="0"/>
          <w:sz w:val="20"/>
          <w:szCs w:val="20"/>
        </w:rPr>
        <w:t xml:space="preserve">, 59: 38 – 43.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Phattanawasin, P., Sotanaphun, U., Sukwattanasinit, T., Akkarawaranthorn, J. and Kitchaiya, S. (2012). Quantitative determination of sibutramine in adulterated herbal slimming formulations by TLC-image analysis method.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xml:space="preserve">, 219: 96 – 100.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Food and Drug Administration. Drugs (2009). Available from: http://www.fda.gov/Drugs/ResourcesForYou/</w:t>
      </w:r>
      <w:r w:rsidR="00277615">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Consumers/QuestionsAnswers/ucm136187.htm. Date acces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Dunnick, J. K. and Hailey, J. R. (1996). Phenolphthalein exposure causes multiple carcinogenic effects in experimental model systems. </w:t>
      </w:r>
      <w:r w:rsidRPr="00277615">
        <w:rPr>
          <w:rFonts w:ascii="Times New Roman" w:hAnsi="Times New Roman"/>
          <w:i/>
          <w:smallCaps w:val="0"/>
          <w:noProof/>
          <w:spacing w:val="0"/>
          <w:sz w:val="20"/>
          <w:szCs w:val="20"/>
        </w:rPr>
        <w:t>Cancer Research</w:t>
      </w:r>
      <w:r w:rsidRPr="00277615">
        <w:rPr>
          <w:rFonts w:ascii="Times New Roman" w:hAnsi="Times New Roman"/>
          <w:smallCaps w:val="0"/>
          <w:noProof/>
          <w:spacing w:val="0"/>
          <w:sz w:val="20"/>
          <w:szCs w:val="20"/>
        </w:rPr>
        <w:t xml:space="preserve">, 56(21): 4922 – 4926.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World Health Organization (1998). World drug information.  </w:t>
      </w:r>
      <w:r w:rsidRPr="00277615">
        <w:rPr>
          <w:rFonts w:ascii="Times New Roman" w:hAnsi="Times New Roman"/>
          <w:i/>
          <w:smallCaps w:val="0"/>
          <w:noProof/>
          <w:spacing w:val="0"/>
          <w:sz w:val="20"/>
          <w:szCs w:val="20"/>
        </w:rPr>
        <w:t xml:space="preserve">Essential Medicines and Pharmaceutical Policies, </w:t>
      </w:r>
      <w:r w:rsidRPr="00277615">
        <w:rPr>
          <w:rFonts w:ascii="Times New Roman" w:hAnsi="Times New Roman"/>
          <w:smallCaps w:val="0"/>
          <w:noProof/>
          <w:spacing w:val="0"/>
          <w:sz w:val="20"/>
          <w:szCs w:val="20"/>
        </w:rPr>
        <w:t>12(1): 1 – 21.</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Agency on Research for Cancer (2000). Some antiviral and antineoplastic drugs, and other pharmaceutical agents. </w:t>
      </w:r>
      <w:r w:rsidRPr="00277615">
        <w:rPr>
          <w:rFonts w:ascii="Times New Roman" w:hAnsi="Times New Roman"/>
          <w:i/>
          <w:smallCaps w:val="0"/>
          <w:noProof/>
          <w:spacing w:val="0"/>
          <w:sz w:val="20"/>
          <w:szCs w:val="20"/>
        </w:rPr>
        <w:t>IARC Monographs on the Evaluation of Carcinogenic Risks to Humans</w:t>
      </w:r>
      <w:r w:rsidRPr="00277615">
        <w:rPr>
          <w:rFonts w:ascii="Times New Roman" w:hAnsi="Times New Roman"/>
          <w:smallCaps w:val="0"/>
          <w:noProof/>
          <w:spacing w:val="0"/>
          <w:sz w:val="20"/>
          <w:szCs w:val="20"/>
        </w:rPr>
        <w:t>, 76: 387 – 415.</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Barone, J. J. and Roberts, H. (1984). Human consumption of caffeine. </w:t>
      </w:r>
      <w:r w:rsidRPr="00277615">
        <w:rPr>
          <w:rFonts w:ascii="Times New Roman" w:hAnsi="Times New Roman"/>
          <w:i/>
          <w:smallCaps w:val="0"/>
          <w:noProof/>
          <w:spacing w:val="0"/>
          <w:sz w:val="20"/>
          <w:szCs w:val="20"/>
        </w:rPr>
        <w:t>Caffeine</w:t>
      </w:r>
      <w:r w:rsidRPr="00277615">
        <w:rPr>
          <w:rFonts w:ascii="Times New Roman" w:hAnsi="Times New Roman"/>
          <w:smallCaps w:val="0"/>
          <w:noProof/>
          <w:spacing w:val="0"/>
          <w:sz w:val="20"/>
          <w:szCs w:val="20"/>
        </w:rPr>
        <w:t xml:space="preserve">, 59 – 73.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Diepvens, K., Westerterp, K. R. and Westerterp-Plantenga, M. S. (2007). Obesity and thermogenesis related to the consumption of caffeine, ephedrine, capsaicin, and green tea. </w:t>
      </w:r>
      <w:r w:rsidRPr="00277615">
        <w:rPr>
          <w:rFonts w:ascii="Times New Roman" w:hAnsi="Times New Roman"/>
          <w:i/>
          <w:smallCaps w:val="0"/>
          <w:noProof/>
          <w:spacing w:val="0"/>
          <w:sz w:val="20"/>
          <w:szCs w:val="20"/>
        </w:rPr>
        <w:t>American Journal of Physiology - Regulatory, Integrative and Comparative Physiology</w:t>
      </w:r>
      <w:r w:rsidRPr="00277615">
        <w:rPr>
          <w:rFonts w:ascii="Times New Roman" w:hAnsi="Times New Roman"/>
          <w:smallCaps w:val="0"/>
          <w:noProof/>
          <w:spacing w:val="0"/>
          <w:sz w:val="20"/>
          <w:szCs w:val="20"/>
        </w:rPr>
        <w:t>, 292(1):  77 – 85.</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Snel, J. and Lorist, M. M. (2011). Effects of caffeine on sleep and cognition. </w:t>
      </w:r>
      <w:r w:rsidRPr="00277615">
        <w:rPr>
          <w:rFonts w:ascii="Times New Roman" w:hAnsi="Times New Roman"/>
          <w:i/>
          <w:smallCaps w:val="0"/>
          <w:noProof/>
          <w:spacing w:val="0"/>
          <w:sz w:val="20"/>
          <w:szCs w:val="20"/>
        </w:rPr>
        <w:t>Progress in Brain Research</w:t>
      </w:r>
      <w:r w:rsidRPr="00277615">
        <w:rPr>
          <w:rFonts w:ascii="Times New Roman" w:hAnsi="Times New Roman"/>
          <w:smallCaps w:val="0"/>
          <w:noProof/>
          <w:spacing w:val="0"/>
          <w:sz w:val="20"/>
          <w:szCs w:val="20"/>
        </w:rPr>
        <w:t xml:space="preserve">, 190: 105 – 117.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Cannon, M. E., Cook, C. T. and McCarthy, J. S. (2001). Caffeine-induced cardiac arrhythmia: An unrecognised danger of healthfood products. </w:t>
      </w:r>
      <w:r w:rsidRPr="00277615">
        <w:rPr>
          <w:rFonts w:ascii="Times New Roman" w:hAnsi="Times New Roman"/>
          <w:i/>
          <w:smallCaps w:val="0"/>
          <w:noProof/>
          <w:spacing w:val="0"/>
          <w:sz w:val="20"/>
          <w:szCs w:val="20"/>
        </w:rPr>
        <w:t>Medical Journal of Australia</w:t>
      </w:r>
      <w:r w:rsidRPr="00277615">
        <w:rPr>
          <w:rFonts w:ascii="Times New Roman" w:hAnsi="Times New Roman"/>
          <w:smallCaps w:val="0"/>
          <w:noProof/>
          <w:spacing w:val="0"/>
          <w:sz w:val="20"/>
          <w:szCs w:val="20"/>
        </w:rPr>
        <w:t xml:space="preserve">, 174(10): 520 – 521.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Conference on Harmonisation (1996). Guidance for industry Q2B validation of analytical procedures: Methodology: pp. 1 – 10.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Zheng-Fei, P. (2011). Determination of caffeine, phenolphthalein and sibutramine illegally added to weight loss functional food with UPLC/MS/MS. </w:t>
      </w:r>
      <w:r w:rsidRPr="00277615">
        <w:rPr>
          <w:rFonts w:ascii="Times New Roman" w:hAnsi="Times New Roman"/>
          <w:i/>
          <w:smallCaps w:val="0"/>
          <w:noProof/>
          <w:spacing w:val="0"/>
          <w:sz w:val="20"/>
          <w:szCs w:val="20"/>
        </w:rPr>
        <w:t>China Tropical Medicine</w:t>
      </w:r>
      <w:r w:rsidRPr="00277615">
        <w:rPr>
          <w:rFonts w:ascii="Times New Roman" w:hAnsi="Times New Roman"/>
          <w:smallCaps w:val="0"/>
          <w:noProof/>
          <w:spacing w:val="0"/>
          <w:sz w:val="20"/>
          <w:szCs w:val="20"/>
        </w:rPr>
        <w:t xml:space="preserve">, 11(9): 1116 – 1117.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Hammadi, R. and Almardini, M. A. (2014). A fully validated HPLC-UV method for quantitative and qualitative determination of six adulterant drugs in natural slimming dietary supplements. </w:t>
      </w:r>
      <w:r w:rsidRPr="00277615">
        <w:rPr>
          <w:rFonts w:ascii="Times New Roman" w:hAnsi="Times New Roman"/>
          <w:i/>
          <w:smallCaps w:val="0"/>
          <w:noProof/>
          <w:spacing w:val="0"/>
          <w:sz w:val="20"/>
          <w:szCs w:val="20"/>
        </w:rPr>
        <w:t>International Journal of Pharmaceutical Sciences Review and Research</w:t>
      </w:r>
      <w:r w:rsidRPr="00277615">
        <w:rPr>
          <w:rFonts w:ascii="Times New Roman" w:hAnsi="Times New Roman"/>
          <w:smallCaps w:val="0"/>
          <w:noProof/>
          <w:spacing w:val="0"/>
          <w:sz w:val="20"/>
          <w:szCs w:val="20"/>
        </w:rPr>
        <w:t xml:space="preserve">, 29(1): 171 – 174.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(2004). Caffeine. Available from: http://pubchem.ncbi.</w:t>
      </w:r>
      <w:r w:rsidR="009C2AC9">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nlm.nih.gov/summary/summary.cgi?cid=2519. Acesss online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(2005). Phenolphthalein.  Available from: http://pubchem.ncbi.</w:t>
      </w:r>
      <w:r w:rsidR="009C2AC9">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nlm.nih.gov/summary/summary.cgi?cid=4764. Access online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Rahim, A. A., Nofrizal, S. and Saad, B. (2014). Rapid tea catechins and caffeine determination by HPLC using microwave-assisted extraction and silica monolithic column. </w:t>
      </w:r>
      <w:r w:rsidRPr="00277615">
        <w:rPr>
          <w:rFonts w:ascii="Times New Roman" w:hAnsi="Times New Roman"/>
          <w:i/>
          <w:smallCaps w:val="0"/>
          <w:noProof/>
          <w:spacing w:val="0"/>
          <w:sz w:val="20"/>
          <w:szCs w:val="20"/>
        </w:rPr>
        <w:t>Food Chemistry</w:t>
      </w:r>
      <w:r w:rsidRPr="00277615">
        <w:rPr>
          <w:rFonts w:ascii="Times New Roman" w:hAnsi="Times New Roman"/>
          <w:smallCaps w:val="0"/>
          <w:noProof/>
          <w:spacing w:val="0"/>
          <w:sz w:val="20"/>
          <w:szCs w:val="20"/>
        </w:rPr>
        <w:t xml:space="preserve">, 147: 262 – 288.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Shabir, G. (2003). Validation of high-performance liquid chromatography methods for pharmaceutical analysis. understanding the differences and similarities between validation requirements of the US Food and Drug Administration, the US Pharmacopeia and the International Conference on Harmonization.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987(1-2): 56 – 66.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Center for Drug Evaluation and Research CDER (1994). Reviewer guidance-validation of chromatographic methods: pp. 1 – 30.</w:t>
      </w:r>
    </w:p>
    <w:p w:rsid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smallCaps w:val="0"/>
          <w:noProof/>
          <w:spacing w:val="0"/>
          <w:sz w:val="20"/>
          <w:szCs w:val="20"/>
          <w:lang w:val="en-US"/>
        </w:rPr>
      </w:pPr>
      <w:r w:rsidRPr="00277615">
        <w:rPr>
          <w:rFonts w:ascii="Times New Roman" w:hAnsi="Times New Roman"/>
          <w:smallCaps w:val="0"/>
          <w:noProof/>
          <w:spacing w:val="0"/>
          <w:sz w:val="20"/>
          <w:szCs w:val="20"/>
        </w:rPr>
        <w:t xml:space="preserve">U.S. Department of Health and Human Services. (2016). 14th Report on carcinogens (phenolphthalein). National Toxicology Program. </w:t>
      </w:r>
    </w:p>
    <w:p w:rsidR="00B82EBD" w:rsidRPr="00B82EBD" w:rsidRDefault="00B82EBD" w:rsidP="00B82EBD">
      <w:pPr>
        <w:rPr>
          <w:lang w:eastAsia="x-none"/>
        </w:rPr>
      </w:pPr>
    </w:p>
    <w:p w:rsidR="005E6D44"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lastRenderedPageBreak/>
        <w:t xml:space="preserve">Khazan, M., Hedayati, M., Kobarfard, F., Askari, S. and Azizi, F. (2014). Identification and determination of synthetic pharmaceuticals as adulterants in eight common herbal weight loss supplements. </w:t>
      </w:r>
      <w:r w:rsidRPr="00277615">
        <w:rPr>
          <w:rFonts w:ascii="Times New Roman" w:hAnsi="Times New Roman"/>
          <w:i/>
          <w:smallCaps w:val="0"/>
          <w:noProof/>
          <w:spacing w:val="0"/>
          <w:sz w:val="20"/>
          <w:szCs w:val="20"/>
        </w:rPr>
        <w:t>Iranian Red Crescent Medical Journal</w:t>
      </w:r>
      <w:r w:rsidRPr="00277615">
        <w:rPr>
          <w:rFonts w:ascii="Times New Roman" w:hAnsi="Times New Roman"/>
          <w:smallCaps w:val="0"/>
          <w:noProof/>
          <w:spacing w:val="0"/>
          <w:sz w:val="20"/>
          <w:szCs w:val="20"/>
        </w:rPr>
        <w:t xml:space="preserve">, 16(3): 15344 - 15350. </w:t>
      </w:r>
    </w:p>
    <w:p w:rsidR="00AC0033" w:rsidRPr="00277615" w:rsidRDefault="005E6D44" w:rsidP="00493C29">
      <w:pPr>
        <w:widowControl w:val="0"/>
        <w:shd w:val="clear" w:color="auto" w:fill="FFFFFF" w:themeFill="background1"/>
        <w:autoSpaceDE w:val="0"/>
        <w:autoSpaceDN w:val="0"/>
        <w:adjustRightInd w:val="0"/>
        <w:spacing w:after="0" w:line="240" w:lineRule="auto"/>
        <w:jc w:val="both"/>
        <w:rPr>
          <w:rFonts w:ascii="Times New Roman" w:hAnsi="Times New Roman"/>
          <w:sz w:val="20"/>
          <w:szCs w:val="20"/>
        </w:rPr>
      </w:pP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end"/>
      </w:r>
    </w:p>
    <w:sectPr w:rsidR="00AC0033" w:rsidRPr="00277615" w:rsidSect="00712500">
      <w:headerReference w:type="even" r:id="rId21"/>
      <w:headerReference w:type="default" r:id="rId22"/>
      <w:footerReference w:type="even" r:id="rId23"/>
      <w:footerReference w:type="default" r:id="rId24"/>
      <w:pgSz w:w="12240" w:h="15840" w:code="1"/>
      <w:pgMar w:top="1800" w:right="1469" w:bottom="1699" w:left="1440" w:header="706" w:footer="706" w:gutter="0"/>
      <w:pgNumType w:start="6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A8" w:rsidRDefault="007D4FA8" w:rsidP="00FB4C59">
      <w:pPr>
        <w:spacing w:after="0" w:line="240" w:lineRule="auto"/>
      </w:pPr>
      <w:r>
        <w:separator/>
      </w:r>
    </w:p>
  </w:endnote>
  <w:endnote w:type="continuationSeparator" w:id="0">
    <w:p w:rsidR="007D4FA8" w:rsidRDefault="007D4FA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8B5904" w:rsidRDefault="007D4FA8">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11389">
      <w:rPr>
        <w:rFonts w:ascii="Times New Roman" w:hAnsi="Times New Roman"/>
        <w:noProof/>
      </w:rPr>
      <w:t>608</w:t>
    </w:r>
    <w:r w:rsidRPr="008B5904">
      <w:rPr>
        <w:rFonts w:ascii="Times New Roman" w:hAnsi="Times New Roman"/>
        <w:noProof/>
      </w:rPr>
      <w:fldChar w:fldCharType="end"/>
    </w:r>
  </w:p>
  <w:p w:rsidR="007D4FA8" w:rsidRDefault="007D4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8B5904" w:rsidRDefault="007D4FA8">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11389">
      <w:rPr>
        <w:rFonts w:ascii="Times New Roman" w:hAnsi="Times New Roman"/>
        <w:noProof/>
      </w:rPr>
      <w:t>607</w:t>
    </w:r>
    <w:r w:rsidRPr="008B5904">
      <w:rPr>
        <w:rFonts w:ascii="Times New Roman" w:hAnsi="Times New Roman"/>
        <w:noProof/>
      </w:rPr>
      <w:fldChar w:fldCharType="end"/>
    </w:r>
  </w:p>
  <w:p w:rsidR="007D4FA8" w:rsidRPr="004B43FF" w:rsidRDefault="007D4FA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A8" w:rsidRDefault="007D4FA8" w:rsidP="00FB4C59">
      <w:pPr>
        <w:spacing w:after="0" w:line="240" w:lineRule="auto"/>
      </w:pPr>
      <w:r>
        <w:separator/>
      </w:r>
    </w:p>
  </w:footnote>
  <w:footnote w:type="continuationSeparator" w:id="0">
    <w:p w:rsidR="007D4FA8" w:rsidRDefault="007D4FA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DC436E" w:rsidRDefault="007D4FA8" w:rsidP="00DC436E">
    <w:pPr>
      <w:spacing w:after="0" w:line="240" w:lineRule="auto"/>
      <w:ind w:left="1350" w:hanging="1350"/>
      <w:outlineLvl w:val="0"/>
      <w:rPr>
        <w:rFonts w:ascii="Times New Roman" w:hAnsi="Times New Roman"/>
        <w:sz w:val="20"/>
        <w:szCs w:val="20"/>
      </w:rPr>
    </w:pPr>
    <w:r>
      <w:rPr>
        <w:rFonts w:ascii="Times New Roman" w:hAnsi="Times New Roman"/>
        <w:sz w:val="20"/>
        <w:szCs w:val="20"/>
      </w:rPr>
      <w:t>Wong &amp; Nasr</w:t>
    </w:r>
    <w:r w:rsidRPr="00DC436E">
      <w:rPr>
        <w:rFonts w:ascii="Times New Roman" w:hAnsi="Times New Roman"/>
        <w:sz w:val="20"/>
        <w:szCs w:val="20"/>
      </w:rPr>
      <w:t xml:space="preserve">:   </w:t>
    </w:r>
    <w:r>
      <w:rPr>
        <w:rFonts w:ascii="Times New Roman" w:hAnsi="Times New Roman"/>
        <w:sz w:val="20"/>
        <w:szCs w:val="20"/>
      </w:rPr>
      <w:tab/>
    </w:r>
    <w:r w:rsidRPr="00DC436E">
      <w:rPr>
        <w:rFonts w:ascii="Times New Roman" w:hAnsi="Times New Roman"/>
        <w:sz w:val="20"/>
        <w:szCs w:val="20"/>
      </w:rPr>
      <w:t>DEVELOPMENT AND VALIDATION OF A REVERSE PHASE-HIGH PERFORMANCE LIQUID CHROMATOGRAPHY-ULTRAVIOLET METHOD FOR SIMULTANEOUS DETECTION OF</w:t>
    </w:r>
    <w:r>
      <w:rPr>
        <w:rFonts w:ascii="Times New Roman" w:hAnsi="Times New Roman"/>
        <w:sz w:val="20"/>
        <w:szCs w:val="20"/>
      </w:rPr>
      <w:t xml:space="preserve"> </w:t>
    </w:r>
    <w:r w:rsidRPr="00DC436E">
      <w:rPr>
        <w:rFonts w:ascii="Times New Roman" w:hAnsi="Times New Roman"/>
        <w:sz w:val="20"/>
        <w:szCs w:val="20"/>
      </w:rPr>
      <w:t>CAFFEINE AND PHENOLPHTHALEIN IN WEIGHT REDUCING SUPPLEMENTS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Default="007D4FA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605 - 618</w:t>
    </w:r>
  </w:p>
  <w:p w:rsidR="007D4FA8" w:rsidRDefault="007D4FA8" w:rsidP="00F4760B">
    <w:pPr>
      <w:pStyle w:val="Header"/>
      <w:jc w:val="right"/>
      <w:rPr>
        <w:rFonts w:ascii="Times New Roman" w:hAnsi="Times New Roman"/>
        <w:i/>
        <w:lang w:val="en-US"/>
      </w:rPr>
    </w:pPr>
    <w:r>
      <w:rPr>
        <w:rFonts w:ascii="Times New Roman" w:hAnsi="Times New Roman"/>
        <w:i/>
        <w:lang w:val="en-US"/>
      </w:rPr>
      <w:t>DOI: https://doi.org/10.17576/mjas-2017-2103-10</w:t>
    </w:r>
  </w:p>
  <w:p w:rsidR="007D4FA8" w:rsidRPr="00F4760B" w:rsidRDefault="007D4FA8"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202F4F"/>
    <w:multiLevelType w:val="hybridMultilevel"/>
    <w:tmpl w:val="683E9D28"/>
    <w:lvl w:ilvl="0" w:tplc="A4EC9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75AA4"/>
    <w:rsid w:val="00084936"/>
    <w:rsid w:val="000875CD"/>
    <w:rsid w:val="000C49FF"/>
    <w:rsid w:val="000D16A1"/>
    <w:rsid w:val="000D2B0C"/>
    <w:rsid w:val="000D7F58"/>
    <w:rsid w:val="000F77DA"/>
    <w:rsid w:val="001068E8"/>
    <w:rsid w:val="001106D8"/>
    <w:rsid w:val="00111389"/>
    <w:rsid w:val="00117BCD"/>
    <w:rsid w:val="00137184"/>
    <w:rsid w:val="001A1401"/>
    <w:rsid w:val="001D035A"/>
    <w:rsid w:val="001D3855"/>
    <w:rsid w:val="001D6F2C"/>
    <w:rsid w:val="001F10D5"/>
    <w:rsid w:val="00277498"/>
    <w:rsid w:val="00277615"/>
    <w:rsid w:val="0028007D"/>
    <w:rsid w:val="002860B7"/>
    <w:rsid w:val="00290F4D"/>
    <w:rsid w:val="002A2FC0"/>
    <w:rsid w:val="002B188F"/>
    <w:rsid w:val="002B3BD8"/>
    <w:rsid w:val="002F3F91"/>
    <w:rsid w:val="002F4CD2"/>
    <w:rsid w:val="00304767"/>
    <w:rsid w:val="00304B34"/>
    <w:rsid w:val="00361BAF"/>
    <w:rsid w:val="00362FCE"/>
    <w:rsid w:val="00367D1F"/>
    <w:rsid w:val="003A4875"/>
    <w:rsid w:val="003B6019"/>
    <w:rsid w:val="003D4CDD"/>
    <w:rsid w:val="003D585B"/>
    <w:rsid w:val="003E7DA6"/>
    <w:rsid w:val="003F12FF"/>
    <w:rsid w:val="00401EB9"/>
    <w:rsid w:val="00421CFB"/>
    <w:rsid w:val="004760D4"/>
    <w:rsid w:val="00491FAE"/>
    <w:rsid w:val="00493C29"/>
    <w:rsid w:val="00494C46"/>
    <w:rsid w:val="004B43FF"/>
    <w:rsid w:val="004D7E25"/>
    <w:rsid w:val="00502641"/>
    <w:rsid w:val="005C6768"/>
    <w:rsid w:val="005E4871"/>
    <w:rsid w:val="005E6D44"/>
    <w:rsid w:val="00601C8A"/>
    <w:rsid w:val="00623CB8"/>
    <w:rsid w:val="006257E5"/>
    <w:rsid w:val="00634C25"/>
    <w:rsid w:val="006416AB"/>
    <w:rsid w:val="0065447F"/>
    <w:rsid w:val="006768E9"/>
    <w:rsid w:val="00687982"/>
    <w:rsid w:val="006B3EAA"/>
    <w:rsid w:val="006B3EC8"/>
    <w:rsid w:val="006B72B0"/>
    <w:rsid w:val="006D286E"/>
    <w:rsid w:val="006D695E"/>
    <w:rsid w:val="00712500"/>
    <w:rsid w:val="00725A6A"/>
    <w:rsid w:val="007943F3"/>
    <w:rsid w:val="007A0583"/>
    <w:rsid w:val="007A738C"/>
    <w:rsid w:val="007B1349"/>
    <w:rsid w:val="007D45AC"/>
    <w:rsid w:val="007D4FA8"/>
    <w:rsid w:val="007E25BD"/>
    <w:rsid w:val="00802C35"/>
    <w:rsid w:val="0082181A"/>
    <w:rsid w:val="00825624"/>
    <w:rsid w:val="0083587A"/>
    <w:rsid w:val="0085393F"/>
    <w:rsid w:val="00883CC3"/>
    <w:rsid w:val="008B1ED1"/>
    <w:rsid w:val="008B470E"/>
    <w:rsid w:val="008B5904"/>
    <w:rsid w:val="008D29BF"/>
    <w:rsid w:val="008E1211"/>
    <w:rsid w:val="008E5BBF"/>
    <w:rsid w:val="008E6968"/>
    <w:rsid w:val="009211AF"/>
    <w:rsid w:val="009357B8"/>
    <w:rsid w:val="0094096E"/>
    <w:rsid w:val="00943BDB"/>
    <w:rsid w:val="00951141"/>
    <w:rsid w:val="009866F6"/>
    <w:rsid w:val="009C2AC9"/>
    <w:rsid w:val="009D030D"/>
    <w:rsid w:val="00A14DB9"/>
    <w:rsid w:val="00A4762A"/>
    <w:rsid w:val="00A74A7E"/>
    <w:rsid w:val="00A91EFF"/>
    <w:rsid w:val="00AA6D90"/>
    <w:rsid w:val="00AC0033"/>
    <w:rsid w:val="00AD1B8A"/>
    <w:rsid w:val="00AD2272"/>
    <w:rsid w:val="00AE713F"/>
    <w:rsid w:val="00AF2305"/>
    <w:rsid w:val="00AF2821"/>
    <w:rsid w:val="00B1121C"/>
    <w:rsid w:val="00B25B65"/>
    <w:rsid w:val="00B2770A"/>
    <w:rsid w:val="00B314AD"/>
    <w:rsid w:val="00B75BF6"/>
    <w:rsid w:val="00B7735A"/>
    <w:rsid w:val="00B82EBD"/>
    <w:rsid w:val="00B83E29"/>
    <w:rsid w:val="00B91DE7"/>
    <w:rsid w:val="00BA1595"/>
    <w:rsid w:val="00BA1F7B"/>
    <w:rsid w:val="00BB58AF"/>
    <w:rsid w:val="00BE7C30"/>
    <w:rsid w:val="00C055BF"/>
    <w:rsid w:val="00C2226A"/>
    <w:rsid w:val="00C234BA"/>
    <w:rsid w:val="00C94D92"/>
    <w:rsid w:val="00C97340"/>
    <w:rsid w:val="00CA513F"/>
    <w:rsid w:val="00CB3AA6"/>
    <w:rsid w:val="00CC20C2"/>
    <w:rsid w:val="00CD15EE"/>
    <w:rsid w:val="00CF05FF"/>
    <w:rsid w:val="00D340BB"/>
    <w:rsid w:val="00D505D5"/>
    <w:rsid w:val="00D75B35"/>
    <w:rsid w:val="00D76E09"/>
    <w:rsid w:val="00D9736F"/>
    <w:rsid w:val="00D9792A"/>
    <w:rsid w:val="00DC436E"/>
    <w:rsid w:val="00DD2C8B"/>
    <w:rsid w:val="00DD377F"/>
    <w:rsid w:val="00DD69F6"/>
    <w:rsid w:val="00E25547"/>
    <w:rsid w:val="00E3287E"/>
    <w:rsid w:val="00E54D12"/>
    <w:rsid w:val="00E66197"/>
    <w:rsid w:val="00EA2274"/>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DD2C8B"/>
  </w:style>
  <w:style w:type="paragraph" w:styleId="FootnoteText">
    <w:name w:val="footnote text"/>
    <w:basedOn w:val="Normal"/>
    <w:link w:val="FootnoteTextChar"/>
    <w:uiPriority w:val="99"/>
    <w:unhideWhenUsed/>
    <w:rsid w:val="00DD2C8B"/>
    <w:pPr>
      <w:spacing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rsid w:val="00DD2C8B"/>
    <w:rPr>
      <w:rFonts w:asciiTheme="minorHAnsi" w:eastAsiaTheme="minorEastAsia" w:hAnsiTheme="minorHAnsi" w:cstheme="minorBidi"/>
      <w:lang w:eastAsia="ja-JP"/>
    </w:rPr>
  </w:style>
  <w:style w:type="table" w:styleId="LightShading-Accent1">
    <w:name w:val="Light Shading Accent 1"/>
    <w:basedOn w:val="TableNormal"/>
    <w:uiPriority w:val="60"/>
    <w:rsid w:val="00DD2C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D2C8B"/>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D2C8B"/>
    <w:pPr>
      <w:tabs>
        <w:tab w:val="decimal" w:pos="360"/>
      </w:tabs>
    </w:pPr>
    <w:rPr>
      <w:rFonts w:asciiTheme="minorHAnsi" w:eastAsiaTheme="minorHAnsi" w:hAnsiTheme="minorHAnsi" w:cstheme="minorBidi"/>
      <w:lang w:eastAsia="ja-JP" w:bidi="ar-SA"/>
    </w:rPr>
  </w:style>
  <w:style w:type="paragraph" w:styleId="NormalWeb">
    <w:name w:val="Normal (Web)"/>
    <w:basedOn w:val="Normal"/>
    <w:uiPriority w:val="99"/>
    <w:unhideWhenUsed/>
    <w:rsid w:val="00DD2C8B"/>
    <w:pPr>
      <w:spacing w:before="100" w:beforeAutospacing="1" w:after="100" w:afterAutospacing="1" w:line="240" w:lineRule="auto"/>
    </w:pPr>
    <w:rPr>
      <w:rFonts w:ascii="Times New Roman" w:hAnsi="Times New Roman"/>
      <w:sz w:val="24"/>
      <w:szCs w:val="24"/>
      <w:lang w:val="en-MY" w:eastAsia="en-MY" w:bidi="ar-SA"/>
    </w:rPr>
  </w:style>
  <w:style w:type="table" w:customStyle="1" w:styleId="PlainTable21">
    <w:name w:val="Plain Table 21"/>
    <w:basedOn w:val="TableNormal"/>
    <w:uiPriority w:val="42"/>
    <w:rsid w:val="00DD2C8B"/>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DD2C8B"/>
  </w:style>
  <w:style w:type="paragraph" w:styleId="FootnoteText">
    <w:name w:val="footnote text"/>
    <w:basedOn w:val="Normal"/>
    <w:link w:val="FootnoteTextChar"/>
    <w:uiPriority w:val="99"/>
    <w:unhideWhenUsed/>
    <w:rsid w:val="00DD2C8B"/>
    <w:pPr>
      <w:spacing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rsid w:val="00DD2C8B"/>
    <w:rPr>
      <w:rFonts w:asciiTheme="minorHAnsi" w:eastAsiaTheme="minorEastAsia" w:hAnsiTheme="minorHAnsi" w:cstheme="minorBidi"/>
      <w:lang w:eastAsia="ja-JP"/>
    </w:rPr>
  </w:style>
  <w:style w:type="table" w:styleId="LightShading-Accent1">
    <w:name w:val="Light Shading Accent 1"/>
    <w:basedOn w:val="TableNormal"/>
    <w:uiPriority w:val="60"/>
    <w:rsid w:val="00DD2C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D2C8B"/>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D2C8B"/>
    <w:pPr>
      <w:tabs>
        <w:tab w:val="decimal" w:pos="360"/>
      </w:tabs>
    </w:pPr>
    <w:rPr>
      <w:rFonts w:asciiTheme="minorHAnsi" w:eastAsiaTheme="minorHAnsi" w:hAnsiTheme="minorHAnsi" w:cstheme="minorBidi"/>
      <w:lang w:eastAsia="ja-JP" w:bidi="ar-SA"/>
    </w:rPr>
  </w:style>
  <w:style w:type="paragraph" w:styleId="NormalWeb">
    <w:name w:val="Normal (Web)"/>
    <w:basedOn w:val="Normal"/>
    <w:uiPriority w:val="99"/>
    <w:unhideWhenUsed/>
    <w:rsid w:val="00DD2C8B"/>
    <w:pPr>
      <w:spacing w:before="100" w:beforeAutospacing="1" w:after="100" w:afterAutospacing="1" w:line="240" w:lineRule="auto"/>
    </w:pPr>
    <w:rPr>
      <w:rFonts w:ascii="Times New Roman" w:hAnsi="Times New Roman"/>
      <w:sz w:val="24"/>
      <w:szCs w:val="24"/>
      <w:lang w:val="en-MY" w:eastAsia="en-MY" w:bidi="ar-SA"/>
    </w:rPr>
  </w:style>
  <w:style w:type="table" w:customStyle="1" w:styleId="PlainTable21">
    <w:name w:val="Plain Table 21"/>
    <w:basedOn w:val="TableNormal"/>
    <w:uiPriority w:val="42"/>
    <w:rsid w:val="00DD2C8B"/>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600E-1451-42D0-B1D9-6E8DA5D8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16394</Words>
  <Characters>93939</Characters>
  <Application>Microsoft Office Word</Application>
  <DocSecurity>0</DocSecurity>
  <Lines>2408</Lines>
  <Paragraphs>1362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108971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24</cp:revision>
  <cp:lastPrinted>2017-06-18T22:39:00Z</cp:lastPrinted>
  <dcterms:created xsi:type="dcterms:W3CDTF">2017-05-18T05:50:00Z</dcterms:created>
  <dcterms:modified xsi:type="dcterms:W3CDTF">2017-06-18T22:42:00Z</dcterms:modified>
</cp:coreProperties>
</file>