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12E1B" w:rsidRPr="00D12E1B" w:rsidRDefault="00D12E1B" w:rsidP="00D12E1B">
      <w:pPr>
        <w:adjustRightInd w:val="0"/>
        <w:spacing w:after="0" w:line="240" w:lineRule="auto"/>
        <w:jc w:val="center"/>
        <w:rPr>
          <w:rFonts w:ascii="Times New Roman" w:hAnsi="Times New Roman"/>
          <w:sz w:val="28"/>
          <w:szCs w:val="28"/>
        </w:rPr>
      </w:pPr>
      <w:r w:rsidRPr="005F7169">
        <w:rPr>
          <w:rFonts w:ascii="Times New Roman" w:hAnsi="Times New Roman"/>
          <w:sz w:val="28"/>
          <w:szCs w:val="28"/>
        </w:rPr>
        <w:t>PALM OIL-BASED PRECURSORS FOR DEVELOPMENT OF POLYMERIC DELIVERY SYSTEM</w:t>
      </w:r>
    </w:p>
    <w:p w:rsidR="00D12E1B" w:rsidRPr="005F7169" w:rsidRDefault="00D12E1B" w:rsidP="00D12E1B">
      <w:pPr>
        <w:spacing w:after="0" w:line="240" w:lineRule="auto"/>
        <w:jc w:val="center"/>
        <w:outlineLvl w:val="0"/>
        <w:rPr>
          <w:rFonts w:ascii="Times New Roman" w:hAnsi="Times New Roman"/>
          <w:b/>
          <w:color w:val="548DD4" w:themeColor="text2" w:themeTint="99"/>
          <w:sz w:val="24"/>
        </w:rPr>
      </w:pPr>
    </w:p>
    <w:p w:rsidR="00D12E1B" w:rsidRPr="000F592D" w:rsidRDefault="00D12E1B" w:rsidP="00D12E1B">
      <w:pPr>
        <w:spacing w:after="0" w:line="240" w:lineRule="auto"/>
        <w:jc w:val="center"/>
        <w:outlineLvl w:val="0"/>
        <w:rPr>
          <w:rFonts w:ascii="Times New Roman" w:hAnsi="Times New Roman"/>
          <w:sz w:val="24"/>
          <w:szCs w:val="24"/>
        </w:rPr>
      </w:pPr>
      <w:r>
        <w:rPr>
          <w:rFonts w:ascii="Times New Roman" w:hAnsi="Times New Roman"/>
          <w:sz w:val="24"/>
          <w:szCs w:val="24"/>
        </w:rPr>
        <w:t>(Pelopor Berasaskan Minyak Sawit u</w:t>
      </w:r>
      <w:r w:rsidRPr="005F7169">
        <w:rPr>
          <w:rFonts w:ascii="Times New Roman" w:hAnsi="Times New Roman"/>
          <w:sz w:val="24"/>
          <w:szCs w:val="24"/>
        </w:rPr>
        <w:t>ntuk Pembangunan Sistem Penyampai Polimer</w:t>
      </w:r>
      <w:r>
        <w:rPr>
          <w:rFonts w:ascii="Times New Roman" w:hAnsi="Times New Roman"/>
          <w:sz w:val="24"/>
          <w:szCs w:val="24"/>
        </w:rPr>
        <w:t>)</w:t>
      </w:r>
    </w:p>
    <w:p w:rsidR="00D12E1B" w:rsidRPr="00D12E1B" w:rsidRDefault="00D12E1B" w:rsidP="00D12E1B">
      <w:pPr>
        <w:spacing w:after="0" w:line="240" w:lineRule="auto"/>
        <w:jc w:val="center"/>
        <w:outlineLvl w:val="0"/>
        <w:rPr>
          <w:rFonts w:ascii="Times New Roman" w:hAnsi="Times New Roman"/>
          <w:b/>
          <w:color w:val="548DD4" w:themeColor="text2" w:themeTint="99"/>
          <w:sz w:val="20"/>
          <w:szCs w:val="20"/>
        </w:rPr>
      </w:pPr>
    </w:p>
    <w:p w:rsidR="00D12E1B" w:rsidRPr="005F7169" w:rsidRDefault="00D12E1B" w:rsidP="00D12E1B">
      <w:pPr>
        <w:pStyle w:val="Author"/>
        <w:spacing w:before="0" w:after="0"/>
        <w:outlineLvl w:val="0"/>
        <w:rPr>
          <w:b w:val="0"/>
          <w:i/>
          <w:sz w:val="20"/>
          <w:vertAlign w:val="superscript"/>
        </w:rPr>
      </w:pPr>
      <w:r w:rsidRPr="005F7169">
        <w:rPr>
          <w:b w:val="0"/>
          <w:sz w:val="20"/>
        </w:rPr>
        <w:t>Rida Tajau</w:t>
      </w:r>
      <w:r>
        <w:rPr>
          <w:b w:val="0"/>
          <w:sz w:val="20"/>
          <w:vertAlign w:val="superscript"/>
        </w:rPr>
        <w:t>1,2</w:t>
      </w:r>
      <w:r w:rsidRPr="005F7169">
        <w:rPr>
          <w:b w:val="0"/>
          <w:sz w:val="20"/>
        </w:rPr>
        <w:t>, Rosiah Rohani</w:t>
      </w:r>
      <w:r w:rsidRPr="005F7169">
        <w:rPr>
          <w:b w:val="0"/>
          <w:sz w:val="20"/>
          <w:vertAlign w:val="superscript"/>
        </w:rPr>
        <w:t>1</w:t>
      </w:r>
      <w:r w:rsidRPr="005F7169">
        <w:rPr>
          <w:b w:val="0"/>
          <w:sz w:val="20"/>
        </w:rPr>
        <w:t>*, Wan Nor Roslam Wan Isahak</w:t>
      </w:r>
      <w:r w:rsidRPr="005F7169">
        <w:rPr>
          <w:b w:val="0"/>
          <w:sz w:val="20"/>
          <w:vertAlign w:val="superscript"/>
        </w:rPr>
        <w:t>1</w:t>
      </w:r>
      <w:r w:rsidRPr="005F7169">
        <w:rPr>
          <w:b w:val="0"/>
          <w:sz w:val="20"/>
        </w:rPr>
        <w:t>, Mek Zah Salleh</w:t>
      </w:r>
      <w:r w:rsidRPr="005F7169">
        <w:rPr>
          <w:b w:val="0"/>
          <w:sz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CC2BFA" w:rsidRPr="005F7169" w:rsidRDefault="00CC2BFA" w:rsidP="00CC2BFA">
      <w:pPr>
        <w:adjustRightInd w:val="0"/>
        <w:spacing w:after="0" w:line="240" w:lineRule="auto"/>
        <w:jc w:val="center"/>
        <w:rPr>
          <w:rFonts w:ascii="Times New Roman" w:hAnsi="Times New Roman"/>
          <w:i/>
          <w:sz w:val="18"/>
          <w:szCs w:val="18"/>
        </w:rPr>
      </w:pPr>
      <w:r w:rsidRPr="005F7169">
        <w:rPr>
          <w:rFonts w:ascii="Times New Roman" w:hAnsi="Times New Roman"/>
          <w:i/>
          <w:sz w:val="18"/>
          <w:szCs w:val="18"/>
          <w:vertAlign w:val="superscript"/>
        </w:rPr>
        <w:t>1</w:t>
      </w:r>
      <w:r w:rsidRPr="005F7169">
        <w:rPr>
          <w:rFonts w:ascii="Times New Roman" w:hAnsi="Times New Roman"/>
          <w:i/>
          <w:sz w:val="18"/>
          <w:szCs w:val="18"/>
        </w:rPr>
        <w:t>Department of Chemical and Process Engineering, Faculty of Engineering and Built Environment,</w:t>
      </w:r>
    </w:p>
    <w:p w:rsidR="00CC2BFA" w:rsidRPr="00171D66" w:rsidRDefault="00CC2BFA" w:rsidP="00CC2BFA">
      <w:pPr>
        <w:spacing w:after="0" w:line="240" w:lineRule="auto"/>
        <w:jc w:val="center"/>
        <w:outlineLvl w:val="0"/>
        <w:rPr>
          <w:rFonts w:ascii="Times New Roman" w:hAnsi="Times New Roman"/>
          <w:i/>
          <w:sz w:val="18"/>
          <w:szCs w:val="18"/>
        </w:rPr>
      </w:pPr>
      <w:r w:rsidRPr="005F7169">
        <w:rPr>
          <w:rFonts w:ascii="Times New Roman" w:hAnsi="Times New Roman"/>
          <w:i/>
          <w:sz w:val="18"/>
          <w:szCs w:val="18"/>
        </w:rPr>
        <w:t xml:space="preserve">Universiti Kebangsaan </w:t>
      </w:r>
      <w:r>
        <w:rPr>
          <w:rFonts w:ascii="Times New Roman" w:hAnsi="Times New Roman"/>
          <w:i/>
          <w:sz w:val="18"/>
          <w:szCs w:val="18"/>
        </w:rPr>
        <w:t>Malaysia, 43600 UKM Bangi, Selangor, Malaysia</w:t>
      </w:r>
    </w:p>
    <w:p w:rsidR="00CC2BFA" w:rsidRDefault="00CC2BFA" w:rsidP="00CC2BFA">
      <w:pPr>
        <w:adjustRightInd w:val="0"/>
        <w:spacing w:after="0" w:line="240" w:lineRule="auto"/>
        <w:jc w:val="center"/>
        <w:rPr>
          <w:rFonts w:ascii="Times New Roman" w:hAnsi="Times New Roman"/>
          <w:i/>
          <w:sz w:val="18"/>
          <w:szCs w:val="18"/>
        </w:rPr>
      </w:pPr>
      <w:r w:rsidRPr="005F7169">
        <w:rPr>
          <w:rFonts w:ascii="Times New Roman" w:hAnsi="Times New Roman"/>
          <w:i/>
          <w:sz w:val="18"/>
          <w:szCs w:val="18"/>
          <w:vertAlign w:val="superscript"/>
        </w:rPr>
        <w:t>2</w:t>
      </w:r>
      <w:r w:rsidRPr="005F7169">
        <w:rPr>
          <w:rFonts w:ascii="Times New Roman" w:hAnsi="Times New Roman"/>
          <w:i/>
          <w:sz w:val="18"/>
          <w:szCs w:val="18"/>
        </w:rPr>
        <w:t xml:space="preserve">Radiation Processing Technology Division, </w:t>
      </w:r>
    </w:p>
    <w:p w:rsidR="006768E9" w:rsidRPr="00F447A7" w:rsidRDefault="00CC2BFA" w:rsidP="00CC2BFA">
      <w:pPr>
        <w:spacing w:after="0" w:line="240" w:lineRule="auto"/>
        <w:jc w:val="center"/>
        <w:rPr>
          <w:rFonts w:ascii="Times New Roman" w:hAnsi="Times New Roman"/>
          <w:noProof/>
          <w:sz w:val="18"/>
          <w:szCs w:val="18"/>
          <w:lang w:bidi="ar-SA"/>
        </w:rPr>
      </w:pPr>
      <w:r>
        <w:rPr>
          <w:rFonts w:ascii="Times New Roman" w:hAnsi="Times New Roman"/>
          <w:i/>
          <w:sz w:val="18"/>
          <w:szCs w:val="18"/>
        </w:rPr>
        <w:t>Malaysia Nuclear Agency, 43000 Kajang, Selangor, Malaysia</w:t>
      </w:r>
    </w:p>
    <w:p w:rsidR="00CC2BFA" w:rsidRDefault="00CC2BFA" w:rsidP="00F447A7">
      <w:pPr>
        <w:spacing w:after="0" w:line="240" w:lineRule="auto"/>
        <w:jc w:val="center"/>
        <w:rPr>
          <w:rFonts w:ascii="Times New Roman" w:hAnsi="Times New Roman"/>
          <w:i/>
          <w:noProof/>
          <w:sz w:val="18"/>
          <w:szCs w:val="18"/>
          <w:lang w:bidi="ar-SA"/>
        </w:rPr>
      </w:pPr>
    </w:p>
    <w:p w:rsidR="006768E9" w:rsidRPr="00CC2BFA" w:rsidRDefault="006768E9" w:rsidP="00CC2BFA">
      <w:pPr>
        <w:pStyle w:val="Fax-Email-URL"/>
        <w:rPr>
          <w:rFonts w:ascii="Times New Roman" w:hAnsi="Times New Roman"/>
          <w:bCs/>
          <w:i/>
          <w:sz w:val="18"/>
          <w:szCs w:val="18"/>
          <w:lang w:val="en-AU"/>
        </w:rPr>
      </w:pPr>
      <w:r w:rsidRPr="00CC2BFA">
        <w:rPr>
          <w:rFonts w:ascii="Times New Roman" w:hAnsi="Times New Roman"/>
          <w:i/>
          <w:noProof/>
          <w:sz w:val="18"/>
          <w:szCs w:val="18"/>
        </w:rPr>
        <w:t>*Corresponding author:</w:t>
      </w:r>
      <w:r w:rsidR="00BE7C30" w:rsidRPr="00CC2BFA">
        <w:rPr>
          <w:rFonts w:ascii="Times New Roman" w:hAnsi="Times New Roman"/>
          <w:i/>
          <w:noProof/>
          <w:sz w:val="18"/>
          <w:szCs w:val="18"/>
        </w:rPr>
        <w:t xml:space="preserve"> </w:t>
      </w:r>
      <w:r w:rsidR="00CC2BFA" w:rsidRPr="00CC2BFA">
        <w:rPr>
          <w:rFonts w:ascii="Times New Roman" w:hAnsi="Times New Roman"/>
          <w:bCs/>
          <w:i/>
          <w:sz w:val="18"/>
          <w:szCs w:val="18"/>
          <w:lang w:val="en-AU"/>
        </w:rPr>
        <w:t>rosiah@ukm.edu.my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C2BFA">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CC2BFA">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C2BFA" w:rsidRPr="00171D66" w:rsidRDefault="00CC2BFA" w:rsidP="00CC2BFA">
      <w:pPr>
        <w:spacing w:after="0" w:line="240" w:lineRule="auto"/>
        <w:jc w:val="both"/>
        <w:rPr>
          <w:rFonts w:ascii="Times New Roman" w:hAnsi="Times New Roman"/>
          <w:sz w:val="18"/>
          <w:szCs w:val="18"/>
        </w:rPr>
      </w:pPr>
      <w:r w:rsidRPr="00171D66">
        <w:rPr>
          <w:rFonts w:ascii="Times New Roman" w:hAnsi="Times New Roman"/>
          <w:sz w:val="18"/>
          <w:szCs w:val="18"/>
        </w:rPr>
        <w:t>The use of precursors from natural based polymers offer a more biocompatible and biodegradable properties in producing polymer drug vehicle compared to drug vehicles made from synthetic polymer precursors</w:t>
      </w:r>
      <w:r w:rsidRPr="00171D66">
        <w:rPr>
          <w:rFonts w:ascii="Times New Roman" w:hAnsi="Times New Roman"/>
          <w:sz w:val="18"/>
          <w:szCs w:val="18"/>
          <w:shd w:val="clear" w:color="auto" w:fill="FFFFFF"/>
        </w:rPr>
        <w:t>, which normally found in high molecular weight (MW)</w:t>
      </w:r>
      <w:r w:rsidRPr="00171D66">
        <w:rPr>
          <w:rFonts w:ascii="Times New Roman" w:hAnsi="Times New Roman"/>
          <w:sz w:val="18"/>
          <w:szCs w:val="18"/>
        </w:rPr>
        <w:t xml:space="preserve">. High MW polymer will lead to immunologic inflammatory responses due to their lower biodegradability and higher cytotoxicity compared to low MW that could give smaller particle size, higher solubility, higher release efficiency, non-immunogenic, better biodegradability and lower cytotoxicity. Therefore, this study is aimed to produce valuable precursors, particularly to produce epoxidized palm olein (EPOo) and diol, to be used in the development of a new polymeric drug vehicle with low MW.  An EPOo was synthesized via </w:t>
      </w:r>
      <w:r w:rsidRPr="00C23457">
        <w:rPr>
          <w:rFonts w:ascii="Times New Roman" w:hAnsi="Times New Roman"/>
          <w:i/>
          <w:sz w:val="18"/>
          <w:szCs w:val="18"/>
        </w:rPr>
        <w:t>in-situ</w:t>
      </w:r>
      <w:r w:rsidRPr="00171D66">
        <w:rPr>
          <w:rFonts w:ascii="Times New Roman" w:hAnsi="Times New Roman"/>
          <w:sz w:val="18"/>
          <w:szCs w:val="18"/>
        </w:rPr>
        <w:t xml:space="preserve"> epoxidizing of palm olein (POo) with peracid and sulfuric acid (H</w:t>
      </w:r>
      <w:r w:rsidRPr="00171D66">
        <w:rPr>
          <w:rFonts w:ascii="Times New Roman" w:hAnsi="Times New Roman"/>
          <w:sz w:val="18"/>
          <w:szCs w:val="18"/>
          <w:vertAlign w:val="subscript"/>
        </w:rPr>
        <w:t>2</w:t>
      </w:r>
      <w:r w:rsidRPr="00171D66">
        <w:rPr>
          <w:rFonts w:ascii="Times New Roman" w:hAnsi="Times New Roman"/>
          <w:sz w:val="18"/>
          <w:szCs w:val="18"/>
        </w:rPr>
        <w:t>SO</w:t>
      </w:r>
      <w:r w:rsidRPr="00171D66">
        <w:rPr>
          <w:rFonts w:ascii="Times New Roman" w:hAnsi="Times New Roman"/>
          <w:sz w:val="18"/>
          <w:szCs w:val="18"/>
          <w:vertAlign w:val="subscript"/>
        </w:rPr>
        <w:t>4</w:t>
      </w:r>
      <w:r>
        <w:rPr>
          <w:rFonts w:ascii="Times New Roman" w:hAnsi="Times New Roman"/>
          <w:sz w:val="18"/>
          <w:szCs w:val="18"/>
        </w:rPr>
        <w:t xml:space="preserve">) catalyst. </w:t>
      </w:r>
      <w:r w:rsidRPr="00171D66">
        <w:rPr>
          <w:rFonts w:ascii="Times New Roman" w:hAnsi="Times New Roman"/>
          <w:sz w:val="18"/>
          <w:szCs w:val="18"/>
        </w:rPr>
        <w:t>Meanwhile the diol was synthesized using hydroxylation of palm oil-based oleic acid via esterification of oleic acid (OA) with glycerol and 4-dodecylbenzyl sulfonic acid catalyst (DBSA).  It was found that both palm oil-based precursors have been successfully synthesized from natural resources of palm oil. Physico-chemical properties of the synthesized precursors showed that the EPOo and the diol possess average mole</w:t>
      </w:r>
      <w:r>
        <w:rPr>
          <w:rFonts w:ascii="Times New Roman" w:hAnsi="Times New Roman"/>
          <w:sz w:val="18"/>
          <w:szCs w:val="18"/>
        </w:rPr>
        <w:t>cular weight (MW) between 900-</w:t>
      </w:r>
      <w:r w:rsidRPr="00171D66">
        <w:rPr>
          <w:rFonts w:ascii="Times New Roman" w:hAnsi="Times New Roman"/>
          <w:sz w:val="18"/>
          <w:szCs w:val="18"/>
        </w:rPr>
        <w:t>1500 g/mol and hydroxyl functionality between 2 and 3, based on the presence of hydroxyl (O-H) group functionality, showed in the Infra-red (IR)</w:t>
      </w:r>
      <w:r>
        <w:rPr>
          <w:rFonts w:ascii="Times New Roman" w:hAnsi="Times New Roman"/>
          <w:sz w:val="18"/>
          <w:szCs w:val="18"/>
        </w:rPr>
        <w:t xml:space="preserve"> spectra in the range of 3200-</w:t>
      </w:r>
      <w:r w:rsidRPr="00171D66">
        <w:rPr>
          <w:rFonts w:ascii="Times New Roman" w:hAnsi="Times New Roman"/>
          <w:sz w:val="18"/>
          <w:szCs w:val="18"/>
        </w:rPr>
        <w:t>3600 cm</w:t>
      </w:r>
      <w:r w:rsidRPr="00171D66">
        <w:rPr>
          <w:rFonts w:ascii="Times New Roman" w:hAnsi="Times New Roman"/>
          <w:sz w:val="18"/>
          <w:szCs w:val="18"/>
          <w:vertAlign w:val="superscript"/>
        </w:rPr>
        <w:t>-1</w:t>
      </w:r>
      <w:r w:rsidRPr="00171D66">
        <w:rPr>
          <w:rFonts w:ascii="Times New Roman" w:hAnsi="Times New Roman"/>
          <w:sz w:val="18"/>
          <w:szCs w:val="18"/>
        </w:rPr>
        <w:t xml:space="preserve">. </w:t>
      </w:r>
      <w:r w:rsidRPr="00171D66">
        <w:rPr>
          <w:rFonts w:ascii="Times New Roman" w:hAnsi="Times New Roman"/>
          <w:sz w:val="18"/>
          <w:szCs w:val="18"/>
          <w:shd w:val="clear" w:color="auto" w:fill="FFFFFF"/>
        </w:rPr>
        <w:t xml:space="preserve">These low MW palm oil based-precursors have potential uses for </w:t>
      </w:r>
      <w:r w:rsidRPr="00CC2BFA">
        <w:rPr>
          <w:rFonts w:ascii="Times New Roman" w:hAnsi="Times New Roman"/>
          <w:sz w:val="18"/>
          <w:szCs w:val="18"/>
          <w:shd w:val="clear" w:color="auto" w:fill="FFFFFF"/>
        </w:rPr>
        <w:t>the</w:t>
      </w:r>
      <w:r w:rsidRPr="00CC2BFA">
        <w:rPr>
          <w:rStyle w:val="apple-converted-space"/>
          <w:rFonts w:ascii="Times New Roman" w:hAnsi="Times New Roman"/>
          <w:sz w:val="18"/>
          <w:szCs w:val="18"/>
          <w:shd w:val="clear" w:color="auto" w:fill="FFFFFF"/>
        </w:rPr>
        <w:t> </w:t>
      </w:r>
      <w:r w:rsidRPr="00CC2BFA">
        <w:rPr>
          <w:rStyle w:val="Emphasis"/>
          <w:rFonts w:ascii="Times New Roman" w:hAnsi="Times New Roman"/>
          <w:b w:val="0"/>
          <w:bCs w:val="0"/>
          <w:i w:val="0"/>
          <w:spacing w:val="0"/>
          <w:sz w:val="18"/>
          <w:szCs w:val="18"/>
          <w:shd w:val="clear" w:color="auto" w:fill="FFFFFF"/>
        </w:rPr>
        <w:t>design</w:t>
      </w:r>
      <w:r w:rsidRPr="00CC2BFA">
        <w:rPr>
          <w:rStyle w:val="apple-converted-space"/>
          <w:rFonts w:ascii="Times New Roman" w:hAnsi="Times New Roman"/>
          <w:i/>
          <w:sz w:val="18"/>
          <w:szCs w:val="18"/>
          <w:shd w:val="clear" w:color="auto" w:fill="FFFFFF"/>
        </w:rPr>
        <w:t> </w:t>
      </w:r>
      <w:r w:rsidRPr="00CC2BFA">
        <w:rPr>
          <w:rFonts w:ascii="Times New Roman" w:hAnsi="Times New Roman"/>
          <w:sz w:val="18"/>
          <w:szCs w:val="18"/>
          <w:shd w:val="clear" w:color="auto" w:fill="FFFFFF"/>
        </w:rPr>
        <w:t>and development of</w:t>
      </w:r>
      <w:r w:rsidRPr="00CC2BFA">
        <w:rPr>
          <w:rStyle w:val="apple-converted-space"/>
          <w:rFonts w:ascii="Times New Roman" w:hAnsi="Times New Roman"/>
          <w:sz w:val="18"/>
          <w:szCs w:val="18"/>
          <w:shd w:val="clear" w:color="auto" w:fill="FFFFFF"/>
        </w:rPr>
        <w:t> </w:t>
      </w:r>
      <w:r w:rsidRPr="00CC2BFA">
        <w:rPr>
          <w:rStyle w:val="Emphasis"/>
          <w:rFonts w:ascii="Times New Roman" w:hAnsi="Times New Roman"/>
          <w:b w:val="0"/>
          <w:i w:val="0"/>
          <w:spacing w:val="0"/>
          <w:sz w:val="18"/>
          <w:szCs w:val="18"/>
          <w:shd w:val="clear" w:color="auto" w:fill="FFFFFF"/>
        </w:rPr>
        <w:t>new properties of polymeric drug vehicle such as acrylated palm olein (APOo) and polyol polyester, which will produce</w:t>
      </w:r>
      <w:r w:rsidRPr="00CC2BFA">
        <w:rPr>
          <w:rStyle w:val="Emphasis"/>
          <w:rFonts w:ascii="Times New Roman" w:hAnsi="Times New Roman"/>
          <w:i w:val="0"/>
          <w:spacing w:val="0"/>
          <w:sz w:val="18"/>
          <w:szCs w:val="18"/>
          <w:shd w:val="clear" w:color="auto" w:fill="FFFFFF"/>
        </w:rPr>
        <w:t xml:space="preserve"> </w:t>
      </w:r>
      <w:r w:rsidRPr="00CC2BFA">
        <w:rPr>
          <w:rStyle w:val="apple-converted-space"/>
          <w:rFonts w:ascii="Times New Roman" w:hAnsi="Times New Roman"/>
          <w:sz w:val="18"/>
          <w:szCs w:val="18"/>
          <w:shd w:val="clear" w:color="auto" w:fill="FFFFFF"/>
        </w:rPr>
        <w:t>particle size in the range of</w:t>
      </w:r>
      <w:r w:rsidRPr="00CC2BFA">
        <w:rPr>
          <w:rStyle w:val="apple-converted-space"/>
          <w:rFonts w:ascii="Times New Roman" w:hAnsi="Times New Roman"/>
          <w:i/>
          <w:sz w:val="18"/>
          <w:szCs w:val="18"/>
          <w:shd w:val="clear" w:color="auto" w:fill="FFFFFF"/>
        </w:rPr>
        <w:t xml:space="preserve"> </w:t>
      </w:r>
      <w:r w:rsidRPr="00171D66">
        <w:rPr>
          <w:rStyle w:val="apple-converted-space"/>
          <w:rFonts w:ascii="Times New Roman" w:hAnsi="Times New Roman"/>
          <w:sz w:val="18"/>
          <w:szCs w:val="18"/>
          <w:shd w:val="clear" w:color="auto" w:fill="FFFFFF"/>
        </w:rPr>
        <w:t xml:space="preserve">100 - 200 nm or smaller with </w:t>
      </w:r>
      <w:r w:rsidRPr="00171D66">
        <w:rPr>
          <w:rFonts w:ascii="Times New Roman" w:hAnsi="Times New Roman"/>
          <w:sz w:val="18"/>
          <w:szCs w:val="18"/>
        </w:rPr>
        <w:t xml:space="preserve">high efficiency drug loading and controlled release profiles. </w:t>
      </w:r>
    </w:p>
    <w:p w:rsidR="00CC2BFA" w:rsidRPr="00171D66" w:rsidRDefault="00CC2BFA" w:rsidP="00CC2BFA">
      <w:pPr>
        <w:spacing w:after="0" w:line="240" w:lineRule="auto"/>
        <w:jc w:val="both"/>
        <w:outlineLvl w:val="0"/>
        <w:rPr>
          <w:rFonts w:ascii="Times New Roman" w:hAnsi="Times New Roman"/>
          <w:sz w:val="18"/>
          <w:szCs w:val="18"/>
        </w:rPr>
      </w:pPr>
    </w:p>
    <w:p w:rsidR="00CC2BFA" w:rsidRPr="00171D66" w:rsidRDefault="00CC2BFA" w:rsidP="00CC2BFA">
      <w:pPr>
        <w:spacing w:after="0" w:line="240" w:lineRule="auto"/>
        <w:jc w:val="both"/>
        <w:outlineLvl w:val="0"/>
        <w:rPr>
          <w:rFonts w:ascii="Times New Roman" w:hAnsi="Times New Roman"/>
          <w:color w:val="548DD4" w:themeColor="text2" w:themeTint="99"/>
          <w:sz w:val="18"/>
          <w:szCs w:val="18"/>
        </w:rPr>
      </w:pPr>
      <w:r w:rsidRPr="00171D66">
        <w:rPr>
          <w:rFonts w:ascii="Times New Roman" w:hAnsi="Times New Roman"/>
          <w:b/>
          <w:sz w:val="18"/>
          <w:szCs w:val="18"/>
        </w:rPr>
        <w:t>Keyword</w:t>
      </w:r>
      <w:r>
        <w:rPr>
          <w:rFonts w:ascii="Times New Roman" w:hAnsi="Times New Roman"/>
          <w:b/>
          <w:sz w:val="18"/>
          <w:szCs w:val="18"/>
        </w:rPr>
        <w:t>s</w:t>
      </w:r>
      <w:r w:rsidRPr="00171D66">
        <w:rPr>
          <w:rFonts w:ascii="Times New Roman" w:hAnsi="Times New Roman"/>
          <w:sz w:val="18"/>
          <w:szCs w:val="18"/>
        </w:rPr>
        <w:t>:</w:t>
      </w:r>
      <w:r>
        <w:rPr>
          <w:rFonts w:ascii="Times New Roman" w:hAnsi="Times New Roman"/>
          <w:sz w:val="18"/>
          <w:szCs w:val="18"/>
        </w:rPr>
        <w:t xml:space="preserve"> </w:t>
      </w:r>
      <w:r w:rsidRPr="00171D66">
        <w:rPr>
          <w:rFonts w:ascii="Times New Roman" w:hAnsi="Times New Roman"/>
          <w:sz w:val="18"/>
          <w:szCs w:val="18"/>
        </w:rPr>
        <w:t xml:space="preserve"> drug delivery system, palm oil, po</w:t>
      </w:r>
      <w:r>
        <w:rPr>
          <w:rFonts w:ascii="Times New Roman" w:hAnsi="Times New Roman"/>
          <w:sz w:val="18"/>
          <w:szCs w:val="18"/>
        </w:rPr>
        <w:t>lymeric nanoparticle</w:t>
      </w:r>
    </w:p>
    <w:p w:rsidR="00CC2BFA" w:rsidRPr="005F7169" w:rsidRDefault="00CC2BFA" w:rsidP="00CC2BFA">
      <w:pPr>
        <w:spacing w:after="0" w:line="240" w:lineRule="auto"/>
        <w:jc w:val="center"/>
        <w:outlineLvl w:val="0"/>
        <w:rPr>
          <w:rFonts w:ascii="Times New Roman" w:hAnsi="Times New Roman"/>
          <w:b/>
          <w:color w:val="548DD4" w:themeColor="text2" w:themeTint="99"/>
        </w:rPr>
      </w:pPr>
    </w:p>
    <w:p w:rsidR="00CC2BFA" w:rsidRPr="00171D66" w:rsidRDefault="00CC2BFA" w:rsidP="00CC2BFA">
      <w:pPr>
        <w:spacing w:after="0" w:line="240" w:lineRule="auto"/>
        <w:jc w:val="center"/>
        <w:outlineLvl w:val="0"/>
        <w:rPr>
          <w:rFonts w:ascii="Times New Roman" w:hAnsi="Times New Roman"/>
          <w:b/>
          <w:noProof/>
          <w:sz w:val="18"/>
          <w:szCs w:val="18"/>
          <w:lang w:val="ms-MY"/>
        </w:rPr>
      </w:pPr>
      <w:r w:rsidRPr="00171D66">
        <w:rPr>
          <w:rFonts w:ascii="Times New Roman" w:hAnsi="Times New Roman"/>
          <w:b/>
          <w:noProof/>
          <w:sz w:val="18"/>
          <w:szCs w:val="18"/>
          <w:lang w:val="ms-MY"/>
        </w:rPr>
        <w:t>Abstrak</w:t>
      </w:r>
    </w:p>
    <w:p w:rsidR="00CC2BFA" w:rsidRPr="00171D66" w:rsidRDefault="00CC2BFA" w:rsidP="00CC2BFA">
      <w:pPr>
        <w:spacing w:after="0" w:line="240" w:lineRule="auto"/>
        <w:jc w:val="both"/>
        <w:rPr>
          <w:rFonts w:ascii="Times New Roman" w:hAnsi="Times New Roman"/>
          <w:noProof/>
          <w:sz w:val="18"/>
          <w:szCs w:val="18"/>
          <w:lang w:val="ms-MY"/>
        </w:rPr>
      </w:pPr>
      <w:r>
        <w:rPr>
          <w:rFonts w:ascii="Times New Roman" w:hAnsi="Times New Roman"/>
          <w:noProof/>
          <w:sz w:val="18"/>
          <w:szCs w:val="18"/>
          <w:lang w:val="ms-MY"/>
        </w:rPr>
        <w:t>Penggunaan pelopor</w:t>
      </w:r>
      <w:r w:rsidRPr="00171D66">
        <w:rPr>
          <w:rFonts w:ascii="Times New Roman" w:hAnsi="Times New Roman"/>
          <w:noProof/>
          <w:sz w:val="18"/>
          <w:szCs w:val="18"/>
          <w:lang w:val="ms-MY"/>
        </w:rPr>
        <w:t xml:space="preserve"> dari polimer semulajadi bagi menghasilkan penyampai ubat polimer mempunyai kelebihan tertentu iaitu ianya bersifat bioserasi dan biodegradasi berbanding sistem penyamp</w:t>
      </w:r>
      <w:r>
        <w:rPr>
          <w:rFonts w:ascii="Times New Roman" w:hAnsi="Times New Roman"/>
          <w:noProof/>
          <w:sz w:val="18"/>
          <w:szCs w:val="18"/>
          <w:lang w:val="ms-MY"/>
        </w:rPr>
        <w:t>ai ubat yang dibuat daripada pelopor</w:t>
      </w:r>
      <w:r w:rsidRPr="00171D66">
        <w:rPr>
          <w:rFonts w:ascii="Times New Roman" w:hAnsi="Times New Roman"/>
          <w:noProof/>
          <w:sz w:val="18"/>
          <w:szCs w:val="18"/>
          <w:lang w:val="ms-MY"/>
        </w:rPr>
        <w:t xml:space="preserve"> polimer sintetik, kebiasaannya mempunyai berat molekul (MW) yang tinggi.  Polimer dengan MW yang tinggi boleh menyebabkan gerak balas keradangan keimunan akibat kurang keterbiodegradasikan dan kesitotoksikan yang tinggi dibandingkan MW yang rendah yang boleh menghasilkan partikel bersaiz lebih kecil, keterlarutan dan kecekapan perlepasan yang tinggi, tidak imunogen, terbiodegradasi dengan lebih baik dan sitotoksiti yang rendah. Oleh itu, kajia</w:t>
      </w:r>
      <w:r>
        <w:rPr>
          <w:rFonts w:ascii="Times New Roman" w:hAnsi="Times New Roman"/>
          <w:noProof/>
          <w:sz w:val="18"/>
          <w:szCs w:val="18"/>
          <w:lang w:val="ms-MY"/>
        </w:rPr>
        <w:t>n ini bertujuan menghasilkan pelopor</w:t>
      </w:r>
      <w:r w:rsidRPr="00171D66">
        <w:rPr>
          <w:rFonts w:ascii="Times New Roman" w:hAnsi="Times New Roman"/>
          <w:noProof/>
          <w:sz w:val="18"/>
          <w:szCs w:val="18"/>
          <w:lang w:val="ms-MY"/>
        </w:rPr>
        <w:t xml:space="preserve"> yang bersifat istimewa, terutamanya minyak sawit olein terepoksida (EPOo) dan diol yang digunakan dalam membangunkan sistem penyampai</w:t>
      </w:r>
      <w:r>
        <w:rPr>
          <w:rFonts w:ascii="Times New Roman" w:hAnsi="Times New Roman"/>
          <w:noProof/>
          <w:sz w:val="18"/>
          <w:szCs w:val="18"/>
          <w:lang w:val="ms-MY"/>
        </w:rPr>
        <w:t xml:space="preserve">an ubat dengan MW yang rendah. </w:t>
      </w:r>
      <w:r w:rsidRPr="00171D66">
        <w:rPr>
          <w:rFonts w:ascii="Times New Roman" w:hAnsi="Times New Roman"/>
          <w:noProof/>
          <w:sz w:val="18"/>
          <w:szCs w:val="18"/>
          <w:lang w:val="ms-MY"/>
        </w:rPr>
        <w:t xml:space="preserve">EPOo telah disintesis menggunakan </w:t>
      </w:r>
      <w:r w:rsidRPr="00171D66">
        <w:rPr>
          <w:rFonts w:ascii="Times New Roman" w:hAnsi="Times New Roman"/>
          <w:noProof/>
          <w:color w:val="000000" w:themeColor="text1"/>
          <w:sz w:val="18"/>
          <w:szCs w:val="18"/>
          <w:shd w:val="clear" w:color="auto" w:fill="FFFFFF"/>
          <w:lang w:val="ms-MY"/>
        </w:rPr>
        <w:t>pengepoksidaan</w:t>
      </w:r>
      <w:r w:rsidRPr="00171D66">
        <w:rPr>
          <w:rStyle w:val="apple-converted-space"/>
          <w:rFonts w:ascii="Times New Roman" w:hAnsi="Times New Roman"/>
          <w:noProof/>
          <w:color w:val="545454"/>
          <w:sz w:val="18"/>
          <w:szCs w:val="18"/>
          <w:shd w:val="clear" w:color="auto" w:fill="FFFFFF"/>
          <w:lang w:val="ms-MY"/>
        </w:rPr>
        <w:t> </w:t>
      </w:r>
      <w:r w:rsidRPr="00C23457">
        <w:rPr>
          <w:rFonts w:ascii="Times New Roman" w:hAnsi="Times New Roman"/>
          <w:i/>
          <w:noProof/>
          <w:sz w:val="18"/>
          <w:szCs w:val="18"/>
          <w:lang w:val="ms-MY"/>
        </w:rPr>
        <w:t>in-situ</w:t>
      </w:r>
      <w:r w:rsidRPr="00171D66">
        <w:rPr>
          <w:rFonts w:ascii="Times New Roman" w:hAnsi="Times New Roman"/>
          <w:noProof/>
          <w:sz w:val="18"/>
          <w:szCs w:val="18"/>
          <w:lang w:val="ms-MY"/>
        </w:rPr>
        <w:t xml:space="preserve"> minyak sawit olein (POo) dengan perasid dan pemangkin asid sulfurik (H</w:t>
      </w:r>
      <w:r w:rsidRPr="00171D66">
        <w:rPr>
          <w:rFonts w:ascii="Times New Roman" w:hAnsi="Times New Roman"/>
          <w:noProof/>
          <w:sz w:val="18"/>
          <w:szCs w:val="18"/>
          <w:vertAlign w:val="subscript"/>
          <w:lang w:val="ms-MY"/>
        </w:rPr>
        <w:t>2</w:t>
      </w:r>
      <w:r w:rsidRPr="00171D66">
        <w:rPr>
          <w:rFonts w:ascii="Times New Roman" w:hAnsi="Times New Roman"/>
          <w:noProof/>
          <w:sz w:val="18"/>
          <w:szCs w:val="18"/>
          <w:lang w:val="ms-MY"/>
        </w:rPr>
        <w:t>SO</w:t>
      </w:r>
      <w:r w:rsidRPr="00171D66">
        <w:rPr>
          <w:rFonts w:ascii="Times New Roman" w:hAnsi="Times New Roman"/>
          <w:noProof/>
          <w:sz w:val="18"/>
          <w:szCs w:val="18"/>
          <w:vertAlign w:val="subscript"/>
          <w:lang w:val="ms-MY"/>
        </w:rPr>
        <w:t>4</w:t>
      </w:r>
      <w:r w:rsidRPr="00171D66">
        <w:rPr>
          <w:rFonts w:ascii="Times New Roman" w:hAnsi="Times New Roman"/>
          <w:noProof/>
          <w:sz w:val="18"/>
          <w:szCs w:val="18"/>
          <w:lang w:val="ms-MY"/>
        </w:rPr>
        <w:t xml:space="preserve">). Sementara itu, diol disintesis menggunakan penghidroksilan minyak sawit oleik menggunakan pengesteran asid oleik (OA) dengan gliserol dan pemangkin asid sulfonik 4-dodesilbenzil (DBSA). Hasil </w:t>
      </w:r>
      <w:r>
        <w:rPr>
          <w:rFonts w:ascii="Times New Roman" w:hAnsi="Times New Roman"/>
          <w:noProof/>
          <w:sz w:val="18"/>
          <w:szCs w:val="18"/>
          <w:lang w:val="ms-MY"/>
        </w:rPr>
        <w:t>penemuan mendapati kedua-dua pelopor</w:t>
      </w:r>
      <w:r w:rsidRPr="00171D66">
        <w:rPr>
          <w:rFonts w:ascii="Times New Roman" w:hAnsi="Times New Roman"/>
          <w:noProof/>
          <w:sz w:val="18"/>
          <w:szCs w:val="18"/>
          <w:lang w:val="ms-MY"/>
        </w:rPr>
        <w:t xml:space="preserve"> yang berasaskan minyak sawit ini telah berjaya disintesis daripada sumber semulajadi minya</w:t>
      </w:r>
      <w:r>
        <w:rPr>
          <w:rFonts w:ascii="Times New Roman" w:hAnsi="Times New Roman"/>
          <w:noProof/>
          <w:sz w:val="18"/>
          <w:szCs w:val="18"/>
          <w:lang w:val="ms-MY"/>
        </w:rPr>
        <w:t>k sawit.  Sifat fisiko-kimia pelopor</w:t>
      </w:r>
      <w:r w:rsidRPr="00171D66">
        <w:rPr>
          <w:rFonts w:ascii="Times New Roman" w:hAnsi="Times New Roman"/>
          <w:noProof/>
          <w:sz w:val="18"/>
          <w:szCs w:val="18"/>
          <w:lang w:val="ms-MY"/>
        </w:rPr>
        <w:t xml:space="preserve"> yang telah disintesis menunjukkan EPOo dan diol mempunyai berat </w:t>
      </w:r>
      <w:r>
        <w:rPr>
          <w:rFonts w:ascii="Times New Roman" w:hAnsi="Times New Roman"/>
          <w:noProof/>
          <w:sz w:val="18"/>
          <w:szCs w:val="18"/>
          <w:lang w:val="ms-MY"/>
        </w:rPr>
        <w:lastRenderedPageBreak/>
        <w:t>molekul (MW) antara 900-</w:t>
      </w:r>
      <w:r w:rsidRPr="00171D66">
        <w:rPr>
          <w:rFonts w:ascii="Times New Roman" w:hAnsi="Times New Roman"/>
          <w:noProof/>
          <w:sz w:val="18"/>
          <w:szCs w:val="18"/>
          <w:lang w:val="ms-MY"/>
        </w:rPr>
        <w:t>1500 g/mol dan bilangan hidroksil antara 2 dan 3, berdasarkan kehadiran kumpulan berfungsi hidroksil (O-H), yang ditunjukkan dalam spektra Infr</w:t>
      </w:r>
      <w:r>
        <w:rPr>
          <w:rFonts w:ascii="Times New Roman" w:hAnsi="Times New Roman"/>
          <w:noProof/>
          <w:sz w:val="18"/>
          <w:szCs w:val="18"/>
          <w:lang w:val="ms-MY"/>
        </w:rPr>
        <w:t>a-merah (IR) dalam julat 3200-</w:t>
      </w:r>
      <w:r w:rsidRPr="00171D66">
        <w:rPr>
          <w:rFonts w:ascii="Times New Roman" w:hAnsi="Times New Roman"/>
          <w:noProof/>
          <w:sz w:val="18"/>
          <w:szCs w:val="18"/>
          <w:lang w:val="ms-MY"/>
        </w:rPr>
        <w:t>3600 cm</w:t>
      </w:r>
      <w:r w:rsidRPr="00171D66">
        <w:rPr>
          <w:rFonts w:ascii="Times New Roman" w:hAnsi="Times New Roman"/>
          <w:noProof/>
          <w:sz w:val="18"/>
          <w:szCs w:val="18"/>
          <w:vertAlign w:val="superscript"/>
          <w:lang w:val="ms-MY"/>
        </w:rPr>
        <w:t>-1</w:t>
      </w:r>
      <w:r>
        <w:rPr>
          <w:rFonts w:ascii="Times New Roman" w:hAnsi="Times New Roman"/>
          <w:noProof/>
          <w:sz w:val="18"/>
          <w:szCs w:val="18"/>
          <w:lang w:val="ms-MY"/>
        </w:rPr>
        <w:t>. Pelopor</w:t>
      </w:r>
      <w:r w:rsidRPr="00171D66">
        <w:rPr>
          <w:rFonts w:ascii="Times New Roman" w:hAnsi="Times New Roman"/>
          <w:noProof/>
          <w:sz w:val="18"/>
          <w:szCs w:val="18"/>
          <w:lang w:val="ms-MY"/>
        </w:rPr>
        <w:t xml:space="preserve"> berasaskan minyak sawit yang mempunyai berat molekul yang rendah berpotensi untuk direkabentuk bagi membangunkan sistem penyampai ubat polimer yang </w:t>
      </w:r>
      <w:r w:rsidR="00932D1C">
        <w:rPr>
          <w:rFonts w:ascii="Times New Roman" w:hAnsi="Times New Roman"/>
          <w:noProof/>
          <w:sz w:val="18"/>
          <w:szCs w:val="18"/>
          <w:lang w:val="ms-MY"/>
        </w:rPr>
        <w:t xml:space="preserve"> </w:t>
      </w:r>
      <w:r w:rsidRPr="00171D66">
        <w:rPr>
          <w:rFonts w:ascii="Times New Roman" w:hAnsi="Times New Roman"/>
          <w:noProof/>
          <w:sz w:val="18"/>
          <w:szCs w:val="18"/>
          <w:lang w:val="ms-MY"/>
        </w:rPr>
        <w:t xml:space="preserve">bersifat </w:t>
      </w:r>
      <w:r w:rsidR="00932D1C">
        <w:rPr>
          <w:rFonts w:ascii="Times New Roman" w:hAnsi="Times New Roman"/>
          <w:noProof/>
          <w:sz w:val="18"/>
          <w:szCs w:val="18"/>
          <w:lang w:val="ms-MY"/>
        </w:rPr>
        <w:t xml:space="preserve"> </w:t>
      </w:r>
      <w:r w:rsidRPr="00171D66">
        <w:rPr>
          <w:rFonts w:ascii="Times New Roman" w:hAnsi="Times New Roman"/>
          <w:noProof/>
          <w:sz w:val="18"/>
          <w:szCs w:val="18"/>
          <w:lang w:val="ms-MY"/>
        </w:rPr>
        <w:t xml:space="preserve">baru </w:t>
      </w:r>
      <w:r w:rsidR="00932D1C">
        <w:rPr>
          <w:rFonts w:ascii="Times New Roman" w:hAnsi="Times New Roman"/>
          <w:noProof/>
          <w:sz w:val="18"/>
          <w:szCs w:val="18"/>
          <w:lang w:val="ms-MY"/>
        </w:rPr>
        <w:t xml:space="preserve"> </w:t>
      </w:r>
      <w:r w:rsidRPr="00171D66">
        <w:rPr>
          <w:rFonts w:ascii="Times New Roman" w:hAnsi="Times New Roman"/>
          <w:noProof/>
          <w:sz w:val="18"/>
          <w:szCs w:val="18"/>
          <w:lang w:val="ms-MY"/>
        </w:rPr>
        <w:t xml:space="preserve">seperti </w:t>
      </w:r>
      <w:r w:rsidR="00932D1C">
        <w:rPr>
          <w:rFonts w:ascii="Times New Roman" w:hAnsi="Times New Roman"/>
          <w:noProof/>
          <w:sz w:val="18"/>
          <w:szCs w:val="18"/>
          <w:lang w:val="ms-MY"/>
        </w:rPr>
        <w:t xml:space="preserve"> </w:t>
      </w:r>
      <w:r w:rsidRPr="00171D66">
        <w:rPr>
          <w:rFonts w:ascii="Times New Roman" w:hAnsi="Times New Roman"/>
          <w:noProof/>
          <w:sz w:val="18"/>
          <w:szCs w:val="18"/>
          <w:lang w:val="ms-MY"/>
        </w:rPr>
        <w:t xml:space="preserve">minyak sawit </w:t>
      </w:r>
      <w:r w:rsidR="00932D1C">
        <w:rPr>
          <w:rFonts w:ascii="Times New Roman" w:hAnsi="Times New Roman"/>
          <w:noProof/>
          <w:sz w:val="18"/>
          <w:szCs w:val="18"/>
          <w:lang w:val="ms-MY"/>
        </w:rPr>
        <w:t xml:space="preserve"> </w:t>
      </w:r>
      <w:r w:rsidRPr="00171D66">
        <w:rPr>
          <w:rFonts w:ascii="Times New Roman" w:hAnsi="Times New Roman"/>
          <w:noProof/>
          <w:sz w:val="18"/>
          <w:szCs w:val="18"/>
          <w:lang w:val="ms-MY"/>
        </w:rPr>
        <w:t>olein</w:t>
      </w:r>
      <w:r w:rsidR="00932D1C">
        <w:rPr>
          <w:rFonts w:ascii="Times New Roman" w:hAnsi="Times New Roman"/>
          <w:noProof/>
          <w:sz w:val="18"/>
          <w:szCs w:val="18"/>
          <w:lang w:val="ms-MY"/>
        </w:rPr>
        <w:t xml:space="preserve"> </w:t>
      </w:r>
      <w:r w:rsidRPr="00171D66">
        <w:rPr>
          <w:rFonts w:ascii="Times New Roman" w:hAnsi="Times New Roman"/>
          <w:noProof/>
          <w:sz w:val="18"/>
          <w:szCs w:val="18"/>
          <w:lang w:val="ms-MY"/>
        </w:rPr>
        <w:t xml:space="preserve"> terakrilat </w:t>
      </w:r>
      <w:r w:rsidR="00932D1C">
        <w:rPr>
          <w:rFonts w:ascii="Times New Roman" w:hAnsi="Times New Roman"/>
          <w:noProof/>
          <w:sz w:val="18"/>
          <w:szCs w:val="18"/>
          <w:lang w:val="ms-MY"/>
        </w:rPr>
        <w:t xml:space="preserve"> </w:t>
      </w:r>
      <w:r w:rsidRPr="00171D66">
        <w:rPr>
          <w:rFonts w:ascii="Times New Roman" w:hAnsi="Times New Roman"/>
          <w:noProof/>
          <w:sz w:val="18"/>
          <w:szCs w:val="18"/>
          <w:lang w:val="ms-MY"/>
        </w:rPr>
        <w:t xml:space="preserve">(APOo) </w:t>
      </w:r>
      <w:r w:rsidR="00932D1C">
        <w:rPr>
          <w:rFonts w:ascii="Times New Roman" w:hAnsi="Times New Roman"/>
          <w:noProof/>
          <w:sz w:val="18"/>
          <w:szCs w:val="18"/>
          <w:lang w:val="ms-MY"/>
        </w:rPr>
        <w:t xml:space="preserve"> </w:t>
      </w:r>
      <w:r w:rsidRPr="00171D66">
        <w:rPr>
          <w:rFonts w:ascii="Times New Roman" w:hAnsi="Times New Roman"/>
          <w:noProof/>
          <w:sz w:val="18"/>
          <w:szCs w:val="18"/>
          <w:lang w:val="ms-MY"/>
        </w:rPr>
        <w:t>dan poliol poliester, yang meng</w:t>
      </w:r>
      <w:r>
        <w:rPr>
          <w:rFonts w:ascii="Times New Roman" w:hAnsi="Times New Roman"/>
          <w:noProof/>
          <w:sz w:val="18"/>
          <w:szCs w:val="18"/>
          <w:lang w:val="ms-MY"/>
        </w:rPr>
        <w:t>hasilkan partikel bersaiz 100-</w:t>
      </w:r>
      <w:r w:rsidRPr="00171D66">
        <w:rPr>
          <w:rFonts w:ascii="Times New Roman" w:hAnsi="Times New Roman"/>
          <w:noProof/>
          <w:sz w:val="18"/>
          <w:szCs w:val="18"/>
          <w:lang w:val="ms-MY"/>
        </w:rPr>
        <w:t xml:space="preserve">200 nm atau lebih kecil dengan kecekapan pemuatan ubat dan profil perlepasan terkawal yang tinggi. </w:t>
      </w:r>
    </w:p>
    <w:p w:rsidR="00CC2BFA" w:rsidRPr="00171D66" w:rsidRDefault="00CC2BFA" w:rsidP="00CC2BFA">
      <w:pPr>
        <w:spacing w:after="0" w:line="240" w:lineRule="auto"/>
        <w:jc w:val="both"/>
        <w:outlineLvl w:val="0"/>
        <w:rPr>
          <w:rFonts w:ascii="Times New Roman" w:hAnsi="Times New Roman"/>
          <w:noProof/>
          <w:sz w:val="18"/>
          <w:szCs w:val="18"/>
          <w:lang w:val="ms-MY"/>
        </w:rPr>
      </w:pPr>
    </w:p>
    <w:p w:rsidR="00CC2BFA" w:rsidRPr="00171D66" w:rsidRDefault="00CC2BFA" w:rsidP="00CC2BFA">
      <w:pPr>
        <w:spacing w:after="0" w:line="240" w:lineRule="auto"/>
        <w:jc w:val="both"/>
        <w:rPr>
          <w:noProof/>
          <w:sz w:val="18"/>
          <w:szCs w:val="18"/>
          <w:lang w:val="ms-MY"/>
        </w:rPr>
      </w:pPr>
      <w:r w:rsidRPr="00171D66">
        <w:rPr>
          <w:rFonts w:ascii="Times New Roman" w:hAnsi="Times New Roman"/>
          <w:b/>
          <w:noProof/>
          <w:sz w:val="18"/>
          <w:szCs w:val="18"/>
          <w:lang w:val="ms-MY"/>
        </w:rPr>
        <w:t>Kata kunci:</w:t>
      </w:r>
      <w:r>
        <w:rPr>
          <w:rFonts w:ascii="Times New Roman" w:hAnsi="Times New Roman"/>
          <w:b/>
          <w:noProof/>
          <w:sz w:val="18"/>
          <w:szCs w:val="18"/>
          <w:lang w:val="ms-MY"/>
        </w:rPr>
        <w:t xml:space="preserve"> </w:t>
      </w:r>
      <w:r w:rsidRPr="00171D66">
        <w:rPr>
          <w:rFonts w:ascii="Times New Roman" w:hAnsi="Times New Roman"/>
          <w:b/>
          <w:noProof/>
          <w:sz w:val="18"/>
          <w:szCs w:val="18"/>
          <w:lang w:val="ms-MY"/>
        </w:rPr>
        <w:t xml:space="preserve"> </w:t>
      </w:r>
      <w:r w:rsidRPr="00171D66">
        <w:rPr>
          <w:rFonts w:ascii="Times New Roman" w:hAnsi="Times New Roman"/>
          <w:noProof/>
          <w:sz w:val="18"/>
          <w:szCs w:val="18"/>
          <w:lang w:val="ms-MY"/>
        </w:rPr>
        <w:t xml:space="preserve">sistem penyampai ubat, minyak sawit, nanopartikel </w:t>
      </w:r>
      <w:r>
        <w:rPr>
          <w:rFonts w:ascii="Times New Roman" w:hAnsi="Times New Roman"/>
          <w:noProof/>
          <w:sz w:val="18"/>
          <w:szCs w:val="18"/>
          <w:lang w:val="ms-MY"/>
        </w:rPr>
        <w:t>polimer</w:t>
      </w:r>
    </w:p>
    <w:p w:rsidR="006768E9" w:rsidRDefault="006768E9" w:rsidP="00CC2BFA">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Polymers are amongst the most extensively explored and widely use materials as drug vehicles for localized and sustained delivery of drug (medication) to a patient [1, 2]. There are different types of drug vehicles such as macromolecular</w:t>
      </w:r>
      <w:r w:rsidRPr="008D2AB9">
        <w:rPr>
          <w:rFonts w:ascii="Times New Roman" w:hAnsi="Times New Roman"/>
          <w:sz w:val="20"/>
          <w:szCs w:val="20"/>
          <w:shd w:val="clear" w:color="auto" w:fill="FFFFFF"/>
        </w:rPr>
        <w:t xml:space="preserve"> carriers (macromolecular prodrugs, protein-macromolecule conjugates and gene medicines complexed with macromolecular carriers), particulate carriers (micro/nanoparticles, liposomes, dendrimers, lipoproteins, nanotubes, micro/nanospheres and micro/nanoemulsions) and cellular carriers (</w:t>
      </w:r>
      <w:r w:rsidRPr="008D2AB9">
        <w:rPr>
          <w:rFonts w:ascii="Times New Roman" w:hAnsi="Times New Roman"/>
          <w:sz w:val="20"/>
          <w:szCs w:val="20"/>
        </w:rPr>
        <w:t>leucocytes, platelets, erythrocytes, nanoerythrocytes, hepatocytes, and fibroblast</w:t>
      </w:r>
      <w:r w:rsidRPr="008D2AB9">
        <w:rPr>
          <w:rFonts w:ascii="Times New Roman" w:hAnsi="Times New Roman"/>
          <w:sz w:val="20"/>
          <w:szCs w:val="20"/>
          <w:shd w:val="clear" w:color="auto" w:fill="FFFFFF"/>
        </w:rPr>
        <w:t>) [3-5].</w:t>
      </w:r>
      <w:r w:rsidRPr="008D2AB9">
        <w:rPr>
          <w:rFonts w:ascii="Times New Roman" w:hAnsi="Times New Roman"/>
          <w:sz w:val="20"/>
          <w:szCs w:val="20"/>
        </w:rPr>
        <w:t xml:space="preserve">  </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Natural polymers are currently gaining a lot of research interest due to their advantages such as utilizing environmental friendly materials and involving low energy process which is way better than the synthetic polymers produced via chemical synthesis. The trend of using palm oil based materials for the development of polymeric drug vehicles is growing due to the natural polymer’s biocompatibility compared to the petrochemical-based polymers [6-11]. In addition, the synthetic polymers commonly use chemicals that emits greenhouse gases (GHGs), utilizes high energy during the products preparation and processing and most importantly generates toxic by-products [12].</w:t>
      </w:r>
      <w:r w:rsidRPr="008D2AB9">
        <w:rPr>
          <w:rFonts w:ascii="Times New Roman" w:hAnsi="Times New Roman"/>
          <w:color w:val="FF0000"/>
          <w:sz w:val="20"/>
          <w:szCs w:val="20"/>
        </w:rPr>
        <w:t xml:space="preserve"> </w:t>
      </w:r>
      <w:r w:rsidRPr="008D2AB9">
        <w:rPr>
          <w:rFonts w:ascii="Times New Roman" w:hAnsi="Times New Roman"/>
          <w:sz w:val="20"/>
          <w:szCs w:val="20"/>
        </w:rPr>
        <w:t>Thus, the use of renewable feed stock resources such as from palm oil products is receiving numerous interest compared to petrochemical-based products.</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 xml:space="preserve">In this study, new precursors namely epoxidized palm olein (EPOo) and diol were developed from the palm oil product of palm olein (POo) and oleic acid (OA) for the EPOo and diol, respectively.  The chemical reaction of epoxidation and esterification processes were applied in developing a non-toxic and cleaner reaction of the palm oil based-precursors. Epoxidation process is performed using </w:t>
      </w:r>
      <w:r w:rsidRPr="008D2AB9">
        <w:rPr>
          <w:rFonts w:ascii="Times New Roman" w:eastAsiaTheme="minorHAnsi" w:hAnsi="Times New Roman"/>
          <w:i/>
          <w:iCs/>
          <w:sz w:val="20"/>
          <w:szCs w:val="20"/>
        </w:rPr>
        <w:t xml:space="preserve">in-situ </w:t>
      </w:r>
      <w:r w:rsidRPr="008D2AB9">
        <w:rPr>
          <w:rFonts w:ascii="Times New Roman" w:eastAsiaTheme="minorHAnsi" w:hAnsi="Times New Roman"/>
          <w:sz w:val="20"/>
          <w:szCs w:val="20"/>
        </w:rPr>
        <w:t xml:space="preserve">generated peroxyacetic acid due to several advantages, such as minimum amounts of reactants are needed to prepare the epoxidising reagent and safer preparation and handling, compare using the preformed peroxyacid that had handling problems since the concentrated peroxyacid is unstable and explosive [13].  Besides, the peroxyacetic was selected due to its easy availability, low production cost and stability at high temperatures, compare to the peroxybenzoic acid, peroxyformic acid, peroxyfluoroacetic acid, </w:t>
      </w:r>
      <w:r w:rsidRPr="008D2AB9">
        <w:rPr>
          <w:rFonts w:ascii="Times New Roman" w:eastAsiaTheme="minorHAnsi" w:hAnsi="Times New Roman"/>
          <w:i/>
          <w:iCs/>
          <w:sz w:val="20"/>
          <w:szCs w:val="20"/>
        </w:rPr>
        <w:t>m</w:t>
      </w:r>
      <w:r w:rsidRPr="008D2AB9">
        <w:rPr>
          <w:rFonts w:ascii="Times New Roman" w:eastAsiaTheme="minorHAnsi" w:hAnsi="Times New Roman"/>
          <w:sz w:val="20"/>
          <w:szCs w:val="20"/>
        </w:rPr>
        <w:t xml:space="preserve">–chloroperoxybenzoic acid and </w:t>
      </w:r>
      <w:r w:rsidRPr="008D2AB9">
        <w:rPr>
          <w:rFonts w:ascii="Times New Roman" w:eastAsiaTheme="minorHAnsi" w:hAnsi="Times New Roman"/>
          <w:i/>
          <w:iCs/>
          <w:sz w:val="20"/>
          <w:szCs w:val="20"/>
        </w:rPr>
        <w:t>m</w:t>
      </w:r>
      <w:r w:rsidRPr="008D2AB9">
        <w:rPr>
          <w:rFonts w:ascii="Times New Roman" w:eastAsiaTheme="minorHAnsi" w:hAnsi="Times New Roman"/>
          <w:sz w:val="20"/>
          <w:szCs w:val="20"/>
        </w:rPr>
        <w:t>–nitroperoxybenzoic acid [13-14].</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eastAsiaTheme="minorHAnsi" w:hAnsi="Times New Roman"/>
          <w:sz w:val="20"/>
          <w:szCs w:val="20"/>
        </w:rPr>
        <w:t xml:space="preserve">Esterification process is performed with an oleic acid and a </w:t>
      </w:r>
      <w:r w:rsidRPr="008D2AB9">
        <w:rPr>
          <w:rFonts w:ascii="Times New Roman" w:hAnsi="Times New Roman"/>
          <w:sz w:val="20"/>
          <w:szCs w:val="20"/>
        </w:rPr>
        <w:t xml:space="preserve">4-dodecylbenzyl sulfonic acid (DBSA) </w:t>
      </w:r>
      <w:r w:rsidRPr="008D2AB9">
        <w:rPr>
          <w:rFonts w:ascii="Times New Roman" w:hAnsi="Times New Roman"/>
          <w:noProof/>
          <w:sz w:val="20"/>
          <w:szCs w:val="20"/>
        </w:rPr>
        <w:t>for the diol production, in the absence of solvent.</w:t>
      </w:r>
      <w:r w:rsidRPr="008D2AB9">
        <w:rPr>
          <w:rFonts w:ascii="Times New Roman" w:hAnsi="Times New Roman"/>
          <w:sz w:val="20"/>
          <w:szCs w:val="20"/>
        </w:rPr>
        <w:t xml:space="preserve"> The DBSA was selected because is more efficient catalyst in water where it can act as emulsifier and catalyst compared to other catalysts such as hydrochloric acid, sulphuric acid, phosphoric acid (H</w:t>
      </w:r>
      <w:r w:rsidRPr="008D2AB9">
        <w:rPr>
          <w:rFonts w:ascii="Times New Roman" w:hAnsi="Times New Roman"/>
          <w:sz w:val="20"/>
          <w:szCs w:val="20"/>
          <w:vertAlign w:val="subscript"/>
        </w:rPr>
        <w:t>3</w:t>
      </w:r>
      <w:r w:rsidRPr="008D2AB9">
        <w:rPr>
          <w:rFonts w:ascii="Times New Roman" w:hAnsi="Times New Roman"/>
          <w:sz w:val="20"/>
          <w:szCs w:val="20"/>
        </w:rPr>
        <w:t>PO</w:t>
      </w:r>
      <w:r w:rsidRPr="008D2AB9">
        <w:rPr>
          <w:rFonts w:ascii="Times New Roman" w:hAnsi="Times New Roman"/>
          <w:sz w:val="20"/>
          <w:szCs w:val="20"/>
          <w:vertAlign w:val="subscript"/>
        </w:rPr>
        <w:t xml:space="preserve">4 </w:t>
      </w:r>
      <w:r w:rsidRPr="008D2AB9">
        <w:rPr>
          <w:rFonts w:ascii="Times New Roman" w:hAnsi="Times New Roman"/>
          <w:sz w:val="20"/>
          <w:szCs w:val="20"/>
        </w:rPr>
        <w:t xml:space="preserve">and </w:t>
      </w:r>
      <w:r w:rsidRPr="008D2AB9">
        <w:rPr>
          <w:rFonts w:ascii="Times New Roman" w:hAnsi="Times New Roman"/>
          <w:i/>
          <w:sz w:val="20"/>
          <w:szCs w:val="20"/>
        </w:rPr>
        <w:t>p</w:t>
      </w:r>
      <w:r w:rsidRPr="008D2AB9">
        <w:rPr>
          <w:rFonts w:ascii="Times New Roman" w:hAnsi="Times New Roman"/>
          <w:sz w:val="20"/>
          <w:szCs w:val="20"/>
        </w:rPr>
        <w:t xml:space="preserve">-toluenesulfonic acid [15-17].  Besides, the esterification process with the DBSA catalyst is considerable as green process, cheap and </w:t>
      </w:r>
      <w:r w:rsidRPr="008D2AB9">
        <w:rPr>
          <w:rFonts w:ascii="Times New Roman" w:eastAsiaTheme="minorHAnsi" w:hAnsi="Times New Roman"/>
          <w:sz w:val="20"/>
          <w:szCs w:val="20"/>
        </w:rPr>
        <w:t>high product yields</w:t>
      </w:r>
      <w:r w:rsidRPr="008D2AB9">
        <w:rPr>
          <w:rFonts w:ascii="Times New Roman" w:hAnsi="Times New Roman"/>
          <w:sz w:val="20"/>
          <w:szCs w:val="20"/>
        </w:rPr>
        <w:t xml:space="preserve"> [17].</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In this work, the study included synthesizing and characterizing of the synthesized precursors.  The EPOo and diol produced from the palm oil product are expected to exhibit promising physicochemical properties and have great potential for application in development of new polymeric drug vehicles.</w:t>
      </w:r>
    </w:p>
    <w:p w:rsidR="008D2AB9" w:rsidRPr="008D2AB9" w:rsidRDefault="008D2AB9" w:rsidP="008D2AB9">
      <w:pPr>
        <w:spacing w:after="0" w:line="240" w:lineRule="auto"/>
        <w:jc w:val="both"/>
        <w:outlineLvl w:val="0"/>
        <w:rPr>
          <w:rFonts w:ascii="Times New Roman" w:hAnsi="Times New Roman"/>
          <w:sz w:val="20"/>
          <w:szCs w:val="20"/>
        </w:rPr>
      </w:pPr>
    </w:p>
    <w:p w:rsidR="008D2AB9" w:rsidRPr="008D2AB9" w:rsidRDefault="008D2AB9" w:rsidP="008D2AB9">
      <w:pPr>
        <w:spacing w:after="0" w:line="240" w:lineRule="auto"/>
        <w:jc w:val="both"/>
        <w:outlineLvl w:val="0"/>
        <w:rPr>
          <w:rFonts w:ascii="Times New Roman" w:hAnsi="Times New Roman"/>
          <w:b/>
          <w:sz w:val="20"/>
          <w:szCs w:val="20"/>
        </w:rPr>
      </w:pPr>
      <w:r w:rsidRPr="008D2AB9">
        <w:rPr>
          <w:rFonts w:ascii="Times New Roman" w:hAnsi="Times New Roman"/>
          <w:b/>
          <w:sz w:val="20"/>
          <w:szCs w:val="20"/>
        </w:rPr>
        <w:t>Materials and Methods</w:t>
      </w: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In both preparations of the EPOo and diol, the experimental set-up used in this work was reported and referred in our previous work [18, 19].  The set-up consists of reaction flask, mechanical stirrer, thermometer, reflux condenser and oil batch.</w:t>
      </w:r>
    </w:p>
    <w:p w:rsidR="008D2AB9" w:rsidRPr="008D2AB9" w:rsidRDefault="008D2AB9" w:rsidP="008D2AB9">
      <w:pPr>
        <w:spacing w:after="0" w:line="240" w:lineRule="auto"/>
        <w:jc w:val="both"/>
        <w:rPr>
          <w:rFonts w:ascii="Times New Roman" w:hAnsi="Times New Roman"/>
          <w:b/>
          <w:sz w:val="20"/>
          <w:szCs w:val="20"/>
        </w:rPr>
      </w:pPr>
    </w:p>
    <w:p w:rsidR="008D2AB9" w:rsidRPr="008D2AB9" w:rsidRDefault="008D2AB9" w:rsidP="008D2AB9">
      <w:pPr>
        <w:spacing w:after="0" w:line="240" w:lineRule="auto"/>
        <w:jc w:val="both"/>
        <w:rPr>
          <w:rFonts w:ascii="Times New Roman" w:hAnsi="Times New Roman"/>
          <w:b/>
          <w:sz w:val="20"/>
          <w:szCs w:val="20"/>
        </w:rPr>
      </w:pPr>
      <w:r w:rsidRPr="008D2AB9">
        <w:rPr>
          <w:rFonts w:ascii="Times New Roman" w:hAnsi="Times New Roman"/>
          <w:b/>
          <w:sz w:val="20"/>
          <w:szCs w:val="20"/>
        </w:rPr>
        <w:t>Preparation of epoxidized palm olein based precursors</w:t>
      </w:r>
    </w:p>
    <w:p w:rsid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 xml:space="preserve">A food grade palm olein (POo) (FFM Marketing Sdn. Bhd) was used as a feedstock to produce the EPOo while other chemicals in this preparation were purchased from Systerm Chem Ar.  Initially the POo was vacuum distilled </w:t>
      </w:r>
      <w:r w:rsidRPr="008D2AB9">
        <w:rPr>
          <w:rFonts w:ascii="Times New Roman" w:hAnsi="Times New Roman"/>
          <w:sz w:val="20"/>
          <w:szCs w:val="20"/>
        </w:rPr>
        <w:lastRenderedPageBreak/>
        <w:t xml:space="preserve">prior to use. Then the POo (1.62 mol) underwent in-situ epoxidizing in the per-acid solution to form the EPOo at the temperature between 60 – 65 </w:t>
      </w:r>
      <w:r w:rsidRPr="008D2AB9">
        <w:rPr>
          <w:rFonts w:ascii="Times New Roman" w:hAnsi="Times New Roman"/>
          <w:sz w:val="20"/>
          <w:szCs w:val="20"/>
          <w:vertAlign w:val="superscript"/>
        </w:rPr>
        <w:t>o</w:t>
      </w:r>
      <w:r w:rsidRPr="008D2AB9">
        <w:rPr>
          <w:rFonts w:ascii="Times New Roman" w:hAnsi="Times New Roman"/>
          <w:sz w:val="20"/>
          <w:szCs w:val="20"/>
        </w:rPr>
        <w:t>C for 2.5 hours [14, 20].  The per-acid solution consisted of a glacial acetic acid (4 mol), a hydrogen peroxide (8.24 mol) and a sulphuric acid (1%).  The chemicals were purchased from Systerm Chem Ar., Merck and HmBG Chemical, respectively.  After the epoxidation reaction was completed, the EPOo was immediately transferred from the reaction flask to 2 L glass beaker.  Next, the EPOo was washed with distilled water and vacuum distilled.  The summary of the overall EPOo synthesis process is presented in Figure 1 below.</w:t>
      </w:r>
    </w:p>
    <w:p w:rsid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keepNext/>
        <w:spacing w:after="0" w:line="240" w:lineRule="auto"/>
        <w:jc w:val="center"/>
        <w:rPr>
          <w:rFonts w:ascii="Times New Roman" w:hAnsi="Times New Roman"/>
          <w:sz w:val="20"/>
          <w:szCs w:val="20"/>
        </w:rPr>
      </w:pPr>
      <w:r w:rsidRPr="008D2AB9">
        <w:rPr>
          <w:rFonts w:ascii="Times New Roman" w:hAnsi="Times New Roman"/>
          <w:noProof/>
          <w:sz w:val="20"/>
          <w:szCs w:val="20"/>
          <w:lang w:bidi="ar-SA"/>
        </w:rPr>
        <w:drawing>
          <wp:inline distT="0" distB="0" distL="0" distR="0" wp14:anchorId="2C553386" wp14:editId="5BA65958">
            <wp:extent cx="1752600" cy="2486025"/>
            <wp:effectExtent l="19050" t="19050" r="190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831" cy="2486352"/>
                    </a:xfrm>
                    <a:prstGeom prst="rect">
                      <a:avLst/>
                    </a:prstGeom>
                    <a:noFill/>
                    <a:ln>
                      <a:solidFill>
                        <a:schemeClr val="tx1"/>
                      </a:solidFill>
                    </a:ln>
                  </pic:spPr>
                </pic:pic>
              </a:graphicData>
            </a:graphic>
          </wp:inline>
        </w:drawing>
      </w:r>
    </w:p>
    <w:p w:rsidR="008D2AB9" w:rsidRPr="008D2AB9" w:rsidRDefault="008D2AB9" w:rsidP="008D2AB9">
      <w:pPr>
        <w:pStyle w:val="Caption"/>
        <w:jc w:val="both"/>
      </w:pPr>
    </w:p>
    <w:p w:rsidR="008D2AB9" w:rsidRPr="008D2AB9" w:rsidRDefault="008D2AB9" w:rsidP="008D2AB9">
      <w:pPr>
        <w:pStyle w:val="Caption"/>
      </w:pPr>
      <w:r w:rsidRPr="008D2AB9">
        <w:t xml:space="preserve">Figure </w:t>
      </w:r>
      <w:r w:rsidRPr="008D2AB9">
        <w:fldChar w:fldCharType="begin"/>
      </w:r>
      <w:r w:rsidRPr="008D2AB9">
        <w:instrText xml:space="preserve"> SEQ Figure \* ARABIC </w:instrText>
      </w:r>
      <w:r w:rsidRPr="008D2AB9">
        <w:fldChar w:fldCharType="separate"/>
      </w:r>
      <w:r w:rsidR="004F21CF">
        <w:rPr>
          <w:noProof/>
        </w:rPr>
        <w:t>1</w:t>
      </w:r>
      <w:r w:rsidRPr="008D2AB9">
        <w:fldChar w:fldCharType="end"/>
      </w:r>
      <w:r w:rsidRPr="008D2AB9">
        <w:t xml:space="preserve">. </w:t>
      </w:r>
      <w:r>
        <w:t xml:space="preserve"> </w:t>
      </w:r>
      <w:r w:rsidRPr="008D2AB9">
        <w:t>The synthesis routes of the EPOo</w:t>
      </w:r>
    </w:p>
    <w:p w:rsid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b/>
          <w:sz w:val="20"/>
          <w:szCs w:val="20"/>
        </w:rPr>
      </w:pPr>
      <w:r w:rsidRPr="008D2AB9">
        <w:rPr>
          <w:rFonts w:ascii="Times New Roman" w:hAnsi="Times New Roman"/>
          <w:b/>
          <w:sz w:val="20"/>
          <w:szCs w:val="20"/>
        </w:rPr>
        <w:t>Preparation of diol as palm oil based precursors</w:t>
      </w: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 xml:space="preserve">On another occasion, oleic acid (OA) (R&amp;M Chemicals) was vacuum distilled for 3 hours before vacuum recrystallized in acetonitrile.  After recrystallization, the OA (1.2 mol) was esterified with glycerol (2.4 mol) and 4-dodecylbenzyl sulfonic acid (DBSA) (0.15 mol) to produce diol at the temperature below 120 </w:t>
      </w:r>
      <w:r w:rsidRPr="008D2AB9">
        <w:rPr>
          <w:rFonts w:ascii="Times New Roman" w:hAnsi="Times New Roman"/>
          <w:sz w:val="20"/>
          <w:szCs w:val="20"/>
          <w:vertAlign w:val="superscript"/>
        </w:rPr>
        <w:t>o</w:t>
      </w:r>
      <w:r w:rsidRPr="008D2AB9">
        <w:rPr>
          <w:rFonts w:ascii="Times New Roman" w:hAnsi="Times New Roman"/>
          <w:sz w:val="20"/>
          <w:szCs w:val="20"/>
        </w:rPr>
        <w:t xml:space="preserve">C for three hours [15]. The chemicals were purchased from R&amp;M, Systerm Chem Ar. and Fluka, respectively.  Next, the synthesized diol was immersed in a mixture solution consist of ethanol (5%) and natrium chloride (5%) for 24 hours before vacuum distilled and collected for characterization. </w:t>
      </w:r>
    </w:p>
    <w:p w:rsidR="008D2AB9" w:rsidRPr="008D2AB9" w:rsidRDefault="008D2AB9" w:rsidP="008D2AB9">
      <w:pPr>
        <w:tabs>
          <w:tab w:val="left" w:pos="450"/>
        </w:tabs>
        <w:spacing w:after="0" w:line="240" w:lineRule="auto"/>
        <w:jc w:val="both"/>
        <w:rPr>
          <w:rFonts w:ascii="Times New Roman" w:hAnsi="Times New Roman"/>
          <w:sz w:val="20"/>
          <w:szCs w:val="20"/>
        </w:rPr>
      </w:pPr>
    </w:p>
    <w:p w:rsidR="008D2AB9" w:rsidRPr="008D2AB9" w:rsidRDefault="008D2AB9" w:rsidP="008D2AB9">
      <w:pPr>
        <w:tabs>
          <w:tab w:val="left" w:pos="450"/>
        </w:tabs>
        <w:spacing w:after="0" w:line="240" w:lineRule="auto"/>
        <w:jc w:val="both"/>
        <w:rPr>
          <w:rFonts w:ascii="Times New Roman" w:hAnsi="Times New Roman"/>
          <w:sz w:val="20"/>
          <w:szCs w:val="20"/>
        </w:rPr>
      </w:pPr>
      <w:r w:rsidRPr="008D2AB9">
        <w:rPr>
          <w:rFonts w:ascii="Times New Roman" w:hAnsi="Times New Roman"/>
          <w:sz w:val="20"/>
          <w:szCs w:val="20"/>
        </w:rPr>
        <w:t>The yield of the reaction for the EPO</w:t>
      </w:r>
      <w:r w:rsidRPr="008D2AB9">
        <w:rPr>
          <w:rFonts w:ascii="Times New Roman" w:hAnsi="Times New Roman"/>
          <w:color w:val="000000" w:themeColor="text1"/>
          <w:sz w:val="20"/>
          <w:szCs w:val="20"/>
        </w:rPr>
        <w:t>o</w:t>
      </w:r>
      <w:r w:rsidRPr="008D2AB9">
        <w:rPr>
          <w:rFonts w:ascii="Times New Roman" w:hAnsi="Times New Roman"/>
          <w:sz w:val="20"/>
          <w:szCs w:val="20"/>
        </w:rPr>
        <w:t xml:space="preserve"> and the diol was calculated using Equation (1).</w:t>
      </w:r>
    </w:p>
    <w:p w:rsidR="008D2AB9" w:rsidRPr="008D2AB9" w:rsidRDefault="008D2AB9" w:rsidP="008D2AB9">
      <w:pPr>
        <w:tabs>
          <w:tab w:val="left" w:pos="450"/>
        </w:tabs>
        <w:spacing w:after="0" w:line="240" w:lineRule="auto"/>
        <w:jc w:val="both"/>
        <w:rPr>
          <w:rFonts w:ascii="Times New Roman" w:hAnsi="Times New Roman"/>
          <w:sz w:val="20"/>
          <w:szCs w:val="20"/>
        </w:rPr>
      </w:pPr>
      <w:r w:rsidRPr="008D2AB9">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17BE719E" wp14:editId="00197C6A">
                <wp:simplePos x="0" y="0"/>
                <wp:positionH relativeFrom="column">
                  <wp:posOffset>459133</wp:posOffset>
                </wp:positionH>
                <wp:positionV relativeFrom="paragraph">
                  <wp:posOffset>138789</wp:posOffset>
                </wp:positionV>
                <wp:extent cx="2292350" cy="41529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15290"/>
                        </a:xfrm>
                        <a:prstGeom prst="rect">
                          <a:avLst/>
                        </a:prstGeom>
                        <a:noFill/>
                        <a:ln w="9525">
                          <a:noFill/>
                          <a:miter lim="800000"/>
                          <a:headEnd/>
                          <a:tailEnd/>
                        </a:ln>
                      </wps:spPr>
                      <wps:txbx>
                        <w:txbxContent>
                          <w:p w:rsidR="008D2AB9" w:rsidRPr="00196EBB" w:rsidRDefault="008D2AB9" w:rsidP="008D2AB9">
                            <w:pPr>
                              <w:rPr>
                                <w:rFonts w:ascii="Times New Roman" w:hAnsi="Times New Roman"/>
                                <w:szCs w:val="20"/>
                              </w:rPr>
                            </w:pPr>
                            <m:oMathPara>
                              <m:oMath>
                                <m:r>
                                  <m:rPr>
                                    <m:nor/>
                                  </m:rPr>
                                  <w:rPr>
                                    <w:rFonts w:ascii="Times New Roman" w:hAnsi="Times New Roman"/>
                                    <w:szCs w:val="20"/>
                                  </w:rPr>
                                  <m:t>% Reaction yield=</m:t>
                                </m:r>
                                <m:d>
                                  <m:dPr>
                                    <m:begChr m:val="["/>
                                    <m:endChr m:val="]"/>
                                    <m:ctrlPr>
                                      <w:rPr>
                                        <w:rFonts w:ascii="Cambria Math" w:hAnsi="Cambria Math"/>
                                        <w:szCs w:val="20"/>
                                      </w:rPr>
                                    </m:ctrlPr>
                                  </m:dPr>
                                  <m:e>
                                    <m:f>
                                      <m:fPr>
                                        <m:ctrlPr>
                                          <w:rPr>
                                            <w:rFonts w:ascii="Cambria Math" w:hAnsi="Cambria Math"/>
                                            <w:szCs w:val="20"/>
                                          </w:rPr>
                                        </m:ctrlPr>
                                      </m:fPr>
                                      <m:num>
                                        <m:r>
                                          <m:rPr>
                                            <m:nor/>
                                          </m:rPr>
                                          <w:rPr>
                                            <w:rFonts w:ascii="Times New Roman" w:hAnsi="Times New Roman"/>
                                            <w:szCs w:val="20"/>
                                          </w:rPr>
                                          <m:t>Final yield (g)</m:t>
                                        </m:r>
                                      </m:num>
                                      <m:den>
                                        <m:r>
                                          <m:rPr>
                                            <m:nor/>
                                          </m:rPr>
                                          <w:rPr>
                                            <w:rFonts w:ascii="Times New Roman" w:hAnsi="Times New Roman"/>
                                            <w:szCs w:val="20"/>
                                          </w:rPr>
                                          <m:t>reactant</m:t>
                                        </m:r>
                                        <m:d>
                                          <m:dPr>
                                            <m:ctrlPr>
                                              <w:rPr>
                                                <w:rFonts w:ascii="Cambria Math" w:hAnsi="Cambria Math"/>
                                                <w:szCs w:val="20"/>
                                              </w:rPr>
                                            </m:ctrlPr>
                                          </m:dPr>
                                          <m:e>
                                            <m:r>
                                              <m:rPr>
                                                <m:nor/>
                                              </m:rPr>
                                              <w:rPr>
                                                <w:rFonts w:ascii="Times New Roman" w:hAnsi="Times New Roman"/>
                                                <w:szCs w:val="20"/>
                                              </w:rPr>
                                              <m:t>g</m:t>
                                            </m:r>
                                          </m:e>
                                        </m:d>
                                      </m:den>
                                    </m:f>
                                  </m:e>
                                </m:d>
                                <m:r>
                                  <m:rPr>
                                    <m:nor/>
                                  </m:rPr>
                                  <w:rPr>
                                    <w:rFonts w:ascii="Times New Roman" w:hAnsi="Times New Roman"/>
                                    <w:szCs w:val="20"/>
                                  </w:rPr>
                                  <m:t>×100</m:t>
                                </m:r>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left:0;text-align:left;margin-left:36.15pt;margin-top:10.95pt;width:180.5pt;height:32.7pt;z-index:2516618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" filled="f" stroked="f">
                <v:textbox style="mso-fit-shape-to-text:t">
                  <w:txbxContent>
                    <w:p w:rsidR="008D2AB9" w:rsidRPr="00196EBB" w:rsidRDefault="008D2AB9" w:rsidP="008D2AB9">
                      <w:pPr>
                        <w:rPr>
                          <w:rFonts w:ascii="Times New Roman" w:hAnsi="Times New Roman"/>
                          <w:szCs w:val="20"/>
                        </w:rPr>
                      </w:pPr>
                      <m:oMathPara>
                        <m:oMath>
                          <m:r>
                            <m:rPr>
                              <m:nor/>
                            </m:rPr>
                            <w:rPr>
                              <w:rFonts w:ascii="Times New Roman" w:hAnsi="Times New Roman"/>
                              <w:szCs w:val="20"/>
                            </w:rPr>
                            <m:t>% Reaction yield=</m:t>
                          </m:r>
                          <m:d>
                            <m:dPr>
                              <m:begChr m:val="["/>
                              <m:endChr m:val="]"/>
                              <m:ctrlPr>
                                <w:rPr>
                                  <w:rFonts w:ascii="Cambria Math" w:hAnsi="Cambria Math"/>
                                  <w:szCs w:val="20"/>
                                </w:rPr>
                              </m:ctrlPr>
                            </m:dPr>
                            <m:e>
                              <m:f>
                                <m:fPr>
                                  <m:ctrlPr>
                                    <w:rPr>
                                      <w:rFonts w:ascii="Cambria Math" w:hAnsi="Cambria Math"/>
                                      <w:szCs w:val="20"/>
                                    </w:rPr>
                                  </m:ctrlPr>
                                </m:fPr>
                                <m:num>
                                  <m:r>
                                    <m:rPr>
                                      <m:nor/>
                                    </m:rPr>
                                    <w:rPr>
                                      <w:rFonts w:ascii="Times New Roman" w:hAnsi="Times New Roman"/>
                                      <w:szCs w:val="20"/>
                                    </w:rPr>
                                    <m:t>Final yield (g)</m:t>
                                  </m:r>
                                </m:num>
                                <m:den>
                                  <m:r>
                                    <m:rPr>
                                      <m:nor/>
                                    </m:rPr>
                                    <w:rPr>
                                      <w:rFonts w:ascii="Times New Roman" w:hAnsi="Times New Roman"/>
                                      <w:szCs w:val="20"/>
                                    </w:rPr>
                                    <m:t>reactant</m:t>
                                  </m:r>
                                  <m:d>
                                    <m:dPr>
                                      <m:ctrlPr>
                                        <w:rPr>
                                          <w:rFonts w:ascii="Cambria Math" w:hAnsi="Cambria Math"/>
                                          <w:szCs w:val="20"/>
                                        </w:rPr>
                                      </m:ctrlPr>
                                    </m:dPr>
                                    <m:e>
                                      <m:r>
                                        <m:rPr>
                                          <m:nor/>
                                        </m:rPr>
                                        <w:rPr>
                                          <w:rFonts w:ascii="Times New Roman" w:hAnsi="Times New Roman"/>
                                          <w:szCs w:val="20"/>
                                        </w:rPr>
                                        <m:t>g</m:t>
                                      </m:r>
                                    </m:e>
                                  </m:d>
                                </m:den>
                              </m:f>
                            </m:e>
                          </m:d>
                          <m:r>
                            <m:rPr>
                              <m:nor/>
                            </m:rPr>
                            <w:rPr>
                              <w:rFonts w:ascii="Times New Roman" w:hAnsi="Times New Roman"/>
                              <w:szCs w:val="20"/>
                            </w:rPr>
                            <m:t>×100</m:t>
                          </m:r>
                        </m:oMath>
                      </m:oMathPara>
                    </w:p>
                  </w:txbxContent>
                </v:textbox>
              </v:shape>
            </w:pict>
          </mc:Fallback>
        </mc:AlternateContent>
      </w:r>
    </w:p>
    <w:p w:rsidR="008D2AB9" w:rsidRPr="008D2AB9" w:rsidRDefault="008D2AB9" w:rsidP="008D2AB9">
      <w:pPr>
        <w:tabs>
          <w:tab w:val="left" w:pos="450"/>
        </w:tabs>
        <w:spacing w:after="0" w:line="240" w:lineRule="auto"/>
        <w:jc w:val="both"/>
        <w:rPr>
          <w:rFonts w:ascii="Times New Roman" w:hAnsi="Times New Roman"/>
          <w:sz w:val="20"/>
          <w:szCs w:val="20"/>
        </w:rPr>
      </w:pPr>
      <w:r w:rsidRPr="008D2AB9">
        <w:rPr>
          <w:rFonts w:ascii="Times New Roman" w:hAnsi="Times New Roman"/>
          <w:sz w:val="20"/>
          <w:szCs w:val="20"/>
        </w:rPr>
        <w:tab/>
        <w:t xml:space="preserve"> </w:t>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p>
    <w:p w:rsidR="008D2AB9" w:rsidRPr="008D2AB9" w:rsidRDefault="008D2AB9" w:rsidP="008D2AB9">
      <w:pPr>
        <w:tabs>
          <w:tab w:val="left" w:pos="450"/>
        </w:tabs>
        <w:spacing w:after="0" w:line="240" w:lineRule="auto"/>
        <w:jc w:val="both"/>
        <w:rPr>
          <w:rFonts w:ascii="Times New Roman" w:hAnsi="Times New Roman"/>
          <w:sz w:val="20"/>
          <w:szCs w:val="20"/>
        </w:rPr>
      </w:pP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t xml:space="preserve">   </w:t>
      </w:r>
      <w:r>
        <w:rPr>
          <w:rFonts w:ascii="Times New Roman" w:hAnsi="Times New Roman"/>
          <w:sz w:val="20"/>
          <w:szCs w:val="20"/>
        </w:rPr>
        <w:t xml:space="preserve">      </w:t>
      </w:r>
      <w:r w:rsidRPr="008D2AB9">
        <w:rPr>
          <w:rFonts w:ascii="Times New Roman" w:hAnsi="Times New Roman"/>
          <w:sz w:val="20"/>
          <w:szCs w:val="20"/>
        </w:rPr>
        <w:t>(</w:t>
      </w:r>
      <w:r w:rsidRPr="008D2AB9">
        <w:rPr>
          <w:rFonts w:ascii="Times New Roman" w:hAnsi="Times New Roman"/>
          <w:sz w:val="20"/>
          <w:szCs w:val="20"/>
        </w:rPr>
        <w:fldChar w:fldCharType="begin"/>
      </w:r>
      <w:r w:rsidRPr="008D2AB9">
        <w:rPr>
          <w:rFonts w:ascii="Times New Roman" w:hAnsi="Times New Roman"/>
          <w:sz w:val="20"/>
          <w:szCs w:val="20"/>
        </w:rPr>
        <w:instrText xml:space="preserve"> SEQ Equation \* ARABIC </w:instrText>
      </w:r>
      <w:r w:rsidRPr="008D2AB9">
        <w:rPr>
          <w:rFonts w:ascii="Times New Roman" w:hAnsi="Times New Roman"/>
          <w:sz w:val="20"/>
          <w:szCs w:val="20"/>
        </w:rPr>
        <w:fldChar w:fldCharType="separate"/>
      </w:r>
      <w:r w:rsidR="004F21CF">
        <w:rPr>
          <w:rFonts w:ascii="Times New Roman" w:hAnsi="Times New Roman"/>
          <w:noProof/>
          <w:sz w:val="20"/>
          <w:szCs w:val="20"/>
        </w:rPr>
        <w:t>1</w:t>
      </w:r>
      <w:r w:rsidRPr="008D2AB9">
        <w:rPr>
          <w:rFonts w:ascii="Times New Roman" w:hAnsi="Times New Roman"/>
          <w:sz w:val="20"/>
          <w:szCs w:val="20"/>
        </w:rPr>
        <w:fldChar w:fldCharType="end"/>
      </w:r>
      <w:r w:rsidRPr="008D2AB9">
        <w:rPr>
          <w:rFonts w:ascii="Times New Roman" w:hAnsi="Times New Roman"/>
          <w:sz w:val="20"/>
          <w:szCs w:val="20"/>
        </w:rPr>
        <w:t>)</w:t>
      </w:r>
    </w:p>
    <w:p w:rsidR="008D2AB9" w:rsidRPr="008D2AB9" w:rsidRDefault="008D2AB9" w:rsidP="008D2AB9">
      <w:pPr>
        <w:spacing w:after="0" w:line="240" w:lineRule="auto"/>
        <w:jc w:val="both"/>
        <w:rPr>
          <w:rFonts w:ascii="Times New Roman" w:hAnsi="Times New Roman"/>
          <w:b/>
          <w:sz w:val="20"/>
          <w:szCs w:val="20"/>
        </w:rPr>
      </w:pPr>
    </w:p>
    <w:p w:rsidR="008D2AB9" w:rsidRPr="008D2AB9" w:rsidRDefault="008D2AB9" w:rsidP="008D2AB9">
      <w:pPr>
        <w:spacing w:after="0" w:line="240" w:lineRule="auto"/>
        <w:jc w:val="both"/>
        <w:rPr>
          <w:rFonts w:ascii="Times New Roman" w:hAnsi="Times New Roman"/>
          <w:b/>
          <w:sz w:val="20"/>
          <w:szCs w:val="20"/>
        </w:rPr>
      </w:pPr>
    </w:p>
    <w:p w:rsidR="008D2AB9" w:rsidRPr="008D2AB9" w:rsidRDefault="008D2AB9" w:rsidP="008D2AB9">
      <w:pPr>
        <w:spacing w:after="0" w:line="240" w:lineRule="auto"/>
        <w:jc w:val="both"/>
        <w:rPr>
          <w:rFonts w:ascii="Times New Roman" w:hAnsi="Times New Roman"/>
          <w:b/>
          <w:sz w:val="20"/>
          <w:szCs w:val="20"/>
        </w:rPr>
      </w:pPr>
      <w:r w:rsidRPr="008D2AB9">
        <w:rPr>
          <w:rFonts w:ascii="Times New Roman" w:hAnsi="Times New Roman"/>
          <w:b/>
          <w:sz w:val="20"/>
          <w:szCs w:val="20"/>
        </w:rPr>
        <w:t>Characterization of the precursor’s physicochemical properties: Oxirane oxygen content (OOC)</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The OOC test was performed following the standard method of AOCS method Cd 9-57, 1963 [21].</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6CC6A2F5" wp14:editId="1B66708B">
                <wp:simplePos x="0" y="0"/>
                <wp:positionH relativeFrom="column">
                  <wp:posOffset>17559</wp:posOffset>
                </wp:positionH>
                <wp:positionV relativeFrom="paragraph">
                  <wp:posOffset>130147</wp:posOffset>
                </wp:positionV>
                <wp:extent cx="2292350" cy="39687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6875"/>
                        </a:xfrm>
                        <a:prstGeom prst="rect">
                          <a:avLst/>
                        </a:prstGeom>
                        <a:noFill/>
                        <a:ln w="9525">
                          <a:noFill/>
                          <a:miter lim="800000"/>
                          <a:headEnd/>
                          <a:tailEnd/>
                        </a:ln>
                      </wps:spPr>
                      <wps:txbx>
                        <w:txbxContent>
                          <w:p w:rsidR="008D2AB9" w:rsidRPr="00D50399" w:rsidRDefault="008D2AB9" w:rsidP="008D2AB9">
                            <w:pPr>
                              <w:rPr>
                                <w:rFonts w:ascii="Times New Roman" w:hAnsi="Times New Roman"/>
                                <w:szCs w:val="20"/>
                              </w:rPr>
                            </w:pPr>
                            <m:oMathPara>
                              <m:oMath>
                                <m:r>
                                  <m:rPr>
                                    <m:nor/>
                                  </m:rPr>
                                  <w:rPr>
                                    <w:rFonts w:ascii="Times New Roman" w:hAnsi="Times New Roman"/>
                                    <w:szCs w:val="20"/>
                                  </w:rPr>
                                  <m:t>% OOC=</m:t>
                                </m:r>
                                <m:f>
                                  <m:fPr>
                                    <m:ctrlPr>
                                      <w:rPr>
                                        <w:rFonts w:ascii="Cambria Math" w:hAnsi="Cambria Math"/>
                                        <w:szCs w:val="20"/>
                                      </w:rPr>
                                    </m:ctrlPr>
                                  </m:fPr>
                                  <m:num>
                                    <m:d>
                                      <m:dPr>
                                        <m:ctrlPr>
                                          <w:rPr>
                                            <w:rFonts w:ascii="Cambria Math" w:hAnsi="Cambria Math"/>
                                            <w:szCs w:val="20"/>
                                          </w:rPr>
                                        </m:ctrlPr>
                                      </m:dPr>
                                      <m:e>
                                        <m:r>
                                          <m:rPr>
                                            <m:nor/>
                                          </m:rPr>
                                          <w:rPr>
                                            <w:rFonts w:ascii="Times New Roman" w:hAnsi="Times New Roman"/>
                                            <w:szCs w:val="20"/>
                                          </w:rPr>
                                          <m:t>1.6</m:t>
                                        </m:r>
                                        <m:r>
                                          <m:rPr>
                                            <m:nor/>
                                          </m:rPr>
                                          <w:rPr>
                                            <w:rFonts w:ascii="Cambria Math" w:hAnsi="Times New Roman"/>
                                            <w:szCs w:val="20"/>
                                          </w:rPr>
                                          <m:t xml:space="preserve"> </m:t>
                                        </m:r>
                                        <m:r>
                                          <m:rPr>
                                            <m:nor/>
                                          </m:rPr>
                                          <w:rPr>
                                            <w:rFonts w:ascii="Times New Roman" w:hAnsi="Times New Roman"/>
                                            <w:szCs w:val="20"/>
                                          </w:rPr>
                                          <m:t>×</m:t>
                                        </m:r>
                                        <m:r>
                                          <m:rPr>
                                            <m:nor/>
                                          </m:rPr>
                                          <w:rPr>
                                            <w:rFonts w:ascii="Cambria Math" w:hAnsi="Times New Roman"/>
                                            <w:szCs w:val="20"/>
                                          </w:rPr>
                                          <m:t xml:space="preserve"> </m:t>
                                        </m:r>
                                        <m:r>
                                          <m:rPr>
                                            <m:nor/>
                                          </m:rPr>
                                          <w:rPr>
                                            <w:rFonts w:ascii="Times New Roman" w:hAnsi="Times New Roman"/>
                                            <w:szCs w:val="20"/>
                                          </w:rPr>
                                          <m:t>N</m:t>
                                        </m:r>
                                        <m:r>
                                          <m:rPr>
                                            <m:nor/>
                                          </m:rPr>
                                          <w:rPr>
                                            <w:rFonts w:ascii="Cambria Math" w:hAnsi="Times New Roman"/>
                                            <w:szCs w:val="20"/>
                                          </w:rPr>
                                          <m:t xml:space="preserve"> </m:t>
                                        </m:r>
                                        <m:r>
                                          <m:rPr>
                                            <m:nor/>
                                          </m:rPr>
                                          <w:rPr>
                                            <w:rFonts w:ascii="Times New Roman" w:hAnsi="Times New Roman"/>
                                            <w:szCs w:val="20"/>
                                          </w:rPr>
                                          <m:t>×</m:t>
                                        </m:r>
                                        <m:r>
                                          <m:rPr>
                                            <m:nor/>
                                          </m:rPr>
                                          <w:rPr>
                                            <w:rFonts w:ascii="Cambria Math" w:hAnsi="Times New Roman"/>
                                            <w:szCs w:val="20"/>
                                          </w:rPr>
                                          <m:t xml:space="preserve"> </m:t>
                                        </m:r>
                                        <m:r>
                                          <m:rPr>
                                            <m:nor/>
                                          </m:rPr>
                                          <w:rPr>
                                            <w:rFonts w:ascii="Times New Roman" w:hAnsi="Times New Roman"/>
                                            <w:szCs w:val="20"/>
                                          </w:rPr>
                                          <m:t>v</m:t>
                                        </m:r>
                                      </m:e>
                                    </m:d>
                                  </m:num>
                                  <m:den>
                                    <m:r>
                                      <m:rPr>
                                        <m:nor/>
                                      </m:rPr>
                                      <w:rPr>
                                        <w:rFonts w:ascii="Times New Roman" w:hAnsi="Times New Roman"/>
                                        <w:szCs w:val="20"/>
                                      </w:rPr>
                                      <m:t>w</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1.4pt;margin-top:10.25pt;width:180.5pt;height:31.25pt;z-index:2516608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" filled="f" stroked="f">
                <v:textbox style="mso-fit-shape-to-text:t">
                  <w:txbxContent>
                    <w:p w:rsidR="008D2AB9" w:rsidRPr="00D50399" w:rsidRDefault="008D2AB9" w:rsidP="008D2AB9">
                      <w:pPr>
                        <w:rPr>
                          <w:rFonts w:ascii="Times New Roman" w:hAnsi="Times New Roman"/>
                          <w:szCs w:val="20"/>
                        </w:rPr>
                      </w:pPr>
                      <m:oMathPara>
                        <m:oMath>
                          <m:r>
                            <m:rPr>
                              <m:nor/>
                            </m:rPr>
                            <w:rPr>
                              <w:rFonts w:ascii="Times New Roman" w:hAnsi="Times New Roman"/>
                              <w:szCs w:val="20"/>
                            </w:rPr>
                            <m:t>% OOC=</m:t>
                          </m:r>
                          <m:f>
                            <m:fPr>
                              <m:ctrlPr>
                                <w:rPr>
                                  <w:rFonts w:ascii="Cambria Math" w:hAnsi="Cambria Math"/>
                                  <w:szCs w:val="20"/>
                                </w:rPr>
                              </m:ctrlPr>
                            </m:fPr>
                            <m:num>
                              <m:d>
                                <m:dPr>
                                  <m:ctrlPr>
                                    <w:rPr>
                                      <w:rFonts w:ascii="Cambria Math" w:hAnsi="Cambria Math"/>
                                      <w:szCs w:val="20"/>
                                    </w:rPr>
                                  </m:ctrlPr>
                                </m:dPr>
                                <m:e>
                                  <m:r>
                                    <m:rPr>
                                      <m:nor/>
                                    </m:rPr>
                                    <w:rPr>
                                      <w:rFonts w:ascii="Times New Roman" w:hAnsi="Times New Roman"/>
                                      <w:szCs w:val="20"/>
                                    </w:rPr>
                                    <m:t>1.6</m:t>
                                  </m:r>
                                  <m:r>
                                    <m:rPr>
                                      <m:nor/>
                                    </m:rPr>
                                    <w:rPr>
                                      <w:rFonts w:ascii="Cambria Math" w:hAnsi="Times New Roman"/>
                                      <w:szCs w:val="20"/>
                                    </w:rPr>
                                    <m:t xml:space="preserve"> </m:t>
                                  </m:r>
                                  <m:r>
                                    <m:rPr>
                                      <m:nor/>
                                    </m:rPr>
                                    <w:rPr>
                                      <w:rFonts w:ascii="Times New Roman" w:hAnsi="Times New Roman"/>
                                      <w:szCs w:val="20"/>
                                    </w:rPr>
                                    <m:t>×</m:t>
                                  </m:r>
                                  <m:r>
                                    <m:rPr>
                                      <m:nor/>
                                    </m:rPr>
                                    <w:rPr>
                                      <w:rFonts w:ascii="Cambria Math" w:hAnsi="Times New Roman"/>
                                      <w:szCs w:val="20"/>
                                    </w:rPr>
                                    <m:t xml:space="preserve"> </m:t>
                                  </m:r>
                                  <m:r>
                                    <m:rPr>
                                      <m:nor/>
                                    </m:rPr>
                                    <w:rPr>
                                      <w:rFonts w:ascii="Times New Roman" w:hAnsi="Times New Roman"/>
                                      <w:szCs w:val="20"/>
                                    </w:rPr>
                                    <m:t>N</m:t>
                                  </m:r>
                                  <m:r>
                                    <m:rPr>
                                      <m:nor/>
                                    </m:rPr>
                                    <w:rPr>
                                      <w:rFonts w:ascii="Cambria Math" w:hAnsi="Times New Roman"/>
                                      <w:szCs w:val="20"/>
                                    </w:rPr>
                                    <m:t xml:space="preserve"> </m:t>
                                  </m:r>
                                  <m:r>
                                    <m:rPr>
                                      <m:nor/>
                                    </m:rPr>
                                    <w:rPr>
                                      <w:rFonts w:ascii="Times New Roman" w:hAnsi="Times New Roman"/>
                                      <w:szCs w:val="20"/>
                                    </w:rPr>
                                    <m:t>×</m:t>
                                  </m:r>
                                  <m:r>
                                    <m:rPr>
                                      <m:nor/>
                                    </m:rPr>
                                    <w:rPr>
                                      <w:rFonts w:ascii="Cambria Math" w:hAnsi="Times New Roman"/>
                                      <w:szCs w:val="20"/>
                                    </w:rPr>
                                    <m:t xml:space="preserve"> </m:t>
                                  </m:r>
                                  <m:r>
                                    <m:rPr>
                                      <m:nor/>
                                    </m:rPr>
                                    <w:rPr>
                                      <w:rFonts w:ascii="Times New Roman" w:hAnsi="Times New Roman"/>
                                      <w:szCs w:val="20"/>
                                    </w:rPr>
                                    <m:t>v</m:t>
                                  </m:r>
                                </m:e>
                              </m:d>
                            </m:num>
                            <m:den>
                              <m:r>
                                <m:rPr>
                                  <m:nor/>
                                </m:rPr>
                                <w:rPr>
                                  <w:rFonts w:ascii="Times New Roman" w:hAnsi="Times New Roman"/>
                                  <w:szCs w:val="20"/>
                                </w:rPr>
                                <m:t>w</m:t>
                              </m:r>
                            </m:den>
                          </m:f>
                        </m:oMath>
                      </m:oMathPara>
                    </w:p>
                  </w:txbxContent>
                </v:textbox>
              </v:shape>
            </w:pict>
          </mc:Fallback>
        </mc:AlternateContent>
      </w:r>
    </w:p>
    <w:p w:rsidR="008D2AB9" w:rsidRPr="008D2AB9" w:rsidRDefault="008D2AB9" w:rsidP="008D2AB9">
      <w:pPr>
        <w:adjustRightInd w:val="0"/>
        <w:spacing w:after="0" w:line="240" w:lineRule="auto"/>
        <w:ind w:left="720" w:firstLine="720"/>
        <w:jc w:val="both"/>
        <w:rPr>
          <w:rFonts w:ascii="Times New Roman" w:hAnsi="Times New Roman"/>
          <w:sz w:val="20"/>
          <w:szCs w:val="20"/>
        </w:rPr>
      </w:pP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p>
    <w:p w:rsidR="008D2AB9" w:rsidRPr="008D2AB9" w:rsidRDefault="008D2AB9" w:rsidP="008D2AB9">
      <w:pPr>
        <w:adjustRightInd w:val="0"/>
        <w:spacing w:after="0" w:line="240" w:lineRule="auto"/>
        <w:ind w:left="7920" w:firstLine="720"/>
        <w:jc w:val="both"/>
        <w:rPr>
          <w:rFonts w:ascii="Times New Roman" w:hAnsi="Times New Roman"/>
          <w:sz w:val="20"/>
          <w:szCs w:val="20"/>
        </w:rPr>
      </w:pPr>
      <w:r w:rsidRPr="008D2AB9">
        <w:rPr>
          <w:rFonts w:ascii="Times New Roman" w:hAnsi="Times New Roman"/>
          <w:sz w:val="20"/>
          <w:szCs w:val="20"/>
        </w:rPr>
        <w:t xml:space="preserve">   </w:t>
      </w:r>
      <w:r>
        <w:rPr>
          <w:rFonts w:ascii="Times New Roman" w:hAnsi="Times New Roman"/>
          <w:sz w:val="20"/>
          <w:szCs w:val="20"/>
        </w:rPr>
        <w:t xml:space="preserve">      </w:t>
      </w:r>
      <w:r w:rsidRPr="008D2AB9">
        <w:rPr>
          <w:rFonts w:ascii="Times New Roman" w:hAnsi="Times New Roman"/>
          <w:sz w:val="20"/>
          <w:szCs w:val="20"/>
        </w:rPr>
        <w:t>(</w:t>
      </w:r>
      <w:r w:rsidRPr="008D2AB9">
        <w:rPr>
          <w:rFonts w:ascii="Times New Roman" w:hAnsi="Times New Roman"/>
          <w:sz w:val="20"/>
          <w:szCs w:val="20"/>
        </w:rPr>
        <w:fldChar w:fldCharType="begin"/>
      </w:r>
      <w:r w:rsidRPr="008D2AB9">
        <w:rPr>
          <w:rFonts w:ascii="Times New Roman" w:hAnsi="Times New Roman"/>
          <w:sz w:val="20"/>
          <w:szCs w:val="20"/>
        </w:rPr>
        <w:instrText xml:space="preserve"> SEQ Equation \* ARABIC </w:instrText>
      </w:r>
      <w:r w:rsidRPr="008D2AB9">
        <w:rPr>
          <w:rFonts w:ascii="Times New Roman" w:hAnsi="Times New Roman"/>
          <w:sz w:val="20"/>
          <w:szCs w:val="20"/>
        </w:rPr>
        <w:fldChar w:fldCharType="separate"/>
      </w:r>
      <w:r w:rsidR="004F21CF">
        <w:rPr>
          <w:rFonts w:ascii="Times New Roman" w:hAnsi="Times New Roman"/>
          <w:noProof/>
          <w:sz w:val="20"/>
          <w:szCs w:val="20"/>
        </w:rPr>
        <w:t>2</w:t>
      </w:r>
      <w:r w:rsidRPr="008D2AB9">
        <w:rPr>
          <w:rFonts w:ascii="Times New Roman" w:hAnsi="Times New Roman"/>
          <w:sz w:val="20"/>
          <w:szCs w:val="20"/>
        </w:rPr>
        <w:fldChar w:fldCharType="end"/>
      </w:r>
      <w:r w:rsidRPr="008D2AB9">
        <w:rPr>
          <w:rFonts w:ascii="Times New Roman" w:hAnsi="Times New Roman"/>
          <w:sz w:val="20"/>
          <w:szCs w:val="20"/>
        </w:rPr>
        <w:t>)</w:t>
      </w:r>
    </w:p>
    <w:p w:rsidR="008D2AB9" w:rsidRPr="008D2AB9" w:rsidRDefault="008D2AB9" w:rsidP="008D2AB9">
      <w:pPr>
        <w:adjustRightInd w:val="0"/>
        <w:spacing w:after="0" w:line="240" w:lineRule="auto"/>
        <w:ind w:left="720" w:firstLine="720"/>
        <w:jc w:val="both"/>
        <w:rPr>
          <w:rFonts w:ascii="Times New Roman" w:hAnsi="Times New Roman"/>
          <w:sz w:val="20"/>
          <w:szCs w:val="20"/>
        </w:rPr>
      </w:pPr>
      <w:r w:rsidRPr="008D2AB9">
        <w:rPr>
          <w:rFonts w:ascii="Times New Roman" w:hAnsi="Times New Roman"/>
          <w:sz w:val="20"/>
          <w:szCs w:val="20"/>
        </w:rPr>
        <w:tab/>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where N is normality of hydrogen bromide (HBr), while v is volume of HBr in mL and w is weight of resin in gram.</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b/>
          <w:sz w:val="20"/>
          <w:szCs w:val="20"/>
        </w:rPr>
      </w:pPr>
      <w:r w:rsidRPr="008D2AB9">
        <w:rPr>
          <w:rFonts w:ascii="Times New Roman" w:hAnsi="Times New Roman"/>
          <w:b/>
          <w:sz w:val="20"/>
          <w:szCs w:val="20"/>
        </w:rPr>
        <w:t>Acid value</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The acid value (AV) was calculated according to the test method is technically equivalent to ASTM D974 [22]:</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noProof/>
          <w:sz w:val="20"/>
          <w:szCs w:val="20"/>
          <w:lang w:bidi="ar-SA"/>
        </w:rPr>
        <w:lastRenderedPageBreak/>
        <mc:AlternateContent>
          <mc:Choice Requires="wps">
            <w:drawing>
              <wp:anchor distT="0" distB="0" distL="114300" distR="114300" simplePos="0" relativeHeight="251663872" behindDoc="0" locked="0" layoutInCell="1" allowOverlap="1" wp14:anchorId="43F83606" wp14:editId="243D607E">
                <wp:simplePos x="0" y="0"/>
                <wp:positionH relativeFrom="column">
                  <wp:posOffset>-2843</wp:posOffset>
                </wp:positionH>
                <wp:positionV relativeFrom="paragraph">
                  <wp:posOffset>104748</wp:posOffset>
                </wp:positionV>
                <wp:extent cx="2292350" cy="3968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6875"/>
                        </a:xfrm>
                        <a:prstGeom prst="rect">
                          <a:avLst/>
                        </a:prstGeom>
                        <a:noFill/>
                        <a:ln w="9525">
                          <a:noFill/>
                          <a:miter lim="800000"/>
                          <a:headEnd/>
                          <a:tailEnd/>
                        </a:ln>
                      </wps:spPr>
                      <wps:txbx>
                        <w:txbxContent>
                          <w:p w:rsidR="008D2AB9" w:rsidRPr="00DA7A87" w:rsidRDefault="008D2AB9" w:rsidP="008D2AB9">
                            <w:pPr>
                              <w:rPr>
                                <w:rFonts w:ascii="Times New Roman" w:hAnsi="Times New Roman"/>
                                <w:szCs w:val="20"/>
                              </w:rPr>
                            </w:pPr>
                            <m:oMathPara>
                              <m:oMath>
                                <m:r>
                                  <m:rPr>
                                    <m:nor/>
                                  </m:rPr>
                                  <w:rPr>
                                    <w:rFonts w:ascii="Times New Roman" w:hAnsi="Times New Roman"/>
                                    <w:szCs w:val="20"/>
                                  </w:rPr>
                                  <m:t>AV=</m:t>
                                </m:r>
                                <m:f>
                                  <m:fPr>
                                    <m:ctrlPr>
                                      <w:rPr>
                                        <w:rFonts w:ascii="Cambria Math" w:hAnsi="Cambria Math"/>
                                        <w:szCs w:val="20"/>
                                      </w:rPr>
                                    </m:ctrlPr>
                                  </m:fPr>
                                  <m:num>
                                    <m:d>
                                      <m:dPr>
                                        <m:ctrlPr>
                                          <w:rPr>
                                            <w:rFonts w:ascii="Cambria Math" w:hAnsi="Cambria Math"/>
                                            <w:szCs w:val="20"/>
                                          </w:rPr>
                                        </m:ctrlPr>
                                      </m:dPr>
                                      <m:e>
                                        <m:r>
                                          <m:rPr>
                                            <m:nor/>
                                          </m:rPr>
                                          <w:rPr>
                                            <w:rFonts w:ascii="Times New Roman" w:hAnsi="Times New Roman"/>
                                            <w:szCs w:val="20"/>
                                          </w:rPr>
                                          <m:t>5.61 ×</m:t>
                                        </m:r>
                                        <m:r>
                                          <m:rPr>
                                            <m:nor/>
                                          </m:rPr>
                                          <w:rPr>
                                            <w:rFonts w:ascii="Cambria Math" w:hAnsi="Times New Roman"/>
                                            <w:szCs w:val="20"/>
                                          </w:rPr>
                                          <m:t xml:space="preserve"> </m:t>
                                        </m:r>
                                        <m:r>
                                          <m:rPr>
                                            <m:nor/>
                                          </m:rPr>
                                          <w:rPr>
                                            <w:rFonts w:ascii="Times New Roman" w:hAnsi="Times New Roman"/>
                                            <w:szCs w:val="20"/>
                                          </w:rPr>
                                          <m:t>v</m:t>
                                        </m:r>
                                      </m:e>
                                    </m:d>
                                  </m:num>
                                  <m:den>
                                    <m:r>
                                      <m:rPr>
                                        <m:nor/>
                                      </m:rPr>
                                      <w:rPr>
                                        <w:rFonts w:ascii="Times New Roman" w:hAnsi="Times New Roman"/>
                                        <w:szCs w:val="20"/>
                                      </w:rPr>
                                      <m:t>w</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2pt;margin-top:8.25pt;width:180.5pt;height:31.25pt;z-index:2516638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" filled="f" stroked="f">
                <v:textbox style="mso-fit-shape-to-text:t">
                  <w:txbxContent>
                    <w:p w:rsidR="008D2AB9" w:rsidRPr="00DA7A87" w:rsidRDefault="008D2AB9" w:rsidP="008D2AB9">
                      <w:pPr>
                        <w:rPr>
                          <w:rFonts w:ascii="Times New Roman" w:hAnsi="Times New Roman"/>
                          <w:szCs w:val="20"/>
                        </w:rPr>
                      </w:pPr>
                      <m:oMathPara>
                        <m:oMath>
                          <m:r>
                            <m:rPr>
                              <m:nor/>
                            </m:rPr>
                            <w:rPr>
                              <w:rFonts w:ascii="Times New Roman" w:hAnsi="Times New Roman"/>
                              <w:szCs w:val="20"/>
                            </w:rPr>
                            <m:t>AV=</m:t>
                          </m:r>
                          <m:f>
                            <m:fPr>
                              <m:ctrlPr>
                                <w:rPr>
                                  <w:rFonts w:ascii="Cambria Math" w:hAnsi="Cambria Math"/>
                                  <w:szCs w:val="20"/>
                                </w:rPr>
                              </m:ctrlPr>
                            </m:fPr>
                            <m:num>
                              <m:d>
                                <m:dPr>
                                  <m:ctrlPr>
                                    <w:rPr>
                                      <w:rFonts w:ascii="Cambria Math" w:hAnsi="Cambria Math"/>
                                      <w:szCs w:val="20"/>
                                    </w:rPr>
                                  </m:ctrlPr>
                                </m:dPr>
                                <m:e>
                                  <m:r>
                                    <m:rPr>
                                      <m:nor/>
                                    </m:rPr>
                                    <w:rPr>
                                      <w:rFonts w:ascii="Times New Roman" w:hAnsi="Times New Roman"/>
                                      <w:szCs w:val="20"/>
                                    </w:rPr>
                                    <m:t>5.61 ×</m:t>
                                  </m:r>
                                  <m:r>
                                    <m:rPr>
                                      <m:nor/>
                                    </m:rPr>
                                    <w:rPr>
                                      <w:rFonts w:ascii="Cambria Math" w:hAnsi="Times New Roman"/>
                                      <w:szCs w:val="20"/>
                                    </w:rPr>
                                    <m:t xml:space="preserve"> </m:t>
                                  </m:r>
                                  <m:r>
                                    <m:rPr>
                                      <m:nor/>
                                    </m:rPr>
                                    <w:rPr>
                                      <w:rFonts w:ascii="Times New Roman" w:hAnsi="Times New Roman"/>
                                      <w:szCs w:val="20"/>
                                    </w:rPr>
                                    <m:t>v</m:t>
                                  </m:r>
                                </m:e>
                              </m:d>
                            </m:num>
                            <m:den>
                              <m:r>
                                <m:rPr>
                                  <m:nor/>
                                </m:rPr>
                                <w:rPr>
                                  <w:rFonts w:ascii="Times New Roman" w:hAnsi="Times New Roman"/>
                                  <w:szCs w:val="20"/>
                                </w:rPr>
                                <m:t>w</m:t>
                              </m:r>
                            </m:den>
                          </m:f>
                        </m:oMath>
                      </m:oMathPara>
                    </w:p>
                  </w:txbxContent>
                </v:textbox>
              </v:shape>
            </w:pict>
          </mc:Fallback>
        </mc:AlternateContent>
      </w:r>
    </w:p>
    <w:p w:rsidR="008D2AB9" w:rsidRPr="008D2AB9" w:rsidRDefault="008D2AB9" w:rsidP="008D2AB9">
      <w:pPr>
        <w:adjustRightInd w:val="0"/>
        <w:spacing w:after="0" w:line="240" w:lineRule="auto"/>
        <w:ind w:left="720" w:firstLine="720"/>
        <w:jc w:val="both"/>
        <w:rPr>
          <w:rFonts w:ascii="Times New Roman" w:hAnsi="Times New Roman"/>
          <w:sz w:val="20"/>
          <w:szCs w:val="20"/>
        </w:rPr>
      </w:pP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p>
    <w:p w:rsidR="008D2AB9" w:rsidRPr="008D2AB9" w:rsidRDefault="008D2AB9" w:rsidP="008D2AB9">
      <w:pPr>
        <w:adjustRightInd w:val="0"/>
        <w:spacing w:after="0" w:line="240" w:lineRule="auto"/>
        <w:ind w:left="7920" w:firstLine="720"/>
        <w:jc w:val="both"/>
        <w:rPr>
          <w:rFonts w:ascii="Times New Roman" w:hAnsi="Times New Roman"/>
          <w:sz w:val="20"/>
          <w:szCs w:val="20"/>
        </w:rPr>
      </w:pPr>
      <w:r w:rsidRPr="008D2AB9">
        <w:rPr>
          <w:rFonts w:ascii="Times New Roman" w:hAnsi="Times New Roman"/>
          <w:sz w:val="20"/>
          <w:szCs w:val="20"/>
        </w:rPr>
        <w:t xml:space="preserve">   </w:t>
      </w:r>
      <w:r>
        <w:rPr>
          <w:rFonts w:ascii="Times New Roman" w:hAnsi="Times New Roman"/>
          <w:sz w:val="20"/>
          <w:szCs w:val="20"/>
        </w:rPr>
        <w:t xml:space="preserve">      </w:t>
      </w:r>
      <w:r w:rsidRPr="008D2AB9">
        <w:rPr>
          <w:rFonts w:ascii="Times New Roman" w:hAnsi="Times New Roman"/>
          <w:sz w:val="20"/>
          <w:szCs w:val="20"/>
        </w:rPr>
        <w:t>(</w:t>
      </w:r>
      <w:r w:rsidRPr="008D2AB9">
        <w:rPr>
          <w:rFonts w:ascii="Times New Roman" w:hAnsi="Times New Roman"/>
          <w:sz w:val="20"/>
          <w:szCs w:val="20"/>
        </w:rPr>
        <w:fldChar w:fldCharType="begin"/>
      </w:r>
      <w:r w:rsidRPr="008D2AB9">
        <w:rPr>
          <w:rFonts w:ascii="Times New Roman" w:hAnsi="Times New Roman"/>
          <w:sz w:val="20"/>
          <w:szCs w:val="20"/>
        </w:rPr>
        <w:instrText xml:space="preserve"> SEQ Equation \* ARABIC </w:instrText>
      </w:r>
      <w:r w:rsidRPr="008D2AB9">
        <w:rPr>
          <w:rFonts w:ascii="Times New Roman" w:hAnsi="Times New Roman"/>
          <w:sz w:val="20"/>
          <w:szCs w:val="20"/>
        </w:rPr>
        <w:fldChar w:fldCharType="separate"/>
      </w:r>
      <w:r w:rsidR="004F21CF">
        <w:rPr>
          <w:rFonts w:ascii="Times New Roman" w:hAnsi="Times New Roman"/>
          <w:noProof/>
          <w:sz w:val="20"/>
          <w:szCs w:val="20"/>
        </w:rPr>
        <w:t>3</w:t>
      </w:r>
      <w:r w:rsidRPr="008D2AB9">
        <w:rPr>
          <w:rFonts w:ascii="Times New Roman" w:hAnsi="Times New Roman"/>
          <w:sz w:val="20"/>
          <w:szCs w:val="20"/>
        </w:rPr>
        <w:fldChar w:fldCharType="end"/>
      </w:r>
      <w:r w:rsidRPr="008D2AB9">
        <w:rPr>
          <w:rFonts w:ascii="Times New Roman" w:hAnsi="Times New Roman"/>
          <w:sz w:val="20"/>
          <w:szCs w:val="20"/>
        </w:rPr>
        <w:t>)</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where 5.61 is a concentration conversion coefficient (a number of mg KOH corresponding to 1 mL of 0.1 N KOH), v is volume of 0.1 N KOH and w is weight of resin in gram.</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b/>
          <w:sz w:val="20"/>
          <w:szCs w:val="20"/>
        </w:rPr>
      </w:pPr>
      <w:r w:rsidRPr="008D2AB9">
        <w:rPr>
          <w:rFonts w:ascii="Times New Roman" w:hAnsi="Times New Roman"/>
          <w:b/>
          <w:sz w:val="20"/>
          <w:szCs w:val="20"/>
        </w:rPr>
        <w:t>Saponification value</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The saponification value (SV) was calculated according to the test method ASTM D 1962-67 [23].</w:t>
      </w: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61AB9338" wp14:editId="0E3BB632">
                <wp:simplePos x="0" y="0"/>
                <wp:positionH relativeFrom="column">
                  <wp:posOffset>-2043</wp:posOffset>
                </wp:positionH>
                <wp:positionV relativeFrom="paragraph">
                  <wp:posOffset>134041</wp:posOffset>
                </wp:positionV>
                <wp:extent cx="2292350" cy="396875"/>
                <wp:effectExtent l="0" t="0" r="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6875"/>
                        </a:xfrm>
                        <a:prstGeom prst="rect">
                          <a:avLst/>
                        </a:prstGeom>
                        <a:noFill/>
                        <a:ln w="9525">
                          <a:noFill/>
                          <a:miter lim="800000"/>
                          <a:headEnd/>
                          <a:tailEnd/>
                        </a:ln>
                      </wps:spPr>
                      <wps:txbx>
                        <w:txbxContent>
                          <w:p w:rsidR="008D2AB9" w:rsidRPr="00DA7A87" w:rsidRDefault="008D2AB9" w:rsidP="008D2AB9">
                            <w:pPr>
                              <w:rPr>
                                <w:rFonts w:ascii="Times New Roman" w:hAnsi="Times New Roman"/>
                                <w:szCs w:val="20"/>
                              </w:rPr>
                            </w:pPr>
                            <m:oMathPara>
                              <m:oMath>
                                <m:r>
                                  <m:rPr>
                                    <m:nor/>
                                  </m:rPr>
                                  <w:rPr>
                                    <w:rFonts w:ascii="Times New Roman" w:hAnsi="Times New Roman"/>
                                    <w:szCs w:val="20"/>
                                  </w:rPr>
                                  <m:t>SV =</m:t>
                                </m:r>
                                <m:f>
                                  <m:fPr>
                                    <m:ctrlPr>
                                      <w:rPr>
                                        <w:rFonts w:ascii="Cambria Math" w:hAnsi="Cambria Math"/>
                                        <w:szCs w:val="20"/>
                                      </w:rPr>
                                    </m:ctrlPr>
                                  </m:fPr>
                                  <m:num>
                                    <m:d>
                                      <m:dPr>
                                        <m:begChr m:val="["/>
                                        <m:endChr m:val="]"/>
                                        <m:ctrlPr>
                                          <w:rPr>
                                            <w:rFonts w:ascii="Cambria Math" w:hAnsi="Cambria Math"/>
                                            <w:szCs w:val="20"/>
                                          </w:rPr>
                                        </m:ctrlPr>
                                      </m:dPr>
                                      <m:e>
                                        <m:r>
                                          <m:rPr>
                                            <m:nor/>
                                          </m:rPr>
                                          <w:rPr>
                                            <w:rFonts w:ascii="Times New Roman" w:hAnsi="Times New Roman"/>
                                            <w:szCs w:val="20"/>
                                          </w:rPr>
                                          <m:t xml:space="preserve">56.1 </m:t>
                                        </m:r>
                                        <m:d>
                                          <m:dPr>
                                            <m:ctrlPr>
                                              <w:rPr>
                                                <w:rFonts w:ascii="Cambria Math" w:hAnsi="Cambria Math"/>
                                                <w:szCs w:val="20"/>
                                              </w:rPr>
                                            </m:ctrlPr>
                                          </m:dPr>
                                          <m:e>
                                            <m:r>
                                              <m:rPr>
                                                <m:nor/>
                                              </m:rPr>
                                              <w:rPr>
                                                <w:rFonts w:ascii="Times New Roman" w:hAnsi="Times New Roman"/>
                                                <w:szCs w:val="20"/>
                                              </w:rPr>
                                              <m:t>B-S</m:t>
                                            </m:r>
                                          </m:e>
                                        </m:d>
                                        <m:r>
                                          <m:rPr>
                                            <m:nor/>
                                          </m:rPr>
                                          <w:rPr>
                                            <w:rFonts w:ascii="Cambria Math" w:hAnsi="Times New Roman"/>
                                            <w:szCs w:val="20"/>
                                          </w:rPr>
                                          <m:t xml:space="preserve"> </m:t>
                                        </m:r>
                                        <m:r>
                                          <m:rPr>
                                            <m:nor/>
                                          </m:rPr>
                                          <w:rPr>
                                            <w:rFonts w:ascii="Times New Roman" w:hAnsi="Times New Roman"/>
                                            <w:szCs w:val="20"/>
                                          </w:rPr>
                                          <m:t>×</m:t>
                                        </m:r>
                                        <m:r>
                                          <m:rPr>
                                            <m:nor/>
                                          </m:rPr>
                                          <w:rPr>
                                            <w:rFonts w:ascii="Cambria Math" w:hAnsi="Times New Roman"/>
                                            <w:szCs w:val="20"/>
                                          </w:rPr>
                                          <m:t xml:space="preserve"> </m:t>
                                        </m:r>
                                        <m:r>
                                          <m:rPr>
                                            <m:nor/>
                                          </m:rPr>
                                          <w:rPr>
                                            <w:rFonts w:ascii="Times New Roman" w:hAnsi="Times New Roman"/>
                                            <w:szCs w:val="20"/>
                                          </w:rPr>
                                          <m:t>N</m:t>
                                        </m:r>
                                      </m:e>
                                    </m:d>
                                  </m:num>
                                  <m:den>
                                    <m:r>
                                      <m:rPr>
                                        <m:nor/>
                                      </m:rPr>
                                      <w:rPr>
                                        <w:rFonts w:ascii="Times New Roman" w:hAnsi="Times New Roman"/>
                                        <w:szCs w:val="20"/>
                                      </w:rPr>
                                      <m:t>w</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15pt;margin-top:10.55pt;width:180.5pt;height:31.25pt;z-index:2516648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" filled="f" stroked="f">
                <v:textbox style="mso-fit-shape-to-text:t">
                  <w:txbxContent>
                    <w:p w:rsidR="008D2AB9" w:rsidRPr="00DA7A87" w:rsidRDefault="008D2AB9" w:rsidP="008D2AB9">
                      <w:pPr>
                        <w:rPr>
                          <w:rFonts w:ascii="Times New Roman" w:hAnsi="Times New Roman"/>
                          <w:szCs w:val="20"/>
                        </w:rPr>
                      </w:pPr>
                      <m:oMathPara>
                        <m:oMath>
                          <m:r>
                            <m:rPr>
                              <m:nor/>
                            </m:rPr>
                            <w:rPr>
                              <w:rFonts w:ascii="Times New Roman" w:hAnsi="Times New Roman"/>
                              <w:szCs w:val="20"/>
                            </w:rPr>
                            <m:t>SV =</m:t>
                          </m:r>
                          <m:f>
                            <m:fPr>
                              <m:ctrlPr>
                                <w:rPr>
                                  <w:rFonts w:ascii="Cambria Math" w:hAnsi="Cambria Math"/>
                                  <w:szCs w:val="20"/>
                                </w:rPr>
                              </m:ctrlPr>
                            </m:fPr>
                            <m:num>
                              <m:d>
                                <m:dPr>
                                  <m:begChr m:val="["/>
                                  <m:endChr m:val="]"/>
                                  <m:ctrlPr>
                                    <w:rPr>
                                      <w:rFonts w:ascii="Cambria Math" w:hAnsi="Cambria Math"/>
                                      <w:szCs w:val="20"/>
                                    </w:rPr>
                                  </m:ctrlPr>
                                </m:dPr>
                                <m:e>
                                  <m:r>
                                    <m:rPr>
                                      <m:nor/>
                                    </m:rPr>
                                    <w:rPr>
                                      <w:rFonts w:ascii="Times New Roman" w:hAnsi="Times New Roman"/>
                                      <w:szCs w:val="20"/>
                                    </w:rPr>
                                    <m:t xml:space="preserve">56.1 </m:t>
                                  </m:r>
                                  <m:d>
                                    <m:dPr>
                                      <m:ctrlPr>
                                        <w:rPr>
                                          <w:rFonts w:ascii="Cambria Math" w:hAnsi="Cambria Math"/>
                                          <w:szCs w:val="20"/>
                                        </w:rPr>
                                      </m:ctrlPr>
                                    </m:dPr>
                                    <m:e>
                                      <m:r>
                                        <m:rPr>
                                          <m:nor/>
                                        </m:rPr>
                                        <w:rPr>
                                          <w:rFonts w:ascii="Times New Roman" w:hAnsi="Times New Roman"/>
                                          <w:szCs w:val="20"/>
                                        </w:rPr>
                                        <m:t>B-S</m:t>
                                      </m:r>
                                    </m:e>
                                  </m:d>
                                  <m:r>
                                    <m:rPr>
                                      <m:nor/>
                                    </m:rPr>
                                    <w:rPr>
                                      <w:rFonts w:ascii="Cambria Math" w:hAnsi="Times New Roman"/>
                                      <w:szCs w:val="20"/>
                                    </w:rPr>
                                    <m:t xml:space="preserve"> </m:t>
                                  </m:r>
                                  <m:r>
                                    <m:rPr>
                                      <m:nor/>
                                    </m:rPr>
                                    <w:rPr>
                                      <w:rFonts w:ascii="Times New Roman" w:hAnsi="Times New Roman"/>
                                      <w:szCs w:val="20"/>
                                    </w:rPr>
                                    <m:t>×</m:t>
                                  </m:r>
                                  <m:r>
                                    <m:rPr>
                                      <m:nor/>
                                    </m:rPr>
                                    <w:rPr>
                                      <w:rFonts w:ascii="Cambria Math" w:hAnsi="Times New Roman"/>
                                      <w:szCs w:val="20"/>
                                    </w:rPr>
                                    <m:t xml:space="preserve"> </m:t>
                                  </m:r>
                                  <m:r>
                                    <m:rPr>
                                      <m:nor/>
                                    </m:rPr>
                                    <w:rPr>
                                      <w:rFonts w:ascii="Times New Roman" w:hAnsi="Times New Roman"/>
                                      <w:szCs w:val="20"/>
                                    </w:rPr>
                                    <m:t>N</m:t>
                                  </m:r>
                                </m:e>
                              </m:d>
                            </m:num>
                            <m:den>
                              <m:r>
                                <m:rPr>
                                  <m:nor/>
                                </m:rPr>
                                <w:rPr>
                                  <w:rFonts w:ascii="Times New Roman" w:hAnsi="Times New Roman"/>
                                  <w:szCs w:val="20"/>
                                </w:rPr>
                                <m:t>w</m:t>
                              </m:r>
                            </m:den>
                          </m:f>
                        </m:oMath>
                      </m:oMathPara>
                    </w:p>
                  </w:txbxContent>
                </v:textbox>
              </v:shape>
            </w:pict>
          </mc:Fallback>
        </mc:AlternateContent>
      </w:r>
    </w:p>
    <w:p w:rsidR="008D2AB9" w:rsidRPr="008D2AB9" w:rsidRDefault="008D2AB9" w:rsidP="008D2AB9">
      <w:pPr>
        <w:pStyle w:val="Caption"/>
        <w:ind w:left="1004" w:firstLine="436"/>
        <w:jc w:val="both"/>
      </w:pPr>
      <w:r w:rsidRPr="008D2AB9">
        <w:tab/>
      </w:r>
      <w:r w:rsidRPr="008D2AB9">
        <w:tab/>
        <w:t xml:space="preserve"> </w:t>
      </w:r>
      <w:r w:rsidRPr="008D2AB9">
        <w:tab/>
      </w:r>
      <w:r w:rsidRPr="008D2AB9">
        <w:tab/>
      </w:r>
      <w:r w:rsidRPr="008D2AB9">
        <w:tab/>
      </w:r>
      <w:r w:rsidRPr="008D2AB9">
        <w:tab/>
      </w:r>
      <w:r w:rsidRPr="008D2AB9">
        <w:tab/>
      </w:r>
    </w:p>
    <w:p w:rsidR="008D2AB9" w:rsidRPr="008D2AB9" w:rsidRDefault="008D2AB9" w:rsidP="008D2AB9">
      <w:pPr>
        <w:pStyle w:val="Caption"/>
        <w:ind w:left="8204" w:firstLine="436"/>
        <w:jc w:val="both"/>
      </w:pPr>
      <w:r w:rsidRPr="008D2AB9">
        <w:t xml:space="preserve">  </w:t>
      </w:r>
      <w:r>
        <w:t xml:space="preserve">      </w:t>
      </w:r>
      <w:r w:rsidRPr="008D2AB9">
        <w:t xml:space="preserve"> (</w:t>
      </w:r>
      <w:r w:rsidRPr="008D2AB9">
        <w:fldChar w:fldCharType="begin"/>
      </w:r>
      <w:r w:rsidRPr="008D2AB9">
        <w:instrText xml:space="preserve"> SEQ Equation \* ARABIC </w:instrText>
      </w:r>
      <w:r w:rsidRPr="008D2AB9">
        <w:fldChar w:fldCharType="separate"/>
      </w:r>
      <w:r w:rsidR="004F21CF">
        <w:rPr>
          <w:noProof/>
        </w:rPr>
        <w:t>4</w:t>
      </w:r>
      <w:r w:rsidRPr="008D2AB9">
        <w:fldChar w:fldCharType="end"/>
      </w:r>
      <w:r w:rsidRPr="008D2AB9">
        <w:t>)</w:t>
      </w:r>
    </w:p>
    <w:p w:rsidR="008D2AB9" w:rsidRPr="008D2AB9" w:rsidRDefault="008D2AB9" w:rsidP="008D2AB9">
      <w:pPr>
        <w:adjustRightInd w:val="0"/>
        <w:spacing w:after="0" w:line="240" w:lineRule="auto"/>
        <w:jc w:val="both"/>
        <w:rPr>
          <w:rFonts w:ascii="Times New Roman" w:hAnsi="Times New Roman"/>
          <w:sz w:val="20"/>
          <w:szCs w:val="20"/>
        </w:rPr>
      </w:pPr>
    </w:p>
    <w:p w:rsid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where B is volume of 0.5 N HCl required by Blank, S is volume of 0.5 N HCl required by Sample, N is concentration value of HCl = 0.5 N and w is weight of resin in gram.</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b/>
          <w:sz w:val="20"/>
          <w:szCs w:val="20"/>
        </w:rPr>
      </w:pPr>
      <w:r w:rsidRPr="008D2AB9">
        <w:rPr>
          <w:rFonts w:ascii="Times New Roman" w:hAnsi="Times New Roman"/>
          <w:b/>
          <w:sz w:val="20"/>
          <w:szCs w:val="20"/>
        </w:rPr>
        <w:t>Iodine value</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The iodine value (IV) was calculated according to the Hanus method as described in the AOCS (Cd 1-25) [24].</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23C95064" wp14:editId="7D1DD6F4">
                <wp:simplePos x="0" y="0"/>
                <wp:positionH relativeFrom="column">
                  <wp:posOffset>154222</wp:posOffset>
                </wp:positionH>
                <wp:positionV relativeFrom="paragraph">
                  <wp:posOffset>46686</wp:posOffset>
                </wp:positionV>
                <wp:extent cx="2292350" cy="3968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6875"/>
                        </a:xfrm>
                        <a:prstGeom prst="rect">
                          <a:avLst/>
                        </a:prstGeom>
                        <a:noFill/>
                        <a:ln w="9525">
                          <a:noFill/>
                          <a:miter lim="800000"/>
                          <a:headEnd/>
                          <a:tailEnd/>
                        </a:ln>
                      </wps:spPr>
                      <wps:txbx>
                        <w:txbxContent>
                          <w:p w:rsidR="008D2AB9" w:rsidRPr="00DA7A87" w:rsidRDefault="008D2AB9" w:rsidP="008D2AB9">
                            <w:pPr>
                              <w:rPr>
                                <w:rFonts w:ascii="Times New Roman" w:hAnsi="Times New Roman"/>
                                <w:szCs w:val="20"/>
                              </w:rPr>
                            </w:pPr>
                            <m:oMathPara>
                              <m:oMath>
                                <m:r>
                                  <m:rPr>
                                    <m:nor/>
                                  </m:rPr>
                                  <w:rPr>
                                    <w:rFonts w:ascii="Times New Roman" w:hAnsi="Times New Roman"/>
                                    <w:szCs w:val="20"/>
                                  </w:rPr>
                                  <m:t>IV=</m:t>
                                </m:r>
                                <m:f>
                                  <m:fPr>
                                    <m:ctrlPr>
                                      <w:rPr>
                                        <w:rFonts w:ascii="Cambria Math" w:hAnsi="Cambria Math"/>
                                        <w:szCs w:val="20"/>
                                      </w:rPr>
                                    </m:ctrlPr>
                                  </m:fPr>
                                  <m:num>
                                    <m:d>
                                      <m:dPr>
                                        <m:begChr m:val="["/>
                                        <m:endChr m:val="]"/>
                                        <m:ctrlPr>
                                          <w:rPr>
                                            <w:rFonts w:ascii="Cambria Math" w:hAnsi="Cambria Math"/>
                                            <w:szCs w:val="20"/>
                                          </w:rPr>
                                        </m:ctrlPr>
                                      </m:dPr>
                                      <m:e>
                                        <m:d>
                                          <m:dPr>
                                            <m:ctrlPr>
                                              <w:rPr>
                                                <w:rFonts w:ascii="Cambria Math" w:hAnsi="Cambria Math"/>
                                                <w:szCs w:val="20"/>
                                              </w:rPr>
                                            </m:ctrlPr>
                                          </m:dPr>
                                          <m:e>
                                            <m:r>
                                              <m:rPr>
                                                <m:nor/>
                                              </m:rPr>
                                              <w:rPr>
                                                <w:rFonts w:ascii="Times New Roman" w:hAnsi="Times New Roman"/>
                                                <w:szCs w:val="20"/>
                                              </w:rPr>
                                              <m:t>B-S</m:t>
                                            </m:r>
                                          </m:e>
                                        </m:d>
                                        <m:r>
                                          <m:rPr>
                                            <m:nor/>
                                          </m:rPr>
                                          <w:rPr>
                                            <w:rFonts w:ascii="Times New Roman" w:hAnsi="Times New Roman"/>
                                            <w:szCs w:val="20"/>
                                          </w:rPr>
                                          <m:t>×N ×0.127 X 100</m:t>
                                        </m:r>
                                      </m:e>
                                    </m:d>
                                  </m:num>
                                  <m:den>
                                    <m:r>
                                      <m:rPr>
                                        <m:nor/>
                                      </m:rPr>
                                      <w:rPr>
                                        <w:rFonts w:ascii="Times New Roman" w:hAnsi="Times New Roman"/>
                                        <w:szCs w:val="20"/>
                                      </w:rPr>
                                      <m:t>w</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left:0;text-align:left;margin-left:12.15pt;margin-top:3.7pt;width:180.5pt;height:31.25pt;z-index:2516659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" filled="f" stroked="f">
                <v:textbox style="mso-fit-shape-to-text:t">
                  <w:txbxContent>
                    <w:p w:rsidR="008D2AB9" w:rsidRPr="00DA7A87" w:rsidRDefault="008D2AB9" w:rsidP="008D2AB9">
                      <w:pPr>
                        <w:rPr>
                          <w:rFonts w:ascii="Times New Roman" w:hAnsi="Times New Roman"/>
                          <w:szCs w:val="20"/>
                        </w:rPr>
                      </w:pPr>
                      <m:oMathPara>
                        <m:oMath>
                          <m:r>
                            <m:rPr>
                              <m:nor/>
                            </m:rPr>
                            <w:rPr>
                              <w:rFonts w:ascii="Times New Roman" w:hAnsi="Times New Roman"/>
                              <w:szCs w:val="20"/>
                            </w:rPr>
                            <m:t>IV=</m:t>
                          </m:r>
                          <m:f>
                            <m:fPr>
                              <m:ctrlPr>
                                <w:rPr>
                                  <w:rFonts w:ascii="Cambria Math" w:hAnsi="Cambria Math"/>
                                  <w:szCs w:val="20"/>
                                </w:rPr>
                              </m:ctrlPr>
                            </m:fPr>
                            <m:num>
                              <m:d>
                                <m:dPr>
                                  <m:begChr m:val="["/>
                                  <m:endChr m:val="]"/>
                                  <m:ctrlPr>
                                    <w:rPr>
                                      <w:rFonts w:ascii="Cambria Math" w:hAnsi="Cambria Math"/>
                                      <w:szCs w:val="20"/>
                                    </w:rPr>
                                  </m:ctrlPr>
                                </m:dPr>
                                <m:e>
                                  <m:d>
                                    <m:dPr>
                                      <m:ctrlPr>
                                        <w:rPr>
                                          <w:rFonts w:ascii="Cambria Math" w:hAnsi="Cambria Math"/>
                                          <w:szCs w:val="20"/>
                                        </w:rPr>
                                      </m:ctrlPr>
                                    </m:dPr>
                                    <m:e>
                                      <m:r>
                                        <m:rPr>
                                          <m:nor/>
                                        </m:rPr>
                                        <w:rPr>
                                          <w:rFonts w:ascii="Times New Roman" w:hAnsi="Times New Roman"/>
                                          <w:szCs w:val="20"/>
                                        </w:rPr>
                                        <m:t>B-S</m:t>
                                      </m:r>
                                    </m:e>
                                  </m:d>
                                  <m:r>
                                    <m:rPr>
                                      <m:nor/>
                                    </m:rPr>
                                    <w:rPr>
                                      <w:rFonts w:ascii="Times New Roman" w:hAnsi="Times New Roman"/>
                                      <w:szCs w:val="20"/>
                                    </w:rPr>
                                    <m:t>×N ×0.127 X 100</m:t>
                                  </m:r>
                                </m:e>
                              </m:d>
                            </m:num>
                            <m:den>
                              <m:r>
                                <m:rPr>
                                  <m:nor/>
                                </m:rPr>
                                <w:rPr>
                                  <w:rFonts w:ascii="Times New Roman" w:hAnsi="Times New Roman"/>
                                  <w:szCs w:val="20"/>
                                </w:rPr>
                                <m:t>w</m:t>
                              </m:r>
                            </m:den>
                          </m:f>
                        </m:oMath>
                      </m:oMathPara>
                    </w:p>
                  </w:txbxContent>
                </v:textbox>
              </v:shape>
            </w:pict>
          </mc:Fallback>
        </mc:AlternateContent>
      </w:r>
    </w:p>
    <w:p w:rsidR="008D2AB9" w:rsidRPr="008D2AB9" w:rsidRDefault="008D2AB9" w:rsidP="008D2AB9">
      <w:pPr>
        <w:pStyle w:val="Caption"/>
        <w:ind w:left="720" w:firstLine="436"/>
        <w:jc w:val="both"/>
      </w:pPr>
      <w:r w:rsidRPr="008D2AB9">
        <w:tab/>
      </w:r>
      <w:r w:rsidRPr="008D2AB9">
        <w:tab/>
      </w:r>
      <w:r w:rsidRPr="008D2AB9">
        <w:tab/>
      </w:r>
      <w:r w:rsidRPr="008D2AB9">
        <w:tab/>
      </w:r>
      <w:r w:rsidRPr="008D2AB9">
        <w:tab/>
      </w:r>
      <w:r w:rsidRPr="008D2AB9">
        <w:tab/>
      </w:r>
      <w:r w:rsidRPr="008D2AB9">
        <w:tab/>
      </w:r>
      <w:r w:rsidRPr="008D2AB9">
        <w:tab/>
      </w:r>
      <w:r w:rsidRPr="008D2AB9">
        <w:tab/>
      </w:r>
      <w:r w:rsidRPr="008D2AB9">
        <w:tab/>
      </w:r>
      <w:r w:rsidRPr="008D2AB9">
        <w:tab/>
        <w:t xml:space="preserve">  </w:t>
      </w:r>
      <w:r>
        <w:t xml:space="preserve">      </w:t>
      </w:r>
      <w:r w:rsidRPr="008D2AB9">
        <w:t xml:space="preserve"> (</w:t>
      </w:r>
      <w:r w:rsidRPr="008D2AB9">
        <w:fldChar w:fldCharType="begin"/>
      </w:r>
      <w:r w:rsidRPr="008D2AB9">
        <w:instrText xml:space="preserve"> SEQ Equation \* ARABIC </w:instrText>
      </w:r>
      <w:r w:rsidRPr="008D2AB9">
        <w:fldChar w:fldCharType="separate"/>
      </w:r>
      <w:r w:rsidR="004F21CF">
        <w:rPr>
          <w:noProof/>
        </w:rPr>
        <w:t>5</w:t>
      </w:r>
      <w:r w:rsidRPr="008D2AB9">
        <w:fldChar w:fldCharType="end"/>
      </w:r>
      <w:r w:rsidRPr="008D2AB9">
        <w:t>)</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where B is volume of 0.1 N sodium thiosulfate required by Blank, S is volume of 0.1 N sodium thiosulfate required by Sample, N is concentration value of sodium thiosulfate = 0.1 N and w is weight of resin in gram.</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b/>
          <w:sz w:val="20"/>
          <w:szCs w:val="20"/>
        </w:rPr>
      </w:pPr>
      <w:r w:rsidRPr="008D2AB9">
        <w:rPr>
          <w:rFonts w:ascii="Times New Roman" w:hAnsi="Times New Roman"/>
          <w:b/>
          <w:sz w:val="20"/>
          <w:szCs w:val="20"/>
        </w:rPr>
        <w:t xml:space="preserve">Ester value </w:t>
      </w: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 xml:space="preserve">Ester Value (EV) is defined as the mg of KOH required to react with ester content (glycerin or glycerol) after saponification one gram of fat. EV was determined by the equation described in literatures [25-27], where the EV is defined as the difference between the saponification value and acid value: </w:t>
      </w:r>
    </w:p>
    <w:p w:rsidR="008D2AB9" w:rsidRPr="008D2AB9" w:rsidRDefault="008D2AB9" w:rsidP="008D2AB9">
      <w:pPr>
        <w:pStyle w:val="Caption"/>
        <w:ind w:left="720" w:firstLine="436"/>
        <w:jc w:val="both"/>
      </w:pPr>
    </w:p>
    <w:p w:rsidR="008D2AB9" w:rsidRPr="008D2AB9" w:rsidRDefault="008D2AB9" w:rsidP="008D2AB9">
      <w:pPr>
        <w:pStyle w:val="Caption"/>
        <w:ind w:left="720" w:firstLine="0"/>
        <w:jc w:val="both"/>
      </w:pPr>
      <w:r w:rsidRPr="008D2AB9">
        <w:t xml:space="preserve">  </w:t>
      </w:r>
      <m:oMath>
        <m:r>
          <m:rPr>
            <m:nor/>
          </m:rPr>
          <m:t>EV = SV -</m:t>
        </m:r>
      </m:oMath>
      <w:r w:rsidRPr="008D2AB9">
        <w:t xml:space="preserve"> </w:t>
      </w:r>
      <m:oMath>
        <m:r>
          <m:rPr>
            <m:nor/>
          </m:rPr>
          <m:t>AV</m:t>
        </m:r>
      </m:oMath>
      <w:r w:rsidRPr="008D2AB9">
        <w:tab/>
      </w:r>
      <w:r w:rsidRPr="008D2AB9">
        <w:tab/>
      </w:r>
      <w:r w:rsidRPr="008D2AB9">
        <w:tab/>
      </w:r>
      <w:r w:rsidRPr="008D2AB9">
        <w:tab/>
      </w:r>
      <w:r w:rsidRPr="008D2AB9">
        <w:tab/>
      </w:r>
      <w:r w:rsidRPr="008D2AB9">
        <w:tab/>
      </w:r>
      <w:r w:rsidRPr="008D2AB9">
        <w:tab/>
      </w:r>
      <w:r w:rsidRPr="008D2AB9">
        <w:tab/>
      </w:r>
      <w:r w:rsidRPr="008D2AB9">
        <w:tab/>
      </w:r>
      <w:r w:rsidRPr="008D2AB9">
        <w:tab/>
        <w:t xml:space="preserve">   </w:t>
      </w:r>
      <w:r>
        <w:t xml:space="preserve">      </w:t>
      </w:r>
      <w:r w:rsidRPr="008D2AB9">
        <w:t>(</w:t>
      </w:r>
      <w:r w:rsidRPr="008D2AB9">
        <w:fldChar w:fldCharType="begin"/>
      </w:r>
      <w:r w:rsidRPr="008D2AB9">
        <w:instrText xml:space="preserve"> SEQ Equation \* ARABIC </w:instrText>
      </w:r>
      <w:r w:rsidRPr="008D2AB9">
        <w:fldChar w:fldCharType="separate"/>
      </w:r>
      <w:r w:rsidR="004F21CF">
        <w:rPr>
          <w:noProof/>
        </w:rPr>
        <w:t>6</w:t>
      </w:r>
      <w:r w:rsidRPr="008D2AB9">
        <w:fldChar w:fldCharType="end"/>
      </w:r>
      <w:r w:rsidRPr="008D2AB9">
        <w:t>)</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bCs/>
          <w:sz w:val="20"/>
          <w:szCs w:val="20"/>
        </w:rPr>
      </w:pPr>
      <w:r w:rsidRPr="008D2AB9">
        <w:rPr>
          <w:rFonts w:ascii="Times New Roman" w:hAnsi="Times New Roman"/>
          <w:sz w:val="20"/>
          <w:szCs w:val="20"/>
        </w:rPr>
        <w:t xml:space="preserve">where </w:t>
      </w:r>
      <w:r w:rsidRPr="008D2AB9">
        <w:rPr>
          <w:rFonts w:ascii="Times New Roman" w:hAnsi="Times New Roman"/>
          <w:bCs/>
          <w:sz w:val="20"/>
          <w:szCs w:val="20"/>
        </w:rPr>
        <w:t>SV is saponification value and AV is acid value of sample.</w:t>
      </w:r>
    </w:p>
    <w:p w:rsidR="008D2AB9" w:rsidRPr="008D2AB9" w:rsidRDefault="008D2AB9" w:rsidP="008D2AB9">
      <w:pPr>
        <w:adjustRightInd w:val="0"/>
        <w:spacing w:after="0" w:line="240" w:lineRule="auto"/>
        <w:jc w:val="both"/>
        <w:rPr>
          <w:rFonts w:ascii="Times New Roman" w:hAnsi="Times New Roman"/>
          <w:bCs/>
          <w:sz w:val="20"/>
          <w:szCs w:val="20"/>
        </w:rPr>
      </w:pPr>
    </w:p>
    <w:p w:rsidR="008D2AB9" w:rsidRPr="008D2AB9" w:rsidRDefault="008D2AB9" w:rsidP="008D2AB9">
      <w:pPr>
        <w:spacing w:after="0" w:line="240" w:lineRule="auto"/>
        <w:jc w:val="both"/>
        <w:rPr>
          <w:rFonts w:ascii="Times New Roman" w:hAnsi="Times New Roman"/>
          <w:b/>
          <w:sz w:val="20"/>
          <w:szCs w:val="20"/>
        </w:rPr>
      </w:pPr>
      <w:r w:rsidRPr="008D2AB9">
        <w:rPr>
          <w:rFonts w:ascii="Times New Roman" w:hAnsi="Times New Roman"/>
          <w:b/>
          <w:sz w:val="20"/>
          <w:szCs w:val="20"/>
        </w:rPr>
        <w:t>Percentage of ester</w:t>
      </w:r>
    </w:p>
    <w:p w:rsidR="008D2AB9" w:rsidRPr="008D2AB9" w:rsidRDefault="008D2AB9" w:rsidP="008D2AB9">
      <w:pPr>
        <w:spacing w:after="0" w:line="240" w:lineRule="auto"/>
        <w:jc w:val="both"/>
        <w:rPr>
          <w:rFonts w:ascii="Times New Roman" w:hAnsi="Times New Roman"/>
          <w:bCs/>
          <w:sz w:val="20"/>
          <w:szCs w:val="20"/>
        </w:rPr>
      </w:pPr>
      <w:r w:rsidRPr="008D2AB9">
        <w:rPr>
          <w:rFonts w:ascii="Times New Roman" w:hAnsi="Times New Roman"/>
          <w:bCs/>
          <w:sz w:val="20"/>
          <w:szCs w:val="20"/>
        </w:rPr>
        <w:t xml:space="preserve">Percentage of ester was calculated from ester value and molecular weight by the Equation (7) described by Lubrizol [27]: </w:t>
      </w: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i/>
          <w:noProof/>
          <w:sz w:val="20"/>
          <w:szCs w:val="20"/>
          <w:lang w:bidi="ar-SA"/>
        </w:rPr>
        <mc:AlternateContent>
          <mc:Choice Requires="wps">
            <w:drawing>
              <wp:anchor distT="0" distB="0" distL="114300" distR="114300" simplePos="0" relativeHeight="251666944" behindDoc="0" locked="0" layoutInCell="1" allowOverlap="1" wp14:anchorId="7CCC4B8B" wp14:editId="447B0BE8">
                <wp:simplePos x="0" y="0"/>
                <wp:positionH relativeFrom="column">
                  <wp:posOffset>47128</wp:posOffset>
                </wp:positionH>
                <wp:positionV relativeFrom="paragraph">
                  <wp:posOffset>87244</wp:posOffset>
                </wp:positionV>
                <wp:extent cx="2292350" cy="396875"/>
                <wp:effectExtent l="0" t="0" r="0" b="31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6875"/>
                        </a:xfrm>
                        <a:prstGeom prst="rect">
                          <a:avLst/>
                        </a:prstGeom>
                        <a:noFill/>
                        <a:ln w="9525">
                          <a:noFill/>
                          <a:miter lim="800000"/>
                          <a:headEnd/>
                          <a:tailEnd/>
                        </a:ln>
                      </wps:spPr>
                      <wps:txbx>
                        <w:txbxContent>
                          <w:p w:rsidR="008D2AB9" w:rsidRPr="001461C6" w:rsidRDefault="008D2AB9" w:rsidP="008D2AB9">
                            <w:pPr>
                              <w:rPr>
                                <w:rFonts w:ascii="Times New Roman" w:hAnsi="Times New Roman"/>
                                <w:szCs w:val="20"/>
                              </w:rPr>
                            </w:pPr>
                            <m:oMathPara>
                              <m:oMath>
                                <m:r>
                                  <m:rPr>
                                    <m:nor/>
                                  </m:rPr>
                                  <w:rPr>
                                    <w:rFonts w:ascii="Times New Roman" w:hAnsi="Times New Roman"/>
                                    <w:szCs w:val="20"/>
                                  </w:rPr>
                                  <m:t>% Ester</m:t>
                                </m:r>
                                <m:r>
                                  <m:rPr>
                                    <m:nor/>
                                  </m:rPr>
                                  <w:rPr>
                                    <w:rFonts w:ascii="Cambria Math" w:hAnsi="Times New Roman"/>
                                    <w:szCs w:val="20"/>
                                  </w:rPr>
                                  <m:t xml:space="preserve"> </m:t>
                                </m:r>
                                <m:r>
                                  <m:rPr>
                                    <m:nor/>
                                  </m:rPr>
                                  <w:rPr>
                                    <w:rFonts w:ascii="Times New Roman" w:hAnsi="Times New Roman"/>
                                    <w:szCs w:val="20"/>
                                  </w:rPr>
                                  <m:t>=</m:t>
                                </m:r>
                                <m:r>
                                  <m:rPr>
                                    <m:nor/>
                                  </m:rPr>
                                  <w:rPr>
                                    <w:rFonts w:ascii="Cambria Math" w:hAnsi="Times New Roman"/>
                                    <w:szCs w:val="20"/>
                                  </w:rPr>
                                  <m:t xml:space="preserve"> </m:t>
                                </m:r>
                                <m:f>
                                  <m:fPr>
                                    <m:ctrlPr>
                                      <w:rPr>
                                        <w:rFonts w:ascii="Cambria Math" w:hAnsi="Cambria Math"/>
                                        <w:szCs w:val="20"/>
                                      </w:rPr>
                                    </m:ctrlPr>
                                  </m:fPr>
                                  <m:num>
                                    <m:d>
                                      <m:dPr>
                                        <m:begChr m:val="["/>
                                        <m:endChr m:val="]"/>
                                        <m:ctrlPr>
                                          <w:rPr>
                                            <w:rFonts w:ascii="Cambria Math" w:hAnsi="Cambria Math"/>
                                            <w:szCs w:val="20"/>
                                          </w:rPr>
                                        </m:ctrlPr>
                                      </m:dPr>
                                      <m:e>
                                        <m:d>
                                          <m:dPr>
                                            <m:ctrlPr>
                                              <w:rPr>
                                                <w:rFonts w:ascii="Cambria Math" w:hAnsi="Cambria Math"/>
                                                <w:szCs w:val="20"/>
                                              </w:rPr>
                                            </m:ctrlPr>
                                          </m:dPr>
                                          <m:e>
                                            <m:r>
                                              <m:rPr>
                                                <m:nor/>
                                              </m:rPr>
                                              <w:rPr>
                                                <w:rFonts w:ascii="Times New Roman" w:hAnsi="Times New Roman"/>
                                                <w:szCs w:val="20"/>
                                              </w:rPr>
                                              <m:t>EV</m:t>
                                            </m:r>
                                          </m:e>
                                        </m:d>
                                        <m:d>
                                          <m:dPr>
                                            <m:ctrlPr>
                                              <w:rPr>
                                                <w:rFonts w:ascii="Cambria Math" w:hAnsi="Cambria Math"/>
                                                <w:szCs w:val="20"/>
                                              </w:rPr>
                                            </m:ctrlPr>
                                          </m:dPr>
                                          <m:e>
                                            <m:r>
                                              <m:rPr>
                                                <m:nor/>
                                              </m:rPr>
                                              <w:rPr>
                                                <w:rFonts w:ascii="Times New Roman" w:hAnsi="Times New Roman"/>
                                                <w:szCs w:val="20"/>
                                              </w:rPr>
                                              <m:t>MW ester</m:t>
                                            </m:r>
                                          </m:e>
                                        </m:d>
                                      </m:e>
                                    </m:d>
                                  </m:num>
                                  <m:den>
                                    <m:r>
                                      <m:rPr>
                                        <m:nor/>
                                      </m:rPr>
                                      <w:rPr>
                                        <w:rFonts w:ascii="Times New Roman" w:hAnsi="Times New Roman"/>
                                        <w:szCs w:val="20"/>
                                      </w:rPr>
                                      <m:t>10 × 56.1</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left:0;text-align:left;margin-left:3.7pt;margin-top:6.85pt;width:180.5pt;height:31.25pt;z-index:2516669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" filled="f" stroked="f">
                <v:textbox style="mso-fit-shape-to-text:t">
                  <w:txbxContent>
                    <w:p w:rsidR="008D2AB9" w:rsidRPr="001461C6" w:rsidRDefault="008D2AB9" w:rsidP="008D2AB9">
                      <w:pPr>
                        <w:rPr>
                          <w:rFonts w:ascii="Times New Roman" w:hAnsi="Times New Roman"/>
                          <w:szCs w:val="20"/>
                        </w:rPr>
                      </w:pPr>
                      <m:oMathPara>
                        <m:oMath>
                          <m:r>
                            <m:rPr>
                              <m:nor/>
                            </m:rPr>
                            <w:rPr>
                              <w:rFonts w:ascii="Times New Roman" w:hAnsi="Times New Roman"/>
                              <w:szCs w:val="20"/>
                            </w:rPr>
                            <m:t>% Ester</m:t>
                          </m:r>
                          <m:r>
                            <m:rPr>
                              <m:nor/>
                            </m:rPr>
                            <w:rPr>
                              <w:rFonts w:ascii="Cambria Math" w:hAnsi="Times New Roman"/>
                              <w:szCs w:val="20"/>
                            </w:rPr>
                            <m:t xml:space="preserve"> </m:t>
                          </m:r>
                          <m:r>
                            <m:rPr>
                              <m:nor/>
                            </m:rPr>
                            <w:rPr>
                              <w:rFonts w:ascii="Times New Roman" w:hAnsi="Times New Roman"/>
                              <w:szCs w:val="20"/>
                            </w:rPr>
                            <m:t>=</m:t>
                          </m:r>
                          <m:r>
                            <m:rPr>
                              <m:nor/>
                            </m:rPr>
                            <w:rPr>
                              <w:rFonts w:ascii="Cambria Math" w:hAnsi="Times New Roman"/>
                              <w:szCs w:val="20"/>
                            </w:rPr>
                            <m:t xml:space="preserve"> </m:t>
                          </m:r>
                          <m:f>
                            <m:fPr>
                              <m:ctrlPr>
                                <w:rPr>
                                  <w:rFonts w:ascii="Cambria Math" w:hAnsi="Cambria Math"/>
                                  <w:szCs w:val="20"/>
                                </w:rPr>
                              </m:ctrlPr>
                            </m:fPr>
                            <m:num>
                              <m:d>
                                <m:dPr>
                                  <m:begChr m:val="["/>
                                  <m:endChr m:val="]"/>
                                  <m:ctrlPr>
                                    <w:rPr>
                                      <w:rFonts w:ascii="Cambria Math" w:hAnsi="Cambria Math"/>
                                      <w:szCs w:val="20"/>
                                    </w:rPr>
                                  </m:ctrlPr>
                                </m:dPr>
                                <m:e>
                                  <m:d>
                                    <m:dPr>
                                      <m:ctrlPr>
                                        <w:rPr>
                                          <w:rFonts w:ascii="Cambria Math" w:hAnsi="Cambria Math"/>
                                          <w:szCs w:val="20"/>
                                        </w:rPr>
                                      </m:ctrlPr>
                                    </m:dPr>
                                    <m:e>
                                      <m:r>
                                        <m:rPr>
                                          <m:nor/>
                                        </m:rPr>
                                        <w:rPr>
                                          <w:rFonts w:ascii="Times New Roman" w:hAnsi="Times New Roman"/>
                                          <w:szCs w:val="20"/>
                                        </w:rPr>
                                        <m:t>EV</m:t>
                                      </m:r>
                                    </m:e>
                                  </m:d>
                                  <m:d>
                                    <m:dPr>
                                      <m:ctrlPr>
                                        <w:rPr>
                                          <w:rFonts w:ascii="Cambria Math" w:hAnsi="Cambria Math"/>
                                          <w:szCs w:val="20"/>
                                        </w:rPr>
                                      </m:ctrlPr>
                                    </m:dPr>
                                    <m:e>
                                      <m:r>
                                        <m:rPr>
                                          <m:nor/>
                                        </m:rPr>
                                        <w:rPr>
                                          <w:rFonts w:ascii="Times New Roman" w:hAnsi="Times New Roman"/>
                                          <w:szCs w:val="20"/>
                                        </w:rPr>
                                        <m:t>MW ester</m:t>
                                      </m:r>
                                    </m:e>
                                  </m:d>
                                </m:e>
                              </m:d>
                            </m:num>
                            <m:den>
                              <m:r>
                                <m:rPr>
                                  <m:nor/>
                                </m:rPr>
                                <w:rPr>
                                  <w:rFonts w:ascii="Times New Roman" w:hAnsi="Times New Roman"/>
                                  <w:szCs w:val="20"/>
                                </w:rPr>
                                <m:t>10 × 56.1</m:t>
                              </m:r>
                            </m:den>
                          </m:f>
                        </m:oMath>
                      </m:oMathPara>
                    </w:p>
                  </w:txbxContent>
                </v:textbox>
              </v:shape>
            </w:pict>
          </mc:Fallback>
        </mc:AlternateContent>
      </w:r>
    </w:p>
    <w:p w:rsidR="008D2AB9" w:rsidRPr="008D2AB9" w:rsidRDefault="008D2AB9" w:rsidP="008D2AB9">
      <w:pPr>
        <w:pStyle w:val="Caption"/>
        <w:ind w:firstLine="436"/>
        <w:jc w:val="both"/>
      </w:pPr>
      <w:r w:rsidRPr="008D2AB9">
        <w:tab/>
      </w:r>
      <w:r w:rsidRPr="008D2AB9">
        <w:tab/>
      </w:r>
      <w:r w:rsidRPr="008D2AB9">
        <w:tab/>
      </w:r>
      <w:r w:rsidRPr="008D2AB9">
        <w:tab/>
      </w:r>
      <w:r w:rsidRPr="008D2AB9">
        <w:tab/>
      </w:r>
      <w:r w:rsidRPr="008D2AB9">
        <w:tab/>
      </w:r>
      <w:r w:rsidRPr="008D2AB9">
        <w:tab/>
      </w:r>
      <w:r w:rsidRPr="008D2AB9">
        <w:tab/>
      </w:r>
      <w:r w:rsidRPr="008D2AB9">
        <w:tab/>
      </w:r>
    </w:p>
    <w:p w:rsidR="008D2AB9" w:rsidRPr="008D2AB9" w:rsidRDefault="008D2AB9" w:rsidP="008D2AB9">
      <w:pPr>
        <w:pStyle w:val="Caption"/>
        <w:ind w:left="8640" w:firstLine="0"/>
        <w:jc w:val="both"/>
      </w:pPr>
      <w:r w:rsidRPr="008D2AB9">
        <w:t xml:space="preserve">  </w:t>
      </w:r>
      <w:r>
        <w:t xml:space="preserve">      </w:t>
      </w:r>
      <w:r w:rsidRPr="008D2AB9">
        <w:t xml:space="preserve"> (</w:t>
      </w:r>
      <w:r w:rsidRPr="008D2AB9">
        <w:fldChar w:fldCharType="begin"/>
      </w:r>
      <w:r w:rsidRPr="008D2AB9">
        <w:instrText xml:space="preserve"> SEQ Equation \* ARABIC </w:instrText>
      </w:r>
      <w:r w:rsidRPr="008D2AB9">
        <w:fldChar w:fldCharType="separate"/>
      </w:r>
      <w:r w:rsidR="004F21CF">
        <w:rPr>
          <w:noProof/>
        </w:rPr>
        <w:t>7</w:t>
      </w:r>
      <w:r w:rsidRPr="008D2AB9">
        <w:fldChar w:fldCharType="end"/>
      </w:r>
      <w:r w:rsidRPr="008D2AB9">
        <w:t>)</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 xml:space="preserve">where EV is ester value of sample </w:t>
      </w:r>
      <w:r w:rsidRPr="008D2AB9">
        <w:rPr>
          <w:rFonts w:ascii="Times New Roman" w:hAnsi="Times New Roman"/>
          <w:bCs/>
          <w:sz w:val="20"/>
          <w:szCs w:val="20"/>
        </w:rPr>
        <w:t xml:space="preserve">and the value calculated following Equation (6) </w:t>
      </w:r>
      <w:r w:rsidRPr="008D2AB9">
        <w:rPr>
          <w:rFonts w:ascii="Times New Roman" w:hAnsi="Times New Roman"/>
          <w:sz w:val="20"/>
          <w:szCs w:val="20"/>
        </w:rPr>
        <w:t>and MW is molecular weight of ester = 126.11 g/mol.</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b/>
          <w:sz w:val="20"/>
          <w:szCs w:val="20"/>
        </w:rPr>
      </w:pPr>
      <w:r w:rsidRPr="008D2AB9">
        <w:rPr>
          <w:rFonts w:ascii="Times New Roman" w:hAnsi="Times New Roman"/>
          <w:b/>
          <w:sz w:val="20"/>
          <w:szCs w:val="20"/>
        </w:rPr>
        <w:t>Hydroxyl value</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The OHV was calculated according to the test method ASTM D4274-99 Method C [28].</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3F849939" wp14:editId="5CF706A8">
                <wp:simplePos x="0" y="0"/>
                <wp:positionH relativeFrom="column">
                  <wp:posOffset>0</wp:posOffset>
                </wp:positionH>
                <wp:positionV relativeFrom="paragraph">
                  <wp:posOffset>9525</wp:posOffset>
                </wp:positionV>
                <wp:extent cx="2292350" cy="4667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66725"/>
                        </a:xfrm>
                        <a:prstGeom prst="rect">
                          <a:avLst/>
                        </a:prstGeom>
                        <a:noFill/>
                        <a:ln w="9525">
                          <a:noFill/>
                          <a:miter lim="800000"/>
                          <a:headEnd/>
                          <a:tailEnd/>
                        </a:ln>
                      </wps:spPr>
                      <wps:txbx>
                        <w:txbxContent>
                          <w:p w:rsidR="008D2AB9" w:rsidRDefault="008D2AB9" w:rsidP="008D2AB9">
                            <m:oMathPara>
                              <m:oMath>
                                <m:r>
                                  <m:rPr>
                                    <m:nor/>
                                  </m:rPr>
                                  <w:rPr>
                                    <w:rFonts w:ascii="Times New Roman" w:hAnsi="Times New Roman"/>
                                    <w:szCs w:val="20"/>
                                  </w:rPr>
                                  <m:t>OHV =</m:t>
                                </m:r>
                                <m:f>
                                  <m:fPr>
                                    <m:ctrlPr>
                                      <w:rPr>
                                        <w:rFonts w:ascii="Cambria Math" w:hAnsi="Cambria Math"/>
                                        <w:szCs w:val="20"/>
                                      </w:rPr>
                                    </m:ctrlPr>
                                  </m:fPr>
                                  <m:num>
                                    <m:d>
                                      <m:dPr>
                                        <m:ctrlPr>
                                          <w:rPr>
                                            <w:rFonts w:ascii="Cambria Math" w:hAnsi="Cambria Math"/>
                                            <w:szCs w:val="20"/>
                                          </w:rPr>
                                        </m:ctrlPr>
                                      </m:dPr>
                                      <m:e>
                                        <m:r>
                                          <m:rPr>
                                            <m:nor/>
                                          </m:rPr>
                                          <w:rPr>
                                            <w:rFonts w:ascii="Times New Roman" w:hAnsi="Times New Roman"/>
                                            <w:szCs w:val="20"/>
                                          </w:rPr>
                                          <m:t>B-S</m:t>
                                        </m:r>
                                      </m:e>
                                    </m:d>
                                    <m:r>
                                      <m:rPr>
                                        <m:nor/>
                                      </m:rPr>
                                      <w:rPr>
                                        <w:rFonts w:ascii="Times New Roman" w:hAnsi="Times New Roman"/>
                                        <w:szCs w:val="20"/>
                                      </w:rPr>
                                      <m:t>×28.05</m:t>
                                    </m:r>
                                  </m:num>
                                  <m:den>
                                    <m:r>
                                      <m:rPr>
                                        <m:nor/>
                                      </m:rPr>
                                      <w:rPr>
                                        <w:rFonts w:ascii="Times New Roman" w:hAnsi="Times New Roman"/>
                                        <w:szCs w:val="20"/>
                                      </w:rPr>
                                      <m:t>w</m:t>
                                    </m:r>
                                  </m:den>
                                </m:f>
                                <m:r>
                                  <m:rPr>
                                    <m:nor/>
                                  </m:rPr>
                                  <w:rPr>
                                    <w:rFonts w:ascii="Times New Roman" w:hAnsi="Times New Roman"/>
                                    <w:szCs w:val="20"/>
                                  </w:rPr>
                                  <m:t xml:space="preserve">  + AV</m:t>
                                </m:r>
                              </m:oMath>
                            </m:oMathPara>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left:0;text-align:left;margin-left:0;margin-top:.75pt;width:180.5pt;height:36.75pt;z-index:2516628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" filled="f" stroked="f">
                <v:textbox>
                  <w:txbxContent>
                    <w:p w:rsidR="008D2AB9" w:rsidRDefault="008D2AB9" w:rsidP="008D2AB9">
                      <m:oMathPara>
                        <m:oMath>
                          <m:r>
                            <m:rPr>
                              <m:nor/>
                            </m:rPr>
                            <w:rPr>
                              <w:rFonts w:ascii="Times New Roman" w:hAnsi="Times New Roman"/>
                              <w:szCs w:val="20"/>
                            </w:rPr>
                            <m:t>OHV =</m:t>
                          </m:r>
                          <m:f>
                            <m:fPr>
                              <m:ctrlPr>
                                <w:rPr>
                                  <w:rFonts w:ascii="Cambria Math" w:hAnsi="Cambria Math"/>
                                  <w:szCs w:val="20"/>
                                </w:rPr>
                              </m:ctrlPr>
                            </m:fPr>
                            <m:num>
                              <m:d>
                                <m:dPr>
                                  <m:ctrlPr>
                                    <w:rPr>
                                      <w:rFonts w:ascii="Cambria Math" w:hAnsi="Cambria Math"/>
                                      <w:szCs w:val="20"/>
                                    </w:rPr>
                                  </m:ctrlPr>
                                </m:dPr>
                                <m:e>
                                  <m:r>
                                    <m:rPr>
                                      <m:nor/>
                                    </m:rPr>
                                    <w:rPr>
                                      <w:rFonts w:ascii="Times New Roman" w:hAnsi="Times New Roman"/>
                                      <w:szCs w:val="20"/>
                                    </w:rPr>
                                    <m:t>B-S</m:t>
                                  </m:r>
                                </m:e>
                              </m:d>
                              <m:r>
                                <m:rPr>
                                  <m:nor/>
                                </m:rPr>
                                <w:rPr>
                                  <w:rFonts w:ascii="Times New Roman" w:hAnsi="Times New Roman"/>
                                  <w:szCs w:val="20"/>
                                </w:rPr>
                                <m:t>×28.05</m:t>
                              </m:r>
                            </m:num>
                            <m:den>
                              <m:r>
                                <m:rPr>
                                  <m:nor/>
                                </m:rPr>
                                <w:rPr>
                                  <w:rFonts w:ascii="Times New Roman" w:hAnsi="Times New Roman"/>
                                  <w:szCs w:val="20"/>
                                </w:rPr>
                                <m:t>w</m:t>
                              </m:r>
                            </m:den>
                          </m:f>
                          <m:r>
                            <m:rPr>
                              <m:nor/>
                            </m:rPr>
                            <w:rPr>
                              <w:rFonts w:ascii="Times New Roman" w:hAnsi="Times New Roman"/>
                              <w:szCs w:val="20"/>
                            </w:rPr>
                            <m:t xml:space="preserve">  + AV</m:t>
                          </m:r>
                        </m:oMath>
                      </m:oMathPara>
                    </w:p>
                  </w:txbxContent>
                </v:textbox>
              </v:shape>
            </w:pict>
          </mc:Fallback>
        </mc:AlternateContent>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t xml:space="preserve">                              </w:t>
      </w:r>
      <w:r>
        <w:rPr>
          <w:rFonts w:ascii="Times New Roman" w:hAnsi="Times New Roman"/>
          <w:sz w:val="20"/>
          <w:szCs w:val="20"/>
        </w:rPr>
        <w:t xml:space="preserve">      </w:t>
      </w:r>
      <w:r w:rsidRPr="008D2AB9">
        <w:rPr>
          <w:rFonts w:ascii="Times New Roman" w:hAnsi="Times New Roman"/>
          <w:sz w:val="20"/>
          <w:szCs w:val="20"/>
        </w:rPr>
        <w:t xml:space="preserve"> (</w:t>
      </w:r>
      <w:r w:rsidRPr="008D2AB9">
        <w:rPr>
          <w:rFonts w:ascii="Times New Roman" w:hAnsi="Times New Roman"/>
          <w:sz w:val="20"/>
          <w:szCs w:val="20"/>
        </w:rPr>
        <w:fldChar w:fldCharType="begin"/>
      </w:r>
      <w:r w:rsidRPr="008D2AB9">
        <w:rPr>
          <w:rFonts w:ascii="Times New Roman" w:hAnsi="Times New Roman"/>
          <w:sz w:val="20"/>
          <w:szCs w:val="20"/>
        </w:rPr>
        <w:instrText xml:space="preserve"> SEQ Equation \* ARABIC </w:instrText>
      </w:r>
      <w:r w:rsidRPr="008D2AB9">
        <w:rPr>
          <w:rFonts w:ascii="Times New Roman" w:hAnsi="Times New Roman"/>
          <w:sz w:val="20"/>
          <w:szCs w:val="20"/>
        </w:rPr>
        <w:fldChar w:fldCharType="separate"/>
      </w:r>
      <w:r w:rsidR="004F21CF">
        <w:rPr>
          <w:rFonts w:ascii="Times New Roman" w:hAnsi="Times New Roman"/>
          <w:noProof/>
          <w:sz w:val="20"/>
          <w:szCs w:val="20"/>
        </w:rPr>
        <w:t>8</w:t>
      </w:r>
      <w:r w:rsidRPr="008D2AB9">
        <w:rPr>
          <w:rFonts w:ascii="Times New Roman" w:hAnsi="Times New Roman"/>
          <w:sz w:val="20"/>
          <w:szCs w:val="20"/>
        </w:rPr>
        <w:fldChar w:fldCharType="end"/>
      </w:r>
      <w:r w:rsidRPr="008D2AB9">
        <w:rPr>
          <w:rFonts w:ascii="Times New Roman" w:hAnsi="Times New Roman"/>
          <w:sz w:val="20"/>
          <w:szCs w:val="20"/>
        </w:rPr>
        <w:t>)</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Pr>
          <w:rFonts w:ascii="Times New Roman" w:hAnsi="Times New Roman"/>
          <w:sz w:val="20"/>
          <w:szCs w:val="20"/>
        </w:rPr>
        <w:t>w</w:t>
      </w:r>
      <w:r w:rsidRPr="008D2AB9">
        <w:rPr>
          <w:rFonts w:ascii="Times New Roman" w:hAnsi="Times New Roman"/>
          <w:sz w:val="20"/>
          <w:szCs w:val="20"/>
        </w:rPr>
        <w:t>here B is volume of 0.5 N ethanolic potassium hydroxide required by Blank, S is volume of 0.5 N ethanolic potassium hydroxide required by sample, w is weight of resin in gram and AV is acid value of sample.</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b/>
          <w:sz w:val="20"/>
          <w:szCs w:val="20"/>
        </w:rPr>
      </w:pPr>
      <w:r w:rsidRPr="008D2AB9">
        <w:rPr>
          <w:rFonts w:ascii="Times New Roman" w:hAnsi="Times New Roman"/>
          <w:b/>
          <w:sz w:val="20"/>
          <w:szCs w:val="20"/>
        </w:rPr>
        <w:t xml:space="preserve">Hydroxyl number functionality </w:t>
      </w:r>
    </w:p>
    <w:p w:rsidR="008D2AB9" w:rsidRPr="008D2AB9" w:rsidRDefault="008D2AB9" w:rsidP="008D2AB9">
      <w:pPr>
        <w:spacing w:after="0" w:line="240" w:lineRule="auto"/>
        <w:jc w:val="both"/>
        <w:rPr>
          <w:rFonts w:ascii="Times New Roman" w:hAnsi="Times New Roman"/>
          <w:bCs/>
          <w:sz w:val="20"/>
          <w:szCs w:val="20"/>
        </w:rPr>
      </w:pPr>
      <w:r w:rsidRPr="008D2AB9">
        <w:rPr>
          <w:rFonts w:ascii="Times New Roman" w:hAnsi="Times New Roman"/>
          <w:bCs/>
          <w:sz w:val="20"/>
          <w:szCs w:val="20"/>
        </w:rPr>
        <w:t>The hydroxyl number functionality (OHf) was determined by the equation described by Ionescu [29] and used known hydroxyl value and molecular weight of sample:</w:t>
      </w:r>
      <w:r w:rsidRPr="008D2AB9">
        <w:rPr>
          <w:rFonts w:ascii="Times New Roman" w:hAnsi="Times New Roman"/>
          <w:sz w:val="20"/>
          <w:szCs w:val="20"/>
        </w:rPr>
        <w:t xml:space="preserve"> </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pStyle w:val="Caption"/>
        <w:ind w:left="644" w:firstLine="436"/>
        <w:jc w:val="both"/>
      </w:pPr>
      <w:r w:rsidRPr="008D2AB9">
        <w:rPr>
          <w:noProof/>
          <w:lang w:val="en-US"/>
        </w:rPr>
        <mc:AlternateContent>
          <mc:Choice Requires="wps">
            <w:drawing>
              <wp:anchor distT="0" distB="0" distL="114300" distR="114300" simplePos="0" relativeHeight="251667968" behindDoc="0" locked="0" layoutInCell="1" allowOverlap="1" wp14:anchorId="0BC74AE7" wp14:editId="77913AA9">
                <wp:simplePos x="0" y="0"/>
                <wp:positionH relativeFrom="column">
                  <wp:posOffset>1242</wp:posOffset>
                </wp:positionH>
                <wp:positionV relativeFrom="paragraph">
                  <wp:posOffset>9525</wp:posOffset>
                </wp:positionV>
                <wp:extent cx="2292350" cy="3873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87350"/>
                        </a:xfrm>
                        <a:prstGeom prst="rect">
                          <a:avLst/>
                        </a:prstGeom>
                        <a:noFill/>
                        <a:ln w="9525">
                          <a:noFill/>
                          <a:miter lim="800000"/>
                          <a:headEnd/>
                          <a:tailEnd/>
                        </a:ln>
                      </wps:spPr>
                      <wps:txbx>
                        <w:txbxContent>
                          <w:p w:rsidR="008D2AB9" w:rsidRPr="00684B30" w:rsidRDefault="008D2AB9" w:rsidP="008D2AB9">
                            <w:pPr>
                              <w:rPr>
                                <w:rFonts w:ascii="Times New Roman" w:hAnsi="Times New Roman"/>
                                <w:szCs w:val="20"/>
                              </w:rPr>
                            </w:pPr>
                            <m:oMathPara>
                              <m:oMathParaPr>
                                <m:jc m:val="left"/>
                              </m:oMathParaPr>
                              <m:oMath>
                                <m:r>
                                  <m:rPr>
                                    <m:nor/>
                                  </m:rPr>
                                  <w:rPr>
                                    <w:rFonts w:ascii="Cambria Math" w:hAnsi="Times New Roman"/>
                                    <w:szCs w:val="20"/>
                                  </w:rPr>
                                  <m:t xml:space="preserve">               </m:t>
                                </m:r>
                                <m:r>
                                  <m:rPr>
                                    <m:nor/>
                                  </m:rPr>
                                  <w:rPr>
                                    <w:rFonts w:ascii="Times New Roman" w:hAnsi="Times New Roman"/>
                                    <w:szCs w:val="20"/>
                                  </w:rPr>
                                  <m:t>OHf =</m:t>
                                </m:r>
                                <m:f>
                                  <m:fPr>
                                    <m:ctrlPr>
                                      <w:rPr>
                                        <w:rFonts w:ascii="Cambria Math" w:hAnsi="Cambria Math"/>
                                        <w:szCs w:val="20"/>
                                      </w:rPr>
                                    </m:ctrlPr>
                                  </m:fPr>
                                  <m:num>
                                    <m:r>
                                      <m:rPr>
                                        <m:nor/>
                                      </m:rPr>
                                      <w:rPr>
                                        <w:rFonts w:ascii="Times New Roman" w:hAnsi="Times New Roman"/>
                                        <w:szCs w:val="20"/>
                                      </w:rPr>
                                      <m:t>OHV ×MW</m:t>
                                    </m:r>
                                  </m:num>
                                  <m:den>
                                    <m:r>
                                      <m:rPr>
                                        <m:nor/>
                                      </m:rPr>
                                      <w:rPr>
                                        <w:rFonts w:ascii="Times New Roman" w:hAnsi="Times New Roman"/>
                                        <w:szCs w:val="20"/>
                                      </w:rPr>
                                      <m:t>56100</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1pt;margin-top:.75pt;width:180.5pt;height:30.5pt;z-index:2516679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" filled="f" stroked="f">
                <v:textbox style="mso-fit-shape-to-text:t">
                  <w:txbxContent>
                    <w:p w:rsidR="008D2AB9" w:rsidRPr="00684B30" w:rsidRDefault="008D2AB9" w:rsidP="008D2AB9">
                      <w:pPr>
                        <w:rPr>
                          <w:rFonts w:ascii="Times New Roman" w:hAnsi="Times New Roman"/>
                          <w:szCs w:val="20"/>
                        </w:rPr>
                      </w:pPr>
                      <m:oMathPara>
                        <m:oMathParaPr>
                          <m:jc m:val="left"/>
                        </m:oMathParaPr>
                        <m:oMath>
                          <m:r>
                            <m:rPr>
                              <m:nor/>
                            </m:rPr>
                            <w:rPr>
                              <w:rFonts w:ascii="Cambria Math" w:hAnsi="Times New Roman"/>
                              <w:szCs w:val="20"/>
                            </w:rPr>
                            <m:t xml:space="preserve">               </m:t>
                          </m:r>
                          <m:r>
                            <m:rPr>
                              <m:nor/>
                            </m:rPr>
                            <w:rPr>
                              <w:rFonts w:ascii="Times New Roman" w:hAnsi="Times New Roman"/>
                              <w:szCs w:val="20"/>
                            </w:rPr>
                            <m:t>OHf =</m:t>
                          </m:r>
                          <m:f>
                            <m:fPr>
                              <m:ctrlPr>
                                <w:rPr>
                                  <w:rFonts w:ascii="Cambria Math" w:hAnsi="Cambria Math"/>
                                  <w:szCs w:val="20"/>
                                </w:rPr>
                              </m:ctrlPr>
                            </m:fPr>
                            <m:num>
                              <m:r>
                                <m:rPr>
                                  <m:nor/>
                                </m:rPr>
                                <w:rPr>
                                  <w:rFonts w:ascii="Times New Roman" w:hAnsi="Times New Roman"/>
                                  <w:szCs w:val="20"/>
                                </w:rPr>
                                <m:t>OHV ×MW</m:t>
                              </m:r>
                            </m:num>
                            <m:den>
                              <m:r>
                                <m:rPr>
                                  <m:nor/>
                                </m:rPr>
                                <w:rPr>
                                  <w:rFonts w:ascii="Times New Roman" w:hAnsi="Times New Roman"/>
                                  <w:szCs w:val="20"/>
                                </w:rPr>
                                <m:t>56100</m:t>
                              </m:r>
                            </m:den>
                          </m:f>
                        </m:oMath>
                      </m:oMathPara>
                    </w:p>
                  </w:txbxContent>
                </v:textbox>
              </v:shape>
            </w:pict>
          </mc:Fallback>
        </mc:AlternateContent>
      </w:r>
      <w:r w:rsidRPr="008D2AB9">
        <w:tab/>
        <w:t xml:space="preserve">  </w:t>
      </w:r>
      <w:r w:rsidRPr="008D2AB9">
        <w:tab/>
      </w:r>
      <w:r w:rsidRPr="008D2AB9">
        <w:tab/>
      </w:r>
      <w:r w:rsidRPr="008D2AB9">
        <w:tab/>
      </w:r>
      <w:r w:rsidRPr="008D2AB9">
        <w:tab/>
      </w:r>
      <w:r w:rsidRPr="008D2AB9">
        <w:tab/>
      </w:r>
      <w:r w:rsidRPr="008D2AB9">
        <w:tab/>
      </w:r>
      <w:r w:rsidRPr="008D2AB9">
        <w:tab/>
      </w:r>
      <w:r w:rsidRPr="008D2AB9">
        <w:tab/>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t xml:space="preserve">                 </w:t>
      </w:r>
      <w:r>
        <w:rPr>
          <w:rFonts w:ascii="Times New Roman" w:hAnsi="Times New Roman"/>
          <w:sz w:val="20"/>
          <w:szCs w:val="20"/>
        </w:rPr>
        <w:t xml:space="preserve">      </w:t>
      </w:r>
      <w:r w:rsidRPr="008D2AB9">
        <w:rPr>
          <w:rFonts w:ascii="Times New Roman" w:hAnsi="Times New Roman"/>
          <w:sz w:val="20"/>
          <w:szCs w:val="20"/>
        </w:rPr>
        <w:t>(</w:t>
      </w:r>
      <w:r w:rsidRPr="008D2AB9">
        <w:rPr>
          <w:rFonts w:ascii="Times New Roman" w:hAnsi="Times New Roman"/>
          <w:sz w:val="20"/>
          <w:szCs w:val="20"/>
        </w:rPr>
        <w:fldChar w:fldCharType="begin"/>
      </w:r>
      <w:r w:rsidRPr="008D2AB9">
        <w:rPr>
          <w:rFonts w:ascii="Times New Roman" w:hAnsi="Times New Roman"/>
          <w:sz w:val="20"/>
          <w:szCs w:val="20"/>
        </w:rPr>
        <w:instrText xml:space="preserve"> SEQ Equation \* ARABIC </w:instrText>
      </w:r>
      <w:r w:rsidRPr="008D2AB9">
        <w:rPr>
          <w:rFonts w:ascii="Times New Roman" w:hAnsi="Times New Roman"/>
          <w:sz w:val="20"/>
          <w:szCs w:val="20"/>
        </w:rPr>
        <w:fldChar w:fldCharType="separate"/>
      </w:r>
      <w:r w:rsidR="004F21CF">
        <w:rPr>
          <w:rFonts w:ascii="Times New Roman" w:hAnsi="Times New Roman"/>
          <w:noProof/>
          <w:sz w:val="20"/>
          <w:szCs w:val="20"/>
        </w:rPr>
        <w:t>9</w:t>
      </w:r>
      <w:r w:rsidRPr="008D2AB9">
        <w:rPr>
          <w:rFonts w:ascii="Times New Roman" w:hAnsi="Times New Roman"/>
          <w:sz w:val="20"/>
          <w:szCs w:val="20"/>
        </w:rPr>
        <w:fldChar w:fldCharType="end"/>
      </w:r>
      <w:r w:rsidRPr="008D2AB9">
        <w:rPr>
          <w:rFonts w:ascii="Times New Roman" w:hAnsi="Times New Roman"/>
          <w:sz w:val="20"/>
          <w:szCs w:val="20"/>
        </w:rPr>
        <w:t>)</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bCs/>
          <w:sz w:val="20"/>
          <w:szCs w:val="20"/>
        </w:rPr>
      </w:pPr>
      <w:r w:rsidRPr="008D2AB9">
        <w:rPr>
          <w:rFonts w:ascii="Times New Roman" w:hAnsi="Times New Roman"/>
          <w:sz w:val="20"/>
          <w:szCs w:val="20"/>
        </w:rPr>
        <w:t>where OHV is hydroxyl value of sample and MW is</w:t>
      </w:r>
      <w:r w:rsidRPr="008D2AB9">
        <w:rPr>
          <w:rFonts w:ascii="Times New Roman" w:hAnsi="Times New Roman"/>
          <w:bCs/>
          <w:sz w:val="20"/>
          <w:szCs w:val="20"/>
        </w:rPr>
        <w:t xml:space="preserve"> </w:t>
      </w:r>
      <w:r w:rsidRPr="008D2AB9">
        <w:rPr>
          <w:rFonts w:ascii="Times New Roman" w:hAnsi="Times New Roman"/>
          <w:sz w:val="20"/>
          <w:szCs w:val="20"/>
        </w:rPr>
        <w:t>average molecular weight of sample.</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b/>
          <w:sz w:val="20"/>
          <w:szCs w:val="20"/>
        </w:rPr>
      </w:pPr>
      <w:r w:rsidRPr="008D2AB9">
        <w:rPr>
          <w:rFonts w:ascii="Times New Roman" w:hAnsi="Times New Roman"/>
          <w:b/>
          <w:sz w:val="20"/>
          <w:szCs w:val="20"/>
        </w:rPr>
        <w:t>Dynamic viscosity</w:t>
      </w: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 xml:space="preserve">The dynamic viscosities of the products in liquid form were measured using Brookfield viscometer (Model RV: DVII </w:t>
      </w:r>
      <w:r w:rsidRPr="008D2AB9">
        <w:rPr>
          <w:rStyle w:val="A4"/>
          <w:rFonts w:ascii="Times New Roman" w:hAnsi="Times New Roman" w:cs="Times New Roman"/>
          <w:sz w:val="20"/>
          <w:szCs w:val="20"/>
        </w:rPr>
        <w:t>+ Pro</w:t>
      </w:r>
      <w:r w:rsidRPr="008D2AB9">
        <w:rPr>
          <w:rFonts w:ascii="Times New Roman" w:hAnsi="Times New Roman"/>
          <w:sz w:val="20"/>
          <w:szCs w:val="20"/>
        </w:rPr>
        <w:t xml:space="preserve">) at 25 </w:t>
      </w:r>
      <w:r w:rsidRPr="008D2AB9">
        <w:rPr>
          <w:rStyle w:val="A7"/>
          <w:rFonts w:ascii="Times New Roman" w:hAnsi="Times New Roman" w:cs="Times New Roman"/>
          <w:sz w:val="20"/>
          <w:szCs w:val="20"/>
          <w:vertAlign w:val="superscript"/>
        </w:rPr>
        <w:t>°</w:t>
      </w:r>
      <w:r w:rsidRPr="008D2AB9">
        <w:rPr>
          <w:rFonts w:ascii="Times New Roman" w:hAnsi="Times New Roman"/>
          <w:sz w:val="20"/>
          <w:szCs w:val="20"/>
        </w:rPr>
        <w:t>C [30]. The spindle plate with grade 40 and CPE-44PY cup were selected for measuring viscosity.</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b/>
          <w:sz w:val="20"/>
          <w:szCs w:val="20"/>
        </w:rPr>
        <w:t>Average molecular weight</w:t>
      </w:r>
    </w:p>
    <w:p w:rsidR="008D2AB9" w:rsidRPr="008D2AB9" w:rsidRDefault="008D2AB9" w:rsidP="008D2AB9">
      <w:pPr>
        <w:spacing w:after="0" w:line="240" w:lineRule="auto"/>
        <w:jc w:val="both"/>
        <w:rPr>
          <w:rFonts w:ascii="Times New Roman" w:hAnsi="Times New Roman"/>
          <w:bCs/>
          <w:sz w:val="20"/>
          <w:szCs w:val="20"/>
        </w:rPr>
      </w:pPr>
      <w:r w:rsidRPr="008D2AB9">
        <w:rPr>
          <w:rFonts w:ascii="Times New Roman" w:hAnsi="Times New Roman"/>
          <w:bCs/>
          <w:sz w:val="20"/>
          <w:szCs w:val="20"/>
        </w:rPr>
        <w:t>The average molecular weight of sample was determined by the equation described by Xu et al. [31] by using known saponification value (SV) and acid value (AV) of sample.</w:t>
      </w:r>
    </w:p>
    <w:p w:rsidR="008D2AB9" w:rsidRPr="008D2AB9" w:rsidRDefault="008D2AB9" w:rsidP="008D2AB9">
      <w:pPr>
        <w:spacing w:after="0" w:line="240" w:lineRule="auto"/>
        <w:jc w:val="both"/>
        <w:rPr>
          <w:rFonts w:ascii="Times New Roman" w:hAnsi="Times New Roman"/>
          <w:bCs/>
          <w:sz w:val="20"/>
          <w:szCs w:val="20"/>
        </w:rPr>
      </w:pPr>
    </w:p>
    <w:p w:rsidR="008D2AB9" w:rsidRPr="008D2AB9" w:rsidRDefault="008D2AB9" w:rsidP="008D2AB9">
      <w:pPr>
        <w:spacing w:after="0" w:line="240" w:lineRule="auto"/>
        <w:jc w:val="both"/>
        <w:rPr>
          <w:rFonts w:ascii="Times New Roman" w:hAnsi="Times New Roman"/>
          <w:bCs/>
          <w:sz w:val="20"/>
          <w:szCs w:val="20"/>
        </w:rPr>
      </w:pPr>
      <w:r w:rsidRPr="008D2AB9">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19844ED2" wp14:editId="03D097A6">
                <wp:simplePos x="0" y="0"/>
                <wp:positionH relativeFrom="column">
                  <wp:posOffset>327273</wp:posOffset>
                </wp:positionH>
                <wp:positionV relativeFrom="paragraph">
                  <wp:posOffset>34511</wp:posOffset>
                </wp:positionV>
                <wp:extent cx="2292350" cy="3879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87985"/>
                        </a:xfrm>
                        <a:prstGeom prst="rect">
                          <a:avLst/>
                        </a:prstGeom>
                        <a:noFill/>
                        <a:ln w="9525">
                          <a:noFill/>
                          <a:miter lim="800000"/>
                          <a:headEnd/>
                          <a:tailEnd/>
                        </a:ln>
                      </wps:spPr>
                      <wps:txbx>
                        <w:txbxContent>
                          <w:p w:rsidR="008D2AB9" w:rsidRPr="00B443AD" w:rsidRDefault="008D2AB9" w:rsidP="008D2AB9">
                            <w:pPr>
                              <w:rPr>
                                <w:rFonts w:ascii="Times New Roman" w:hAnsi="Times New Roman"/>
                                <w:szCs w:val="20"/>
                              </w:rPr>
                            </w:pPr>
                            <m:oMathPara>
                              <m:oMath>
                                <m:r>
                                  <m:rPr>
                                    <m:nor/>
                                  </m:rPr>
                                  <w:rPr>
                                    <w:rFonts w:ascii="Times New Roman" w:hAnsi="Times New Roman"/>
                                    <w:szCs w:val="20"/>
                                  </w:rPr>
                                  <m:t>Average Molecular Weight =</m:t>
                                </m:r>
                                <m:f>
                                  <m:fPr>
                                    <m:ctrlPr>
                                      <w:rPr>
                                        <w:rFonts w:ascii="Cambria Math" w:hAnsi="Cambria Math"/>
                                        <w:szCs w:val="20"/>
                                      </w:rPr>
                                    </m:ctrlPr>
                                  </m:fPr>
                                  <m:num>
                                    <m:r>
                                      <m:rPr>
                                        <m:nor/>
                                      </m:rPr>
                                      <w:rPr>
                                        <w:rFonts w:ascii="Times New Roman" w:hAnsi="Times New Roman"/>
                                        <w:szCs w:val="20"/>
                                      </w:rPr>
                                      <m:t>168300</m:t>
                                    </m:r>
                                  </m:num>
                                  <m:den>
                                    <m:r>
                                      <m:rPr>
                                        <m:nor/>
                                      </m:rPr>
                                      <w:rPr>
                                        <w:rFonts w:ascii="Times New Roman" w:hAnsi="Times New Roman"/>
                                        <w:szCs w:val="20"/>
                                      </w:rPr>
                                      <m:t>SV-AV</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left:0;text-align:left;margin-left:25.75pt;margin-top:2.7pt;width:180.5pt;height:30.55pt;z-index:2516689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" filled="f" stroked="f">
                <v:textbox style="mso-fit-shape-to-text:t">
                  <w:txbxContent>
                    <w:p w:rsidR="008D2AB9" w:rsidRPr="00B443AD" w:rsidRDefault="008D2AB9" w:rsidP="008D2AB9">
                      <w:pPr>
                        <w:rPr>
                          <w:rFonts w:ascii="Times New Roman" w:hAnsi="Times New Roman"/>
                          <w:szCs w:val="20"/>
                        </w:rPr>
                      </w:pPr>
                      <m:oMathPara>
                        <m:oMath>
                          <m:r>
                            <m:rPr>
                              <m:nor/>
                            </m:rPr>
                            <w:rPr>
                              <w:rFonts w:ascii="Times New Roman" w:hAnsi="Times New Roman"/>
                              <w:szCs w:val="20"/>
                            </w:rPr>
                            <m:t>Average Molecular Weight =</m:t>
                          </m:r>
                          <m:f>
                            <m:fPr>
                              <m:ctrlPr>
                                <w:rPr>
                                  <w:rFonts w:ascii="Cambria Math" w:hAnsi="Cambria Math"/>
                                  <w:szCs w:val="20"/>
                                </w:rPr>
                              </m:ctrlPr>
                            </m:fPr>
                            <m:num>
                              <m:r>
                                <m:rPr>
                                  <m:nor/>
                                </m:rPr>
                                <w:rPr>
                                  <w:rFonts w:ascii="Times New Roman" w:hAnsi="Times New Roman"/>
                                  <w:szCs w:val="20"/>
                                </w:rPr>
                                <m:t>168300</m:t>
                              </m:r>
                            </m:num>
                            <m:den>
                              <m:r>
                                <m:rPr>
                                  <m:nor/>
                                </m:rPr>
                                <w:rPr>
                                  <w:rFonts w:ascii="Times New Roman" w:hAnsi="Times New Roman"/>
                                  <w:szCs w:val="20"/>
                                </w:rPr>
                                <m:t>SV-AV</m:t>
                              </m:r>
                            </m:den>
                          </m:f>
                        </m:oMath>
                      </m:oMathPara>
                    </w:p>
                  </w:txbxContent>
                </v:textbox>
              </v:shape>
            </w:pict>
          </mc:Fallback>
        </mc:AlternateContent>
      </w:r>
    </w:p>
    <w:p w:rsidR="008D2AB9" w:rsidRPr="008D2AB9" w:rsidRDefault="008D2AB9" w:rsidP="008D2AB9">
      <w:pPr>
        <w:spacing w:after="0" w:line="240" w:lineRule="auto"/>
        <w:ind w:firstLine="720"/>
        <w:jc w:val="both"/>
        <w:rPr>
          <w:rFonts w:ascii="Times New Roman" w:hAnsi="Times New Roman"/>
          <w:sz w:val="20"/>
          <w:szCs w:val="20"/>
        </w:rPr>
      </w:pP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t xml:space="preserve"> </w:t>
      </w:r>
      <w:r>
        <w:rPr>
          <w:rFonts w:ascii="Times New Roman" w:hAnsi="Times New Roman"/>
          <w:sz w:val="20"/>
          <w:szCs w:val="20"/>
        </w:rPr>
        <w:t xml:space="preserve">      </w:t>
      </w:r>
      <w:r w:rsidRPr="008D2AB9">
        <w:rPr>
          <w:rFonts w:ascii="Times New Roman" w:hAnsi="Times New Roman"/>
          <w:sz w:val="20"/>
          <w:szCs w:val="20"/>
        </w:rPr>
        <w:t>(</w:t>
      </w:r>
      <w:r w:rsidRPr="008D2AB9">
        <w:rPr>
          <w:rFonts w:ascii="Times New Roman" w:hAnsi="Times New Roman"/>
          <w:sz w:val="20"/>
          <w:szCs w:val="20"/>
        </w:rPr>
        <w:fldChar w:fldCharType="begin"/>
      </w:r>
      <w:r w:rsidRPr="008D2AB9">
        <w:rPr>
          <w:rFonts w:ascii="Times New Roman" w:hAnsi="Times New Roman"/>
          <w:sz w:val="20"/>
          <w:szCs w:val="20"/>
        </w:rPr>
        <w:instrText xml:space="preserve"> SEQ Equation \* ARABIC </w:instrText>
      </w:r>
      <w:r w:rsidRPr="008D2AB9">
        <w:rPr>
          <w:rFonts w:ascii="Times New Roman" w:hAnsi="Times New Roman"/>
          <w:sz w:val="20"/>
          <w:szCs w:val="20"/>
        </w:rPr>
        <w:fldChar w:fldCharType="separate"/>
      </w:r>
      <w:r w:rsidR="004F21CF">
        <w:rPr>
          <w:rFonts w:ascii="Times New Roman" w:hAnsi="Times New Roman"/>
          <w:noProof/>
          <w:sz w:val="20"/>
          <w:szCs w:val="20"/>
        </w:rPr>
        <w:t>10</w:t>
      </w:r>
      <w:r w:rsidRPr="008D2AB9">
        <w:rPr>
          <w:rFonts w:ascii="Times New Roman" w:hAnsi="Times New Roman"/>
          <w:sz w:val="20"/>
          <w:szCs w:val="20"/>
        </w:rPr>
        <w:fldChar w:fldCharType="end"/>
      </w:r>
      <w:r w:rsidRPr="008D2AB9">
        <w:rPr>
          <w:rFonts w:ascii="Times New Roman" w:hAnsi="Times New Roman"/>
          <w:sz w:val="20"/>
          <w:szCs w:val="20"/>
        </w:rPr>
        <w:t>)</w:t>
      </w:r>
    </w:p>
    <w:p w:rsidR="008D2AB9" w:rsidRPr="008D2AB9" w:rsidRDefault="008D2AB9" w:rsidP="008D2AB9">
      <w:pPr>
        <w:spacing w:after="0" w:line="240" w:lineRule="auto"/>
        <w:ind w:firstLine="720"/>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bCs/>
          <w:sz w:val="20"/>
          <w:szCs w:val="20"/>
        </w:rPr>
      </w:pPr>
      <w:r w:rsidRPr="008D2AB9">
        <w:rPr>
          <w:rFonts w:ascii="Times New Roman" w:hAnsi="Times New Roman"/>
          <w:sz w:val="20"/>
          <w:szCs w:val="20"/>
        </w:rPr>
        <w:t>where</w:t>
      </w:r>
      <w:r w:rsidRPr="008D2AB9">
        <w:rPr>
          <w:rFonts w:ascii="Times New Roman" w:hAnsi="Times New Roman"/>
          <w:bCs/>
          <w:sz w:val="20"/>
          <w:szCs w:val="20"/>
        </w:rPr>
        <w:t xml:space="preserve"> SV is saponification value and the value was obtained using method (iii) and calculated following Equation (4) and AV is acid value and the value was obtained using method (ii) and calculated using Equation (3).</w:t>
      </w:r>
    </w:p>
    <w:p w:rsidR="008D2AB9" w:rsidRPr="008D2AB9" w:rsidRDefault="008D2AB9" w:rsidP="008D2AB9">
      <w:pPr>
        <w:adjustRightInd w:val="0"/>
        <w:spacing w:after="0" w:line="240" w:lineRule="auto"/>
        <w:jc w:val="both"/>
        <w:rPr>
          <w:rFonts w:ascii="Times New Roman" w:hAnsi="Times New Roman"/>
          <w:bCs/>
          <w:sz w:val="20"/>
          <w:szCs w:val="20"/>
        </w:rPr>
      </w:pPr>
    </w:p>
    <w:p w:rsidR="008D2AB9" w:rsidRPr="008D2AB9" w:rsidRDefault="008D2AB9" w:rsidP="008D2AB9">
      <w:pPr>
        <w:spacing w:after="0" w:line="240" w:lineRule="auto"/>
        <w:jc w:val="both"/>
        <w:rPr>
          <w:rFonts w:ascii="Times New Roman" w:hAnsi="Times New Roman"/>
          <w:b/>
          <w:sz w:val="20"/>
          <w:szCs w:val="20"/>
        </w:rPr>
      </w:pPr>
      <w:r w:rsidRPr="008D2AB9">
        <w:rPr>
          <w:rFonts w:ascii="Times New Roman" w:hAnsi="Times New Roman"/>
          <w:b/>
          <w:bCs/>
          <w:sz w:val="20"/>
          <w:szCs w:val="20"/>
        </w:rPr>
        <w:t xml:space="preserve">Fourier transform infrared spectroscopy </w:t>
      </w:r>
    </w:p>
    <w:p w:rsidR="008D2AB9" w:rsidRPr="008D2AB9" w:rsidDel="00F84E84" w:rsidRDefault="008D2AB9" w:rsidP="008D2AB9">
      <w:pPr>
        <w:adjustRightInd w:val="0"/>
        <w:spacing w:after="0" w:line="240" w:lineRule="auto"/>
        <w:jc w:val="both"/>
        <w:rPr>
          <w:rFonts w:ascii="Times New Roman" w:eastAsia="MinionPro-Regular-Identity-H" w:hAnsi="Times New Roman"/>
          <w:sz w:val="20"/>
          <w:szCs w:val="20"/>
        </w:rPr>
      </w:pPr>
      <w:r w:rsidRPr="008D2AB9">
        <w:rPr>
          <w:rFonts w:ascii="Times New Roman" w:hAnsi="Times New Roman"/>
          <w:sz w:val="20"/>
          <w:szCs w:val="20"/>
        </w:rPr>
        <w:t>The infrared (IR) spectroscopy of the samples was performed using diamond attenuated total reflectance (DATR) technique.  The infrared spectrums of the samples were recorded in the range of 4000 cm</w:t>
      </w:r>
      <w:r w:rsidRPr="008D2AB9">
        <w:rPr>
          <w:rFonts w:ascii="Times New Roman" w:hAnsi="Times New Roman"/>
          <w:sz w:val="20"/>
          <w:szCs w:val="20"/>
          <w:vertAlign w:val="superscript"/>
        </w:rPr>
        <w:t>-1</w:t>
      </w:r>
      <w:r w:rsidRPr="008D2AB9">
        <w:rPr>
          <w:rFonts w:ascii="Times New Roman" w:hAnsi="Times New Roman"/>
          <w:sz w:val="20"/>
          <w:szCs w:val="20"/>
        </w:rPr>
        <w:t xml:space="preserve"> to 650 cm</w:t>
      </w:r>
      <w:r w:rsidRPr="008D2AB9">
        <w:rPr>
          <w:rFonts w:ascii="Times New Roman" w:hAnsi="Times New Roman"/>
          <w:sz w:val="20"/>
          <w:szCs w:val="20"/>
          <w:vertAlign w:val="superscript"/>
        </w:rPr>
        <w:t xml:space="preserve">-1 </w:t>
      </w:r>
      <w:r w:rsidRPr="008D2AB9">
        <w:rPr>
          <w:rFonts w:ascii="Times New Roman" w:hAnsi="Times New Roman"/>
          <w:sz w:val="20"/>
          <w:szCs w:val="20"/>
        </w:rPr>
        <w:t>by</w:t>
      </w:r>
      <w:r w:rsidRPr="008D2AB9">
        <w:rPr>
          <w:rFonts w:ascii="Times New Roman" w:eastAsia="MinionPro-Regular-Identity-H" w:hAnsi="Times New Roman"/>
          <w:sz w:val="20"/>
          <w:szCs w:val="20"/>
        </w:rPr>
        <w:t xml:space="preserve"> spectrum 400, FT-IR/FTNIR spectrometer (Perkin Elmer, UK).</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eastAsia="MinionPro-Regular-Identity-H" w:hAnsi="Times New Roman"/>
          <w:sz w:val="20"/>
          <w:szCs w:val="20"/>
        </w:rPr>
        <w:t xml:space="preserve"> </w:t>
      </w:r>
    </w:p>
    <w:p w:rsidR="008D2AB9" w:rsidRPr="008D2AB9" w:rsidRDefault="008D2AB9" w:rsidP="008D2AB9">
      <w:pPr>
        <w:adjustRightInd w:val="0"/>
        <w:spacing w:after="0" w:line="240" w:lineRule="auto"/>
        <w:jc w:val="both"/>
        <w:rPr>
          <w:rFonts w:ascii="Times New Roman" w:hAnsi="Times New Roman"/>
          <w:b/>
          <w:sz w:val="20"/>
          <w:szCs w:val="20"/>
        </w:rPr>
      </w:pPr>
      <w:r w:rsidRPr="008D2AB9">
        <w:rPr>
          <w:rFonts w:ascii="Times New Roman" w:hAnsi="Times New Roman"/>
          <w:b/>
          <w:sz w:val="20"/>
          <w:szCs w:val="20"/>
        </w:rPr>
        <w:t xml:space="preserve">Thermogravimetric analysis </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 xml:space="preserve">Thermogravimetric analysis (TGA) was performed using the TGA-SDTA 851e Mettler Toledo instrument (USA).  Samples were analyzed in temperature range from 27 </w:t>
      </w:r>
      <w:r w:rsidRPr="008D2AB9">
        <w:rPr>
          <w:rFonts w:ascii="Times New Roman" w:hAnsi="Times New Roman"/>
          <w:sz w:val="20"/>
          <w:szCs w:val="20"/>
          <w:vertAlign w:val="superscript"/>
        </w:rPr>
        <w:t>o</w:t>
      </w:r>
      <w:r w:rsidRPr="008D2AB9">
        <w:rPr>
          <w:rFonts w:ascii="Times New Roman" w:hAnsi="Times New Roman"/>
          <w:sz w:val="20"/>
          <w:szCs w:val="20"/>
        </w:rPr>
        <w:t>C to 800 °C, heating rate of 10 °C/min.</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b/>
          <w:sz w:val="20"/>
          <w:szCs w:val="20"/>
        </w:rPr>
      </w:pPr>
      <w:r w:rsidRPr="008D2AB9">
        <w:rPr>
          <w:rFonts w:ascii="Times New Roman" w:hAnsi="Times New Roman"/>
          <w:b/>
          <w:sz w:val="20"/>
          <w:szCs w:val="20"/>
        </w:rPr>
        <w:t>Differential scanning calorimetry</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 xml:space="preserve">Differential scanning calorimetry (DSC) was carried out using the DSC 822, Mettler Toledo instrument (USA). Samples were scanned at 5 °C/min at first heating cycle from -100 </w:t>
      </w:r>
      <w:r w:rsidRPr="008D2AB9">
        <w:rPr>
          <w:rFonts w:ascii="Times New Roman" w:hAnsi="Times New Roman"/>
          <w:sz w:val="20"/>
          <w:szCs w:val="20"/>
          <w:vertAlign w:val="superscript"/>
        </w:rPr>
        <w:t>o</w:t>
      </w:r>
      <w:r w:rsidRPr="008D2AB9">
        <w:rPr>
          <w:rFonts w:ascii="Times New Roman" w:hAnsi="Times New Roman"/>
          <w:sz w:val="20"/>
          <w:szCs w:val="20"/>
        </w:rPr>
        <w:t xml:space="preserve">C to 200 </w:t>
      </w:r>
      <w:r w:rsidRPr="008D2AB9">
        <w:rPr>
          <w:rFonts w:ascii="Times New Roman" w:hAnsi="Times New Roman"/>
          <w:sz w:val="20"/>
          <w:szCs w:val="20"/>
          <w:vertAlign w:val="superscript"/>
        </w:rPr>
        <w:t>o</w:t>
      </w:r>
      <w:r w:rsidRPr="008D2AB9">
        <w:rPr>
          <w:rFonts w:ascii="Times New Roman" w:hAnsi="Times New Roman"/>
          <w:sz w:val="20"/>
          <w:szCs w:val="20"/>
        </w:rPr>
        <w:t xml:space="preserve">C and followed by the cooling cycle from 200 </w:t>
      </w:r>
      <w:r w:rsidRPr="008D2AB9">
        <w:rPr>
          <w:rFonts w:ascii="Times New Roman" w:hAnsi="Times New Roman"/>
          <w:sz w:val="20"/>
          <w:szCs w:val="20"/>
          <w:vertAlign w:val="superscript"/>
        </w:rPr>
        <w:t>o</w:t>
      </w:r>
      <w:r w:rsidRPr="008D2AB9">
        <w:rPr>
          <w:rFonts w:ascii="Times New Roman" w:hAnsi="Times New Roman"/>
          <w:sz w:val="20"/>
          <w:szCs w:val="20"/>
        </w:rPr>
        <w:t>C</w:t>
      </w:r>
      <w:r w:rsidRPr="008D2AB9">
        <w:rPr>
          <w:rFonts w:ascii="Times New Roman" w:hAnsi="Times New Roman"/>
          <w:sz w:val="20"/>
          <w:szCs w:val="20"/>
          <w:vertAlign w:val="superscript"/>
        </w:rPr>
        <w:t xml:space="preserve"> </w:t>
      </w:r>
      <w:r w:rsidRPr="008D2AB9">
        <w:rPr>
          <w:rFonts w:ascii="Times New Roman" w:hAnsi="Times New Roman"/>
          <w:sz w:val="20"/>
          <w:szCs w:val="20"/>
        </w:rPr>
        <w:t xml:space="preserve">to -100 </w:t>
      </w:r>
      <w:r w:rsidRPr="008D2AB9">
        <w:rPr>
          <w:rFonts w:ascii="Times New Roman" w:hAnsi="Times New Roman"/>
          <w:sz w:val="20"/>
          <w:szCs w:val="20"/>
          <w:vertAlign w:val="superscript"/>
        </w:rPr>
        <w:t>o</w:t>
      </w:r>
      <w:r w:rsidRPr="008D2AB9">
        <w:rPr>
          <w:rFonts w:ascii="Times New Roman" w:hAnsi="Times New Roman"/>
          <w:sz w:val="20"/>
          <w:szCs w:val="20"/>
        </w:rPr>
        <w:t>C.</w:t>
      </w:r>
    </w:p>
    <w:p w:rsidR="006768E9" w:rsidRPr="00F447A7" w:rsidRDefault="006768E9" w:rsidP="008D2AB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D2AB9" w:rsidRPr="008D2AB9" w:rsidRDefault="008D2AB9" w:rsidP="008D2AB9">
      <w:pPr>
        <w:pStyle w:val="SubSection"/>
        <w:spacing w:before="0" w:after="0"/>
        <w:outlineLvl w:val="0"/>
      </w:pPr>
      <w:r w:rsidRPr="008D2AB9">
        <w:t>Physico-chemical properties of the palm oil based precursors</w:t>
      </w: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 xml:space="preserve">Table 1 showed the physico-chemical properties of the palm oil-based precursors.  The values in Table 1 were obtained using Equation (2) to (8).  The acid value of POo and OA was 0.56% and increased to 8.09% and 67.32% after conversion to EPOo and diol, respectively.  The iodine value of POo and OA were 61.47 mg   KOH/g oil and 83.91 mg KOH/g oil which is almost similar to the work reported by Ramli et al. [32] at 61.67 mg KOH/g oil and Derawi et al. [8, 14] at 62 mg KOH/ g oil, but slightly higher to the work reported by Ramli et al. [33] at 78.2 mg KOH/g oil for the IV value of high-oleic acid palm oil.  The POo was found to have a complete epoxidization to EPOo based on the reduction of the iodine value of POo from 61.47 to 0 mg KOH/g oil (Table 1), which corresponds to the complete conversion of the POo carbon double bond (C=C) to the epoxide (oxirane) ring of EPOo and </w:t>
      </w:r>
      <w:r w:rsidRPr="008D2AB9">
        <w:rPr>
          <w:rFonts w:ascii="Times New Roman" w:eastAsiaTheme="minorHAnsi" w:hAnsi="Times New Roman"/>
          <w:color w:val="231F20"/>
          <w:sz w:val="20"/>
          <w:szCs w:val="20"/>
        </w:rPr>
        <w:t>similar to the reported previous study</w:t>
      </w:r>
      <w:r w:rsidRPr="008D2AB9">
        <w:rPr>
          <w:rFonts w:ascii="Times New Roman" w:hAnsi="Times New Roman"/>
          <w:sz w:val="20"/>
          <w:szCs w:val="20"/>
        </w:rPr>
        <w:t xml:space="preserve"> by Derawi et al. at IV 61.67 drops to 3.30 to 0.51 [14].  Due to this reason, the oxirane oxygen content (OOC) of the EPOo have increased to 3.33% compared to the POo OOC value of 0.04% only in the beginning of the reaction (Table 1).  This OOC EPOo result is similar to the previous study </w:t>
      </w:r>
      <w:r w:rsidRPr="008D2AB9">
        <w:rPr>
          <w:rFonts w:ascii="Times New Roman" w:hAnsi="Times New Roman"/>
          <w:sz w:val="20"/>
          <w:szCs w:val="20"/>
        </w:rPr>
        <w:lastRenderedPageBreak/>
        <w:t xml:space="preserve">reported by Giita Silverajah et al. (3.23%) [34]. Meanwhile the saponification value of POo to EPOo was slightly reduced, 196.21 and 192.50 mg KOH/g oil, respectively. Further similarity was the slight reduction of ester value and ester percentage, which were recorded for the POo and EPOo (refer Table 1).  This corresponds to the minor modification on triglyceride structure of POo by introducing epoxide ring to the POo’s for producing of new triglyceride structure of EPOo </w:t>
      </w:r>
      <w:r w:rsidRPr="008D2AB9">
        <w:rPr>
          <w:rFonts w:ascii="Times New Roman" w:hAnsi="Times New Roman"/>
          <w:sz w:val="20"/>
          <w:szCs w:val="20"/>
        </w:rPr>
        <w:fldChar w:fldCharType="begin"/>
      </w:r>
      <w:r w:rsidRPr="008D2AB9">
        <w:rPr>
          <w:rFonts w:ascii="Times New Roman" w:hAnsi="Times New Roman"/>
          <w:sz w:val="20"/>
          <w:szCs w:val="20"/>
        </w:rPr>
        <w:instrText xml:space="preserve"> ADDIN EN.CITE &lt;EndNote&gt;&lt;Cite&gt;&lt;Author&gt;Derawi&lt;/Author&gt;&lt;Year&gt;2013&lt;/Year&gt;&lt;RecNum&gt;35&lt;/RecNum&gt;&lt;DisplayText&gt;(Derawi and Salimon 2013; Derawi and Salimon 2010)&lt;/DisplayText&gt;&lt;record&gt;&lt;rec-number&gt;35&lt;/rec-number&gt;&lt;foreign-keys&gt;&lt;key app="EN" db-id="veadxrt55spdtserpz9xxpwqpwrrzx0r992z" timestamp="1438057354"&gt;35&lt;/key&gt;&lt;/foreign-keys&gt;&lt;ref-type name="Journal Article"&gt;17&lt;/ref-type&gt;&lt;contributors&gt;&lt;authors&gt;&lt;author&gt;Derawi, D.&lt;/author&gt;&lt;author&gt;Salimon, J&lt;/author&gt;&lt;/authors&gt;&lt;/contributors&gt;&lt;titles&gt;&lt;title&gt;Penghasilan Poliol Minyak Sawit Olein Secara Hidrolisis Selanjar dan Berkelompok (Palm Olein Polyols Production by Batch and Continuous Hydrolisis)&lt;/title&gt;&lt;secondary-title&gt;Sains Malaysiana &lt;/secondary-title&gt;&lt;/titles&gt;&lt;periodical&gt;&lt;full-title&gt;Sains Malaysiana&lt;/full-title&gt;&lt;/periodical&gt;&lt;pages&gt;1121–1129&lt;/pages&gt;&lt;volume&gt;42&lt;/volume&gt;&lt;number&gt;8&lt;/number&gt;&lt;dates&gt;&lt;year&gt;2013&lt;/year&gt;&lt;/dates&gt;&lt;urls&gt;&lt;/urls&gt;&lt;/record&gt;&lt;/Cite&gt;&lt;Cite&gt;&lt;Author&gt;Derawi&lt;/Author&gt;&lt;Year&gt;2010&lt;/Year&gt;&lt;RecNum&gt;6&lt;/RecNum&gt;&lt;record&gt;&lt;rec-number&gt;6&lt;/rec-number&gt;&lt;foreign-keys&gt;&lt;key app="EN" db-id="veadxrt55spdtserpz9xxpwqpwrrzx0r992z" timestamp="0"&gt;6&lt;/key&gt;&lt;/foreign-keys&gt;&lt;ref-type name="Journal Article"&gt;17&lt;/ref-type&gt;&lt;contributors&gt;&lt;authors&gt;&lt;author&gt;Derawi, D.&lt;/author&gt;&lt;author&gt;Salimon, J.&lt;/author&gt;&lt;/authors&gt;&lt;/contributors&gt;&lt;titles&gt;&lt;title&gt;Optimization on epoxidation of palm olein by using performic acid&lt;/title&gt;&lt;secondary-title&gt;E-Journal of Chemistry&lt;/secondary-title&gt;&lt;/titles&gt;&lt;pages&gt;7(4): 1440-1448.&lt;/pages&gt;&lt;dates&gt;&lt;year&gt;2010&lt;/year&gt;&lt;/dates&gt;&lt;urls&gt;&lt;/urls&gt;&lt;/record&gt;&lt;/Cite&gt;&lt;/EndNote&gt;</w:instrText>
      </w:r>
      <w:r w:rsidRPr="008D2AB9">
        <w:rPr>
          <w:rFonts w:ascii="Times New Roman" w:hAnsi="Times New Roman"/>
          <w:sz w:val="20"/>
          <w:szCs w:val="20"/>
        </w:rPr>
        <w:fldChar w:fldCharType="separate"/>
      </w:r>
      <w:r w:rsidRPr="008D2AB9">
        <w:rPr>
          <w:rFonts w:ascii="Times New Roman" w:hAnsi="Times New Roman"/>
          <w:noProof/>
          <w:sz w:val="20"/>
          <w:szCs w:val="20"/>
        </w:rPr>
        <w:t>[14, 35]</w:t>
      </w:r>
      <w:r w:rsidRPr="008D2AB9">
        <w:rPr>
          <w:rFonts w:ascii="Times New Roman" w:hAnsi="Times New Roman"/>
          <w:sz w:val="20"/>
          <w:szCs w:val="20"/>
        </w:rPr>
        <w:fldChar w:fldCharType="end"/>
      </w:r>
      <w:r w:rsidRPr="008D2AB9">
        <w:rPr>
          <w:rFonts w:ascii="Times New Roman" w:hAnsi="Times New Roman"/>
          <w:sz w:val="20"/>
          <w:szCs w:val="20"/>
        </w:rPr>
        <w:t xml:space="preserve">. </w:t>
      </w:r>
    </w:p>
    <w:p w:rsid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pStyle w:val="Caption"/>
        <w:spacing w:after="120"/>
        <w:ind w:left="288" w:hanging="288"/>
      </w:pPr>
      <w:r w:rsidRPr="008D2AB9">
        <w:t xml:space="preserve">Table </w:t>
      </w:r>
      <w:r w:rsidRPr="008D2AB9">
        <w:fldChar w:fldCharType="begin"/>
      </w:r>
      <w:r w:rsidRPr="008D2AB9">
        <w:instrText xml:space="preserve"> SEQ Table \* ARABIC </w:instrText>
      </w:r>
      <w:r w:rsidRPr="008D2AB9">
        <w:fldChar w:fldCharType="separate"/>
      </w:r>
      <w:r w:rsidR="004F21CF">
        <w:rPr>
          <w:noProof/>
        </w:rPr>
        <w:t>1</w:t>
      </w:r>
      <w:r w:rsidRPr="008D2AB9">
        <w:fldChar w:fldCharType="end"/>
      </w:r>
      <w:r w:rsidRPr="008D2AB9">
        <w:t xml:space="preserve">. </w:t>
      </w:r>
      <w:r>
        <w:t xml:space="preserve"> </w:t>
      </w:r>
      <w:r w:rsidRPr="008D2AB9">
        <w:t>Physico-chemical properties of the new precursors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205"/>
        <w:gridCol w:w="1616"/>
        <w:gridCol w:w="1288"/>
        <w:gridCol w:w="1616"/>
        <w:gridCol w:w="1288"/>
      </w:tblGrid>
      <w:tr w:rsidR="008D2AB9" w:rsidRPr="008D2AB9" w:rsidTr="00017982">
        <w:trPr>
          <w:trHeight w:val="133"/>
          <w:jc w:val="center"/>
        </w:trPr>
        <w:tc>
          <w:tcPr>
            <w:tcW w:w="0" w:type="auto"/>
            <w:tcBorders>
              <w:top w:val="single" w:sz="4" w:space="0" w:color="auto"/>
              <w:bottom w:val="nil"/>
            </w:tcBorders>
          </w:tcPr>
          <w:p w:rsidR="008D2AB9" w:rsidRPr="008D2AB9" w:rsidRDefault="008D2AB9" w:rsidP="008D2AB9">
            <w:pPr>
              <w:pStyle w:val="List"/>
              <w:spacing w:before="60" w:after="0" w:line="240" w:lineRule="auto"/>
              <w:ind w:left="0" w:firstLine="0"/>
              <w:contextualSpacing w:val="0"/>
              <w:rPr>
                <w:b/>
                <w:sz w:val="20"/>
                <w:szCs w:val="20"/>
              </w:rPr>
            </w:pPr>
            <w:r w:rsidRPr="008D2AB9">
              <w:rPr>
                <w:b/>
                <w:sz w:val="20"/>
                <w:szCs w:val="20"/>
              </w:rPr>
              <w:t>Conducted Test</w:t>
            </w:r>
          </w:p>
        </w:tc>
        <w:tc>
          <w:tcPr>
            <w:tcW w:w="0" w:type="auto"/>
            <w:tcBorders>
              <w:top w:val="single" w:sz="4" w:space="0" w:color="auto"/>
              <w:bottom w:val="nil"/>
            </w:tcBorders>
          </w:tcPr>
          <w:p w:rsidR="008D2AB9" w:rsidRPr="008D2AB9" w:rsidRDefault="008D2AB9" w:rsidP="008D2AB9">
            <w:pPr>
              <w:pStyle w:val="List"/>
              <w:spacing w:before="60" w:after="0" w:line="240" w:lineRule="auto"/>
              <w:ind w:left="0" w:firstLine="0"/>
              <w:contextualSpacing w:val="0"/>
              <w:jc w:val="center"/>
              <w:rPr>
                <w:b/>
                <w:sz w:val="20"/>
                <w:szCs w:val="20"/>
              </w:rPr>
            </w:pPr>
            <w:r w:rsidRPr="008D2AB9">
              <w:rPr>
                <w:b/>
                <w:sz w:val="20"/>
                <w:szCs w:val="20"/>
              </w:rPr>
              <w:t>Raw Material 1:</w:t>
            </w:r>
          </w:p>
          <w:p w:rsidR="008D2AB9" w:rsidRPr="008D2AB9" w:rsidRDefault="008D2AB9" w:rsidP="0098798E">
            <w:pPr>
              <w:pStyle w:val="List"/>
              <w:spacing w:after="60" w:line="240" w:lineRule="auto"/>
              <w:ind w:left="0" w:firstLine="0"/>
              <w:contextualSpacing w:val="0"/>
              <w:jc w:val="center"/>
              <w:rPr>
                <w:b/>
                <w:sz w:val="20"/>
                <w:szCs w:val="20"/>
              </w:rPr>
            </w:pPr>
            <w:r w:rsidRPr="008D2AB9">
              <w:rPr>
                <w:b/>
                <w:sz w:val="20"/>
                <w:szCs w:val="20"/>
              </w:rPr>
              <w:t>Poo</w:t>
            </w:r>
          </w:p>
        </w:tc>
        <w:tc>
          <w:tcPr>
            <w:tcW w:w="0" w:type="auto"/>
            <w:tcBorders>
              <w:top w:val="single" w:sz="4" w:space="0" w:color="auto"/>
              <w:bottom w:val="nil"/>
            </w:tcBorders>
          </w:tcPr>
          <w:p w:rsidR="008D2AB9" w:rsidRPr="008D2AB9" w:rsidRDefault="008D2AB9" w:rsidP="008D2AB9">
            <w:pPr>
              <w:pStyle w:val="List"/>
              <w:spacing w:before="60" w:after="0" w:line="240" w:lineRule="auto"/>
              <w:ind w:left="0" w:firstLine="0"/>
              <w:contextualSpacing w:val="0"/>
              <w:jc w:val="center"/>
              <w:rPr>
                <w:b/>
                <w:sz w:val="20"/>
                <w:szCs w:val="20"/>
              </w:rPr>
            </w:pPr>
            <w:r w:rsidRPr="008D2AB9">
              <w:rPr>
                <w:b/>
                <w:sz w:val="20"/>
                <w:szCs w:val="20"/>
              </w:rPr>
              <w:t>Precursor 1:</w:t>
            </w:r>
          </w:p>
          <w:p w:rsidR="008D2AB9" w:rsidRPr="008D2AB9" w:rsidRDefault="008D2AB9" w:rsidP="008D2AB9">
            <w:pPr>
              <w:pStyle w:val="List"/>
              <w:spacing w:after="0" w:line="240" w:lineRule="auto"/>
              <w:ind w:left="0" w:firstLine="0"/>
              <w:contextualSpacing w:val="0"/>
              <w:jc w:val="center"/>
              <w:rPr>
                <w:b/>
                <w:sz w:val="20"/>
                <w:szCs w:val="20"/>
              </w:rPr>
            </w:pPr>
            <w:r w:rsidRPr="008D2AB9">
              <w:rPr>
                <w:b/>
                <w:sz w:val="20"/>
                <w:szCs w:val="20"/>
              </w:rPr>
              <w:t>Epoo</w:t>
            </w:r>
          </w:p>
        </w:tc>
        <w:tc>
          <w:tcPr>
            <w:tcW w:w="0" w:type="auto"/>
            <w:tcBorders>
              <w:top w:val="single" w:sz="4" w:space="0" w:color="auto"/>
              <w:bottom w:val="nil"/>
            </w:tcBorders>
          </w:tcPr>
          <w:p w:rsidR="008D2AB9" w:rsidRPr="008D2AB9" w:rsidRDefault="008D2AB9" w:rsidP="008D2AB9">
            <w:pPr>
              <w:pStyle w:val="List"/>
              <w:spacing w:before="60" w:after="0" w:line="240" w:lineRule="auto"/>
              <w:ind w:left="0" w:firstLine="0"/>
              <w:contextualSpacing w:val="0"/>
              <w:jc w:val="center"/>
              <w:rPr>
                <w:b/>
                <w:sz w:val="20"/>
                <w:szCs w:val="20"/>
              </w:rPr>
            </w:pPr>
            <w:r w:rsidRPr="008D2AB9">
              <w:rPr>
                <w:b/>
                <w:sz w:val="20"/>
                <w:szCs w:val="20"/>
              </w:rPr>
              <w:t>Raw Material 2:</w:t>
            </w:r>
          </w:p>
          <w:p w:rsidR="008D2AB9" w:rsidRPr="008D2AB9" w:rsidRDefault="008D2AB9" w:rsidP="008D2AB9">
            <w:pPr>
              <w:pStyle w:val="List"/>
              <w:spacing w:after="0" w:line="240" w:lineRule="auto"/>
              <w:ind w:left="0" w:firstLine="0"/>
              <w:contextualSpacing w:val="0"/>
              <w:jc w:val="center"/>
              <w:rPr>
                <w:b/>
                <w:sz w:val="20"/>
                <w:szCs w:val="20"/>
              </w:rPr>
            </w:pPr>
            <w:r w:rsidRPr="008D2AB9">
              <w:rPr>
                <w:b/>
                <w:sz w:val="20"/>
                <w:szCs w:val="20"/>
              </w:rPr>
              <w:t>OA</w:t>
            </w:r>
          </w:p>
        </w:tc>
        <w:tc>
          <w:tcPr>
            <w:tcW w:w="0" w:type="auto"/>
            <w:tcBorders>
              <w:top w:val="single" w:sz="4" w:space="0" w:color="auto"/>
              <w:bottom w:val="nil"/>
            </w:tcBorders>
          </w:tcPr>
          <w:p w:rsidR="008D2AB9" w:rsidRPr="008D2AB9" w:rsidRDefault="008D2AB9" w:rsidP="008D2AB9">
            <w:pPr>
              <w:pStyle w:val="List"/>
              <w:spacing w:before="60" w:after="0" w:line="240" w:lineRule="auto"/>
              <w:ind w:left="0" w:firstLine="0"/>
              <w:contextualSpacing w:val="0"/>
              <w:jc w:val="center"/>
              <w:rPr>
                <w:b/>
                <w:sz w:val="20"/>
                <w:szCs w:val="20"/>
              </w:rPr>
            </w:pPr>
            <w:r w:rsidRPr="008D2AB9">
              <w:rPr>
                <w:b/>
                <w:sz w:val="20"/>
                <w:szCs w:val="20"/>
              </w:rPr>
              <w:t>Precursor 2:</w:t>
            </w:r>
          </w:p>
          <w:p w:rsidR="008D2AB9" w:rsidRPr="008D2AB9" w:rsidRDefault="008D2AB9" w:rsidP="008D2AB9">
            <w:pPr>
              <w:pStyle w:val="List"/>
              <w:spacing w:after="0" w:line="240" w:lineRule="auto"/>
              <w:ind w:left="0" w:firstLine="0"/>
              <w:contextualSpacing w:val="0"/>
              <w:jc w:val="center"/>
              <w:rPr>
                <w:b/>
                <w:sz w:val="20"/>
                <w:szCs w:val="20"/>
              </w:rPr>
            </w:pPr>
            <w:r w:rsidRPr="008D2AB9">
              <w:rPr>
                <w:b/>
                <w:sz w:val="20"/>
                <w:szCs w:val="20"/>
              </w:rPr>
              <w:t>Diol</w:t>
            </w:r>
          </w:p>
        </w:tc>
      </w:tr>
      <w:tr w:rsidR="008D2AB9" w:rsidRPr="008D2AB9" w:rsidTr="00017982">
        <w:trPr>
          <w:trHeight w:val="158"/>
          <w:jc w:val="center"/>
        </w:trPr>
        <w:tc>
          <w:tcPr>
            <w:tcW w:w="0" w:type="auto"/>
            <w:tcBorders>
              <w:top w:val="single" w:sz="4" w:space="0" w:color="auto"/>
            </w:tcBorders>
          </w:tcPr>
          <w:p w:rsidR="008D2AB9" w:rsidRPr="008D2AB9" w:rsidRDefault="008D2AB9" w:rsidP="008D2AB9">
            <w:pPr>
              <w:pStyle w:val="List"/>
              <w:spacing w:before="60" w:after="0" w:line="240" w:lineRule="auto"/>
              <w:ind w:left="0" w:firstLine="0"/>
              <w:contextualSpacing w:val="0"/>
              <w:rPr>
                <w:sz w:val="20"/>
                <w:szCs w:val="20"/>
              </w:rPr>
            </w:pPr>
            <w:r w:rsidRPr="008D2AB9">
              <w:rPr>
                <w:sz w:val="20"/>
                <w:szCs w:val="20"/>
              </w:rPr>
              <w:t>Acid value (%)</w:t>
            </w:r>
          </w:p>
        </w:tc>
        <w:tc>
          <w:tcPr>
            <w:tcW w:w="0" w:type="auto"/>
            <w:tcBorders>
              <w:top w:val="single" w:sz="4" w:space="0" w:color="auto"/>
            </w:tcBorders>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0.56</w:t>
            </w:r>
          </w:p>
        </w:tc>
        <w:tc>
          <w:tcPr>
            <w:tcW w:w="0" w:type="auto"/>
            <w:tcBorders>
              <w:top w:val="single" w:sz="4" w:space="0" w:color="auto"/>
            </w:tcBorders>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8.09</w:t>
            </w:r>
          </w:p>
        </w:tc>
        <w:tc>
          <w:tcPr>
            <w:tcW w:w="0" w:type="auto"/>
            <w:tcBorders>
              <w:top w:val="single" w:sz="4" w:space="0" w:color="auto"/>
            </w:tcBorders>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0.56</w:t>
            </w:r>
          </w:p>
        </w:tc>
        <w:tc>
          <w:tcPr>
            <w:tcW w:w="0" w:type="auto"/>
            <w:tcBorders>
              <w:top w:val="single" w:sz="4" w:space="0" w:color="auto"/>
            </w:tcBorders>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67.32</w:t>
            </w:r>
          </w:p>
        </w:tc>
      </w:tr>
      <w:tr w:rsidR="008D2AB9" w:rsidRPr="008D2AB9" w:rsidTr="00017982">
        <w:trPr>
          <w:trHeight w:val="262"/>
          <w:jc w:val="center"/>
        </w:trPr>
        <w:tc>
          <w:tcPr>
            <w:tcW w:w="0" w:type="auto"/>
          </w:tcPr>
          <w:p w:rsidR="008D2AB9" w:rsidRPr="008D2AB9" w:rsidRDefault="008D2AB9" w:rsidP="008D2AB9">
            <w:pPr>
              <w:pStyle w:val="List"/>
              <w:spacing w:before="60" w:after="0" w:line="240" w:lineRule="auto"/>
              <w:ind w:left="0" w:firstLine="0"/>
              <w:contextualSpacing w:val="0"/>
              <w:rPr>
                <w:sz w:val="20"/>
                <w:szCs w:val="20"/>
              </w:rPr>
            </w:pPr>
            <w:r w:rsidRPr="008D2AB9">
              <w:rPr>
                <w:sz w:val="20"/>
                <w:szCs w:val="20"/>
              </w:rPr>
              <w:t>Iodine value</w:t>
            </w:r>
          </w:p>
          <w:p w:rsidR="008D2AB9" w:rsidRPr="008D2AB9" w:rsidRDefault="008D2AB9" w:rsidP="008D2AB9">
            <w:pPr>
              <w:pStyle w:val="List"/>
              <w:spacing w:after="0" w:line="240" w:lineRule="auto"/>
              <w:ind w:left="0" w:firstLine="0"/>
              <w:contextualSpacing w:val="0"/>
              <w:rPr>
                <w:sz w:val="20"/>
                <w:szCs w:val="20"/>
              </w:rPr>
            </w:pPr>
            <w:r w:rsidRPr="008D2AB9">
              <w:rPr>
                <w:sz w:val="20"/>
                <w:szCs w:val="20"/>
              </w:rPr>
              <w:t>(mg KOH/ g oil)</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61.47</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0</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83.91</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w:t>
            </w:r>
          </w:p>
        </w:tc>
      </w:tr>
      <w:tr w:rsidR="008D2AB9" w:rsidRPr="008D2AB9" w:rsidTr="00017982">
        <w:trPr>
          <w:trHeight w:val="158"/>
          <w:jc w:val="center"/>
        </w:trPr>
        <w:tc>
          <w:tcPr>
            <w:tcW w:w="0" w:type="auto"/>
          </w:tcPr>
          <w:p w:rsidR="008D2AB9" w:rsidRPr="008D2AB9" w:rsidRDefault="008D2AB9" w:rsidP="008D2AB9">
            <w:pPr>
              <w:pStyle w:val="List"/>
              <w:spacing w:before="60" w:after="0" w:line="240" w:lineRule="auto"/>
              <w:ind w:left="0" w:firstLine="0"/>
              <w:contextualSpacing w:val="0"/>
              <w:rPr>
                <w:sz w:val="20"/>
                <w:szCs w:val="20"/>
              </w:rPr>
            </w:pPr>
            <w:r w:rsidRPr="008D2AB9">
              <w:rPr>
                <w:sz w:val="20"/>
                <w:szCs w:val="20"/>
              </w:rPr>
              <w:t>Oxirane oxygen content (%)</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0.04</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3.33</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w:t>
            </w:r>
          </w:p>
        </w:tc>
      </w:tr>
      <w:tr w:rsidR="008D2AB9" w:rsidRPr="008D2AB9" w:rsidTr="00017982">
        <w:trPr>
          <w:trHeight w:val="267"/>
          <w:jc w:val="center"/>
        </w:trPr>
        <w:tc>
          <w:tcPr>
            <w:tcW w:w="0" w:type="auto"/>
          </w:tcPr>
          <w:p w:rsidR="008D2AB9" w:rsidRPr="008D2AB9" w:rsidRDefault="008D2AB9" w:rsidP="008D2AB9">
            <w:pPr>
              <w:pStyle w:val="List"/>
              <w:spacing w:before="60" w:after="0" w:line="240" w:lineRule="auto"/>
              <w:ind w:left="0" w:firstLine="0"/>
              <w:contextualSpacing w:val="0"/>
              <w:rPr>
                <w:sz w:val="20"/>
                <w:szCs w:val="20"/>
              </w:rPr>
            </w:pPr>
            <w:r w:rsidRPr="008D2AB9">
              <w:rPr>
                <w:sz w:val="20"/>
                <w:szCs w:val="20"/>
              </w:rPr>
              <w:t>Saponification value (mg KOH/g oil)</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196.21</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192.50</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188.80</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132.58</w:t>
            </w:r>
          </w:p>
        </w:tc>
      </w:tr>
      <w:tr w:rsidR="008D2AB9" w:rsidRPr="008D2AB9" w:rsidTr="00017982">
        <w:trPr>
          <w:trHeight w:val="152"/>
          <w:jc w:val="center"/>
        </w:trPr>
        <w:tc>
          <w:tcPr>
            <w:tcW w:w="0" w:type="auto"/>
          </w:tcPr>
          <w:p w:rsidR="008D2AB9" w:rsidRPr="008D2AB9" w:rsidRDefault="008D2AB9" w:rsidP="008D2AB9">
            <w:pPr>
              <w:pStyle w:val="List"/>
              <w:spacing w:before="60" w:after="0" w:line="240" w:lineRule="auto"/>
              <w:ind w:left="0" w:firstLine="0"/>
              <w:contextualSpacing w:val="0"/>
              <w:rPr>
                <w:sz w:val="20"/>
                <w:szCs w:val="20"/>
              </w:rPr>
            </w:pPr>
            <w:r w:rsidRPr="008D2AB9">
              <w:rPr>
                <w:sz w:val="20"/>
                <w:szCs w:val="20"/>
              </w:rPr>
              <w:t>Hydroxyl value (mg KOH/ g oil)</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231.07</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114.53</w:t>
            </w:r>
          </w:p>
        </w:tc>
      </w:tr>
      <w:tr w:rsidR="008D2AB9" w:rsidRPr="008D2AB9" w:rsidTr="00017982">
        <w:trPr>
          <w:trHeight w:val="158"/>
          <w:jc w:val="center"/>
        </w:trPr>
        <w:tc>
          <w:tcPr>
            <w:tcW w:w="0" w:type="auto"/>
          </w:tcPr>
          <w:p w:rsidR="008D2AB9" w:rsidRPr="008D2AB9" w:rsidRDefault="008D2AB9" w:rsidP="008D2AB9">
            <w:pPr>
              <w:pStyle w:val="List"/>
              <w:spacing w:before="60" w:after="0" w:line="240" w:lineRule="auto"/>
              <w:ind w:left="0" w:firstLine="0"/>
              <w:contextualSpacing w:val="0"/>
              <w:rPr>
                <w:sz w:val="20"/>
                <w:szCs w:val="20"/>
              </w:rPr>
            </w:pPr>
            <w:r w:rsidRPr="008D2AB9">
              <w:rPr>
                <w:sz w:val="20"/>
                <w:szCs w:val="20"/>
              </w:rPr>
              <w:t>Ester value (mg KOH/ g oil)</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195.65</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184.41</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188.24</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65.26</w:t>
            </w:r>
          </w:p>
        </w:tc>
      </w:tr>
      <w:tr w:rsidR="008D2AB9" w:rsidRPr="008D2AB9" w:rsidTr="00017982">
        <w:trPr>
          <w:trHeight w:val="147"/>
          <w:jc w:val="center"/>
        </w:trPr>
        <w:tc>
          <w:tcPr>
            <w:tcW w:w="0" w:type="auto"/>
          </w:tcPr>
          <w:p w:rsidR="008D2AB9" w:rsidRPr="008D2AB9" w:rsidRDefault="008D2AB9" w:rsidP="008D2AB9">
            <w:pPr>
              <w:pStyle w:val="List"/>
              <w:spacing w:before="60" w:after="0" w:line="240" w:lineRule="auto"/>
              <w:ind w:left="0" w:firstLine="0"/>
              <w:contextualSpacing w:val="0"/>
              <w:rPr>
                <w:sz w:val="20"/>
                <w:szCs w:val="20"/>
              </w:rPr>
            </w:pPr>
            <w:r w:rsidRPr="008D2AB9">
              <w:rPr>
                <w:sz w:val="20"/>
                <w:szCs w:val="20"/>
              </w:rPr>
              <w:t>Ester (%)</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43.98</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41.45</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42.32</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14.67</w:t>
            </w:r>
          </w:p>
        </w:tc>
      </w:tr>
      <w:tr w:rsidR="008D2AB9" w:rsidRPr="008D2AB9" w:rsidTr="00017982">
        <w:trPr>
          <w:trHeight w:val="163"/>
          <w:jc w:val="center"/>
        </w:trPr>
        <w:tc>
          <w:tcPr>
            <w:tcW w:w="0" w:type="auto"/>
          </w:tcPr>
          <w:p w:rsidR="008D2AB9" w:rsidRPr="008D2AB9" w:rsidRDefault="008D2AB9" w:rsidP="008D2AB9">
            <w:pPr>
              <w:pStyle w:val="List"/>
              <w:spacing w:before="60" w:after="60" w:line="240" w:lineRule="auto"/>
              <w:ind w:left="0" w:firstLine="0"/>
              <w:contextualSpacing w:val="0"/>
              <w:rPr>
                <w:sz w:val="20"/>
                <w:szCs w:val="20"/>
              </w:rPr>
            </w:pPr>
            <w:r w:rsidRPr="008D2AB9">
              <w:rPr>
                <w:sz w:val="20"/>
                <w:szCs w:val="20"/>
              </w:rPr>
              <w:t>Viscosity (centipoise, cP)</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73.10</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382.60</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32.90</w:t>
            </w:r>
          </w:p>
        </w:tc>
        <w:tc>
          <w:tcPr>
            <w:tcW w:w="0" w:type="auto"/>
          </w:tcPr>
          <w:p w:rsidR="008D2AB9" w:rsidRPr="008D2AB9" w:rsidRDefault="008D2AB9" w:rsidP="008D2AB9">
            <w:pPr>
              <w:pStyle w:val="List"/>
              <w:spacing w:before="60" w:after="0" w:line="240" w:lineRule="auto"/>
              <w:ind w:left="0" w:firstLine="0"/>
              <w:contextualSpacing w:val="0"/>
              <w:jc w:val="center"/>
              <w:rPr>
                <w:sz w:val="20"/>
                <w:szCs w:val="20"/>
              </w:rPr>
            </w:pPr>
            <w:r w:rsidRPr="008D2AB9">
              <w:rPr>
                <w:sz w:val="20"/>
                <w:szCs w:val="20"/>
              </w:rPr>
              <w:t>328.30</w:t>
            </w:r>
          </w:p>
        </w:tc>
      </w:tr>
    </w:tbl>
    <w:p w:rsidR="008D2AB9" w:rsidRDefault="008D2AB9" w:rsidP="008D2AB9">
      <w:pPr>
        <w:pStyle w:val="Caption"/>
        <w:ind w:left="0" w:firstLine="0"/>
        <w:jc w:val="both"/>
      </w:pPr>
    </w:p>
    <w:p w:rsidR="008D2AB9" w:rsidRPr="008D2AB9" w:rsidRDefault="008D2AB9" w:rsidP="008D2AB9">
      <w:pPr>
        <w:pStyle w:val="Caption"/>
        <w:ind w:left="0" w:firstLine="0"/>
        <w:jc w:val="both"/>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 xml:space="preserve">On the other hand, the saponification value of OA was decreased from 188.80% to 132.58% (Table 1) after the diol formation.  This corresponds to the conversion of the carboxylic of OA to diol’s ester, which was supported by the decrease in the ester value (or ester) of OA from 188.24 (or 42.32%) to 65.26 (or 14.67%) of diol, as well as the decrease of the </w:t>
      </w:r>
      <w:r w:rsidRPr="008D2AB9">
        <w:rPr>
          <w:rStyle w:val="Emphasis"/>
          <w:rFonts w:ascii="Times New Roman" w:hAnsi="Times New Roman"/>
          <w:b w:val="0"/>
          <w:i w:val="0"/>
          <w:spacing w:val="0"/>
          <w:sz w:val="20"/>
          <w:szCs w:val="20"/>
          <w:shd w:val="clear" w:color="auto" w:fill="FFFFFF"/>
        </w:rPr>
        <w:t>hydroxyl value of OA to diol</w:t>
      </w:r>
      <w:r w:rsidRPr="008D2AB9">
        <w:rPr>
          <w:rStyle w:val="Emphasis"/>
          <w:rFonts w:ascii="Times New Roman" w:hAnsi="Times New Roman"/>
          <w:sz w:val="20"/>
          <w:szCs w:val="20"/>
          <w:shd w:val="clear" w:color="auto" w:fill="FFFFFF"/>
        </w:rPr>
        <w:t xml:space="preserve"> </w:t>
      </w:r>
      <w:r w:rsidRPr="008D2AB9">
        <w:rPr>
          <w:rFonts w:ascii="Times New Roman" w:hAnsi="Times New Roman"/>
          <w:sz w:val="20"/>
          <w:szCs w:val="20"/>
        </w:rPr>
        <w:t>from 231.07 to 114.53, respectively (Table 1).  The dynamic viscosity of POo and OA have increased drastically in EPOo and diol form, which showed initial confirmation of the formation of the new targeted precursors of EPOo and diol (Table 1). This result will be further confirmed by the analytical measurement presented in the following sections.</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b/>
          <w:sz w:val="20"/>
          <w:szCs w:val="20"/>
        </w:rPr>
        <w:t>The EPOo and Diol precursors’ reaction mechanism</w:t>
      </w:r>
    </w:p>
    <w:p w:rsidR="008D2AB9" w:rsidRPr="008D2AB9" w:rsidRDefault="008D2AB9" w:rsidP="008D2AB9">
      <w:pPr>
        <w:adjustRightInd w:val="0"/>
        <w:spacing w:after="0" w:line="240" w:lineRule="auto"/>
        <w:jc w:val="both"/>
        <w:rPr>
          <w:rFonts w:ascii="Times New Roman" w:hAnsi="Times New Roman"/>
          <w:color w:val="000000" w:themeColor="text1"/>
          <w:sz w:val="20"/>
          <w:szCs w:val="20"/>
        </w:rPr>
      </w:pPr>
      <w:r w:rsidRPr="008D2AB9">
        <w:rPr>
          <w:rFonts w:ascii="Times New Roman" w:hAnsi="Times New Roman"/>
          <w:sz w:val="20"/>
          <w:szCs w:val="20"/>
        </w:rPr>
        <w:t xml:space="preserve">The reaction mechanism for EPOo precursor formation is essential to be identified in order to understand the in situ epoxidation of POo with peracetic acid.  In this study, </w:t>
      </w:r>
      <w:r w:rsidRPr="008D2AB9">
        <w:rPr>
          <w:rFonts w:ascii="Times New Roman" w:hAnsi="Times New Roman"/>
          <w:color w:val="000000" w:themeColor="text1"/>
          <w:sz w:val="20"/>
          <w:szCs w:val="20"/>
        </w:rPr>
        <w:t xml:space="preserve">POo was preferable as raw material due to its valuable physicochemical properties that consist of </w:t>
      </w:r>
      <w:r w:rsidRPr="008D2AB9">
        <w:rPr>
          <w:rFonts w:ascii="Times New Roman" w:eastAsiaTheme="minorHAnsi" w:hAnsi="Times New Roman"/>
          <w:color w:val="000000" w:themeColor="text1"/>
          <w:sz w:val="20"/>
          <w:szCs w:val="20"/>
        </w:rPr>
        <w:t xml:space="preserve">monounsaturated triacylglycerol (TAG), POP (42.8%), and diunsaturated TAG, POO (35.7%), where this TAG structures can be chemically or </w:t>
      </w:r>
      <w:r w:rsidRPr="008D2AB9">
        <w:rPr>
          <w:rFonts w:ascii="Times New Roman" w:eastAsiaTheme="minorHAnsi" w:hAnsi="Times New Roman"/>
          <w:sz w:val="20"/>
          <w:szCs w:val="20"/>
        </w:rPr>
        <w:t xml:space="preserve">enzymatically modified to produce new green materials for utilization in </w:t>
      </w:r>
      <w:r w:rsidRPr="008D2AB9">
        <w:rPr>
          <w:rFonts w:ascii="Times New Roman" w:eastAsiaTheme="minorHAnsi" w:hAnsi="Times New Roman"/>
          <w:bCs/>
          <w:sz w:val="20"/>
          <w:szCs w:val="20"/>
        </w:rPr>
        <w:t>industrial and pharmaceutical products applications</w:t>
      </w:r>
      <w:r w:rsidRPr="008D2AB9">
        <w:rPr>
          <w:rFonts w:ascii="Times New Roman" w:eastAsiaTheme="minorHAnsi" w:hAnsi="Times New Roman"/>
          <w:sz w:val="20"/>
          <w:szCs w:val="20"/>
        </w:rPr>
        <w:t xml:space="preserve"> </w:t>
      </w:r>
      <w:r w:rsidRPr="008D2AB9">
        <w:rPr>
          <w:rFonts w:ascii="Times New Roman" w:eastAsiaTheme="minorHAnsi" w:hAnsi="Times New Roman"/>
          <w:color w:val="000000" w:themeColor="text1"/>
          <w:sz w:val="20"/>
          <w:szCs w:val="20"/>
        </w:rPr>
        <w:fldChar w:fldCharType="begin">
          <w:fldData xml:space="preserve">PEVuZE5vdGU+PENpdGU+PEF1dGhvcj5EZXJhd2k8L0F1dGhvcj48WWVhcj4yMDE0PC9ZZWFyPjxS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==
</w:fldData>
        </w:fldChar>
      </w:r>
      <w:r w:rsidRPr="008D2AB9">
        <w:rPr>
          <w:rFonts w:ascii="Times New Roman" w:eastAsiaTheme="minorHAnsi" w:hAnsi="Times New Roman"/>
          <w:color w:val="000000" w:themeColor="text1"/>
          <w:sz w:val="20"/>
          <w:szCs w:val="20"/>
        </w:rPr>
        <w:instrText xml:space="preserve"> ADDIN EN.CITE </w:instrText>
      </w:r>
      <w:r w:rsidRPr="008D2AB9">
        <w:rPr>
          <w:rFonts w:ascii="Times New Roman" w:eastAsiaTheme="minorHAnsi" w:hAnsi="Times New Roman"/>
          <w:color w:val="000000" w:themeColor="text1"/>
          <w:sz w:val="20"/>
          <w:szCs w:val="20"/>
        </w:rPr>
        <w:fldChar w:fldCharType="begin">
          <w:fldData xml:space="preserve">PEVuZE5vdGU+PENpdGU+PEF1dGhvcj5EZXJhd2k8L0F1dGhvcj48WWVhcj4yMDE0PC9ZZWFyPjxS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==
</w:fldData>
        </w:fldChar>
      </w:r>
      <w:r w:rsidRPr="008D2AB9">
        <w:rPr>
          <w:rFonts w:ascii="Times New Roman" w:eastAsiaTheme="minorHAnsi" w:hAnsi="Times New Roman"/>
          <w:color w:val="000000" w:themeColor="text1"/>
          <w:sz w:val="20"/>
          <w:szCs w:val="20"/>
        </w:rPr>
        <w:instrText xml:space="preserve"> ADDIN EN.CITE.DATA </w:instrText>
      </w:r>
      <w:r w:rsidRPr="008D2AB9">
        <w:rPr>
          <w:rFonts w:ascii="Times New Roman" w:eastAsiaTheme="minorHAnsi" w:hAnsi="Times New Roman"/>
          <w:color w:val="000000" w:themeColor="text1"/>
          <w:sz w:val="20"/>
          <w:szCs w:val="20"/>
        </w:rPr>
      </w:r>
      <w:r w:rsidRPr="008D2AB9">
        <w:rPr>
          <w:rFonts w:ascii="Times New Roman" w:eastAsiaTheme="minorHAnsi" w:hAnsi="Times New Roman"/>
          <w:color w:val="000000" w:themeColor="text1"/>
          <w:sz w:val="20"/>
          <w:szCs w:val="20"/>
        </w:rPr>
        <w:fldChar w:fldCharType="end"/>
      </w:r>
      <w:r w:rsidRPr="008D2AB9">
        <w:rPr>
          <w:rFonts w:ascii="Times New Roman" w:eastAsiaTheme="minorHAnsi" w:hAnsi="Times New Roman"/>
          <w:color w:val="000000" w:themeColor="text1"/>
          <w:sz w:val="20"/>
          <w:szCs w:val="20"/>
        </w:rPr>
      </w:r>
      <w:r w:rsidRPr="008D2AB9">
        <w:rPr>
          <w:rFonts w:ascii="Times New Roman" w:eastAsiaTheme="minorHAnsi" w:hAnsi="Times New Roman"/>
          <w:color w:val="000000" w:themeColor="text1"/>
          <w:sz w:val="20"/>
          <w:szCs w:val="20"/>
        </w:rPr>
        <w:fldChar w:fldCharType="separate"/>
      </w:r>
      <w:r w:rsidRPr="008D2AB9">
        <w:rPr>
          <w:rFonts w:ascii="Times New Roman" w:eastAsiaTheme="minorHAnsi" w:hAnsi="Times New Roman"/>
          <w:noProof/>
          <w:color w:val="000000" w:themeColor="text1"/>
          <w:sz w:val="20"/>
          <w:szCs w:val="20"/>
        </w:rPr>
        <w:t>[8-10, 14]</w:t>
      </w:r>
      <w:r w:rsidRPr="008D2AB9">
        <w:rPr>
          <w:rFonts w:ascii="Times New Roman" w:eastAsiaTheme="minorHAnsi" w:hAnsi="Times New Roman"/>
          <w:color w:val="000000" w:themeColor="text1"/>
          <w:sz w:val="20"/>
          <w:szCs w:val="20"/>
        </w:rPr>
        <w:fldChar w:fldCharType="end"/>
      </w:r>
      <w:r w:rsidRPr="008D2AB9">
        <w:rPr>
          <w:rFonts w:ascii="Times New Roman" w:eastAsiaTheme="minorHAnsi" w:hAnsi="Times New Roman"/>
          <w:color w:val="000000" w:themeColor="text1"/>
          <w:sz w:val="20"/>
          <w:szCs w:val="20"/>
        </w:rPr>
        <w:t>.  Furthermore, POo is</w:t>
      </w:r>
      <w:r w:rsidRPr="008D2AB9">
        <w:rPr>
          <w:rFonts w:ascii="Times New Roman" w:hAnsi="Times New Roman"/>
          <w:color w:val="000000" w:themeColor="text1"/>
          <w:sz w:val="20"/>
          <w:szCs w:val="20"/>
        </w:rPr>
        <w:t xml:space="preserve"> derived from natural friendly source (a liquid fraction of palm oil), it’s cheaper compare to petrochemical-based products</w:t>
      </w:r>
      <w:r w:rsidRPr="008D2AB9">
        <w:rPr>
          <w:rFonts w:ascii="Times New Roman" w:eastAsiaTheme="minorHAnsi" w:hAnsi="Times New Roman"/>
          <w:color w:val="000000" w:themeColor="text1"/>
          <w:sz w:val="20"/>
          <w:szCs w:val="20"/>
        </w:rPr>
        <w:t xml:space="preserve"> </w:t>
      </w:r>
      <w:r w:rsidRPr="008D2AB9">
        <w:rPr>
          <w:rFonts w:ascii="Times New Roman" w:hAnsi="Times New Roman"/>
          <w:color w:val="000000" w:themeColor="text1"/>
          <w:sz w:val="20"/>
          <w:szCs w:val="20"/>
        </w:rPr>
        <w:t xml:space="preserve">and more importantly, POo is the largest renewable resources in Malaysia </w:t>
      </w:r>
      <w:r w:rsidRPr="008D2AB9">
        <w:rPr>
          <w:rFonts w:ascii="Times New Roman" w:hAnsi="Times New Roman"/>
          <w:color w:val="000000" w:themeColor="text1"/>
          <w:sz w:val="20"/>
          <w:szCs w:val="20"/>
        </w:rPr>
        <w:fldChar w:fldCharType="begin"/>
      </w:r>
      <w:r w:rsidRPr="008D2AB9">
        <w:rPr>
          <w:rFonts w:ascii="Times New Roman" w:hAnsi="Times New Roman"/>
          <w:color w:val="000000" w:themeColor="text1"/>
          <w:sz w:val="20"/>
          <w:szCs w:val="20"/>
        </w:rPr>
        <w:instrText xml:space="preserve"> ADDIN EN.CITE &lt;EndNote&gt;&lt;Cite&gt;&lt;Author&gt;Derawi&lt;/Author&gt;&lt;Year&gt;2014&lt;/Year&gt;&lt;RecNum&gt;17&lt;/RecNum&gt;&lt;DisplayText&gt;(Derawi, et al. 2014)&lt;/DisplayText&gt;&lt;record&gt;&lt;rec-number&gt;17&lt;/rec-number&gt;&lt;foreign-keys&gt;&lt;key app="EN" db-id="veadxrt55spdtserpz9xxpwqpwrrzx0r992z" timestamp="0"&gt;17&lt;/key&gt;&lt;/foreign-keys&gt;&lt;ref-type name="Journal Article"&gt;17&lt;/ref-type&gt;&lt;contributors&gt;&lt;authors&gt;&lt;author&gt;Derawi, D.&lt;/author&gt;&lt;author&gt;Abdullah, B.M.&lt;/author&gt;&lt;author&gt;Huri, H. Z.&lt;/author&gt;&lt;author&gt;Yusop, R.M.&lt;/author&gt;&lt;author&gt;Salimon, J.&lt;/author&gt;&lt;author&gt;Hairunisa, N.&lt;/author&gt;&lt;author&gt;Salih, N.&lt;/author&gt;&lt;/authors&gt;&lt;/contributors&gt;&lt;titles&gt;&lt;title&gt;Palm olein as renewable raw materials for industrial and pharmaceutical products applications: chemical characterization and physicochemical properties studies&lt;/title&gt;&lt;secondary-title&gt;Advances in materials science and engineering &lt;/secondary-title&gt;&lt;/titles&gt;&lt;volume&gt;2014&lt;/volume&gt;&lt;dates&gt;&lt;year&gt;2014&lt;/year&gt;&lt;/dates&gt;&lt;urls&gt;&lt;/urls&gt;&lt;/record&gt;&lt;/Cite&gt;&lt;/EndNote&gt;</w:instrText>
      </w:r>
      <w:r w:rsidRPr="008D2AB9">
        <w:rPr>
          <w:rFonts w:ascii="Times New Roman" w:hAnsi="Times New Roman"/>
          <w:color w:val="000000" w:themeColor="text1"/>
          <w:sz w:val="20"/>
          <w:szCs w:val="20"/>
        </w:rPr>
        <w:fldChar w:fldCharType="separate"/>
      </w:r>
      <w:r w:rsidRPr="008D2AB9">
        <w:rPr>
          <w:rFonts w:ascii="Times New Roman" w:hAnsi="Times New Roman"/>
          <w:noProof/>
          <w:color w:val="000000" w:themeColor="text1"/>
          <w:sz w:val="20"/>
          <w:szCs w:val="20"/>
        </w:rPr>
        <w:t>[8]</w:t>
      </w:r>
      <w:r w:rsidRPr="008D2AB9">
        <w:rPr>
          <w:rFonts w:ascii="Times New Roman" w:hAnsi="Times New Roman"/>
          <w:color w:val="000000" w:themeColor="text1"/>
          <w:sz w:val="20"/>
          <w:szCs w:val="20"/>
        </w:rPr>
        <w:fldChar w:fldCharType="end"/>
      </w:r>
      <w:r w:rsidRPr="008D2AB9">
        <w:rPr>
          <w:rFonts w:ascii="Times New Roman" w:hAnsi="Times New Roman"/>
          <w:color w:val="000000" w:themeColor="text1"/>
          <w:sz w:val="20"/>
          <w:szCs w:val="20"/>
        </w:rPr>
        <w:t xml:space="preserve">. </w:t>
      </w:r>
    </w:p>
    <w:p w:rsidR="008D2AB9" w:rsidRPr="008D2AB9" w:rsidRDefault="008D2AB9" w:rsidP="008D2AB9">
      <w:pPr>
        <w:adjustRightInd w:val="0"/>
        <w:spacing w:after="0" w:line="240" w:lineRule="auto"/>
        <w:jc w:val="both"/>
        <w:rPr>
          <w:rFonts w:ascii="Times New Roman" w:hAnsi="Times New Roman"/>
          <w:color w:val="000000" w:themeColor="text1"/>
          <w:sz w:val="20"/>
          <w:szCs w:val="20"/>
        </w:rPr>
      </w:pPr>
    </w:p>
    <w:p w:rsidR="008D2AB9" w:rsidRPr="008D2AB9" w:rsidRDefault="008D2AB9" w:rsidP="008D2AB9">
      <w:pPr>
        <w:adjustRightInd w:val="0"/>
        <w:spacing w:after="0" w:line="240" w:lineRule="auto"/>
        <w:jc w:val="both"/>
        <w:rPr>
          <w:rFonts w:ascii="Times New Roman" w:hAnsi="Times New Roman"/>
          <w:color w:val="000000" w:themeColor="text1"/>
          <w:sz w:val="20"/>
          <w:szCs w:val="20"/>
        </w:rPr>
      </w:pPr>
      <w:r w:rsidRPr="008D2AB9">
        <w:rPr>
          <w:rFonts w:ascii="Times New Roman" w:hAnsi="Times New Roman"/>
          <w:color w:val="000000" w:themeColor="text1"/>
          <w:sz w:val="20"/>
          <w:szCs w:val="20"/>
        </w:rPr>
        <w:t xml:space="preserve">Moreover, the conventional chemical treatment method is the most widely used process of epoxidation compare to such as enzymes, metal catalysts and acid ion exchange resin methods </w:t>
      </w:r>
      <w:r w:rsidRPr="008D2AB9">
        <w:rPr>
          <w:rFonts w:ascii="Times New Roman" w:hAnsi="Times New Roman"/>
          <w:color w:val="000000" w:themeColor="text1"/>
          <w:sz w:val="20"/>
          <w:szCs w:val="20"/>
        </w:rPr>
        <w:fldChar w:fldCharType="begin"/>
      </w:r>
      <w:r w:rsidRPr="008D2AB9">
        <w:rPr>
          <w:rFonts w:ascii="Times New Roman" w:hAnsi="Times New Roman"/>
          <w:color w:val="000000" w:themeColor="text1"/>
          <w:sz w:val="20"/>
          <w:szCs w:val="20"/>
        </w:rPr>
        <w:instrText xml:space="preserve"> ADDIN EN.CITE &lt;EndNote&gt;&lt;Cite&gt;&lt;Author&gt;Derawi&lt;/Author&gt;&lt;Year&gt;2010&lt;/Year&gt;&lt;RecNum&gt;6&lt;/RecNum&gt;&lt;DisplayText&gt;(Derawi and Salimon 2010; Saurabh, et al. 2011)&lt;/DisplayText&gt;&lt;record&gt;&lt;rec-number&gt;6&lt;/rec-number&gt;&lt;foreign-keys&gt;&lt;key app="EN" db-id="veadxrt55spdtserpz9xxpwqpwrrzx0r992z" timestamp="0"&gt;6&lt;/key&gt;&lt;/foreign-keys&gt;&lt;ref-type name="Journal Article"&gt;17&lt;/ref-type&gt;&lt;contributors&gt;&lt;authors&gt;&lt;author&gt;Derawi, D.&lt;/author&gt;&lt;author&gt;Salimon, J.&lt;/author&gt;&lt;/authors&gt;&lt;/contributors&gt;&lt;titles&gt;&lt;title&gt;Optimization on epoxidation of palm olein by using performic acid&lt;/title&gt;&lt;secondary-title&gt;E-Journal of Chemistry&lt;/secondary-title&gt;&lt;/titles&gt;&lt;pages&gt;7(4): 1440-1448.&lt;/pages&gt;&lt;dates&gt;&lt;year&gt;2010&lt;/year&gt;&lt;/dates&gt;&lt;urls&gt;&lt;/urls&gt;&lt;/record&gt;&lt;/Cite&gt;&lt;Cite&gt;&lt;Author&gt;Saurabh&lt;/Author&gt;&lt;Year&gt;2011&lt;/Year&gt;&lt;RecNum&gt;10&lt;/RecNum&gt;&lt;record&gt;&lt;rec-number&gt;10&lt;/rec-number&gt;&lt;foreign-keys&gt;&lt;key app="EN" db-id="veadxrt55spdtserpz9xxpwqpwrrzx0r992z" timestamp="0"&gt;10&lt;/key&gt;&lt;/foreign-keys&gt;&lt;ref-type name="Journal Article"&gt;17&lt;/ref-type&gt;&lt;contributors&gt;&lt;authors&gt;&lt;author&gt;Saurabh, T.&lt;/author&gt;&lt;author&gt;Patnaik M.&lt;/author&gt;&lt;author&gt;Bhagt S.L. &lt;/author&gt;&lt;author&gt;Renge V.C.&lt;/author&gt;&lt;/authors&gt;&lt;/contributors&gt;&lt;titles&gt;&lt;title&gt;Epoxidation of vegetable oils: a review&lt;/title&gt;&lt;secondary-title&gt;International Journal of Advanced Engineering Technology&lt;/secondary-title&gt;&lt;/titles&gt;&lt;pages&gt;491-501&lt;/pages&gt;&lt;volume&gt;2&lt;/volume&gt;&lt;number&gt;4&lt;/number&gt;&lt;dates&gt;&lt;year&gt;2011&lt;/year&gt;&lt;/dates&gt;&lt;urls&gt;&lt;/urls&gt;&lt;/record&gt;&lt;/Cite&gt;&lt;/EndNote&gt;</w:instrText>
      </w:r>
      <w:r w:rsidRPr="008D2AB9">
        <w:rPr>
          <w:rFonts w:ascii="Times New Roman" w:hAnsi="Times New Roman"/>
          <w:color w:val="000000" w:themeColor="text1"/>
          <w:sz w:val="20"/>
          <w:szCs w:val="20"/>
        </w:rPr>
        <w:fldChar w:fldCharType="separate"/>
      </w:r>
      <w:r w:rsidR="00164336">
        <w:rPr>
          <w:rFonts w:ascii="Times New Roman" w:hAnsi="Times New Roman"/>
          <w:noProof/>
          <w:color w:val="000000" w:themeColor="text1"/>
          <w:sz w:val="20"/>
          <w:szCs w:val="20"/>
        </w:rPr>
        <w:t>[14,</w:t>
      </w:r>
      <w:r w:rsidRPr="008D2AB9">
        <w:rPr>
          <w:rFonts w:ascii="Times New Roman" w:hAnsi="Times New Roman"/>
          <w:noProof/>
          <w:color w:val="000000" w:themeColor="text1"/>
          <w:sz w:val="20"/>
          <w:szCs w:val="20"/>
        </w:rPr>
        <w:t xml:space="preserve"> 36]</w:t>
      </w:r>
      <w:r w:rsidRPr="008D2AB9">
        <w:rPr>
          <w:rFonts w:ascii="Times New Roman" w:hAnsi="Times New Roman"/>
          <w:color w:val="000000" w:themeColor="text1"/>
          <w:sz w:val="20"/>
          <w:szCs w:val="20"/>
        </w:rPr>
        <w:fldChar w:fldCharType="end"/>
      </w:r>
      <w:r w:rsidRPr="008D2AB9">
        <w:rPr>
          <w:rFonts w:ascii="Times New Roman" w:hAnsi="Times New Roman"/>
          <w:color w:val="000000" w:themeColor="text1"/>
          <w:sz w:val="20"/>
          <w:szCs w:val="20"/>
        </w:rPr>
        <w:t xml:space="preserve">. This </w:t>
      </w:r>
      <w:r w:rsidRPr="008D2AB9">
        <w:rPr>
          <w:rFonts w:ascii="Times New Roman" w:eastAsiaTheme="minorHAnsi" w:hAnsi="Times New Roman"/>
          <w:sz w:val="20"/>
          <w:szCs w:val="20"/>
        </w:rPr>
        <w:t xml:space="preserve">chemical treatment method is also known as </w:t>
      </w:r>
      <w:r w:rsidRPr="008D2AB9">
        <w:rPr>
          <w:rFonts w:ascii="Times New Roman" w:hAnsi="Times New Roman"/>
          <w:color w:val="000000" w:themeColor="text1"/>
          <w:sz w:val="20"/>
          <w:szCs w:val="20"/>
        </w:rPr>
        <w:t xml:space="preserve">an efficient method </w:t>
      </w:r>
      <w:r w:rsidRPr="008D2AB9">
        <w:rPr>
          <w:rFonts w:ascii="Times New Roman" w:eastAsiaTheme="minorHAnsi" w:hAnsi="Times New Roman"/>
          <w:sz w:val="20"/>
          <w:szCs w:val="20"/>
        </w:rPr>
        <w:t xml:space="preserve">for functionalization reactive group onto unsaturation sites (carbon double bonds) in organic compounds and resulted valuable properties of epoxides </w:t>
      </w:r>
      <w:r w:rsidRPr="008D2AB9">
        <w:rPr>
          <w:rFonts w:ascii="Times New Roman" w:eastAsiaTheme="minorHAnsi" w:hAnsi="Times New Roman"/>
          <w:sz w:val="20"/>
          <w:szCs w:val="20"/>
        </w:rPr>
        <w:fldChar w:fldCharType="begin">
          <w:fldData xml:space="preserve">PEVuZE5vdGU+PENpdGU+PEF1dGhvcj5TYXVyYWJoPC9BdXRob3I+PFllYXI+MjAxMTwvWWVhcj48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</w:fldData>
        </w:fldChar>
      </w:r>
      <w:r w:rsidRPr="008D2AB9">
        <w:rPr>
          <w:rFonts w:ascii="Times New Roman" w:eastAsiaTheme="minorHAnsi" w:hAnsi="Times New Roman"/>
          <w:sz w:val="20"/>
          <w:szCs w:val="20"/>
        </w:rPr>
        <w:instrText xml:space="preserve"> ADDIN EN.CITE </w:instrText>
      </w:r>
      <w:r w:rsidRPr="008D2AB9">
        <w:rPr>
          <w:rFonts w:ascii="Times New Roman" w:eastAsiaTheme="minorHAnsi" w:hAnsi="Times New Roman"/>
          <w:sz w:val="20"/>
          <w:szCs w:val="20"/>
        </w:rPr>
        <w:fldChar w:fldCharType="begin">
          <w:fldData xml:space="preserve">PEVuZE5vdGU+PENpdGU+PEF1dGhvcj5TYXVyYWJoPC9BdXRob3I+PFllYXI+MjAxMTwvWWVhcj48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</w:fldData>
        </w:fldChar>
      </w:r>
      <w:r w:rsidRPr="008D2AB9">
        <w:rPr>
          <w:rFonts w:ascii="Times New Roman" w:eastAsiaTheme="minorHAnsi" w:hAnsi="Times New Roman"/>
          <w:sz w:val="20"/>
          <w:szCs w:val="20"/>
        </w:rPr>
        <w:instrText xml:space="preserve"> ADDIN EN.CITE.DATA </w:instrText>
      </w:r>
      <w:r w:rsidRPr="008D2AB9">
        <w:rPr>
          <w:rFonts w:ascii="Times New Roman" w:eastAsiaTheme="minorHAnsi" w:hAnsi="Times New Roman"/>
          <w:sz w:val="20"/>
          <w:szCs w:val="20"/>
        </w:rPr>
      </w:r>
      <w:r w:rsidRPr="008D2AB9">
        <w:rPr>
          <w:rFonts w:ascii="Times New Roman" w:eastAsiaTheme="minorHAnsi" w:hAnsi="Times New Roman"/>
          <w:sz w:val="20"/>
          <w:szCs w:val="20"/>
        </w:rPr>
        <w:fldChar w:fldCharType="end"/>
      </w:r>
      <w:r w:rsidRPr="008D2AB9">
        <w:rPr>
          <w:rFonts w:ascii="Times New Roman" w:eastAsiaTheme="minorHAnsi" w:hAnsi="Times New Roman"/>
          <w:sz w:val="20"/>
          <w:szCs w:val="20"/>
        </w:rPr>
      </w:r>
      <w:r w:rsidRPr="008D2AB9">
        <w:rPr>
          <w:rFonts w:ascii="Times New Roman" w:eastAsiaTheme="minorHAnsi" w:hAnsi="Times New Roman"/>
          <w:sz w:val="20"/>
          <w:szCs w:val="20"/>
        </w:rPr>
        <w:fldChar w:fldCharType="separate"/>
      </w:r>
      <w:r w:rsidR="00164336">
        <w:rPr>
          <w:rFonts w:ascii="Times New Roman" w:eastAsiaTheme="minorHAnsi" w:hAnsi="Times New Roman"/>
          <w:noProof/>
          <w:sz w:val="20"/>
          <w:szCs w:val="20"/>
        </w:rPr>
        <w:t xml:space="preserve">[14, 36, </w:t>
      </w:r>
      <w:r w:rsidRPr="008D2AB9">
        <w:rPr>
          <w:rFonts w:ascii="Times New Roman" w:eastAsiaTheme="minorHAnsi" w:hAnsi="Times New Roman"/>
          <w:noProof/>
          <w:sz w:val="20"/>
          <w:szCs w:val="20"/>
        </w:rPr>
        <w:t>37]</w:t>
      </w:r>
      <w:r w:rsidRPr="008D2AB9">
        <w:rPr>
          <w:rFonts w:ascii="Times New Roman" w:eastAsiaTheme="minorHAnsi" w:hAnsi="Times New Roman"/>
          <w:sz w:val="20"/>
          <w:szCs w:val="20"/>
        </w:rPr>
        <w:fldChar w:fldCharType="end"/>
      </w:r>
      <w:r w:rsidRPr="008D2AB9">
        <w:rPr>
          <w:rFonts w:ascii="Times New Roman" w:eastAsiaTheme="minorHAnsi" w:hAnsi="Times New Roman"/>
          <w:sz w:val="20"/>
          <w:szCs w:val="20"/>
        </w:rPr>
        <w:t>.</w:t>
      </w:r>
    </w:p>
    <w:p w:rsidR="008D2AB9" w:rsidRPr="008D2AB9" w:rsidRDefault="008D2AB9" w:rsidP="008D2AB9">
      <w:pPr>
        <w:adjustRightInd w:val="0"/>
        <w:spacing w:after="0" w:line="240" w:lineRule="auto"/>
        <w:jc w:val="both"/>
        <w:rPr>
          <w:rFonts w:ascii="Times New Roman" w:hAnsi="Times New Roman"/>
          <w:color w:val="000000" w:themeColor="text1"/>
          <w:sz w:val="20"/>
          <w:szCs w:val="20"/>
        </w:rPr>
      </w:pPr>
    </w:p>
    <w:p w:rsidR="008D2AB9" w:rsidRPr="008D2AB9" w:rsidRDefault="008D2AB9" w:rsidP="008D2AB9">
      <w:pPr>
        <w:adjustRightInd w:val="0"/>
        <w:spacing w:after="0" w:line="240" w:lineRule="auto"/>
        <w:jc w:val="both"/>
        <w:rPr>
          <w:rFonts w:ascii="Times New Roman" w:hAnsi="Times New Roman"/>
          <w:color w:val="000000" w:themeColor="text1"/>
          <w:sz w:val="20"/>
          <w:szCs w:val="20"/>
        </w:rPr>
      </w:pPr>
      <w:r w:rsidRPr="008D2AB9">
        <w:rPr>
          <w:rFonts w:ascii="Times New Roman" w:hAnsi="Times New Roman"/>
          <w:sz w:val="20"/>
          <w:szCs w:val="20"/>
        </w:rPr>
        <w:t xml:space="preserve">In this work, an established method called conventional chemical treatment by Ahmad et al. [20] is used and referred for the production of the EPOo where an alkene (POo) is reacted with peracetic acid </w:t>
      </w:r>
      <w:r w:rsidRPr="008D2AB9">
        <w:rPr>
          <w:rFonts w:ascii="Times New Roman" w:hAnsi="Times New Roman"/>
          <w:sz w:val="20"/>
          <w:szCs w:val="20"/>
        </w:rPr>
        <w:fldChar w:fldCharType="begin">
          <w:fldData xml:space="preserve">PEVuZE5vdGU+PENpdGU+PEF1dGhvcj5TY3JpbWdlb3VyPC9BdXRob3I+PFllYXI+MjAwNSA8L1ll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</w:fldData>
        </w:fldChar>
      </w:r>
      <w:r w:rsidRPr="008D2AB9">
        <w:rPr>
          <w:rFonts w:ascii="Times New Roman" w:hAnsi="Times New Roman"/>
          <w:sz w:val="20"/>
          <w:szCs w:val="20"/>
        </w:rPr>
        <w:instrText xml:space="preserve"> ADDIN EN.CITE </w:instrText>
      </w:r>
      <w:r w:rsidRPr="008D2AB9">
        <w:rPr>
          <w:rFonts w:ascii="Times New Roman" w:hAnsi="Times New Roman"/>
          <w:sz w:val="20"/>
          <w:szCs w:val="20"/>
        </w:rPr>
        <w:fldChar w:fldCharType="begin">
          <w:fldData xml:space="preserve">PEVuZE5vdGU+PENpdGU+PEF1dGhvcj5TY3JpbWdlb3VyPC9BdXRob3I+PFllYXI+MjAwNSA8L1ll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</w:fldData>
        </w:fldChar>
      </w:r>
      <w:r w:rsidRPr="008D2AB9">
        <w:rPr>
          <w:rFonts w:ascii="Times New Roman" w:hAnsi="Times New Roman"/>
          <w:sz w:val="20"/>
          <w:szCs w:val="20"/>
        </w:rPr>
        <w:instrText xml:space="preserve"> ADDIN EN.CITE.DATA </w:instrText>
      </w:r>
      <w:r w:rsidRPr="008D2AB9">
        <w:rPr>
          <w:rFonts w:ascii="Times New Roman" w:hAnsi="Times New Roman"/>
          <w:sz w:val="20"/>
          <w:szCs w:val="20"/>
        </w:rPr>
      </w:r>
      <w:r w:rsidRPr="008D2AB9">
        <w:rPr>
          <w:rFonts w:ascii="Times New Roman" w:hAnsi="Times New Roman"/>
          <w:sz w:val="20"/>
          <w:szCs w:val="20"/>
        </w:rPr>
        <w:fldChar w:fldCharType="end"/>
      </w:r>
      <w:r w:rsidRPr="008D2AB9">
        <w:rPr>
          <w:rFonts w:ascii="Times New Roman" w:hAnsi="Times New Roman"/>
          <w:sz w:val="20"/>
          <w:szCs w:val="20"/>
        </w:rPr>
      </w:r>
      <w:r w:rsidRPr="008D2AB9">
        <w:rPr>
          <w:rFonts w:ascii="Times New Roman" w:hAnsi="Times New Roman"/>
          <w:sz w:val="20"/>
          <w:szCs w:val="20"/>
        </w:rPr>
        <w:fldChar w:fldCharType="separate"/>
      </w:r>
      <w:r w:rsidRPr="008D2AB9">
        <w:rPr>
          <w:rFonts w:ascii="Times New Roman" w:hAnsi="Times New Roman"/>
          <w:noProof/>
          <w:sz w:val="20"/>
          <w:szCs w:val="20"/>
        </w:rPr>
        <w:t>[38-39]</w:t>
      </w:r>
      <w:r w:rsidRPr="008D2AB9">
        <w:rPr>
          <w:rFonts w:ascii="Times New Roman" w:hAnsi="Times New Roman"/>
          <w:sz w:val="20"/>
          <w:szCs w:val="20"/>
        </w:rPr>
        <w:fldChar w:fldCharType="end"/>
      </w:r>
      <w:r w:rsidRPr="008D2AB9">
        <w:rPr>
          <w:rFonts w:ascii="Times New Roman" w:hAnsi="Times New Roman"/>
          <w:sz w:val="20"/>
          <w:szCs w:val="20"/>
        </w:rPr>
        <w:t xml:space="preserve"> refer to reaction scheme (11).  This epoxidation is known as an acid-catalyzed reaction [36]. The yield of reaction obtained using this method is 84.52%.  </w:t>
      </w:r>
    </w:p>
    <w:p w:rsidR="008D2AB9" w:rsidRDefault="008D2AB9" w:rsidP="008D2AB9">
      <w:pPr>
        <w:spacing w:after="0" w:line="240" w:lineRule="auto"/>
        <w:jc w:val="both"/>
        <w:rPr>
          <w:rFonts w:ascii="Times New Roman" w:hAnsi="Times New Roman"/>
          <w:sz w:val="20"/>
          <w:szCs w:val="20"/>
        </w:rPr>
      </w:pPr>
    </w:p>
    <w:p w:rsidR="003B363F" w:rsidRDefault="003B363F" w:rsidP="008D2AB9">
      <w:pPr>
        <w:spacing w:after="0" w:line="240" w:lineRule="auto"/>
        <w:jc w:val="both"/>
        <w:rPr>
          <w:rFonts w:ascii="Times New Roman" w:hAnsi="Times New Roman"/>
          <w:sz w:val="20"/>
          <w:szCs w:val="20"/>
        </w:rPr>
      </w:pPr>
    </w:p>
    <w:p w:rsidR="003B363F" w:rsidRPr="008D2AB9" w:rsidRDefault="003B363F"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noProof/>
          <w:sz w:val="20"/>
          <w:szCs w:val="20"/>
          <w:lang w:bidi="ar-SA"/>
        </w:rPr>
        <w:lastRenderedPageBreak/>
        <w:drawing>
          <wp:anchor distT="0" distB="0" distL="114300" distR="114300" simplePos="0" relativeHeight="251672064" behindDoc="0" locked="0" layoutInCell="1" allowOverlap="1" wp14:anchorId="47E191DF" wp14:editId="33A5FB38">
            <wp:simplePos x="0" y="0"/>
            <wp:positionH relativeFrom="column">
              <wp:posOffset>477078</wp:posOffset>
            </wp:positionH>
            <wp:positionV relativeFrom="paragraph">
              <wp:posOffset>-883</wp:posOffset>
            </wp:positionV>
            <wp:extent cx="3066943" cy="752475"/>
            <wp:effectExtent l="0" t="0" r="635" b="0"/>
            <wp:wrapThrough wrapText="bothSides">
              <wp:wrapPolygon edited="0">
                <wp:start x="0" y="0"/>
                <wp:lineTo x="0" y="20780"/>
                <wp:lineTo x="21470" y="20780"/>
                <wp:lineTo x="2147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6943"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 xml:space="preserve">    </w:t>
      </w:r>
      <w:r w:rsidRPr="008D2AB9">
        <w:rPr>
          <w:rFonts w:ascii="Times New Roman" w:hAnsi="Times New Roman"/>
          <w:sz w:val="20"/>
          <w:szCs w:val="20"/>
        </w:rPr>
        <w:tab/>
      </w:r>
      <w:r w:rsidRPr="008D2AB9">
        <w:rPr>
          <w:rFonts w:ascii="Times New Roman" w:hAnsi="Times New Roman"/>
          <w:sz w:val="20"/>
          <w:szCs w:val="20"/>
        </w:rPr>
        <w:tab/>
        <w:t xml:space="preserve">    </w:t>
      </w:r>
      <w:r w:rsidRPr="008D2AB9">
        <w:rPr>
          <w:rFonts w:ascii="Times New Roman" w:hAnsi="Times New Roman"/>
          <w:sz w:val="20"/>
          <w:szCs w:val="20"/>
        </w:rPr>
        <w:tab/>
      </w:r>
      <w:r w:rsidRPr="008D2AB9">
        <w:rPr>
          <w:rFonts w:ascii="Times New Roman" w:hAnsi="Times New Roman"/>
          <w:sz w:val="20"/>
          <w:szCs w:val="20"/>
        </w:rPr>
        <w:tab/>
        <w:t xml:space="preserve"> </w:t>
      </w:r>
      <w:r w:rsidR="003B363F">
        <w:rPr>
          <w:rFonts w:ascii="Times New Roman" w:hAnsi="Times New Roman"/>
          <w:sz w:val="20"/>
          <w:szCs w:val="20"/>
        </w:rPr>
        <w:t xml:space="preserve">      </w:t>
      </w:r>
      <w:r w:rsidRPr="008D2AB9">
        <w:rPr>
          <w:rFonts w:ascii="Times New Roman" w:hAnsi="Times New Roman"/>
          <w:sz w:val="20"/>
          <w:szCs w:val="20"/>
        </w:rPr>
        <w:t>(</w:t>
      </w:r>
      <w:r w:rsidRPr="008D2AB9">
        <w:rPr>
          <w:rFonts w:ascii="Times New Roman" w:hAnsi="Times New Roman"/>
          <w:sz w:val="20"/>
          <w:szCs w:val="20"/>
        </w:rPr>
        <w:fldChar w:fldCharType="begin"/>
      </w:r>
      <w:r w:rsidRPr="008D2AB9">
        <w:rPr>
          <w:rFonts w:ascii="Times New Roman" w:hAnsi="Times New Roman"/>
          <w:sz w:val="20"/>
          <w:szCs w:val="20"/>
        </w:rPr>
        <w:instrText xml:space="preserve"> SEQ Equation \* ARABIC </w:instrText>
      </w:r>
      <w:r w:rsidRPr="008D2AB9">
        <w:rPr>
          <w:rFonts w:ascii="Times New Roman" w:hAnsi="Times New Roman"/>
          <w:sz w:val="20"/>
          <w:szCs w:val="20"/>
        </w:rPr>
        <w:fldChar w:fldCharType="separate"/>
      </w:r>
      <w:r w:rsidR="004F21CF">
        <w:rPr>
          <w:rFonts w:ascii="Times New Roman" w:hAnsi="Times New Roman"/>
          <w:noProof/>
          <w:sz w:val="20"/>
          <w:szCs w:val="20"/>
        </w:rPr>
        <w:t>11</w:t>
      </w:r>
      <w:r w:rsidRPr="008D2AB9">
        <w:rPr>
          <w:rFonts w:ascii="Times New Roman" w:hAnsi="Times New Roman"/>
          <w:sz w:val="20"/>
          <w:szCs w:val="20"/>
        </w:rPr>
        <w:fldChar w:fldCharType="end"/>
      </w:r>
      <w:r w:rsidRPr="008D2AB9">
        <w:rPr>
          <w:rFonts w:ascii="Times New Roman" w:hAnsi="Times New Roman"/>
          <w:sz w:val="20"/>
          <w:szCs w:val="20"/>
        </w:rPr>
        <w:t>)</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The peracetic acid solution was prepared from the glacial acetic acid (RCOOH) as an oxygen carrier and the hydrogen peroxide (H</w:t>
      </w:r>
      <w:r w:rsidRPr="008D2AB9">
        <w:rPr>
          <w:rFonts w:ascii="Times New Roman" w:hAnsi="Times New Roman"/>
          <w:sz w:val="20"/>
          <w:szCs w:val="20"/>
          <w:vertAlign w:val="subscript"/>
        </w:rPr>
        <w:t>2</w:t>
      </w:r>
      <w:r w:rsidRPr="008D2AB9">
        <w:rPr>
          <w:rFonts w:ascii="Times New Roman" w:hAnsi="Times New Roman"/>
          <w:sz w:val="20"/>
          <w:szCs w:val="20"/>
        </w:rPr>
        <w:t>O</w:t>
      </w:r>
      <w:r w:rsidRPr="008D2AB9">
        <w:rPr>
          <w:rFonts w:ascii="Times New Roman" w:hAnsi="Times New Roman"/>
          <w:sz w:val="20"/>
          <w:szCs w:val="20"/>
          <w:vertAlign w:val="subscript"/>
        </w:rPr>
        <w:t>2</w:t>
      </w:r>
      <w:r w:rsidRPr="008D2AB9">
        <w:rPr>
          <w:rFonts w:ascii="Times New Roman" w:hAnsi="Times New Roman"/>
          <w:sz w:val="20"/>
          <w:szCs w:val="20"/>
        </w:rPr>
        <w:t>) as an oxygen donor in the presence of catalytic inorganic sulphuric acid (H</w:t>
      </w:r>
      <w:r w:rsidRPr="008D2AB9">
        <w:rPr>
          <w:rFonts w:ascii="Times New Roman" w:hAnsi="Times New Roman"/>
          <w:sz w:val="20"/>
          <w:szCs w:val="20"/>
          <w:vertAlign w:val="subscript"/>
        </w:rPr>
        <w:t>2</w:t>
      </w:r>
      <w:r w:rsidRPr="008D2AB9">
        <w:rPr>
          <w:rFonts w:ascii="Times New Roman" w:hAnsi="Times New Roman"/>
          <w:sz w:val="20"/>
          <w:szCs w:val="20"/>
        </w:rPr>
        <w:t>SO</w:t>
      </w:r>
      <w:r w:rsidRPr="008D2AB9">
        <w:rPr>
          <w:rFonts w:ascii="Times New Roman" w:hAnsi="Times New Roman"/>
          <w:sz w:val="20"/>
          <w:szCs w:val="20"/>
          <w:vertAlign w:val="subscript"/>
        </w:rPr>
        <w:t>4</w:t>
      </w:r>
      <w:r w:rsidRPr="008D2AB9">
        <w:rPr>
          <w:rFonts w:ascii="Times New Roman" w:hAnsi="Times New Roman"/>
          <w:sz w:val="20"/>
          <w:szCs w:val="20"/>
        </w:rPr>
        <w:t xml:space="preserve">).  The reaction mechanism of the peracetic acid formation is presented in scheme (12).  </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noProof/>
          <w:sz w:val="20"/>
          <w:szCs w:val="20"/>
          <w:lang w:bidi="ar-SA"/>
        </w:rPr>
        <w:drawing>
          <wp:anchor distT="0" distB="0" distL="114300" distR="114300" simplePos="0" relativeHeight="251671040" behindDoc="0" locked="0" layoutInCell="1" allowOverlap="1" wp14:anchorId="01A359B5" wp14:editId="72B5175E">
            <wp:simplePos x="0" y="0"/>
            <wp:positionH relativeFrom="column">
              <wp:posOffset>389255</wp:posOffset>
            </wp:positionH>
            <wp:positionV relativeFrom="paragraph">
              <wp:posOffset>145415</wp:posOffset>
            </wp:positionV>
            <wp:extent cx="2991485" cy="438150"/>
            <wp:effectExtent l="0" t="0" r="0" b="0"/>
            <wp:wrapThrough wrapText="bothSides">
              <wp:wrapPolygon edited="0">
                <wp:start x="0" y="0"/>
                <wp:lineTo x="0" y="20661"/>
                <wp:lineTo x="21458" y="20661"/>
                <wp:lineTo x="2145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148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2AB9" w:rsidRPr="008D2AB9" w:rsidRDefault="008D2AB9" w:rsidP="008D2AB9">
      <w:pPr>
        <w:pStyle w:val="Caption"/>
        <w:jc w:val="both"/>
      </w:pPr>
      <w:r w:rsidRPr="008D2AB9">
        <w:tab/>
      </w:r>
      <w:r w:rsidRPr="008D2AB9">
        <w:tab/>
      </w:r>
      <w:r w:rsidRPr="008D2AB9">
        <w:tab/>
      </w:r>
    </w:p>
    <w:p w:rsidR="008D2AB9" w:rsidRPr="008D2AB9" w:rsidRDefault="008D2AB9" w:rsidP="008D2AB9">
      <w:pPr>
        <w:pStyle w:val="Caption"/>
        <w:ind w:left="1440" w:firstLine="0"/>
        <w:jc w:val="both"/>
      </w:pPr>
      <w:r w:rsidRPr="008D2AB9">
        <w:t xml:space="preserve">           </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r>
      <w:r w:rsidRPr="008D2AB9">
        <w:rPr>
          <w:rFonts w:ascii="Times New Roman" w:hAnsi="Times New Roman"/>
          <w:sz w:val="20"/>
          <w:szCs w:val="20"/>
        </w:rPr>
        <w:tab/>
        <w:t xml:space="preserve">     </w:t>
      </w:r>
      <w:r w:rsidR="003B363F">
        <w:rPr>
          <w:rFonts w:ascii="Times New Roman" w:hAnsi="Times New Roman"/>
          <w:sz w:val="20"/>
          <w:szCs w:val="20"/>
        </w:rPr>
        <w:t xml:space="preserve">      </w:t>
      </w:r>
      <w:r w:rsidRPr="008D2AB9">
        <w:rPr>
          <w:rFonts w:ascii="Times New Roman" w:hAnsi="Times New Roman"/>
          <w:sz w:val="20"/>
          <w:szCs w:val="20"/>
        </w:rPr>
        <w:t xml:space="preserve"> (12)</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 xml:space="preserve">Acetic acid was found to be widely used as an oxygen carrier in the epoxidation process besides the formic acid [36].  The reaction conversion was found to be above 80% by using acetic acid, and also the higher conversion is still depends on the synthesis parameter such as </w:t>
      </w:r>
      <w:r w:rsidRPr="008D2AB9">
        <w:rPr>
          <w:rFonts w:ascii="Times New Roman" w:eastAsiaTheme="minorHAnsi" w:hAnsi="Times New Roman"/>
          <w:sz w:val="20"/>
          <w:szCs w:val="20"/>
        </w:rPr>
        <w:t>temperature, reactants molar ratio, catalyst and mixing speed</w:t>
      </w:r>
      <w:r w:rsidRPr="008D2AB9">
        <w:rPr>
          <w:rFonts w:ascii="Times New Roman" w:hAnsi="Times New Roman"/>
          <w:sz w:val="20"/>
          <w:szCs w:val="20"/>
        </w:rPr>
        <w:t xml:space="preserve">. In this work, the percentage of the relative conversion of the POo to EPOo, (conversion from double bonds to epoxide ring), by in situ epoxidation for 2.5 hours of reaction time is 89.04 ± 10.56 %. The theoretical value of the OOC is 3.74% [14] while the value obtained in this work is 3.33%. The OOC value was found to be different from the theoretical value probably due to the difference in the epoxidation parameters and reagent composition such as stirring speed, temperature, reaction time, type of reactants and </w:t>
      </w:r>
      <w:r w:rsidRPr="008D2AB9">
        <w:rPr>
          <w:rFonts w:ascii="Times New Roman" w:eastAsiaTheme="minorHAnsi" w:hAnsi="Times New Roman"/>
          <w:sz w:val="20"/>
          <w:szCs w:val="20"/>
        </w:rPr>
        <w:t>reactants molar ratio</w:t>
      </w:r>
      <w:r w:rsidRPr="008D2AB9" w:rsidDel="00187257">
        <w:rPr>
          <w:rFonts w:ascii="Times New Roman" w:hAnsi="Times New Roman"/>
          <w:sz w:val="20"/>
          <w:szCs w:val="20"/>
        </w:rPr>
        <w:t xml:space="preserve"> </w:t>
      </w:r>
      <w:r w:rsidRPr="008D2AB9">
        <w:rPr>
          <w:rFonts w:ascii="Times New Roman" w:hAnsi="Times New Roman"/>
          <w:sz w:val="20"/>
          <w:szCs w:val="20"/>
        </w:rPr>
        <w:t>[14, 36-37].</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The catalytic inorganic of sulphuric acid have been chosen in this system because it was found to be more efficient in producing a high conversion of double bonds to epoxide ring when compared to other inorganic catalyst such as hydrochloric acid (HCI), nitric acid (HNO</w:t>
      </w:r>
      <w:r w:rsidRPr="008D2AB9">
        <w:rPr>
          <w:rFonts w:ascii="Times New Roman" w:hAnsi="Times New Roman"/>
          <w:sz w:val="20"/>
          <w:szCs w:val="20"/>
          <w:vertAlign w:val="subscript"/>
        </w:rPr>
        <w:t>3</w:t>
      </w:r>
      <w:r w:rsidRPr="008D2AB9">
        <w:rPr>
          <w:rFonts w:ascii="Times New Roman" w:hAnsi="Times New Roman"/>
          <w:sz w:val="20"/>
          <w:szCs w:val="20"/>
        </w:rPr>
        <w:t>) and phosphoric acid (H</w:t>
      </w:r>
      <w:r w:rsidRPr="008D2AB9">
        <w:rPr>
          <w:rFonts w:ascii="Times New Roman" w:hAnsi="Times New Roman"/>
          <w:sz w:val="20"/>
          <w:szCs w:val="20"/>
          <w:vertAlign w:val="subscript"/>
        </w:rPr>
        <w:t>3</w:t>
      </w:r>
      <w:r w:rsidRPr="008D2AB9">
        <w:rPr>
          <w:rFonts w:ascii="Times New Roman" w:hAnsi="Times New Roman"/>
          <w:sz w:val="20"/>
          <w:szCs w:val="20"/>
        </w:rPr>
        <w:t>PO</w:t>
      </w:r>
      <w:r w:rsidRPr="008D2AB9">
        <w:rPr>
          <w:rFonts w:ascii="Times New Roman" w:hAnsi="Times New Roman"/>
          <w:sz w:val="20"/>
          <w:szCs w:val="20"/>
          <w:vertAlign w:val="subscript"/>
        </w:rPr>
        <w:t>4</w:t>
      </w:r>
      <w:r w:rsidRPr="008D2AB9">
        <w:rPr>
          <w:rFonts w:ascii="Times New Roman" w:hAnsi="Times New Roman"/>
          <w:sz w:val="20"/>
          <w:szCs w:val="20"/>
        </w:rPr>
        <w:t>) [36, 40].</w:t>
      </w:r>
      <w:r w:rsidRPr="008D2AB9">
        <w:rPr>
          <w:rFonts w:ascii="Times New Roman" w:hAnsi="Times New Roman"/>
          <w:noProof/>
          <w:sz w:val="20"/>
          <w:szCs w:val="20"/>
        </w:rPr>
        <w:t xml:space="preserve">  Derawi and Salimon [14] worked on the epoxidation of POo </w:t>
      </w:r>
      <w:r w:rsidRPr="008D2AB9">
        <w:rPr>
          <w:rFonts w:ascii="Times New Roman" w:hAnsi="Times New Roman"/>
          <w:sz w:val="20"/>
          <w:szCs w:val="20"/>
        </w:rPr>
        <w:t xml:space="preserve">using the performic acid reaction system </w:t>
      </w:r>
      <w:r w:rsidRPr="008D2AB9">
        <w:rPr>
          <w:rFonts w:ascii="Times New Roman" w:hAnsi="Times New Roman"/>
          <w:noProof/>
          <w:sz w:val="20"/>
          <w:szCs w:val="20"/>
        </w:rPr>
        <w:t>[14]</w:t>
      </w:r>
      <w:r w:rsidRPr="008D2AB9">
        <w:rPr>
          <w:rFonts w:ascii="Times New Roman" w:hAnsi="Times New Roman"/>
          <w:sz w:val="20"/>
          <w:szCs w:val="20"/>
        </w:rPr>
        <w:t xml:space="preserve">. </w:t>
      </w:r>
      <w:r w:rsidRPr="008D2AB9">
        <w:rPr>
          <w:rFonts w:ascii="Times New Roman" w:hAnsi="Times New Roman"/>
          <w:noProof/>
          <w:sz w:val="20"/>
          <w:szCs w:val="20"/>
        </w:rPr>
        <w:t>They found that the conversion of epoxidation is 96.5%</w:t>
      </w:r>
      <w:r w:rsidRPr="008D2AB9">
        <w:rPr>
          <w:rFonts w:ascii="Times New Roman" w:hAnsi="Times New Roman"/>
          <w:sz w:val="20"/>
          <w:szCs w:val="20"/>
        </w:rPr>
        <w:t xml:space="preserve"> with a reaction yield of 91.3% for 2.5 hours of reaction time. However, this epoxidation process is considered as expensive compared to using the acetic acid </w:t>
      </w:r>
      <w:r w:rsidRPr="008D2AB9">
        <w:rPr>
          <w:rFonts w:ascii="Times New Roman" w:eastAsiaTheme="minorHAnsi" w:hAnsi="Times New Roman"/>
          <w:sz w:val="20"/>
          <w:szCs w:val="20"/>
        </w:rPr>
        <w:t xml:space="preserve">because formic acid is more expensive than acetic acid </w:t>
      </w:r>
      <w:r w:rsidRPr="008D2AB9">
        <w:rPr>
          <w:rFonts w:ascii="Times New Roman" w:hAnsi="Times New Roman"/>
          <w:noProof/>
          <w:sz w:val="20"/>
          <w:szCs w:val="20"/>
        </w:rPr>
        <w:t>[14].</w:t>
      </w:r>
    </w:p>
    <w:p w:rsidR="008D2AB9" w:rsidRPr="008D2AB9" w:rsidRDefault="008D2AB9" w:rsidP="008D2AB9">
      <w:pPr>
        <w:adjustRightInd w:val="0"/>
        <w:spacing w:after="0" w:line="240" w:lineRule="auto"/>
        <w:jc w:val="both"/>
        <w:rPr>
          <w:rFonts w:ascii="Times New Roman" w:hAnsi="Times New Roman"/>
          <w:noProof/>
          <w:sz w:val="20"/>
          <w:szCs w:val="20"/>
        </w:rPr>
      </w:pPr>
      <w:r w:rsidRPr="008D2AB9">
        <w:rPr>
          <w:rFonts w:ascii="Times New Roman" w:hAnsi="Times New Roman"/>
          <w:noProof/>
          <w:sz w:val="20"/>
          <w:szCs w:val="20"/>
        </w:rPr>
        <w:t xml:space="preserve">  </w:t>
      </w:r>
    </w:p>
    <w:p w:rsidR="008D2AB9" w:rsidRPr="008D2AB9" w:rsidRDefault="008D2AB9" w:rsidP="008D2AB9">
      <w:pPr>
        <w:adjustRightInd w:val="0"/>
        <w:spacing w:after="0" w:line="240" w:lineRule="auto"/>
        <w:jc w:val="both"/>
        <w:rPr>
          <w:rStyle w:val="Emphasis"/>
          <w:rFonts w:ascii="Times New Roman" w:hAnsi="Times New Roman"/>
          <w:bCs w:val="0"/>
          <w:sz w:val="20"/>
          <w:szCs w:val="20"/>
          <w:shd w:val="clear" w:color="auto" w:fill="FFFFFF"/>
        </w:rPr>
      </w:pPr>
      <w:r w:rsidRPr="008D2AB9">
        <w:rPr>
          <w:rFonts w:ascii="Times New Roman" w:hAnsi="Times New Roman"/>
          <w:noProof/>
          <w:sz w:val="20"/>
          <w:szCs w:val="20"/>
        </w:rPr>
        <w:t>However  the purification method that we currently used in this work would require</w:t>
      </w:r>
      <w:r w:rsidRPr="008D2AB9">
        <w:rPr>
          <w:rStyle w:val="Emphasis"/>
          <w:rFonts w:ascii="Times New Roman" w:hAnsi="Times New Roman"/>
          <w:b w:val="0"/>
          <w:sz w:val="20"/>
          <w:szCs w:val="20"/>
          <w:shd w:val="clear" w:color="auto" w:fill="FFFFFF"/>
        </w:rPr>
        <w:t xml:space="preserve"> </w:t>
      </w:r>
      <w:r w:rsidRPr="00F902CE">
        <w:rPr>
          <w:rStyle w:val="Emphasis"/>
          <w:rFonts w:ascii="Times New Roman" w:hAnsi="Times New Roman"/>
          <w:b w:val="0"/>
          <w:i w:val="0"/>
          <w:spacing w:val="0"/>
          <w:sz w:val="20"/>
          <w:szCs w:val="20"/>
          <w:shd w:val="clear" w:color="auto" w:fill="FFFFFF"/>
        </w:rPr>
        <w:t>attentive washing and transferring in the recovery of the precursors in a way to</w:t>
      </w:r>
      <w:r w:rsidRPr="008D2AB9">
        <w:rPr>
          <w:rStyle w:val="Emphasis"/>
          <w:rFonts w:ascii="Times New Roman" w:hAnsi="Times New Roman"/>
          <w:b w:val="0"/>
          <w:sz w:val="20"/>
          <w:szCs w:val="20"/>
          <w:shd w:val="clear" w:color="auto" w:fill="FFFFFF"/>
        </w:rPr>
        <w:t xml:space="preserve"> </w:t>
      </w:r>
      <w:r w:rsidRPr="008D2AB9">
        <w:rPr>
          <w:rFonts w:ascii="Times New Roman" w:hAnsi="Times New Roman"/>
          <w:noProof/>
          <w:sz w:val="20"/>
          <w:szCs w:val="20"/>
        </w:rPr>
        <w:t>obtain higher (maximum) yield as reported by other researchers [14, 36]</w:t>
      </w:r>
      <w:r w:rsidRPr="008D2AB9">
        <w:rPr>
          <w:rStyle w:val="Emphasis"/>
          <w:rFonts w:ascii="Times New Roman" w:hAnsi="Times New Roman"/>
          <w:sz w:val="20"/>
          <w:szCs w:val="20"/>
          <w:shd w:val="clear" w:color="auto" w:fill="FFFFFF"/>
        </w:rPr>
        <w:t>.</w:t>
      </w:r>
    </w:p>
    <w:p w:rsidR="008D2AB9" w:rsidRPr="008D2AB9" w:rsidRDefault="008D2AB9" w:rsidP="008D2AB9">
      <w:pPr>
        <w:adjustRightInd w:val="0"/>
        <w:spacing w:after="0" w:line="240" w:lineRule="auto"/>
        <w:jc w:val="both"/>
        <w:rPr>
          <w:rStyle w:val="Emphasis"/>
          <w:rFonts w:ascii="Times New Roman" w:hAnsi="Times New Roman"/>
          <w:bCs w:val="0"/>
          <w:sz w:val="20"/>
          <w:szCs w:val="20"/>
          <w:shd w:val="clear" w:color="auto" w:fill="FFFFFF"/>
        </w:rPr>
      </w:pPr>
    </w:p>
    <w:p w:rsidR="008D2AB9" w:rsidRPr="008D2AB9" w:rsidRDefault="008D2AB9" w:rsidP="008D2AB9">
      <w:pPr>
        <w:adjustRightInd w:val="0"/>
        <w:spacing w:after="0" w:line="240" w:lineRule="auto"/>
        <w:jc w:val="both"/>
        <w:rPr>
          <w:rFonts w:ascii="Times New Roman" w:hAnsi="Times New Roman"/>
          <w:b/>
          <w:sz w:val="20"/>
          <w:szCs w:val="20"/>
          <w:shd w:val="clear" w:color="auto" w:fill="FFFFFF"/>
        </w:rPr>
      </w:pPr>
      <w:r w:rsidRPr="008D2AB9">
        <w:rPr>
          <w:rFonts w:ascii="Times New Roman" w:hAnsi="Times New Roman"/>
          <w:sz w:val="20"/>
          <w:szCs w:val="20"/>
        </w:rPr>
        <w:t xml:space="preserve">The average MW of the POo and EPOo were 860.21 and 912.64 g/mol, respectively, which were determined by titration method utilizing saponification value (an analytical method for measuring molecular weight of triglycerides in oils) and calculated using Equation (10).  </w:t>
      </w:r>
    </w:p>
    <w:p w:rsidR="008D2AB9" w:rsidRPr="008D2AB9" w:rsidRDefault="008D2AB9" w:rsidP="008D2AB9">
      <w:pPr>
        <w:spacing w:after="0" w:line="240" w:lineRule="auto"/>
        <w:jc w:val="both"/>
        <w:rPr>
          <w:rFonts w:ascii="Times New Roman" w:hAnsi="Times New Roman"/>
          <w:noProof/>
          <w:sz w:val="20"/>
          <w:szCs w:val="20"/>
        </w:rPr>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noProof/>
          <w:sz w:val="20"/>
          <w:szCs w:val="20"/>
        </w:rPr>
        <w:t xml:space="preserve">We used acid-catalyzed homogeneous esterification reaction for diol production, in the absence of solvent [15-16, 18, 39]. </w:t>
      </w:r>
      <w:r w:rsidRPr="008D2AB9">
        <w:rPr>
          <w:rFonts w:ascii="Times New Roman" w:hAnsi="Times New Roman"/>
          <w:sz w:val="20"/>
          <w:szCs w:val="20"/>
        </w:rPr>
        <w:t xml:space="preserve">In this study, </w:t>
      </w:r>
      <w:r w:rsidRPr="008D2AB9">
        <w:rPr>
          <w:rFonts w:ascii="Times New Roman" w:hAnsi="Times New Roman"/>
          <w:color w:val="000000" w:themeColor="text1"/>
          <w:sz w:val="20"/>
          <w:szCs w:val="20"/>
        </w:rPr>
        <w:t>OA was preferable as raw material due to its valuable chemical structure</w:t>
      </w:r>
      <w:r w:rsidRPr="008D2AB9">
        <w:rPr>
          <w:rFonts w:ascii="Times New Roman" w:hAnsi="Times New Roman"/>
          <w:sz w:val="20"/>
          <w:szCs w:val="20"/>
        </w:rPr>
        <w:t xml:space="preserve"> that consist of a carboxyl site and a carbon-carbon double bond at the ninth position, refer to scheme (13), which is reactive and can be further modified into high value-added products [16, 40-41], as well as its a plant or bio-based oil [an 18-carbon (C18) monounsaturated fatty acid] [16, 41].</w:t>
      </w:r>
      <w:r w:rsidRPr="008D2AB9">
        <w:rPr>
          <w:rFonts w:ascii="Times New Roman" w:hAnsi="Times New Roman"/>
          <w:color w:val="000000" w:themeColor="text1"/>
          <w:sz w:val="20"/>
          <w:szCs w:val="20"/>
        </w:rPr>
        <w:t xml:space="preserve">  </w:t>
      </w:r>
      <w:r w:rsidRPr="008D2AB9">
        <w:rPr>
          <w:rFonts w:ascii="Times New Roman" w:hAnsi="Times New Roman"/>
          <w:sz w:val="20"/>
          <w:szCs w:val="20"/>
        </w:rPr>
        <w:t xml:space="preserve">This reaction system was conducted at temperature in the range of 115-118 </w:t>
      </w:r>
      <w:r w:rsidRPr="008D2AB9">
        <w:rPr>
          <w:rFonts w:ascii="Times New Roman" w:hAnsi="Times New Roman"/>
          <w:sz w:val="20"/>
          <w:szCs w:val="20"/>
          <w:vertAlign w:val="superscript"/>
        </w:rPr>
        <w:t>o</w:t>
      </w:r>
      <w:r w:rsidRPr="008D2AB9">
        <w:rPr>
          <w:rFonts w:ascii="Times New Roman" w:hAnsi="Times New Roman"/>
          <w:sz w:val="20"/>
          <w:szCs w:val="20"/>
        </w:rPr>
        <w:t>C, in the presence of 3A m</w:t>
      </w:r>
      <w:r w:rsidRPr="008D2AB9">
        <w:rPr>
          <w:rStyle w:val="apple-converted-space"/>
          <w:rFonts w:ascii="Times New Roman" w:hAnsi="Times New Roman"/>
          <w:sz w:val="20"/>
          <w:szCs w:val="20"/>
          <w:shd w:val="clear" w:color="auto" w:fill="FFFFFF"/>
        </w:rPr>
        <w:t xml:space="preserve">olecular sieve as drying agent. </w:t>
      </w:r>
      <w:r w:rsidRPr="008D2AB9">
        <w:rPr>
          <w:rFonts w:ascii="Times New Roman" w:hAnsi="Times New Roman"/>
          <w:noProof/>
          <w:sz w:val="20"/>
          <w:szCs w:val="20"/>
        </w:rPr>
        <w:t xml:space="preserve">The yield of reaction obtained was </w:t>
      </w:r>
      <w:r w:rsidRPr="008D2AB9">
        <w:rPr>
          <w:rFonts w:ascii="Times New Roman" w:hAnsi="Times New Roman"/>
          <w:sz w:val="20"/>
          <w:szCs w:val="20"/>
        </w:rPr>
        <w:t>72.65 % for 3 hours reaction time [refer Eq. (13)].</w:t>
      </w:r>
    </w:p>
    <w:p w:rsidR="003B363F" w:rsidRDefault="003B363F" w:rsidP="008D2AB9">
      <w:pPr>
        <w:spacing w:after="0" w:line="240" w:lineRule="auto"/>
        <w:jc w:val="both"/>
        <w:rPr>
          <w:rFonts w:ascii="Times New Roman" w:hAnsi="Times New Roman"/>
          <w:sz w:val="20"/>
          <w:szCs w:val="20"/>
        </w:rPr>
      </w:pPr>
    </w:p>
    <w:p w:rsidR="003B363F" w:rsidRDefault="003B363F" w:rsidP="008D2AB9">
      <w:pPr>
        <w:spacing w:after="0" w:line="240" w:lineRule="auto"/>
        <w:jc w:val="both"/>
        <w:rPr>
          <w:rFonts w:ascii="Times New Roman" w:hAnsi="Times New Roman"/>
          <w:sz w:val="20"/>
          <w:szCs w:val="20"/>
        </w:rPr>
      </w:pPr>
    </w:p>
    <w:p w:rsidR="003B363F" w:rsidRDefault="003B363F" w:rsidP="008D2AB9">
      <w:pPr>
        <w:spacing w:after="0" w:line="240" w:lineRule="auto"/>
        <w:jc w:val="both"/>
        <w:rPr>
          <w:rFonts w:ascii="Times New Roman" w:hAnsi="Times New Roman"/>
          <w:sz w:val="20"/>
          <w:szCs w:val="20"/>
        </w:rPr>
      </w:pPr>
    </w:p>
    <w:p w:rsidR="003B363F" w:rsidRDefault="003B363F" w:rsidP="008D2AB9">
      <w:pPr>
        <w:spacing w:after="0" w:line="240" w:lineRule="auto"/>
        <w:jc w:val="both"/>
        <w:rPr>
          <w:rFonts w:ascii="Times New Roman" w:hAnsi="Times New Roman"/>
          <w:sz w:val="20"/>
          <w:szCs w:val="20"/>
        </w:rPr>
      </w:pPr>
    </w:p>
    <w:p w:rsidR="003B363F" w:rsidRDefault="003B363F" w:rsidP="008D2AB9">
      <w:pPr>
        <w:spacing w:after="0" w:line="240" w:lineRule="auto"/>
        <w:jc w:val="both"/>
        <w:rPr>
          <w:rFonts w:ascii="Times New Roman" w:hAnsi="Times New Roman"/>
          <w:sz w:val="20"/>
          <w:szCs w:val="20"/>
        </w:rPr>
      </w:pPr>
    </w:p>
    <w:p w:rsidR="003B363F" w:rsidRDefault="003B363F" w:rsidP="008D2AB9">
      <w:pPr>
        <w:spacing w:after="0" w:line="240" w:lineRule="auto"/>
        <w:jc w:val="both"/>
        <w:rPr>
          <w:rFonts w:ascii="Times New Roman" w:hAnsi="Times New Roman"/>
          <w:sz w:val="20"/>
          <w:szCs w:val="20"/>
        </w:rPr>
      </w:pPr>
    </w:p>
    <w:p w:rsidR="003B363F" w:rsidRDefault="003B363F" w:rsidP="008D2AB9">
      <w:pPr>
        <w:spacing w:after="0" w:line="240" w:lineRule="auto"/>
        <w:jc w:val="both"/>
        <w:rPr>
          <w:rFonts w:ascii="Times New Roman" w:hAnsi="Times New Roman"/>
          <w:sz w:val="20"/>
          <w:szCs w:val="20"/>
        </w:rPr>
      </w:pPr>
    </w:p>
    <w:p w:rsidR="008D2AB9" w:rsidRPr="008D2AB9" w:rsidRDefault="003B363F" w:rsidP="008D2AB9">
      <w:pPr>
        <w:spacing w:after="0" w:line="240" w:lineRule="auto"/>
        <w:jc w:val="both"/>
        <w:rPr>
          <w:rFonts w:ascii="Times New Roman" w:hAnsi="Times New Roman"/>
          <w:sz w:val="20"/>
          <w:szCs w:val="20"/>
        </w:rPr>
      </w:pPr>
      <w:r w:rsidRPr="008D2AB9">
        <w:rPr>
          <w:rFonts w:ascii="Times New Roman" w:hAnsi="Times New Roman"/>
          <w:noProof/>
          <w:sz w:val="20"/>
          <w:szCs w:val="20"/>
          <w:lang w:bidi="ar-SA"/>
        </w:rPr>
        <w:lastRenderedPageBreak/>
        <w:drawing>
          <wp:anchor distT="0" distB="0" distL="114300" distR="114300" simplePos="0" relativeHeight="251673088" behindDoc="0" locked="0" layoutInCell="1" allowOverlap="1" wp14:anchorId="65B170C5" wp14:editId="634031A5">
            <wp:simplePos x="0" y="0"/>
            <wp:positionH relativeFrom="column">
              <wp:posOffset>813435</wp:posOffset>
            </wp:positionH>
            <wp:positionV relativeFrom="paragraph">
              <wp:posOffset>53340</wp:posOffset>
            </wp:positionV>
            <wp:extent cx="4244340" cy="1432560"/>
            <wp:effectExtent l="0" t="0" r="3810" b="0"/>
            <wp:wrapThrough wrapText="bothSides">
              <wp:wrapPolygon edited="0">
                <wp:start x="0" y="0"/>
                <wp:lineTo x="0" y="21255"/>
                <wp:lineTo x="21522" y="21255"/>
                <wp:lineTo x="21522"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4340" cy="1432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363F" w:rsidRDefault="003B363F"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ab/>
      </w:r>
      <w:r w:rsidRPr="008D2AB9">
        <w:rPr>
          <w:rFonts w:ascii="Times New Roman" w:hAnsi="Times New Roman"/>
          <w:sz w:val="20"/>
          <w:szCs w:val="20"/>
        </w:rPr>
        <w:tab/>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3B363F">
      <w:pPr>
        <w:spacing w:after="0" w:line="240" w:lineRule="auto"/>
        <w:jc w:val="right"/>
        <w:rPr>
          <w:rFonts w:ascii="Times New Roman" w:hAnsi="Times New Roman"/>
          <w:sz w:val="20"/>
          <w:szCs w:val="20"/>
        </w:rPr>
      </w:pPr>
      <w:r w:rsidRPr="008D2AB9">
        <w:rPr>
          <w:rFonts w:ascii="Times New Roman" w:hAnsi="Times New Roman"/>
          <w:sz w:val="20"/>
          <w:szCs w:val="20"/>
        </w:rPr>
        <w:t xml:space="preserve">    </w:t>
      </w:r>
      <w:r w:rsidR="003B363F">
        <w:rPr>
          <w:rFonts w:ascii="Times New Roman" w:hAnsi="Times New Roman"/>
          <w:sz w:val="20"/>
          <w:szCs w:val="20"/>
        </w:rPr>
        <w:t xml:space="preserve">                                                                       (13)</w:t>
      </w:r>
    </w:p>
    <w:p w:rsidR="003B363F" w:rsidRDefault="003B363F"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noProof/>
          <w:sz w:val="20"/>
          <w:szCs w:val="20"/>
        </w:rPr>
      </w:pPr>
    </w:p>
    <w:p w:rsidR="003B363F" w:rsidRDefault="003B363F" w:rsidP="008D2AB9">
      <w:pPr>
        <w:spacing w:after="0" w:line="240" w:lineRule="auto"/>
        <w:jc w:val="both"/>
        <w:rPr>
          <w:rFonts w:ascii="Times New Roman" w:hAnsi="Times New Roman"/>
          <w:noProof/>
          <w:sz w:val="20"/>
          <w:szCs w:val="20"/>
        </w:rPr>
      </w:pPr>
    </w:p>
    <w:p w:rsidR="003B363F" w:rsidRDefault="003B363F" w:rsidP="008D2AB9">
      <w:pPr>
        <w:spacing w:after="0" w:line="240" w:lineRule="auto"/>
        <w:jc w:val="both"/>
        <w:rPr>
          <w:rFonts w:ascii="Times New Roman" w:hAnsi="Times New Roman"/>
          <w:noProof/>
          <w:sz w:val="20"/>
          <w:szCs w:val="20"/>
        </w:rPr>
      </w:pPr>
    </w:p>
    <w:p w:rsidR="008D2AB9" w:rsidRPr="008D2AB9" w:rsidRDefault="008D2AB9" w:rsidP="008D2AB9">
      <w:pPr>
        <w:spacing w:after="0" w:line="240" w:lineRule="auto"/>
        <w:jc w:val="both"/>
        <w:rPr>
          <w:rStyle w:val="Emphasis"/>
          <w:rFonts w:ascii="Times New Roman" w:hAnsi="Times New Roman"/>
          <w:b w:val="0"/>
          <w:bCs w:val="0"/>
          <w:sz w:val="20"/>
          <w:szCs w:val="20"/>
        </w:rPr>
      </w:pPr>
      <w:r w:rsidRPr="008D2AB9">
        <w:rPr>
          <w:rFonts w:ascii="Times New Roman" w:hAnsi="Times New Roman"/>
          <w:noProof/>
          <w:sz w:val="20"/>
          <w:szCs w:val="20"/>
        </w:rPr>
        <w:t xml:space="preserve">In this work, we used </w:t>
      </w:r>
      <w:r w:rsidRPr="008D2AB9">
        <w:rPr>
          <w:rFonts w:ascii="Times New Roman" w:hAnsi="Times New Roman"/>
          <w:sz w:val="20"/>
          <w:szCs w:val="20"/>
        </w:rPr>
        <w:t xml:space="preserve">4-dodecylbenzyl sulfonic acid (DBSA) as </w:t>
      </w:r>
      <w:r w:rsidRPr="008D2AB9">
        <w:rPr>
          <w:rFonts w:ascii="Times New Roman" w:hAnsi="Times New Roman"/>
          <w:noProof/>
          <w:sz w:val="20"/>
          <w:szCs w:val="20"/>
        </w:rPr>
        <w:t xml:space="preserve">additive to homogenize the reaction system </w:t>
      </w:r>
      <w:r w:rsidRPr="008D2AB9">
        <w:rPr>
          <w:rFonts w:ascii="Times New Roman" w:hAnsi="Times New Roman"/>
          <w:sz w:val="20"/>
          <w:szCs w:val="20"/>
        </w:rPr>
        <w:t xml:space="preserve">due to the reactants of OA and glycerol is not miscible.  The DBSA was selected because it can act as emulsifier and catalyst (or known as a surfactant-type catalyst) compared to other surfactants such as cetyltrimethyl ammonium bromide (CTAB), </w:t>
      </w:r>
      <w:r w:rsidRPr="008D2AB9">
        <w:rPr>
          <w:rFonts w:ascii="Times New Roman" w:hAnsi="Times New Roman"/>
          <w:sz w:val="20"/>
          <w:szCs w:val="20"/>
          <w:shd w:val="clear" w:color="auto" w:fill="FFFFFF"/>
        </w:rPr>
        <w:t>tetradecyl trimethyl ammonium</w:t>
      </w:r>
      <w:r w:rsidRPr="008D2AB9">
        <w:rPr>
          <w:rStyle w:val="apple-converted-space"/>
          <w:rFonts w:ascii="Times New Roman" w:hAnsi="Times New Roman"/>
          <w:sz w:val="20"/>
          <w:szCs w:val="20"/>
          <w:shd w:val="clear" w:color="auto" w:fill="FFFFFF"/>
        </w:rPr>
        <w:t> </w:t>
      </w:r>
      <w:r w:rsidRPr="008D2AB9">
        <w:rPr>
          <w:rStyle w:val="Emphasis"/>
          <w:rFonts w:ascii="Times New Roman" w:hAnsi="Times New Roman"/>
          <w:b w:val="0"/>
          <w:sz w:val="20"/>
          <w:szCs w:val="20"/>
          <w:shd w:val="clear" w:color="auto" w:fill="FFFFFF"/>
        </w:rPr>
        <w:t>bromide</w:t>
      </w:r>
      <w:r w:rsidRPr="008D2AB9">
        <w:rPr>
          <w:rFonts w:ascii="Times New Roman" w:hAnsi="Times New Roman"/>
          <w:sz w:val="20"/>
          <w:szCs w:val="20"/>
        </w:rPr>
        <w:t> </w:t>
      </w:r>
      <w:r w:rsidRPr="008D2AB9">
        <w:rPr>
          <w:rFonts w:ascii="Times New Roman" w:hAnsi="Times New Roman"/>
          <w:sz w:val="20"/>
          <w:szCs w:val="20"/>
          <w:shd w:val="clear" w:color="auto" w:fill="FFFFFF"/>
        </w:rPr>
        <w:t>(TTAB) and</w:t>
      </w:r>
      <w:r w:rsidRPr="008D2AB9">
        <w:rPr>
          <w:rFonts w:ascii="Times New Roman" w:hAnsi="Times New Roman"/>
          <w:sz w:val="20"/>
          <w:szCs w:val="20"/>
        </w:rPr>
        <w:t xml:space="preserve"> Esterquat [15-17].  In addition, DBSA is more efficient catalyst in water than other Bronsted acids such as HCI, H</w:t>
      </w:r>
      <w:r w:rsidRPr="008D2AB9">
        <w:rPr>
          <w:rFonts w:ascii="Times New Roman" w:hAnsi="Times New Roman"/>
          <w:sz w:val="20"/>
          <w:szCs w:val="20"/>
          <w:vertAlign w:val="subscript"/>
        </w:rPr>
        <w:t>2</w:t>
      </w:r>
      <w:r w:rsidRPr="008D2AB9">
        <w:rPr>
          <w:rFonts w:ascii="Times New Roman" w:hAnsi="Times New Roman"/>
          <w:sz w:val="20"/>
          <w:szCs w:val="20"/>
        </w:rPr>
        <w:t>SO</w:t>
      </w:r>
      <w:r w:rsidRPr="008D2AB9">
        <w:rPr>
          <w:rFonts w:ascii="Times New Roman" w:hAnsi="Times New Roman"/>
          <w:sz w:val="20"/>
          <w:szCs w:val="20"/>
          <w:vertAlign w:val="subscript"/>
        </w:rPr>
        <w:t>4</w:t>
      </w:r>
      <w:r w:rsidRPr="008D2AB9">
        <w:rPr>
          <w:rFonts w:ascii="Times New Roman" w:hAnsi="Times New Roman"/>
          <w:sz w:val="20"/>
          <w:szCs w:val="20"/>
        </w:rPr>
        <w:t>, H</w:t>
      </w:r>
      <w:r w:rsidRPr="008D2AB9">
        <w:rPr>
          <w:rFonts w:ascii="Times New Roman" w:hAnsi="Times New Roman"/>
          <w:sz w:val="20"/>
          <w:szCs w:val="20"/>
          <w:vertAlign w:val="subscript"/>
        </w:rPr>
        <w:t>3</w:t>
      </w:r>
      <w:r w:rsidRPr="008D2AB9">
        <w:rPr>
          <w:rFonts w:ascii="Times New Roman" w:hAnsi="Times New Roman"/>
          <w:sz w:val="20"/>
          <w:szCs w:val="20"/>
        </w:rPr>
        <w:t>PO</w:t>
      </w:r>
      <w:r w:rsidRPr="008D2AB9">
        <w:rPr>
          <w:rFonts w:ascii="Times New Roman" w:hAnsi="Times New Roman"/>
          <w:sz w:val="20"/>
          <w:szCs w:val="20"/>
          <w:vertAlign w:val="subscript"/>
        </w:rPr>
        <w:t>4</w:t>
      </w:r>
      <w:r w:rsidRPr="008D2AB9">
        <w:rPr>
          <w:rFonts w:ascii="Times New Roman" w:hAnsi="Times New Roman"/>
          <w:sz w:val="20"/>
          <w:szCs w:val="20"/>
        </w:rPr>
        <w:t xml:space="preserve"> and </w:t>
      </w:r>
      <w:r w:rsidRPr="008D2AB9">
        <w:rPr>
          <w:rFonts w:ascii="Times New Roman" w:hAnsi="Times New Roman"/>
          <w:i/>
          <w:sz w:val="20"/>
          <w:szCs w:val="20"/>
        </w:rPr>
        <w:t>p</w:t>
      </w:r>
      <w:r w:rsidRPr="008D2AB9">
        <w:rPr>
          <w:rFonts w:ascii="Times New Roman" w:hAnsi="Times New Roman"/>
          <w:sz w:val="20"/>
          <w:szCs w:val="20"/>
        </w:rPr>
        <w:t>-toluenesulfonic acid (PTSA). DBSA works well for dehydration reactions such as the esterification, etherification, thioetherification, and dithioacetalization in water, hence, gaining maximum yield of reaction (approximately 96%) [17]. This process was compared with the previous study by Kolvari et al. [17], where they conducted the condensation process of benzil (PhCOCOPh) and 1,2- diaminobenzene in H</w:t>
      </w:r>
      <w:r w:rsidRPr="008D2AB9">
        <w:rPr>
          <w:rFonts w:ascii="Times New Roman" w:hAnsi="Times New Roman"/>
          <w:sz w:val="20"/>
          <w:szCs w:val="20"/>
          <w:vertAlign w:val="subscript"/>
        </w:rPr>
        <w:t>2</w:t>
      </w:r>
      <w:r w:rsidRPr="008D2AB9">
        <w:rPr>
          <w:rFonts w:ascii="Times New Roman" w:hAnsi="Times New Roman"/>
          <w:sz w:val="20"/>
          <w:szCs w:val="20"/>
        </w:rPr>
        <w:t xml:space="preserve">O solvent at room temperature for 2 hours by using of 10% of the DBSA and resulted the reaction yield about a 96%. The results showed that the DBSA catalyst play important role to catalyze the reactions to obtain a high yield product above a 70% for at least a 3 hours reaction time.  Besides, these reaction systems is considerable as green process, non-toxic, </w:t>
      </w:r>
      <w:r w:rsidRPr="008D2AB9">
        <w:rPr>
          <w:rFonts w:ascii="Times New Roman" w:eastAsiaTheme="minorHAnsi" w:hAnsi="Times New Roman"/>
          <w:sz w:val="20"/>
          <w:szCs w:val="20"/>
        </w:rPr>
        <w:t>high product yields</w:t>
      </w:r>
      <w:r w:rsidRPr="008D2AB9">
        <w:rPr>
          <w:rFonts w:ascii="Times New Roman" w:hAnsi="Times New Roman"/>
          <w:sz w:val="20"/>
          <w:szCs w:val="20"/>
        </w:rPr>
        <w:t xml:space="preserve"> and cheap.</w:t>
      </w:r>
      <w:r w:rsidRPr="008D2AB9">
        <w:rPr>
          <w:rFonts w:ascii="Times New Roman" w:hAnsi="Times New Roman"/>
          <w:noProof/>
          <w:sz w:val="20"/>
          <w:szCs w:val="20"/>
        </w:rPr>
        <w:t xml:space="preserve"> However, the purification method of diol </w:t>
      </w:r>
      <w:r w:rsidRPr="003B363F">
        <w:rPr>
          <w:rStyle w:val="Emphasis"/>
          <w:rFonts w:ascii="Times New Roman" w:hAnsi="Times New Roman"/>
          <w:b w:val="0"/>
          <w:i w:val="0"/>
          <w:spacing w:val="0"/>
          <w:sz w:val="20"/>
          <w:szCs w:val="20"/>
          <w:shd w:val="clear" w:color="auto" w:fill="FFFFFF"/>
        </w:rPr>
        <w:t>need carefully washing and transferred</w:t>
      </w:r>
      <w:r w:rsidRPr="008D2AB9">
        <w:rPr>
          <w:rStyle w:val="Emphasis"/>
          <w:rFonts w:ascii="Times New Roman" w:hAnsi="Times New Roman"/>
          <w:sz w:val="20"/>
          <w:szCs w:val="20"/>
          <w:shd w:val="clear" w:color="auto" w:fill="FFFFFF"/>
        </w:rPr>
        <w:t xml:space="preserve"> </w:t>
      </w:r>
      <w:r w:rsidRPr="008D2AB9">
        <w:rPr>
          <w:rFonts w:ascii="Times New Roman" w:hAnsi="Times New Roman"/>
          <w:noProof/>
          <w:sz w:val="20"/>
          <w:szCs w:val="20"/>
        </w:rPr>
        <w:t>to gain maximum yield of reaction</w:t>
      </w:r>
      <w:r w:rsidRPr="008D2AB9">
        <w:rPr>
          <w:rStyle w:val="Emphasis"/>
          <w:rFonts w:ascii="Times New Roman" w:hAnsi="Times New Roman"/>
          <w:sz w:val="20"/>
          <w:szCs w:val="20"/>
          <w:shd w:val="clear" w:color="auto" w:fill="FFFFFF"/>
        </w:rPr>
        <w:t>.</w:t>
      </w:r>
    </w:p>
    <w:p w:rsidR="008D2AB9" w:rsidRPr="008D2AB9" w:rsidRDefault="008D2AB9" w:rsidP="008D2AB9">
      <w:pPr>
        <w:adjustRightInd w:val="0"/>
        <w:spacing w:after="0" w:line="240" w:lineRule="auto"/>
        <w:jc w:val="both"/>
        <w:rPr>
          <w:rFonts w:ascii="Times New Roman" w:eastAsiaTheme="minorHAnsi"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The average molecular weight of diol is expected in the range of 800 – 1000 g/mol [15] or less than 1500 g/mol [18], determined by GPC.  The theoretical value of the average molecular weight of oleic acid is 282.47 g/mol.  Further analysis of diol for chemical structure determination using nuclear magnetic resonance (NMR) spectroscopy, gas chromatograph (GC) or gas chromatograph-mass spectrometer (GC-MS) methods will be reported in future publications to identify the possibility of nearby functional group (neighbouring group participation) involvement in the reactions, especially the carbon double bond [39].</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b/>
          <w:sz w:val="20"/>
          <w:szCs w:val="20"/>
        </w:rPr>
      </w:pPr>
      <w:r w:rsidRPr="008D2AB9">
        <w:rPr>
          <w:rFonts w:ascii="Times New Roman" w:hAnsi="Times New Roman"/>
          <w:b/>
          <w:sz w:val="20"/>
          <w:szCs w:val="20"/>
        </w:rPr>
        <w:t>FTIR analysis for EPOo and Diol precursors</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Figure 2 showed the spectra of the POo and EPOo in transmittance mode. The presence of epoxy group absorption in the EPOo at 834 cm</w:t>
      </w:r>
      <w:r w:rsidRPr="008D2AB9">
        <w:rPr>
          <w:rFonts w:ascii="Times New Roman" w:hAnsi="Times New Roman"/>
          <w:sz w:val="20"/>
          <w:szCs w:val="20"/>
          <w:vertAlign w:val="superscript"/>
        </w:rPr>
        <w:t xml:space="preserve">-1 </w:t>
      </w:r>
      <w:r w:rsidRPr="008D2AB9">
        <w:rPr>
          <w:rFonts w:ascii="Times New Roman" w:hAnsi="Times New Roman"/>
          <w:sz w:val="20"/>
          <w:szCs w:val="20"/>
        </w:rPr>
        <w:t>corresponds to the formation of the epoxy ring in the EPOo molecular structure. In the previous study by few researchers [14, 19, 34, 42], the FTIR absorption of oxirane was identified at around 834 to 893 cm</w:t>
      </w:r>
      <w:r w:rsidRPr="008D2AB9">
        <w:rPr>
          <w:rFonts w:ascii="Times New Roman" w:hAnsi="Times New Roman"/>
          <w:sz w:val="20"/>
          <w:szCs w:val="20"/>
          <w:vertAlign w:val="superscript"/>
        </w:rPr>
        <w:t>-1</w:t>
      </w:r>
      <w:r w:rsidRPr="008D2AB9">
        <w:rPr>
          <w:rFonts w:ascii="Times New Roman" w:hAnsi="Times New Roman"/>
          <w:sz w:val="20"/>
          <w:szCs w:val="20"/>
        </w:rPr>
        <w:t xml:space="preserve">.  The absorption value was found to be slightly different for each of the researchers probably due to the difference in the synthesis parameters such as reactants, catalyst, temperature and mixing speed [14, 19, 34, 42].  In spite of that, the presence of the epoxy (oxirane) group in Figure 2 is strongly indicated that the EPOo was successfully synthesized via in-situ epoxidation of the POo from palm oil based. </w:t>
      </w:r>
    </w:p>
    <w:p w:rsidR="008D2AB9" w:rsidRDefault="008D2AB9" w:rsidP="008D2AB9">
      <w:pPr>
        <w:spacing w:after="0" w:line="240" w:lineRule="auto"/>
        <w:jc w:val="both"/>
        <w:rPr>
          <w:rFonts w:ascii="Times New Roman" w:hAnsi="Times New Roman"/>
          <w:sz w:val="20"/>
          <w:szCs w:val="20"/>
        </w:rPr>
      </w:pPr>
    </w:p>
    <w:p w:rsidR="003B363F" w:rsidRDefault="003B363F" w:rsidP="003B363F">
      <w:pPr>
        <w:spacing w:after="0" w:line="240" w:lineRule="auto"/>
        <w:jc w:val="both"/>
        <w:rPr>
          <w:rFonts w:ascii="Times New Roman" w:hAnsi="Times New Roman"/>
          <w:sz w:val="20"/>
          <w:szCs w:val="20"/>
        </w:rPr>
      </w:pPr>
      <w:r w:rsidRPr="008D2AB9">
        <w:rPr>
          <w:rFonts w:ascii="Times New Roman" w:hAnsi="Times New Roman"/>
          <w:sz w:val="20"/>
          <w:szCs w:val="20"/>
        </w:rPr>
        <w:t>Figure 3</w:t>
      </w:r>
      <w:r w:rsidRPr="008D2AB9">
        <w:rPr>
          <w:rFonts w:ascii="Times New Roman" w:hAnsi="Times New Roman"/>
          <w:color w:val="FF0000"/>
          <w:sz w:val="20"/>
          <w:szCs w:val="20"/>
        </w:rPr>
        <w:t xml:space="preserve"> </w:t>
      </w:r>
      <w:r w:rsidR="004150F2">
        <w:rPr>
          <w:rFonts w:ascii="Times New Roman" w:hAnsi="Times New Roman"/>
          <w:color w:val="FF0000"/>
          <w:sz w:val="20"/>
          <w:szCs w:val="20"/>
        </w:rPr>
        <w:t xml:space="preserve"> </w:t>
      </w:r>
      <w:r w:rsidRPr="008D2AB9">
        <w:rPr>
          <w:rFonts w:ascii="Times New Roman" w:hAnsi="Times New Roman"/>
          <w:sz w:val="20"/>
          <w:szCs w:val="20"/>
        </w:rPr>
        <w:t xml:space="preserve">showed the FTIR spectra of the OA and the diol.  The O-H </w:t>
      </w:r>
      <w:r w:rsidR="004150F2">
        <w:rPr>
          <w:rFonts w:ascii="Times New Roman" w:hAnsi="Times New Roman"/>
          <w:sz w:val="20"/>
          <w:szCs w:val="20"/>
        </w:rPr>
        <w:t xml:space="preserve"> </w:t>
      </w:r>
      <w:r w:rsidRPr="008D2AB9">
        <w:rPr>
          <w:rFonts w:ascii="Times New Roman" w:hAnsi="Times New Roman"/>
          <w:sz w:val="20"/>
          <w:szCs w:val="20"/>
        </w:rPr>
        <w:t xml:space="preserve">absorption </w:t>
      </w:r>
      <w:r w:rsidR="004150F2">
        <w:rPr>
          <w:rFonts w:ascii="Times New Roman" w:hAnsi="Times New Roman"/>
          <w:sz w:val="20"/>
          <w:szCs w:val="20"/>
        </w:rPr>
        <w:t xml:space="preserve"> </w:t>
      </w:r>
      <w:r w:rsidRPr="008D2AB9">
        <w:rPr>
          <w:rFonts w:ascii="Times New Roman" w:hAnsi="Times New Roman"/>
          <w:sz w:val="20"/>
          <w:szCs w:val="20"/>
        </w:rPr>
        <w:t>was in the range of 3200 – 3600 cm</w:t>
      </w:r>
      <w:r w:rsidRPr="008D2AB9">
        <w:rPr>
          <w:rFonts w:ascii="Times New Roman" w:hAnsi="Times New Roman"/>
          <w:sz w:val="20"/>
          <w:szCs w:val="20"/>
          <w:vertAlign w:val="superscript"/>
        </w:rPr>
        <w:t>-1</w:t>
      </w:r>
      <w:r w:rsidRPr="008D2AB9">
        <w:rPr>
          <w:rFonts w:ascii="Times New Roman" w:hAnsi="Times New Roman"/>
          <w:sz w:val="20"/>
          <w:szCs w:val="20"/>
        </w:rPr>
        <w:t xml:space="preserve"> corresponded to the hydroxyl group of the diol (broad).  The hydroxyl value of the diol produced in this work was 114.53 (refer Table 1), which might represent at least two hydroxyl functionality in the diol, refer to scheme (13) and calculated according to Equation (9), which resulted approximately 2.78 of the hydroxyl number functionality. The average MW of the diol was taken as 1361 g/mol [18]. Five bands for the C-O absorptions in the rang</w:t>
      </w:r>
      <w:r w:rsidR="004A28C3">
        <w:rPr>
          <w:rFonts w:ascii="Times New Roman" w:hAnsi="Times New Roman"/>
          <w:sz w:val="20"/>
          <w:szCs w:val="20"/>
        </w:rPr>
        <w:t>e of 1000 – 1305</w:t>
      </w:r>
      <w:r w:rsidRPr="008D2AB9">
        <w:rPr>
          <w:rFonts w:ascii="Times New Roman" w:hAnsi="Times New Roman"/>
          <w:sz w:val="20"/>
          <w:szCs w:val="20"/>
        </w:rPr>
        <w:t xml:space="preserve"> cm</w:t>
      </w:r>
      <w:r w:rsidRPr="008D2AB9">
        <w:rPr>
          <w:rFonts w:ascii="Times New Roman" w:hAnsi="Times New Roman"/>
          <w:sz w:val="20"/>
          <w:szCs w:val="20"/>
          <w:vertAlign w:val="superscript"/>
        </w:rPr>
        <w:t>-1</w:t>
      </w:r>
      <w:r w:rsidRPr="008D2AB9">
        <w:rPr>
          <w:rFonts w:ascii="Times New Roman" w:hAnsi="Times New Roman"/>
          <w:sz w:val="20"/>
          <w:szCs w:val="20"/>
        </w:rPr>
        <w:t xml:space="preserve"> appeared in the spectra at 1010, 1038, 1124, 1182, 1304 cm</w:t>
      </w:r>
      <w:r w:rsidRPr="008D2AB9">
        <w:rPr>
          <w:rFonts w:ascii="Times New Roman" w:hAnsi="Times New Roman"/>
          <w:sz w:val="20"/>
          <w:szCs w:val="20"/>
          <w:vertAlign w:val="superscript"/>
        </w:rPr>
        <w:t>-1</w:t>
      </w:r>
      <w:r w:rsidRPr="008D2AB9">
        <w:rPr>
          <w:rFonts w:ascii="Times New Roman" w:hAnsi="Times New Roman"/>
          <w:sz w:val="20"/>
          <w:szCs w:val="20"/>
        </w:rPr>
        <w:t>, which correspond to the ester functional group [16, 18].  Furthermore the carbonyl functional group (C=O) peak at 1716 cm</w:t>
      </w:r>
      <w:r w:rsidRPr="008D2AB9">
        <w:rPr>
          <w:rFonts w:ascii="Times New Roman" w:hAnsi="Times New Roman"/>
          <w:sz w:val="20"/>
          <w:szCs w:val="20"/>
          <w:vertAlign w:val="superscript"/>
        </w:rPr>
        <w:t>-1</w:t>
      </w:r>
      <w:r w:rsidRPr="008D2AB9">
        <w:rPr>
          <w:rFonts w:ascii="Times New Roman" w:hAnsi="Times New Roman"/>
          <w:sz w:val="20"/>
          <w:szCs w:val="20"/>
        </w:rPr>
        <w:t xml:space="preserve"> has become shorter after the esterification due to diol formation and this has further confirmed the diol formation.</w:t>
      </w:r>
    </w:p>
    <w:p w:rsidR="003B363F" w:rsidRDefault="003B363F" w:rsidP="003B363F">
      <w:pPr>
        <w:spacing w:after="0" w:line="240" w:lineRule="auto"/>
        <w:jc w:val="both"/>
        <w:rPr>
          <w:rFonts w:ascii="Times New Roman" w:hAnsi="Times New Roman"/>
          <w:sz w:val="20"/>
          <w:szCs w:val="20"/>
        </w:rPr>
      </w:pPr>
    </w:p>
    <w:p w:rsidR="003B363F" w:rsidRPr="008D2AB9" w:rsidRDefault="003B363F" w:rsidP="003B363F">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 xml:space="preserve">Based on the FTIR spectral analyses (refer Figure 2 and 3), the formation of EPOo and diol from POo and OA, respectively, are established.  Numerous advantageous such as green renewable resources, cheaper and non-toxic were offered for utilizing a natural polymer as the raw material in designing polymeric drug vehicles [12].  Further </w:t>
      </w:r>
      <w:r w:rsidRPr="008D2AB9">
        <w:rPr>
          <w:rFonts w:ascii="Times New Roman" w:hAnsi="Times New Roman"/>
          <w:sz w:val="20"/>
          <w:szCs w:val="20"/>
        </w:rPr>
        <w:lastRenderedPageBreak/>
        <w:t xml:space="preserve">analysis on the thermal properties of the precursors are required to identify and understand their degradation and thermal transition properties which are the important aspect in the design and development of polymeric drug vehicles. </w:t>
      </w:r>
    </w:p>
    <w:p w:rsidR="003B363F" w:rsidRPr="008D2AB9" w:rsidRDefault="003B363F" w:rsidP="003B363F">
      <w:pPr>
        <w:spacing w:after="0" w:line="240" w:lineRule="auto"/>
        <w:jc w:val="both"/>
        <w:rPr>
          <w:rFonts w:ascii="Times New Roman" w:hAnsi="Times New Roman"/>
          <w:sz w:val="20"/>
          <w:szCs w:val="20"/>
        </w:rPr>
      </w:pPr>
    </w:p>
    <w:p w:rsidR="003B363F" w:rsidRPr="008D2AB9" w:rsidRDefault="003B363F" w:rsidP="008D2AB9">
      <w:pPr>
        <w:spacing w:after="0" w:line="240" w:lineRule="auto"/>
        <w:jc w:val="both"/>
        <w:rPr>
          <w:rFonts w:ascii="Times New Roman" w:hAnsi="Times New Roman"/>
          <w:sz w:val="20"/>
          <w:szCs w:val="20"/>
        </w:rPr>
      </w:pPr>
    </w:p>
    <w:p w:rsidR="008D2AB9" w:rsidRPr="008D2AB9" w:rsidRDefault="008D2AB9" w:rsidP="003B363F">
      <w:pPr>
        <w:spacing w:after="0" w:line="240" w:lineRule="auto"/>
        <w:jc w:val="center"/>
        <w:rPr>
          <w:rFonts w:ascii="Times New Roman" w:hAnsi="Times New Roman"/>
          <w:noProof/>
          <w:sz w:val="20"/>
          <w:szCs w:val="20"/>
        </w:rPr>
      </w:pPr>
      <w:r w:rsidRPr="008D2AB9">
        <w:rPr>
          <w:rFonts w:ascii="Times New Roman" w:hAnsi="Times New Roman"/>
          <w:noProof/>
          <w:sz w:val="20"/>
          <w:szCs w:val="20"/>
          <w:lang w:bidi="ar-SA"/>
        </w:rPr>
        <w:drawing>
          <wp:inline distT="0" distB="0" distL="0" distR="0" wp14:anchorId="236B6B58" wp14:editId="6B01E31C">
            <wp:extent cx="4206240" cy="2256680"/>
            <wp:effectExtent l="19050" t="19050" r="22860" b="1079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6240" cy="2256680"/>
                    </a:xfrm>
                    <a:prstGeom prst="rect">
                      <a:avLst/>
                    </a:prstGeom>
                    <a:noFill/>
                    <a:ln>
                      <a:solidFill>
                        <a:schemeClr val="tx1"/>
                      </a:solidFill>
                    </a:ln>
                  </pic:spPr>
                </pic:pic>
              </a:graphicData>
            </a:graphic>
          </wp:inline>
        </w:drawing>
      </w:r>
    </w:p>
    <w:p w:rsidR="008D2AB9" w:rsidRPr="008D2AB9" w:rsidRDefault="008D2AB9" w:rsidP="008D2AB9">
      <w:pPr>
        <w:pStyle w:val="Caption"/>
        <w:jc w:val="both"/>
      </w:pPr>
    </w:p>
    <w:p w:rsidR="008D2AB9" w:rsidRPr="008D2AB9" w:rsidRDefault="008D2AB9" w:rsidP="003B363F">
      <w:pPr>
        <w:pStyle w:val="Caption"/>
      </w:pPr>
      <w:r w:rsidRPr="008D2AB9">
        <w:t xml:space="preserve">Figure </w:t>
      </w:r>
      <w:r w:rsidRPr="008D2AB9">
        <w:fldChar w:fldCharType="begin"/>
      </w:r>
      <w:r w:rsidRPr="008D2AB9">
        <w:instrText xml:space="preserve"> SEQ Figure \* ARABIC </w:instrText>
      </w:r>
      <w:r w:rsidRPr="008D2AB9">
        <w:fldChar w:fldCharType="separate"/>
      </w:r>
      <w:r w:rsidR="004F21CF">
        <w:rPr>
          <w:noProof/>
        </w:rPr>
        <w:t>2</w:t>
      </w:r>
      <w:r w:rsidRPr="008D2AB9">
        <w:fldChar w:fldCharType="end"/>
      </w:r>
      <w:r w:rsidRPr="008D2AB9">
        <w:t xml:space="preserve">.  </w:t>
      </w:r>
      <w:r w:rsidR="003B363F">
        <w:t xml:space="preserve"> </w:t>
      </w:r>
      <w:r w:rsidRPr="008D2AB9">
        <w:t>FTIR spectra of EPO in comparison to POo</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3B363F">
      <w:pPr>
        <w:spacing w:after="0" w:line="240" w:lineRule="auto"/>
        <w:jc w:val="center"/>
        <w:rPr>
          <w:rFonts w:ascii="Times New Roman" w:hAnsi="Times New Roman"/>
          <w:sz w:val="20"/>
          <w:szCs w:val="20"/>
        </w:rPr>
      </w:pPr>
      <w:r w:rsidRPr="008D2AB9">
        <w:rPr>
          <w:rFonts w:ascii="Times New Roman" w:hAnsi="Times New Roman"/>
          <w:noProof/>
          <w:sz w:val="20"/>
          <w:szCs w:val="20"/>
          <w:lang w:bidi="ar-SA"/>
        </w:rPr>
        <w:drawing>
          <wp:inline distT="0" distB="0" distL="0" distR="0" wp14:anchorId="4272A8B3" wp14:editId="43BEBAB6">
            <wp:extent cx="4114800" cy="2173821"/>
            <wp:effectExtent l="19050" t="19050" r="19050" b="171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4800" cy="2173821"/>
                    </a:xfrm>
                    <a:prstGeom prst="rect">
                      <a:avLst/>
                    </a:prstGeom>
                    <a:noFill/>
                    <a:ln>
                      <a:solidFill>
                        <a:schemeClr val="tx1"/>
                      </a:solidFill>
                    </a:ln>
                  </pic:spPr>
                </pic:pic>
              </a:graphicData>
            </a:graphic>
          </wp:inline>
        </w:drawing>
      </w:r>
    </w:p>
    <w:p w:rsidR="008D2AB9" w:rsidRPr="008D2AB9" w:rsidRDefault="008D2AB9" w:rsidP="008D2AB9">
      <w:pPr>
        <w:pStyle w:val="Caption"/>
        <w:jc w:val="both"/>
      </w:pPr>
    </w:p>
    <w:p w:rsidR="008D2AB9" w:rsidRPr="008D2AB9" w:rsidRDefault="008D2AB9" w:rsidP="003B363F">
      <w:pPr>
        <w:pStyle w:val="Caption"/>
      </w:pPr>
      <w:r w:rsidRPr="008D2AB9">
        <w:t xml:space="preserve">Figure 3. </w:t>
      </w:r>
      <w:r w:rsidR="003B363F">
        <w:t xml:space="preserve"> </w:t>
      </w:r>
      <w:r w:rsidRPr="008D2AB9">
        <w:t>FTIR spectra of diol in comparison to OA</w:t>
      </w:r>
    </w:p>
    <w:p w:rsidR="008D2AB9" w:rsidRDefault="008D2AB9" w:rsidP="008D2AB9">
      <w:pPr>
        <w:adjustRightInd w:val="0"/>
        <w:spacing w:after="0" w:line="240" w:lineRule="auto"/>
        <w:jc w:val="both"/>
        <w:rPr>
          <w:rFonts w:ascii="Times New Roman" w:hAnsi="Times New Roman"/>
          <w:sz w:val="20"/>
          <w:szCs w:val="20"/>
        </w:rPr>
      </w:pPr>
    </w:p>
    <w:p w:rsidR="003B363F" w:rsidRPr="003B363F" w:rsidRDefault="003B363F"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b/>
          <w:sz w:val="20"/>
          <w:szCs w:val="20"/>
        </w:rPr>
      </w:pPr>
      <w:r w:rsidRPr="008D2AB9">
        <w:rPr>
          <w:rFonts w:ascii="Times New Roman" w:hAnsi="Times New Roman"/>
          <w:b/>
          <w:sz w:val="20"/>
          <w:szCs w:val="20"/>
        </w:rPr>
        <w:t>Thermal analysis for EPOo and Diol precursors</w:t>
      </w: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Figure 4 and 5 showed the thermal degradation (measured by TGA) and the corresponding derivative (DTG) thermograms of the POo and the EPOo, respectively.  TGA thermogram curves of the POo and EPOo showed a single stage decomposition, for POo started at temperature 283</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to 479 </w:t>
      </w:r>
      <w:r w:rsidRPr="008D2AB9">
        <w:rPr>
          <w:rFonts w:ascii="Times New Roman" w:hAnsi="Times New Roman"/>
          <w:sz w:val="20"/>
          <w:szCs w:val="20"/>
          <w:vertAlign w:val="superscript"/>
        </w:rPr>
        <w:t>o</w:t>
      </w:r>
      <w:r w:rsidRPr="008D2AB9">
        <w:rPr>
          <w:rFonts w:ascii="Times New Roman" w:hAnsi="Times New Roman"/>
          <w:sz w:val="20"/>
          <w:szCs w:val="20"/>
        </w:rPr>
        <w:t>C and for EPOo started at temperature 275</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to 523 </w:t>
      </w:r>
      <w:r w:rsidRPr="008D2AB9">
        <w:rPr>
          <w:rFonts w:ascii="Times New Roman" w:hAnsi="Times New Roman"/>
          <w:sz w:val="20"/>
          <w:szCs w:val="20"/>
          <w:vertAlign w:val="superscript"/>
        </w:rPr>
        <w:t>o</w:t>
      </w:r>
      <w:r w:rsidRPr="008D2AB9">
        <w:rPr>
          <w:rFonts w:ascii="Times New Roman" w:hAnsi="Times New Roman"/>
          <w:sz w:val="20"/>
          <w:szCs w:val="20"/>
        </w:rPr>
        <w:t xml:space="preserve">C.  Approximately about ~2% weight loss at the temperature of up to 300 </w:t>
      </w:r>
      <w:r w:rsidRPr="008D2AB9">
        <w:rPr>
          <w:rFonts w:ascii="Times New Roman" w:hAnsi="Times New Roman"/>
          <w:sz w:val="20"/>
          <w:szCs w:val="20"/>
          <w:vertAlign w:val="superscript"/>
        </w:rPr>
        <w:t>o</w:t>
      </w:r>
      <w:r w:rsidRPr="008D2AB9">
        <w:rPr>
          <w:rFonts w:ascii="Times New Roman" w:hAnsi="Times New Roman"/>
          <w:sz w:val="20"/>
          <w:szCs w:val="20"/>
        </w:rPr>
        <w:t>C was observed, which was attributed to the loss of moisture content (Figure 5).  The POo showed a degradation peak at the maximum temperature (T</w:t>
      </w:r>
      <w:r w:rsidRPr="008D2AB9">
        <w:rPr>
          <w:rFonts w:ascii="Times New Roman" w:hAnsi="Times New Roman"/>
          <w:sz w:val="20"/>
          <w:szCs w:val="20"/>
          <w:vertAlign w:val="subscript"/>
        </w:rPr>
        <w:t>max</w:t>
      </w:r>
      <w:r w:rsidRPr="008D2AB9">
        <w:rPr>
          <w:rFonts w:ascii="Times New Roman" w:hAnsi="Times New Roman"/>
          <w:sz w:val="20"/>
          <w:szCs w:val="20"/>
        </w:rPr>
        <w:t xml:space="preserve">) of 440 </w:t>
      </w:r>
      <w:r w:rsidRPr="008D2AB9">
        <w:rPr>
          <w:rFonts w:ascii="Times New Roman" w:hAnsi="Times New Roman"/>
          <w:sz w:val="20"/>
          <w:szCs w:val="20"/>
          <w:vertAlign w:val="superscript"/>
        </w:rPr>
        <w:t>o</w:t>
      </w:r>
      <w:r w:rsidRPr="008D2AB9">
        <w:rPr>
          <w:rFonts w:ascii="Times New Roman" w:hAnsi="Times New Roman"/>
          <w:sz w:val="20"/>
          <w:szCs w:val="20"/>
        </w:rPr>
        <w:t xml:space="preserve">C and the POo was fully degraded at higher temperature, 479 </w:t>
      </w:r>
      <w:r w:rsidRPr="008D2AB9">
        <w:rPr>
          <w:rFonts w:ascii="Times New Roman" w:hAnsi="Times New Roman"/>
          <w:sz w:val="20"/>
          <w:szCs w:val="20"/>
          <w:vertAlign w:val="superscript"/>
        </w:rPr>
        <w:t>o</w:t>
      </w:r>
      <w:r w:rsidRPr="008D2AB9">
        <w:rPr>
          <w:rFonts w:ascii="Times New Roman" w:hAnsi="Times New Roman"/>
          <w:sz w:val="20"/>
          <w:szCs w:val="20"/>
        </w:rPr>
        <w:t>C.  Meanwhile, the EPOo showed a slightly lower degradation peak at T</w:t>
      </w:r>
      <w:r w:rsidRPr="008D2AB9">
        <w:rPr>
          <w:rFonts w:ascii="Times New Roman" w:hAnsi="Times New Roman"/>
          <w:sz w:val="20"/>
          <w:szCs w:val="20"/>
          <w:vertAlign w:val="subscript"/>
        </w:rPr>
        <w:t>max</w:t>
      </w:r>
      <w:r w:rsidRPr="008D2AB9">
        <w:rPr>
          <w:rFonts w:ascii="Times New Roman" w:hAnsi="Times New Roman"/>
          <w:sz w:val="20"/>
          <w:szCs w:val="20"/>
        </w:rPr>
        <w:t xml:space="preserve"> 407 </w:t>
      </w:r>
      <w:r w:rsidRPr="008D2AB9">
        <w:rPr>
          <w:rFonts w:ascii="Times New Roman" w:hAnsi="Times New Roman"/>
          <w:sz w:val="20"/>
          <w:szCs w:val="20"/>
          <w:vertAlign w:val="superscript"/>
        </w:rPr>
        <w:t>o</w:t>
      </w:r>
      <w:r w:rsidRPr="008D2AB9">
        <w:rPr>
          <w:rFonts w:ascii="Times New Roman" w:hAnsi="Times New Roman"/>
          <w:sz w:val="20"/>
          <w:szCs w:val="20"/>
        </w:rPr>
        <w:t xml:space="preserve">C than the POo and the precursor was fully degraded at a higher temperature of 523 </w:t>
      </w:r>
      <w:r w:rsidRPr="008D2AB9">
        <w:rPr>
          <w:rFonts w:ascii="Times New Roman" w:hAnsi="Times New Roman"/>
          <w:sz w:val="20"/>
          <w:szCs w:val="20"/>
          <w:vertAlign w:val="superscript"/>
        </w:rPr>
        <w:t>o</w:t>
      </w:r>
      <w:r w:rsidRPr="008D2AB9">
        <w:rPr>
          <w:rFonts w:ascii="Times New Roman" w:hAnsi="Times New Roman"/>
          <w:sz w:val="20"/>
          <w:szCs w:val="20"/>
        </w:rPr>
        <w:t xml:space="preserve">C, which is similar to the work reported by Tee et al. at 409 </w:t>
      </w:r>
      <w:r w:rsidRPr="008D2AB9">
        <w:rPr>
          <w:rFonts w:ascii="Times New Roman" w:hAnsi="Times New Roman"/>
          <w:sz w:val="20"/>
          <w:szCs w:val="20"/>
          <w:vertAlign w:val="superscript"/>
        </w:rPr>
        <w:t>o</w:t>
      </w:r>
      <w:r w:rsidRPr="008D2AB9">
        <w:rPr>
          <w:rFonts w:ascii="Times New Roman" w:hAnsi="Times New Roman"/>
          <w:sz w:val="20"/>
          <w:szCs w:val="20"/>
        </w:rPr>
        <w:t xml:space="preserve">C [43] and Giita Silverajah </w:t>
      </w:r>
      <w:r w:rsidRPr="008D2AB9">
        <w:rPr>
          <w:rFonts w:ascii="Times New Roman" w:hAnsi="Times New Roman"/>
          <w:sz w:val="20"/>
          <w:szCs w:val="20"/>
        </w:rPr>
        <w:lastRenderedPageBreak/>
        <w:t xml:space="preserve">et al. at 405.1 </w:t>
      </w:r>
      <w:r w:rsidRPr="008D2AB9">
        <w:rPr>
          <w:rFonts w:ascii="Times New Roman" w:hAnsi="Times New Roman"/>
          <w:sz w:val="20"/>
          <w:szCs w:val="20"/>
          <w:vertAlign w:val="superscript"/>
        </w:rPr>
        <w:t>o</w:t>
      </w:r>
      <w:r w:rsidRPr="008D2AB9">
        <w:rPr>
          <w:rFonts w:ascii="Times New Roman" w:hAnsi="Times New Roman"/>
          <w:sz w:val="20"/>
          <w:szCs w:val="20"/>
        </w:rPr>
        <w:t>C, respectively [34] for the peak degradation and was fully degraded at 491 °C and 504.3 °C for the EPO, respectively [34, 43]. The presence of oxirane ring have made the EPOo to have a slightly low thermal resistance compared to POo due to the plasticization effect (soft segment) of epoxide [34, 44]</w:t>
      </w:r>
      <w:r w:rsidRPr="008D2AB9">
        <w:rPr>
          <w:rFonts w:ascii="Times New Roman" w:hAnsi="Times New Roman"/>
          <w:color w:val="FF0000"/>
          <w:sz w:val="20"/>
          <w:szCs w:val="20"/>
        </w:rPr>
        <w:t xml:space="preserve"> </w:t>
      </w:r>
      <w:r w:rsidRPr="008D2AB9">
        <w:rPr>
          <w:rFonts w:ascii="Times New Roman" w:hAnsi="Times New Roman"/>
          <w:sz w:val="20"/>
          <w:szCs w:val="20"/>
        </w:rPr>
        <w:t xml:space="preserve">thus having a lower degradation peak (407 </w:t>
      </w:r>
      <w:r w:rsidRPr="008D2AB9">
        <w:rPr>
          <w:rFonts w:ascii="Times New Roman" w:hAnsi="Times New Roman"/>
          <w:sz w:val="20"/>
          <w:szCs w:val="20"/>
          <w:vertAlign w:val="superscript"/>
        </w:rPr>
        <w:t>o</w:t>
      </w:r>
      <w:r w:rsidRPr="008D2AB9">
        <w:rPr>
          <w:rFonts w:ascii="Times New Roman" w:hAnsi="Times New Roman"/>
          <w:sz w:val="20"/>
          <w:szCs w:val="20"/>
        </w:rPr>
        <w:t xml:space="preserve">C) than the POo (at 440 </w:t>
      </w:r>
      <w:r w:rsidRPr="008D2AB9">
        <w:rPr>
          <w:rFonts w:ascii="Times New Roman" w:hAnsi="Times New Roman"/>
          <w:sz w:val="20"/>
          <w:szCs w:val="20"/>
          <w:vertAlign w:val="superscript"/>
        </w:rPr>
        <w:t>o</w:t>
      </w:r>
      <w:r w:rsidRPr="008D2AB9">
        <w:rPr>
          <w:rFonts w:ascii="Times New Roman" w:hAnsi="Times New Roman"/>
          <w:sz w:val="20"/>
          <w:szCs w:val="20"/>
        </w:rPr>
        <w:t xml:space="preserve">C).  </w:t>
      </w:r>
    </w:p>
    <w:p w:rsidR="008D2AB9" w:rsidRDefault="008D2AB9" w:rsidP="008D2AB9">
      <w:pPr>
        <w:adjustRightInd w:val="0"/>
        <w:spacing w:after="0" w:line="240" w:lineRule="auto"/>
        <w:jc w:val="both"/>
        <w:rPr>
          <w:rFonts w:ascii="Times New Roman" w:hAnsi="Times New Roman"/>
          <w:sz w:val="20"/>
          <w:szCs w:val="20"/>
        </w:rPr>
      </w:pPr>
    </w:p>
    <w:p w:rsidR="003B363F" w:rsidRPr="008D2AB9" w:rsidRDefault="003B363F" w:rsidP="008D2AB9">
      <w:pPr>
        <w:adjustRightInd w:val="0"/>
        <w:spacing w:after="0" w:line="240" w:lineRule="auto"/>
        <w:jc w:val="both"/>
        <w:rPr>
          <w:rFonts w:ascii="Times New Roman" w:hAnsi="Times New Roman"/>
          <w:sz w:val="20"/>
          <w:szCs w:val="20"/>
        </w:rPr>
      </w:pPr>
    </w:p>
    <w:p w:rsidR="008D2AB9" w:rsidRPr="008D2AB9" w:rsidRDefault="008D2AB9" w:rsidP="003B363F">
      <w:pPr>
        <w:spacing w:after="0" w:line="240" w:lineRule="auto"/>
        <w:jc w:val="center"/>
        <w:rPr>
          <w:rFonts w:ascii="Times New Roman" w:hAnsi="Times New Roman"/>
          <w:noProof/>
          <w:sz w:val="20"/>
          <w:szCs w:val="20"/>
        </w:rPr>
      </w:pPr>
      <w:r w:rsidRPr="008D2AB9">
        <w:rPr>
          <w:rFonts w:ascii="Times New Roman" w:hAnsi="Times New Roman"/>
          <w:noProof/>
          <w:sz w:val="20"/>
          <w:szCs w:val="20"/>
          <w:lang w:bidi="ar-SA"/>
        </w:rPr>
        <w:drawing>
          <wp:inline distT="0" distB="0" distL="0" distR="0" wp14:anchorId="070DB03D" wp14:editId="332EB8A7">
            <wp:extent cx="4269850" cy="2189480"/>
            <wp:effectExtent l="19050" t="19050" r="16510" b="203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0649" cy="2205273"/>
                    </a:xfrm>
                    <a:prstGeom prst="rect">
                      <a:avLst/>
                    </a:prstGeom>
                    <a:noFill/>
                    <a:ln>
                      <a:solidFill>
                        <a:schemeClr val="tx1"/>
                      </a:solidFill>
                    </a:ln>
                  </pic:spPr>
                </pic:pic>
              </a:graphicData>
            </a:graphic>
          </wp:inline>
        </w:drawing>
      </w:r>
    </w:p>
    <w:p w:rsidR="008D2AB9" w:rsidRPr="008D2AB9" w:rsidRDefault="008D2AB9" w:rsidP="008D2AB9">
      <w:pPr>
        <w:pStyle w:val="Caption"/>
        <w:jc w:val="both"/>
      </w:pPr>
    </w:p>
    <w:p w:rsidR="008D2AB9" w:rsidRPr="008D2AB9" w:rsidRDefault="008D2AB9" w:rsidP="003B363F">
      <w:pPr>
        <w:pStyle w:val="Caption"/>
      </w:pPr>
      <w:r w:rsidRPr="008D2AB9">
        <w:t>Figure 4</w:t>
      </w:r>
      <w:r w:rsidRPr="008D2AB9">
        <w:rPr>
          <w:noProof/>
          <w:lang w:val="en-US"/>
        </w:rPr>
        <w:t xml:space="preserve">. </w:t>
      </w:r>
      <w:r w:rsidR="003B363F">
        <w:rPr>
          <w:noProof/>
          <w:lang w:val="en-US"/>
        </w:rPr>
        <w:t xml:space="preserve"> </w:t>
      </w:r>
      <w:r w:rsidRPr="008D2AB9">
        <w:rPr>
          <w:noProof/>
          <w:lang w:val="en-US"/>
        </w:rPr>
        <w:t>TGA thermograms of POo and EPOo</w:t>
      </w:r>
    </w:p>
    <w:p w:rsidR="008D2AB9" w:rsidRDefault="008D2AB9" w:rsidP="008D2AB9">
      <w:pPr>
        <w:spacing w:after="0" w:line="240" w:lineRule="auto"/>
        <w:ind w:firstLine="270"/>
        <w:jc w:val="both"/>
        <w:rPr>
          <w:rFonts w:ascii="Times New Roman" w:hAnsi="Times New Roman"/>
          <w:sz w:val="20"/>
          <w:szCs w:val="20"/>
        </w:rPr>
      </w:pPr>
    </w:p>
    <w:p w:rsidR="003B363F" w:rsidRPr="008D2AB9" w:rsidRDefault="003B363F" w:rsidP="008D2AB9">
      <w:pPr>
        <w:spacing w:after="0" w:line="240" w:lineRule="auto"/>
        <w:ind w:firstLine="270"/>
        <w:jc w:val="both"/>
        <w:rPr>
          <w:rFonts w:ascii="Times New Roman" w:hAnsi="Times New Roman"/>
          <w:sz w:val="20"/>
          <w:szCs w:val="20"/>
        </w:rPr>
      </w:pPr>
    </w:p>
    <w:p w:rsidR="008D2AB9" w:rsidRPr="008D2AB9" w:rsidRDefault="008D2AB9" w:rsidP="003B363F">
      <w:pPr>
        <w:spacing w:after="0" w:line="240" w:lineRule="auto"/>
        <w:jc w:val="center"/>
        <w:rPr>
          <w:rFonts w:ascii="Times New Roman" w:hAnsi="Times New Roman"/>
          <w:sz w:val="20"/>
          <w:szCs w:val="20"/>
        </w:rPr>
      </w:pPr>
      <w:r w:rsidRPr="008D2AB9">
        <w:rPr>
          <w:rFonts w:ascii="Times New Roman" w:hAnsi="Times New Roman"/>
          <w:noProof/>
          <w:sz w:val="20"/>
          <w:szCs w:val="20"/>
          <w:lang w:bidi="ar-SA"/>
        </w:rPr>
        <w:drawing>
          <wp:inline distT="0" distB="0" distL="0" distR="0" wp14:anchorId="226EA3C1" wp14:editId="098CE8BA">
            <wp:extent cx="4280007" cy="2314482"/>
            <wp:effectExtent l="19050" t="19050" r="25400" b="1016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3305" cy="2332488"/>
                    </a:xfrm>
                    <a:prstGeom prst="rect">
                      <a:avLst/>
                    </a:prstGeom>
                    <a:noFill/>
                    <a:ln w="3175">
                      <a:solidFill>
                        <a:schemeClr val="tx1"/>
                      </a:solidFill>
                    </a:ln>
                  </pic:spPr>
                </pic:pic>
              </a:graphicData>
            </a:graphic>
          </wp:inline>
        </w:drawing>
      </w:r>
    </w:p>
    <w:p w:rsidR="008D2AB9" w:rsidRPr="008D2AB9" w:rsidRDefault="008D2AB9" w:rsidP="008D2AB9">
      <w:pPr>
        <w:pStyle w:val="Caption"/>
        <w:jc w:val="both"/>
      </w:pPr>
    </w:p>
    <w:p w:rsidR="008D2AB9" w:rsidRPr="008D2AB9" w:rsidRDefault="008D2AB9" w:rsidP="003B363F">
      <w:pPr>
        <w:pStyle w:val="Caption"/>
      </w:pPr>
      <w:r w:rsidRPr="008D2AB9">
        <w:t>Figure 5</w:t>
      </w:r>
      <w:r w:rsidRPr="008D2AB9">
        <w:rPr>
          <w:noProof/>
          <w:lang w:val="en-US"/>
        </w:rPr>
        <w:t xml:space="preserve">. </w:t>
      </w:r>
      <w:r w:rsidR="003B363F">
        <w:rPr>
          <w:noProof/>
          <w:lang w:val="en-US"/>
        </w:rPr>
        <w:t xml:space="preserve"> </w:t>
      </w:r>
      <w:r w:rsidRPr="008D2AB9">
        <w:rPr>
          <w:noProof/>
          <w:lang w:val="en-US"/>
        </w:rPr>
        <w:t>DTG thermograms of POo and EPOo</w:t>
      </w:r>
    </w:p>
    <w:p w:rsidR="008D2AB9" w:rsidRDefault="008D2AB9" w:rsidP="008D2AB9">
      <w:pPr>
        <w:spacing w:after="0" w:line="240" w:lineRule="auto"/>
        <w:jc w:val="both"/>
        <w:rPr>
          <w:rFonts w:ascii="Times New Roman" w:hAnsi="Times New Roman"/>
          <w:sz w:val="20"/>
          <w:szCs w:val="20"/>
        </w:rPr>
      </w:pPr>
    </w:p>
    <w:p w:rsidR="003B363F" w:rsidRPr="008D2AB9" w:rsidRDefault="003B363F"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 xml:space="preserve">Figure 6 showed the DSC thermogram of the POo and the EPOo measured for the heating and cooling cycle (first heating cycle) from temperature -100 to 200 </w:t>
      </w:r>
      <w:r w:rsidRPr="008D2AB9">
        <w:rPr>
          <w:rFonts w:ascii="Times New Roman" w:hAnsi="Times New Roman"/>
          <w:sz w:val="20"/>
          <w:szCs w:val="20"/>
          <w:vertAlign w:val="superscript"/>
        </w:rPr>
        <w:t>o</w:t>
      </w:r>
      <w:r w:rsidRPr="008D2AB9">
        <w:rPr>
          <w:rFonts w:ascii="Times New Roman" w:hAnsi="Times New Roman"/>
          <w:sz w:val="20"/>
          <w:szCs w:val="20"/>
        </w:rPr>
        <w:t>C. The DSC thermograms of POo and EPOo showed a single melting temperature (T</w:t>
      </w:r>
      <w:r w:rsidRPr="008D2AB9">
        <w:rPr>
          <w:rFonts w:ascii="Times New Roman" w:hAnsi="Times New Roman"/>
          <w:sz w:val="20"/>
          <w:szCs w:val="20"/>
          <w:vertAlign w:val="subscript"/>
        </w:rPr>
        <w:t>m</w:t>
      </w:r>
      <w:r w:rsidRPr="008D2AB9">
        <w:rPr>
          <w:rFonts w:ascii="Times New Roman" w:hAnsi="Times New Roman"/>
          <w:sz w:val="20"/>
          <w:szCs w:val="20"/>
        </w:rPr>
        <w:t xml:space="preserve">) peak at 5 </w:t>
      </w:r>
      <w:r w:rsidRPr="008D2AB9">
        <w:rPr>
          <w:rFonts w:ascii="Times New Roman" w:hAnsi="Times New Roman"/>
          <w:sz w:val="20"/>
          <w:szCs w:val="20"/>
          <w:vertAlign w:val="superscript"/>
        </w:rPr>
        <w:t>o</w:t>
      </w:r>
      <w:r w:rsidRPr="008D2AB9">
        <w:rPr>
          <w:rFonts w:ascii="Times New Roman" w:hAnsi="Times New Roman"/>
          <w:sz w:val="20"/>
          <w:szCs w:val="20"/>
        </w:rPr>
        <w:t xml:space="preserve">C and 15 </w:t>
      </w:r>
      <w:r w:rsidRPr="008D2AB9">
        <w:rPr>
          <w:rFonts w:ascii="Times New Roman" w:hAnsi="Times New Roman"/>
          <w:sz w:val="20"/>
          <w:szCs w:val="20"/>
          <w:vertAlign w:val="superscript"/>
        </w:rPr>
        <w:t>o</w:t>
      </w:r>
      <w:r w:rsidRPr="008D2AB9">
        <w:rPr>
          <w:rFonts w:ascii="Times New Roman" w:hAnsi="Times New Roman"/>
          <w:sz w:val="20"/>
          <w:szCs w:val="20"/>
        </w:rPr>
        <w:t>C, respectively, almost in the range of the T</w:t>
      </w:r>
      <w:r w:rsidRPr="008D2AB9">
        <w:rPr>
          <w:rFonts w:ascii="Times New Roman" w:hAnsi="Times New Roman"/>
          <w:sz w:val="20"/>
          <w:szCs w:val="20"/>
          <w:vertAlign w:val="subscript"/>
        </w:rPr>
        <w:t>m</w:t>
      </w:r>
      <w:r w:rsidRPr="008D2AB9">
        <w:rPr>
          <w:rFonts w:ascii="Times New Roman" w:hAnsi="Times New Roman"/>
          <w:sz w:val="20"/>
          <w:szCs w:val="20"/>
        </w:rPr>
        <w:t xml:space="preserve"> study reported by  [34, 45-46]. The similarity on the T</w:t>
      </w:r>
      <w:r w:rsidRPr="008D2AB9">
        <w:rPr>
          <w:rFonts w:ascii="Times New Roman" w:hAnsi="Times New Roman"/>
          <w:sz w:val="20"/>
          <w:szCs w:val="20"/>
          <w:vertAlign w:val="subscript"/>
        </w:rPr>
        <w:t>m</w:t>
      </w:r>
      <w:r w:rsidRPr="008D2AB9">
        <w:rPr>
          <w:rFonts w:ascii="Times New Roman" w:hAnsi="Times New Roman"/>
          <w:sz w:val="20"/>
          <w:szCs w:val="20"/>
        </w:rPr>
        <w:t xml:space="preserve"> for the palm olein is at 4.74 </w:t>
      </w:r>
      <w:r w:rsidRPr="008D2AB9">
        <w:rPr>
          <w:rFonts w:ascii="Times New Roman" w:hAnsi="Times New Roman"/>
          <w:sz w:val="20"/>
          <w:szCs w:val="20"/>
          <w:vertAlign w:val="superscript"/>
        </w:rPr>
        <w:t>o</w:t>
      </w:r>
      <w:r w:rsidRPr="008D2AB9">
        <w:rPr>
          <w:rFonts w:ascii="Times New Roman" w:hAnsi="Times New Roman"/>
          <w:sz w:val="20"/>
          <w:szCs w:val="20"/>
        </w:rPr>
        <w:t xml:space="preserve">C, 6.94 </w:t>
      </w:r>
      <w:r w:rsidRPr="008D2AB9">
        <w:rPr>
          <w:rFonts w:ascii="Times New Roman" w:hAnsi="Times New Roman"/>
          <w:sz w:val="20"/>
          <w:szCs w:val="20"/>
          <w:vertAlign w:val="superscript"/>
        </w:rPr>
        <w:t>o</w:t>
      </w:r>
      <w:r w:rsidRPr="008D2AB9">
        <w:rPr>
          <w:rFonts w:ascii="Times New Roman" w:hAnsi="Times New Roman"/>
          <w:sz w:val="20"/>
          <w:szCs w:val="20"/>
        </w:rPr>
        <w:t xml:space="preserve">C, 9 </w:t>
      </w:r>
      <w:r w:rsidRPr="008D2AB9">
        <w:rPr>
          <w:rFonts w:ascii="Times New Roman" w:hAnsi="Times New Roman"/>
          <w:sz w:val="20"/>
          <w:szCs w:val="20"/>
          <w:vertAlign w:val="superscript"/>
        </w:rPr>
        <w:t>o</w:t>
      </w:r>
      <w:r w:rsidRPr="008D2AB9">
        <w:rPr>
          <w:rFonts w:ascii="Times New Roman" w:hAnsi="Times New Roman"/>
          <w:sz w:val="20"/>
          <w:szCs w:val="20"/>
        </w:rPr>
        <w:t xml:space="preserve">C and 17.79 </w:t>
      </w:r>
      <w:r w:rsidRPr="008D2AB9">
        <w:rPr>
          <w:rFonts w:ascii="Times New Roman" w:hAnsi="Times New Roman"/>
          <w:sz w:val="20"/>
          <w:szCs w:val="20"/>
          <w:vertAlign w:val="superscript"/>
        </w:rPr>
        <w:t>o</w:t>
      </w:r>
      <w:r w:rsidRPr="008D2AB9">
        <w:rPr>
          <w:rFonts w:ascii="Times New Roman" w:hAnsi="Times New Roman"/>
          <w:sz w:val="20"/>
          <w:szCs w:val="20"/>
        </w:rPr>
        <w:t>C, as reported by Abdulkarim and Ghazali [45] and Zhang et al. [46], respectively.  For the T</w:t>
      </w:r>
      <w:r w:rsidRPr="008D2AB9">
        <w:rPr>
          <w:rFonts w:ascii="Times New Roman" w:hAnsi="Times New Roman"/>
          <w:sz w:val="20"/>
          <w:szCs w:val="20"/>
          <w:vertAlign w:val="subscript"/>
        </w:rPr>
        <w:t>m</w:t>
      </w:r>
      <w:r w:rsidRPr="008D2AB9">
        <w:rPr>
          <w:rFonts w:ascii="Times New Roman" w:hAnsi="Times New Roman"/>
          <w:sz w:val="20"/>
          <w:szCs w:val="20"/>
        </w:rPr>
        <w:t xml:space="preserve"> EPO is shifted to 24.46 °C and 37.69 °C, which is reported by Giita Silverajah [34].</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hd w:val="clear" w:color="auto" w:fill="FFFFFF"/>
        <w:spacing w:after="0" w:line="240" w:lineRule="auto"/>
        <w:jc w:val="both"/>
        <w:rPr>
          <w:rFonts w:ascii="Times New Roman" w:hAnsi="Times New Roman"/>
          <w:color w:val="000000"/>
          <w:sz w:val="20"/>
          <w:szCs w:val="20"/>
        </w:rPr>
      </w:pPr>
      <w:r w:rsidRPr="008D2AB9">
        <w:rPr>
          <w:rFonts w:ascii="Times New Roman" w:hAnsi="Times New Roman"/>
          <w:sz w:val="20"/>
          <w:szCs w:val="20"/>
        </w:rPr>
        <w:lastRenderedPageBreak/>
        <w:t xml:space="preserve">Meanwhile </w:t>
      </w:r>
      <w:r w:rsidR="0034135D">
        <w:rPr>
          <w:rFonts w:ascii="Times New Roman" w:hAnsi="Times New Roman"/>
          <w:sz w:val="20"/>
          <w:szCs w:val="20"/>
        </w:rPr>
        <w:t xml:space="preserve"> </w:t>
      </w:r>
      <w:r w:rsidRPr="008D2AB9">
        <w:rPr>
          <w:rFonts w:ascii="Times New Roman" w:hAnsi="Times New Roman"/>
          <w:sz w:val="20"/>
          <w:szCs w:val="20"/>
        </w:rPr>
        <w:t xml:space="preserve">three </w:t>
      </w:r>
      <w:r w:rsidR="0034135D">
        <w:rPr>
          <w:rFonts w:ascii="Times New Roman" w:hAnsi="Times New Roman"/>
          <w:sz w:val="20"/>
          <w:szCs w:val="20"/>
        </w:rPr>
        <w:t xml:space="preserve"> </w:t>
      </w:r>
      <w:r w:rsidRPr="008D2AB9">
        <w:rPr>
          <w:rFonts w:ascii="Times New Roman" w:hAnsi="Times New Roman"/>
          <w:sz w:val="20"/>
          <w:szCs w:val="20"/>
        </w:rPr>
        <w:t xml:space="preserve">crystallization </w:t>
      </w:r>
      <w:r w:rsidR="0034135D">
        <w:rPr>
          <w:rFonts w:ascii="Times New Roman" w:hAnsi="Times New Roman"/>
          <w:sz w:val="20"/>
          <w:szCs w:val="20"/>
        </w:rPr>
        <w:t xml:space="preserve"> </w:t>
      </w:r>
      <w:r w:rsidRPr="008D2AB9">
        <w:rPr>
          <w:rFonts w:ascii="Times New Roman" w:hAnsi="Times New Roman"/>
          <w:sz w:val="20"/>
          <w:szCs w:val="20"/>
        </w:rPr>
        <w:t xml:space="preserve">temperature </w:t>
      </w:r>
      <w:r w:rsidR="0034135D">
        <w:rPr>
          <w:rFonts w:ascii="Times New Roman" w:hAnsi="Times New Roman"/>
          <w:sz w:val="20"/>
          <w:szCs w:val="20"/>
        </w:rPr>
        <w:t xml:space="preserve"> </w:t>
      </w:r>
      <w:r w:rsidRPr="008D2AB9">
        <w:rPr>
          <w:rFonts w:ascii="Times New Roman" w:hAnsi="Times New Roman"/>
          <w:sz w:val="20"/>
          <w:szCs w:val="20"/>
        </w:rPr>
        <w:t>(T</w:t>
      </w:r>
      <w:r w:rsidRPr="008D2AB9">
        <w:rPr>
          <w:rFonts w:ascii="Times New Roman" w:hAnsi="Times New Roman"/>
          <w:sz w:val="20"/>
          <w:szCs w:val="20"/>
          <w:vertAlign w:val="subscript"/>
        </w:rPr>
        <w:t>c</w:t>
      </w:r>
      <w:r w:rsidRPr="008D2AB9">
        <w:rPr>
          <w:rFonts w:ascii="Times New Roman" w:hAnsi="Times New Roman"/>
          <w:sz w:val="20"/>
          <w:szCs w:val="20"/>
        </w:rPr>
        <w:t xml:space="preserve">) </w:t>
      </w:r>
      <w:r w:rsidR="0034135D">
        <w:rPr>
          <w:rFonts w:ascii="Times New Roman" w:hAnsi="Times New Roman"/>
          <w:sz w:val="20"/>
          <w:szCs w:val="20"/>
        </w:rPr>
        <w:t xml:space="preserve"> </w:t>
      </w:r>
      <w:r w:rsidRPr="008D2AB9">
        <w:rPr>
          <w:rFonts w:ascii="Times New Roman" w:hAnsi="Times New Roman"/>
          <w:sz w:val="20"/>
          <w:szCs w:val="20"/>
        </w:rPr>
        <w:t xml:space="preserve">of </w:t>
      </w:r>
      <w:r w:rsidR="0034135D">
        <w:rPr>
          <w:rFonts w:ascii="Times New Roman" w:hAnsi="Times New Roman"/>
          <w:sz w:val="20"/>
          <w:szCs w:val="20"/>
        </w:rPr>
        <w:t xml:space="preserve"> </w:t>
      </w:r>
      <w:r w:rsidRPr="008D2AB9">
        <w:rPr>
          <w:rFonts w:ascii="Times New Roman" w:hAnsi="Times New Roman"/>
          <w:sz w:val="20"/>
          <w:szCs w:val="20"/>
        </w:rPr>
        <w:t xml:space="preserve">POo </w:t>
      </w:r>
      <w:r w:rsidR="0034135D">
        <w:rPr>
          <w:rFonts w:ascii="Times New Roman" w:hAnsi="Times New Roman"/>
          <w:sz w:val="20"/>
          <w:szCs w:val="20"/>
        </w:rPr>
        <w:t xml:space="preserve"> </w:t>
      </w:r>
      <w:r w:rsidRPr="008D2AB9">
        <w:rPr>
          <w:rFonts w:ascii="Times New Roman" w:hAnsi="Times New Roman"/>
          <w:sz w:val="20"/>
          <w:szCs w:val="20"/>
        </w:rPr>
        <w:t xml:space="preserve">were </w:t>
      </w:r>
      <w:r w:rsidR="0034135D">
        <w:rPr>
          <w:rFonts w:ascii="Times New Roman" w:hAnsi="Times New Roman"/>
          <w:sz w:val="20"/>
          <w:szCs w:val="20"/>
        </w:rPr>
        <w:t xml:space="preserve"> </w:t>
      </w:r>
      <w:r w:rsidRPr="008D2AB9">
        <w:rPr>
          <w:rFonts w:ascii="Times New Roman" w:hAnsi="Times New Roman"/>
          <w:sz w:val="20"/>
          <w:szCs w:val="20"/>
        </w:rPr>
        <w:t>observed</w:t>
      </w:r>
      <w:r w:rsidR="0034135D">
        <w:rPr>
          <w:rFonts w:ascii="Times New Roman" w:hAnsi="Times New Roman"/>
          <w:sz w:val="20"/>
          <w:szCs w:val="20"/>
        </w:rPr>
        <w:t xml:space="preserve"> </w:t>
      </w:r>
      <w:r w:rsidRPr="008D2AB9">
        <w:rPr>
          <w:rFonts w:ascii="Times New Roman" w:hAnsi="Times New Roman"/>
          <w:sz w:val="20"/>
          <w:szCs w:val="20"/>
        </w:rPr>
        <w:t>at</w:t>
      </w:r>
      <w:r w:rsidR="0034135D">
        <w:rPr>
          <w:rFonts w:ascii="Times New Roman" w:hAnsi="Times New Roman"/>
          <w:sz w:val="20"/>
          <w:szCs w:val="20"/>
        </w:rPr>
        <w:t xml:space="preserve"> </w:t>
      </w:r>
      <w:r w:rsidRPr="008D2AB9">
        <w:rPr>
          <w:rFonts w:ascii="Times New Roman" w:hAnsi="Times New Roman"/>
          <w:sz w:val="20"/>
          <w:szCs w:val="20"/>
        </w:rPr>
        <w:t xml:space="preserve"> T</w:t>
      </w:r>
      <w:r w:rsidRPr="008D2AB9">
        <w:rPr>
          <w:rFonts w:ascii="Times New Roman" w:hAnsi="Times New Roman"/>
          <w:sz w:val="20"/>
          <w:szCs w:val="20"/>
          <w:vertAlign w:val="subscript"/>
        </w:rPr>
        <w:t>max</w:t>
      </w:r>
      <w:r w:rsidR="0034135D">
        <w:rPr>
          <w:rFonts w:ascii="Times New Roman" w:hAnsi="Times New Roman"/>
          <w:sz w:val="20"/>
          <w:szCs w:val="20"/>
          <w:vertAlign w:val="subscript"/>
        </w:rPr>
        <w:t xml:space="preserve"> </w:t>
      </w:r>
      <w:r w:rsidRPr="008D2AB9">
        <w:rPr>
          <w:rFonts w:ascii="Times New Roman" w:hAnsi="Times New Roman"/>
          <w:sz w:val="20"/>
          <w:szCs w:val="20"/>
        </w:rPr>
        <w:t xml:space="preserve"> -58 </w:t>
      </w:r>
      <w:r w:rsidRPr="008D2AB9">
        <w:rPr>
          <w:rFonts w:ascii="Times New Roman" w:hAnsi="Times New Roman"/>
          <w:sz w:val="20"/>
          <w:szCs w:val="20"/>
          <w:vertAlign w:val="superscript"/>
        </w:rPr>
        <w:t>o</w:t>
      </w:r>
      <w:r w:rsidRPr="008D2AB9">
        <w:rPr>
          <w:rFonts w:ascii="Times New Roman" w:hAnsi="Times New Roman"/>
          <w:sz w:val="20"/>
          <w:szCs w:val="20"/>
        </w:rPr>
        <w:t>C</w:t>
      </w:r>
      <w:r w:rsidR="0034135D">
        <w:rPr>
          <w:rFonts w:ascii="Times New Roman" w:hAnsi="Times New Roman"/>
          <w:sz w:val="20"/>
          <w:szCs w:val="20"/>
        </w:rPr>
        <w:t xml:space="preserve"> </w:t>
      </w:r>
      <w:r w:rsidRPr="008D2AB9">
        <w:rPr>
          <w:rFonts w:ascii="Times New Roman" w:hAnsi="Times New Roman"/>
          <w:sz w:val="20"/>
          <w:szCs w:val="20"/>
        </w:rPr>
        <w:t xml:space="preserve"> (in the range of -64 to -55</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-25 </w:t>
      </w:r>
      <w:r w:rsidRPr="008D2AB9">
        <w:rPr>
          <w:rFonts w:ascii="Times New Roman" w:hAnsi="Times New Roman"/>
          <w:sz w:val="20"/>
          <w:szCs w:val="20"/>
          <w:vertAlign w:val="superscript"/>
        </w:rPr>
        <w:t>o</w:t>
      </w:r>
      <w:r w:rsidRPr="008D2AB9">
        <w:rPr>
          <w:rFonts w:ascii="Times New Roman" w:hAnsi="Times New Roman"/>
          <w:sz w:val="20"/>
          <w:szCs w:val="20"/>
        </w:rPr>
        <w:t>C (in the range of -31 to -19</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and -3 </w:t>
      </w:r>
      <w:r w:rsidRPr="008D2AB9">
        <w:rPr>
          <w:rFonts w:ascii="Times New Roman" w:hAnsi="Times New Roman"/>
          <w:sz w:val="20"/>
          <w:szCs w:val="20"/>
          <w:vertAlign w:val="superscript"/>
        </w:rPr>
        <w:t>o</w:t>
      </w:r>
      <w:r w:rsidRPr="008D2AB9">
        <w:rPr>
          <w:rFonts w:ascii="Times New Roman" w:hAnsi="Times New Roman"/>
          <w:sz w:val="20"/>
          <w:szCs w:val="20"/>
        </w:rPr>
        <w:t>C (in the range of -7 to -1</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of which the different finding was reported by Zhang et al. approximately at −9.30 </w:t>
      </w:r>
      <w:r w:rsidRPr="008D2AB9">
        <w:rPr>
          <w:rFonts w:ascii="Times New Roman" w:hAnsi="Times New Roman"/>
          <w:sz w:val="20"/>
          <w:szCs w:val="20"/>
          <w:vertAlign w:val="superscript"/>
        </w:rPr>
        <w:t>o</w:t>
      </w:r>
      <w:r w:rsidRPr="008D2AB9">
        <w:rPr>
          <w:rFonts w:ascii="Times New Roman" w:hAnsi="Times New Roman"/>
          <w:sz w:val="20"/>
          <w:szCs w:val="20"/>
        </w:rPr>
        <w:t xml:space="preserve">C, 1.39 </w:t>
      </w:r>
      <w:r w:rsidRPr="008D2AB9">
        <w:rPr>
          <w:rFonts w:ascii="Times New Roman" w:hAnsi="Times New Roman"/>
          <w:sz w:val="20"/>
          <w:szCs w:val="20"/>
          <w:vertAlign w:val="superscript"/>
        </w:rPr>
        <w:t>o</w:t>
      </w:r>
      <w:r w:rsidRPr="008D2AB9">
        <w:rPr>
          <w:rFonts w:ascii="Times New Roman" w:hAnsi="Times New Roman"/>
          <w:sz w:val="20"/>
          <w:szCs w:val="20"/>
        </w:rPr>
        <w:t xml:space="preserve">C and 14.36 </w:t>
      </w:r>
      <w:r w:rsidRPr="008D2AB9">
        <w:rPr>
          <w:rFonts w:ascii="Times New Roman" w:hAnsi="Times New Roman"/>
          <w:sz w:val="20"/>
          <w:szCs w:val="20"/>
          <w:vertAlign w:val="superscript"/>
        </w:rPr>
        <w:t>o</w:t>
      </w:r>
      <w:r w:rsidRPr="008D2AB9">
        <w:rPr>
          <w:rFonts w:ascii="Times New Roman" w:hAnsi="Times New Roman"/>
          <w:sz w:val="20"/>
          <w:szCs w:val="20"/>
        </w:rPr>
        <w:t>C [46]. The EPOo thermogram also showed three T</w:t>
      </w:r>
      <w:r w:rsidRPr="008D2AB9">
        <w:rPr>
          <w:rFonts w:ascii="Times New Roman" w:hAnsi="Times New Roman"/>
          <w:sz w:val="20"/>
          <w:szCs w:val="20"/>
          <w:vertAlign w:val="subscript"/>
        </w:rPr>
        <w:t>c</w:t>
      </w:r>
      <w:r w:rsidRPr="008D2AB9">
        <w:rPr>
          <w:rFonts w:ascii="Times New Roman" w:hAnsi="Times New Roman"/>
          <w:sz w:val="20"/>
          <w:szCs w:val="20"/>
        </w:rPr>
        <w:t xml:space="preserve"> peaks at T</w:t>
      </w:r>
      <w:r w:rsidRPr="008D2AB9">
        <w:rPr>
          <w:rFonts w:ascii="Times New Roman" w:hAnsi="Times New Roman"/>
          <w:sz w:val="20"/>
          <w:szCs w:val="20"/>
          <w:vertAlign w:val="subscript"/>
        </w:rPr>
        <w:t xml:space="preserve">max </w:t>
      </w:r>
      <w:r w:rsidRPr="008D2AB9">
        <w:rPr>
          <w:rFonts w:ascii="Times New Roman" w:hAnsi="Times New Roman"/>
          <w:sz w:val="20"/>
          <w:szCs w:val="20"/>
        </w:rPr>
        <w:t xml:space="preserve">-1 </w:t>
      </w:r>
      <w:r w:rsidRPr="008D2AB9">
        <w:rPr>
          <w:rFonts w:ascii="Times New Roman" w:hAnsi="Times New Roman"/>
          <w:sz w:val="20"/>
          <w:szCs w:val="20"/>
          <w:vertAlign w:val="superscript"/>
        </w:rPr>
        <w:t>o</w:t>
      </w:r>
      <w:r w:rsidRPr="008D2AB9">
        <w:rPr>
          <w:rFonts w:ascii="Times New Roman" w:hAnsi="Times New Roman"/>
          <w:sz w:val="20"/>
          <w:szCs w:val="20"/>
        </w:rPr>
        <w:t xml:space="preserve">C (in the range of -4 to 2 </w:t>
      </w:r>
      <w:r w:rsidRPr="008D2AB9">
        <w:rPr>
          <w:rFonts w:ascii="Times New Roman" w:hAnsi="Times New Roman"/>
          <w:sz w:val="20"/>
          <w:szCs w:val="20"/>
          <w:vertAlign w:val="superscript"/>
        </w:rPr>
        <w:t>o</w:t>
      </w:r>
      <w:r w:rsidRPr="008D2AB9">
        <w:rPr>
          <w:rFonts w:ascii="Times New Roman" w:hAnsi="Times New Roman"/>
          <w:sz w:val="20"/>
          <w:szCs w:val="20"/>
        </w:rPr>
        <w:t xml:space="preserve">C), 5 </w:t>
      </w:r>
      <w:r w:rsidRPr="008D2AB9">
        <w:rPr>
          <w:rFonts w:ascii="Times New Roman" w:hAnsi="Times New Roman"/>
          <w:sz w:val="20"/>
          <w:szCs w:val="20"/>
          <w:vertAlign w:val="superscript"/>
        </w:rPr>
        <w:t>o</w:t>
      </w:r>
      <w:r w:rsidRPr="008D2AB9">
        <w:rPr>
          <w:rFonts w:ascii="Times New Roman" w:hAnsi="Times New Roman"/>
          <w:sz w:val="20"/>
          <w:szCs w:val="20"/>
        </w:rPr>
        <w:t xml:space="preserve">C (between 2 – 8 </w:t>
      </w:r>
      <w:r w:rsidRPr="008D2AB9">
        <w:rPr>
          <w:rFonts w:ascii="Times New Roman" w:hAnsi="Times New Roman"/>
          <w:sz w:val="20"/>
          <w:szCs w:val="20"/>
          <w:vertAlign w:val="superscript"/>
        </w:rPr>
        <w:t>o</w:t>
      </w:r>
      <w:r w:rsidRPr="008D2AB9">
        <w:rPr>
          <w:rFonts w:ascii="Times New Roman" w:hAnsi="Times New Roman"/>
          <w:sz w:val="20"/>
          <w:szCs w:val="20"/>
        </w:rPr>
        <w:t xml:space="preserve">C) and 26 </w:t>
      </w:r>
      <w:r w:rsidRPr="008D2AB9">
        <w:rPr>
          <w:rFonts w:ascii="Times New Roman" w:hAnsi="Times New Roman"/>
          <w:sz w:val="20"/>
          <w:szCs w:val="20"/>
          <w:vertAlign w:val="superscript"/>
        </w:rPr>
        <w:t>o</w:t>
      </w:r>
      <w:r w:rsidRPr="008D2AB9">
        <w:rPr>
          <w:rFonts w:ascii="Times New Roman" w:hAnsi="Times New Roman"/>
          <w:sz w:val="20"/>
          <w:szCs w:val="20"/>
        </w:rPr>
        <w:t xml:space="preserve">C (in the range of 20 to 29 </w:t>
      </w:r>
      <w:r w:rsidRPr="008D2AB9">
        <w:rPr>
          <w:rFonts w:ascii="Times New Roman" w:hAnsi="Times New Roman"/>
          <w:sz w:val="20"/>
          <w:szCs w:val="20"/>
          <w:vertAlign w:val="superscript"/>
        </w:rPr>
        <w:t>o</w:t>
      </w:r>
      <w:r w:rsidRPr="008D2AB9">
        <w:rPr>
          <w:rFonts w:ascii="Times New Roman" w:hAnsi="Times New Roman"/>
          <w:sz w:val="20"/>
          <w:szCs w:val="20"/>
        </w:rPr>
        <w:t>C) when the sample is being cooled (Figure 6).  This result is similar to the study reported by Tan and Chow where one of the EPO T</w:t>
      </w:r>
      <w:r w:rsidRPr="008D2AB9">
        <w:rPr>
          <w:rFonts w:ascii="Times New Roman" w:hAnsi="Times New Roman"/>
          <w:sz w:val="20"/>
          <w:szCs w:val="20"/>
          <w:vertAlign w:val="subscript"/>
        </w:rPr>
        <w:t>c</w:t>
      </w:r>
      <w:r w:rsidRPr="008D2AB9">
        <w:rPr>
          <w:rFonts w:ascii="Times New Roman" w:hAnsi="Times New Roman"/>
          <w:sz w:val="20"/>
          <w:szCs w:val="20"/>
        </w:rPr>
        <w:t xml:space="preserve"> is </w:t>
      </w:r>
      <w:r w:rsidRPr="008D2AB9">
        <w:rPr>
          <w:rFonts w:ascii="Times New Roman" w:hAnsi="Times New Roman"/>
          <w:color w:val="000000"/>
          <w:spacing w:val="15"/>
          <w:sz w:val="20"/>
          <w:szCs w:val="20"/>
          <w:bdr w:val="none" w:sz="0" w:space="0" w:color="auto" w:frame="1"/>
        </w:rPr>
        <w:t>at</w:t>
      </w:r>
      <w:r w:rsidRPr="008D2AB9">
        <w:rPr>
          <w:rFonts w:ascii="Times New Roman" w:hAnsi="Times New Roman"/>
          <w:color w:val="000000"/>
          <w:sz w:val="20"/>
          <w:szCs w:val="20"/>
        </w:rPr>
        <w:t xml:space="preserve"> </w:t>
      </w:r>
      <w:r w:rsidRPr="008D2AB9">
        <w:rPr>
          <w:rFonts w:ascii="Times New Roman" w:hAnsi="Times New Roman"/>
          <w:color w:val="000000"/>
          <w:sz w:val="20"/>
          <w:szCs w:val="20"/>
          <w:bdr w:val="none" w:sz="0" w:space="0" w:color="auto" w:frame="1"/>
        </w:rPr>
        <w:t>-0.97</w:t>
      </w:r>
      <w:r w:rsidRPr="008D2AB9">
        <w:rPr>
          <w:rFonts w:ascii="Times New Roman" w:hAnsi="Times New Roman"/>
          <w:sz w:val="20"/>
          <w:szCs w:val="20"/>
          <w:vertAlign w:val="superscript"/>
        </w:rPr>
        <w:t xml:space="preserve"> o</w:t>
      </w:r>
      <w:r w:rsidRPr="008D2AB9">
        <w:rPr>
          <w:rFonts w:ascii="Times New Roman" w:hAnsi="Times New Roman"/>
          <w:sz w:val="20"/>
          <w:szCs w:val="20"/>
        </w:rPr>
        <w:t>C,</w:t>
      </w:r>
      <w:r w:rsidRPr="008D2AB9">
        <w:rPr>
          <w:rFonts w:ascii="Times New Roman" w:hAnsi="Times New Roman"/>
          <w:color w:val="000000"/>
          <w:sz w:val="20"/>
          <w:szCs w:val="20"/>
        </w:rPr>
        <w:t xml:space="preserve"> </w:t>
      </w:r>
      <w:r w:rsidRPr="008D2AB9">
        <w:rPr>
          <w:rFonts w:ascii="Times New Roman" w:hAnsi="Times New Roman"/>
          <w:color w:val="000000"/>
          <w:spacing w:val="15"/>
          <w:sz w:val="20"/>
          <w:szCs w:val="20"/>
          <w:bdr w:val="none" w:sz="0" w:space="0" w:color="auto" w:frame="1"/>
        </w:rPr>
        <w:t>which is in the range of </w:t>
      </w:r>
      <w:r w:rsidRPr="008D2AB9">
        <w:rPr>
          <w:rFonts w:ascii="Times New Roman" w:hAnsi="Times New Roman"/>
          <w:color w:val="000000"/>
          <w:sz w:val="20"/>
          <w:szCs w:val="20"/>
          <w:bdr w:val="none" w:sz="0" w:space="0" w:color="auto" w:frame="1"/>
        </w:rPr>
        <w:t>temperatures between</w:t>
      </w:r>
      <w:r w:rsidRPr="008D2AB9">
        <w:rPr>
          <w:rFonts w:ascii="Times New Roman" w:hAnsi="Times New Roman"/>
          <w:i/>
          <w:iCs/>
          <w:color w:val="000000"/>
          <w:sz w:val="20"/>
          <w:szCs w:val="20"/>
          <w:bdr w:val="none" w:sz="0" w:space="0" w:color="auto" w:frame="1"/>
        </w:rPr>
        <w:t> </w:t>
      </w:r>
      <w:r w:rsidRPr="008D2AB9">
        <w:rPr>
          <w:rFonts w:ascii="Times New Roman" w:hAnsi="Times New Roman"/>
          <w:iCs/>
          <w:color w:val="000000"/>
          <w:sz w:val="20"/>
          <w:szCs w:val="20"/>
          <w:bdr w:val="none" w:sz="0" w:space="0" w:color="auto" w:frame="1"/>
        </w:rPr>
        <w:t>T</w:t>
      </w:r>
      <w:r w:rsidRPr="008D2AB9">
        <w:rPr>
          <w:rFonts w:ascii="Times New Roman" w:hAnsi="Times New Roman"/>
          <w:color w:val="000000"/>
          <w:sz w:val="20"/>
          <w:szCs w:val="20"/>
          <w:bdr w:val="none" w:sz="0" w:space="0" w:color="auto" w:frame="1"/>
          <w:vertAlign w:val="subscript"/>
        </w:rPr>
        <w:t>g</w:t>
      </w:r>
      <w:r w:rsidRPr="008D2AB9">
        <w:rPr>
          <w:rFonts w:ascii="Times New Roman" w:hAnsi="Times New Roman"/>
          <w:color w:val="000000"/>
          <w:sz w:val="20"/>
          <w:szCs w:val="20"/>
          <w:bdr w:val="none" w:sz="0" w:space="0" w:color="auto" w:frame="1"/>
        </w:rPr>
        <w:t> and</w:t>
      </w:r>
      <w:r w:rsidRPr="008D2AB9">
        <w:rPr>
          <w:rFonts w:ascii="Times New Roman" w:hAnsi="Times New Roman"/>
          <w:color w:val="000000"/>
          <w:sz w:val="20"/>
          <w:szCs w:val="20"/>
        </w:rPr>
        <w:t xml:space="preserve"> T</w:t>
      </w:r>
      <w:r w:rsidRPr="008D2AB9">
        <w:rPr>
          <w:rFonts w:ascii="Times New Roman" w:hAnsi="Times New Roman"/>
          <w:color w:val="000000"/>
          <w:sz w:val="20"/>
          <w:szCs w:val="20"/>
          <w:vertAlign w:val="subscript"/>
        </w:rPr>
        <w:t>m</w:t>
      </w:r>
      <w:r w:rsidRPr="008D2AB9">
        <w:rPr>
          <w:rFonts w:ascii="Times New Roman" w:hAnsi="Times New Roman"/>
          <w:color w:val="000000"/>
          <w:sz w:val="20"/>
          <w:szCs w:val="20"/>
        </w:rPr>
        <w:t xml:space="preserve"> </w:t>
      </w:r>
      <w:r w:rsidRPr="008D2AB9">
        <w:rPr>
          <w:rFonts w:ascii="Times New Roman" w:hAnsi="Times New Roman"/>
          <w:sz w:val="20"/>
          <w:szCs w:val="20"/>
        </w:rPr>
        <w:t>when the sample is being cooled [47]</w:t>
      </w:r>
      <w:r w:rsidRPr="008D2AB9">
        <w:rPr>
          <w:rFonts w:ascii="Times New Roman" w:hAnsi="Times New Roman"/>
          <w:color w:val="000000"/>
          <w:spacing w:val="15"/>
          <w:sz w:val="20"/>
          <w:szCs w:val="20"/>
          <w:bdr w:val="none" w:sz="0" w:space="0" w:color="auto" w:frame="1"/>
        </w:rPr>
        <w:t>. </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The glass transition temperature (T</w:t>
      </w:r>
      <w:r w:rsidRPr="008D2AB9">
        <w:rPr>
          <w:rFonts w:ascii="Times New Roman" w:hAnsi="Times New Roman"/>
          <w:sz w:val="20"/>
          <w:szCs w:val="20"/>
          <w:vertAlign w:val="subscript"/>
        </w:rPr>
        <w:t>g</w:t>
      </w:r>
      <w:r w:rsidRPr="008D2AB9">
        <w:rPr>
          <w:rFonts w:ascii="Times New Roman" w:hAnsi="Times New Roman"/>
          <w:sz w:val="20"/>
          <w:szCs w:val="20"/>
        </w:rPr>
        <w:t>) of EPOo was found approximately at T</w:t>
      </w:r>
      <w:r w:rsidRPr="008D2AB9">
        <w:rPr>
          <w:rFonts w:ascii="Times New Roman" w:hAnsi="Times New Roman"/>
          <w:sz w:val="20"/>
          <w:szCs w:val="20"/>
          <w:vertAlign w:val="subscript"/>
        </w:rPr>
        <w:t>max</w:t>
      </w:r>
      <w:r w:rsidRPr="008D2AB9">
        <w:rPr>
          <w:rFonts w:ascii="Times New Roman" w:hAnsi="Times New Roman"/>
          <w:sz w:val="20"/>
          <w:szCs w:val="20"/>
        </w:rPr>
        <w:t xml:space="preserve"> -7 </w:t>
      </w:r>
      <w:r w:rsidRPr="008D2AB9">
        <w:rPr>
          <w:rFonts w:ascii="Times New Roman" w:hAnsi="Times New Roman"/>
          <w:sz w:val="20"/>
          <w:szCs w:val="20"/>
          <w:vertAlign w:val="superscript"/>
        </w:rPr>
        <w:t>o</w:t>
      </w:r>
      <w:r w:rsidRPr="008D2AB9">
        <w:rPr>
          <w:rFonts w:ascii="Times New Roman" w:hAnsi="Times New Roman"/>
          <w:sz w:val="20"/>
          <w:szCs w:val="20"/>
        </w:rPr>
        <w:t>C, occurred in the range of   -16 to 2</w:t>
      </w:r>
      <w:r w:rsidRPr="008D2AB9">
        <w:rPr>
          <w:rFonts w:ascii="Times New Roman" w:hAnsi="Times New Roman"/>
          <w:sz w:val="20"/>
          <w:szCs w:val="20"/>
          <w:vertAlign w:val="superscript"/>
        </w:rPr>
        <w:t xml:space="preserve"> o</w:t>
      </w:r>
      <w:r w:rsidRPr="008D2AB9">
        <w:rPr>
          <w:rFonts w:ascii="Times New Roman" w:hAnsi="Times New Roman"/>
          <w:sz w:val="20"/>
          <w:szCs w:val="20"/>
        </w:rPr>
        <w:t>C (Figure 6). The T</w:t>
      </w:r>
      <w:r w:rsidRPr="008D2AB9">
        <w:rPr>
          <w:rFonts w:ascii="Times New Roman" w:hAnsi="Times New Roman"/>
          <w:sz w:val="20"/>
          <w:szCs w:val="20"/>
          <w:vertAlign w:val="subscript"/>
        </w:rPr>
        <w:t>g</w:t>
      </w:r>
      <w:r w:rsidRPr="008D2AB9">
        <w:rPr>
          <w:rFonts w:ascii="Times New Roman" w:hAnsi="Times New Roman"/>
          <w:sz w:val="20"/>
          <w:szCs w:val="20"/>
        </w:rPr>
        <w:t xml:space="preserve"> of EPOo was found to be different from the finding reported by Tan and Chow at -18</w:t>
      </w:r>
      <w:r w:rsidRPr="008D2AB9">
        <w:rPr>
          <w:rFonts w:ascii="Times New Roman" w:hAnsi="Times New Roman"/>
          <w:sz w:val="20"/>
          <w:szCs w:val="20"/>
          <w:vertAlign w:val="superscript"/>
        </w:rPr>
        <w:t xml:space="preserve"> o</w:t>
      </w:r>
      <w:r w:rsidRPr="008D2AB9">
        <w:rPr>
          <w:rFonts w:ascii="Times New Roman" w:hAnsi="Times New Roman"/>
          <w:sz w:val="20"/>
          <w:szCs w:val="20"/>
        </w:rPr>
        <w:t>C [47] due to the difference composition of the palm oil been used such as from the palm oil by Tan and Chow and from the palm olein in our study.</w:t>
      </w:r>
      <w:r w:rsidRPr="008D2AB9">
        <w:rPr>
          <w:rFonts w:ascii="Times New Roman" w:hAnsi="Times New Roman"/>
          <w:sz w:val="20"/>
          <w:szCs w:val="20"/>
          <w:shd w:val="clear" w:color="auto" w:fill="FFFFFF"/>
        </w:rPr>
        <w:t xml:space="preserve"> The </w:t>
      </w:r>
      <w:r w:rsidRPr="008D2AB9">
        <w:rPr>
          <w:rFonts w:ascii="Times New Roman" w:hAnsi="Times New Roman"/>
          <w:bCs/>
          <w:sz w:val="20"/>
          <w:szCs w:val="20"/>
          <w:shd w:val="clear" w:color="auto" w:fill="FFFFFF"/>
        </w:rPr>
        <w:t>T</w:t>
      </w:r>
      <w:r w:rsidRPr="008D2AB9">
        <w:rPr>
          <w:rFonts w:ascii="Times New Roman" w:hAnsi="Times New Roman"/>
          <w:bCs/>
          <w:sz w:val="20"/>
          <w:szCs w:val="20"/>
          <w:shd w:val="clear" w:color="auto" w:fill="FFFFFF"/>
          <w:vertAlign w:val="subscript"/>
        </w:rPr>
        <w:t>g</w:t>
      </w:r>
      <w:r w:rsidRPr="008D2AB9">
        <w:rPr>
          <w:rFonts w:ascii="Times New Roman" w:hAnsi="Times New Roman"/>
          <w:sz w:val="20"/>
          <w:szCs w:val="20"/>
          <w:shd w:val="clear" w:color="auto" w:fill="FFFFFF"/>
        </w:rPr>
        <w:t xml:space="preserve"> of the POo could not be observed in the DSC </w:t>
      </w:r>
      <w:r w:rsidRPr="008D2AB9">
        <w:rPr>
          <w:rFonts w:ascii="Times New Roman" w:hAnsi="Times New Roman"/>
          <w:noProof/>
          <w:sz w:val="20"/>
          <w:szCs w:val="20"/>
        </w:rPr>
        <w:t>thermogram (</w:t>
      </w:r>
      <w:r w:rsidRPr="008D2AB9">
        <w:rPr>
          <w:rFonts w:ascii="Times New Roman" w:hAnsi="Times New Roman"/>
          <w:sz w:val="20"/>
          <w:szCs w:val="20"/>
          <w:shd w:val="clear" w:color="auto" w:fill="FFFFFF"/>
        </w:rPr>
        <w:t xml:space="preserve">Figure 6), which is might due to the weak transition of </w:t>
      </w:r>
      <w:r w:rsidRPr="008D2AB9">
        <w:rPr>
          <w:rFonts w:ascii="Times New Roman" w:hAnsi="Times New Roman"/>
          <w:bCs/>
          <w:sz w:val="20"/>
          <w:szCs w:val="20"/>
          <w:shd w:val="clear" w:color="auto" w:fill="FFFFFF"/>
        </w:rPr>
        <w:t>T</w:t>
      </w:r>
      <w:r w:rsidRPr="008D2AB9">
        <w:rPr>
          <w:rFonts w:ascii="Times New Roman" w:hAnsi="Times New Roman"/>
          <w:bCs/>
          <w:sz w:val="20"/>
          <w:szCs w:val="20"/>
          <w:shd w:val="clear" w:color="auto" w:fill="FFFFFF"/>
          <w:vertAlign w:val="subscript"/>
        </w:rPr>
        <w:t>g</w:t>
      </w:r>
      <w:r w:rsidRPr="008D2AB9">
        <w:rPr>
          <w:rFonts w:ascii="Times New Roman" w:hAnsi="Times New Roman"/>
          <w:sz w:val="20"/>
          <w:szCs w:val="20"/>
          <w:shd w:val="clear" w:color="auto" w:fill="FFFFFF"/>
        </w:rPr>
        <w:t xml:space="preserve"> </w:t>
      </w:r>
      <w:r w:rsidRPr="008D2AB9">
        <w:rPr>
          <w:rFonts w:ascii="Times New Roman" w:hAnsi="Times New Roman"/>
          <w:sz w:val="20"/>
          <w:szCs w:val="20"/>
        </w:rPr>
        <w:t xml:space="preserve">especially for crystalline and low amorphous materials [47].  </w:t>
      </w:r>
    </w:p>
    <w:p w:rsidR="008D2AB9" w:rsidRDefault="008D2AB9" w:rsidP="008D2AB9">
      <w:pPr>
        <w:spacing w:after="0" w:line="240" w:lineRule="auto"/>
        <w:jc w:val="both"/>
        <w:rPr>
          <w:rFonts w:ascii="Times New Roman" w:hAnsi="Times New Roman"/>
          <w:sz w:val="20"/>
          <w:szCs w:val="20"/>
        </w:rPr>
      </w:pPr>
    </w:p>
    <w:p w:rsidR="003B363F" w:rsidRPr="008D2AB9" w:rsidRDefault="003B363F" w:rsidP="008D2AB9">
      <w:pPr>
        <w:spacing w:after="0" w:line="240" w:lineRule="auto"/>
        <w:jc w:val="both"/>
        <w:rPr>
          <w:rFonts w:ascii="Times New Roman" w:hAnsi="Times New Roman"/>
          <w:sz w:val="20"/>
          <w:szCs w:val="20"/>
        </w:rPr>
      </w:pPr>
    </w:p>
    <w:p w:rsidR="008D2AB9" w:rsidRPr="008D2AB9" w:rsidRDefault="008D2AB9" w:rsidP="003B363F">
      <w:pPr>
        <w:spacing w:after="0" w:line="240" w:lineRule="auto"/>
        <w:jc w:val="center"/>
        <w:rPr>
          <w:rFonts w:ascii="Times New Roman" w:hAnsi="Times New Roman"/>
          <w:sz w:val="20"/>
          <w:szCs w:val="20"/>
        </w:rPr>
      </w:pPr>
      <w:r w:rsidRPr="008D2AB9">
        <w:rPr>
          <w:rFonts w:ascii="Times New Roman" w:hAnsi="Times New Roman"/>
          <w:noProof/>
          <w:sz w:val="20"/>
          <w:szCs w:val="20"/>
          <w:lang w:bidi="ar-SA"/>
        </w:rPr>
        <w:drawing>
          <wp:inline distT="0" distB="0" distL="0" distR="0" wp14:anchorId="7DC8D13A" wp14:editId="1C0F9DFA">
            <wp:extent cx="4126326" cy="2509318"/>
            <wp:effectExtent l="19050" t="19050" r="26670" b="247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9702" cy="2523533"/>
                    </a:xfrm>
                    <a:prstGeom prst="rect">
                      <a:avLst/>
                    </a:prstGeom>
                    <a:noFill/>
                    <a:ln w="3175">
                      <a:solidFill>
                        <a:schemeClr val="tx1"/>
                      </a:solidFill>
                    </a:ln>
                  </pic:spPr>
                </pic:pic>
              </a:graphicData>
            </a:graphic>
          </wp:inline>
        </w:drawing>
      </w:r>
    </w:p>
    <w:p w:rsidR="008D2AB9" w:rsidRPr="008D2AB9" w:rsidRDefault="008D2AB9" w:rsidP="008D2AB9">
      <w:pPr>
        <w:pStyle w:val="Caption"/>
        <w:jc w:val="both"/>
      </w:pPr>
    </w:p>
    <w:p w:rsidR="008D2AB9" w:rsidRPr="008D2AB9" w:rsidRDefault="008D2AB9" w:rsidP="003B363F">
      <w:pPr>
        <w:pStyle w:val="Caption"/>
        <w:rPr>
          <w:noProof/>
          <w:lang w:val="en-US"/>
        </w:rPr>
      </w:pPr>
      <w:r w:rsidRPr="008D2AB9">
        <w:t>Figure 6</w:t>
      </w:r>
      <w:r w:rsidRPr="008D2AB9">
        <w:rPr>
          <w:noProof/>
          <w:lang w:val="en-US"/>
        </w:rPr>
        <w:t xml:space="preserve">. </w:t>
      </w:r>
      <w:r w:rsidR="003B363F">
        <w:rPr>
          <w:noProof/>
          <w:lang w:val="en-US"/>
        </w:rPr>
        <w:t xml:space="preserve"> </w:t>
      </w:r>
      <w:r w:rsidRPr="008D2AB9">
        <w:rPr>
          <w:noProof/>
          <w:lang w:val="en-US"/>
        </w:rPr>
        <w:t>DSC thermograms of POo and EPOo</w:t>
      </w:r>
    </w:p>
    <w:p w:rsidR="008D2AB9" w:rsidRDefault="008D2AB9" w:rsidP="008D2AB9">
      <w:pPr>
        <w:pStyle w:val="Caption"/>
        <w:jc w:val="both"/>
        <w:rPr>
          <w:noProof/>
          <w:lang w:val="en-US"/>
        </w:rPr>
      </w:pPr>
    </w:p>
    <w:p w:rsidR="003B363F" w:rsidRPr="008D2AB9" w:rsidRDefault="003B363F" w:rsidP="008D2AB9">
      <w:pPr>
        <w:pStyle w:val="Caption"/>
        <w:jc w:val="both"/>
        <w:rPr>
          <w:noProof/>
          <w:lang w:val="en-US"/>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The TGA and DTG thermograms of the oleic acid and the diol are presented in the respective Figure 7 and 8.  The thermogram patterns of both showed low thermal resistance of diol where the decomposition for OA started at temperature 180</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to 438 </w:t>
      </w:r>
      <w:r w:rsidRPr="008D2AB9">
        <w:rPr>
          <w:rFonts w:ascii="Times New Roman" w:hAnsi="Times New Roman"/>
          <w:sz w:val="20"/>
          <w:szCs w:val="20"/>
          <w:vertAlign w:val="superscript"/>
        </w:rPr>
        <w:t>o</w:t>
      </w:r>
      <w:r w:rsidRPr="008D2AB9">
        <w:rPr>
          <w:rFonts w:ascii="Times New Roman" w:hAnsi="Times New Roman"/>
          <w:sz w:val="20"/>
          <w:szCs w:val="20"/>
        </w:rPr>
        <w:t>C. Meanwhile, the decomposition of diol started at temperature 108</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to 516 </w:t>
      </w:r>
      <w:r w:rsidRPr="008D2AB9">
        <w:rPr>
          <w:rFonts w:ascii="Times New Roman" w:hAnsi="Times New Roman"/>
          <w:sz w:val="20"/>
          <w:szCs w:val="20"/>
          <w:vertAlign w:val="superscript"/>
        </w:rPr>
        <w:t>o</w:t>
      </w:r>
      <w:r w:rsidRPr="008D2AB9">
        <w:rPr>
          <w:rFonts w:ascii="Times New Roman" w:hAnsi="Times New Roman"/>
          <w:sz w:val="20"/>
          <w:szCs w:val="20"/>
        </w:rPr>
        <w:t xml:space="preserve">C.  TGA curves of oleic acid and diol (Figure 7) showed two and three stages decomposition, respectively.  In the oleic acid thermogram, </w:t>
      </w:r>
      <w:r w:rsidR="0034135D">
        <w:rPr>
          <w:rFonts w:ascii="Times New Roman" w:hAnsi="Times New Roman"/>
          <w:sz w:val="20"/>
          <w:szCs w:val="20"/>
        </w:rPr>
        <w:t xml:space="preserve"> </w:t>
      </w:r>
      <w:r w:rsidRPr="008D2AB9">
        <w:rPr>
          <w:rFonts w:ascii="Times New Roman" w:hAnsi="Times New Roman"/>
          <w:sz w:val="20"/>
          <w:szCs w:val="20"/>
        </w:rPr>
        <w:t xml:space="preserve">the </w:t>
      </w:r>
      <w:r w:rsidR="0034135D">
        <w:rPr>
          <w:rFonts w:ascii="Times New Roman" w:hAnsi="Times New Roman"/>
          <w:sz w:val="20"/>
          <w:szCs w:val="20"/>
        </w:rPr>
        <w:t xml:space="preserve"> </w:t>
      </w:r>
      <w:r w:rsidRPr="008D2AB9">
        <w:rPr>
          <w:rFonts w:ascii="Times New Roman" w:hAnsi="Times New Roman"/>
          <w:sz w:val="20"/>
          <w:szCs w:val="20"/>
        </w:rPr>
        <w:t xml:space="preserve">first </w:t>
      </w:r>
      <w:r w:rsidR="0034135D">
        <w:rPr>
          <w:rFonts w:ascii="Times New Roman" w:hAnsi="Times New Roman"/>
          <w:sz w:val="20"/>
          <w:szCs w:val="20"/>
        </w:rPr>
        <w:t xml:space="preserve"> </w:t>
      </w:r>
      <w:r w:rsidRPr="008D2AB9">
        <w:rPr>
          <w:rFonts w:ascii="Times New Roman" w:hAnsi="Times New Roman"/>
          <w:sz w:val="20"/>
          <w:szCs w:val="20"/>
        </w:rPr>
        <w:t xml:space="preserve">stage </w:t>
      </w:r>
      <w:r w:rsidR="0034135D">
        <w:rPr>
          <w:rFonts w:ascii="Times New Roman" w:hAnsi="Times New Roman"/>
          <w:sz w:val="20"/>
          <w:szCs w:val="20"/>
        </w:rPr>
        <w:t xml:space="preserve"> </w:t>
      </w:r>
      <w:r w:rsidRPr="008D2AB9">
        <w:rPr>
          <w:rFonts w:ascii="Times New Roman" w:hAnsi="Times New Roman"/>
          <w:sz w:val="20"/>
          <w:szCs w:val="20"/>
        </w:rPr>
        <w:t>represented the major degradation of the OA at T</w:t>
      </w:r>
      <w:r w:rsidRPr="008D2AB9">
        <w:rPr>
          <w:rFonts w:ascii="Times New Roman" w:hAnsi="Times New Roman"/>
          <w:sz w:val="20"/>
          <w:szCs w:val="20"/>
          <w:vertAlign w:val="subscript"/>
        </w:rPr>
        <w:t>max</w:t>
      </w:r>
      <w:r w:rsidRPr="008D2AB9">
        <w:rPr>
          <w:rFonts w:ascii="Times New Roman" w:hAnsi="Times New Roman"/>
          <w:sz w:val="20"/>
          <w:szCs w:val="20"/>
        </w:rPr>
        <w:t xml:space="preserve"> 291 </w:t>
      </w:r>
      <w:r w:rsidRPr="008D2AB9">
        <w:rPr>
          <w:rFonts w:ascii="Times New Roman" w:hAnsi="Times New Roman"/>
          <w:sz w:val="20"/>
          <w:szCs w:val="20"/>
          <w:vertAlign w:val="superscript"/>
        </w:rPr>
        <w:t>o</w:t>
      </w:r>
      <w:r w:rsidRPr="008D2AB9">
        <w:rPr>
          <w:rFonts w:ascii="Times New Roman" w:hAnsi="Times New Roman"/>
          <w:sz w:val="20"/>
          <w:szCs w:val="20"/>
        </w:rPr>
        <w:t>C (in the range of 124 to 323</w:t>
      </w:r>
      <w:r w:rsidRPr="008D2AB9">
        <w:rPr>
          <w:rFonts w:ascii="Times New Roman" w:hAnsi="Times New Roman"/>
          <w:sz w:val="20"/>
          <w:szCs w:val="20"/>
          <w:vertAlign w:val="superscript"/>
        </w:rPr>
        <w:t xml:space="preserve"> o</w:t>
      </w:r>
      <w:r w:rsidRPr="008D2AB9">
        <w:rPr>
          <w:rFonts w:ascii="Times New Roman" w:hAnsi="Times New Roman"/>
          <w:sz w:val="20"/>
          <w:szCs w:val="20"/>
        </w:rPr>
        <w:t>C). This might be attributed to the loss of fatty acid in oleic acid, a carboxylic acid, which is about ~88 % from the total weight loss. The second stage occurred at T</w:t>
      </w:r>
      <w:r w:rsidRPr="008D2AB9">
        <w:rPr>
          <w:rFonts w:ascii="Times New Roman" w:hAnsi="Times New Roman"/>
          <w:sz w:val="20"/>
          <w:szCs w:val="20"/>
          <w:vertAlign w:val="subscript"/>
        </w:rPr>
        <w:t>max</w:t>
      </w:r>
      <w:r w:rsidRPr="008D2AB9">
        <w:rPr>
          <w:rFonts w:ascii="Times New Roman" w:hAnsi="Times New Roman"/>
          <w:sz w:val="20"/>
          <w:szCs w:val="20"/>
        </w:rPr>
        <w:t xml:space="preserve"> 347 </w:t>
      </w:r>
      <w:r w:rsidRPr="008D2AB9">
        <w:rPr>
          <w:rFonts w:ascii="Times New Roman" w:hAnsi="Times New Roman"/>
          <w:sz w:val="20"/>
          <w:szCs w:val="20"/>
          <w:vertAlign w:val="superscript"/>
        </w:rPr>
        <w:t>o</w:t>
      </w:r>
      <w:r w:rsidRPr="008D2AB9">
        <w:rPr>
          <w:rFonts w:ascii="Times New Roman" w:hAnsi="Times New Roman"/>
          <w:sz w:val="20"/>
          <w:szCs w:val="20"/>
        </w:rPr>
        <w:t>C (in the range of 325 to 411</w:t>
      </w:r>
      <w:r w:rsidRPr="008D2AB9">
        <w:rPr>
          <w:rFonts w:ascii="Times New Roman" w:hAnsi="Times New Roman"/>
          <w:sz w:val="20"/>
          <w:szCs w:val="20"/>
          <w:vertAlign w:val="superscript"/>
        </w:rPr>
        <w:t xml:space="preserve"> o</w:t>
      </w:r>
      <w:r w:rsidRPr="008D2AB9">
        <w:rPr>
          <w:rFonts w:ascii="Times New Roman" w:hAnsi="Times New Roman"/>
          <w:sz w:val="20"/>
          <w:szCs w:val="20"/>
        </w:rPr>
        <w:t>C), which probably due to the total weight loss of carbon double bonds (C=C) and hydrocarbon (C-H) of about ~8 %.  The OA was found to completely degrade at 438</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Meanwhile the first stage degradation in the diol thermogram showed a slower decomposition process (than the OA) which is about ~14 % of the total weight loss at T</w:t>
      </w:r>
      <w:r w:rsidRPr="008D2AB9">
        <w:rPr>
          <w:rFonts w:ascii="Times New Roman" w:hAnsi="Times New Roman"/>
          <w:sz w:val="20"/>
          <w:szCs w:val="20"/>
          <w:vertAlign w:val="subscript"/>
        </w:rPr>
        <w:t>max</w:t>
      </w:r>
      <w:r w:rsidRPr="008D2AB9">
        <w:rPr>
          <w:rFonts w:ascii="Times New Roman" w:hAnsi="Times New Roman"/>
          <w:sz w:val="20"/>
          <w:szCs w:val="20"/>
        </w:rPr>
        <w:t xml:space="preserve"> 125 </w:t>
      </w:r>
      <w:r w:rsidRPr="008D2AB9">
        <w:rPr>
          <w:rFonts w:ascii="Times New Roman" w:hAnsi="Times New Roman"/>
          <w:sz w:val="20"/>
          <w:szCs w:val="20"/>
          <w:vertAlign w:val="superscript"/>
        </w:rPr>
        <w:t>o</w:t>
      </w:r>
      <w:r w:rsidRPr="008D2AB9">
        <w:rPr>
          <w:rFonts w:ascii="Times New Roman" w:hAnsi="Times New Roman"/>
          <w:sz w:val="20"/>
          <w:szCs w:val="20"/>
        </w:rPr>
        <w:t xml:space="preserve">C (in the range of 79 to 200 </w:t>
      </w:r>
      <w:r w:rsidRPr="008D2AB9">
        <w:rPr>
          <w:rFonts w:ascii="Times New Roman" w:hAnsi="Times New Roman"/>
          <w:sz w:val="20"/>
          <w:szCs w:val="20"/>
          <w:vertAlign w:val="superscript"/>
        </w:rPr>
        <w:t>o</w:t>
      </w:r>
      <w:r w:rsidRPr="008D2AB9">
        <w:rPr>
          <w:rFonts w:ascii="Times New Roman" w:hAnsi="Times New Roman"/>
          <w:sz w:val="20"/>
          <w:szCs w:val="20"/>
        </w:rPr>
        <w:t xml:space="preserve">C). This might be attributed to the decomposition of hydroxyl group (O-H), which was produced from the hydroperoxide group (-OOH) (formed from oxidation of oil) and was found to be unstable at above 100 </w:t>
      </w:r>
      <w:r w:rsidRPr="008D2AB9">
        <w:rPr>
          <w:rFonts w:ascii="Times New Roman" w:hAnsi="Times New Roman"/>
          <w:sz w:val="20"/>
          <w:szCs w:val="20"/>
          <w:vertAlign w:val="superscript"/>
        </w:rPr>
        <w:t>o</w:t>
      </w:r>
      <w:r w:rsidRPr="008D2AB9">
        <w:rPr>
          <w:rFonts w:ascii="Times New Roman" w:hAnsi="Times New Roman"/>
          <w:sz w:val="20"/>
          <w:szCs w:val="20"/>
        </w:rPr>
        <w:t xml:space="preserve">C [48]. The decomposition of the hydroperoxide involved cleavage of the O-O bond in the hydroperoxide hence produced hydroxy-radical [48]. Based on this justification, the first stage decomposition temperature in the diol was strongly attributed to degradation of hydroxyl group. </w:t>
      </w:r>
    </w:p>
    <w:p w:rsidR="008D2AB9" w:rsidRPr="008D2AB9" w:rsidRDefault="008D2AB9" w:rsidP="008D2AB9">
      <w:pPr>
        <w:adjustRightInd w:val="0"/>
        <w:spacing w:after="0" w:line="240" w:lineRule="auto"/>
        <w:jc w:val="both"/>
        <w:rPr>
          <w:rFonts w:ascii="Times New Roman" w:hAnsi="Times New Roman"/>
          <w:sz w:val="20"/>
          <w:szCs w:val="20"/>
        </w:rPr>
      </w:pPr>
    </w:p>
    <w:p w:rsidR="008D2AB9" w:rsidRPr="008D2AB9" w:rsidRDefault="008D2AB9" w:rsidP="008D2AB9">
      <w:pPr>
        <w:adjustRightInd w:val="0"/>
        <w:spacing w:after="0" w:line="240" w:lineRule="auto"/>
        <w:jc w:val="both"/>
        <w:rPr>
          <w:rFonts w:ascii="Times New Roman" w:hAnsi="Times New Roman"/>
          <w:sz w:val="20"/>
          <w:szCs w:val="20"/>
        </w:rPr>
      </w:pPr>
      <w:r w:rsidRPr="008D2AB9">
        <w:rPr>
          <w:rFonts w:ascii="Times New Roman" w:hAnsi="Times New Roman"/>
          <w:sz w:val="20"/>
          <w:szCs w:val="20"/>
        </w:rPr>
        <w:t>In the second stage degradation, the major degradation of diol was recorded at T</w:t>
      </w:r>
      <w:r w:rsidRPr="008D2AB9">
        <w:rPr>
          <w:rFonts w:ascii="Times New Roman" w:hAnsi="Times New Roman"/>
          <w:sz w:val="20"/>
          <w:szCs w:val="20"/>
          <w:vertAlign w:val="subscript"/>
        </w:rPr>
        <w:t>max</w:t>
      </w:r>
      <w:r w:rsidRPr="008D2AB9">
        <w:rPr>
          <w:rFonts w:ascii="Times New Roman" w:hAnsi="Times New Roman"/>
          <w:sz w:val="20"/>
          <w:szCs w:val="20"/>
        </w:rPr>
        <w:t xml:space="preserve"> 362 </w:t>
      </w:r>
      <w:r w:rsidRPr="008D2AB9">
        <w:rPr>
          <w:rFonts w:ascii="Times New Roman" w:hAnsi="Times New Roman"/>
          <w:sz w:val="20"/>
          <w:szCs w:val="20"/>
          <w:vertAlign w:val="superscript"/>
        </w:rPr>
        <w:t>o</w:t>
      </w:r>
      <w:r w:rsidRPr="008D2AB9">
        <w:rPr>
          <w:rFonts w:ascii="Times New Roman" w:hAnsi="Times New Roman"/>
          <w:sz w:val="20"/>
          <w:szCs w:val="20"/>
        </w:rPr>
        <w:t xml:space="preserve">C (in the range of 204 to 426 </w:t>
      </w:r>
      <w:r w:rsidRPr="008D2AB9">
        <w:rPr>
          <w:rFonts w:ascii="Times New Roman" w:hAnsi="Times New Roman"/>
          <w:sz w:val="20"/>
          <w:szCs w:val="20"/>
          <w:vertAlign w:val="superscript"/>
        </w:rPr>
        <w:t>o</w:t>
      </w:r>
      <w:r w:rsidRPr="008D2AB9">
        <w:rPr>
          <w:rFonts w:ascii="Times New Roman" w:hAnsi="Times New Roman"/>
          <w:sz w:val="20"/>
          <w:szCs w:val="20"/>
        </w:rPr>
        <w:t>C), which consist of about ~76 % of the major total weight loss. This involved bond cleavage on the carboxyl site which later produced ester group in the formation of ester radical. Thus, it can be concluded that this second stage decomposition pattern was possibly attributed to the degradation of the ester group (C-O) (Figure 7 and 8). The third stage degradation is about ~4 % weight loss at T</w:t>
      </w:r>
      <w:r w:rsidRPr="008D2AB9">
        <w:rPr>
          <w:rFonts w:ascii="Times New Roman" w:hAnsi="Times New Roman"/>
          <w:sz w:val="20"/>
          <w:szCs w:val="20"/>
          <w:vertAlign w:val="subscript"/>
        </w:rPr>
        <w:t>max</w:t>
      </w:r>
      <w:r w:rsidRPr="008D2AB9">
        <w:rPr>
          <w:rFonts w:ascii="Times New Roman" w:hAnsi="Times New Roman"/>
          <w:sz w:val="20"/>
          <w:szCs w:val="20"/>
        </w:rPr>
        <w:t xml:space="preserve"> 492 </w:t>
      </w:r>
      <w:r w:rsidRPr="008D2AB9">
        <w:rPr>
          <w:rFonts w:ascii="Times New Roman" w:hAnsi="Times New Roman"/>
          <w:sz w:val="20"/>
          <w:szCs w:val="20"/>
          <w:vertAlign w:val="superscript"/>
        </w:rPr>
        <w:t>o</w:t>
      </w:r>
      <w:r w:rsidRPr="008D2AB9">
        <w:rPr>
          <w:rFonts w:ascii="Times New Roman" w:hAnsi="Times New Roman"/>
          <w:sz w:val="20"/>
          <w:szCs w:val="20"/>
        </w:rPr>
        <w:t xml:space="preserve">C (in the range of 457 to 516 </w:t>
      </w:r>
      <w:r w:rsidRPr="008D2AB9">
        <w:rPr>
          <w:rFonts w:ascii="Times New Roman" w:hAnsi="Times New Roman"/>
          <w:sz w:val="20"/>
          <w:szCs w:val="20"/>
          <w:vertAlign w:val="superscript"/>
        </w:rPr>
        <w:t>o</w:t>
      </w:r>
      <w:r w:rsidRPr="008D2AB9">
        <w:rPr>
          <w:rFonts w:ascii="Times New Roman" w:hAnsi="Times New Roman"/>
          <w:sz w:val="20"/>
          <w:szCs w:val="20"/>
        </w:rPr>
        <w:t>C), which might be attributed to bond cleavage of carbon double bond (C=C) and hydrocarbon (C-H) sides and further heating at 516</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showed a complete degradation of diol.  </w:t>
      </w:r>
    </w:p>
    <w:p w:rsidR="008D2AB9" w:rsidRDefault="008D2AB9" w:rsidP="008D2AB9">
      <w:pPr>
        <w:pStyle w:val="Caption"/>
        <w:ind w:left="0" w:firstLine="0"/>
        <w:jc w:val="both"/>
        <w:rPr>
          <w:noProof/>
          <w:lang w:val="en-US"/>
        </w:rPr>
      </w:pPr>
    </w:p>
    <w:p w:rsidR="003B363F" w:rsidRPr="008D2AB9" w:rsidRDefault="003B363F" w:rsidP="008D2AB9">
      <w:pPr>
        <w:pStyle w:val="Caption"/>
        <w:ind w:left="0" w:firstLine="0"/>
        <w:jc w:val="both"/>
        <w:rPr>
          <w:noProof/>
          <w:lang w:val="en-US"/>
        </w:rPr>
      </w:pPr>
    </w:p>
    <w:p w:rsidR="008D2AB9" w:rsidRPr="008D2AB9" w:rsidRDefault="008D2AB9" w:rsidP="003B363F">
      <w:pPr>
        <w:spacing w:after="0" w:line="240" w:lineRule="auto"/>
        <w:jc w:val="center"/>
        <w:rPr>
          <w:rFonts w:ascii="Times New Roman" w:hAnsi="Times New Roman"/>
          <w:sz w:val="20"/>
          <w:szCs w:val="20"/>
        </w:rPr>
      </w:pPr>
      <w:r w:rsidRPr="008D2AB9">
        <w:rPr>
          <w:rFonts w:ascii="Times New Roman" w:hAnsi="Times New Roman"/>
          <w:noProof/>
          <w:sz w:val="20"/>
          <w:szCs w:val="20"/>
          <w:lang w:bidi="ar-SA"/>
        </w:rPr>
        <w:drawing>
          <wp:inline distT="0" distB="0" distL="0" distR="0" wp14:anchorId="1E2C35B2" wp14:editId="2114B825">
            <wp:extent cx="4126326" cy="2069792"/>
            <wp:effectExtent l="19050" t="19050" r="26670" b="260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67397" cy="2090393"/>
                    </a:xfrm>
                    <a:prstGeom prst="rect">
                      <a:avLst/>
                    </a:prstGeom>
                    <a:noFill/>
                    <a:ln>
                      <a:solidFill>
                        <a:schemeClr val="tx1"/>
                      </a:solidFill>
                    </a:ln>
                  </pic:spPr>
                </pic:pic>
              </a:graphicData>
            </a:graphic>
          </wp:inline>
        </w:drawing>
      </w:r>
    </w:p>
    <w:p w:rsidR="008D2AB9" w:rsidRPr="008D2AB9" w:rsidRDefault="008D2AB9" w:rsidP="008D2AB9">
      <w:pPr>
        <w:pStyle w:val="Caption"/>
        <w:jc w:val="both"/>
      </w:pPr>
    </w:p>
    <w:p w:rsidR="008D2AB9" w:rsidRPr="008D2AB9" w:rsidRDefault="008D2AB9" w:rsidP="003B363F">
      <w:pPr>
        <w:pStyle w:val="Caption"/>
        <w:rPr>
          <w:noProof/>
          <w:lang w:val="en-US"/>
        </w:rPr>
      </w:pPr>
      <w:r w:rsidRPr="008D2AB9">
        <w:t>Figure 7</w:t>
      </w:r>
      <w:r w:rsidRPr="008D2AB9">
        <w:rPr>
          <w:noProof/>
          <w:lang w:val="en-US"/>
        </w:rPr>
        <w:t xml:space="preserve">. </w:t>
      </w:r>
      <w:r w:rsidR="003B363F">
        <w:rPr>
          <w:noProof/>
          <w:lang w:val="en-US"/>
        </w:rPr>
        <w:t xml:space="preserve"> </w:t>
      </w:r>
      <w:r w:rsidRPr="008D2AB9">
        <w:rPr>
          <w:noProof/>
          <w:lang w:val="en-US"/>
        </w:rPr>
        <w:t xml:space="preserve">TGA thermograms of </w:t>
      </w:r>
      <w:r w:rsidRPr="008D2AB9">
        <w:t>OA</w:t>
      </w:r>
      <w:r w:rsidRPr="008D2AB9">
        <w:rPr>
          <w:noProof/>
          <w:lang w:val="en-US"/>
        </w:rPr>
        <w:t xml:space="preserve"> and diol</w:t>
      </w:r>
    </w:p>
    <w:p w:rsidR="008D2AB9" w:rsidRDefault="008D2AB9" w:rsidP="008D2AB9">
      <w:pPr>
        <w:pStyle w:val="Caption"/>
        <w:jc w:val="both"/>
      </w:pPr>
    </w:p>
    <w:p w:rsidR="003B363F" w:rsidRPr="008D2AB9" w:rsidRDefault="003B363F" w:rsidP="008D2AB9">
      <w:pPr>
        <w:pStyle w:val="Caption"/>
        <w:jc w:val="both"/>
      </w:pPr>
    </w:p>
    <w:p w:rsidR="008D2AB9" w:rsidRPr="008D2AB9" w:rsidRDefault="008D2AB9" w:rsidP="003B363F">
      <w:pPr>
        <w:spacing w:after="0" w:line="240" w:lineRule="auto"/>
        <w:jc w:val="center"/>
        <w:rPr>
          <w:rFonts w:ascii="Times New Roman" w:hAnsi="Times New Roman"/>
          <w:sz w:val="20"/>
          <w:szCs w:val="20"/>
        </w:rPr>
      </w:pPr>
      <w:r w:rsidRPr="008D2AB9">
        <w:rPr>
          <w:rFonts w:ascii="Times New Roman" w:hAnsi="Times New Roman"/>
          <w:noProof/>
          <w:sz w:val="20"/>
          <w:szCs w:val="20"/>
          <w:lang w:bidi="ar-SA"/>
        </w:rPr>
        <w:drawing>
          <wp:inline distT="0" distB="0" distL="0" distR="0" wp14:anchorId="32E92C0C" wp14:editId="364BA293">
            <wp:extent cx="4080221" cy="2165985"/>
            <wp:effectExtent l="19050" t="19050" r="15875" b="2476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00765" cy="2176891"/>
                    </a:xfrm>
                    <a:prstGeom prst="rect">
                      <a:avLst/>
                    </a:prstGeom>
                    <a:noFill/>
                    <a:ln w="3175">
                      <a:solidFill>
                        <a:schemeClr val="tx1"/>
                      </a:solidFill>
                    </a:ln>
                  </pic:spPr>
                </pic:pic>
              </a:graphicData>
            </a:graphic>
          </wp:inline>
        </w:drawing>
      </w:r>
    </w:p>
    <w:p w:rsidR="008D2AB9" w:rsidRPr="008D2AB9" w:rsidRDefault="008D2AB9" w:rsidP="008D2AB9">
      <w:pPr>
        <w:pStyle w:val="Caption"/>
        <w:jc w:val="both"/>
      </w:pPr>
    </w:p>
    <w:p w:rsidR="008D2AB9" w:rsidRPr="008D2AB9" w:rsidRDefault="008D2AB9" w:rsidP="003B363F">
      <w:pPr>
        <w:pStyle w:val="Caption"/>
      </w:pPr>
      <w:r w:rsidRPr="008D2AB9">
        <w:t>Figure 8</w:t>
      </w:r>
      <w:r w:rsidRPr="008D2AB9">
        <w:rPr>
          <w:noProof/>
          <w:lang w:val="en-US"/>
        </w:rPr>
        <w:t xml:space="preserve">. </w:t>
      </w:r>
      <w:r w:rsidR="003B363F">
        <w:rPr>
          <w:noProof/>
          <w:lang w:val="en-US"/>
        </w:rPr>
        <w:t xml:space="preserve"> </w:t>
      </w:r>
      <w:r w:rsidRPr="008D2AB9">
        <w:rPr>
          <w:noProof/>
          <w:lang w:val="en-US"/>
        </w:rPr>
        <w:t xml:space="preserve">DTG thermograms of </w:t>
      </w:r>
      <w:r w:rsidRPr="008D2AB9">
        <w:t xml:space="preserve">OA </w:t>
      </w:r>
      <w:r w:rsidRPr="008D2AB9">
        <w:rPr>
          <w:noProof/>
          <w:lang w:val="en-US"/>
        </w:rPr>
        <w:t>and diol</w:t>
      </w:r>
    </w:p>
    <w:p w:rsidR="008D2AB9" w:rsidRDefault="008D2AB9" w:rsidP="008D2AB9">
      <w:pPr>
        <w:spacing w:after="0" w:line="240" w:lineRule="auto"/>
        <w:jc w:val="both"/>
        <w:rPr>
          <w:rFonts w:ascii="Times New Roman" w:hAnsi="Times New Roman"/>
          <w:noProof/>
          <w:sz w:val="20"/>
          <w:szCs w:val="20"/>
        </w:rPr>
      </w:pPr>
    </w:p>
    <w:p w:rsidR="003B363F" w:rsidRPr="008D2AB9" w:rsidRDefault="003B363F" w:rsidP="008D2AB9">
      <w:pPr>
        <w:spacing w:after="0" w:line="240" w:lineRule="auto"/>
        <w:jc w:val="both"/>
        <w:rPr>
          <w:rFonts w:ascii="Times New Roman" w:hAnsi="Times New Roman"/>
          <w:noProof/>
          <w:sz w:val="20"/>
          <w:szCs w:val="20"/>
        </w:rPr>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t>Figure 9 shows the DSC thermograms of the oleic acid and the diol. Two melting peaks of oleic acid were indicated at T</w:t>
      </w:r>
      <w:r w:rsidRPr="008D2AB9">
        <w:rPr>
          <w:rFonts w:ascii="Times New Roman" w:hAnsi="Times New Roman"/>
          <w:sz w:val="20"/>
          <w:szCs w:val="20"/>
          <w:vertAlign w:val="subscript"/>
        </w:rPr>
        <w:t>max</w:t>
      </w:r>
      <w:r w:rsidRPr="008D2AB9">
        <w:rPr>
          <w:rFonts w:ascii="Times New Roman" w:hAnsi="Times New Roman"/>
          <w:sz w:val="20"/>
          <w:szCs w:val="20"/>
        </w:rPr>
        <w:t xml:space="preserve"> -25</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(in the range of -31 to -13 </w:t>
      </w:r>
      <w:r w:rsidRPr="008D2AB9">
        <w:rPr>
          <w:rFonts w:ascii="Times New Roman" w:hAnsi="Times New Roman"/>
          <w:sz w:val="20"/>
          <w:szCs w:val="20"/>
          <w:vertAlign w:val="superscript"/>
        </w:rPr>
        <w:t>o</w:t>
      </w:r>
      <w:r w:rsidRPr="008D2AB9">
        <w:rPr>
          <w:rFonts w:ascii="Times New Roman" w:hAnsi="Times New Roman"/>
          <w:sz w:val="20"/>
          <w:szCs w:val="20"/>
        </w:rPr>
        <w:t xml:space="preserve">C) and 10 </w:t>
      </w:r>
      <w:r w:rsidRPr="008D2AB9">
        <w:rPr>
          <w:rFonts w:ascii="Times New Roman" w:hAnsi="Times New Roman"/>
          <w:sz w:val="20"/>
          <w:szCs w:val="20"/>
          <w:vertAlign w:val="superscript"/>
        </w:rPr>
        <w:t>o</w:t>
      </w:r>
      <w:r w:rsidRPr="008D2AB9">
        <w:rPr>
          <w:rFonts w:ascii="Times New Roman" w:hAnsi="Times New Roman"/>
          <w:sz w:val="20"/>
          <w:szCs w:val="20"/>
        </w:rPr>
        <w:t xml:space="preserve">C (in the range of 2 </w:t>
      </w:r>
      <w:r w:rsidRPr="008D2AB9">
        <w:rPr>
          <w:rFonts w:ascii="Times New Roman" w:hAnsi="Times New Roman"/>
          <w:sz w:val="20"/>
          <w:szCs w:val="20"/>
          <w:vertAlign w:val="superscript"/>
        </w:rPr>
        <w:t>o</w:t>
      </w:r>
      <w:r w:rsidRPr="008D2AB9">
        <w:rPr>
          <w:rFonts w:ascii="Times New Roman" w:hAnsi="Times New Roman"/>
          <w:sz w:val="20"/>
          <w:szCs w:val="20"/>
        </w:rPr>
        <w:t xml:space="preserve">C to 23 </w:t>
      </w:r>
      <w:r w:rsidRPr="008D2AB9">
        <w:rPr>
          <w:rFonts w:ascii="Times New Roman" w:hAnsi="Times New Roman"/>
          <w:sz w:val="20"/>
          <w:szCs w:val="20"/>
          <w:vertAlign w:val="superscript"/>
        </w:rPr>
        <w:t>o</w:t>
      </w:r>
      <w:r w:rsidRPr="008D2AB9">
        <w:rPr>
          <w:rFonts w:ascii="Times New Roman" w:hAnsi="Times New Roman"/>
          <w:sz w:val="20"/>
          <w:szCs w:val="20"/>
        </w:rPr>
        <w:t>C) and also two T</w:t>
      </w:r>
      <w:r w:rsidRPr="008D2AB9">
        <w:rPr>
          <w:rFonts w:ascii="Times New Roman" w:hAnsi="Times New Roman"/>
          <w:sz w:val="20"/>
          <w:szCs w:val="20"/>
          <w:vertAlign w:val="subscript"/>
        </w:rPr>
        <w:t>c</w:t>
      </w:r>
      <w:r w:rsidRPr="008D2AB9">
        <w:rPr>
          <w:rFonts w:ascii="Times New Roman" w:hAnsi="Times New Roman"/>
          <w:sz w:val="20"/>
          <w:szCs w:val="20"/>
        </w:rPr>
        <w:t xml:space="preserve"> peaks of oleic acid were occurred at T</w:t>
      </w:r>
      <w:r w:rsidRPr="008D2AB9">
        <w:rPr>
          <w:rFonts w:ascii="Times New Roman" w:hAnsi="Times New Roman"/>
          <w:sz w:val="20"/>
          <w:szCs w:val="20"/>
          <w:vertAlign w:val="subscript"/>
        </w:rPr>
        <w:t>max</w:t>
      </w:r>
      <w:r w:rsidRPr="008D2AB9">
        <w:rPr>
          <w:rFonts w:ascii="Times New Roman" w:hAnsi="Times New Roman"/>
          <w:sz w:val="20"/>
          <w:szCs w:val="20"/>
        </w:rPr>
        <w:t xml:space="preserve"> -27 </w:t>
      </w:r>
      <w:r w:rsidRPr="008D2AB9">
        <w:rPr>
          <w:rFonts w:ascii="Times New Roman" w:hAnsi="Times New Roman"/>
          <w:sz w:val="20"/>
          <w:szCs w:val="20"/>
          <w:vertAlign w:val="superscript"/>
        </w:rPr>
        <w:t>o</w:t>
      </w:r>
      <w:r w:rsidRPr="008D2AB9">
        <w:rPr>
          <w:rFonts w:ascii="Times New Roman" w:hAnsi="Times New Roman"/>
          <w:sz w:val="20"/>
          <w:szCs w:val="20"/>
        </w:rPr>
        <w:t xml:space="preserve">C (in the range of -31 to -22 </w:t>
      </w:r>
      <w:r w:rsidRPr="008D2AB9">
        <w:rPr>
          <w:rFonts w:ascii="Times New Roman" w:hAnsi="Times New Roman"/>
          <w:sz w:val="20"/>
          <w:szCs w:val="20"/>
          <w:vertAlign w:val="superscript"/>
        </w:rPr>
        <w:t>o</w:t>
      </w:r>
      <w:r w:rsidRPr="008D2AB9">
        <w:rPr>
          <w:rFonts w:ascii="Times New Roman" w:hAnsi="Times New Roman"/>
          <w:sz w:val="20"/>
          <w:szCs w:val="20"/>
        </w:rPr>
        <w:t xml:space="preserve">C) and -5 </w:t>
      </w:r>
      <w:r w:rsidRPr="008D2AB9">
        <w:rPr>
          <w:rFonts w:ascii="Times New Roman" w:hAnsi="Times New Roman"/>
          <w:sz w:val="20"/>
          <w:szCs w:val="20"/>
          <w:vertAlign w:val="superscript"/>
        </w:rPr>
        <w:t>o</w:t>
      </w:r>
      <w:r w:rsidRPr="008D2AB9">
        <w:rPr>
          <w:rFonts w:ascii="Times New Roman" w:hAnsi="Times New Roman"/>
          <w:sz w:val="20"/>
          <w:szCs w:val="20"/>
        </w:rPr>
        <w:t xml:space="preserve">C (in the range of -10 to -1 </w:t>
      </w:r>
      <w:r w:rsidRPr="008D2AB9">
        <w:rPr>
          <w:rFonts w:ascii="Times New Roman" w:hAnsi="Times New Roman"/>
          <w:sz w:val="20"/>
          <w:szCs w:val="20"/>
          <w:vertAlign w:val="superscript"/>
        </w:rPr>
        <w:t>o</w:t>
      </w:r>
      <w:r w:rsidRPr="008D2AB9">
        <w:rPr>
          <w:rFonts w:ascii="Times New Roman" w:hAnsi="Times New Roman"/>
          <w:sz w:val="20"/>
          <w:szCs w:val="20"/>
        </w:rPr>
        <w:t xml:space="preserve">C) (Figure 9). The oxidative of oleic acid was associated with the thermal decomposition (Figure 7 and Figure 8) which was started from 124 </w:t>
      </w:r>
      <w:r w:rsidRPr="008D2AB9">
        <w:rPr>
          <w:rFonts w:ascii="Times New Roman" w:hAnsi="Times New Roman"/>
          <w:sz w:val="20"/>
          <w:szCs w:val="20"/>
          <w:vertAlign w:val="superscript"/>
        </w:rPr>
        <w:t>o</w:t>
      </w:r>
      <w:r w:rsidRPr="008D2AB9">
        <w:rPr>
          <w:rFonts w:ascii="Times New Roman" w:hAnsi="Times New Roman"/>
          <w:sz w:val="20"/>
          <w:szCs w:val="20"/>
        </w:rPr>
        <w:t>C to T</w:t>
      </w:r>
      <w:r w:rsidRPr="008D2AB9">
        <w:rPr>
          <w:rFonts w:ascii="Times New Roman" w:hAnsi="Times New Roman"/>
          <w:sz w:val="20"/>
          <w:szCs w:val="20"/>
          <w:vertAlign w:val="subscript"/>
        </w:rPr>
        <w:t>max</w:t>
      </w:r>
      <w:r w:rsidRPr="008D2AB9">
        <w:rPr>
          <w:rFonts w:ascii="Times New Roman" w:hAnsi="Times New Roman"/>
          <w:sz w:val="20"/>
          <w:szCs w:val="20"/>
        </w:rPr>
        <w:t xml:space="preserve"> at 151 </w:t>
      </w:r>
      <w:r w:rsidRPr="008D2AB9">
        <w:rPr>
          <w:rFonts w:ascii="Times New Roman" w:hAnsi="Times New Roman"/>
          <w:sz w:val="20"/>
          <w:szCs w:val="20"/>
          <w:vertAlign w:val="superscript"/>
        </w:rPr>
        <w:t>o</w:t>
      </w:r>
      <w:r w:rsidRPr="008D2AB9">
        <w:rPr>
          <w:rFonts w:ascii="Times New Roman" w:hAnsi="Times New Roman"/>
          <w:sz w:val="20"/>
          <w:szCs w:val="20"/>
        </w:rPr>
        <w:t xml:space="preserve">C (in the range of 124 to 173 </w:t>
      </w:r>
      <w:r w:rsidRPr="008D2AB9">
        <w:rPr>
          <w:rFonts w:ascii="Times New Roman" w:hAnsi="Times New Roman"/>
          <w:sz w:val="20"/>
          <w:szCs w:val="20"/>
          <w:vertAlign w:val="superscript"/>
        </w:rPr>
        <w:t>o</w:t>
      </w:r>
      <w:r w:rsidRPr="008D2AB9">
        <w:rPr>
          <w:rFonts w:ascii="Times New Roman" w:hAnsi="Times New Roman"/>
          <w:sz w:val="20"/>
          <w:szCs w:val="20"/>
        </w:rPr>
        <w:t xml:space="preserve">C), as shown in Figure 9.  </w:t>
      </w:r>
    </w:p>
    <w:p w:rsidR="008D2AB9" w:rsidRPr="008D2AB9" w:rsidRDefault="008D2AB9" w:rsidP="008D2AB9">
      <w:pPr>
        <w:spacing w:after="0" w:line="240" w:lineRule="auto"/>
        <w:jc w:val="both"/>
        <w:rPr>
          <w:rFonts w:ascii="Times New Roman" w:hAnsi="Times New Roman"/>
          <w:sz w:val="20"/>
          <w:szCs w:val="20"/>
        </w:rPr>
      </w:pPr>
    </w:p>
    <w:p w:rsidR="008D2AB9" w:rsidRPr="008D2AB9" w:rsidRDefault="008D2AB9" w:rsidP="008D2AB9">
      <w:pPr>
        <w:spacing w:after="0" w:line="240" w:lineRule="auto"/>
        <w:jc w:val="both"/>
        <w:rPr>
          <w:rFonts w:ascii="Times New Roman" w:hAnsi="Times New Roman"/>
          <w:sz w:val="20"/>
          <w:szCs w:val="20"/>
        </w:rPr>
      </w:pPr>
      <w:r w:rsidRPr="008D2AB9">
        <w:rPr>
          <w:rFonts w:ascii="Times New Roman" w:hAnsi="Times New Roman"/>
          <w:sz w:val="20"/>
          <w:szCs w:val="20"/>
        </w:rPr>
        <w:lastRenderedPageBreak/>
        <w:t>Four peaks of the diol T</w:t>
      </w:r>
      <w:r w:rsidRPr="008D2AB9">
        <w:rPr>
          <w:rFonts w:ascii="Times New Roman" w:hAnsi="Times New Roman"/>
          <w:sz w:val="20"/>
          <w:szCs w:val="20"/>
          <w:vertAlign w:val="subscript"/>
        </w:rPr>
        <w:t>m</w:t>
      </w:r>
      <w:r w:rsidRPr="008D2AB9">
        <w:rPr>
          <w:rFonts w:ascii="Times New Roman" w:hAnsi="Times New Roman"/>
          <w:sz w:val="20"/>
          <w:szCs w:val="20"/>
        </w:rPr>
        <w:t xml:space="preserve"> occurred at T</w:t>
      </w:r>
      <w:r w:rsidRPr="008D2AB9">
        <w:rPr>
          <w:rFonts w:ascii="Times New Roman" w:hAnsi="Times New Roman"/>
          <w:sz w:val="20"/>
          <w:szCs w:val="20"/>
          <w:vertAlign w:val="subscript"/>
        </w:rPr>
        <w:t>max</w:t>
      </w:r>
      <w:r w:rsidRPr="008D2AB9">
        <w:rPr>
          <w:rFonts w:ascii="Times New Roman" w:hAnsi="Times New Roman"/>
          <w:sz w:val="20"/>
          <w:szCs w:val="20"/>
        </w:rPr>
        <w:t xml:space="preserve"> -40</w:t>
      </w:r>
      <w:r w:rsidRPr="008D2AB9">
        <w:rPr>
          <w:rFonts w:ascii="Times New Roman" w:hAnsi="Times New Roman"/>
          <w:sz w:val="20"/>
          <w:szCs w:val="20"/>
          <w:vertAlign w:val="superscript"/>
        </w:rPr>
        <w:t xml:space="preserve"> o</w:t>
      </w:r>
      <w:r w:rsidRPr="008D2AB9">
        <w:rPr>
          <w:rFonts w:ascii="Times New Roman" w:hAnsi="Times New Roman"/>
          <w:sz w:val="20"/>
          <w:szCs w:val="20"/>
        </w:rPr>
        <w:t>C, -27</w:t>
      </w:r>
      <w:r w:rsidRPr="008D2AB9">
        <w:rPr>
          <w:rFonts w:ascii="Times New Roman" w:hAnsi="Times New Roman"/>
          <w:sz w:val="20"/>
          <w:szCs w:val="20"/>
          <w:vertAlign w:val="superscript"/>
        </w:rPr>
        <w:t xml:space="preserve"> o</w:t>
      </w:r>
      <w:r w:rsidRPr="008D2AB9">
        <w:rPr>
          <w:rFonts w:ascii="Times New Roman" w:hAnsi="Times New Roman"/>
          <w:sz w:val="20"/>
          <w:szCs w:val="20"/>
        </w:rPr>
        <w:t>C, -4</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(in the range of -49 to 5 </w:t>
      </w:r>
      <w:r w:rsidRPr="008D2AB9">
        <w:rPr>
          <w:rFonts w:ascii="Times New Roman" w:hAnsi="Times New Roman"/>
          <w:sz w:val="20"/>
          <w:szCs w:val="20"/>
          <w:vertAlign w:val="superscript"/>
        </w:rPr>
        <w:t>o</w:t>
      </w:r>
      <w:r w:rsidRPr="008D2AB9">
        <w:rPr>
          <w:rFonts w:ascii="Times New Roman" w:hAnsi="Times New Roman"/>
          <w:sz w:val="20"/>
          <w:szCs w:val="20"/>
        </w:rPr>
        <w:t xml:space="preserve">C) and 133 </w:t>
      </w:r>
      <w:r w:rsidRPr="008D2AB9">
        <w:rPr>
          <w:rFonts w:ascii="Times New Roman" w:hAnsi="Times New Roman"/>
          <w:sz w:val="20"/>
          <w:szCs w:val="20"/>
          <w:vertAlign w:val="superscript"/>
        </w:rPr>
        <w:t>o</w:t>
      </w:r>
      <w:r w:rsidRPr="008D2AB9">
        <w:rPr>
          <w:rFonts w:ascii="Times New Roman" w:hAnsi="Times New Roman"/>
          <w:sz w:val="20"/>
          <w:szCs w:val="20"/>
        </w:rPr>
        <w:t xml:space="preserve">C (in the range of 112 to 142 </w:t>
      </w:r>
      <w:r w:rsidRPr="008D2AB9">
        <w:rPr>
          <w:rFonts w:ascii="Times New Roman" w:hAnsi="Times New Roman"/>
          <w:sz w:val="20"/>
          <w:szCs w:val="20"/>
          <w:vertAlign w:val="superscript"/>
        </w:rPr>
        <w:t>o</w:t>
      </w:r>
      <w:r w:rsidRPr="008D2AB9">
        <w:rPr>
          <w:rFonts w:ascii="Times New Roman" w:hAnsi="Times New Roman"/>
          <w:sz w:val="20"/>
          <w:szCs w:val="20"/>
        </w:rPr>
        <w:t>C), as shown in Figure 9.  The diol thermogram also showed one T</w:t>
      </w:r>
      <w:r w:rsidRPr="008D2AB9">
        <w:rPr>
          <w:rFonts w:ascii="Times New Roman" w:hAnsi="Times New Roman"/>
          <w:sz w:val="20"/>
          <w:szCs w:val="20"/>
          <w:vertAlign w:val="subscript"/>
        </w:rPr>
        <w:t>c</w:t>
      </w:r>
      <w:r w:rsidRPr="008D2AB9">
        <w:rPr>
          <w:rFonts w:ascii="Times New Roman" w:hAnsi="Times New Roman"/>
          <w:sz w:val="20"/>
          <w:szCs w:val="20"/>
        </w:rPr>
        <w:t xml:space="preserve"> peak occurred at T</w:t>
      </w:r>
      <w:r w:rsidRPr="008D2AB9">
        <w:rPr>
          <w:rFonts w:ascii="Times New Roman" w:hAnsi="Times New Roman"/>
          <w:sz w:val="20"/>
          <w:szCs w:val="20"/>
          <w:vertAlign w:val="subscript"/>
        </w:rPr>
        <w:t>max</w:t>
      </w:r>
      <w:r w:rsidRPr="008D2AB9">
        <w:rPr>
          <w:rFonts w:ascii="Times New Roman" w:hAnsi="Times New Roman"/>
          <w:sz w:val="20"/>
          <w:szCs w:val="20"/>
        </w:rPr>
        <w:t xml:space="preserve"> -21.81</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(in the range of -36 to -13 </w:t>
      </w:r>
      <w:r w:rsidRPr="008D2AB9">
        <w:rPr>
          <w:rFonts w:ascii="Times New Roman" w:hAnsi="Times New Roman"/>
          <w:sz w:val="20"/>
          <w:szCs w:val="20"/>
          <w:vertAlign w:val="superscript"/>
        </w:rPr>
        <w:t>o</w:t>
      </w:r>
      <w:r w:rsidRPr="008D2AB9">
        <w:rPr>
          <w:rFonts w:ascii="Times New Roman" w:hAnsi="Times New Roman"/>
          <w:sz w:val="20"/>
          <w:szCs w:val="20"/>
        </w:rPr>
        <w:t xml:space="preserve">C). </w:t>
      </w:r>
      <w:r w:rsidRPr="008D2AB9">
        <w:rPr>
          <w:rFonts w:ascii="Times New Roman" w:hAnsi="Times New Roman"/>
          <w:sz w:val="20"/>
          <w:szCs w:val="20"/>
          <w:shd w:val="clear" w:color="auto" w:fill="FFFFFF"/>
        </w:rPr>
        <w:t xml:space="preserve">The </w:t>
      </w:r>
      <w:r w:rsidRPr="008D2AB9">
        <w:rPr>
          <w:rFonts w:ascii="Times New Roman" w:hAnsi="Times New Roman"/>
          <w:color w:val="000000" w:themeColor="text1"/>
          <w:sz w:val="20"/>
          <w:szCs w:val="20"/>
        </w:rPr>
        <w:t>T</w:t>
      </w:r>
      <w:r w:rsidRPr="008D2AB9">
        <w:rPr>
          <w:rFonts w:ascii="Times New Roman" w:hAnsi="Times New Roman"/>
          <w:color w:val="000000" w:themeColor="text1"/>
          <w:sz w:val="20"/>
          <w:szCs w:val="20"/>
          <w:vertAlign w:val="subscript"/>
        </w:rPr>
        <w:t>g</w:t>
      </w:r>
      <w:r w:rsidRPr="008D2AB9">
        <w:rPr>
          <w:rFonts w:ascii="Times New Roman" w:hAnsi="Times New Roman"/>
          <w:sz w:val="20"/>
          <w:szCs w:val="20"/>
          <w:shd w:val="clear" w:color="auto" w:fill="FFFFFF"/>
        </w:rPr>
        <w:t xml:space="preserve"> oleic acid is detectable at 2.18 </w:t>
      </w:r>
      <w:r w:rsidRPr="008D2AB9">
        <w:rPr>
          <w:rFonts w:ascii="Times New Roman" w:hAnsi="Times New Roman"/>
          <w:sz w:val="20"/>
          <w:szCs w:val="20"/>
          <w:vertAlign w:val="superscript"/>
        </w:rPr>
        <w:t>o</w:t>
      </w:r>
      <w:r w:rsidRPr="008D2AB9">
        <w:rPr>
          <w:rFonts w:ascii="Times New Roman" w:hAnsi="Times New Roman"/>
          <w:sz w:val="20"/>
          <w:szCs w:val="20"/>
        </w:rPr>
        <w:t>C (in the range of -0.67</w:t>
      </w:r>
      <w:r w:rsidRPr="008D2AB9">
        <w:rPr>
          <w:rFonts w:ascii="Times New Roman" w:hAnsi="Times New Roman"/>
          <w:sz w:val="20"/>
          <w:szCs w:val="20"/>
          <w:vertAlign w:val="superscript"/>
        </w:rPr>
        <w:t xml:space="preserve"> o</w:t>
      </w:r>
      <w:r w:rsidRPr="008D2AB9">
        <w:rPr>
          <w:rFonts w:ascii="Times New Roman" w:hAnsi="Times New Roman"/>
          <w:sz w:val="20"/>
          <w:szCs w:val="20"/>
        </w:rPr>
        <w:t xml:space="preserve">C to 5.18 </w:t>
      </w:r>
      <w:r w:rsidRPr="008D2AB9">
        <w:rPr>
          <w:rFonts w:ascii="Times New Roman" w:hAnsi="Times New Roman"/>
          <w:sz w:val="20"/>
          <w:szCs w:val="20"/>
          <w:vertAlign w:val="superscript"/>
        </w:rPr>
        <w:t>o</w:t>
      </w:r>
      <w:r w:rsidRPr="008D2AB9">
        <w:rPr>
          <w:rFonts w:ascii="Times New Roman" w:hAnsi="Times New Roman"/>
          <w:sz w:val="20"/>
          <w:szCs w:val="20"/>
        </w:rPr>
        <w:t>C),</w:t>
      </w:r>
      <w:r w:rsidRPr="008D2AB9">
        <w:rPr>
          <w:rFonts w:ascii="Times New Roman" w:hAnsi="Times New Roman"/>
          <w:sz w:val="20"/>
          <w:szCs w:val="20"/>
          <w:shd w:val="clear" w:color="auto" w:fill="FFFFFF"/>
        </w:rPr>
        <w:t xml:space="preserve"> as shown in the DSC </w:t>
      </w:r>
      <w:r w:rsidRPr="008D2AB9">
        <w:rPr>
          <w:rFonts w:ascii="Times New Roman" w:hAnsi="Times New Roman"/>
          <w:noProof/>
          <w:sz w:val="20"/>
          <w:szCs w:val="20"/>
        </w:rPr>
        <w:t>thermogram</w:t>
      </w:r>
      <w:r w:rsidRPr="008D2AB9">
        <w:rPr>
          <w:rFonts w:ascii="Times New Roman" w:hAnsi="Times New Roman"/>
          <w:sz w:val="20"/>
          <w:szCs w:val="20"/>
          <w:shd w:val="clear" w:color="auto" w:fill="FFFFFF"/>
        </w:rPr>
        <w:t>.</w:t>
      </w:r>
      <w:r w:rsidRPr="008D2AB9">
        <w:rPr>
          <w:rFonts w:ascii="Times New Roman" w:hAnsi="Times New Roman"/>
          <w:sz w:val="20"/>
          <w:szCs w:val="20"/>
        </w:rPr>
        <w:t xml:space="preserve"> The T</w:t>
      </w:r>
      <w:r w:rsidRPr="008D2AB9">
        <w:rPr>
          <w:rFonts w:ascii="Times New Roman" w:hAnsi="Times New Roman"/>
          <w:sz w:val="20"/>
          <w:szCs w:val="20"/>
          <w:vertAlign w:val="subscript"/>
        </w:rPr>
        <w:t>g</w:t>
      </w:r>
      <w:r w:rsidRPr="008D2AB9">
        <w:rPr>
          <w:rFonts w:ascii="Times New Roman" w:hAnsi="Times New Roman"/>
          <w:sz w:val="20"/>
          <w:szCs w:val="20"/>
        </w:rPr>
        <w:t xml:space="preserve"> of the diol was observed at </w:t>
      </w:r>
      <w:r w:rsidRPr="008D2AB9">
        <w:rPr>
          <w:rFonts w:ascii="Times New Roman" w:hAnsi="Times New Roman"/>
          <w:color w:val="000000" w:themeColor="text1"/>
          <w:sz w:val="20"/>
          <w:szCs w:val="20"/>
        </w:rPr>
        <w:t>T</w:t>
      </w:r>
      <w:r w:rsidRPr="008D2AB9">
        <w:rPr>
          <w:rFonts w:ascii="Times New Roman" w:hAnsi="Times New Roman"/>
          <w:color w:val="000000" w:themeColor="text1"/>
          <w:sz w:val="20"/>
          <w:szCs w:val="20"/>
          <w:vertAlign w:val="subscript"/>
        </w:rPr>
        <w:t>max</w:t>
      </w:r>
      <w:r w:rsidRPr="008D2AB9">
        <w:rPr>
          <w:rFonts w:ascii="Times New Roman" w:hAnsi="Times New Roman"/>
          <w:color w:val="000000" w:themeColor="text1"/>
          <w:sz w:val="20"/>
          <w:szCs w:val="20"/>
        </w:rPr>
        <w:t xml:space="preserve"> -57 </w:t>
      </w:r>
      <w:r w:rsidRPr="008D2AB9">
        <w:rPr>
          <w:rFonts w:ascii="Times New Roman" w:hAnsi="Times New Roman"/>
          <w:color w:val="000000" w:themeColor="text1"/>
          <w:sz w:val="20"/>
          <w:szCs w:val="20"/>
          <w:vertAlign w:val="superscript"/>
        </w:rPr>
        <w:t>o</w:t>
      </w:r>
      <w:r w:rsidRPr="008D2AB9">
        <w:rPr>
          <w:rFonts w:ascii="Times New Roman" w:hAnsi="Times New Roman"/>
          <w:color w:val="000000" w:themeColor="text1"/>
          <w:sz w:val="20"/>
          <w:szCs w:val="20"/>
        </w:rPr>
        <w:t xml:space="preserve">C and -12.59 </w:t>
      </w:r>
      <w:r w:rsidRPr="008D2AB9">
        <w:rPr>
          <w:rFonts w:ascii="Times New Roman" w:hAnsi="Times New Roman"/>
          <w:color w:val="000000" w:themeColor="text1"/>
          <w:sz w:val="20"/>
          <w:szCs w:val="20"/>
          <w:vertAlign w:val="superscript"/>
        </w:rPr>
        <w:t>o</w:t>
      </w:r>
      <w:r w:rsidRPr="008D2AB9">
        <w:rPr>
          <w:rFonts w:ascii="Times New Roman" w:hAnsi="Times New Roman"/>
          <w:color w:val="000000" w:themeColor="text1"/>
          <w:sz w:val="20"/>
          <w:szCs w:val="20"/>
        </w:rPr>
        <w:t xml:space="preserve">C </w:t>
      </w:r>
      <w:r w:rsidRPr="008D2AB9">
        <w:rPr>
          <w:rFonts w:ascii="Times New Roman" w:hAnsi="Times New Roman"/>
          <w:sz w:val="20"/>
          <w:szCs w:val="20"/>
        </w:rPr>
        <w:t>(Figure 9), which showed that the diol contains soft and hard segment of molecules structure where the T</w:t>
      </w:r>
      <w:r w:rsidRPr="008D2AB9">
        <w:rPr>
          <w:rFonts w:ascii="Times New Roman" w:hAnsi="Times New Roman"/>
          <w:sz w:val="20"/>
          <w:szCs w:val="20"/>
          <w:vertAlign w:val="subscript"/>
        </w:rPr>
        <w:t>g</w:t>
      </w:r>
      <w:r w:rsidRPr="008D2AB9">
        <w:rPr>
          <w:rFonts w:ascii="Times New Roman" w:hAnsi="Times New Roman"/>
          <w:sz w:val="20"/>
          <w:szCs w:val="20"/>
        </w:rPr>
        <w:t xml:space="preserve"> peaks occurred in the range of T</w:t>
      </w:r>
      <w:r w:rsidRPr="008D2AB9">
        <w:rPr>
          <w:rFonts w:ascii="Times New Roman" w:hAnsi="Times New Roman"/>
          <w:sz w:val="20"/>
          <w:szCs w:val="20"/>
          <w:vertAlign w:val="subscript"/>
        </w:rPr>
        <w:t>m</w:t>
      </w:r>
      <w:r w:rsidRPr="008D2AB9">
        <w:rPr>
          <w:rFonts w:ascii="Times New Roman" w:hAnsi="Times New Roman"/>
          <w:sz w:val="20"/>
          <w:szCs w:val="20"/>
        </w:rPr>
        <w:t xml:space="preserve"> and T</w:t>
      </w:r>
      <w:r w:rsidRPr="008D2AB9">
        <w:rPr>
          <w:rFonts w:ascii="Times New Roman" w:hAnsi="Times New Roman"/>
          <w:sz w:val="20"/>
          <w:szCs w:val="20"/>
          <w:vertAlign w:val="subscript"/>
        </w:rPr>
        <w:t>c</w:t>
      </w:r>
      <w:r w:rsidRPr="008D2AB9">
        <w:rPr>
          <w:rFonts w:ascii="Times New Roman" w:hAnsi="Times New Roman"/>
          <w:sz w:val="20"/>
          <w:szCs w:val="20"/>
        </w:rPr>
        <w:t xml:space="preserve"> temperatures [16, 41]. Besides, the diol T</w:t>
      </w:r>
      <w:r w:rsidRPr="008D2AB9">
        <w:rPr>
          <w:rFonts w:ascii="Times New Roman" w:hAnsi="Times New Roman"/>
          <w:sz w:val="20"/>
          <w:szCs w:val="20"/>
          <w:vertAlign w:val="subscript"/>
        </w:rPr>
        <w:t xml:space="preserve">g </w:t>
      </w:r>
      <w:r w:rsidRPr="008D2AB9">
        <w:rPr>
          <w:rFonts w:ascii="Times New Roman" w:hAnsi="Times New Roman"/>
          <w:sz w:val="20"/>
          <w:szCs w:val="20"/>
        </w:rPr>
        <w:t>results is near to the range of the study reported by Mohd Mustafa et al. at -33.87 ºC, -18.29 ºC and -15.28 ºC [49]. The study reported the palm oleic acid based alkyd resins were prepared from oleic acid and glycerol with the presence of phthalic anhydride using the one step fatty acid process technique for two hours [49]. The similarity between these studies is the process systems are conducted in the absence of solvent.</w:t>
      </w:r>
    </w:p>
    <w:p w:rsidR="003B363F" w:rsidRPr="008D2AB9" w:rsidRDefault="003B363F" w:rsidP="00432C0C">
      <w:pPr>
        <w:spacing w:after="120" w:line="240" w:lineRule="auto"/>
        <w:jc w:val="both"/>
        <w:rPr>
          <w:rFonts w:ascii="Times New Roman" w:hAnsi="Times New Roman"/>
          <w:sz w:val="20"/>
          <w:szCs w:val="20"/>
        </w:rPr>
      </w:pPr>
    </w:p>
    <w:p w:rsidR="008D2AB9" w:rsidRPr="008D2AB9" w:rsidRDefault="008D2AB9" w:rsidP="003B363F">
      <w:pPr>
        <w:spacing w:after="0" w:line="240" w:lineRule="auto"/>
        <w:jc w:val="center"/>
        <w:rPr>
          <w:rFonts w:ascii="Times New Roman" w:hAnsi="Times New Roman"/>
          <w:sz w:val="20"/>
          <w:szCs w:val="20"/>
        </w:rPr>
      </w:pPr>
      <w:r w:rsidRPr="008D2AB9">
        <w:rPr>
          <w:rFonts w:ascii="Times New Roman" w:hAnsi="Times New Roman"/>
          <w:noProof/>
          <w:sz w:val="20"/>
          <w:szCs w:val="20"/>
          <w:lang w:bidi="ar-SA"/>
        </w:rPr>
        <w:drawing>
          <wp:inline distT="0" distB="0" distL="0" distR="0" wp14:anchorId="0EA8AF8E" wp14:editId="78639F5E">
            <wp:extent cx="4018750" cy="2462530"/>
            <wp:effectExtent l="19050" t="19050" r="20320" b="139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83788" cy="2502382"/>
                    </a:xfrm>
                    <a:prstGeom prst="rect">
                      <a:avLst/>
                    </a:prstGeom>
                    <a:noFill/>
                    <a:ln w="3175">
                      <a:solidFill>
                        <a:schemeClr val="tx1"/>
                      </a:solidFill>
                    </a:ln>
                  </pic:spPr>
                </pic:pic>
              </a:graphicData>
            </a:graphic>
          </wp:inline>
        </w:drawing>
      </w:r>
    </w:p>
    <w:p w:rsidR="008D2AB9" w:rsidRPr="008D2AB9" w:rsidRDefault="008D2AB9" w:rsidP="008D2AB9">
      <w:pPr>
        <w:pStyle w:val="Caption"/>
        <w:jc w:val="both"/>
      </w:pPr>
    </w:p>
    <w:p w:rsidR="008D2AB9" w:rsidRPr="008D2AB9" w:rsidRDefault="008D2AB9" w:rsidP="003B363F">
      <w:pPr>
        <w:pStyle w:val="Caption"/>
      </w:pPr>
      <w:r w:rsidRPr="008D2AB9">
        <w:t xml:space="preserve">Figure 9. </w:t>
      </w:r>
      <w:r w:rsidR="003B363F">
        <w:t xml:space="preserve"> </w:t>
      </w:r>
      <w:r w:rsidRPr="008D2AB9">
        <w:t>DSC thermograms of OA and diol</w:t>
      </w:r>
    </w:p>
    <w:p w:rsidR="008D2AB9" w:rsidRPr="008D2AB9" w:rsidRDefault="008D2AB9" w:rsidP="00432C0C">
      <w:pPr>
        <w:adjustRightInd w:val="0"/>
        <w:spacing w:after="120" w:line="240" w:lineRule="auto"/>
        <w:jc w:val="both"/>
        <w:rPr>
          <w:rFonts w:ascii="Times New Roman" w:hAnsi="Times New Roman"/>
          <w:noProof/>
          <w:sz w:val="20"/>
          <w:szCs w:val="20"/>
        </w:rPr>
      </w:pPr>
    </w:p>
    <w:p w:rsidR="008D2AB9" w:rsidRPr="008D2AB9" w:rsidRDefault="008D2AB9" w:rsidP="008D2AB9">
      <w:pPr>
        <w:adjustRightInd w:val="0"/>
        <w:spacing w:after="0" w:line="240" w:lineRule="auto"/>
        <w:jc w:val="both"/>
        <w:rPr>
          <w:rFonts w:ascii="Times New Roman" w:hAnsi="Times New Roman"/>
          <w:noProof/>
          <w:sz w:val="20"/>
          <w:szCs w:val="20"/>
        </w:rPr>
      </w:pPr>
      <w:r w:rsidRPr="008D2AB9">
        <w:rPr>
          <w:rFonts w:ascii="Times New Roman" w:hAnsi="Times New Roman"/>
          <w:sz w:val="20"/>
          <w:szCs w:val="20"/>
        </w:rPr>
        <w:t>The thermal properties of the precursors in comparison to their raw materials found in this study (measured from the TGA, DTG and DSC analyses) are consistent and in line with the chemical properties obtained from the FTIR spectral analysis in Figure 2 and 3, such as the appearance of the functional groups of epoxy (oxirane) in the EPOo and hydroxyl and ester in the diol. This thermal property provided the overview of the degradation mechanisms and thermal transition (T</w:t>
      </w:r>
      <w:r w:rsidRPr="008D2AB9">
        <w:rPr>
          <w:rFonts w:ascii="Times New Roman" w:hAnsi="Times New Roman"/>
          <w:sz w:val="20"/>
          <w:szCs w:val="20"/>
          <w:vertAlign w:val="subscript"/>
        </w:rPr>
        <w:t>g</w:t>
      </w:r>
      <w:r w:rsidRPr="008D2AB9">
        <w:rPr>
          <w:rFonts w:ascii="Times New Roman" w:hAnsi="Times New Roman"/>
          <w:sz w:val="20"/>
          <w:szCs w:val="20"/>
        </w:rPr>
        <w:t>, T</w:t>
      </w:r>
      <w:r w:rsidRPr="008D2AB9">
        <w:rPr>
          <w:rFonts w:ascii="Times New Roman" w:hAnsi="Times New Roman"/>
          <w:sz w:val="20"/>
          <w:szCs w:val="20"/>
          <w:vertAlign w:val="subscript"/>
        </w:rPr>
        <w:t>c</w:t>
      </w:r>
      <w:r w:rsidRPr="008D2AB9">
        <w:rPr>
          <w:rFonts w:ascii="Times New Roman" w:hAnsi="Times New Roman"/>
          <w:sz w:val="20"/>
          <w:szCs w:val="20"/>
        </w:rPr>
        <w:t xml:space="preserve"> and T</w:t>
      </w:r>
      <w:r w:rsidRPr="008D2AB9">
        <w:rPr>
          <w:rFonts w:ascii="Times New Roman" w:hAnsi="Times New Roman"/>
          <w:sz w:val="20"/>
          <w:szCs w:val="20"/>
          <w:vertAlign w:val="subscript"/>
        </w:rPr>
        <w:t>m</w:t>
      </w:r>
      <w:r w:rsidRPr="008D2AB9">
        <w:rPr>
          <w:rFonts w:ascii="Times New Roman" w:hAnsi="Times New Roman"/>
          <w:sz w:val="20"/>
          <w:szCs w:val="20"/>
        </w:rPr>
        <w:t>) of EPOo and diol. The thermal properties will be useful in elucidating the degradation and thermal behavior in designing and developing the future polymeric drug delivery vehicles.</w:t>
      </w:r>
    </w:p>
    <w:p w:rsidR="0034135D" w:rsidRDefault="0034135D"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4135D" w:rsidRPr="0034135D" w:rsidRDefault="0034135D" w:rsidP="0034135D">
      <w:pPr>
        <w:spacing w:after="0" w:line="240" w:lineRule="auto"/>
        <w:jc w:val="both"/>
        <w:rPr>
          <w:rFonts w:ascii="Times New Roman" w:hAnsi="Times New Roman"/>
          <w:bCs/>
          <w:iCs/>
          <w:sz w:val="20"/>
          <w:szCs w:val="20"/>
          <w:shd w:val="clear" w:color="auto" w:fill="FFFFFF"/>
        </w:rPr>
      </w:pPr>
      <w:r w:rsidRPr="0034135D">
        <w:rPr>
          <w:rFonts w:ascii="Times New Roman" w:hAnsi="Times New Roman"/>
          <w:sz w:val="20"/>
          <w:szCs w:val="20"/>
          <w:shd w:val="clear" w:color="auto" w:fill="FFFFFF"/>
        </w:rPr>
        <w:t xml:space="preserve">The synthesis of palm oil-based precursors namely EPOo and diol via in-situ epoxidation and esterification techniques using the respective POo and OA were successfully conducted. The procedures offer several advantages including cheap, cleaner reactions and high yields as confirmed by the proposed mechanism. The precursors exhibited promising physicochemical and thermal properties that could be used in </w:t>
      </w:r>
      <w:r w:rsidRPr="0034135D">
        <w:rPr>
          <w:rFonts w:ascii="Times New Roman" w:hAnsi="Times New Roman"/>
          <w:bCs/>
          <w:iCs/>
          <w:sz w:val="20"/>
          <w:szCs w:val="20"/>
          <w:shd w:val="clear" w:color="auto" w:fill="FFFFFF"/>
        </w:rPr>
        <w:t>designing new polymers such as acrylated palm oil (APOo) and polyol polyester for application in drug delivery system. These new precursors can be further investigated to be used in designing new concepts of biomaterial to create smart polymeric drug vehicle</w:t>
      </w:r>
      <w:r w:rsidRPr="0034135D" w:rsidDel="001C10AB">
        <w:rPr>
          <w:rFonts w:ascii="Times New Roman" w:hAnsi="Times New Roman"/>
          <w:bCs/>
          <w:iCs/>
          <w:sz w:val="20"/>
          <w:szCs w:val="20"/>
          <w:shd w:val="clear" w:color="auto" w:fill="FFFFFF"/>
        </w:rPr>
        <w:t xml:space="preserve"> </w:t>
      </w:r>
      <w:r w:rsidRPr="0034135D">
        <w:rPr>
          <w:rFonts w:ascii="Times New Roman" w:hAnsi="Times New Roman"/>
          <w:bCs/>
          <w:iCs/>
          <w:sz w:val="20"/>
          <w:szCs w:val="20"/>
          <w:shd w:val="clear" w:color="auto" w:fill="FFFFFF"/>
        </w:rPr>
        <w:t>due to their soft, flexible and thermal resistance properties as confirmed by the FTIR, TGA, DTG and DSC analyses.</w:t>
      </w:r>
    </w:p>
    <w:p w:rsidR="0034135D" w:rsidRPr="0034135D" w:rsidRDefault="0034135D" w:rsidP="0034135D">
      <w:pPr>
        <w:spacing w:after="0" w:line="240" w:lineRule="auto"/>
        <w:jc w:val="center"/>
        <w:rPr>
          <w:rFonts w:ascii="Times New Roman" w:hAnsi="Times New Roman"/>
          <w:bCs/>
          <w:iCs/>
          <w:sz w:val="20"/>
          <w:szCs w:val="20"/>
          <w:shd w:val="clear" w:color="auto" w:fill="FFFFFF"/>
        </w:rPr>
      </w:pPr>
    </w:p>
    <w:p w:rsidR="0034135D" w:rsidRPr="0034135D" w:rsidRDefault="0034135D" w:rsidP="0034135D">
      <w:pPr>
        <w:spacing w:after="0" w:line="240" w:lineRule="auto"/>
        <w:jc w:val="center"/>
        <w:outlineLvl w:val="0"/>
        <w:rPr>
          <w:rFonts w:ascii="Times New Roman" w:hAnsi="Times New Roman"/>
          <w:b/>
          <w:sz w:val="20"/>
          <w:szCs w:val="20"/>
        </w:rPr>
      </w:pPr>
      <w:r w:rsidRPr="0034135D">
        <w:rPr>
          <w:rFonts w:ascii="Times New Roman" w:hAnsi="Times New Roman"/>
          <w:b/>
          <w:sz w:val="20"/>
          <w:szCs w:val="20"/>
        </w:rPr>
        <w:t>Acknowledgement</w:t>
      </w:r>
    </w:p>
    <w:p w:rsidR="006768E9" w:rsidRPr="0034135D" w:rsidRDefault="0034135D" w:rsidP="0034135D">
      <w:pPr>
        <w:spacing w:after="0" w:line="240" w:lineRule="auto"/>
        <w:jc w:val="both"/>
        <w:rPr>
          <w:rFonts w:ascii="Times New Roman" w:hAnsi="Times New Roman"/>
          <w:noProof/>
          <w:sz w:val="20"/>
          <w:szCs w:val="20"/>
          <w:lang w:bidi="ar-SA"/>
        </w:rPr>
      </w:pPr>
      <w:r w:rsidRPr="0034135D">
        <w:rPr>
          <w:rFonts w:ascii="Times New Roman" w:hAnsi="Times New Roman"/>
          <w:sz w:val="20"/>
          <w:szCs w:val="20"/>
        </w:rPr>
        <w:t>The authors gratefully acknowledge Malaysia Nuclear Agency for materials and instruments support (</w:t>
      </w:r>
      <w:r w:rsidRPr="0034135D">
        <w:rPr>
          <w:rFonts w:ascii="Times New Roman" w:hAnsi="Times New Roman"/>
          <w:sz w:val="20"/>
          <w:szCs w:val="20"/>
          <w:shd w:val="clear" w:color="auto" w:fill="FFFFFF"/>
        </w:rPr>
        <w:t xml:space="preserve">NM-R&amp;D-15-01), the Division of Radiation Processing Technology, the Radiation Curing and Synthesis Group </w:t>
      </w:r>
      <w:r w:rsidRPr="0034135D">
        <w:rPr>
          <w:rFonts w:ascii="Times New Roman" w:hAnsi="Times New Roman"/>
          <w:sz w:val="20"/>
          <w:szCs w:val="20"/>
        </w:rPr>
        <w:t>and Universiti Kebangsaan Malaysia for providing the research grant of GUP/086/2016.</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4135D" w:rsidRPr="0034135D" w:rsidRDefault="0034135D" w:rsidP="0034135D">
      <w:pPr>
        <w:pStyle w:val="EndNoteBibliography"/>
        <w:numPr>
          <w:ilvl w:val="0"/>
          <w:numId w:val="2"/>
        </w:numPr>
        <w:ind w:left="360"/>
        <w:jc w:val="both"/>
      </w:pPr>
      <w:r w:rsidRPr="0034135D">
        <w:t xml:space="preserve">Liechty, W. B., Kryscio, D. R., Slaughter, B. V. and Peppas, N. A. (2010). Polymers for drug delivery systems. </w:t>
      </w:r>
      <w:r w:rsidRPr="0034135D">
        <w:rPr>
          <w:i/>
        </w:rPr>
        <w:t xml:space="preserve">Annual Review Chemical and Biomolecular Engineering, </w:t>
      </w:r>
      <w:r w:rsidRPr="0034135D">
        <w:t>1: 149 – 173.</w:t>
      </w:r>
    </w:p>
    <w:p w:rsidR="0034135D" w:rsidRPr="0034135D" w:rsidRDefault="0034135D" w:rsidP="0034135D">
      <w:pPr>
        <w:pStyle w:val="EndNoteBibliography"/>
        <w:numPr>
          <w:ilvl w:val="0"/>
          <w:numId w:val="2"/>
        </w:numPr>
        <w:ind w:left="360"/>
        <w:jc w:val="both"/>
      </w:pPr>
      <w:r w:rsidRPr="0034135D">
        <w:t xml:space="preserve">Vilara, G., Tulla-Puche, J. and Albericio, F. (2012). Polymers and drug delivery systems. </w:t>
      </w:r>
      <w:r w:rsidRPr="0034135D">
        <w:rPr>
          <w:i/>
        </w:rPr>
        <w:t xml:space="preserve">Current Drug Delivery, </w:t>
      </w:r>
      <w:r w:rsidRPr="0034135D">
        <w:t>9(4): 1 - 24.</w:t>
      </w:r>
    </w:p>
    <w:p w:rsidR="0034135D" w:rsidRPr="0034135D" w:rsidRDefault="0034135D" w:rsidP="0034135D">
      <w:pPr>
        <w:pStyle w:val="EndNoteBibliography"/>
        <w:numPr>
          <w:ilvl w:val="0"/>
          <w:numId w:val="2"/>
        </w:numPr>
        <w:ind w:left="360"/>
        <w:jc w:val="both"/>
      </w:pPr>
      <w:r w:rsidRPr="0034135D">
        <w:t xml:space="preserve">Saurabh, K. V., Rani, S., Rani, S. and Kesari, A. (2013). Drug targeting by erythrocytes: A carrier system. </w:t>
      </w:r>
      <w:r w:rsidRPr="0034135D">
        <w:rPr>
          <w:i/>
        </w:rPr>
        <w:t xml:space="preserve">Scholars Academic Journal of Pharmacy, </w:t>
      </w:r>
      <w:r w:rsidRPr="0034135D">
        <w:t xml:space="preserve">2(2): 144 – 156. </w:t>
      </w:r>
    </w:p>
    <w:p w:rsidR="0034135D" w:rsidRPr="0034135D" w:rsidRDefault="0034135D" w:rsidP="0034135D">
      <w:pPr>
        <w:pStyle w:val="EndNoteBibliography"/>
        <w:numPr>
          <w:ilvl w:val="0"/>
          <w:numId w:val="2"/>
        </w:numPr>
        <w:ind w:left="360"/>
        <w:jc w:val="both"/>
      </w:pPr>
      <w:r w:rsidRPr="0034135D">
        <w:t xml:space="preserve">Srikanth, K., Rama Mohan Gupta, V., Manvi, S. R. and Devanna, N. (2012). Particulate carrier systems – a review. </w:t>
      </w:r>
      <w:r w:rsidRPr="0034135D">
        <w:rPr>
          <w:i/>
        </w:rPr>
        <w:t xml:space="preserve">International Research Journal of Pharmacy, </w:t>
      </w:r>
      <w:r w:rsidRPr="0034135D">
        <w:t xml:space="preserve">3(11): 22 – 26. </w:t>
      </w:r>
    </w:p>
    <w:p w:rsidR="0034135D" w:rsidRPr="0034135D" w:rsidRDefault="0034135D" w:rsidP="0034135D">
      <w:pPr>
        <w:pStyle w:val="EndNoteBibliography"/>
        <w:numPr>
          <w:ilvl w:val="0"/>
          <w:numId w:val="2"/>
        </w:numPr>
        <w:ind w:left="360"/>
        <w:jc w:val="both"/>
      </w:pPr>
      <w:r w:rsidRPr="0034135D">
        <w:t xml:space="preserve">Takakura, Y. and Hashida, M. (1996). Macromolecular carrier systems for targeted drug delivery: Pharmacokinetic considerations on biodistribution. </w:t>
      </w:r>
      <w:r w:rsidRPr="0034135D">
        <w:rPr>
          <w:i/>
        </w:rPr>
        <w:t xml:space="preserve">Pharmaceutical Research, </w:t>
      </w:r>
      <w:r w:rsidRPr="0034135D">
        <w:t xml:space="preserve">13(6): 820 – 831. </w:t>
      </w:r>
    </w:p>
    <w:p w:rsidR="0034135D" w:rsidRPr="0034135D" w:rsidRDefault="0034135D" w:rsidP="0034135D">
      <w:pPr>
        <w:pStyle w:val="EndNoteBibliography"/>
        <w:numPr>
          <w:ilvl w:val="0"/>
          <w:numId w:val="2"/>
        </w:numPr>
        <w:ind w:left="360"/>
        <w:jc w:val="both"/>
      </w:pPr>
      <w:r w:rsidRPr="0034135D">
        <w:fldChar w:fldCharType="begin"/>
      </w:r>
      <w:r w:rsidRPr="0034135D">
        <w:instrText xml:space="preserve"> ADDIN EN.REFLIST </w:instrText>
      </w:r>
      <w:r w:rsidRPr="0034135D">
        <w:fldChar w:fldCharType="separate"/>
      </w:r>
      <w:r w:rsidRPr="0034135D">
        <w:t xml:space="preserve">Abdelwahab, S. I., Sheikh, B. Y., Elhassan Taha, M. M., Chee, W. H., Abdullah, R., Yagoub, U., El-Sunousi, R. and Eid, E. E. (2013). Thymoquinone-loaded nanostructured lipid carriers: preparation, gastroprotection, in vitro toxicity, and pharmacokinetic properties after extravascular administration. </w:t>
      </w:r>
      <w:r w:rsidRPr="0034135D">
        <w:rPr>
          <w:i/>
        </w:rPr>
        <w:t xml:space="preserve">International Journal of Nanomedicine, </w:t>
      </w:r>
      <w:r w:rsidRPr="0034135D">
        <w:t xml:space="preserve">8: 2163 – 2172. </w:t>
      </w:r>
    </w:p>
    <w:p w:rsidR="0034135D" w:rsidRPr="0034135D" w:rsidRDefault="0034135D" w:rsidP="0034135D">
      <w:pPr>
        <w:pStyle w:val="EndNoteBibliography"/>
        <w:numPr>
          <w:ilvl w:val="0"/>
          <w:numId w:val="2"/>
        </w:numPr>
        <w:ind w:left="360"/>
        <w:jc w:val="both"/>
      </w:pPr>
      <w:r w:rsidRPr="0034135D">
        <w:t xml:space="preserve">Baharu, M. N., Kadhum, A. A. H., Al-Amiery, A. A., and Mohamad, A. B. (2015). Synthesis and characterization of polyesters derived from glycerol, azelaic acid, and succinic acid. </w:t>
      </w:r>
      <w:r w:rsidRPr="0034135D">
        <w:rPr>
          <w:i/>
        </w:rPr>
        <w:t xml:space="preserve">Green Chemistry Letters and Reviews, </w:t>
      </w:r>
      <w:r w:rsidRPr="0034135D">
        <w:t>8(1): 31 - 38.</w:t>
      </w:r>
    </w:p>
    <w:p w:rsidR="0034135D" w:rsidRPr="0034135D" w:rsidRDefault="0034135D" w:rsidP="0034135D">
      <w:pPr>
        <w:pStyle w:val="EndNoteBibliography"/>
        <w:numPr>
          <w:ilvl w:val="0"/>
          <w:numId w:val="2"/>
        </w:numPr>
        <w:ind w:left="360"/>
        <w:jc w:val="both"/>
      </w:pPr>
      <w:r w:rsidRPr="0034135D">
        <w:t xml:space="preserve">Derawi, D., Abdullah, B. M., Huri, H. Z., Yusop, R. M., Salimon, J., Hairunisa, N. and Salih, N. (2014). Palm olein as renewable raw materials for industrial and pharmaceutical products applications: chemical characterization and physicochemical properties studies. </w:t>
      </w:r>
      <w:r w:rsidRPr="0034135D">
        <w:rPr>
          <w:i/>
        </w:rPr>
        <w:t xml:space="preserve">Advances in Materials Science and Engineering, </w:t>
      </w:r>
      <w:r w:rsidRPr="0034135D">
        <w:t>2014:1 - 5.</w:t>
      </w:r>
    </w:p>
    <w:p w:rsidR="0034135D" w:rsidRPr="0034135D" w:rsidRDefault="0034135D" w:rsidP="0034135D">
      <w:pPr>
        <w:pStyle w:val="EndNoteBibliography"/>
        <w:numPr>
          <w:ilvl w:val="0"/>
          <w:numId w:val="2"/>
        </w:numPr>
        <w:ind w:left="360"/>
        <w:jc w:val="both"/>
      </w:pPr>
      <w:r w:rsidRPr="0034135D">
        <w:t xml:space="preserve">Tajau, R., Mohd Dahlan, K. Z., Mahmood, M. H., Wan Yunus, W. M. Z., Ismail, M., Salleh, M. and Muhammad Faisal, S. (2012). Acrylated vegetable oil nanoparticle as a carrier and controlled release of the anticancer drug-thymoquinone. </w:t>
      </w:r>
      <w:r w:rsidRPr="0034135D">
        <w:rPr>
          <w:i/>
        </w:rPr>
        <w:t>International Conference on Enabling Science and Nanotechnology 2012</w:t>
      </w:r>
      <w:r w:rsidRPr="0034135D">
        <w:t xml:space="preserve"> (ESciNano 2012), Persada Johor International Convention Center, Johor Bahru, Malaysia.</w:t>
      </w:r>
    </w:p>
    <w:p w:rsidR="0034135D" w:rsidRPr="0034135D" w:rsidRDefault="0034135D" w:rsidP="0034135D">
      <w:pPr>
        <w:pStyle w:val="EndNoteBibliography"/>
        <w:numPr>
          <w:ilvl w:val="0"/>
          <w:numId w:val="2"/>
        </w:numPr>
        <w:ind w:left="360"/>
        <w:jc w:val="both"/>
      </w:pPr>
      <w:r w:rsidRPr="0034135D">
        <w:t xml:space="preserve">Tajau, R., Wan Yunus, W. M. Z., Mohd Dahlan, K. Z., Mahmood, M. H., Hashim, K., Ismail, M., Salleh, M. Z. and Che Ismail, R. (2013b). Radiation-induced formation of acrylated palm oil nanoparticle using pluronic f-127 microemulsion system. </w:t>
      </w:r>
      <w:r w:rsidRPr="0034135D">
        <w:rPr>
          <w:i/>
        </w:rPr>
        <w:t>Pertanika Journal of Science and Technology,</w:t>
      </w:r>
      <w:r w:rsidRPr="0034135D">
        <w:t xml:space="preserve"> 21 (21): 135 – 142.</w:t>
      </w:r>
    </w:p>
    <w:p w:rsidR="0034135D" w:rsidRPr="0034135D" w:rsidRDefault="0034135D" w:rsidP="0034135D">
      <w:pPr>
        <w:pStyle w:val="EndNoteBibliography"/>
        <w:numPr>
          <w:ilvl w:val="0"/>
          <w:numId w:val="2"/>
        </w:numPr>
        <w:ind w:left="360"/>
        <w:jc w:val="both"/>
      </w:pPr>
      <w:r w:rsidRPr="0034135D">
        <w:t xml:space="preserve">Zainol, S., Basri, M., Basri, H., Shamsuddin, A. F., Abdul-Gani, S. S., Abedi Karjiban, R. and Abdul-Malek, E. (2012). Formulation Optimization of a palm-based nanoemulsion system containing levodopa.  </w:t>
      </w:r>
      <w:r w:rsidRPr="0034135D">
        <w:rPr>
          <w:i/>
        </w:rPr>
        <w:t>International Journal of Molecular Sciences,</w:t>
      </w:r>
      <w:r w:rsidRPr="0034135D">
        <w:t xml:space="preserve"> 13: 13049 - 13064.</w:t>
      </w:r>
    </w:p>
    <w:p w:rsidR="0034135D" w:rsidRPr="0034135D" w:rsidRDefault="0034135D" w:rsidP="0034135D">
      <w:pPr>
        <w:pStyle w:val="EndNoteBibliography"/>
        <w:numPr>
          <w:ilvl w:val="0"/>
          <w:numId w:val="2"/>
        </w:numPr>
        <w:ind w:left="360"/>
        <w:jc w:val="both"/>
      </w:pPr>
      <w:r w:rsidRPr="0034135D">
        <w:t xml:space="preserve">Vroman, I. and Tighzert, L. (2009). Biodegradable polymers. </w:t>
      </w:r>
      <w:r w:rsidRPr="0034135D">
        <w:rPr>
          <w:i/>
        </w:rPr>
        <w:t xml:space="preserve">Materials, </w:t>
      </w:r>
      <w:r w:rsidRPr="0034135D">
        <w:t>2: 307 - 344.</w:t>
      </w:r>
    </w:p>
    <w:p w:rsidR="0034135D" w:rsidRPr="0034135D" w:rsidRDefault="0034135D" w:rsidP="0034135D">
      <w:pPr>
        <w:pStyle w:val="EndNoteBibliography"/>
        <w:numPr>
          <w:ilvl w:val="0"/>
          <w:numId w:val="2"/>
        </w:numPr>
        <w:ind w:left="360"/>
        <w:jc w:val="both"/>
      </w:pPr>
      <w:r w:rsidRPr="0034135D">
        <w:rPr>
          <w:rFonts w:eastAsiaTheme="minorHAnsi"/>
          <w:iCs/>
        </w:rPr>
        <w:t xml:space="preserve">Goud, V. V., Dinda, S., Patwardhan, A. V. and Pradhan, N. C. (2010).  </w:t>
      </w:r>
      <w:r w:rsidRPr="0034135D">
        <w:rPr>
          <w:rFonts w:eastAsiaTheme="minorHAnsi"/>
          <w:bCs/>
        </w:rPr>
        <w:t>Epoxidation of Jatropha (</w:t>
      </w:r>
      <w:r w:rsidRPr="0034135D">
        <w:rPr>
          <w:rFonts w:eastAsiaTheme="minorHAnsi"/>
          <w:bCs/>
          <w:iCs/>
        </w:rPr>
        <w:t>Jatropha curcas</w:t>
      </w:r>
      <w:r w:rsidRPr="0034135D">
        <w:rPr>
          <w:rFonts w:eastAsiaTheme="minorHAnsi"/>
          <w:bCs/>
        </w:rPr>
        <w:t>) oil by peroxyacids.</w:t>
      </w:r>
      <w:r w:rsidRPr="0034135D">
        <w:rPr>
          <w:rFonts w:eastAsiaTheme="minorHAnsi"/>
          <w:iCs/>
        </w:rPr>
        <w:t xml:space="preserve"> </w:t>
      </w:r>
      <w:r w:rsidRPr="0034135D">
        <w:rPr>
          <w:rFonts w:eastAsiaTheme="minorHAnsi"/>
          <w:i/>
          <w:iCs/>
        </w:rPr>
        <w:t>Asian-Pacific Journal of Chemical Engineering</w:t>
      </w:r>
      <w:r w:rsidRPr="0034135D">
        <w:rPr>
          <w:rFonts w:eastAsiaTheme="minorHAnsi"/>
        </w:rPr>
        <w:t xml:space="preserve">, </w:t>
      </w:r>
      <w:r w:rsidRPr="0034135D">
        <w:rPr>
          <w:rFonts w:eastAsiaTheme="minorHAnsi"/>
          <w:bCs/>
        </w:rPr>
        <w:t>5</w:t>
      </w:r>
      <w:r w:rsidRPr="0034135D">
        <w:rPr>
          <w:rFonts w:eastAsiaTheme="minorHAnsi"/>
        </w:rPr>
        <w:t>: 346 – 354.</w:t>
      </w:r>
    </w:p>
    <w:p w:rsidR="0034135D" w:rsidRPr="0034135D" w:rsidRDefault="0034135D" w:rsidP="0034135D">
      <w:pPr>
        <w:pStyle w:val="EndNoteBibliography"/>
        <w:numPr>
          <w:ilvl w:val="0"/>
          <w:numId w:val="2"/>
        </w:numPr>
        <w:ind w:left="360"/>
        <w:jc w:val="both"/>
      </w:pPr>
      <w:r w:rsidRPr="0034135D">
        <w:t xml:space="preserve">Derawi, D. and Salimon, J. (2010). Optimization on epoxidation of palm olein by using performic acid. </w:t>
      </w:r>
      <w:r w:rsidRPr="0034135D">
        <w:rPr>
          <w:i/>
        </w:rPr>
        <w:t>E-Journal of Chemistry</w:t>
      </w:r>
      <w:r w:rsidRPr="0034135D">
        <w:t xml:space="preserve">, 7(4): 1440 - 1448. </w:t>
      </w:r>
    </w:p>
    <w:p w:rsidR="0034135D" w:rsidRPr="0034135D" w:rsidRDefault="0034135D" w:rsidP="0034135D">
      <w:pPr>
        <w:pStyle w:val="EndNoteBibliography"/>
        <w:numPr>
          <w:ilvl w:val="0"/>
          <w:numId w:val="2"/>
        </w:numPr>
        <w:ind w:left="360"/>
        <w:jc w:val="both"/>
      </w:pPr>
      <w:r w:rsidRPr="0034135D">
        <w:t>Mahmood, M. H., Tajau, R., Salleh, M. Z. and Che Ismail, R. (2011). Malaysia Patent No. MY-142814-A: Method for manufacturing palm oil based hydroxyl containing products for use in making polyurethane materials.</w:t>
      </w:r>
    </w:p>
    <w:p w:rsidR="0034135D" w:rsidRPr="0034135D" w:rsidRDefault="0034135D" w:rsidP="0034135D">
      <w:pPr>
        <w:pStyle w:val="EndNoteBibliography"/>
        <w:numPr>
          <w:ilvl w:val="0"/>
          <w:numId w:val="2"/>
        </w:numPr>
        <w:ind w:left="360"/>
        <w:jc w:val="both"/>
      </w:pPr>
      <w:r w:rsidRPr="0034135D">
        <w:t xml:space="preserve">Rihayat, T. and Suryani. (2010). Synthesis and properties of biobased polyurethane/montmorillonite nanocomposites. </w:t>
      </w:r>
      <w:r w:rsidRPr="0034135D">
        <w:rPr>
          <w:i/>
        </w:rPr>
        <w:t xml:space="preserve">World Academy of Science, Engineering and Technology, </w:t>
      </w:r>
      <w:r w:rsidRPr="0034135D">
        <w:t xml:space="preserve">4(5): 714 - 718. </w:t>
      </w:r>
    </w:p>
    <w:p w:rsidR="0034135D" w:rsidRPr="0034135D" w:rsidRDefault="0034135D" w:rsidP="0034135D">
      <w:pPr>
        <w:pStyle w:val="EndNoteBibliography"/>
        <w:numPr>
          <w:ilvl w:val="0"/>
          <w:numId w:val="2"/>
        </w:numPr>
        <w:ind w:left="360"/>
        <w:jc w:val="both"/>
      </w:pPr>
      <w:r w:rsidRPr="0034135D">
        <w:t xml:space="preserve">Kolvari, E., Zolfigol, M. A. and Peiravi, M. (2012). Green synthesis of quinoxaline derivatives using pdodecylbenzensulfonic acid as a surfactant-type Bronsted acid catalyst in water. </w:t>
      </w:r>
      <w:r w:rsidRPr="0034135D">
        <w:rPr>
          <w:i/>
        </w:rPr>
        <w:t xml:space="preserve">Green Chemistry Letters and Reviews, </w:t>
      </w:r>
      <w:r w:rsidRPr="0034135D">
        <w:t>5(2): 155 - 159.</w:t>
      </w:r>
    </w:p>
    <w:p w:rsidR="0034135D" w:rsidRPr="0034135D" w:rsidRDefault="0034135D" w:rsidP="0034135D">
      <w:pPr>
        <w:pStyle w:val="EndNoteBibliography"/>
        <w:numPr>
          <w:ilvl w:val="0"/>
          <w:numId w:val="2"/>
        </w:numPr>
        <w:ind w:left="360"/>
        <w:jc w:val="both"/>
      </w:pPr>
      <w:r w:rsidRPr="0034135D">
        <w:t xml:space="preserve">Tajau, R., Mahmood, M. H., Salleh, M. Z., Che Ismail, R., Abang Othman, A. M., Abdul Rahman, F. and Mohd Dahlan, K. Z. (2008). Synthesis and characterization of a highly-functional polyol-polyurethane based palm oil for photo-curable resin. </w:t>
      </w:r>
      <w:r w:rsidRPr="0034135D">
        <w:rPr>
          <w:i/>
        </w:rPr>
        <w:t>The Nuclear Malaysia R&amp;D Seminar 2008</w:t>
      </w:r>
      <w:r w:rsidRPr="0034135D">
        <w:t>, Selangor, Malaysia.</w:t>
      </w:r>
    </w:p>
    <w:p w:rsidR="0034135D" w:rsidRPr="0034135D" w:rsidRDefault="0034135D" w:rsidP="0034135D">
      <w:pPr>
        <w:pStyle w:val="EndNoteBibliography"/>
        <w:numPr>
          <w:ilvl w:val="0"/>
          <w:numId w:val="2"/>
        </w:numPr>
        <w:ind w:left="360"/>
        <w:jc w:val="both"/>
      </w:pPr>
      <w:r w:rsidRPr="0034135D">
        <w:t xml:space="preserve">Tajau, R., Mahmood, M. H., Salleh, M. Z., Mohd Dahlan, K. Z., Che Ismail, R., Muhammad Faisal, S. and Sheikh Abdul Rahman, S. M. Z. (2013a). Production of uv-curable palm oil resins/oligomers using laboratory scale and pilot scale systems. </w:t>
      </w:r>
      <w:r w:rsidRPr="0034135D">
        <w:rPr>
          <w:i/>
        </w:rPr>
        <w:t>Sains Malaysiana</w:t>
      </w:r>
      <w:r w:rsidRPr="0034135D">
        <w:t>, 42(44): 459 - 467.</w:t>
      </w:r>
    </w:p>
    <w:p w:rsidR="0034135D" w:rsidRPr="0034135D" w:rsidRDefault="0034135D" w:rsidP="0034135D">
      <w:pPr>
        <w:pStyle w:val="EndNoteBibliography"/>
        <w:numPr>
          <w:ilvl w:val="0"/>
          <w:numId w:val="2"/>
        </w:numPr>
        <w:ind w:left="360"/>
        <w:jc w:val="both"/>
      </w:pPr>
      <w:r w:rsidRPr="0034135D">
        <w:lastRenderedPageBreak/>
        <w:t>Ahmad, S., Rafie, A. and Ismail, Z. (1987). PORIM Report PO (125a) 87: Epoxidized palm oil and palm stearin as plasticizer/stabilizer. Selangor, Malaysia: Palm Oil Research Institute of Malaysia (PORIM).</w:t>
      </w:r>
    </w:p>
    <w:p w:rsidR="0034135D" w:rsidRPr="0034135D" w:rsidRDefault="0034135D" w:rsidP="0034135D">
      <w:pPr>
        <w:pStyle w:val="EndNoteBibliography"/>
        <w:numPr>
          <w:ilvl w:val="0"/>
          <w:numId w:val="2"/>
        </w:numPr>
        <w:ind w:left="360"/>
        <w:jc w:val="both"/>
      </w:pPr>
      <w:r w:rsidRPr="0034135D">
        <w:t xml:space="preserve">Bolley, D. S., Gall, R. J., Goldsmith, W. F., Maerker, G., Pohle, W. D., Sobatzki, R. J., Walker, R.O. and Barlow, D. O. (1964). Report of the epoxidized oils subcommittee on oxirane oxygen. </w:t>
      </w:r>
      <w:r w:rsidRPr="0034135D">
        <w:rPr>
          <w:i/>
        </w:rPr>
        <w:t xml:space="preserve">Journal of the American Oil Chemists Society, </w:t>
      </w:r>
      <w:r w:rsidRPr="0034135D">
        <w:t xml:space="preserve">41(1): 86 - 87. </w:t>
      </w:r>
    </w:p>
    <w:p w:rsidR="0034135D" w:rsidRPr="0034135D" w:rsidRDefault="0034135D" w:rsidP="0034135D">
      <w:pPr>
        <w:pStyle w:val="EndNoteBibliography"/>
        <w:numPr>
          <w:ilvl w:val="0"/>
          <w:numId w:val="2"/>
        </w:numPr>
        <w:ind w:left="360"/>
        <w:jc w:val="both"/>
      </w:pPr>
      <w:r w:rsidRPr="0034135D">
        <w:t>ASTM. (2011). D974: Standard test method for acid and base number by color-indicator titration. West Conshohocken, Pennsylvania, Unites State of America: ASTM International.</w:t>
      </w:r>
    </w:p>
    <w:p w:rsidR="0034135D" w:rsidRPr="0034135D" w:rsidRDefault="0034135D" w:rsidP="0034135D">
      <w:pPr>
        <w:pStyle w:val="EndNoteBibliography"/>
        <w:numPr>
          <w:ilvl w:val="0"/>
          <w:numId w:val="2"/>
        </w:numPr>
        <w:ind w:left="360"/>
        <w:jc w:val="both"/>
      </w:pPr>
      <w:r w:rsidRPr="0034135D">
        <w:t>ASTM. (1979). D 1962-67: Test for saponification value of drying oils, fats and polymerized fatty acids. Annual Book of American Society for Testing and Material (ASTM) Standards</w:t>
      </w:r>
      <w:r w:rsidRPr="0034135D">
        <w:rPr>
          <w:i/>
        </w:rPr>
        <w:t xml:space="preserve">. </w:t>
      </w:r>
      <w:r w:rsidRPr="0034135D">
        <w:t>29: 259 - 261.</w:t>
      </w:r>
    </w:p>
    <w:p w:rsidR="0034135D" w:rsidRPr="0034135D" w:rsidRDefault="0034135D" w:rsidP="0034135D">
      <w:pPr>
        <w:pStyle w:val="EndNoteBibliography"/>
        <w:numPr>
          <w:ilvl w:val="0"/>
          <w:numId w:val="2"/>
        </w:numPr>
        <w:ind w:left="360"/>
        <w:jc w:val="both"/>
      </w:pPr>
      <w:r w:rsidRPr="0034135D">
        <w:t xml:space="preserve">AOCS. (1988). Cd 1-25: Iodine Value of Fats and Oils Wijs Method. The American Oil Chemists' Society (AOCS) Official Method. </w:t>
      </w:r>
    </w:p>
    <w:p w:rsidR="0034135D" w:rsidRPr="0034135D" w:rsidRDefault="0034135D" w:rsidP="0034135D">
      <w:pPr>
        <w:pStyle w:val="EndNoteBibliography"/>
        <w:numPr>
          <w:ilvl w:val="0"/>
          <w:numId w:val="2"/>
        </w:numPr>
        <w:ind w:left="360"/>
        <w:jc w:val="both"/>
      </w:pPr>
      <w:r w:rsidRPr="0034135D">
        <w:t xml:space="preserve">Beare-Rogers, J., Dieffenbacher, A., and Holm, J. V. (2001). International Union of Pure And Applied Chemistry (IUPAC) joint committee of International Union of Nutritional Sciences and Iupac Commission on Food: Lexicon of lipid nutrition. </w:t>
      </w:r>
      <w:r w:rsidRPr="0034135D">
        <w:rPr>
          <w:i/>
        </w:rPr>
        <w:t xml:space="preserve">Pure Applied Chemistry, </w:t>
      </w:r>
      <w:r w:rsidRPr="0034135D">
        <w:t xml:space="preserve">73(4): 685 - 744. </w:t>
      </w:r>
    </w:p>
    <w:p w:rsidR="0034135D" w:rsidRPr="0034135D" w:rsidRDefault="0034135D" w:rsidP="0034135D">
      <w:pPr>
        <w:pStyle w:val="EndNoteBibliography"/>
        <w:numPr>
          <w:ilvl w:val="0"/>
          <w:numId w:val="2"/>
        </w:numPr>
        <w:ind w:left="360"/>
        <w:jc w:val="both"/>
      </w:pPr>
      <w:r w:rsidRPr="0034135D">
        <w:t>Codex, F. C. (1972). Food Chemicals Codex Second Edition. United State of America: National Academic of Sciences, Washington.</w:t>
      </w:r>
    </w:p>
    <w:p w:rsidR="0034135D" w:rsidRPr="0034135D" w:rsidRDefault="0034135D" w:rsidP="0034135D">
      <w:pPr>
        <w:pStyle w:val="EndNoteBibliography"/>
        <w:numPr>
          <w:ilvl w:val="0"/>
          <w:numId w:val="2"/>
        </w:numPr>
        <w:ind w:left="360"/>
        <w:jc w:val="both"/>
      </w:pPr>
      <w:r w:rsidRPr="0034135D">
        <w:t xml:space="preserve">Lubrizol. (2015). Lubrizol test procedure. TP-TM-006C: Determination of saponification value: pp. 1 - 2. </w:t>
      </w:r>
    </w:p>
    <w:p w:rsidR="0034135D" w:rsidRPr="0034135D" w:rsidRDefault="0034135D" w:rsidP="0034135D">
      <w:pPr>
        <w:pStyle w:val="EndNoteBibliography"/>
        <w:numPr>
          <w:ilvl w:val="0"/>
          <w:numId w:val="2"/>
        </w:numPr>
        <w:ind w:left="360"/>
        <w:jc w:val="both"/>
      </w:pPr>
      <w:r w:rsidRPr="0034135D">
        <w:t>ASTM. (2000). D 4274 – 99: Standard test methods for testing polyurethane raw materials: Determination of hydroxyl numbers of polyols. Annual Book of ASTM Standards</w:t>
      </w:r>
      <w:r w:rsidRPr="0034135D">
        <w:rPr>
          <w:i/>
        </w:rPr>
        <w:t xml:space="preserve">. </w:t>
      </w:r>
    </w:p>
    <w:p w:rsidR="0034135D" w:rsidRPr="0034135D" w:rsidRDefault="0034135D" w:rsidP="0034135D">
      <w:pPr>
        <w:pStyle w:val="EndNoteBibliography"/>
        <w:numPr>
          <w:ilvl w:val="0"/>
          <w:numId w:val="2"/>
        </w:numPr>
        <w:ind w:left="360"/>
        <w:jc w:val="both"/>
      </w:pPr>
      <w:r w:rsidRPr="0034135D">
        <w:t>Ionescu, M. (2005). Chemistry and technology of polyols for polyurethanes. Rapra Technology Limited. Shropshire, United Kingdom.</w:t>
      </w:r>
    </w:p>
    <w:p w:rsidR="0034135D" w:rsidRPr="0034135D" w:rsidRDefault="0034135D" w:rsidP="0034135D">
      <w:pPr>
        <w:pStyle w:val="EndNoteBibliography"/>
        <w:numPr>
          <w:ilvl w:val="0"/>
          <w:numId w:val="2"/>
        </w:numPr>
        <w:ind w:left="360"/>
        <w:jc w:val="both"/>
      </w:pPr>
      <w:r w:rsidRPr="0034135D">
        <w:t>Brookfield. (2015). Operating instructions (Manual No. M/03-165-C0508W) for Brookfield Digital Viscometer Model DV-II. Brookfield Engineering Laboratories Inc. Stoughton, Massachusetts, U.S.A.</w:t>
      </w:r>
    </w:p>
    <w:p w:rsidR="0034135D" w:rsidRPr="0034135D" w:rsidRDefault="0034135D" w:rsidP="0034135D">
      <w:pPr>
        <w:pStyle w:val="EndNoteBibliography"/>
        <w:numPr>
          <w:ilvl w:val="0"/>
          <w:numId w:val="2"/>
        </w:numPr>
        <w:ind w:left="360"/>
        <w:jc w:val="both"/>
      </w:pPr>
      <w:r w:rsidRPr="0034135D">
        <w:t xml:space="preserve">Xu, H., Miao, X. and Wu, Q. (2006). High quality biodiesel production from a microalga Chlorella protothecoides by heterotropic growth in fermenters. </w:t>
      </w:r>
      <w:r w:rsidRPr="0034135D">
        <w:rPr>
          <w:i/>
        </w:rPr>
        <w:t xml:space="preserve">Journal of Biotechnology, </w:t>
      </w:r>
      <w:r w:rsidRPr="0034135D">
        <w:t xml:space="preserve">126: 499 - 507. </w:t>
      </w:r>
    </w:p>
    <w:p w:rsidR="0034135D" w:rsidRPr="0034135D" w:rsidRDefault="0034135D" w:rsidP="0034135D">
      <w:pPr>
        <w:pStyle w:val="EndNoteBibliography"/>
        <w:numPr>
          <w:ilvl w:val="0"/>
          <w:numId w:val="2"/>
        </w:numPr>
        <w:ind w:left="360"/>
        <w:jc w:val="both"/>
      </w:pPr>
      <w:r w:rsidRPr="0034135D">
        <w:t xml:space="preserve">Ramli, M. R., Siew, W. L. and Cheah, K. Y. (2009). Production of high oleic palm oils on a pilot scale. </w:t>
      </w:r>
      <w:r w:rsidRPr="0034135D">
        <w:rPr>
          <w:i/>
        </w:rPr>
        <w:t xml:space="preserve">Journal of the American Oil Chemists' Society, </w:t>
      </w:r>
      <w:r w:rsidRPr="0034135D">
        <w:t xml:space="preserve">86(8): 587 - 594. </w:t>
      </w:r>
    </w:p>
    <w:p w:rsidR="0034135D" w:rsidRPr="0034135D" w:rsidRDefault="0034135D" w:rsidP="0034135D">
      <w:pPr>
        <w:pStyle w:val="EndNoteBibliography"/>
        <w:numPr>
          <w:ilvl w:val="0"/>
          <w:numId w:val="2"/>
        </w:numPr>
        <w:ind w:left="360"/>
        <w:jc w:val="both"/>
      </w:pPr>
      <w:r w:rsidRPr="0034135D">
        <w:t xml:space="preserve">Ramli, M. R., Siew, W. L. and Cheah, K. Y. (2008). Properties of high-oleic palm oils derived by fractional crystallization. </w:t>
      </w:r>
      <w:r w:rsidRPr="0034135D">
        <w:rPr>
          <w:i/>
        </w:rPr>
        <w:t xml:space="preserve">Journal of Food Science, </w:t>
      </w:r>
      <w:r w:rsidRPr="0034135D">
        <w:t>73(3): 140 - 145.</w:t>
      </w:r>
    </w:p>
    <w:p w:rsidR="0034135D" w:rsidRPr="0034135D" w:rsidRDefault="0034135D" w:rsidP="0034135D">
      <w:pPr>
        <w:pStyle w:val="EndNoteBibliography"/>
        <w:numPr>
          <w:ilvl w:val="0"/>
          <w:numId w:val="2"/>
        </w:numPr>
        <w:ind w:left="360"/>
        <w:jc w:val="both"/>
      </w:pPr>
      <w:r w:rsidRPr="0034135D">
        <w:t xml:space="preserve">Giita Silverajah, V. S., Ibrahim, N. A., Zainuddin, N., Wan Yunus, W. M. Z., and Abu Hassan, H. (2012). Mechanical, thermal and morphological properties of poly(lactic acid)/epoxidized palm olein blend. </w:t>
      </w:r>
      <w:r w:rsidRPr="0034135D">
        <w:rPr>
          <w:i/>
        </w:rPr>
        <w:t xml:space="preserve">Molecules, </w:t>
      </w:r>
      <w:r w:rsidRPr="0034135D">
        <w:t>17: 11729 - 11747.</w:t>
      </w:r>
    </w:p>
    <w:p w:rsidR="0034135D" w:rsidRPr="0034135D" w:rsidRDefault="0034135D" w:rsidP="0034135D">
      <w:pPr>
        <w:pStyle w:val="EndNoteBibliography"/>
        <w:numPr>
          <w:ilvl w:val="0"/>
          <w:numId w:val="2"/>
        </w:numPr>
        <w:ind w:left="360"/>
        <w:jc w:val="both"/>
      </w:pPr>
      <w:r w:rsidRPr="0034135D">
        <w:t xml:space="preserve">Derawi, D. and Salimon, J. (2013). Palm olein polyols production by batch and continuous hydrolysis. </w:t>
      </w:r>
      <w:r w:rsidRPr="0034135D">
        <w:rPr>
          <w:i/>
        </w:rPr>
        <w:t>Sains Malaysiana</w:t>
      </w:r>
      <w:r w:rsidRPr="0034135D">
        <w:t xml:space="preserve">, 42(8): 1121 – 1129. </w:t>
      </w:r>
    </w:p>
    <w:p w:rsidR="0034135D" w:rsidRPr="0034135D" w:rsidRDefault="0034135D" w:rsidP="0034135D">
      <w:pPr>
        <w:pStyle w:val="EndNoteBibliography"/>
        <w:numPr>
          <w:ilvl w:val="0"/>
          <w:numId w:val="2"/>
        </w:numPr>
        <w:ind w:left="360"/>
        <w:jc w:val="both"/>
      </w:pPr>
      <w:r w:rsidRPr="0034135D">
        <w:t xml:space="preserve">Saurabh, T., Patnaik, M., Bhagt, S. L. and Renge, V. C. (2011). Epoxidation of vegetable oils: A review. </w:t>
      </w:r>
      <w:r w:rsidRPr="0034135D">
        <w:rPr>
          <w:i/>
        </w:rPr>
        <w:t xml:space="preserve">International Journal of Advanced Engineering Technology, </w:t>
      </w:r>
      <w:r w:rsidRPr="0034135D">
        <w:t xml:space="preserve">2(4): 491 - 501. </w:t>
      </w:r>
    </w:p>
    <w:p w:rsidR="0034135D" w:rsidRPr="0034135D" w:rsidRDefault="0034135D" w:rsidP="0034135D">
      <w:pPr>
        <w:pStyle w:val="EndNoteBibliography"/>
        <w:numPr>
          <w:ilvl w:val="0"/>
          <w:numId w:val="2"/>
        </w:numPr>
        <w:ind w:left="360"/>
        <w:jc w:val="both"/>
      </w:pPr>
      <w:r w:rsidRPr="0034135D">
        <w:t xml:space="preserve">Saurabh, T., Patnaik, M., Bhagat, S. L. and Renge, V. C. (2012). Studies on synthesis of biobased epoxide using cottonseed oil. </w:t>
      </w:r>
      <w:r w:rsidRPr="0034135D">
        <w:rPr>
          <w:i/>
        </w:rPr>
        <w:t xml:space="preserve">International Journal of Advanced Engineering Research and Studies, </w:t>
      </w:r>
      <w:r w:rsidRPr="0034135D">
        <w:t>1(2): 279 - 284.</w:t>
      </w:r>
    </w:p>
    <w:p w:rsidR="0034135D" w:rsidRPr="0034135D" w:rsidRDefault="0034135D" w:rsidP="0034135D">
      <w:pPr>
        <w:pStyle w:val="EndNoteBibliography"/>
        <w:numPr>
          <w:ilvl w:val="0"/>
          <w:numId w:val="2"/>
        </w:numPr>
        <w:ind w:left="360"/>
        <w:jc w:val="both"/>
      </w:pPr>
      <w:r w:rsidRPr="0034135D">
        <w:t xml:space="preserve">Bartlett, P. D. (1950). Recent work on the mechanisms of peroxide reactions. </w:t>
      </w:r>
      <w:r w:rsidRPr="0034135D">
        <w:rPr>
          <w:i/>
        </w:rPr>
        <w:t>Record of Chemical Progress</w:t>
      </w:r>
      <w:r w:rsidRPr="0034135D">
        <w:t>, 11: 47 – 51.</w:t>
      </w:r>
    </w:p>
    <w:p w:rsidR="0034135D" w:rsidRPr="0034135D" w:rsidRDefault="0034135D" w:rsidP="0034135D">
      <w:pPr>
        <w:pStyle w:val="EndNoteBibliography"/>
        <w:numPr>
          <w:ilvl w:val="0"/>
          <w:numId w:val="2"/>
        </w:numPr>
        <w:ind w:left="360"/>
        <w:jc w:val="both"/>
      </w:pPr>
      <w:r w:rsidRPr="0034135D">
        <w:t>Scrimgeour, C. (2005). Chemistry of fatty acids. 6</w:t>
      </w:r>
      <w:r w:rsidRPr="0034135D">
        <w:rPr>
          <w:vertAlign w:val="superscript"/>
        </w:rPr>
        <w:t>th</w:t>
      </w:r>
      <w:r w:rsidRPr="0034135D">
        <w:t xml:space="preserve"> Edition. John Wiley &amp; Sons. Inc., Publishers, Scotlands.</w:t>
      </w:r>
    </w:p>
    <w:p w:rsidR="0034135D" w:rsidRPr="0034135D" w:rsidRDefault="0034135D" w:rsidP="0034135D">
      <w:pPr>
        <w:pStyle w:val="EndNoteBibliography"/>
        <w:numPr>
          <w:ilvl w:val="0"/>
          <w:numId w:val="2"/>
        </w:numPr>
        <w:ind w:left="360"/>
        <w:jc w:val="both"/>
      </w:pPr>
      <w:r w:rsidRPr="0034135D">
        <w:t xml:space="preserve">Salimon, J., Abdullah, B., M., Yusop, R. M. and Salih, N. (2014). Synthesis, reactivity and application studies for different biolubricants. </w:t>
      </w:r>
      <w:r w:rsidRPr="0034135D">
        <w:rPr>
          <w:i/>
        </w:rPr>
        <w:t xml:space="preserve">Chemistry Central Journal, </w:t>
      </w:r>
      <w:r w:rsidRPr="0034135D">
        <w:t>8(1): 1 -11.</w:t>
      </w:r>
    </w:p>
    <w:p w:rsidR="0034135D" w:rsidRPr="0034135D" w:rsidRDefault="0034135D" w:rsidP="0034135D">
      <w:pPr>
        <w:pStyle w:val="EndNoteBibliography"/>
        <w:numPr>
          <w:ilvl w:val="0"/>
          <w:numId w:val="2"/>
        </w:numPr>
        <w:ind w:left="360"/>
        <w:jc w:val="both"/>
      </w:pPr>
      <w:r w:rsidRPr="0034135D">
        <w:rPr>
          <w:lang w:val="fr-FR"/>
        </w:rPr>
        <w:t xml:space="preserve">Lligadas, G., Ronda, J. C. and Cádiz, M. G. V. (2010). </w:t>
      </w:r>
      <w:r w:rsidRPr="0034135D">
        <w:t xml:space="preserve">Oleic and undecylenic acids as renewable feedstocks in the synthesis of polyols and polyurethanes. </w:t>
      </w:r>
      <w:r w:rsidRPr="0034135D">
        <w:rPr>
          <w:i/>
        </w:rPr>
        <w:t xml:space="preserve">Polymers, </w:t>
      </w:r>
      <w:r w:rsidRPr="0034135D">
        <w:t xml:space="preserve">2: 440 - 453. </w:t>
      </w:r>
    </w:p>
    <w:p w:rsidR="0034135D" w:rsidRPr="0034135D" w:rsidRDefault="0034135D" w:rsidP="0034135D">
      <w:pPr>
        <w:pStyle w:val="EndNoteBibliography"/>
        <w:numPr>
          <w:ilvl w:val="0"/>
          <w:numId w:val="2"/>
        </w:numPr>
        <w:ind w:left="360"/>
        <w:jc w:val="both"/>
      </w:pPr>
      <w:r w:rsidRPr="0034135D">
        <w:t xml:space="preserve">Czub, P. and Franek, I. (2013). Epoxy resins modified with palm oil derivatives - preparation and properties. </w:t>
      </w:r>
      <w:r w:rsidRPr="0034135D">
        <w:rPr>
          <w:i/>
        </w:rPr>
        <w:t xml:space="preserve">Polimery, </w:t>
      </w:r>
      <w:r w:rsidRPr="0034135D">
        <w:t>58(2):  135 - 139.</w:t>
      </w:r>
    </w:p>
    <w:p w:rsidR="0034135D" w:rsidRPr="0034135D" w:rsidRDefault="0034135D" w:rsidP="0034135D">
      <w:pPr>
        <w:pStyle w:val="EndNoteBibliography"/>
        <w:numPr>
          <w:ilvl w:val="0"/>
          <w:numId w:val="2"/>
        </w:numPr>
        <w:ind w:left="360"/>
        <w:jc w:val="both"/>
      </w:pPr>
      <w:r w:rsidRPr="0034135D">
        <w:t xml:space="preserve">Tee, Y. B., Talib, R. A., Abdan, K., Chin, N. L., Basha, R. K. and Md Yunos, K. F. (2016). Comparative study of chemical, mechanical, thermal and barrier properties of poly(lactic acid) plasticized with epoxidized soybean oil and epoxidized palm oil. </w:t>
      </w:r>
      <w:r w:rsidRPr="0034135D">
        <w:rPr>
          <w:i/>
        </w:rPr>
        <w:t xml:space="preserve">BioResource, </w:t>
      </w:r>
      <w:r w:rsidRPr="0034135D">
        <w:t xml:space="preserve">11(1): 1518 - 1540.  </w:t>
      </w:r>
    </w:p>
    <w:p w:rsidR="0034135D" w:rsidRPr="0034135D" w:rsidRDefault="0034135D" w:rsidP="0034135D">
      <w:pPr>
        <w:pStyle w:val="EndNoteBibliography"/>
        <w:numPr>
          <w:ilvl w:val="0"/>
          <w:numId w:val="2"/>
        </w:numPr>
        <w:ind w:left="360"/>
        <w:jc w:val="both"/>
      </w:pPr>
      <w:r w:rsidRPr="0034135D">
        <w:t xml:space="preserve">Giita Silverajah, V. S., Ibrahim, N. A., Wan Yunus, W. M. Z., Abu Hassan, H. and Chieng, B. W. (2012). A comparative study on the mechanical, thermal and morphological characterization of poly(lactic acid)/epoxidized palm oil blend. </w:t>
      </w:r>
      <w:r w:rsidRPr="0034135D">
        <w:rPr>
          <w:i/>
        </w:rPr>
        <w:t xml:space="preserve">International Journal of Molecular Sciences, </w:t>
      </w:r>
      <w:r w:rsidRPr="0034135D">
        <w:t xml:space="preserve">13:  5878 -5898. </w:t>
      </w:r>
      <w:bookmarkStart w:id="1" w:name="_ENREF_2"/>
    </w:p>
    <w:p w:rsidR="0034135D" w:rsidRPr="0034135D" w:rsidRDefault="0034135D" w:rsidP="0034135D">
      <w:pPr>
        <w:pStyle w:val="EndNoteBibliography"/>
        <w:numPr>
          <w:ilvl w:val="0"/>
          <w:numId w:val="2"/>
        </w:numPr>
        <w:ind w:left="360"/>
        <w:jc w:val="both"/>
      </w:pPr>
      <w:r w:rsidRPr="0034135D">
        <w:lastRenderedPageBreak/>
        <w:t xml:space="preserve">Abdulkarim, S. M., and Ghazali, H. M. (2007). Comparison of melting behaviors of edible oils using conventional and hyper differential scanning calorimetric scan rates. </w:t>
      </w:r>
      <w:r w:rsidRPr="0034135D">
        <w:rPr>
          <w:i/>
        </w:rPr>
        <w:t xml:space="preserve">ASEAN Food Journal, </w:t>
      </w:r>
      <w:r w:rsidRPr="0034135D">
        <w:t xml:space="preserve">14(1): 25 -35. </w:t>
      </w:r>
      <w:bookmarkEnd w:id="1"/>
    </w:p>
    <w:p w:rsidR="0034135D" w:rsidRPr="0034135D" w:rsidRDefault="0034135D" w:rsidP="0034135D">
      <w:pPr>
        <w:pStyle w:val="EndNoteBibliography"/>
        <w:numPr>
          <w:ilvl w:val="0"/>
          <w:numId w:val="2"/>
        </w:numPr>
        <w:ind w:left="360"/>
        <w:jc w:val="both"/>
      </w:pPr>
      <w:r w:rsidRPr="0034135D">
        <w:rPr>
          <w:lang w:val="fr-FR"/>
        </w:rPr>
        <w:t xml:space="preserve">Zhang, X., Li, L., Xie, H., Liang, Z., Su, J., Liu, G. and Li, B. (2013). </w:t>
      </w:r>
      <w:r w:rsidRPr="0034135D">
        <w:t xml:space="preserve">Comparative analysis of thermal behavior, isothermal crystallization kinetics and polymorphism of palm oil fractions. </w:t>
      </w:r>
      <w:r w:rsidRPr="0034135D">
        <w:rPr>
          <w:i/>
        </w:rPr>
        <w:t xml:space="preserve">Molecules,  </w:t>
      </w:r>
      <w:r w:rsidRPr="0034135D">
        <w:t>18: 1036 - 1052.</w:t>
      </w:r>
    </w:p>
    <w:p w:rsidR="0034135D" w:rsidRPr="0034135D" w:rsidRDefault="0034135D" w:rsidP="0034135D">
      <w:pPr>
        <w:pStyle w:val="EndNoteBibliography"/>
        <w:numPr>
          <w:ilvl w:val="0"/>
          <w:numId w:val="2"/>
        </w:numPr>
        <w:ind w:left="360"/>
        <w:jc w:val="both"/>
      </w:pPr>
      <w:r w:rsidRPr="0034135D">
        <w:t xml:space="preserve">Tan, S. G. and Chow, W. S. (2010).  Thermal properties of anhydride-cured bio-based epoxy blends.  </w:t>
      </w:r>
      <w:r w:rsidRPr="0034135D">
        <w:rPr>
          <w:i/>
        </w:rPr>
        <w:t>Journal of Thermal Analysis and Calorimetry</w:t>
      </w:r>
      <w:r w:rsidRPr="0034135D">
        <w:t>, 101: 1051 - 1058.</w:t>
      </w:r>
    </w:p>
    <w:p w:rsidR="0034135D" w:rsidRPr="0034135D" w:rsidRDefault="0034135D" w:rsidP="0034135D">
      <w:pPr>
        <w:pStyle w:val="EndNoteBibliography"/>
        <w:numPr>
          <w:ilvl w:val="0"/>
          <w:numId w:val="2"/>
        </w:numPr>
        <w:ind w:left="360"/>
        <w:jc w:val="both"/>
      </w:pPr>
      <w:r w:rsidRPr="0034135D">
        <w:t xml:space="preserve">Mahungu, S. M., Hansen, S. L. and Artz, W. E. (1998). Volatile compounds in heated oleic acid-esterified propoxylated glycerol. </w:t>
      </w:r>
      <w:r w:rsidRPr="0034135D">
        <w:rPr>
          <w:i/>
        </w:rPr>
        <w:t xml:space="preserve">Journal of the American Oil Chemists' Society, </w:t>
      </w:r>
      <w:r w:rsidRPr="0034135D">
        <w:t>75(6): 683 - 690.</w:t>
      </w:r>
    </w:p>
    <w:p w:rsidR="0034135D" w:rsidRPr="0034135D" w:rsidRDefault="0034135D" w:rsidP="0034135D">
      <w:pPr>
        <w:pStyle w:val="EndNoteBibliography"/>
        <w:numPr>
          <w:ilvl w:val="0"/>
          <w:numId w:val="2"/>
        </w:numPr>
        <w:ind w:left="360"/>
        <w:jc w:val="both"/>
      </w:pPr>
      <w:r w:rsidRPr="0034135D">
        <w:t xml:space="preserve">Mohd Mustafa, S. F., Gan, S. N.  and Yahya, R. (2013).  Synthesis and characterization of novel alkyds derived from palm oil based polyester resin.  </w:t>
      </w:r>
      <w:r w:rsidRPr="0034135D">
        <w:rPr>
          <w:i/>
        </w:rPr>
        <w:t>Asian Journal of Chemistry</w:t>
      </w:r>
      <w:r w:rsidRPr="0034135D">
        <w:t>, 25(15): 8737 - 8740.</w:t>
      </w:r>
    </w:p>
    <w:p w:rsidR="00A74A7E" w:rsidRPr="0034135D" w:rsidRDefault="0034135D" w:rsidP="0034135D">
      <w:pPr>
        <w:pStyle w:val="EndNoteBibliography"/>
        <w:ind w:left="360" w:hanging="360"/>
        <w:jc w:val="both"/>
        <w:rPr>
          <w:b/>
        </w:rPr>
      </w:pPr>
      <w:r w:rsidRPr="0034135D">
        <w:rPr>
          <w:b/>
        </w:rPr>
        <w:fldChar w:fldCharType="end"/>
      </w:r>
    </w:p>
    <w:sectPr w:rsidR="00A74A7E" w:rsidRPr="0034135D" w:rsidSect="00A912E6">
      <w:headerReference w:type="even" r:id="rId23"/>
      <w:headerReference w:type="default" r:id="rId24"/>
      <w:footerReference w:type="even" r:id="rId25"/>
      <w:footerReference w:type="default" r:id="rId26"/>
      <w:pgSz w:w="12240" w:h="15840" w:code="1"/>
      <w:pgMar w:top="1800" w:right="1469" w:bottom="1699" w:left="1440" w:header="706" w:footer="706" w:gutter="0"/>
      <w:pgNumType w:start="4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Pro-Regular-Identity-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F21CF">
          <w:rPr>
            <w:rFonts w:ascii="Times New Roman" w:hAnsi="Times New Roman"/>
            <w:noProof/>
          </w:rPr>
          <w:t>510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F21CF">
          <w:rPr>
            <w:rFonts w:ascii="Times New Roman" w:hAnsi="Times New Roman"/>
            <w:noProof/>
          </w:rPr>
          <w:t>511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F4195">
      <w:rPr>
        <w:rFonts w:ascii="Times New Roman" w:hAnsi="Times New Roman"/>
        <w:i/>
        <w:lang w:val="en-US"/>
      </w:rPr>
      <w:t>No 2</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A912E6">
      <w:rPr>
        <w:rFonts w:ascii="Times New Roman" w:hAnsi="Times New Roman"/>
        <w:i/>
        <w:lang w:val="en-US"/>
      </w:rPr>
      <w:t>496</w:t>
    </w:r>
    <w:r w:rsidR="004B43FF">
      <w:rPr>
        <w:rFonts w:ascii="Times New Roman" w:hAnsi="Times New Roman"/>
        <w:i/>
        <w:lang w:val="en-US"/>
      </w:rPr>
      <w:t xml:space="preserve"> </w:t>
    </w:r>
    <w:r w:rsidR="00583C85">
      <w:rPr>
        <w:rFonts w:ascii="Times New Roman" w:hAnsi="Times New Roman"/>
        <w:i/>
        <w:lang w:val="en-US"/>
      </w:rPr>
      <w:t>-</w:t>
    </w:r>
    <w:r w:rsidR="00A912E6">
      <w:rPr>
        <w:rFonts w:ascii="Times New Roman" w:hAnsi="Times New Roman"/>
        <w:i/>
        <w:lang w:val="en-US"/>
      </w:rPr>
      <w:t xml:space="preserve"> 511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7F4ECC">
      <w:rPr>
        <w:rFonts w:ascii="Times New Roman" w:hAnsi="Times New Roman"/>
        <w:i/>
        <w:lang w:val="en-US"/>
      </w:rPr>
      <w:t>2</w:t>
    </w:r>
    <w:r w:rsidR="00A912E6">
      <w:rPr>
        <w:rFonts w:ascii="Times New Roman" w:hAnsi="Times New Roman"/>
        <w:i/>
        <w:lang w:val="en-US"/>
      </w:rPr>
      <w:t>-25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D7" w:rsidRPr="00766BD7" w:rsidRDefault="00766BD7" w:rsidP="00766BD7">
    <w:pPr>
      <w:adjustRightInd w:val="0"/>
      <w:spacing w:after="0" w:line="240" w:lineRule="auto"/>
      <w:rPr>
        <w:rFonts w:ascii="Times New Roman" w:hAnsi="Times New Roman"/>
        <w:sz w:val="20"/>
        <w:szCs w:val="20"/>
      </w:rPr>
    </w:pPr>
    <w:r>
      <w:rPr>
        <w:rFonts w:ascii="Times New Roman" w:hAnsi="Times New Roman"/>
        <w:sz w:val="20"/>
        <w:szCs w:val="20"/>
      </w:rPr>
      <w:t>Rida et al</w:t>
    </w:r>
    <w:r w:rsidR="008E6968" w:rsidRPr="00766BD7">
      <w:rPr>
        <w:rFonts w:ascii="Times New Roman" w:hAnsi="Times New Roman"/>
        <w:sz w:val="20"/>
        <w:szCs w:val="20"/>
      </w:rPr>
      <w:t xml:space="preserve">:  </w:t>
    </w:r>
    <w:r w:rsidRPr="00766BD7">
      <w:rPr>
        <w:rFonts w:ascii="Times New Roman" w:hAnsi="Times New Roman"/>
        <w:sz w:val="20"/>
        <w:szCs w:val="20"/>
      </w:rPr>
      <w:t xml:space="preserve"> PALM OIL-BASED PRECURSORS FOR DEVELOPMENT OF POLYMERIC DELIVERY SYSTEM</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CBB1CC1"/>
    <w:multiLevelType w:val="hybridMultilevel"/>
    <w:tmpl w:val="8BE41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25782"/>
    <w:rsid w:val="00164336"/>
    <w:rsid w:val="001D035A"/>
    <w:rsid w:val="001D3855"/>
    <w:rsid w:val="001D6F2C"/>
    <w:rsid w:val="00221D39"/>
    <w:rsid w:val="00282D66"/>
    <w:rsid w:val="002B188F"/>
    <w:rsid w:val="002B3BD8"/>
    <w:rsid w:val="002F3F91"/>
    <w:rsid w:val="00304767"/>
    <w:rsid w:val="00304B34"/>
    <w:rsid w:val="0034135D"/>
    <w:rsid w:val="00361BAF"/>
    <w:rsid w:val="00367D1F"/>
    <w:rsid w:val="00373A9B"/>
    <w:rsid w:val="00383F26"/>
    <w:rsid w:val="003B363F"/>
    <w:rsid w:val="003D585B"/>
    <w:rsid w:val="003E7DA6"/>
    <w:rsid w:val="003F12FF"/>
    <w:rsid w:val="004150F2"/>
    <w:rsid w:val="00432C0C"/>
    <w:rsid w:val="004670E4"/>
    <w:rsid w:val="004760D4"/>
    <w:rsid w:val="00494C46"/>
    <w:rsid w:val="004A28C3"/>
    <w:rsid w:val="004B43FF"/>
    <w:rsid w:val="004F21CF"/>
    <w:rsid w:val="00502641"/>
    <w:rsid w:val="00505101"/>
    <w:rsid w:val="00545363"/>
    <w:rsid w:val="00583C85"/>
    <w:rsid w:val="00584156"/>
    <w:rsid w:val="005C6768"/>
    <w:rsid w:val="00634C25"/>
    <w:rsid w:val="006416AB"/>
    <w:rsid w:val="006768E9"/>
    <w:rsid w:val="00687982"/>
    <w:rsid w:val="00695D0E"/>
    <w:rsid w:val="006A3A0F"/>
    <w:rsid w:val="006B3EC8"/>
    <w:rsid w:val="006D695E"/>
    <w:rsid w:val="00703799"/>
    <w:rsid w:val="00715FF7"/>
    <w:rsid w:val="00725A6A"/>
    <w:rsid w:val="00730CB3"/>
    <w:rsid w:val="00766BD7"/>
    <w:rsid w:val="007943F3"/>
    <w:rsid w:val="007A738C"/>
    <w:rsid w:val="007B1349"/>
    <w:rsid w:val="007E25BD"/>
    <w:rsid w:val="007F4ECC"/>
    <w:rsid w:val="00801E18"/>
    <w:rsid w:val="00802C35"/>
    <w:rsid w:val="0082181A"/>
    <w:rsid w:val="008B470E"/>
    <w:rsid w:val="008C14D6"/>
    <w:rsid w:val="008C33BE"/>
    <w:rsid w:val="008D2AB9"/>
    <w:rsid w:val="008E1211"/>
    <w:rsid w:val="008E5BBF"/>
    <w:rsid w:val="008E6968"/>
    <w:rsid w:val="00932D1C"/>
    <w:rsid w:val="00945695"/>
    <w:rsid w:val="0098798E"/>
    <w:rsid w:val="009D0F04"/>
    <w:rsid w:val="00A14480"/>
    <w:rsid w:val="00A14DB9"/>
    <w:rsid w:val="00A4762A"/>
    <w:rsid w:val="00A74A7E"/>
    <w:rsid w:val="00A912E6"/>
    <w:rsid w:val="00AD1B8A"/>
    <w:rsid w:val="00AE15B7"/>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C2BFA"/>
    <w:rsid w:val="00CF05FF"/>
    <w:rsid w:val="00D12E1B"/>
    <w:rsid w:val="00D25802"/>
    <w:rsid w:val="00D340BB"/>
    <w:rsid w:val="00D505D5"/>
    <w:rsid w:val="00D63C28"/>
    <w:rsid w:val="00D75B35"/>
    <w:rsid w:val="00D76E09"/>
    <w:rsid w:val="00D9736F"/>
    <w:rsid w:val="00D9792A"/>
    <w:rsid w:val="00DD377F"/>
    <w:rsid w:val="00E25547"/>
    <w:rsid w:val="00E2773B"/>
    <w:rsid w:val="00E3287E"/>
    <w:rsid w:val="00E66197"/>
    <w:rsid w:val="00EA27F0"/>
    <w:rsid w:val="00EF4195"/>
    <w:rsid w:val="00F202C3"/>
    <w:rsid w:val="00F31093"/>
    <w:rsid w:val="00F412AF"/>
    <w:rsid w:val="00F43667"/>
    <w:rsid w:val="00F447A7"/>
    <w:rsid w:val="00F902CE"/>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
    <w:name w:val="Author"/>
    <w:basedOn w:val="Normal"/>
    <w:rsid w:val="00D12E1B"/>
    <w:pPr>
      <w:spacing w:before="240" w:after="240" w:line="240" w:lineRule="auto"/>
      <w:jc w:val="center"/>
    </w:pPr>
    <w:rPr>
      <w:rFonts w:ascii="Times New Roman" w:hAnsi="Times New Roman"/>
      <w:b/>
      <w:sz w:val="24"/>
      <w:szCs w:val="20"/>
      <w:lang w:val="en-GB" w:bidi="ar-SA"/>
    </w:rPr>
  </w:style>
  <w:style w:type="paragraph" w:customStyle="1" w:styleId="Fax-Email-URL">
    <w:name w:val="Fax-Email-URL"/>
    <w:basedOn w:val="Normal"/>
    <w:rsid w:val="00CC2BFA"/>
    <w:pPr>
      <w:spacing w:after="0" w:line="240" w:lineRule="auto"/>
      <w:jc w:val="center"/>
    </w:pPr>
    <w:rPr>
      <w:rFonts w:ascii="Courier New" w:hAnsi="Courier New"/>
      <w:snapToGrid w:val="0"/>
      <w:sz w:val="20"/>
      <w:szCs w:val="20"/>
      <w:lang w:val="pt-PT" w:bidi="ar-SA"/>
    </w:rPr>
  </w:style>
  <w:style w:type="character" w:styleId="Hyperlink">
    <w:name w:val="Hyperlink"/>
    <w:rsid w:val="00CC2BFA"/>
    <w:rPr>
      <w:color w:val="0000FF"/>
      <w:u w:val="single"/>
    </w:rPr>
  </w:style>
  <w:style w:type="character" w:customStyle="1" w:styleId="apple-converted-space">
    <w:name w:val="apple-converted-space"/>
    <w:rsid w:val="00CC2BFA"/>
  </w:style>
  <w:style w:type="paragraph" w:styleId="Caption">
    <w:name w:val="caption"/>
    <w:basedOn w:val="List"/>
    <w:qFormat/>
    <w:rsid w:val="008D2AB9"/>
    <w:pPr>
      <w:spacing w:after="0" w:line="240" w:lineRule="auto"/>
      <w:ind w:left="284" w:hanging="284"/>
      <w:contextualSpacing w:val="0"/>
      <w:jc w:val="center"/>
    </w:pPr>
    <w:rPr>
      <w:rFonts w:ascii="Times New Roman" w:hAnsi="Times New Roman"/>
      <w:sz w:val="20"/>
      <w:szCs w:val="20"/>
      <w:lang w:val="en-GB" w:bidi="ar-SA"/>
    </w:rPr>
  </w:style>
  <w:style w:type="character" w:customStyle="1" w:styleId="A4">
    <w:name w:val="A4"/>
    <w:uiPriority w:val="99"/>
    <w:rsid w:val="008D2AB9"/>
    <w:rPr>
      <w:rFonts w:cs="Times"/>
      <w:color w:val="000000"/>
      <w:sz w:val="16"/>
      <w:szCs w:val="16"/>
    </w:rPr>
  </w:style>
  <w:style w:type="character" w:customStyle="1" w:styleId="A7">
    <w:name w:val="A7"/>
    <w:uiPriority w:val="99"/>
    <w:rsid w:val="008D2AB9"/>
    <w:rPr>
      <w:rFonts w:cs="Times"/>
      <w:color w:val="000000"/>
      <w:sz w:val="11"/>
      <w:szCs w:val="11"/>
    </w:rPr>
  </w:style>
  <w:style w:type="paragraph" w:styleId="List">
    <w:name w:val="List"/>
    <w:basedOn w:val="Normal"/>
    <w:uiPriority w:val="99"/>
    <w:semiHidden/>
    <w:unhideWhenUsed/>
    <w:rsid w:val="008D2AB9"/>
    <w:pPr>
      <w:ind w:left="360" w:hanging="360"/>
      <w:contextualSpacing/>
    </w:pPr>
  </w:style>
  <w:style w:type="paragraph" w:customStyle="1" w:styleId="SubSection">
    <w:name w:val="SubSection"/>
    <w:basedOn w:val="Normal"/>
    <w:rsid w:val="008D2AB9"/>
    <w:pPr>
      <w:keepNext/>
      <w:tabs>
        <w:tab w:val="left" w:pos="284"/>
      </w:tabs>
      <w:spacing w:before="240" w:after="160" w:line="240" w:lineRule="auto"/>
      <w:jc w:val="both"/>
    </w:pPr>
    <w:rPr>
      <w:rFonts w:ascii="Times New Roman" w:hAnsi="Times New Roman"/>
      <w:b/>
      <w:sz w:val="20"/>
      <w:szCs w:val="20"/>
      <w:lang w:val="en-GB" w:bidi="ar-SA"/>
    </w:rPr>
  </w:style>
  <w:style w:type="table" w:styleId="TableGrid">
    <w:name w:val="Table Grid"/>
    <w:basedOn w:val="TableNormal"/>
    <w:rsid w:val="008D2A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4135D"/>
    <w:pPr>
      <w:spacing w:after="0" w:line="240" w:lineRule="auto"/>
      <w:jc w:val="center"/>
    </w:pPr>
    <w:rPr>
      <w:rFonts w:ascii="Times New Roman" w:hAnsi="Times New Roman"/>
      <w:noProof/>
      <w:sz w:val="20"/>
      <w:szCs w:val="20"/>
      <w:lang w:bidi="ar-SA"/>
    </w:rPr>
  </w:style>
  <w:style w:type="character" w:customStyle="1" w:styleId="EndNoteBibliographyChar">
    <w:name w:val="EndNote Bibliography Char"/>
    <w:basedOn w:val="DefaultParagraphFont"/>
    <w:link w:val="EndNoteBibliography"/>
    <w:rsid w:val="0034135D"/>
    <w:rPr>
      <w:rFonts w:ascii="Times New Roman" w:eastAsia="Times New Roman" w:hAnsi="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
    <w:name w:val="Author"/>
    <w:basedOn w:val="Normal"/>
    <w:rsid w:val="00D12E1B"/>
    <w:pPr>
      <w:spacing w:before="240" w:after="240" w:line="240" w:lineRule="auto"/>
      <w:jc w:val="center"/>
    </w:pPr>
    <w:rPr>
      <w:rFonts w:ascii="Times New Roman" w:hAnsi="Times New Roman"/>
      <w:b/>
      <w:sz w:val="24"/>
      <w:szCs w:val="20"/>
      <w:lang w:val="en-GB" w:bidi="ar-SA"/>
    </w:rPr>
  </w:style>
  <w:style w:type="paragraph" w:customStyle="1" w:styleId="Fax-Email-URL">
    <w:name w:val="Fax-Email-URL"/>
    <w:basedOn w:val="Normal"/>
    <w:rsid w:val="00CC2BFA"/>
    <w:pPr>
      <w:spacing w:after="0" w:line="240" w:lineRule="auto"/>
      <w:jc w:val="center"/>
    </w:pPr>
    <w:rPr>
      <w:rFonts w:ascii="Courier New" w:hAnsi="Courier New"/>
      <w:snapToGrid w:val="0"/>
      <w:sz w:val="20"/>
      <w:szCs w:val="20"/>
      <w:lang w:val="pt-PT" w:bidi="ar-SA"/>
    </w:rPr>
  </w:style>
  <w:style w:type="character" w:styleId="Hyperlink">
    <w:name w:val="Hyperlink"/>
    <w:rsid w:val="00CC2BFA"/>
    <w:rPr>
      <w:color w:val="0000FF"/>
      <w:u w:val="single"/>
    </w:rPr>
  </w:style>
  <w:style w:type="character" w:customStyle="1" w:styleId="apple-converted-space">
    <w:name w:val="apple-converted-space"/>
    <w:rsid w:val="00CC2BFA"/>
  </w:style>
  <w:style w:type="paragraph" w:styleId="Caption">
    <w:name w:val="caption"/>
    <w:basedOn w:val="List"/>
    <w:qFormat/>
    <w:rsid w:val="008D2AB9"/>
    <w:pPr>
      <w:spacing w:after="0" w:line="240" w:lineRule="auto"/>
      <w:ind w:left="284" w:hanging="284"/>
      <w:contextualSpacing w:val="0"/>
      <w:jc w:val="center"/>
    </w:pPr>
    <w:rPr>
      <w:rFonts w:ascii="Times New Roman" w:hAnsi="Times New Roman"/>
      <w:sz w:val="20"/>
      <w:szCs w:val="20"/>
      <w:lang w:val="en-GB" w:bidi="ar-SA"/>
    </w:rPr>
  </w:style>
  <w:style w:type="character" w:customStyle="1" w:styleId="A4">
    <w:name w:val="A4"/>
    <w:uiPriority w:val="99"/>
    <w:rsid w:val="008D2AB9"/>
    <w:rPr>
      <w:rFonts w:cs="Times"/>
      <w:color w:val="000000"/>
      <w:sz w:val="16"/>
      <w:szCs w:val="16"/>
    </w:rPr>
  </w:style>
  <w:style w:type="character" w:customStyle="1" w:styleId="A7">
    <w:name w:val="A7"/>
    <w:uiPriority w:val="99"/>
    <w:rsid w:val="008D2AB9"/>
    <w:rPr>
      <w:rFonts w:cs="Times"/>
      <w:color w:val="000000"/>
      <w:sz w:val="11"/>
      <w:szCs w:val="11"/>
    </w:rPr>
  </w:style>
  <w:style w:type="paragraph" w:styleId="List">
    <w:name w:val="List"/>
    <w:basedOn w:val="Normal"/>
    <w:uiPriority w:val="99"/>
    <w:semiHidden/>
    <w:unhideWhenUsed/>
    <w:rsid w:val="008D2AB9"/>
    <w:pPr>
      <w:ind w:left="360" w:hanging="360"/>
      <w:contextualSpacing/>
    </w:pPr>
  </w:style>
  <w:style w:type="paragraph" w:customStyle="1" w:styleId="SubSection">
    <w:name w:val="SubSection"/>
    <w:basedOn w:val="Normal"/>
    <w:rsid w:val="008D2AB9"/>
    <w:pPr>
      <w:keepNext/>
      <w:tabs>
        <w:tab w:val="left" w:pos="284"/>
      </w:tabs>
      <w:spacing w:before="240" w:after="160" w:line="240" w:lineRule="auto"/>
      <w:jc w:val="both"/>
    </w:pPr>
    <w:rPr>
      <w:rFonts w:ascii="Times New Roman" w:hAnsi="Times New Roman"/>
      <w:b/>
      <w:sz w:val="20"/>
      <w:szCs w:val="20"/>
      <w:lang w:val="en-GB" w:bidi="ar-SA"/>
    </w:rPr>
  </w:style>
  <w:style w:type="table" w:styleId="TableGrid">
    <w:name w:val="Table Grid"/>
    <w:basedOn w:val="TableNormal"/>
    <w:rsid w:val="008D2A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4135D"/>
    <w:pPr>
      <w:spacing w:after="0" w:line="240" w:lineRule="auto"/>
      <w:jc w:val="center"/>
    </w:pPr>
    <w:rPr>
      <w:rFonts w:ascii="Times New Roman" w:hAnsi="Times New Roman"/>
      <w:noProof/>
      <w:sz w:val="20"/>
      <w:szCs w:val="20"/>
      <w:lang w:bidi="ar-SA"/>
    </w:rPr>
  </w:style>
  <w:style w:type="character" w:customStyle="1" w:styleId="EndNoteBibliographyChar">
    <w:name w:val="EndNote Bibliography Char"/>
    <w:basedOn w:val="DefaultParagraphFont"/>
    <w:link w:val="EndNoteBibliography"/>
    <w:rsid w:val="0034135D"/>
    <w:rPr>
      <w:rFonts w:ascii="Times New Roman" w:eastAsia="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B953D-7773-487E-89BF-7B5D9979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8038</Words>
  <Characters>42124</Characters>
  <Application>Microsoft Office Word</Application>
  <DocSecurity>0</DocSecurity>
  <Lines>794</Lines>
  <Paragraphs>293</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49869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27</cp:revision>
  <cp:lastPrinted>2017-04-15T15:18:00Z</cp:lastPrinted>
  <dcterms:created xsi:type="dcterms:W3CDTF">2017-03-29T08:01:00Z</dcterms:created>
  <dcterms:modified xsi:type="dcterms:W3CDTF">2017-04-15T15:18:00Z</dcterms:modified>
</cp:coreProperties>
</file>