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4B43FF" w:rsidP="00E3287E">
      <w:pPr>
        <w:spacing w:after="0" w:line="240" w:lineRule="auto"/>
        <w:rPr>
          <w:rFonts w:ascii="Times New Roman" w:hAnsi="Times New Roman"/>
          <w:noProof/>
          <w:lang w:bidi="ar-SA"/>
        </w:rPr>
      </w:pPr>
      <w:bookmarkStart w:id="0" w:name="_GoBack"/>
      <w:bookmarkEnd w:id="0"/>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2"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1"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4B43FF" w:rsidP="00084936">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themeColor="background1"/>
          <w:sz w:val="24"/>
          <w:szCs w:val="28"/>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381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8E1211">
        <w:rPr>
          <w:rFonts w:ascii="Times New Roman" w:hAnsi="Times New Roman"/>
          <w:b/>
          <w:noProof/>
          <w:color w:val="FFFFFF" w:themeColor="background1"/>
          <w:sz w:val="32"/>
          <w:szCs w:val="32"/>
          <w:lang w:bidi="ar-SA"/>
        </w:rPr>
        <w:t>M</w:t>
      </w:r>
      <w:r w:rsidR="00084936" w:rsidRPr="008E1211">
        <w:rPr>
          <w:rFonts w:ascii="Times New Roman" w:hAnsi="Times New Roman"/>
          <w:b/>
          <w:noProof/>
          <w:color w:val="FFFFFF" w:themeColor="background1"/>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8E1211">
        <w:rPr>
          <w:rFonts w:ascii="Times New Roman" w:hAnsi="Times New Roman"/>
          <w:b/>
          <w:noProof/>
          <w:color w:val="FFFFFF" w:themeColor="background1"/>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383F2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383F26">
        <w:rPr>
          <w:rFonts w:ascii="Times New Roman" w:hAnsi="Times New Roman"/>
          <w:b/>
          <w:i/>
          <w:noProof/>
          <w:color w:val="FFFFFF"/>
          <w:sz w:val="24"/>
          <w:szCs w:val="28"/>
          <w:vertAlign w:val="subscript"/>
          <w:lang w:bidi="ar-SA"/>
        </w:rPr>
        <w:t xml:space="preserve"> </w:t>
      </w:r>
      <w:r w:rsidR="00383F26" w:rsidRPr="002B493B">
        <w:rPr>
          <w:rFonts w:ascii="Times New Roman" w:hAnsi="Times New Roman"/>
          <w:b/>
          <w:i/>
          <w:noProof/>
          <w:color w:val="FFFFFF"/>
          <w:sz w:val="24"/>
          <w:szCs w:val="28"/>
          <w:vertAlign w:val="subscript"/>
          <w:lang w:bidi="ar-SA"/>
        </w:rPr>
        <w:t>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216D2C" w:rsidRPr="00682FFA" w:rsidRDefault="00216D2C" w:rsidP="00216D2C">
      <w:pPr>
        <w:spacing w:after="0" w:line="240" w:lineRule="auto"/>
        <w:jc w:val="center"/>
        <w:outlineLvl w:val="0"/>
        <w:rPr>
          <w:rFonts w:ascii="Times New Roman" w:hAnsi="Times New Roman"/>
          <w:sz w:val="28"/>
        </w:rPr>
      </w:pPr>
      <w:r w:rsidRPr="00682FFA">
        <w:rPr>
          <w:rFonts w:ascii="Times New Roman" w:hAnsi="Times New Roman"/>
          <w:sz w:val="28"/>
        </w:rPr>
        <w:t xml:space="preserve">ISOLATION, PURIFICATION AND IDENTIFICATION OF MICROALGAE FROM COAL-FIRED POWER PLANT ENVIRONMENT </w:t>
      </w:r>
    </w:p>
    <w:p w:rsidR="00216D2C" w:rsidRPr="00682FFA" w:rsidRDefault="00216D2C" w:rsidP="00216D2C">
      <w:pPr>
        <w:spacing w:after="0" w:line="240" w:lineRule="auto"/>
        <w:jc w:val="center"/>
        <w:outlineLvl w:val="0"/>
        <w:rPr>
          <w:rFonts w:ascii="Times New Roman" w:hAnsi="Times New Roman"/>
          <w:b/>
          <w:sz w:val="24"/>
        </w:rPr>
      </w:pPr>
    </w:p>
    <w:p w:rsidR="00216D2C" w:rsidRPr="00216D2C" w:rsidRDefault="00216D2C" w:rsidP="00216D2C">
      <w:pPr>
        <w:spacing w:after="0" w:line="240" w:lineRule="auto"/>
        <w:jc w:val="center"/>
        <w:outlineLvl w:val="0"/>
        <w:rPr>
          <w:rFonts w:ascii="Times New Roman" w:hAnsi="Times New Roman"/>
          <w:sz w:val="24"/>
          <w:szCs w:val="24"/>
        </w:rPr>
      </w:pPr>
      <w:r w:rsidRPr="00216D2C">
        <w:rPr>
          <w:rFonts w:ascii="Times New Roman" w:hAnsi="Times New Roman"/>
          <w:sz w:val="24"/>
          <w:szCs w:val="24"/>
        </w:rPr>
        <w:t>(Pemencilan, Penulenan dan Identifikasi Mikroalga daripada Persekitaran Loji Janakuasa Arang Batu)</w:t>
      </w:r>
    </w:p>
    <w:p w:rsidR="00216D2C" w:rsidRPr="00216D2C" w:rsidRDefault="00216D2C" w:rsidP="00216D2C">
      <w:pPr>
        <w:spacing w:after="0" w:line="240" w:lineRule="auto"/>
        <w:jc w:val="center"/>
        <w:outlineLvl w:val="0"/>
        <w:rPr>
          <w:rFonts w:ascii="Times New Roman" w:hAnsi="Times New Roman"/>
          <w:b/>
          <w:sz w:val="20"/>
          <w:szCs w:val="20"/>
        </w:rPr>
      </w:pPr>
    </w:p>
    <w:p w:rsidR="00216D2C" w:rsidRPr="00216D2C" w:rsidRDefault="00216D2C" w:rsidP="00216D2C">
      <w:pPr>
        <w:spacing w:after="0" w:line="240" w:lineRule="auto"/>
        <w:jc w:val="center"/>
        <w:outlineLvl w:val="0"/>
        <w:rPr>
          <w:rFonts w:ascii="Times New Roman" w:hAnsi="Times New Roman"/>
          <w:sz w:val="20"/>
          <w:szCs w:val="20"/>
        </w:rPr>
      </w:pPr>
      <w:r w:rsidRPr="00216D2C">
        <w:rPr>
          <w:rFonts w:ascii="Times New Roman" w:hAnsi="Times New Roman"/>
          <w:sz w:val="20"/>
          <w:szCs w:val="20"/>
        </w:rPr>
        <w:t>Muhammad Nazry Chik</w:t>
      </w:r>
      <w:r w:rsidRPr="00216D2C">
        <w:rPr>
          <w:rFonts w:ascii="Times New Roman" w:hAnsi="Times New Roman"/>
          <w:sz w:val="20"/>
          <w:szCs w:val="20"/>
          <w:vertAlign w:val="superscript"/>
        </w:rPr>
        <w:t>1</w:t>
      </w:r>
      <w:r w:rsidRPr="00216D2C">
        <w:rPr>
          <w:rFonts w:ascii="Times New Roman" w:hAnsi="Times New Roman"/>
          <w:sz w:val="20"/>
          <w:szCs w:val="20"/>
        </w:rPr>
        <w:t>, Liyana Yahya</w:t>
      </w:r>
      <w:r w:rsidRPr="00216D2C">
        <w:rPr>
          <w:rFonts w:ascii="Times New Roman" w:hAnsi="Times New Roman"/>
          <w:sz w:val="20"/>
          <w:szCs w:val="20"/>
          <w:vertAlign w:val="superscript"/>
        </w:rPr>
        <w:t>1</w:t>
      </w:r>
      <w:r w:rsidRPr="00216D2C">
        <w:rPr>
          <w:rFonts w:ascii="Times New Roman" w:hAnsi="Times New Roman"/>
          <w:sz w:val="20"/>
          <w:szCs w:val="20"/>
        </w:rPr>
        <w:t>, Kamrul Fakir Kamarudin</w:t>
      </w:r>
      <w:r w:rsidRPr="00216D2C">
        <w:rPr>
          <w:rFonts w:ascii="Times New Roman" w:hAnsi="Times New Roman"/>
          <w:sz w:val="20"/>
          <w:szCs w:val="20"/>
          <w:vertAlign w:val="superscript"/>
        </w:rPr>
        <w:t>2</w:t>
      </w:r>
      <w:r w:rsidRPr="00216D2C">
        <w:rPr>
          <w:rFonts w:ascii="Times New Roman" w:hAnsi="Times New Roman"/>
          <w:sz w:val="20"/>
          <w:szCs w:val="20"/>
        </w:rPr>
        <w:t>, Ding Gong Tao</w:t>
      </w:r>
      <w:r w:rsidRPr="00216D2C">
        <w:rPr>
          <w:rFonts w:ascii="Times New Roman" w:hAnsi="Times New Roman"/>
          <w:sz w:val="20"/>
          <w:szCs w:val="20"/>
          <w:vertAlign w:val="superscript"/>
        </w:rPr>
        <w:t>2</w:t>
      </w:r>
      <w:r w:rsidRPr="00216D2C">
        <w:rPr>
          <w:rFonts w:ascii="Times New Roman" w:hAnsi="Times New Roman"/>
          <w:sz w:val="20"/>
          <w:szCs w:val="20"/>
        </w:rPr>
        <w:t>, Mohd Sobri Takriff</w:t>
      </w:r>
      <w:r w:rsidRPr="00216D2C">
        <w:rPr>
          <w:rFonts w:ascii="Times New Roman" w:hAnsi="Times New Roman"/>
          <w:sz w:val="20"/>
          <w:szCs w:val="20"/>
          <w:vertAlign w:val="superscript"/>
        </w:rPr>
        <w:t>2</w:t>
      </w:r>
      <w:r w:rsidRPr="00216D2C">
        <w:rPr>
          <w:rFonts w:ascii="Times New Roman" w:hAnsi="Times New Roman"/>
          <w:sz w:val="20"/>
          <w:szCs w:val="20"/>
        </w:rPr>
        <w:t>*</w:t>
      </w:r>
    </w:p>
    <w:p w:rsidR="006768E9" w:rsidRPr="00F447A7" w:rsidRDefault="006768E9" w:rsidP="00F447A7">
      <w:pPr>
        <w:spacing w:after="0" w:line="240" w:lineRule="auto"/>
        <w:jc w:val="center"/>
        <w:rPr>
          <w:rFonts w:ascii="Times New Roman" w:hAnsi="Times New Roman"/>
          <w:noProof/>
          <w:sz w:val="18"/>
          <w:szCs w:val="18"/>
          <w:lang w:bidi="ar-SA"/>
        </w:rPr>
      </w:pPr>
    </w:p>
    <w:p w:rsidR="00216D2C" w:rsidRDefault="00216D2C" w:rsidP="00216D2C">
      <w:pPr>
        <w:spacing w:after="0" w:line="240" w:lineRule="auto"/>
        <w:jc w:val="center"/>
        <w:outlineLvl w:val="0"/>
        <w:rPr>
          <w:rFonts w:ascii="Times New Roman" w:hAnsi="Times New Roman"/>
          <w:i/>
          <w:sz w:val="18"/>
          <w:szCs w:val="18"/>
        </w:rPr>
      </w:pPr>
      <w:r w:rsidRPr="00682FFA">
        <w:rPr>
          <w:rFonts w:ascii="Times New Roman" w:hAnsi="Times New Roman"/>
          <w:i/>
          <w:sz w:val="18"/>
          <w:szCs w:val="18"/>
          <w:vertAlign w:val="superscript"/>
        </w:rPr>
        <w:t>1</w:t>
      </w:r>
      <w:r w:rsidRPr="00682FFA">
        <w:rPr>
          <w:rFonts w:ascii="Times New Roman" w:hAnsi="Times New Roman"/>
          <w:i/>
          <w:sz w:val="18"/>
          <w:szCs w:val="18"/>
        </w:rPr>
        <w:t xml:space="preserve">Emission and Waste Management Technology Group, </w:t>
      </w:r>
    </w:p>
    <w:p w:rsidR="00216D2C" w:rsidRPr="00682FFA" w:rsidRDefault="00216D2C" w:rsidP="00216D2C">
      <w:pPr>
        <w:spacing w:after="0" w:line="240" w:lineRule="auto"/>
        <w:jc w:val="center"/>
        <w:outlineLvl w:val="0"/>
        <w:rPr>
          <w:rFonts w:ascii="Times New Roman" w:hAnsi="Times New Roman"/>
          <w:i/>
          <w:sz w:val="18"/>
          <w:szCs w:val="18"/>
        </w:rPr>
      </w:pPr>
      <w:r w:rsidRPr="00682FFA">
        <w:rPr>
          <w:rFonts w:ascii="Times New Roman" w:hAnsi="Times New Roman"/>
          <w:i/>
          <w:sz w:val="18"/>
          <w:szCs w:val="18"/>
        </w:rPr>
        <w:t>TNB Research Sdn Bhd, No 1, Lorong Air Hitam, Kawasan Institusi Penyelidikan, 43</w:t>
      </w:r>
      <w:r>
        <w:rPr>
          <w:rFonts w:ascii="Times New Roman" w:hAnsi="Times New Roman"/>
          <w:i/>
          <w:sz w:val="18"/>
          <w:szCs w:val="18"/>
        </w:rPr>
        <w:t>000 Kajang, Selangor, Malaysia</w:t>
      </w:r>
    </w:p>
    <w:p w:rsidR="00216D2C" w:rsidRDefault="00216D2C" w:rsidP="00216D2C">
      <w:pPr>
        <w:spacing w:after="0" w:line="240" w:lineRule="auto"/>
        <w:jc w:val="center"/>
        <w:outlineLvl w:val="0"/>
        <w:rPr>
          <w:rFonts w:ascii="Times New Roman" w:hAnsi="Times New Roman"/>
          <w:i/>
          <w:sz w:val="18"/>
          <w:szCs w:val="18"/>
        </w:rPr>
      </w:pPr>
      <w:r w:rsidRPr="00682FFA">
        <w:rPr>
          <w:rFonts w:ascii="Times New Roman" w:hAnsi="Times New Roman"/>
          <w:i/>
          <w:sz w:val="18"/>
          <w:szCs w:val="18"/>
          <w:vertAlign w:val="superscript"/>
        </w:rPr>
        <w:t>2</w:t>
      </w:r>
      <w:r w:rsidRPr="00682FFA">
        <w:rPr>
          <w:rFonts w:ascii="Times New Roman" w:hAnsi="Times New Roman"/>
          <w:i/>
          <w:sz w:val="18"/>
          <w:szCs w:val="18"/>
        </w:rPr>
        <w:t xml:space="preserve">Department of Chemical and Process Engineering, Faculty of Engineering and Built Environment, </w:t>
      </w:r>
    </w:p>
    <w:p w:rsidR="00216D2C" w:rsidRPr="00682FFA" w:rsidRDefault="00216D2C" w:rsidP="00216D2C">
      <w:pPr>
        <w:spacing w:after="0" w:line="240" w:lineRule="auto"/>
        <w:jc w:val="center"/>
        <w:outlineLvl w:val="0"/>
        <w:rPr>
          <w:rFonts w:ascii="Times New Roman" w:hAnsi="Times New Roman"/>
          <w:i/>
          <w:sz w:val="18"/>
          <w:szCs w:val="18"/>
        </w:rPr>
      </w:pPr>
      <w:r w:rsidRPr="00682FFA">
        <w:rPr>
          <w:rFonts w:ascii="Times New Roman" w:hAnsi="Times New Roman"/>
          <w:i/>
          <w:sz w:val="18"/>
          <w:szCs w:val="18"/>
        </w:rPr>
        <w:t>Universiti Kebangsaan Malaysia, 43</w:t>
      </w:r>
      <w:r>
        <w:rPr>
          <w:rFonts w:ascii="Times New Roman" w:hAnsi="Times New Roman"/>
          <w:i/>
          <w:sz w:val="18"/>
          <w:szCs w:val="18"/>
        </w:rPr>
        <w:t>600 UKM Bangi, Selangor, Malaysia</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Pr="00216D2C" w:rsidRDefault="006768E9" w:rsidP="00216D2C">
      <w:pPr>
        <w:spacing w:after="0" w:line="240" w:lineRule="auto"/>
        <w:jc w:val="center"/>
        <w:outlineLvl w:val="0"/>
        <w:rPr>
          <w:rFonts w:ascii="Times New Roman" w:hAnsi="Times New Roman"/>
          <w:i/>
          <w:sz w:val="18"/>
          <w:szCs w:val="18"/>
        </w:rPr>
      </w:pPr>
      <w:r w:rsidRPr="00216D2C">
        <w:rPr>
          <w:rFonts w:ascii="Times New Roman" w:hAnsi="Times New Roman"/>
          <w:i/>
          <w:noProof/>
          <w:sz w:val="18"/>
          <w:szCs w:val="18"/>
          <w:lang w:bidi="ar-SA"/>
        </w:rPr>
        <w:t>*Corresponding author:</w:t>
      </w:r>
      <w:r w:rsidR="00BE7C30" w:rsidRPr="00216D2C">
        <w:rPr>
          <w:rFonts w:ascii="Times New Roman" w:hAnsi="Times New Roman"/>
          <w:i/>
          <w:noProof/>
          <w:sz w:val="18"/>
          <w:szCs w:val="18"/>
          <w:lang w:bidi="ar-SA"/>
        </w:rPr>
        <w:t xml:space="preserve"> </w:t>
      </w:r>
      <w:r w:rsidR="00216D2C" w:rsidRPr="00216D2C">
        <w:rPr>
          <w:rFonts w:ascii="Times New Roman" w:hAnsi="Times New Roman"/>
          <w:i/>
          <w:sz w:val="18"/>
          <w:szCs w:val="18"/>
        </w:rPr>
        <w:t>sobritakriff@ukm.edu.my</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637BF5">
        <w:rPr>
          <w:rFonts w:ascii="Times New Roman" w:hAnsi="Times New Roman"/>
          <w:noProof/>
          <w:sz w:val="18"/>
          <w:szCs w:val="18"/>
          <w:lang w:bidi="ar-SA"/>
        </w:rPr>
        <w:t>21 October 2015</w:t>
      </w:r>
      <w:r>
        <w:rPr>
          <w:rFonts w:ascii="Times New Roman" w:hAnsi="Times New Roman"/>
          <w:noProof/>
          <w:sz w:val="18"/>
          <w:szCs w:val="18"/>
          <w:lang w:bidi="ar-SA"/>
        </w:rPr>
        <w:t xml:space="preserve">; Accepted: </w:t>
      </w:r>
      <w:r w:rsidR="00637BF5">
        <w:rPr>
          <w:rFonts w:ascii="Times New Roman" w:hAnsi="Times New Roman"/>
          <w:noProof/>
          <w:sz w:val="18"/>
          <w:szCs w:val="18"/>
          <w:lang w:bidi="ar-SA"/>
        </w:rPr>
        <w:t>14 June 2016</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B77BD6" w:rsidRPr="00B77BD6" w:rsidRDefault="00B77BD6" w:rsidP="00B77BD6">
      <w:pPr>
        <w:spacing w:after="0" w:line="240" w:lineRule="auto"/>
        <w:ind w:right="-1"/>
        <w:jc w:val="both"/>
        <w:rPr>
          <w:rFonts w:ascii="Times New Roman" w:hAnsi="Times New Roman"/>
          <w:sz w:val="18"/>
          <w:szCs w:val="18"/>
        </w:rPr>
      </w:pPr>
      <w:r w:rsidRPr="00B77BD6">
        <w:rPr>
          <w:rFonts w:ascii="Times New Roman" w:hAnsi="Times New Roman"/>
          <w:sz w:val="18"/>
          <w:szCs w:val="18"/>
        </w:rPr>
        <w:t>Carbon capture and storage (CCS) through biological approach has attracted much attention as global warming and climate change issue becomes a worldwide agenda. Energy production industry from coal in Malaysia produced 50.661 million metric tons of carbon dioxide in 2012, and the trend showed it will keep increasing year by year. CCS through biological approach can be done by microalgae which are versatile microorganism which perform photosynthesis process that can store CO</w:t>
      </w:r>
      <w:r w:rsidRPr="00B77BD6">
        <w:rPr>
          <w:rFonts w:ascii="Times New Roman" w:hAnsi="Times New Roman"/>
          <w:sz w:val="18"/>
          <w:szCs w:val="18"/>
          <w:vertAlign w:val="subscript"/>
        </w:rPr>
        <w:t>2</w:t>
      </w:r>
      <w:r w:rsidRPr="00B77BD6">
        <w:rPr>
          <w:rFonts w:ascii="Times New Roman" w:hAnsi="Times New Roman"/>
          <w:sz w:val="18"/>
          <w:szCs w:val="18"/>
        </w:rPr>
        <w:t xml:space="preserve"> in the biomass form. In this study, microalgae strains were isolated from the native environment nearby a coal-fired power plant, where samples were collected in different canal in which pre-treated flue gases are discharged. The microalgae strains were identified by both morphological and molecular approaches. Result from 18s rRNA gene sequencing showed that the isolated strains is </w:t>
      </w:r>
      <w:r w:rsidRPr="00B77BD6">
        <w:rPr>
          <w:rFonts w:ascii="Times New Roman" w:hAnsi="Times New Roman"/>
          <w:i/>
          <w:sz w:val="18"/>
          <w:szCs w:val="18"/>
        </w:rPr>
        <w:t>Chlorella</w:t>
      </w:r>
      <w:r w:rsidRPr="00B77BD6">
        <w:rPr>
          <w:rFonts w:ascii="Times New Roman" w:hAnsi="Times New Roman"/>
          <w:sz w:val="18"/>
          <w:szCs w:val="18"/>
        </w:rPr>
        <w:t xml:space="preserve"> sp. with similarity 99% with </w:t>
      </w:r>
      <w:r w:rsidRPr="00B77BD6">
        <w:rPr>
          <w:rFonts w:ascii="Times New Roman" w:hAnsi="Times New Roman"/>
          <w:i/>
          <w:sz w:val="18"/>
          <w:szCs w:val="18"/>
        </w:rPr>
        <w:t>Chlorella</w:t>
      </w:r>
      <w:r w:rsidRPr="00B77BD6">
        <w:rPr>
          <w:rFonts w:ascii="Times New Roman" w:hAnsi="Times New Roman"/>
          <w:sz w:val="18"/>
          <w:szCs w:val="18"/>
        </w:rPr>
        <w:t xml:space="preserve"> sp. SAG 211-18. The identified strains of microalgae then cultivated with three concentration of CO</w:t>
      </w:r>
      <w:r w:rsidRPr="00B77BD6">
        <w:rPr>
          <w:rFonts w:ascii="Times New Roman" w:hAnsi="Times New Roman"/>
          <w:sz w:val="18"/>
          <w:szCs w:val="18"/>
          <w:vertAlign w:val="subscript"/>
        </w:rPr>
        <w:t>2</w:t>
      </w:r>
      <w:r w:rsidRPr="00B77BD6">
        <w:rPr>
          <w:rFonts w:ascii="Times New Roman" w:hAnsi="Times New Roman"/>
          <w:sz w:val="18"/>
          <w:szCs w:val="18"/>
        </w:rPr>
        <w:t xml:space="preserve"> (ambient air, 1% and 5%) and the growth rate showed 0.4017 day</w:t>
      </w:r>
      <w:r w:rsidRPr="00B77BD6">
        <w:rPr>
          <w:rFonts w:ascii="Times New Roman" w:hAnsi="Times New Roman"/>
          <w:sz w:val="18"/>
          <w:szCs w:val="18"/>
          <w:vertAlign w:val="superscript"/>
        </w:rPr>
        <w:t>-1</w:t>
      </w:r>
      <w:r w:rsidRPr="00B77BD6">
        <w:rPr>
          <w:rFonts w:ascii="Times New Roman" w:hAnsi="Times New Roman"/>
          <w:sz w:val="18"/>
          <w:szCs w:val="18"/>
        </w:rPr>
        <w:t>, 0.5752 day</w:t>
      </w:r>
      <w:r w:rsidRPr="00B77BD6">
        <w:rPr>
          <w:rFonts w:ascii="Times New Roman" w:hAnsi="Times New Roman"/>
          <w:sz w:val="18"/>
          <w:szCs w:val="18"/>
          <w:vertAlign w:val="superscript"/>
        </w:rPr>
        <w:t>-1</w:t>
      </w:r>
      <w:r w:rsidRPr="00B77BD6">
        <w:rPr>
          <w:rFonts w:ascii="Times New Roman" w:hAnsi="Times New Roman"/>
          <w:sz w:val="18"/>
          <w:szCs w:val="18"/>
        </w:rPr>
        <w:t xml:space="preserve"> and 0.4427 day</w:t>
      </w:r>
      <w:r w:rsidRPr="00B77BD6">
        <w:rPr>
          <w:rFonts w:ascii="Times New Roman" w:hAnsi="Times New Roman"/>
          <w:sz w:val="18"/>
          <w:szCs w:val="18"/>
          <w:vertAlign w:val="superscript"/>
        </w:rPr>
        <w:t>-1</w:t>
      </w:r>
      <w:r w:rsidRPr="00B77BD6">
        <w:rPr>
          <w:rFonts w:ascii="Times New Roman" w:hAnsi="Times New Roman"/>
          <w:sz w:val="18"/>
          <w:szCs w:val="18"/>
        </w:rPr>
        <w:t xml:space="preserve"> respectively. Different concentration of CO</w:t>
      </w:r>
      <w:r w:rsidRPr="00B77BD6">
        <w:rPr>
          <w:rFonts w:ascii="Times New Roman" w:hAnsi="Times New Roman"/>
          <w:sz w:val="18"/>
          <w:szCs w:val="18"/>
          <w:vertAlign w:val="subscript"/>
        </w:rPr>
        <w:t>2</w:t>
      </w:r>
      <w:r w:rsidRPr="00B77BD6">
        <w:rPr>
          <w:rFonts w:ascii="Times New Roman" w:hAnsi="Times New Roman"/>
          <w:sz w:val="18"/>
          <w:szCs w:val="18"/>
        </w:rPr>
        <w:t xml:space="preserve"> (ambient air, 1% and 5%) showed th</w:t>
      </w:r>
      <w:r>
        <w:rPr>
          <w:rFonts w:ascii="Times New Roman" w:hAnsi="Times New Roman"/>
          <w:sz w:val="18"/>
          <w:szCs w:val="18"/>
        </w:rPr>
        <w:t xml:space="preserve">at the isolated strains yielded </w:t>
      </w:r>
      <w:r w:rsidRPr="00B77BD6">
        <w:rPr>
          <w:rFonts w:ascii="Times New Roman" w:hAnsi="Times New Roman"/>
          <w:sz w:val="18"/>
          <w:szCs w:val="18"/>
        </w:rPr>
        <w:t>1.005gL</w:t>
      </w:r>
      <w:r w:rsidRPr="00B77BD6">
        <w:rPr>
          <w:rFonts w:ascii="Times New Roman" w:hAnsi="Times New Roman"/>
          <w:sz w:val="18"/>
          <w:szCs w:val="18"/>
          <w:vertAlign w:val="superscript"/>
        </w:rPr>
        <w:t>-1</w:t>
      </w:r>
      <w:r w:rsidRPr="00B77BD6">
        <w:rPr>
          <w:rFonts w:ascii="Times New Roman" w:hAnsi="Times New Roman"/>
          <w:sz w:val="18"/>
          <w:szCs w:val="18"/>
        </w:rPr>
        <w:t>, 1.101gL</w:t>
      </w:r>
      <w:r w:rsidRPr="00B77BD6">
        <w:rPr>
          <w:rFonts w:ascii="Times New Roman" w:hAnsi="Times New Roman"/>
          <w:sz w:val="18"/>
          <w:szCs w:val="18"/>
          <w:vertAlign w:val="superscript"/>
        </w:rPr>
        <w:t>-1</w:t>
      </w:r>
      <w:r w:rsidRPr="00B77BD6">
        <w:rPr>
          <w:rFonts w:ascii="Times New Roman" w:hAnsi="Times New Roman"/>
          <w:sz w:val="18"/>
          <w:szCs w:val="18"/>
        </w:rPr>
        <w:t xml:space="preserve"> and 1.035gL</w:t>
      </w:r>
      <w:r w:rsidRPr="00B77BD6">
        <w:rPr>
          <w:rFonts w:ascii="Times New Roman" w:hAnsi="Times New Roman"/>
          <w:sz w:val="18"/>
          <w:szCs w:val="18"/>
          <w:vertAlign w:val="superscript"/>
        </w:rPr>
        <w:t>-1</w:t>
      </w:r>
      <w:r w:rsidRPr="00B77BD6">
        <w:rPr>
          <w:rFonts w:ascii="Times New Roman" w:hAnsi="Times New Roman"/>
          <w:sz w:val="18"/>
          <w:szCs w:val="18"/>
        </w:rPr>
        <w:t xml:space="preserve"> respectively. This study also showed that with different concentration of CO</w:t>
      </w:r>
      <w:r w:rsidRPr="00B77BD6">
        <w:rPr>
          <w:rFonts w:ascii="Times New Roman" w:hAnsi="Times New Roman"/>
          <w:sz w:val="18"/>
          <w:szCs w:val="18"/>
          <w:vertAlign w:val="subscript"/>
        </w:rPr>
        <w:t>2</w:t>
      </w:r>
      <w:r w:rsidRPr="00B77BD6">
        <w:rPr>
          <w:rFonts w:ascii="Times New Roman" w:hAnsi="Times New Roman"/>
          <w:sz w:val="18"/>
          <w:szCs w:val="18"/>
        </w:rPr>
        <w:t>, the sequestration rate is ranging from 1% to 4.3%.</w:t>
      </w:r>
    </w:p>
    <w:p w:rsidR="00B77BD6" w:rsidRPr="00B77BD6" w:rsidRDefault="00B77BD6" w:rsidP="00B77BD6">
      <w:pPr>
        <w:spacing w:after="0" w:line="240" w:lineRule="auto"/>
        <w:jc w:val="both"/>
        <w:outlineLvl w:val="0"/>
        <w:rPr>
          <w:rFonts w:ascii="Times New Roman" w:hAnsi="Times New Roman"/>
          <w:sz w:val="18"/>
          <w:szCs w:val="18"/>
        </w:rPr>
      </w:pPr>
    </w:p>
    <w:p w:rsidR="00B77BD6" w:rsidRPr="00B77BD6" w:rsidRDefault="00B77BD6" w:rsidP="00B77BD6">
      <w:pPr>
        <w:spacing w:after="0" w:line="240" w:lineRule="auto"/>
        <w:jc w:val="both"/>
        <w:outlineLvl w:val="0"/>
        <w:rPr>
          <w:rFonts w:ascii="Times New Roman" w:hAnsi="Times New Roman"/>
          <w:sz w:val="18"/>
          <w:szCs w:val="18"/>
        </w:rPr>
      </w:pPr>
      <w:r w:rsidRPr="00B77BD6">
        <w:rPr>
          <w:rFonts w:ascii="Times New Roman" w:hAnsi="Times New Roman"/>
          <w:b/>
          <w:sz w:val="18"/>
          <w:szCs w:val="18"/>
        </w:rPr>
        <w:t>Keywords</w:t>
      </w:r>
      <w:r w:rsidRPr="00B77BD6">
        <w:rPr>
          <w:rFonts w:ascii="Times New Roman" w:hAnsi="Times New Roman"/>
          <w:sz w:val="18"/>
          <w:szCs w:val="18"/>
        </w:rPr>
        <w:t xml:space="preserve">: </w:t>
      </w:r>
      <w:r>
        <w:rPr>
          <w:rFonts w:ascii="Times New Roman" w:hAnsi="Times New Roman"/>
          <w:sz w:val="18"/>
          <w:szCs w:val="18"/>
        </w:rPr>
        <w:t xml:space="preserve"> </w:t>
      </w:r>
      <w:r w:rsidRPr="00B77BD6">
        <w:rPr>
          <w:rFonts w:ascii="Times New Roman" w:hAnsi="Times New Roman"/>
          <w:sz w:val="18"/>
          <w:szCs w:val="18"/>
        </w:rPr>
        <w:t xml:space="preserve">microalgae, isolation, purification, DNA sequencing </w:t>
      </w:r>
    </w:p>
    <w:p w:rsidR="00B77BD6" w:rsidRPr="00B77BD6" w:rsidRDefault="00B77BD6" w:rsidP="00B77BD6">
      <w:pPr>
        <w:spacing w:after="0" w:line="240" w:lineRule="auto"/>
        <w:jc w:val="center"/>
        <w:outlineLvl w:val="0"/>
        <w:rPr>
          <w:rFonts w:ascii="Times New Roman" w:hAnsi="Times New Roman"/>
          <w:b/>
          <w:sz w:val="18"/>
          <w:szCs w:val="18"/>
        </w:rPr>
      </w:pPr>
    </w:p>
    <w:p w:rsidR="00B77BD6" w:rsidRPr="00B77BD6" w:rsidRDefault="00B77BD6" w:rsidP="00B77BD6">
      <w:pPr>
        <w:spacing w:after="0" w:line="240" w:lineRule="auto"/>
        <w:jc w:val="center"/>
        <w:outlineLvl w:val="0"/>
        <w:rPr>
          <w:rFonts w:ascii="Times New Roman" w:hAnsi="Times New Roman"/>
          <w:b/>
          <w:noProof/>
          <w:sz w:val="18"/>
          <w:szCs w:val="18"/>
          <w:lang w:val="ms-MY"/>
        </w:rPr>
      </w:pPr>
      <w:r w:rsidRPr="00B77BD6">
        <w:rPr>
          <w:rFonts w:ascii="Times New Roman" w:hAnsi="Times New Roman"/>
          <w:b/>
          <w:noProof/>
          <w:sz w:val="18"/>
          <w:szCs w:val="18"/>
          <w:lang w:val="ms-MY"/>
        </w:rPr>
        <w:t>Abstrak</w:t>
      </w:r>
    </w:p>
    <w:p w:rsidR="00B77BD6" w:rsidRPr="00B77BD6" w:rsidRDefault="00B77BD6" w:rsidP="00B77BD6">
      <w:pPr>
        <w:spacing w:after="0" w:line="240" w:lineRule="auto"/>
        <w:jc w:val="both"/>
        <w:rPr>
          <w:rFonts w:ascii="Times New Roman" w:hAnsi="Times New Roman"/>
          <w:noProof/>
          <w:sz w:val="18"/>
          <w:szCs w:val="18"/>
          <w:shd w:val="clear" w:color="auto" w:fill="FFFFFF"/>
          <w:lang w:val="ms-MY"/>
        </w:rPr>
      </w:pPr>
      <w:r w:rsidRPr="00B77BD6">
        <w:rPr>
          <w:rFonts w:ascii="Times New Roman" w:hAnsi="Times New Roman"/>
          <w:noProof/>
          <w:sz w:val="18"/>
          <w:szCs w:val="18"/>
          <w:shd w:val="clear" w:color="auto" w:fill="FFFFFF"/>
          <w:lang w:val="ms-MY"/>
        </w:rPr>
        <w:t xml:space="preserve">Pemerangkapan dan penyimpanan karbon (CCS) melalui pendekatan biologi telah menarik minat pengkaji disebabkan masalah pemanasan dan perubahan iklim global. Pada tahun 2012 sahaja, Malaysia telah menghasilkan 50.661 juta ton metrik karbon dioksida hasil daripada penghasilan tenaga yang bersumberkan arang batu, dan tahun demi tahun penghasilan karbon dioksida dijangkakan akan terus meningkat. Pemerangkapan dan penyimpanan karbon melalui pendekatan biologi boleh dilakukan oleh mikroalga yang merupakan mikroorganisma unggul di mana ianya berupaya menjalankan proses fotosintesis dalam menukarkan karbon dioksida ke dalam bentuk biojisim. Dalam kajian ini, mikroalga dipencilkan daripada habitat asal yang merupakan terusan bagi air penyejuk untuk stesen janakuasa arang batu. Mikroalga yang diperoleh, dikenalpasti menggunakan kaedah pengecaman secara morfologi dan molekul. Hasil keputusan pengenal pastian molekul menggunakan kaedah penjujukan genom 18s rRNA mendapati, mikroalga yang berjaya dipencilkan adalah </w:t>
      </w:r>
      <w:r w:rsidRPr="00B77BD6">
        <w:rPr>
          <w:rFonts w:ascii="Times New Roman" w:hAnsi="Times New Roman"/>
          <w:i/>
          <w:noProof/>
          <w:sz w:val="18"/>
          <w:szCs w:val="18"/>
          <w:shd w:val="clear" w:color="auto" w:fill="FFFFFF"/>
          <w:lang w:val="ms-MY"/>
        </w:rPr>
        <w:t>Chlorella</w:t>
      </w:r>
      <w:r w:rsidRPr="00B77BD6">
        <w:rPr>
          <w:rFonts w:ascii="Times New Roman" w:hAnsi="Times New Roman"/>
          <w:noProof/>
          <w:sz w:val="18"/>
          <w:szCs w:val="18"/>
          <w:shd w:val="clear" w:color="auto" w:fill="FFFFFF"/>
          <w:lang w:val="ms-MY"/>
        </w:rPr>
        <w:t xml:space="preserve"> sp. yang mempunyai persamaan sehingga 99% dengan </w:t>
      </w:r>
      <w:r w:rsidRPr="00B77BD6">
        <w:rPr>
          <w:rFonts w:ascii="Times New Roman" w:hAnsi="Times New Roman"/>
          <w:i/>
          <w:noProof/>
          <w:sz w:val="18"/>
          <w:szCs w:val="18"/>
          <w:shd w:val="clear" w:color="auto" w:fill="FFFFFF"/>
          <w:lang w:val="ms-MY"/>
        </w:rPr>
        <w:t>Chlorella</w:t>
      </w:r>
      <w:r w:rsidRPr="00B77BD6">
        <w:rPr>
          <w:rFonts w:ascii="Times New Roman" w:hAnsi="Times New Roman"/>
          <w:noProof/>
          <w:sz w:val="18"/>
          <w:szCs w:val="18"/>
          <w:shd w:val="clear" w:color="auto" w:fill="FFFFFF"/>
          <w:lang w:val="ms-MY"/>
        </w:rPr>
        <w:t xml:space="preserve"> sp. SAG 211-18. Mikroalga yang telah menjalani proses identifikasi kemudiannya dikultur menggunakan 3 kepekatan karbon dioksida yang berbeza (CO</w:t>
      </w:r>
      <w:r w:rsidRPr="00B77BD6">
        <w:rPr>
          <w:rFonts w:ascii="Times New Roman" w:hAnsi="Times New Roman"/>
          <w:noProof/>
          <w:sz w:val="18"/>
          <w:szCs w:val="18"/>
          <w:shd w:val="clear" w:color="auto" w:fill="FFFFFF"/>
          <w:vertAlign w:val="subscript"/>
          <w:lang w:val="ms-MY"/>
        </w:rPr>
        <w:t>2</w:t>
      </w:r>
      <w:r w:rsidRPr="00B77BD6">
        <w:rPr>
          <w:rFonts w:ascii="Times New Roman" w:hAnsi="Times New Roman"/>
          <w:noProof/>
          <w:sz w:val="18"/>
          <w:szCs w:val="18"/>
          <w:shd w:val="clear" w:color="auto" w:fill="FFFFFF"/>
          <w:lang w:val="ms-MY"/>
        </w:rPr>
        <w:t xml:space="preserve"> pada udara persekitaran, CO</w:t>
      </w:r>
      <w:r w:rsidRPr="00B77BD6">
        <w:rPr>
          <w:rFonts w:ascii="Times New Roman" w:hAnsi="Times New Roman"/>
          <w:noProof/>
          <w:sz w:val="18"/>
          <w:szCs w:val="18"/>
          <w:shd w:val="clear" w:color="auto" w:fill="FFFFFF"/>
          <w:vertAlign w:val="subscript"/>
          <w:lang w:val="ms-MY"/>
        </w:rPr>
        <w:t>2</w:t>
      </w:r>
      <w:r w:rsidRPr="00B77BD6">
        <w:rPr>
          <w:rFonts w:ascii="Times New Roman" w:hAnsi="Times New Roman"/>
          <w:noProof/>
          <w:sz w:val="18"/>
          <w:szCs w:val="18"/>
          <w:shd w:val="clear" w:color="auto" w:fill="FFFFFF"/>
          <w:lang w:val="ms-MY"/>
        </w:rPr>
        <w:t xml:space="preserve"> 1% dan CO</w:t>
      </w:r>
      <w:r w:rsidRPr="00B77BD6">
        <w:rPr>
          <w:rFonts w:ascii="Times New Roman" w:hAnsi="Times New Roman"/>
          <w:noProof/>
          <w:sz w:val="18"/>
          <w:szCs w:val="18"/>
          <w:shd w:val="clear" w:color="auto" w:fill="FFFFFF"/>
          <w:vertAlign w:val="subscript"/>
          <w:lang w:val="ms-MY"/>
        </w:rPr>
        <w:t>2</w:t>
      </w:r>
      <w:r w:rsidRPr="00B77BD6">
        <w:rPr>
          <w:rFonts w:ascii="Times New Roman" w:hAnsi="Times New Roman"/>
          <w:noProof/>
          <w:sz w:val="18"/>
          <w:szCs w:val="18"/>
          <w:shd w:val="clear" w:color="auto" w:fill="FFFFFF"/>
          <w:lang w:val="ms-MY"/>
        </w:rPr>
        <w:t xml:space="preserve"> 5%) dan hasil menunjukkan kadar pertumbuhan masing-masing adalah 0.4017 hari</w:t>
      </w:r>
      <w:r w:rsidRPr="00B77BD6">
        <w:rPr>
          <w:rFonts w:ascii="Times New Roman" w:hAnsi="Times New Roman"/>
          <w:noProof/>
          <w:sz w:val="18"/>
          <w:szCs w:val="18"/>
          <w:shd w:val="clear" w:color="auto" w:fill="FFFFFF"/>
          <w:vertAlign w:val="superscript"/>
          <w:lang w:val="ms-MY"/>
        </w:rPr>
        <w:t>-1</w:t>
      </w:r>
      <w:r w:rsidRPr="00B77BD6">
        <w:rPr>
          <w:rFonts w:ascii="Times New Roman" w:hAnsi="Times New Roman"/>
          <w:noProof/>
          <w:sz w:val="18"/>
          <w:szCs w:val="18"/>
          <w:shd w:val="clear" w:color="auto" w:fill="FFFFFF"/>
          <w:lang w:val="ms-MY"/>
        </w:rPr>
        <w:t>, 0.5752 hari</w:t>
      </w:r>
      <w:r w:rsidRPr="00B77BD6">
        <w:rPr>
          <w:rFonts w:ascii="Times New Roman" w:hAnsi="Times New Roman"/>
          <w:noProof/>
          <w:sz w:val="18"/>
          <w:szCs w:val="18"/>
          <w:shd w:val="clear" w:color="auto" w:fill="FFFFFF"/>
          <w:vertAlign w:val="superscript"/>
          <w:lang w:val="ms-MY"/>
        </w:rPr>
        <w:t>-1</w:t>
      </w:r>
      <w:r w:rsidRPr="00B77BD6">
        <w:rPr>
          <w:rFonts w:ascii="Times New Roman" w:hAnsi="Times New Roman"/>
          <w:noProof/>
          <w:sz w:val="18"/>
          <w:szCs w:val="18"/>
          <w:shd w:val="clear" w:color="auto" w:fill="FFFFFF"/>
          <w:lang w:val="ms-MY"/>
        </w:rPr>
        <w:t>, dan 0.4427 hari</w:t>
      </w:r>
      <w:r w:rsidRPr="00B77BD6">
        <w:rPr>
          <w:rFonts w:ascii="Times New Roman" w:hAnsi="Times New Roman"/>
          <w:noProof/>
          <w:sz w:val="18"/>
          <w:szCs w:val="18"/>
          <w:shd w:val="clear" w:color="auto" w:fill="FFFFFF"/>
          <w:vertAlign w:val="superscript"/>
          <w:lang w:val="ms-MY"/>
        </w:rPr>
        <w:t>-1</w:t>
      </w:r>
      <w:r w:rsidRPr="00B77BD6">
        <w:rPr>
          <w:rFonts w:ascii="Times New Roman" w:hAnsi="Times New Roman"/>
          <w:noProof/>
          <w:sz w:val="18"/>
          <w:szCs w:val="18"/>
          <w:shd w:val="clear" w:color="auto" w:fill="FFFFFF"/>
          <w:lang w:val="ms-MY"/>
        </w:rPr>
        <w:t>. Pada kepekatan CO</w:t>
      </w:r>
      <w:r w:rsidRPr="00B77BD6">
        <w:rPr>
          <w:rFonts w:ascii="Times New Roman" w:hAnsi="Times New Roman"/>
          <w:noProof/>
          <w:sz w:val="18"/>
          <w:szCs w:val="18"/>
          <w:shd w:val="clear" w:color="auto" w:fill="FFFFFF"/>
          <w:vertAlign w:val="subscript"/>
          <w:lang w:val="ms-MY"/>
        </w:rPr>
        <w:t>2</w:t>
      </w:r>
      <w:r w:rsidRPr="00B77BD6">
        <w:rPr>
          <w:rFonts w:ascii="Times New Roman" w:hAnsi="Times New Roman"/>
          <w:noProof/>
          <w:sz w:val="18"/>
          <w:szCs w:val="18"/>
          <w:shd w:val="clear" w:color="auto" w:fill="FFFFFF"/>
          <w:lang w:val="ms-MY"/>
        </w:rPr>
        <w:t xml:space="preserve"> yang berbeza (CO</w:t>
      </w:r>
      <w:r w:rsidRPr="00B77BD6">
        <w:rPr>
          <w:rFonts w:ascii="Times New Roman" w:hAnsi="Times New Roman"/>
          <w:noProof/>
          <w:sz w:val="18"/>
          <w:szCs w:val="18"/>
          <w:shd w:val="clear" w:color="auto" w:fill="FFFFFF"/>
          <w:vertAlign w:val="subscript"/>
          <w:lang w:val="ms-MY"/>
        </w:rPr>
        <w:t>2</w:t>
      </w:r>
      <w:r w:rsidRPr="00B77BD6">
        <w:rPr>
          <w:rFonts w:ascii="Times New Roman" w:hAnsi="Times New Roman"/>
          <w:noProof/>
          <w:sz w:val="18"/>
          <w:szCs w:val="18"/>
          <w:shd w:val="clear" w:color="auto" w:fill="FFFFFF"/>
          <w:lang w:val="ms-MY"/>
        </w:rPr>
        <w:t xml:space="preserve"> pada udara persekitaran, CO</w:t>
      </w:r>
      <w:r w:rsidRPr="00B77BD6">
        <w:rPr>
          <w:rFonts w:ascii="Times New Roman" w:hAnsi="Times New Roman"/>
          <w:noProof/>
          <w:sz w:val="18"/>
          <w:szCs w:val="18"/>
          <w:shd w:val="clear" w:color="auto" w:fill="FFFFFF"/>
          <w:vertAlign w:val="subscript"/>
          <w:lang w:val="ms-MY"/>
        </w:rPr>
        <w:t>2</w:t>
      </w:r>
      <w:r w:rsidRPr="00B77BD6">
        <w:rPr>
          <w:rFonts w:ascii="Times New Roman" w:hAnsi="Times New Roman"/>
          <w:noProof/>
          <w:sz w:val="18"/>
          <w:szCs w:val="18"/>
          <w:shd w:val="clear" w:color="auto" w:fill="FFFFFF"/>
          <w:lang w:val="ms-MY"/>
        </w:rPr>
        <w:t xml:space="preserve"> 1% dan CO</w:t>
      </w:r>
      <w:r w:rsidRPr="00B77BD6">
        <w:rPr>
          <w:rFonts w:ascii="Times New Roman" w:hAnsi="Times New Roman"/>
          <w:noProof/>
          <w:sz w:val="18"/>
          <w:szCs w:val="18"/>
          <w:shd w:val="clear" w:color="auto" w:fill="FFFFFF"/>
          <w:vertAlign w:val="subscript"/>
          <w:lang w:val="ms-MY"/>
        </w:rPr>
        <w:t>2</w:t>
      </w:r>
      <w:r w:rsidRPr="00B77BD6">
        <w:rPr>
          <w:rFonts w:ascii="Times New Roman" w:hAnsi="Times New Roman"/>
          <w:noProof/>
          <w:sz w:val="18"/>
          <w:szCs w:val="18"/>
          <w:shd w:val="clear" w:color="auto" w:fill="FFFFFF"/>
          <w:lang w:val="ms-MY"/>
        </w:rPr>
        <w:t xml:space="preserve"> 5%), hasil biojisim yang terkumpul daripada pengkulturan mikroalga masing-masing </w:t>
      </w:r>
      <w:r w:rsidRPr="00B77BD6">
        <w:rPr>
          <w:rFonts w:ascii="Times New Roman" w:hAnsi="Times New Roman"/>
          <w:noProof/>
          <w:sz w:val="18"/>
          <w:szCs w:val="18"/>
          <w:shd w:val="clear" w:color="auto" w:fill="FFFFFF"/>
          <w:lang w:val="ms-MY"/>
        </w:rPr>
        <w:lastRenderedPageBreak/>
        <w:t xml:space="preserve">adalah </w:t>
      </w:r>
      <w:r w:rsidRPr="00B77BD6">
        <w:rPr>
          <w:rFonts w:ascii="Times New Roman" w:hAnsi="Times New Roman"/>
          <w:noProof/>
          <w:sz w:val="18"/>
          <w:szCs w:val="18"/>
          <w:lang w:val="ms-MY"/>
        </w:rPr>
        <w:t>1.005gL</w:t>
      </w:r>
      <w:r w:rsidRPr="00B77BD6">
        <w:rPr>
          <w:rFonts w:ascii="Times New Roman" w:hAnsi="Times New Roman"/>
          <w:noProof/>
          <w:sz w:val="18"/>
          <w:szCs w:val="18"/>
          <w:vertAlign w:val="superscript"/>
          <w:lang w:val="ms-MY"/>
        </w:rPr>
        <w:t>-1</w:t>
      </w:r>
      <w:r w:rsidRPr="00B77BD6">
        <w:rPr>
          <w:rFonts w:ascii="Times New Roman" w:hAnsi="Times New Roman"/>
          <w:noProof/>
          <w:sz w:val="18"/>
          <w:szCs w:val="18"/>
          <w:lang w:val="ms-MY"/>
        </w:rPr>
        <w:t>, 1.101gL</w:t>
      </w:r>
      <w:r w:rsidRPr="00B77BD6">
        <w:rPr>
          <w:rFonts w:ascii="Times New Roman" w:hAnsi="Times New Roman"/>
          <w:noProof/>
          <w:sz w:val="18"/>
          <w:szCs w:val="18"/>
          <w:vertAlign w:val="superscript"/>
          <w:lang w:val="ms-MY"/>
        </w:rPr>
        <w:t>-1</w:t>
      </w:r>
      <w:r w:rsidRPr="00B77BD6">
        <w:rPr>
          <w:rFonts w:ascii="Times New Roman" w:hAnsi="Times New Roman"/>
          <w:noProof/>
          <w:sz w:val="18"/>
          <w:szCs w:val="18"/>
          <w:lang w:val="ms-MY"/>
        </w:rPr>
        <w:t xml:space="preserve"> dan 1.035gL</w:t>
      </w:r>
      <w:r w:rsidRPr="00B77BD6">
        <w:rPr>
          <w:rFonts w:ascii="Times New Roman" w:hAnsi="Times New Roman"/>
          <w:noProof/>
          <w:sz w:val="18"/>
          <w:szCs w:val="18"/>
          <w:vertAlign w:val="superscript"/>
          <w:lang w:val="ms-MY"/>
        </w:rPr>
        <w:t>-1</w:t>
      </w:r>
      <w:r w:rsidRPr="00B77BD6">
        <w:rPr>
          <w:rFonts w:ascii="Times New Roman" w:hAnsi="Times New Roman"/>
          <w:noProof/>
          <w:sz w:val="18"/>
          <w:szCs w:val="18"/>
          <w:shd w:val="clear" w:color="auto" w:fill="FFFFFF"/>
          <w:lang w:val="ms-MY"/>
        </w:rPr>
        <w:t>. Kajian juga menunjukkan pada kepekatan CO</w:t>
      </w:r>
      <w:r w:rsidRPr="00B77BD6">
        <w:rPr>
          <w:rFonts w:ascii="Times New Roman" w:hAnsi="Times New Roman"/>
          <w:noProof/>
          <w:sz w:val="18"/>
          <w:szCs w:val="18"/>
          <w:shd w:val="clear" w:color="auto" w:fill="FFFFFF"/>
          <w:vertAlign w:val="subscript"/>
          <w:lang w:val="ms-MY"/>
        </w:rPr>
        <w:t>2</w:t>
      </w:r>
      <w:r w:rsidRPr="00B77BD6">
        <w:rPr>
          <w:rFonts w:ascii="Times New Roman" w:hAnsi="Times New Roman"/>
          <w:noProof/>
          <w:sz w:val="18"/>
          <w:szCs w:val="18"/>
          <w:shd w:val="clear" w:color="auto" w:fill="FFFFFF"/>
          <w:lang w:val="ms-MY"/>
        </w:rPr>
        <w:t xml:space="preserve"> yang berbeza, kadar pemerangkapan karbon dioksida adalah pada kadar 1% sehingga 4.3%.</w:t>
      </w:r>
    </w:p>
    <w:p w:rsidR="00B77BD6" w:rsidRPr="00B77BD6" w:rsidRDefault="00B77BD6" w:rsidP="00B77BD6">
      <w:pPr>
        <w:spacing w:after="0" w:line="240" w:lineRule="auto"/>
        <w:jc w:val="both"/>
        <w:outlineLvl w:val="0"/>
        <w:rPr>
          <w:rFonts w:ascii="Times New Roman" w:hAnsi="Times New Roman"/>
          <w:noProof/>
          <w:sz w:val="18"/>
          <w:szCs w:val="18"/>
          <w:lang w:val="ms-MY"/>
        </w:rPr>
      </w:pPr>
    </w:p>
    <w:p w:rsidR="00B77BD6" w:rsidRPr="00B77BD6" w:rsidRDefault="00B77BD6" w:rsidP="00B77BD6">
      <w:pPr>
        <w:spacing w:after="0" w:line="240" w:lineRule="auto"/>
        <w:jc w:val="both"/>
        <w:outlineLvl w:val="0"/>
        <w:rPr>
          <w:rFonts w:ascii="Times New Roman" w:hAnsi="Times New Roman"/>
          <w:b/>
          <w:noProof/>
          <w:sz w:val="18"/>
          <w:szCs w:val="18"/>
          <w:lang w:val="ms-MY"/>
        </w:rPr>
      </w:pPr>
      <w:r w:rsidRPr="00B77BD6">
        <w:rPr>
          <w:rFonts w:ascii="Times New Roman" w:hAnsi="Times New Roman"/>
          <w:b/>
          <w:noProof/>
          <w:sz w:val="18"/>
          <w:szCs w:val="18"/>
          <w:lang w:val="ms-MY"/>
        </w:rPr>
        <w:t xml:space="preserve">Kata kunci: </w:t>
      </w:r>
      <w:r>
        <w:rPr>
          <w:rFonts w:ascii="Times New Roman" w:hAnsi="Times New Roman"/>
          <w:b/>
          <w:noProof/>
          <w:sz w:val="18"/>
          <w:szCs w:val="18"/>
          <w:lang w:val="ms-MY"/>
        </w:rPr>
        <w:t xml:space="preserve"> </w:t>
      </w:r>
      <w:r w:rsidRPr="00B77BD6">
        <w:rPr>
          <w:rFonts w:ascii="Times New Roman" w:hAnsi="Times New Roman"/>
          <w:noProof/>
          <w:sz w:val="18"/>
          <w:szCs w:val="18"/>
          <w:lang w:val="ms-MY"/>
        </w:rPr>
        <w:t>mikroalga, pemencilan, penulenan, penjujukan DNA</w:t>
      </w:r>
      <w:r w:rsidRPr="00B77BD6">
        <w:rPr>
          <w:rFonts w:ascii="Times New Roman" w:hAnsi="Times New Roman"/>
          <w:b/>
          <w:noProof/>
          <w:sz w:val="18"/>
          <w:szCs w:val="18"/>
          <w:lang w:val="ms-MY"/>
        </w:rPr>
        <w:t xml:space="preserve"> </w:t>
      </w:r>
    </w:p>
    <w:p w:rsidR="006768E9" w:rsidRDefault="006768E9" w:rsidP="00B77BD6">
      <w:pPr>
        <w:spacing w:after="0" w:line="240" w:lineRule="auto"/>
        <w:jc w:val="center"/>
        <w:rPr>
          <w:rFonts w:ascii="Times New Roman" w:hAnsi="Times New Roman"/>
          <w:noProof/>
          <w:sz w:val="20"/>
          <w:szCs w:val="20"/>
          <w:lang w:bidi="ar-SA"/>
        </w:rPr>
      </w:pPr>
    </w:p>
    <w:p w:rsidR="00494C46" w:rsidRPr="00BE7C30" w:rsidRDefault="00494C46"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B77BD6" w:rsidRDefault="00B77BD6" w:rsidP="00B77BD6">
      <w:pPr>
        <w:spacing w:after="0" w:line="240" w:lineRule="auto"/>
        <w:jc w:val="both"/>
        <w:rPr>
          <w:rFonts w:ascii="Times New Roman" w:hAnsi="Times New Roman"/>
          <w:spacing w:val="-2"/>
          <w:sz w:val="20"/>
          <w:szCs w:val="20"/>
          <w:lang w:val="en-GB"/>
        </w:rPr>
      </w:pPr>
      <w:r w:rsidRPr="00B77BD6">
        <w:rPr>
          <w:rFonts w:ascii="Times New Roman" w:hAnsi="Times New Roman"/>
          <w:spacing w:val="-2"/>
          <w:sz w:val="20"/>
          <w:szCs w:val="20"/>
          <w:lang w:val="en-GB"/>
        </w:rPr>
        <w:t>Studies on microalgae mostly ranging around the ability of biomass accumulation for food additive, colouring and high value product such as anti-oxidant. This research field has been widely explore in the previous decade and the exploration on other branches of microalgae utilization has taken place recently due to environmental concern especially regarding to global warming due to the rising of carbon dioxide produce by human activities [</w:t>
      </w:r>
      <w:r w:rsidRPr="00B77BD6">
        <w:rPr>
          <w:rFonts w:ascii="Times New Roman" w:hAnsi="Times New Roman"/>
          <w:spacing w:val="-2"/>
          <w:sz w:val="20"/>
          <w:szCs w:val="20"/>
          <w:lang w:val="en-GB"/>
        </w:rPr>
        <w:fldChar w:fldCharType="begin" w:fldLock="1"/>
      </w:r>
      <w:r w:rsidRPr="00B77BD6">
        <w:rPr>
          <w:rFonts w:ascii="Times New Roman" w:hAnsi="Times New Roman"/>
          <w:spacing w:val="-2"/>
          <w:sz w:val="20"/>
          <w:szCs w:val="20"/>
          <w:lang w:val="en-GB"/>
        </w:rPr>
        <w:instrText>ADDIN CSL_CITATION { "citationItems" : [ { "id" : "ITEM-1", "itemData" : { "ISSN" : "1389-1723", "PMID" : "16232418", "abstract" : "Growing interest in polyunsaturated fatty acid (PUFA) applications in various fields coupled with their significance in health and dietary requirements has focused attention on the provision of suitable sources of these compounds. Isolation of highly efficient oleaginous microorganisms has led to the development of fermentation technologies as an alternative to agricultural and animal processes. Particularly active in PUFA synthesis are the Zygomycetes fungi and certain microalgae. Emphasis is placed on increasing the product value by employing new biotechnological strategies (e.g. mutation techniques, molecular engineering and biotransformations) which allow the regulation of microbial PUFA formation with satisfactory yield in order to be competitive with other sources. Comparative successes in fungal PUFA production demonstrate microbial potential to synthesize high-value oils and provide the main stimulus for their applications.", "author" : [ { "dropping-particle" : "", "family" : "Certik", "given" : "M", "non-dropping-particle" : "", "parse-names" : false, "suffix" : "" }, { "dropping-particle" : "", "family" : "Shimizu", "given" : "S", "non-dropping-particle" : "", "parse-names" : false, "suffix" : "" } ], "container-title" : "Journal of bioscience and bioengineering", "id" : "ITEM-1", "issue" : "1", "issued" : { "date-parts" : [ [ "1999", "1" ] ] }, "page" : "1-14", "title" : "Biosynthesis and regulation of microbial polyunsaturated fatty acid production.", "type" : "article-journal", "volume" : "87" }, "uris" : [ "http://www.mendeley.com/documents/?uuid=b70cdcd8-eae7-47aa-bdcc-a529d8d271b7" ] } ], "mendeley" : { "formattedCitation" : "&lt;sup&gt;1&lt;/sup&gt;", "plainTextFormattedCitation" : "1", "previouslyFormattedCitation" : "&lt;sup&gt;1&lt;/sup&gt;" }, "properties" : { "noteIndex" : 0 }, "schema" : "https://github.com/citation-style-language/schema/raw/master/csl-citation.json" }</w:instrText>
      </w:r>
      <w:r w:rsidRPr="00B77BD6">
        <w:rPr>
          <w:rFonts w:ascii="Times New Roman" w:hAnsi="Times New Roman"/>
          <w:spacing w:val="-2"/>
          <w:sz w:val="20"/>
          <w:szCs w:val="20"/>
          <w:lang w:val="en-GB"/>
        </w:rPr>
        <w:fldChar w:fldCharType="separate"/>
      </w:r>
      <w:r w:rsidRPr="00B77BD6">
        <w:rPr>
          <w:rFonts w:ascii="Times New Roman" w:hAnsi="Times New Roman"/>
          <w:noProof/>
          <w:spacing w:val="-2"/>
          <w:sz w:val="20"/>
          <w:szCs w:val="20"/>
          <w:lang w:val="en-GB"/>
        </w:rPr>
        <w:t>1</w:t>
      </w:r>
      <w:r w:rsidRPr="00B77BD6">
        <w:rPr>
          <w:rFonts w:ascii="Times New Roman" w:hAnsi="Times New Roman"/>
          <w:spacing w:val="-2"/>
          <w:sz w:val="20"/>
          <w:szCs w:val="20"/>
          <w:lang w:val="en-GB"/>
        </w:rPr>
        <w:fldChar w:fldCharType="end"/>
      </w:r>
      <w:r w:rsidRPr="00B77BD6">
        <w:rPr>
          <w:rFonts w:ascii="Times New Roman" w:hAnsi="Times New Roman"/>
          <w:spacing w:val="-2"/>
          <w:sz w:val="20"/>
          <w:szCs w:val="20"/>
          <w:lang w:val="en-GB"/>
        </w:rPr>
        <w:t xml:space="preserve"> – </w:t>
      </w:r>
      <w:r w:rsidRPr="00B77BD6">
        <w:rPr>
          <w:rFonts w:ascii="Times New Roman" w:hAnsi="Times New Roman"/>
          <w:spacing w:val="-2"/>
          <w:sz w:val="20"/>
          <w:szCs w:val="20"/>
          <w:lang w:val="en-GB"/>
        </w:rPr>
        <w:fldChar w:fldCharType="begin" w:fldLock="1"/>
      </w:r>
      <w:r w:rsidRPr="00B77BD6">
        <w:rPr>
          <w:rFonts w:ascii="Times New Roman" w:hAnsi="Times New Roman"/>
          <w:spacing w:val="-2"/>
          <w:sz w:val="20"/>
          <w:szCs w:val="20"/>
          <w:lang w:val="en-GB"/>
        </w:rPr>
        <w:instrText>ADDIN CSL_CITATION { "citationItems" : [ { "id" : "ITEM-1", "itemData" : { "DOI" : "10.1016/j.biombioe.2011.10.046", "ISSN" : "09619534", "author" : [ { "dropping-particle" : "", "family" : "Kao", "given" : "Chien-Ya", "non-dropping-particle" : "", "parse-names" : false, "suffix" : "" }, { "dropping-particle" : "", "family" : "Chiu", "given" : "Sheng-Yi", "non-dropping-particle" : "", "parse-names" : false, "suffix" : "" }, { "dropping-particle" : "", "family" : "Huang", "given" : "Tzu-Ting", "non-dropping-particle" : "", "parse-names" : false, "suffix" : "" }, { "dropping-particle" : "", "family" : "Dai", "given" : "Le", "non-dropping-particle" : "", "parse-names" : false, "suffix" : "" }, { "dropping-particle" : "", "family" : "Wang", "given" : "Guan-Hua", "non-dropping-particle" : "", "parse-names" : false, "suffix" : "" }, { "dropping-particle" : "", "family" : "Tseng", "given" : "Ching-Ping", "non-dropping-particle" : "", "parse-names" : false, "suffix" : "" }, { "dropping-particle" : "", "family" : "Chen", "given" : "Chiun-Hsun", "non-dropping-particle" : "", "parse-names" : false, "suffix" : "" }, { "dropping-particle" : "", "family" : "Lin", "given" : "Chih-Sheng", "non-dropping-particle" : "", "parse-names" : false, "suffix" : "" } ], "container-title" : "Biomass and Bioenergy", "id" : "ITEM-1", "issued" : { "date-parts" : [ [ "2012", "1" ] ] }, "page" : "132-140", "publisher" : "Elsevier Ltd", "title" : "A mutant strain of microalga Chlorella sp. for the carbon dioxide capture from biogas", "type" : "article-journal", "volume" : "36" }, "uris" : [ "http://www.mendeley.com/documents/?uuid=9181bae8-b8c3-4877-b4b8-4f4d25d457db" ] } ], "mendeley" : { "formattedCitation" : "&lt;sup&gt;4&lt;/sup&gt;", "plainTextFormattedCitation" : "4", "previouslyFormattedCitation" : "&lt;sup&gt;4&lt;/sup&gt;" }, "properties" : { "noteIndex" : 0 }, "schema" : "https://github.com/citation-style-language/schema/raw/master/csl-citation.json" }</w:instrText>
      </w:r>
      <w:r w:rsidRPr="00B77BD6">
        <w:rPr>
          <w:rFonts w:ascii="Times New Roman" w:hAnsi="Times New Roman"/>
          <w:spacing w:val="-2"/>
          <w:sz w:val="20"/>
          <w:szCs w:val="20"/>
          <w:lang w:val="en-GB"/>
        </w:rPr>
        <w:fldChar w:fldCharType="separate"/>
      </w:r>
      <w:r w:rsidRPr="00B77BD6">
        <w:rPr>
          <w:rFonts w:ascii="Times New Roman" w:hAnsi="Times New Roman"/>
          <w:noProof/>
          <w:spacing w:val="-2"/>
          <w:sz w:val="20"/>
          <w:szCs w:val="20"/>
          <w:lang w:val="en-GB"/>
        </w:rPr>
        <w:t>4</w:t>
      </w:r>
      <w:r w:rsidRPr="00B77BD6">
        <w:rPr>
          <w:rFonts w:ascii="Times New Roman" w:hAnsi="Times New Roman"/>
          <w:spacing w:val="-2"/>
          <w:sz w:val="20"/>
          <w:szCs w:val="20"/>
          <w:lang w:val="en-GB"/>
        </w:rPr>
        <w:fldChar w:fldCharType="end"/>
      </w:r>
      <w:r w:rsidRPr="00B77BD6">
        <w:rPr>
          <w:rFonts w:ascii="Times New Roman" w:hAnsi="Times New Roman"/>
          <w:spacing w:val="-2"/>
          <w:sz w:val="20"/>
          <w:szCs w:val="20"/>
          <w:lang w:val="en-GB"/>
        </w:rPr>
        <w:t>]. Microalgae are a robust microorganism which can survive and thrive in different mode; photo-autotrophic, mixotrophic, heterotrophic and some mixture of complex metabolism to survive in harsh culture condition [</w:t>
      </w:r>
      <w:r w:rsidRPr="00B77BD6">
        <w:rPr>
          <w:rFonts w:ascii="Times New Roman" w:hAnsi="Times New Roman"/>
          <w:spacing w:val="-2"/>
          <w:sz w:val="20"/>
          <w:szCs w:val="20"/>
          <w:lang w:val="en-GB"/>
        </w:rPr>
        <w:fldChar w:fldCharType="begin" w:fldLock="1"/>
      </w:r>
      <w:r w:rsidRPr="00B77BD6">
        <w:rPr>
          <w:rFonts w:ascii="Times New Roman" w:hAnsi="Times New Roman"/>
          <w:spacing w:val="-2"/>
          <w:sz w:val="20"/>
          <w:szCs w:val="20"/>
          <w:lang w:val="en-GB"/>
        </w:rPr>
        <w:instrText>ADDIN CSL_CITATION { "citationItems" : [ { "id" : "ITEM-1", "itemData" : { "DOI" : "10.1007/s10529-009-9975-7", "ISSN" : "1573-6776", "PMID" : "19322523", "abstract" : "Biomass and lipid productivities of Chlorella vulgaris under different growth conditions were investigated. While autotrophic growth did provide higher cellular lipid content (38%), the lipid productivity was much lower compared with those from heterotrophic growth with acetate, glucose, or glycerol. Optimal cell growth (2 g l(-1)) and lipid productivity (54 mg l(-1) day(-1)) were attained using glucose at 1% (w/v) whereas higher concentrations were inhibitory. Growth of C. vulgaris on glycerol had a similar dose effects as those from glucose. Overall, C. vulgaris is mixotrophic.", "author" : [ { "dropping-particle" : "", "family" : "Liang", "given" : "Yanna", "non-dropping-particle" : "", "parse-names" : false, "suffix" : "" }, { "dropping-particle" : "", "family" : "Sarkany", "given" : "Nicolas", "non-dropping-particle" : "", "parse-names" : false, "suffix" : "" }, { "dropping-particle" : "", "family" : "Cui", "given" : "Yi", "non-dropping-particle" : "", "parse-names" : false, "suffix" : "" } ], "container-title" : "Biotechnology letters", "id" : "ITEM-1", "issue" : "7", "issued" : { "date-parts" : [ [ "2009", "7" ] ] }, "page" : "1043-9", "title" : "Biomass and lipid productivities of Chlorella vulgaris under autotrophic, heterotrophic and mixotrophic growth conditions.", "type" : "article-journal", "volume" : "31" }, "uris" : [ "http://www.mendeley.com/documents/?uuid=4312a727-880a-41bb-8126-b69c82c0bb97" ] } ], "mendeley" : { "formattedCitation" : "&lt;sup&gt;5&lt;/sup&gt;", "plainTextFormattedCitation" : "5", "previouslyFormattedCitation" : "&lt;sup&gt;5&lt;/sup&gt;" }, "properties" : { "noteIndex" : 0 }, "schema" : "https://github.com/citation-style-language/schema/raw/master/csl-citation.json" }</w:instrText>
      </w:r>
      <w:r w:rsidRPr="00B77BD6">
        <w:rPr>
          <w:rFonts w:ascii="Times New Roman" w:hAnsi="Times New Roman"/>
          <w:spacing w:val="-2"/>
          <w:sz w:val="20"/>
          <w:szCs w:val="20"/>
          <w:lang w:val="en-GB"/>
        </w:rPr>
        <w:fldChar w:fldCharType="separate"/>
      </w:r>
      <w:r w:rsidRPr="00B77BD6">
        <w:rPr>
          <w:rFonts w:ascii="Times New Roman" w:hAnsi="Times New Roman"/>
          <w:noProof/>
          <w:spacing w:val="-2"/>
          <w:sz w:val="20"/>
          <w:szCs w:val="20"/>
          <w:lang w:val="en-GB"/>
        </w:rPr>
        <w:t>5</w:t>
      </w:r>
      <w:r w:rsidRPr="00B77BD6">
        <w:rPr>
          <w:rFonts w:ascii="Times New Roman" w:hAnsi="Times New Roman"/>
          <w:spacing w:val="-2"/>
          <w:sz w:val="20"/>
          <w:szCs w:val="20"/>
          <w:lang w:val="en-GB"/>
        </w:rPr>
        <w:fldChar w:fldCharType="end"/>
      </w:r>
      <w:r w:rsidRPr="00B77BD6">
        <w:rPr>
          <w:rFonts w:ascii="Times New Roman" w:hAnsi="Times New Roman"/>
          <w:spacing w:val="-2"/>
          <w:sz w:val="20"/>
          <w:szCs w:val="20"/>
          <w:lang w:val="en-GB"/>
        </w:rPr>
        <w:t xml:space="preserve"> – </w:t>
      </w:r>
      <w:r w:rsidRPr="00B77BD6">
        <w:rPr>
          <w:rFonts w:ascii="Times New Roman" w:hAnsi="Times New Roman"/>
          <w:spacing w:val="-2"/>
          <w:sz w:val="20"/>
          <w:szCs w:val="20"/>
          <w:lang w:val="en-GB"/>
        </w:rPr>
        <w:fldChar w:fldCharType="begin" w:fldLock="1"/>
      </w:r>
      <w:r w:rsidRPr="00B77BD6">
        <w:rPr>
          <w:rFonts w:ascii="Times New Roman" w:hAnsi="Times New Roman"/>
          <w:spacing w:val="-2"/>
          <w:sz w:val="20"/>
          <w:szCs w:val="20"/>
          <w:lang w:val="en-GB"/>
        </w:rPr>
        <w:instrText>ADDIN CSL_CITATION { "citationItems" : [ { "id" : "ITEM-1", "itemData" : { "DOI" : "10.1016/j.algal.2013.12.005", "ISSN" : "22119264", "author" : [ { "dropping-particle" : "", "family" : "Wensel", "given" : "Pierre", "non-dropping-particle" : "", "parse-names" : false, "suffix" : "" }, { "dropping-particle" : "", "family" : "Helms", "given" : "Greg", "non-dropping-particle" : "", "parse-names" : false, "suffix" : "" }, { "dropping-particle" : "", "family" : "Hiscox", "given" : "Bill", "non-dropping-particle" : "", "parse-names" : false, "suffix" : "" }, { "dropping-particle" : "", "family" : "Davis", "given" : "William C.", "non-dropping-particle" : "", "parse-names" : false, "suffix" : "" }, { "dropping-particle" : "", "family" : "Kirchhoff", "given" : "Helmut", "non-dropping-particle" : "", "parse-names" : false, "suffix" : "" }, { "dropping-particle" : "", "family" : "Bule", "given" : "Mahesh", "non-dropping-particle" : "", "parse-names" : false, "suffix" : "" }, { "dropping-particle" : "", "family" : "Yu", "given" : "Liang", "non-dropping-particle" : "", "parse-names" : false, "suffix" : "" }, { "dropping-particle" : "", "family" : "Chen", "given" : "Shulin", "non-dropping-particle" : "", "parse-names" : false, "suffix" : "" } ], "container-title" : "Algal Research", "id" : "ITEM-1", "issued" : { "date-parts" : [ [ "2014", "4" ] ] }, "page" : "2-11", "publisher" : "Elsevier B.V.", "title" : "Isolation, characterization, and validation of oleaginous, multi-trophic, and haloalkaline-tolerant microalgae for two-stage cultivation", "type" : "article-journal", "volume" : "4" }, "uris" : [ "http://www.mendeley.com/documents/?uuid=bb62ac51-434b-4710-995c-5b6a11e1c489" ] } ], "mendeley" : { "formattedCitation" : "&lt;sup&gt;8&lt;/sup&gt;", "plainTextFormattedCitation" : "8", "previouslyFormattedCitation" : "&lt;sup&gt;8&lt;/sup&gt;" }, "properties" : { "noteIndex" : 0 }, "schema" : "https://github.com/citation-style-language/schema/raw/master/csl-citation.json" }</w:instrText>
      </w:r>
      <w:r w:rsidRPr="00B77BD6">
        <w:rPr>
          <w:rFonts w:ascii="Times New Roman" w:hAnsi="Times New Roman"/>
          <w:spacing w:val="-2"/>
          <w:sz w:val="20"/>
          <w:szCs w:val="20"/>
          <w:lang w:val="en-GB"/>
        </w:rPr>
        <w:fldChar w:fldCharType="separate"/>
      </w:r>
      <w:r w:rsidRPr="00B77BD6">
        <w:rPr>
          <w:rFonts w:ascii="Times New Roman" w:hAnsi="Times New Roman"/>
          <w:noProof/>
          <w:spacing w:val="-2"/>
          <w:sz w:val="20"/>
          <w:szCs w:val="20"/>
          <w:lang w:val="en-GB"/>
        </w:rPr>
        <w:t>8</w:t>
      </w:r>
      <w:r w:rsidRPr="00B77BD6">
        <w:rPr>
          <w:rFonts w:ascii="Times New Roman" w:hAnsi="Times New Roman"/>
          <w:spacing w:val="-2"/>
          <w:sz w:val="20"/>
          <w:szCs w:val="20"/>
          <w:lang w:val="en-GB"/>
        </w:rPr>
        <w:fldChar w:fldCharType="end"/>
      </w:r>
      <w:r w:rsidRPr="00B77BD6">
        <w:rPr>
          <w:rFonts w:ascii="Times New Roman" w:hAnsi="Times New Roman"/>
          <w:spacing w:val="-2"/>
          <w:sz w:val="20"/>
          <w:szCs w:val="20"/>
          <w:lang w:val="en-GB"/>
        </w:rPr>
        <w:t>]. The ability of microalgae to conduct photo-autotrophic showed that microalgae has the potential to be applied in the process of carbon capture and storage (CCS) [</w:t>
      </w:r>
      <w:r w:rsidRPr="00B77BD6">
        <w:rPr>
          <w:rFonts w:ascii="Times New Roman" w:hAnsi="Times New Roman"/>
          <w:spacing w:val="-2"/>
          <w:sz w:val="20"/>
          <w:szCs w:val="20"/>
          <w:lang w:val="en-GB"/>
        </w:rPr>
        <w:fldChar w:fldCharType="begin" w:fldLock="1"/>
      </w:r>
      <w:r w:rsidRPr="00B77BD6">
        <w:rPr>
          <w:rFonts w:ascii="Times New Roman" w:hAnsi="Times New Roman"/>
          <w:spacing w:val="-2"/>
          <w:sz w:val="20"/>
          <w:szCs w:val="20"/>
          <w:lang w:val="en-GB"/>
        </w:rPr>
        <w:instrText>ADDIN CSL_CITATION { "citationItems" : [ { "id" : "ITEM-1", "itemData" : { "DOI" : "10.1016/j.rser.2012.02.055", "ISSN" : "13640321", "author" : [ { "dropping-particle" : "", "family" : "Pires", "given" : "J.C.M.", "non-dropping-particle" : "", "parse-names" : false, "suffix" : "" }, { "dropping-particle" : "", "family" : "Alvim-Ferraz", "given" : "M.C.M.", "non-dropping-particle" : "", "parse-names" : false, "suffix" : "" }, { "dropping-particle" : "", "family" : "Martins", "given" : "F.G.", "non-dropping-particle" : "", "parse-names" : false, "suffix" : "" }, { "dropping-particle" : "", "family" : "Sim\u00f5es", "given" : "M.", "non-dropping-particle" : "", "parse-names" : false, "suffix" : "" } ], "container-title" : "Renewable and Sustainable Energy Reviews", "id" : "ITEM-1", "issue" : "5", "issued" : { "date-parts" : [ [ "2012", "6" ] ] }, "page" : "3043-3053", "publisher" : "Elsevier Ltd", "title" : "Carbon dioxide capture from flue gases using microalgae: Engineering aspects and biorefinery concept", "type" : "article-journal", "volume" : "16" }, "uris" : [ "http://www.mendeley.com/documents/?uuid=907c9369-52db-46fe-ab00-6baafb34feab" ] } ], "mendeley" : { "formattedCitation" : "&lt;sup&gt;9&lt;/sup&gt;", "plainTextFormattedCitation" : "9", "previouslyFormattedCitation" : "&lt;sup&gt;9&lt;/sup&gt;" }, "properties" : { "noteIndex" : 0 }, "schema" : "https://github.com/citation-style-language/schema/raw/master/csl-citation.json" }</w:instrText>
      </w:r>
      <w:r w:rsidRPr="00B77BD6">
        <w:rPr>
          <w:rFonts w:ascii="Times New Roman" w:hAnsi="Times New Roman"/>
          <w:spacing w:val="-2"/>
          <w:sz w:val="20"/>
          <w:szCs w:val="20"/>
          <w:lang w:val="en-GB"/>
        </w:rPr>
        <w:fldChar w:fldCharType="separate"/>
      </w:r>
      <w:r w:rsidRPr="00B77BD6">
        <w:rPr>
          <w:rFonts w:ascii="Times New Roman" w:hAnsi="Times New Roman"/>
          <w:noProof/>
          <w:spacing w:val="-2"/>
          <w:sz w:val="20"/>
          <w:szCs w:val="20"/>
          <w:lang w:val="en-GB"/>
        </w:rPr>
        <w:t>9</w:t>
      </w:r>
      <w:r w:rsidRPr="00B77BD6">
        <w:rPr>
          <w:rFonts w:ascii="Times New Roman" w:hAnsi="Times New Roman"/>
          <w:spacing w:val="-2"/>
          <w:sz w:val="20"/>
          <w:szCs w:val="20"/>
          <w:lang w:val="en-GB"/>
        </w:rPr>
        <w:fldChar w:fldCharType="end"/>
      </w:r>
      <w:r w:rsidRPr="00B77BD6">
        <w:rPr>
          <w:rFonts w:ascii="Times New Roman" w:hAnsi="Times New Roman"/>
          <w:spacing w:val="-2"/>
          <w:sz w:val="20"/>
          <w:szCs w:val="20"/>
          <w:lang w:val="en-GB"/>
        </w:rPr>
        <w:t>].</w:t>
      </w:r>
    </w:p>
    <w:p w:rsidR="00B77BD6" w:rsidRPr="00B77BD6" w:rsidRDefault="00B77BD6" w:rsidP="00B77BD6">
      <w:pPr>
        <w:spacing w:after="0" w:line="240" w:lineRule="auto"/>
        <w:jc w:val="both"/>
        <w:rPr>
          <w:rFonts w:ascii="Times New Roman" w:hAnsi="Times New Roman"/>
          <w:spacing w:val="-2"/>
          <w:sz w:val="20"/>
          <w:szCs w:val="20"/>
          <w:lang w:val="en-GB"/>
        </w:rPr>
      </w:pPr>
    </w:p>
    <w:p w:rsidR="00B77BD6" w:rsidRPr="00B77BD6" w:rsidRDefault="00B77BD6" w:rsidP="00B77BD6">
      <w:pPr>
        <w:spacing w:after="0" w:line="240" w:lineRule="auto"/>
        <w:jc w:val="both"/>
        <w:rPr>
          <w:rFonts w:ascii="Times New Roman" w:hAnsi="Times New Roman"/>
          <w:spacing w:val="-2"/>
          <w:sz w:val="20"/>
          <w:szCs w:val="20"/>
          <w:lang w:val="en-GB"/>
        </w:rPr>
      </w:pPr>
      <w:r w:rsidRPr="00B77BD6">
        <w:rPr>
          <w:rFonts w:ascii="Times New Roman" w:hAnsi="Times New Roman"/>
          <w:spacing w:val="-2"/>
          <w:sz w:val="20"/>
          <w:szCs w:val="20"/>
          <w:lang w:val="en-GB"/>
        </w:rPr>
        <w:t>As the world progress and develop in becoming more advanced society, the energy demands around the world keep increasing year by year. Energy is a vital factor for progress to the advanced society since large scale activities such as urbanization, industrial activities; plantation, mining and livestock farming are becoming into commercial scale and subsequently demand higher energy input. Most of the world energy demand is supplied by fossil fuels burning power plants, which are using different sources of fossil fuel such as coal, natural gases, and petroleum based product [</w:t>
      </w:r>
      <w:r w:rsidRPr="00B77BD6">
        <w:rPr>
          <w:rFonts w:ascii="Times New Roman" w:hAnsi="Times New Roman"/>
          <w:spacing w:val="-2"/>
          <w:sz w:val="20"/>
          <w:szCs w:val="20"/>
          <w:lang w:val="en-GB"/>
        </w:rPr>
        <w:fldChar w:fldCharType="begin" w:fldLock="1"/>
      </w:r>
      <w:r w:rsidRPr="00B77BD6">
        <w:rPr>
          <w:rFonts w:ascii="Times New Roman" w:hAnsi="Times New Roman"/>
          <w:spacing w:val="-2"/>
          <w:sz w:val="20"/>
          <w:szCs w:val="20"/>
          <w:lang w:val="en-GB"/>
        </w:rPr>
        <w:instrText>ADDIN CSL_CITATION { "citationItems" : [ { "id" : "ITEM-1", "itemData" : { "DOI" : "10.1016/j.enconman.2011.04.021", "ISSN" : "01968904", "abstract" : "Microalgae have been studied for their potential use in foodstuffs, agriculture, in the treatment of wastewater and, in particular, in the reduction of atmospheric carbon dioxide, the main cause of global warming. Thermoelectricity plants account for 22% of CO2 emitted into the atmosphere and native microalgae may be more tolerant to the gases emitted from burning fossil fuels. In the study presented here, microalgae were isolated from ponds next to a Thermoelectricity Plant, located in southern Brazil, and identified as Synechococcus nidulans and Chlorella vulgaris. The isolated microalgae were grown and compared with two different strains of microalgae, Spirulina sp. and Scenedesmus obliquus, for CO2 biofixation. The microalgae were exposed to 12% CO2, 60ppm of SO2 and 100ppm of NO, simulating a gas from coal combustion. The C. vulgaris had similar behavior to Spirulina sp., with 13.43% of maximum daily fixation. The microalgae with the greater fixing capacity were C. vulgaris and Spirulina sp. and these can be grown in electric power plants for CO2 biofixation of the coal combustion gas, which would help reduce global warming.", "author" : [ { "dropping-particle" : "", "family" : "Radmann", "given" : "Elisangela Martha", "non-dropping-particle" : "", "parse-names" : false, "suffix" : "" }, { "dropping-particle" : "", "family" : "Camerini", "given" : "Felipe Vieira", "non-dropping-particle" : "", "parse-names" : false, "suffix" : "" }, { "dropping-particle" : "", "family" : "Santos", "given" : "Thaisa Duarte", "non-dropping-particle" : "", "parse-names" : false, "suffix" : "" }, { "dropping-particle" : "", "family" : "Costa", "given" : "Jorge Alberto Vieira", "non-dropping-particle" : "", "parse-names" : false, "suffix" : "" } ], "container-title" : "Energy Conversion and Management", "id" : "ITEM-1", "issue" : "10", "issued" : { "date-parts" : [ [ "2011", "9" ] ] }, "page" : "3132-3136", "title" : "Isolation and application of SOX and NOX resistant microalgae in biofixation of CO2 from thermoelectricity plants", "type" : "article-journal", "volume" : "52" }, "uris" : [ "http://www.mendeley.com/documents/?uuid=434ce12d-978c-4eb4-825e-041eeebcd4d3" ] }, { "id" : "ITEM-2", "itemData" : { "DOI" : "10.1016/j.enconman.2006.12.011", "ISSN" : "01968904", "abstract" : "Global warming is thought to be caused mainly by the emission of carbon dioxide (CO2), with thermoelectric power plants being responsible for about 7% of global CO2 emissions. Microalgae can reduce CO2 emissions from thermoelectric power plants, but for this use, they must be resistant to the mixture of gases produced by the power plants. We isolated the microalgae Scenedesmus obliquus and Chlorella kessleri from the waste treatment ponds of the Presidente M\u00e9dici coal fired thermoelectric power plant in the Southernmost Brazilian state of Rio Grande do Sul and investigated their growth characteristics when exposed to different concentrations of CO2. When cultivated with 6% and 12% CO2, C. kessleri showed a high maximum specific growth rate (\u03bcmax) of 0.267/day, with a maximum biomass productivity (Pmax) of 0.087g/L/day at 6% CO2. For S. obliquus, the highest maximum dry weight biomass value was 1.14g/L with 12% CO2. We also found that these two microalgae also grew well when the culture medium contained up to 18% CO2, indicating that they have potential for biofixation of CO2 in thermoelectric power plants.", "author" : [ { "dropping-particle" : "", "family" : "Morais", "given" : "Michele Greque", "non-dropping-particle" : "de", "parse-names" : false, "suffix" : "" }, { "dropping-particle" : "", "family" : "Costa", "given" : "Jorge Alberto Vieira", "non-dropping-particle" : "", "parse-names" : false, "suffix" : "" } ], "container-title" : "Energy Conversion and Management", "id" : "ITEM-2", "issue" : "7", "issued" : { "date-parts" : [ [ "2007", "7" ] ] }, "page" : "2169-2173", "title" : "Isolation and selection of microalgae from coal fired thermoelectric power plant for biofixation of carbon dioxide", "type" : "article-journal", "volume" : "48" }, "uris" : [ "http://www.mendeley.com/documents/?uuid=0522b650-49b8-45f9-a06a-2065e52f64d1" ] } ], "mendeley" : { "formattedCitation" : "&lt;sup&gt;10,11&lt;/sup&gt;", "plainTextFormattedCitation" : "10,11", "previouslyFormattedCitation" : "&lt;sup&gt;10,11&lt;/sup&gt;" }, "properties" : { "noteIndex" : 0 }, "schema" : "https://github.com/citation-style-language/schema/raw/master/csl-citation.json" }</w:instrText>
      </w:r>
      <w:r w:rsidRPr="00B77BD6">
        <w:rPr>
          <w:rFonts w:ascii="Times New Roman" w:hAnsi="Times New Roman"/>
          <w:spacing w:val="-2"/>
          <w:sz w:val="20"/>
          <w:szCs w:val="20"/>
          <w:lang w:val="en-GB"/>
        </w:rPr>
        <w:fldChar w:fldCharType="separate"/>
      </w:r>
      <w:r w:rsidRPr="00B77BD6">
        <w:rPr>
          <w:rFonts w:ascii="Times New Roman" w:hAnsi="Times New Roman"/>
          <w:noProof/>
          <w:spacing w:val="-2"/>
          <w:sz w:val="20"/>
          <w:szCs w:val="20"/>
          <w:lang w:val="en-GB"/>
        </w:rPr>
        <w:t>10, 11</w:t>
      </w:r>
      <w:r w:rsidRPr="00B77BD6">
        <w:rPr>
          <w:rFonts w:ascii="Times New Roman" w:hAnsi="Times New Roman"/>
          <w:spacing w:val="-2"/>
          <w:sz w:val="20"/>
          <w:szCs w:val="20"/>
          <w:lang w:val="en-GB"/>
        </w:rPr>
        <w:fldChar w:fldCharType="end"/>
      </w:r>
      <w:r w:rsidRPr="00B77BD6">
        <w:rPr>
          <w:rFonts w:ascii="Times New Roman" w:hAnsi="Times New Roman"/>
          <w:spacing w:val="-2"/>
          <w:sz w:val="20"/>
          <w:szCs w:val="20"/>
          <w:lang w:val="en-GB"/>
        </w:rPr>
        <w:t>]. According to a report from Suruhanjaya Tenaga Malaysia, there are 4 main sources of fossil fuels are used as primary energy supply in Malaysia. The sources are crude oil, petroleum product, natural gas and, coal and coke [</w:t>
      </w:r>
      <w:r w:rsidRPr="00B77BD6">
        <w:rPr>
          <w:rFonts w:ascii="Times New Roman" w:hAnsi="Times New Roman"/>
          <w:spacing w:val="-2"/>
          <w:sz w:val="20"/>
          <w:szCs w:val="20"/>
          <w:lang w:val="en-GB"/>
        </w:rPr>
        <w:fldChar w:fldCharType="begin" w:fldLock="1"/>
      </w:r>
      <w:r w:rsidRPr="00B77BD6">
        <w:rPr>
          <w:rFonts w:ascii="Times New Roman" w:hAnsi="Times New Roman"/>
          <w:spacing w:val="-2"/>
          <w:sz w:val="20"/>
          <w:szCs w:val="20"/>
          <w:lang w:val="en-GB"/>
        </w:rPr>
        <w:instrText>ADDIN CSL_CITATION { "citationItems" : [ { "id" : "ITEM-1", "itemData" : { "author" : [ { "dropping-particle" : "", "family" : "Malaysia Energy Information Hub", "given" : "", "non-dropping-particle" : "", "parse-names" : false, "suffix" : "" } ], "id" : "ITEM-1", "issued" : { "date-parts" : [ [ "2013" ] ] }, "publisher-place" : "Putrajaya, Malaysia", "title" : "Primary Energy Supply (ktoe)", "type" : "report" }, "uris" : [ "http://www.mendeley.com/documents/?uuid=7e0d1ce2-ce2f-498a-ac64-e95a61492423" ] } ], "mendeley" : { "formattedCitation" : "&lt;sup&gt;12&lt;/sup&gt;", "plainTextFormattedCitation" : "12", "previouslyFormattedCitation" : "&lt;sup&gt;12&lt;/sup&gt;" }, "properties" : { "noteIndex" : 0 }, "schema" : "https://github.com/citation-style-language/schema/raw/master/csl-citation.json" }</w:instrText>
      </w:r>
      <w:r w:rsidRPr="00B77BD6">
        <w:rPr>
          <w:rFonts w:ascii="Times New Roman" w:hAnsi="Times New Roman"/>
          <w:spacing w:val="-2"/>
          <w:sz w:val="20"/>
          <w:szCs w:val="20"/>
          <w:lang w:val="en-GB"/>
        </w:rPr>
        <w:fldChar w:fldCharType="separate"/>
      </w:r>
      <w:r w:rsidRPr="00B77BD6">
        <w:rPr>
          <w:rFonts w:ascii="Times New Roman" w:hAnsi="Times New Roman"/>
          <w:noProof/>
          <w:spacing w:val="-2"/>
          <w:sz w:val="20"/>
          <w:szCs w:val="20"/>
          <w:lang w:val="en-GB"/>
        </w:rPr>
        <w:t>12</w:t>
      </w:r>
      <w:r w:rsidRPr="00B77BD6">
        <w:rPr>
          <w:rFonts w:ascii="Times New Roman" w:hAnsi="Times New Roman"/>
          <w:spacing w:val="-2"/>
          <w:sz w:val="20"/>
          <w:szCs w:val="20"/>
          <w:lang w:val="en-GB"/>
        </w:rPr>
        <w:fldChar w:fldCharType="end"/>
      </w:r>
      <w:r w:rsidRPr="00B77BD6">
        <w:rPr>
          <w:rFonts w:ascii="Times New Roman" w:hAnsi="Times New Roman"/>
          <w:spacing w:val="-2"/>
          <w:sz w:val="20"/>
          <w:szCs w:val="20"/>
          <w:lang w:val="en-GB"/>
        </w:rPr>
        <w:t>].  All this generates CO</w:t>
      </w:r>
      <w:r w:rsidRPr="00B77BD6">
        <w:rPr>
          <w:rFonts w:ascii="Times New Roman" w:hAnsi="Times New Roman"/>
          <w:spacing w:val="-2"/>
          <w:sz w:val="20"/>
          <w:szCs w:val="20"/>
          <w:vertAlign w:val="subscript"/>
          <w:lang w:val="en-GB"/>
        </w:rPr>
        <w:t>2</w:t>
      </w:r>
      <w:r w:rsidRPr="00B77BD6">
        <w:rPr>
          <w:rFonts w:ascii="Times New Roman" w:hAnsi="Times New Roman"/>
          <w:spacing w:val="-2"/>
          <w:sz w:val="20"/>
          <w:szCs w:val="20"/>
          <w:lang w:val="en-GB"/>
        </w:rPr>
        <w:t>, carbon monoxide and methane which is the main contributor to the global warming effect since these gases trap the heat and has increased the world temperature in the range of 1° to 2° C over the past decade. The only renewable source of energy used by Malaysia from 1978 until 2010 was hydropower energy. However since the year 2011, biodiesel, biomass, biogas and solar has contribute small portion of energy supply which around 115, 183, 4, 11 ktoe respectively for year 2012 [</w:t>
      </w:r>
      <w:r w:rsidRPr="00B77BD6">
        <w:rPr>
          <w:rFonts w:ascii="Times New Roman" w:hAnsi="Times New Roman"/>
          <w:spacing w:val="-2"/>
          <w:sz w:val="20"/>
          <w:szCs w:val="20"/>
          <w:lang w:val="en-GB"/>
        </w:rPr>
        <w:fldChar w:fldCharType="begin" w:fldLock="1"/>
      </w:r>
      <w:r w:rsidRPr="00B77BD6">
        <w:rPr>
          <w:rFonts w:ascii="Times New Roman" w:hAnsi="Times New Roman"/>
          <w:spacing w:val="-2"/>
          <w:sz w:val="20"/>
          <w:szCs w:val="20"/>
          <w:lang w:val="en-GB"/>
        </w:rPr>
        <w:instrText>ADDIN CSL_CITATION { "citationItems" : [ { "id" : "ITEM-1", "itemData" : { "author" : [ { "dropping-particle" : "", "family" : "Malaysia Energy Information Hub", "given" : "", "non-dropping-particle" : "", "parse-names" : false, "suffix" : "" } ], "id" : "ITEM-1", "issued" : { "date-parts" : [ [ "2013" ] ] }, "publisher-place" : "Putrajaya, Malaysia", "title" : "Primary Energy Supply (ktoe)", "type" : "report" }, "uris" : [ "http://www.mendeley.com/documents/?uuid=7e0d1ce2-ce2f-498a-ac64-e95a61492423" ] } ], "mendeley" : { "formattedCitation" : "&lt;sup&gt;12&lt;/sup&gt;", "plainTextFormattedCitation" : "12", "previouslyFormattedCitation" : "&lt;sup&gt;12&lt;/sup&gt;" }, "properties" : { "noteIndex" : 0 }, "schema" : "https://github.com/citation-style-language/schema/raw/master/csl-citation.json" }</w:instrText>
      </w:r>
      <w:r w:rsidRPr="00B77BD6">
        <w:rPr>
          <w:rFonts w:ascii="Times New Roman" w:hAnsi="Times New Roman"/>
          <w:spacing w:val="-2"/>
          <w:sz w:val="20"/>
          <w:szCs w:val="20"/>
          <w:lang w:val="en-GB"/>
        </w:rPr>
        <w:fldChar w:fldCharType="separate"/>
      </w:r>
      <w:r w:rsidRPr="00B77BD6">
        <w:rPr>
          <w:rFonts w:ascii="Times New Roman" w:hAnsi="Times New Roman"/>
          <w:noProof/>
          <w:spacing w:val="-2"/>
          <w:sz w:val="20"/>
          <w:szCs w:val="20"/>
          <w:lang w:val="en-GB"/>
        </w:rPr>
        <w:t>12</w:t>
      </w:r>
      <w:r w:rsidRPr="00B77BD6">
        <w:rPr>
          <w:rFonts w:ascii="Times New Roman" w:hAnsi="Times New Roman"/>
          <w:spacing w:val="-2"/>
          <w:sz w:val="20"/>
          <w:szCs w:val="20"/>
          <w:lang w:val="en-GB"/>
        </w:rPr>
        <w:fldChar w:fldCharType="end"/>
      </w:r>
      <w:r w:rsidRPr="00B77BD6">
        <w:rPr>
          <w:rFonts w:ascii="Times New Roman" w:hAnsi="Times New Roman"/>
          <w:spacing w:val="-2"/>
          <w:sz w:val="20"/>
          <w:szCs w:val="20"/>
          <w:lang w:val="en-GB"/>
        </w:rPr>
        <w:t>].</w:t>
      </w:r>
    </w:p>
    <w:p w:rsidR="00B77BD6" w:rsidRPr="00B77BD6" w:rsidRDefault="00B77BD6" w:rsidP="00B77BD6">
      <w:pPr>
        <w:spacing w:after="0" w:line="240" w:lineRule="auto"/>
        <w:jc w:val="both"/>
        <w:rPr>
          <w:rFonts w:ascii="Times New Roman" w:hAnsi="Times New Roman"/>
          <w:spacing w:val="-2"/>
          <w:sz w:val="20"/>
          <w:szCs w:val="20"/>
          <w:lang w:val="en-GB"/>
        </w:rPr>
      </w:pPr>
    </w:p>
    <w:p w:rsidR="00B77BD6" w:rsidRPr="00B77BD6" w:rsidRDefault="00B77BD6" w:rsidP="00B77BD6">
      <w:pPr>
        <w:spacing w:after="0" w:line="240" w:lineRule="auto"/>
        <w:jc w:val="both"/>
        <w:rPr>
          <w:rFonts w:ascii="Times New Roman" w:hAnsi="Times New Roman"/>
          <w:spacing w:val="-2"/>
          <w:sz w:val="20"/>
          <w:szCs w:val="20"/>
          <w:lang w:val="en-GB"/>
        </w:rPr>
      </w:pPr>
      <w:r w:rsidRPr="00B77BD6">
        <w:rPr>
          <w:rFonts w:ascii="Times New Roman" w:hAnsi="Times New Roman"/>
          <w:spacing w:val="-2"/>
          <w:sz w:val="20"/>
          <w:szCs w:val="20"/>
          <w:lang w:val="en-GB"/>
        </w:rPr>
        <w:t>Before the pre-industrial era, the CO</w:t>
      </w:r>
      <w:r w:rsidRPr="00B77BD6">
        <w:rPr>
          <w:rFonts w:ascii="Times New Roman" w:hAnsi="Times New Roman"/>
          <w:spacing w:val="-2"/>
          <w:sz w:val="20"/>
          <w:szCs w:val="20"/>
          <w:vertAlign w:val="subscript"/>
          <w:lang w:val="en-GB"/>
        </w:rPr>
        <w:t>2</w:t>
      </w:r>
      <w:r w:rsidRPr="00B77BD6">
        <w:rPr>
          <w:rFonts w:ascii="Times New Roman" w:hAnsi="Times New Roman"/>
          <w:spacing w:val="-2"/>
          <w:sz w:val="20"/>
          <w:szCs w:val="20"/>
          <w:lang w:val="en-GB"/>
        </w:rPr>
        <w:t xml:space="preserve"> concentration in the air was recorded below 300 ppm. Since then, the concentration of CO</w:t>
      </w:r>
      <w:r w:rsidRPr="00B77BD6">
        <w:rPr>
          <w:rFonts w:ascii="Times New Roman" w:hAnsi="Times New Roman"/>
          <w:spacing w:val="-2"/>
          <w:sz w:val="20"/>
          <w:szCs w:val="20"/>
          <w:vertAlign w:val="subscript"/>
          <w:lang w:val="en-GB"/>
        </w:rPr>
        <w:t>2</w:t>
      </w:r>
      <w:r w:rsidRPr="00B77BD6">
        <w:rPr>
          <w:rFonts w:ascii="Times New Roman" w:hAnsi="Times New Roman"/>
          <w:spacing w:val="-2"/>
          <w:sz w:val="20"/>
          <w:szCs w:val="20"/>
          <w:lang w:val="en-GB"/>
        </w:rPr>
        <w:t xml:space="preserve"> has steeply increased and has causing the rise of global temperature. According to the report from Mauna Loa Observatory (NOAA-ESRL), the atmospheric CO</w:t>
      </w:r>
      <w:r w:rsidRPr="00B77BD6">
        <w:rPr>
          <w:rFonts w:ascii="Times New Roman" w:hAnsi="Times New Roman"/>
          <w:spacing w:val="-2"/>
          <w:sz w:val="20"/>
          <w:szCs w:val="20"/>
          <w:vertAlign w:val="subscript"/>
          <w:lang w:val="en-GB"/>
        </w:rPr>
        <w:t xml:space="preserve">2 </w:t>
      </w:r>
      <w:r w:rsidRPr="00B77BD6">
        <w:rPr>
          <w:rFonts w:ascii="Times New Roman" w:hAnsi="Times New Roman"/>
          <w:spacing w:val="-2"/>
          <w:sz w:val="20"/>
          <w:szCs w:val="20"/>
          <w:lang w:val="en-GB"/>
        </w:rPr>
        <w:t>concentration on June 2015 was recorded around 402.8 ppm [</w:t>
      </w:r>
      <w:r w:rsidRPr="00B77BD6">
        <w:rPr>
          <w:rFonts w:ascii="Times New Roman" w:hAnsi="Times New Roman"/>
          <w:spacing w:val="-2"/>
          <w:sz w:val="20"/>
          <w:szCs w:val="20"/>
          <w:lang w:val="en-GB"/>
        </w:rPr>
        <w:fldChar w:fldCharType="begin" w:fldLock="1"/>
      </w:r>
      <w:r w:rsidRPr="00B77BD6">
        <w:rPr>
          <w:rFonts w:ascii="Times New Roman" w:hAnsi="Times New Roman"/>
          <w:spacing w:val="-2"/>
          <w:sz w:val="20"/>
          <w:szCs w:val="20"/>
          <w:lang w:val="en-GB"/>
        </w:rPr>
        <w:instrText>ADDIN CSL_CITATION { "citationItems" : [ { "id" : "ITEM-1", "itemData" : { "URL" : "http://co2now.org/", "author" : [ { "dropping-particle" : "", "family" : "CO2now.org", "given" : "", "non-dropping-particle" : "", "parse-names" : false, "suffix" : "" } ], "id" : "ITEM-1", "issued" : { "date-parts" : [ [ "0" ] ] }, "title" : "Earth's CO2 Home Page", "type" : "webpage" }, "uris" : [ "http://www.mendeley.com/documents/?uuid=ba10241d-0bc2-4a03-9d31-b62b7f7fd402" ] } ], "mendeley" : { "formattedCitation" : "&lt;sup&gt;13&lt;/sup&gt;", "plainTextFormattedCitation" : "13", "previouslyFormattedCitation" : "&lt;sup&gt;13&lt;/sup&gt;" }, "properties" : { "noteIndex" : 0 }, "schema" : "https://github.com/citation-style-language/schema/raw/master/csl-citation.json" }</w:instrText>
      </w:r>
      <w:r w:rsidRPr="00B77BD6">
        <w:rPr>
          <w:rFonts w:ascii="Times New Roman" w:hAnsi="Times New Roman"/>
          <w:spacing w:val="-2"/>
          <w:sz w:val="20"/>
          <w:szCs w:val="20"/>
          <w:lang w:val="en-GB"/>
        </w:rPr>
        <w:fldChar w:fldCharType="separate"/>
      </w:r>
      <w:r w:rsidRPr="00B77BD6">
        <w:rPr>
          <w:rFonts w:ascii="Times New Roman" w:hAnsi="Times New Roman"/>
          <w:noProof/>
          <w:spacing w:val="-2"/>
          <w:sz w:val="20"/>
          <w:szCs w:val="20"/>
          <w:lang w:val="en-GB"/>
        </w:rPr>
        <w:t>13</w:t>
      </w:r>
      <w:r w:rsidRPr="00B77BD6">
        <w:rPr>
          <w:rFonts w:ascii="Times New Roman" w:hAnsi="Times New Roman"/>
          <w:spacing w:val="-2"/>
          <w:sz w:val="20"/>
          <w:szCs w:val="20"/>
          <w:lang w:val="en-GB"/>
        </w:rPr>
        <w:fldChar w:fldCharType="end"/>
      </w:r>
      <w:r w:rsidRPr="00B77BD6">
        <w:rPr>
          <w:rFonts w:ascii="Times New Roman" w:hAnsi="Times New Roman"/>
          <w:spacing w:val="-2"/>
          <w:sz w:val="20"/>
          <w:szCs w:val="20"/>
          <w:lang w:val="en-GB"/>
        </w:rPr>
        <w:t>]. Compare to the previous years of June 2014 and 2013, the concentration of CO</w:t>
      </w:r>
      <w:r w:rsidRPr="00B77BD6">
        <w:rPr>
          <w:rFonts w:ascii="Times New Roman" w:hAnsi="Times New Roman"/>
          <w:spacing w:val="-2"/>
          <w:sz w:val="20"/>
          <w:szCs w:val="20"/>
          <w:vertAlign w:val="subscript"/>
          <w:lang w:val="en-GB"/>
        </w:rPr>
        <w:t>2</w:t>
      </w:r>
      <w:r w:rsidRPr="00B77BD6">
        <w:rPr>
          <w:rFonts w:ascii="Times New Roman" w:hAnsi="Times New Roman"/>
          <w:spacing w:val="-2"/>
          <w:sz w:val="20"/>
          <w:szCs w:val="20"/>
          <w:lang w:val="en-GB"/>
        </w:rPr>
        <w:t xml:space="preserve"> was recorded at 401.15 ppm 398.58 ppm. The effect of higher CO</w:t>
      </w:r>
      <w:r w:rsidRPr="00B77BD6">
        <w:rPr>
          <w:rFonts w:ascii="Times New Roman" w:hAnsi="Times New Roman"/>
          <w:spacing w:val="-2"/>
          <w:sz w:val="20"/>
          <w:szCs w:val="20"/>
          <w:vertAlign w:val="subscript"/>
          <w:lang w:val="en-GB"/>
        </w:rPr>
        <w:t>2</w:t>
      </w:r>
      <w:r w:rsidRPr="00B77BD6">
        <w:rPr>
          <w:rFonts w:ascii="Times New Roman" w:hAnsi="Times New Roman"/>
          <w:spacing w:val="-2"/>
          <w:sz w:val="20"/>
          <w:szCs w:val="20"/>
          <w:lang w:val="en-GB"/>
        </w:rPr>
        <w:t xml:space="preserve"> concentration has been affecting the human life since breaking hot temperature during the summer season has been recorded around the world [</w:t>
      </w:r>
      <w:r w:rsidRPr="00B77BD6">
        <w:rPr>
          <w:rFonts w:ascii="Times New Roman" w:hAnsi="Times New Roman"/>
          <w:spacing w:val="-2"/>
          <w:sz w:val="20"/>
          <w:szCs w:val="20"/>
          <w:lang w:val="en-GB"/>
        </w:rPr>
        <w:fldChar w:fldCharType="begin" w:fldLock="1"/>
      </w:r>
      <w:r w:rsidRPr="00B77BD6">
        <w:rPr>
          <w:rFonts w:ascii="Times New Roman" w:hAnsi="Times New Roman"/>
          <w:spacing w:val="-2"/>
          <w:sz w:val="20"/>
          <w:szCs w:val="20"/>
          <w:lang w:val="en-GB"/>
        </w:rPr>
        <w:instrText>ADDIN CSL_CITATION { "citationItems" : [ { "id" : "ITEM-1", "itemData" : { "author" : [ { "dropping-particle" : "", "family" : "Tans", "given" : "Pieter", "non-dropping-particle" : "", "parse-names" : false, "suffix" : "" }, { "dropping-particle" : "", "family" : "Keeling", "given" : "Ralph", "non-dropping-particle" : "", "parse-names" : false, "suffix" : "" } ], "id" : "ITEM-1", "issued" : { "date-parts" : [ [ "0" ] ] }, "publisher-place" : "Mauna Loa", "title" : "Global Greenhouse Gas Reference Network", "type" : "report" }, "uris" : [ "http://www.mendeley.com/documents/?uuid=1434cf73-90ad-43df-9448-d2c2455377a0" ] } ], "mendeley" : { "formattedCitation" : "&lt;sup&gt;14&lt;/sup&gt;", "plainTextFormattedCitation" : "14", "previouslyFormattedCitation" : "&lt;sup&gt;14&lt;/sup&gt;" }, "properties" : { "noteIndex" : 0 }, "schema" : "https://github.com/citation-style-language/schema/raw/master/csl-citation.json" }</w:instrText>
      </w:r>
      <w:r w:rsidRPr="00B77BD6">
        <w:rPr>
          <w:rFonts w:ascii="Times New Roman" w:hAnsi="Times New Roman"/>
          <w:spacing w:val="-2"/>
          <w:sz w:val="20"/>
          <w:szCs w:val="20"/>
          <w:lang w:val="en-GB"/>
        </w:rPr>
        <w:fldChar w:fldCharType="separate"/>
      </w:r>
      <w:r w:rsidRPr="00B77BD6">
        <w:rPr>
          <w:rFonts w:ascii="Times New Roman" w:hAnsi="Times New Roman"/>
          <w:noProof/>
          <w:spacing w:val="-2"/>
          <w:sz w:val="20"/>
          <w:szCs w:val="20"/>
          <w:lang w:val="en-GB"/>
        </w:rPr>
        <w:t>14</w:t>
      </w:r>
      <w:r w:rsidRPr="00B77BD6">
        <w:rPr>
          <w:rFonts w:ascii="Times New Roman" w:hAnsi="Times New Roman"/>
          <w:spacing w:val="-2"/>
          <w:sz w:val="20"/>
          <w:szCs w:val="20"/>
          <w:lang w:val="en-GB"/>
        </w:rPr>
        <w:fldChar w:fldCharType="end"/>
      </w:r>
      <w:r w:rsidRPr="00B77BD6">
        <w:rPr>
          <w:rFonts w:ascii="Times New Roman" w:hAnsi="Times New Roman"/>
          <w:spacing w:val="-2"/>
          <w:sz w:val="20"/>
          <w:szCs w:val="20"/>
          <w:lang w:val="en-GB"/>
        </w:rPr>
        <w:t>]. The effect of global warming has also affecting Malaysia; where for the past two years Malaysia had experienced hot temperature well above the normal average temperature.</w:t>
      </w:r>
    </w:p>
    <w:p w:rsidR="00B77BD6" w:rsidRPr="00B77BD6" w:rsidRDefault="00B77BD6" w:rsidP="00B77BD6">
      <w:pPr>
        <w:spacing w:after="0" w:line="240" w:lineRule="auto"/>
        <w:jc w:val="both"/>
        <w:rPr>
          <w:rFonts w:ascii="Times New Roman" w:hAnsi="Times New Roman"/>
          <w:spacing w:val="-2"/>
          <w:sz w:val="20"/>
          <w:szCs w:val="20"/>
          <w:lang w:val="en-GB"/>
        </w:rPr>
      </w:pPr>
    </w:p>
    <w:p w:rsidR="00B77BD6" w:rsidRPr="00B77BD6" w:rsidRDefault="00B77BD6" w:rsidP="00B77BD6">
      <w:pPr>
        <w:spacing w:after="0" w:line="240" w:lineRule="auto"/>
        <w:jc w:val="both"/>
        <w:rPr>
          <w:rFonts w:ascii="Times New Roman" w:hAnsi="Times New Roman"/>
          <w:spacing w:val="-2"/>
          <w:sz w:val="20"/>
          <w:szCs w:val="20"/>
          <w:lang w:val="en-GB"/>
        </w:rPr>
      </w:pPr>
      <w:r w:rsidRPr="00B77BD6">
        <w:rPr>
          <w:rFonts w:ascii="Times New Roman" w:hAnsi="Times New Roman"/>
          <w:spacing w:val="-2"/>
          <w:sz w:val="20"/>
          <w:szCs w:val="20"/>
          <w:lang w:val="en-GB"/>
        </w:rPr>
        <w:t>Tenaga Nasional Berhad (TNB) is the largest utilities company in Malaysia and supplies most of the electricity to Malaysian Peninsular and State of Sabah through the Malaysian National Grid. The main energy source for electricity power generation for TNB is coal and coke which is relatively cost effective, coupling with state of the art technology in reducing CO</w:t>
      </w:r>
      <w:r w:rsidRPr="00B77BD6">
        <w:rPr>
          <w:rFonts w:ascii="Times New Roman" w:hAnsi="Times New Roman"/>
          <w:spacing w:val="-2"/>
          <w:sz w:val="20"/>
          <w:szCs w:val="20"/>
          <w:vertAlign w:val="subscript"/>
          <w:lang w:val="en-GB"/>
        </w:rPr>
        <w:t>2</w:t>
      </w:r>
      <w:r w:rsidRPr="00B77BD6">
        <w:rPr>
          <w:rFonts w:ascii="Times New Roman" w:hAnsi="Times New Roman"/>
          <w:spacing w:val="-2"/>
          <w:sz w:val="20"/>
          <w:szCs w:val="20"/>
          <w:lang w:val="en-GB"/>
        </w:rPr>
        <w:t xml:space="preserve"> emission with collaboration with Alstom S. A. from France [</w:t>
      </w:r>
      <w:r w:rsidRPr="00B77BD6">
        <w:rPr>
          <w:rFonts w:ascii="Times New Roman" w:hAnsi="Times New Roman"/>
          <w:spacing w:val="-2"/>
          <w:sz w:val="20"/>
          <w:szCs w:val="20"/>
          <w:lang w:val="en-GB"/>
        </w:rPr>
        <w:fldChar w:fldCharType="begin" w:fldLock="1"/>
      </w:r>
      <w:r w:rsidRPr="00B77BD6">
        <w:rPr>
          <w:rFonts w:ascii="Times New Roman" w:hAnsi="Times New Roman"/>
          <w:spacing w:val="-2"/>
          <w:sz w:val="20"/>
          <w:szCs w:val="20"/>
          <w:lang w:val="en-GB"/>
        </w:rPr>
        <w:instrText>ADDIN CSL_CITATION { "citationItems" : [ { "id" : "ITEM-1", "itemData" : { "author" : [ { "dropping-particle" : "", "family" : "Alstom S. A.", "given" : "", "non-dropping-particle" : "", "parse-names" : false, "suffix" : "" } ], "id" : "ITEM-1", "issued" : { "date-parts" : [ [ "2013" ] ] }, "number-of-pages" : "1-2", "publisher-place" : "Baden, Switzerland", "title" : "Case Study: Steam Product Solutions. Manjung Unit 4 - Malaysia. Ultra-supercritical coal-fired power plant", "type" : "report" }, "uris" : [ "http://www.mendeley.com/documents/?uuid=217b69e9-8996-41e6-bf56-8a3b5b4d993b" ] } ], "mendeley" : { "formattedCitation" : "&lt;sup&gt;15&lt;/sup&gt;", "plainTextFormattedCitation" : "15", "previouslyFormattedCitation" : "&lt;sup&gt;15&lt;/sup&gt;" }, "properties" : { "noteIndex" : 0 }, "schema" : "https://github.com/citation-style-language/schema/raw/master/csl-citation.json" }</w:instrText>
      </w:r>
      <w:r w:rsidRPr="00B77BD6">
        <w:rPr>
          <w:rFonts w:ascii="Times New Roman" w:hAnsi="Times New Roman"/>
          <w:spacing w:val="-2"/>
          <w:sz w:val="20"/>
          <w:szCs w:val="20"/>
          <w:lang w:val="en-GB"/>
        </w:rPr>
        <w:fldChar w:fldCharType="separate"/>
      </w:r>
      <w:r w:rsidRPr="00B77BD6">
        <w:rPr>
          <w:rFonts w:ascii="Times New Roman" w:hAnsi="Times New Roman"/>
          <w:noProof/>
          <w:spacing w:val="-2"/>
          <w:sz w:val="20"/>
          <w:szCs w:val="20"/>
          <w:lang w:val="en-GB"/>
        </w:rPr>
        <w:t>15</w:t>
      </w:r>
      <w:r w:rsidRPr="00B77BD6">
        <w:rPr>
          <w:rFonts w:ascii="Times New Roman" w:hAnsi="Times New Roman"/>
          <w:spacing w:val="-2"/>
          <w:sz w:val="20"/>
          <w:szCs w:val="20"/>
          <w:lang w:val="en-GB"/>
        </w:rPr>
        <w:fldChar w:fldCharType="end"/>
      </w:r>
      <w:r w:rsidRPr="00B77BD6">
        <w:rPr>
          <w:rFonts w:ascii="Times New Roman" w:hAnsi="Times New Roman"/>
          <w:spacing w:val="-2"/>
          <w:sz w:val="20"/>
          <w:szCs w:val="20"/>
          <w:lang w:val="en-GB"/>
        </w:rPr>
        <w:t>].  However, the emission of CO</w:t>
      </w:r>
      <w:r w:rsidRPr="00B77BD6">
        <w:rPr>
          <w:rFonts w:ascii="Times New Roman" w:hAnsi="Times New Roman"/>
          <w:spacing w:val="-2"/>
          <w:sz w:val="20"/>
          <w:szCs w:val="20"/>
          <w:vertAlign w:val="subscript"/>
          <w:lang w:val="en-GB"/>
        </w:rPr>
        <w:t>2</w:t>
      </w:r>
      <w:r w:rsidRPr="00B77BD6">
        <w:rPr>
          <w:rFonts w:ascii="Times New Roman" w:hAnsi="Times New Roman"/>
          <w:spacing w:val="-2"/>
          <w:sz w:val="20"/>
          <w:szCs w:val="20"/>
          <w:lang w:val="en-GB"/>
        </w:rPr>
        <w:t xml:space="preserve"> is still an ‘</w:t>
      </w:r>
      <w:r w:rsidRPr="00B77BD6">
        <w:rPr>
          <w:rFonts w:ascii="Times New Roman" w:hAnsi="Times New Roman"/>
          <w:i/>
          <w:spacing w:val="-2"/>
          <w:sz w:val="20"/>
          <w:szCs w:val="20"/>
          <w:lang w:val="en-GB"/>
        </w:rPr>
        <w:t>Achilles Heels</w:t>
      </w:r>
      <w:r w:rsidRPr="00B77BD6">
        <w:rPr>
          <w:rFonts w:ascii="Times New Roman" w:hAnsi="Times New Roman"/>
          <w:spacing w:val="-2"/>
          <w:sz w:val="20"/>
          <w:szCs w:val="20"/>
          <w:lang w:val="en-GB"/>
        </w:rPr>
        <w:t>’ for this system and thus, new approach has been embarked to counter and reduce more on CO</w:t>
      </w:r>
      <w:r w:rsidRPr="00B77BD6">
        <w:rPr>
          <w:rFonts w:ascii="Times New Roman" w:hAnsi="Times New Roman"/>
          <w:spacing w:val="-2"/>
          <w:sz w:val="20"/>
          <w:szCs w:val="20"/>
          <w:vertAlign w:val="subscript"/>
          <w:lang w:val="en-GB"/>
        </w:rPr>
        <w:t>2</w:t>
      </w:r>
      <w:r w:rsidRPr="00B77BD6">
        <w:rPr>
          <w:rFonts w:ascii="Times New Roman" w:hAnsi="Times New Roman"/>
          <w:spacing w:val="-2"/>
          <w:sz w:val="20"/>
          <w:szCs w:val="20"/>
          <w:lang w:val="en-GB"/>
        </w:rPr>
        <w:t xml:space="preserve"> emission. The available solution is though CCS using microalgae [</w:t>
      </w:r>
      <w:r w:rsidRPr="00B77BD6">
        <w:rPr>
          <w:rFonts w:ascii="Times New Roman" w:hAnsi="Times New Roman"/>
          <w:spacing w:val="-2"/>
          <w:sz w:val="20"/>
          <w:szCs w:val="20"/>
          <w:lang w:val="en-GB"/>
        </w:rPr>
        <w:fldChar w:fldCharType="begin" w:fldLock="1"/>
      </w:r>
      <w:r w:rsidRPr="00B77BD6">
        <w:rPr>
          <w:rFonts w:ascii="Times New Roman" w:hAnsi="Times New Roman"/>
          <w:spacing w:val="-2"/>
          <w:sz w:val="20"/>
          <w:szCs w:val="20"/>
          <w:lang w:val="en-GB"/>
        </w:rPr>
        <w:instrText>ADDIN CSL_CITATION { "citationItems" : [ { "id" : "ITEM-1", "itemData" : { "DOI" : "10.1016/j.copbio.2010.03.017", "ISSN" : "0958-1669", "author" : [ { "dropping-particle" : "", "family" : "Jansson", "given" : "Christer", "non-dropping-particle" : "", "parse-names" : false, "suffix" : "" }, { "dropping-particle" : "", "family" : "Northen", "given" : "Trent", "non-dropping-particle" : "", "parse-names" : false, "suffix" : "" } ], "container-title" : "Current Opinion in Biotechnology", "id" : "ITEM-1", "issued" : { "date-parts" : [ [ "2010" ] ] }, "page" : "1-7", "title" : "Calcifying cyanobacteria \u2014 the potential of biomineralization for carbon capture and storage", "type" : "article-journal" }, "uris" : [ "http://www.mendeley.com/documents/?uuid=f18dae8a-5f6f-425a-8449-e180784f5e67" ] }, { "id" : "ITEM-2", "itemData" : { "DOI" : "10.1016/j.bioeng.2007.06.002", "ISSN" : "1389-0344", "PMID" : "17662653", "abstract" : "Many areas of algae technology have developed over the last decades, and there is an established market for products derived from algae, dominated by health food and aquaculture. In addition, the interest for active biomolecules from algae is increasing rapidly. The need for CO(2) management, in particular capture and storage is currently an important technological, economical and global political issue and will continue to be so until alternative energy sources and energy carriers diminish the need for fossil fuels. This review summarizes in an integrated manner different technologies for use of algae, demonstrating the possibility of combining different areas of algae technology to capture CO(2) and using the obtained algal biomass for various industrial applications thus bringing added value to the capturing and storage processes. Furthermore, we emphasize the use of algae in a novel biological process which produces H(2) directly from solar energy in contrast to the conventional CO(2) neutral biological methods. This biological process is a part of the proposed integrated CO(2) management scheme.", "author" : [ { "dropping-particle" : "", "family" : "Skj\u00e5nes", "given" : "Kari", "non-dropping-particle" : "", "parse-names" : false, "suffix" : "" }, { "dropping-particle" : "", "family" : "Lindblad", "given" : "Peter", "non-dropping-particle" : "", "parse-names" : false, "suffix" : "" }, { "dropping-particle" : "", "family" : "Muller", "given" : "Jiri", "non-dropping-particle" : "", "parse-names" : false, "suffix" : "" } ], "container-title" : "Biomolecular engineering", "id" : "ITEM-2", "issue" : "4", "issued" : { "date-parts" : [ [ "2007", "10" ] ] }, "page" : "405-13", "title" : "BioCO2 - a multidisciplinary, biological approach using solar energy to capture CO2 while producing H2 and high value products.", "type" : "article-journal", "volume" : "24" }, "uris" : [ "http://www.mendeley.com/documents/?uuid=82429f4c-e0d8-4bf0-83c7-8512e096a223" ] } ], "mendeley" : { "formattedCitation" : "&lt;sup&gt;16,17&lt;/sup&gt;", "plainTextFormattedCitation" : "16,17", "previouslyFormattedCitation" : "&lt;sup&gt;16,17&lt;/sup&gt;" }, "properties" : { "noteIndex" : 0 }, "schema" : "https://github.com/citation-style-language/schema/raw/master/csl-citation.json" }</w:instrText>
      </w:r>
      <w:r w:rsidRPr="00B77BD6">
        <w:rPr>
          <w:rFonts w:ascii="Times New Roman" w:hAnsi="Times New Roman"/>
          <w:spacing w:val="-2"/>
          <w:sz w:val="20"/>
          <w:szCs w:val="20"/>
          <w:lang w:val="en-GB"/>
        </w:rPr>
        <w:fldChar w:fldCharType="separate"/>
      </w:r>
      <w:r w:rsidRPr="00B77BD6">
        <w:rPr>
          <w:rFonts w:ascii="Times New Roman" w:hAnsi="Times New Roman"/>
          <w:noProof/>
          <w:spacing w:val="-2"/>
          <w:sz w:val="20"/>
          <w:szCs w:val="20"/>
          <w:lang w:val="en-GB"/>
        </w:rPr>
        <w:t>16, 17</w:t>
      </w:r>
      <w:r w:rsidRPr="00B77BD6">
        <w:rPr>
          <w:rFonts w:ascii="Times New Roman" w:hAnsi="Times New Roman"/>
          <w:spacing w:val="-2"/>
          <w:sz w:val="20"/>
          <w:szCs w:val="20"/>
          <w:lang w:val="en-GB"/>
        </w:rPr>
        <w:fldChar w:fldCharType="end"/>
      </w:r>
      <w:r w:rsidRPr="00B77BD6">
        <w:rPr>
          <w:rFonts w:ascii="Times New Roman" w:hAnsi="Times New Roman"/>
          <w:spacing w:val="-2"/>
          <w:sz w:val="20"/>
          <w:szCs w:val="20"/>
          <w:lang w:val="en-GB"/>
        </w:rPr>
        <w:t>]. Thus, this paper reports on the works and progress of isolation of microalgae in the native environment near to the coal-fired power plant [</w:t>
      </w:r>
      <w:r w:rsidRPr="00B77BD6">
        <w:rPr>
          <w:rFonts w:ascii="Times New Roman" w:hAnsi="Times New Roman"/>
          <w:spacing w:val="-2"/>
          <w:sz w:val="20"/>
          <w:szCs w:val="20"/>
          <w:lang w:val="en-GB"/>
        </w:rPr>
        <w:fldChar w:fldCharType="begin" w:fldLock="1"/>
      </w:r>
      <w:r w:rsidRPr="00B77BD6">
        <w:rPr>
          <w:rFonts w:ascii="Times New Roman" w:hAnsi="Times New Roman"/>
          <w:spacing w:val="-2"/>
          <w:sz w:val="20"/>
          <w:szCs w:val="20"/>
          <w:lang w:val="en-GB"/>
        </w:rPr>
        <w:instrText>ADDIN CSL_CITATION { "citationItems" : [ { "id" : "ITEM-1", "itemData" : { "DOI" : "10.1016/j.biortech.2009.10.061", "ISSN" : "1873-2976", "PMID" : "19939669", "abstract" : "Biological CO(2) sequestration using algal reactors is one of the most promising and environmentally benign technologies to sequester CO(2). This research study was taken up to alleviate certain limitations associated with the technology such as low CO(2) sequestration efficiency and low biomass yields. The study demonstrates an increase in CO(2) sequestration efficiency by maneuvering chemically aided biological sequestration of CO(2). Chlorella sp. and Spirulina platensis showed 46% and 39% mean fixation efficiency, respectively, at input CO(2) concentration of 10%. The effect of acetazolamide, a potent carbonic anhydrase inhibitor, on CO(2) sequestration efficiency was studied to demonstrate the role of carbonic anhydrase in calcite deposition. Calcite formed by both species was characterized by scanning electron microscopy coupled electron dispersive spectroscopy and X-ray diffraction. The overall scheme of calcite deposition coupled CO(2) fixation with commercially utilizable biomass as a product seems a viable option in the efforts to sequester increasing CO(2) emissions.", "author" : [ { "dropping-particle" : "", "family" : "Ramanan", "given" : "Rishiram", "non-dropping-particle" : "", "parse-names" : false, "suffix" : "" }, { "dropping-particle" : "", "family" : "Kannan", "given" : "Krishnamurthi", "non-dropping-particle" : "", "parse-names" : false, "suffix" : "" }, { "dropping-particle" : "", "family" : "Deshkar", "given" : "Ashok", "non-dropping-particle" : "", "parse-names" : false, "suffix" : "" }, { "dropping-particle" : "", "family" : "Yadav", "given" : "Raju", "non-dropping-particle" : "", "parse-names" : false, "suffix" : "" }, { "dropping-particle" : "", "family" : "Chakrabarti", "given" : "Tapan", "non-dropping-particle" : "", "parse-names" : false, "suffix" : "" } ], "container-title" : "Bioresource technology", "id" : "ITEM-1", "issue" : "8", "issued" : { "date-parts" : [ [ "2010", "4" ] ] }, "page" : "2616-22", "publisher" : "Elsevier Ltd", "title" : "Enhanced algal CO(2) sequestration through calcite deposition by Chlorella sp. and Spirulina platensis in a mini-raceway pond.", "type" : "article-journal", "volume" : "101" }, "uris" : [ "http://www.mendeley.com/documents/?uuid=05fdb0a5-66e8-49f0-869c-8660ef6c6098" ] } ], "mendeley" : { "formattedCitation" : "&lt;sup&gt;18&lt;/sup&gt;", "plainTextFormattedCitation" : "18", "previouslyFormattedCitation" : "&lt;sup&gt;18&lt;/sup&gt;" }, "properties" : { "noteIndex" : 0 }, "schema" : "https://github.com/citation-style-language/schema/raw/master/csl-citation.json" }</w:instrText>
      </w:r>
      <w:r w:rsidRPr="00B77BD6">
        <w:rPr>
          <w:rFonts w:ascii="Times New Roman" w:hAnsi="Times New Roman"/>
          <w:spacing w:val="-2"/>
          <w:sz w:val="20"/>
          <w:szCs w:val="20"/>
          <w:lang w:val="en-GB"/>
        </w:rPr>
        <w:fldChar w:fldCharType="separate"/>
      </w:r>
      <w:r w:rsidRPr="00B77BD6">
        <w:rPr>
          <w:rFonts w:ascii="Times New Roman" w:hAnsi="Times New Roman"/>
          <w:noProof/>
          <w:spacing w:val="-2"/>
          <w:sz w:val="20"/>
          <w:szCs w:val="20"/>
          <w:lang w:val="en-GB"/>
        </w:rPr>
        <w:t>18</w:t>
      </w:r>
      <w:r w:rsidRPr="00B77BD6">
        <w:rPr>
          <w:rFonts w:ascii="Times New Roman" w:hAnsi="Times New Roman"/>
          <w:spacing w:val="-2"/>
          <w:sz w:val="20"/>
          <w:szCs w:val="20"/>
          <w:lang w:val="en-GB"/>
        </w:rPr>
        <w:fldChar w:fldCharType="end"/>
      </w:r>
      <w:r w:rsidRPr="00B77BD6">
        <w:rPr>
          <w:rFonts w:ascii="Times New Roman" w:hAnsi="Times New Roman"/>
          <w:spacing w:val="-2"/>
          <w:sz w:val="20"/>
          <w:szCs w:val="20"/>
          <w:lang w:val="en-GB"/>
        </w:rPr>
        <w:t>]. This works covers the isolation, morphological and molecular identification of isolated microalgae.</w:t>
      </w:r>
    </w:p>
    <w:p w:rsidR="00B77BD6" w:rsidRPr="00B77BD6" w:rsidRDefault="00B77BD6" w:rsidP="00B77BD6">
      <w:pPr>
        <w:spacing w:after="0" w:line="240" w:lineRule="auto"/>
        <w:jc w:val="center"/>
        <w:outlineLvl w:val="0"/>
        <w:rPr>
          <w:rFonts w:ascii="Times New Roman" w:hAnsi="Times New Roman"/>
          <w:sz w:val="20"/>
          <w:szCs w:val="20"/>
        </w:rPr>
      </w:pPr>
    </w:p>
    <w:p w:rsidR="00B77BD6" w:rsidRPr="00B77BD6" w:rsidRDefault="00B77BD6" w:rsidP="00B77BD6">
      <w:pPr>
        <w:spacing w:after="0" w:line="240" w:lineRule="auto"/>
        <w:jc w:val="center"/>
        <w:outlineLvl w:val="0"/>
        <w:rPr>
          <w:rFonts w:ascii="Times New Roman" w:hAnsi="Times New Roman"/>
          <w:b/>
          <w:sz w:val="20"/>
          <w:szCs w:val="20"/>
        </w:rPr>
      </w:pPr>
      <w:r w:rsidRPr="00B77BD6">
        <w:rPr>
          <w:rFonts w:ascii="Times New Roman" w:hAnsi="Times New Roman"/>
          <w:b/>
          <w:sz w:val="20"/>
          <w:szCs w:val="20"/>
        </w:rPr>
        <w:t>Materials and Methods</w:t>
      </w:r>
    </w:p>
    <w:p w:rsidR="00B77BD6" w:rsidRPr="00B77BD6" w:rsidRDefault="00B77BD6" w:rsidP="00B77BD6">
      <w:pPr>
        <w:spacing w:after="0" w:line="240" w:lineRule="auto"/>
        <w:ind w:right="27"/>
        <w:jc w:val="both"/>
        <w:rPr>
          <w:rFonts w:ascii="Times New Roman" w:eastAsia="SimSun" w:hAnsi="Times New Roman"/>
          <w:b/>
          <w:spacing w:val="-2"/>
          <w:sz w:val="20"/>
          <w:szCs w:val="20"/>
          <w:lang w:val="en-GB"/>
        </w:rPr>
      </w:pPr>
      <w:r w:rsidRPr="00B77BD6">
        <w:rPr>
          <w:rFonts w:ascii="Times New Roman" w:eastAsia="SimSun" w:hAnsi="Times New Roman"/>
          <w:b/>
          <w:spacing w:val="-2"/>
          <w:sz w:val="20"/>
          <w:szCs w:val="20"/>
          <w:lang w:val="en-GB"/>
        </w:rPr>
        <w:t>Isolation of microalgae</w:t>
      </w:r>
    </w:p>
    <w:p w:rsidR="00B77BD6" w:rsidRPr="00B77BD6" w:rsidRDefault="00B77BD6" w:rsidP="00B77BD6">
      <w:pPr>
        <w:spacing w:after="0" w:line="240" w:lineRule="auto"/>
        <w:jc w:val="both"/>
        <w:rPr>
          <w:rFonts w:ascii="Times New Roman" w:hAnsi="Times New Roman"/>
          <w:spacing w:val="-2"/>
          <w:sz w:val="20"/>
          <w:szCs w:val="20"/>
          <w:lang w:val="en-GB"/>
        </w:rPr>
      </w:pPr>
      <w:r w:rsidRPr="00B77BD6">
        <w:rPr>
          <w:rFonts w:ascii="Times New Roman" w:hAnsi="Times New Roman"/>
          <w:spacing w:val="-2"/>
          <w:sz w:val="20"/>
          <w:szCs w:val="20"/>
          <w:lang w:val="en-GB"/>
        </w:rPr>
        <w:t xml:space="preserve">Samples were collected from the canal of cooling water from Stesen Janakuasa Sultan Azlan Shah, Manjung Perak, west coast of Malaysian Peninsular, 4° 9’ 31.158” S latitude and 100° 38’ 30.3396” E longitude. The power plant uses coal as the fuel and is among the major power generation plant in Malaysia, having installed capacity of 3 units of 700 MW. The canals form a discharge point of sea water used in the steam cooling process in the upstream. Besides steam cooling, the sea water also was used as jet water spray as to discard debris, being injected with hypochlorite as </w:t>
      </w:r>
      <w:r w:rsidRPr="00B77BD6">
        <w:rPr>
          <w:rFonts w:ascii="Times New Roman" w:hAnsi="Times New Roman"/>
          <w:spacing w:val="-2"/>
          <w:sz w:val="20"/>
          <w:szCs w:val="20"/>
          <w:lang w:val="en-GB"/>
        </w:rPr>
        <w:lastRenderedPageBreak/>
        <w:t>disinfectant and also sprayed as part flue gas desulphurisation process before finally aerated (air bubbled) in the canals before being discharged to the open sea. Thus, any microalgae species that are available from the sea water intake shall experience varying degrees of hydrodynamic stresses, disinfection and temperature difference based on the process described above, and thus any ones which found dominant in the canals shall be the ones who are robust enough to survive further in bioreactors performing carbon biofixation exposed to actual power plant’s flue gas.  Collections of samples were conducted during the noon time where the suspected source areas of microalgae were exposed to sunlight at the maximum light density. The light intensity during the afternoon period can reach as high as 60,000 Lux during the sunny day. Microalgae which survived in photo-autotrophic mode tend to float on the surface area to capture energy from the sun for photosynthesis process.</w:t>
      </w:r>
    </w:p>
    <w:p w:rsidR="00B77BD6" w:rsidRPr="00B77BD6" w:rsidRDefault="00B77BD6" w:rsidP="00B77BD6">
      <w:pPr>
        <w:spacing w:after="0" w:line="240" w:lineRule="auto"/>
        <w:jc w:val="both"/>
        <w:rPr>
          <w:rFonts w:ascii="Times New Roman" w:hAnsi="Times New Roman"/>
          <w:spacing w:val="-2"/>
          <w:sz w:val="20"/>
          <w:szCs w:val="20"/>
          <w:lang w:val="en-GB"/>
        </w:rPr>
      </w:pPr>
    </w:p>
    <w:p w:rsidR="00B77BD6" w:rsidRPr="00B77BD6" w:rsidRDefault="00B77BD6" w:rsidP="00B77BD6">
      <w:pPr>
        <w:spacing w:after="0" w:line="240" w:lineRule="auto"/>
        <w:jc w:val="both"/>
        <w:rPr>
          <w:rFonts w:ascii="Times New Roman" w:hAnsi="Times New Roman"/>
          <w:spacing w:val="-2"/>
          <w:sz w:val="20"/>
          <w:szCs w:val="20"/>
          <w:lang w:val="en-GB"/>
        </w:rPr>
      </w:pPr>
      <w:r w:rsidRPr="00B77BD6">
        <w:rPr>
          <w:rFonts w:ascii="Times New Roman" w:eastAsia="SimSun" w:hAnsi="Times New Roman"/>
          <w:spacing w:val="-2"/>
          <w:sz w:val="20"/>
          <w:szCs w:val="20"/>
          <w:lang w:val="en-GB"/>
        </w:rPr>
        <w:t>The samples from the source were added with F/2 Medium, TNBR medium and Bold Basal’s Medium (BBM) respectively with ratio of 1:1 (volume/volume) to promote growth of microalgae available in the targeted samples. The samples were maintained in 50 mL centrifuge tube, at room temperature at 28 °C and kept with continuous light exposure at 12,000 lux by 50 W fluorescent daylight type lamps. The samples were monitored daily to determined suitable medium for isolation as well as the growth curves of microalgae.</w:t>
      </w:r>
    </w:p>
    <w:p w:rsidR="00B77BD6" w:rsidRPr="00B77BD6" w:rsidRDefault="00B77BD6" w:rsidP="00B77BD6">
      <w:pPr>
        <w:spacing w:after="0" w:line="240" w:lineRule="auto"/>
        <w:jc w:val="both"/>
        <w:rPr>
          <w:rFonts w:ascii="Times New Roman" w:hAnsi="Times New Roman"/>
          <w:spacing w:val="-2"/>
          <w:sz w:val="20"/>
          <w:szCs w:val="20"/>
          <w:lang w:val="en-GB"/>
        </w:rPr>
      </w:pPr>
    </w:p>
    <w:p w:rsidR="00B77BD6" w:rsidRDefault="00B77BD6" w:rsidP="00B77BD6">
      <w:pPr>
        <w:spacing w:after="0" w:line="240" w:lineRule="auto"/>
        <w:jc w:val="both"/>
        <w:rPr>
          <w:rFonts w:ascii="Times New Roman" w:eastAsia="SimSun" w:hAnsi="Times New Roman"/>
          <w:spacing w:val="-2"/>
          <w:sz w:val="20"/>
          <w:szCs w:val="20"/>
          <w:lang w:val="en-GB"/>
        </w:rPr>
      </w:pPr>
      <w:r w:rsidRPr="00B77BD6">
        <w:rPr>
          <w:rFonts w:ascii="Times New Roman" w:eastAsia="SimSun" w:hAnsi="Times New Roman"/>
          <w:spacing w:val="-2"/>
          <w:sz w:val="20"/>
          <w:szCs w:val="20"/>
          <w:lang w:val="en-GB"/>
        </w:rPr>
        <w:t>The samples were maintained and observed under microscope (Cole-Parmer, USA) for isolation and morphological screening purpose. Microscope used is equipped with light chamber, measuring grid embedded with the software provided by Motic Image Plus 2.0 and image capturing camera.  Observation of microalgae growth in the liquid medium was continued with plating method by using the respective medium with 1.25% agar plate. In the parallel of liquid medium and 1.25% agar cultivation, the growth of microalgae were measured by biomass accumulation, cell density and amounts of colonies on the plate respectively.</w:t>
      </w:r>
    </w:p>
    <w:p w:rsidR="00B77BD6" w:rsidRPr="00B77BD6" w:rsidRDefault="00B77BD6" w:rsidP="00B77BD6">
      <w:pPr>
        <w:spacing w:after="0" w:line="240" w:lineRule="auto"/>
        <w:jc w:val="both"/>
        <w:rPr>
          <w:rFonts w:ascii="Times New Roman" w:hAnsi="Times New Roman"/>
          <w:spacing w:val="-2"/>
          <w:sz w:val="20"/>
          <w:szCs w:val="20"/>
          <w:lang w:val="en-GB"/>
        </w:rPr>
      </w:pPr>
    </w:p>
    <w:p w:rsidR="00B77BD6" w:rsidRPr="00B77BD6" w:rsidRDefault="00B77BD6" w:rsidP="00B77BD6">
      <w:pPr>
        <w:spacing w:after="0" w:line="240" w:lineRule="auto"/>
        <w:jc w:val="both"/>
        <w:rPr>
          <w:rFonts w:ascii="Times New Roman" w:hAnsi="Times New Roman"/>
          <w:b/>
          <w:spacing w:val="-2"/>
          <w:sz w:val="20"/>
          <w:szCs w:val="20"/>
          <w:lang w:val="en-GB"/>
        </w:rPr>
      </w:pPr>
      <w:r w:rsidRPr="00B77BD6">
        <w:rPr>
          <w:rFonts w:ascii="Times New Roman" w:hAnsi="Times New Roman"/>
          <w:b/>
          <w:sz w:val="20"/>
          <w:szCs w:val="20"/>
          <w:lang w:val="en-GB"/>
        </w:rPr>
        <w:t>Cultivation</w:t>
      </w:r>
    </w:p>
    <w:p w:rsidR="00B77BD6" w:rsidRPr="00B77BD6" w:rsidRDefault="00B77BD6" w:rsidP="00B77BD6">
      <w:pPr>
        <w:spacing w:after="0" w:line="240" w:lineRule="auto"/>
        <w:jc w:val="both"/>
        <w:rPr>
          <w:rFonts w:ascii="Times New Roman" w:hAnsi="Times New Roman"/>
          <w:sz w:val="20"/>
          <w:szCs w:val="20"/>
          <w:lang w:val="en-GB"/>
        </w:rPr>
      </w:pPr>
      <w:r w:rsidRPr="00B77BD6">
        <w:rPr>
          <w:rFonts w:ascii="Times New Roman" w:hAnsi="Times New Roman"/>
          <w:sz w:val="20"/>
          <w:szCs w:val="20"/>
          <w:lang w:val="en-GB"/>
        </w:rPr>
        <w:t>Samples of microalgae which has been promoted by F/2 medium, TNBR medium and BBM medium were observed and screened morphologically and has been done by comparing to the online catalogue provided by University of Texas, The Culture Collection of </w:t>
      </w:r>
      <w:r w:rsidRPr="00B77BD6">
        <w:rPr>
          <w:rFonts w:ascii="Times New Roman" w:hAnsi="Times New Roman"/>
          <w:bCs/>
          <w:sz w:val="20"/>
          <w:szCs w:val="20"/>
          <w:lang w:val="en-GB"/>
        </w:rPr>
        <w:t>Algae</w:t>
      </w:r>
      <w:r w:rsidRPr="00B77BD6">
        <w:rPr>
          <w:rFonts w:ascii="Times New Roman" w:hAnsi="Times New Roman"/>
          <w:sz w:val="20"/>
          <w:szCs w:val="20"/>
          <w:lang w:val="en-GB"/>
        </w:rPr>
        <w:t> at Goettingen University (international acronym </w:t>
      </w:r>
      <w:r w:rsidRPr="00B77BD6">
        <w:rPr>
          <w:rFonts w:ascii="Times New Roman" w:hAnsi="Times New Roman"/>
          <w:bCs/>
          <w:sz w:val="20"/>
          <w:szCs w:val="20"/>
          <w:lang w:val="en-GB"/>
        </w:rPr>
        <w:t>SAG</w:t>
      </w:r>
      <w:r w:rsidRPr="00B77BD6">
        <w:rPr>
          <w:rFonts w:ascii="Times New Roman" w:hAnsi="Times New Roman"/>
          <w:sz w:val="20"/>
          <w:szCs w:val="20"/>
          <w:lang w:val="en-GB"/>
        </w:rPr>
        <w:t>). Morphological identification was done by determining the characteristic of isolated microalgae; size, availability of membrane wall and flagella, and the shape of chloroplast.</w:t>
      </w:r>
    </w:p>
    <w:p w:rsidR="00B77BD6" w:rsidRPr="00B77BD6" w:rsidRDefault="00B77BD6" w:rsidP="00B77BD6">
      <w:pPr>
        <w:spacing w:after="0" w:line="240" w:lineRule="auto"/>
        <w:jc w:val="both"/>
        <w:rPr>
          <w:rFonts w:ascii="Times New Roman" w:hAnsi="Times New Roman"/>
          <w:sz w:val="20"/>
          <w:szCs w:val="20"/>
          <w:lang w:val="en-GB"/>
        </w:rPr>
      </w:pPr>
    </w:p>
    <w:p w:rsidR="00B77BD6" w:rsidRPr="00B77BD6" w:rsidRDefault="00B77BD6" w:rsidP="00B77BD6">
      <w:pPr>
        <w:spacing w:after="0" w:line="240" w:lineRule="auto"/>
        <w:jc w:val="both"/>
        <w:rPr>
          <w:rFonts w:ascii="Times New Roman" w:hAnsi="Times New Roman"/>
          <w:sz w:val="20"/>
          <w:szCs w:val="20"/>
          <w:lang w:val="en-GB"/>
        </w:rPr>
      </w:pPr>
      <w:r w:rsidRPr="00B77BD6">
        <w:rPr>
          <w:rFonts w:ascii="Times New Roman" w:hAnsi="Times New Roman"/>
          <w:sz w:val="20"/>
          <w:szCs w:val="20"/>
          <w:lang w:val="en-GB"/>
        </w:rPr>
        <w:t>After growth of microalgae were observed, cultures of microalgae were transferred into 250 mL Duran Schott Bottle with F/2 medium, TNBR medium and BBM medium respectively with 10 percent of inoculums from the source of microalgae. To promote more growth, cultured microalgae were sparged with air to avoid settling as well as providing the CO</w:t>
      </w:r>
      <w:r w:rsidRPr="00B77BD6">
        <w:rPr>
          <w:rFonts w:ascii="Times New Roman" w:hAnsi="Times New Roman"/>
          <w:sz w:val="20"/>
          <w:szCs w:val="20"/>
          <w:vertAlign w:val="subscript"/>
          <w:lang w:val="en-GB"/>
        </w:rPr>
        <w:t>2</w:t>
      </w:r>
      <w:r w:rsidRPr="00B77BD6">
        <w:rPr>
          <w:rFonts w:ascii="Times New Roman" w:hAnsi="Times New Roman"/>
          <w:sz w:val="20"/>
          <w:szCs w:val="20"/>
          <w:lang w:val="en-GB"/>
        </w:rPr>
        <w:t xml:space="preserve"> from ambient air. Cultivation of microalgae was then continued until single/pure strain achieved in the culture system. Single/Pure strains of microalgae was achieved by continuous plating using F/2, TNBR, and BBM Medium agar. The pure strains were then re-cultivated into F/2 medium and TNBR medium liquid solution for inoculum preparation as well as for the molecular identification purpose. Microalgae biomass were collected daily to plot the growth curve of microalgae and calculate the specific growth rate (</w:t>
      </w:r>
      <w:r w:rsidRPr="00B77BD6">
        <w:rPr>
          <w:rFonts w:ascii="Times New Roman" w:hAnsi="Times New Roman"/>
          <w:i/>
          <w:sz w:val="20"/>
          <w:szCs w:val="20"/>
          <w:lang w:val="en-GB"/>
        </w:rPr>
        <w:t>µ</w:t>
      </w:r>
      <w:r w:rsidRPr="00B77BD6">
        <w:rPr>
          <w:rFonts w:ascii="Times New Roman" w:hAnsi="Times New Roman"/>
          <w:sz w:val="20"/>
          <w:szCs w:val="20"/>
          <w:vertAlign w:val="subscript"/>
          <w:lang w:val="en-GB"/>
        </w:rPr>
        <w:t>max</w:t>
      </w:r>
      <w:r w:rsidRPr="00B77BD6">
        <w:rPr>
          <w:rFonts w:ascii="Times New Roman" w:hAnsi="Times New Roman"/>
          <w:sz w:val="20"/>
          <w:szCs w:val="20"/>
          <w:lang w:val="en-GB"/>
        </w:rPr>
        <w:t xml:space="preserve">). The </w:t>
      </w:r>
      <w:r w:rsidRPr="00B77BD6">
        <w:rPr>
          <w:rFonts w:ascii="Times New Roman" w:hAnsi="Times New Roman"/>
          <w:i/>
          <w:sz w:val="20"/>
          <w:szCs w:val="20"/>
          <w:lang w:val="en-GB"/>
        </w:rPr>
        <w:t>µ</w:t>
      </w:r>
      <w:r w:rsidRPr="00B77BD6">
        <w:rPr>
          <w:rFonts w:ascii="Times New Roman" w:hAnsi="Times New Roman"/>
          <w:sz w:val="20"/>
          <w:szCs w:val="20"/>
          <w:vertAlign w:val="subscript"/>
          <w:lang w:val="en-GB"/>
        </w:rPr>
        <w:t>max</w:t>
      </w:r>
      <w:r w:rsidRPr="00B77BD6">
        <w:rPr>
          <w:rFonts w:ascii="Times New Roman" w:hAnsi="Times New Roman"/>
          <w:sz w:val="20"/>
          <w:szCs w:val="20"/>
          <w:lang w:val="en-GB"/>
        </w:rPr>
        <w:t xml:space="preserve"> value was determined by using the MathLab 9.0 version software with application of Logistic Modelling. Generally the growth curve of microalgae is in the sigmoid shape and previous studies has successfully fit the original data with the Logistic Model [</w:t>
      </w:r>
      <w:r w:rsidRPr="00B77BD6">
        <w:rPr>
          <w:rFonts w:ascii="Times New Roman" w:hAnsi="Times New Roman"/>
          <w:sz w:val="20"/>
          <w:szCs w:val="20"/>
          <w:lang w:val="en-GB"/>
        </w:rPr>
        <w:fldChar w:fldCharType="begin" w:fldLock="1"/>
      </w:r>
      <w:r w:rsidRPr="00B77BD6">
        <w:rPr>
          <w:rFonts w:ascii="Times New Roman" w:hAnsi="Times New Roman"/>
          <w:sz w:val="20"/>
          <w:szCs w:val="20"/>
          <w:lang w:val="en-GB"/>
        </w:rPr>
        <w:instrText>ADDIN CSL_CITATION { "citationItems" : [ { "id" : "ITEM-1", "itemData" : { "DOI" : "10.1128/AEM.67.5.2129", "author" : [ { "dropping-particle" : "", "family" : "Zhao", "given" : "Lihui", "non-dropping-particle" : "", "parse-names" : false, "suffix" : "" }, { "dropping-particle" : "", "family" : "Chen", "given" : "Yuhuan", "non-dropping-particle" : "", "parse-names" : false, "suffix" : "" }, { "dropping-particle" : "", "family" : "Schaffner", "given" : "Donald W", "non-dropping-particle" : "", "parse-names" : false, "suffix" : "" } ], "container-title" : "Applied and Environmental Microbiology", "id" : "ITEM-1", "issue" : "5", "issued" : { "date-parts" : [ [ "2001" ] ] }, "page" : "2129-2135", "title" : "Comparison of Logistic Regression and Linear Regression in Modeling Percentage Data", "type" : "article-journal", "volume" : "67" }, "uris" : [ "http://www.mendeley.com/documents/?uuid=fbbdf024-3827-4943-9562-30d35f2e9ed6" ] } ], "mendeley" : { "formattedCitation" : "&lt;sup&gt;19&lt;/sup&gt;", "plainTextFormattedCitation" : "19", "previouslyFormattedCitation" : "&lt;sup&gt;19&lt;/sup&gt;" }, "properties" : { "noteIndex" : 0 }, "schema" : "https://github.com/citation-style-language/schema/raw/master/csl-citation.json" }</w:instrText>
      </w:r>
      <w:r w:rsidRPr="00B77BD6">
        <w:rPr>
          <w:rFonts w:ascii="Times New Roman" w:hAnsi="Times New Roman"/>
          <w:sz w:val="20"/>
          <w:szCs w:val="20"/>
          <w:lang w:val="en-GB"/>
        </w:rPr>
        <w:fldChar w:fldCharType="separate"/>
      </w:r>
      <w:r w:rsidRPr="00B77BD6">
        <w:rPr>
          <w:rFonts w:ascii="Times New Roman" w:hAnsi="Times New Roman"/>
          <w:noProof/>
          <w:sz w:val="20"/>
          <w:szCs w:val="20"/>
          <w:lang w:val="en-GB"/>
        </w:rPr>
        <w:t>19</w:t>
      </w:r>
      <w:r w:rsidRPr="00B77BD6">
        <w:rPr>
          <w:rFonts w:ascii="Times New Roman" w:hAnsi="Times New Roman"/>
          <w:sz w:val="20"/>
          <w:szCs w:val="20"/>
          <w:lang w:val="en-GB"/>
        </w:rPr>
        <w:fldChar w:fldCharType="end"/>
      </w:r>
      <w:r w:rsidRPr="00B77BD6">
        <w:rPr>
          <w:rFonts w:ascii="Times New Roman" w:hAnsi="Times New Roman"/>
          <w:sz w:val="20"/>
          <w:szCs w:val="20"/>
          <w:lang w:val="en-GB"/>
        </w:rPr>
        <w:t xml:space="preserve">, </w:t>
      </w:r>
      <w:r w:rsidRPr="00B77BD6">
        <w:rPr>
          <w:rFonts w:ascii="Times New Roman" w:hAnsi="Times New Roman"/>
          <w:sz w:val="20"/>
          <w:szCs w:val="20"/>
          <w:lang w:val="en-GB"/>
        </w:rPr>
        <w:fldChar w:fldCharType="begin" w:fldLock="1"/>
      </w:r>
      <w:r w:rsidRPr="00B77BD6">
        <w:rPr>
          <w:rFonts w:ascii="Times New Roman" w:hAnsi="Times New Roman"/>
          <w:sz w:val="20"/>
          <w:szCs w:val="20"/>
          <w:lang w:val="en-GB"/>
        </w:rPr>
        <w:instrText>ADDIN CSL_CITATION { "citationItems" : [ { "id" : "ITEM-1", "itemData" : { "DOI" : "10.1111/j.1472-765X.2008.02537.x", "ISSN" : "1472-765X", "PMID" : "19187510", "abstract" : "AIMS: To determine the underlying substrate utilization mechanism in the logistic equation for batch microbial growth by revealing the relationship between the logistic and Monod kinetics. Also, to determine the logistic rate constant in terms of Monod kinetic constants.\n\nMETHODS AND RESULTS: The logistic equation used to describe batch microbial growth was related to the Monod kinetics and found to be first-order in terms of the substrate and biomass concentrations. The logistic equation constant was also related to the Monod kinetic constants. Similarly, the substrate utilization kinetic equations were derived by using the logistic growth equation and related to the Monod kinetics.\n\nCONCLUSION: It is revaled that the logistic growth equation is a special form of the Monod growth kinetics when substrate limitation is first-order with respect to the substrate concentration. The logistic rate constant (k) is directly proportional to the maximum specific growth rate constant (mu(m)) and initial substrate concentration (S(0)) and also inversely related to the saturation constant (K(s)).\n\nSIGNIFICANCE AND IMPACT OF THE STUDY: The semi-empirical logistic equation can be used instead of Monod kinetics at low substrate concentrations to describe batch microbial growth using the relationship between the logistic rate constant and the Monod kinetic constants.", "author" : [ { "dropping-particle" : "", "family" : "Kargi", "given" : "F", "non-dropping-particle" : "", "parse-names" : false, "suffix" : "" } ], "container-title" : "Letters in applied microbiology", "id" : "ITEM-1", "issue" : "4", "issued" : { "date-parts" : [ [ "2009", "4" ] ] }, "page" : "398-401", "title" : "Re-interpretation of the logistic equation for batch microbial growth in relation to Monod kinetics.", "type" : "article-journal", "volume" : "48" }, "uris" : [ "http://www.mendeley.com/documents/?uuid=7a1809d8-9b4d-474a-bcb0-3b4569abf4b9" ] } ], "mendeley" : { "formattedCitation" : "&lt;sup&gt;20&lt;/sup&gt;", "plainTextFormattedCitation" : "20", "previouslyFormattedCitation" : "&lt;sup&gt;20&lt;/sup&gt;" }, "properties" : { "noteIndex" : 0 }, "schema" : "https://github.com/citation-style-language/schema/raw/master/csl-citation.json" }</w:instrText>
      </w:r>
      <w:r w:rsidRPr="00B77BD6">
        <w:rPr>
          <w:rFonts w:ascii="Times New Roman" w:hAnsi="Times New Roman"/>
          <w:sz w:val="20"/>
          <w:szCs w:val="20"/>
          <w:lang w:val="en-GB"/>
        </w:rPr>
        <w:fldChar w:fldCharType="separate"/>
      </w:r>
      <w:r w:rsidRPr="00B77BD6">
        <w:rPr>
          <w:rFonts w:ascii="Times New Roman" w:hAnsi="Times New Roman"/>
          <w:noProof/>
          <w:sz w:val="20"/>
          <w:szCs w:val="20"/>
          <w:lang w:val="en-GB"/>
        </w:rPr>
        <w:t>20</w:t>
      </w:r>
      <w:r w:rsidRPr="00B77BD6">
        <w:rPr>
          <w:rFonts w:ascii="Times New Roman" w:hAnsi="Times New Roman"/>
          <w:sz w:val="20"/>
          <w:szCs w:val="20"/>
          <w:lang w:val="en-GB"/>
        </w:rPr>
        <w:fldChar w:fldCharType="end"/>
      </w:r>
      <w:r w:rsidRPr="00B77BD6">
        <w:rPr>
          <w:rFonts w:ascii="Times New Roman" w:hAnsi="Times New Roman"/>
          <w:sz w:val="20"/>
          <w:szCs w:val="20"/>
          <w:lang w:val="en-GB"/>
        </w:rPr>
        <w:t xml:space="preserve">, </w:t>
      </w:r>
      <w:r w:rsidRPr="00B77BD6">
        <w:rPr>
          <w:rFonts w:ascii="Times New Roman" w:hAnsi="Times New Roman"/>
          <w:sz w:val="20"/>
          <w:szCs w:val="20"/>
          <w:lang w:val="en-GB"/>
        </w:rPr>
        <w:fldChar w:fldCharType="begin" w:fldLock="1"/>
      </w:r>
      <w:r w:rsidRPr="00B77BD6">
        <w:rPr>
          <w:rFonts w:ascii="Times New Roman" w:hAnsi="Times New Roman"/>
          <w:sz w:val="20"/>
          <w:szCs w:val="20"/>
          <w:lang w:val="en-GB"/>
        </w:rPr>
        <w:instrText>ADDIN CSL_CITATION { "citationItems" : [ { "id" : "ITEM-1", "itemData" : { "DOI" : "10.1016/j.rser.2014.01.002", "ISSN" : "13640321", "abstract" : "Microalgae are fast growing organisms and have the ability to accumulate lipid, which can be converted to biofuels. Here, we review specific growth rate, population productivity, and lipid productivity based on 192 publications of the marine microalgae Nannochloropsis. Specific growth rate was reported by thirty publications often using exponential growth equations, and fourteen publications stated biomass productivity. However, direct comparison among productivity estimates is impossible due to differences in calculations or omission of equations. Less than 5% of the publications directly reported lipid productivity, the key parameter for biofuels. We extracted growth data from 30 publications using Plot Digitizer software and tested best fit with exponential and logistic equations. The logistic equation often represents growth data better than the exponential one. Furthermore, we argue that maximum sustainable yield (MSY) is a more useful measure for harvest rates than specific growth rates. Interestingly, MSY displayed closer linear relationships with carrying capacity measures (r2=0.780, p&lt;0.001 and r2=0.552, p&lt;0.001 for algae density and biomass, respectively) than growth rate (r2=0.297, p&lt;0.001 and r2=0.095, p=0.090). We propose to apply concepts of logistic growth, carrying capacity and MSY calculations to estimates of maximum lipid productivity, similar to commonly used density and biomass calculations.", "author" : [ { "dropping-particle" : "", "family" : "XU", "given" : "Yaoyang", "non-dropping-particle" : "", "parse-names" : false, "suffix" : "" }, { "dropping-particle" : "", "family" : "Boeing", "given" : "Wiebke J.", "non-dropping-particle" : "", "parse-names" : false, "suffix" : "" } ], "container-title" : "Renewable and Sustainable Energy Reviews", "id" : "ITEM-1", "issued" : { "date-parts" : [ [ "2014", "4" ] ] }, "page" : "29-39", "title" : "Modeling maximum lipid productivity of microalgae: Review and next step", "type" : "article-journal", "volume" : "32" }, "uris" : [ "http://www.mendeley.com/documents/?uuid=13d959a4-45b7-43ca-abc9-6133a820adb5" ] } ], "mendeley" : { "formattedCitation" : "&lt;sup&gt;21&lt;/sup&gt;", "plainTextFormattedCitation" : "21", "previouslyFormattedCitation" : "&lt;sup&gt;21&lt;/sup&gt;" }, "properties" : { "noteIndex" : 0 }, "schema" : "https://github.com/citation-style-language/schema/raw/master/csl-citation.json" }</w:instrText>
      </w:r>
      <w:r w:rsidRPr="00B77BD6">
        <w:rPr>
          <w:rFonts w:ascii="Times New Roman" w:hAnsi="Times New Roman"/>
          <w:sz w:val="20"/>
          <w:szCs w:val="20"/>
          <w:lang w:val="en-GB"/>
        </w:rPr>
        <w:fldChar w:fldCharType="separate"/>
      </w:r>
      <w:r w:rsidRPr="00B77BD6">
        <w:rPr>
          <w:rFonts w:ascii="Times New Roman" w:hAnsi="Times New Roman"/>
          <w:noProof/>
          <w:sz w:val="20"/>
          <w:szCs w:val="20"/>
          <w:lang w:val="en-GB"/>
        </w:rPr>
        <w:t>21</w:t>
      </w:r>
      <w:r w:rsidRPr="00B77BD6">
        <w:rPr>
          <w:rFonts w:ascii="Times New Roman" w:hAnsi="Times New Roman"/>
          <w:sz w:val="20"/>
          <w:szCs w:val="20"/>
          <w:lang w:val="en-GB"/>
        </w:rPr>
        <w:fldChar w:fldCharType="end"/>
      </w:r>
      <w:r w:rsidRPr="00B77BD6">
        <w:rPr>
          <w:rFonts w:ascii="Times New Roman" w:hAnsi="Times New Roman"/>
          <w:sz w:val="20"/>
          <w:szCs w:val="20"/>
          <w:lang w:val="en-GB"/>
        </w:rPr>
        <w:t xml:space="preserve">]. Thus, in this study, Logistic Model was used to fit the data and determined the value of </w:t>
      </w:r>
      <w:r w:rsidRPr="00B77BD6">
        <w:rPr>
          <w:rFonts w:ascii="Times New Roman" w:hAnsi="Times New Roman"/>
          <w:i/>
          <w:sz w:val="20"/>
          <w:szCs w:val="20"/>
          <w:lang w:val="en-GB"/>
        </w:rPr>
        <w:t>µ</w:t>
      </w:r>
      <w:r w:rsidRPr="00B77BD6">
        <w:rPr>
          <w:rFonts w:ascii="Times New Roman" w:hAnsi="Times New Roman"/>
          <w:sz w:val="20"/>
          <w:szCs w:val="20"/>
          <w:vertAlign w:val="subscript"/>
          <w:lang w:val="en-GB"/>
        </w:rPr>
        <w:t>max</w:t>
      </w:r>
      <w:r w:rsidRPr="00B77BD6">
        <w:rPr>
          <w:rFonts w:ascii="Times New Roman" w:hAnsi="Times New Roman"/>
          <w:sz w:val="20"/>
          <w:szCs w:val="20"/>
          <w:lang w:val="en-GB"/>
        </w:rPr>
        <w:t xml:space="preserve">. The </w:t>
      </w:r>
      <w:r w:rsidRPr="00B77BD6">
        <w:rPr>
          <w:rFonts w:ascii="Times New Roman" w:hAnsi="Times New Roman"/>
          <w:i/>
          <w:sz w:val="20"/>
          <w:szCs w:val="20"/>
          <w:lang w:val="en-GB"/>
        </w:rPr>
        <w:t>µ</w:t>
      </w:r>
      <w:r w:rsidRPr="00B77BD6">
        <w:rPr>
          <w:rFonts w:ascii="Times New Roman" w:hAnsi="Times New Roman"/>
          <w:sz w:val="20"/>
          <w:szCs w:val="20"/>
          <w:vertAlign w:val="subscript"/>
          <w:lang w:val="en-GB"/>
        </w:rPr>
        <w:t xml:space="preserve">max </w:t>
      </w:r>
      <w:r w:rsidRPr="00B77BD6">
        <w:rPr>
          <w:rFonts w:ascii="Times New Roman" w:hAnsi="Times New Roman"/>
          <w:sz w:val="20"/>
          <w:szCs w:val="20"/>
          <w:lang w:val="en-GB"/>
        </w:rPr>
        <w:t>values were calculated using Equation 1 below:</w:t>
      </w:r>
    </w:p>
    <w:p w:rsidR="00B77BD6" w:rsidRPr="00B77BD6" w:rsidRDefault="00B77BD6" w:rsidP="00B77BD6">
      <w:pPr>
        <w:spacing w:after="0" w:line="240" w:lineRule="auto"/>
        <w:jc w:val="both"/>
        <w:rPr>
          <w:rFonts w:ascii="Times New Roman" w:hAnsi="Times New Roman"/>
          <w:sz w:val="20"/>
          <w:szCs w:val="20"/>
          <w:lang w:val="en-GB"/>
        </w:rPr>
      </w:pPr>
    </w:p>
    <w:p w:rsidR="00B77BD6" w:rsidRPr="00B77BD6" w:rsidRDefault="00B77BD6" w:rsidP="00B77BD6">
      <w:pPr>
        <w:spacing w:after="0" w:line="240" w:lineRule="auto"/>
        <w:jc w:val="both"/>
        <w:rPr>
          <w:rFonts w:ascii="Times New Roman" w:hAnsi="Times New Roman"/>
          <w:sz w:val="20"/>
          <w:szCs w:val="20"/>
          <w:lang w:val="en-GB"/>
        </w:rPr>
      </w:pPr>
      <m:oMath>
        <m:r>
          <w:rPr>
            <w:rFonts w:ascii="Cambria Math" w:hAnsi="Cambria Math"/>
            <w:sz w:val="20"/>
            <w:szCs w:val="20"/>
          </w:rPr>
          <m:t xml:space="preserve">            X=</m:t>
        </m:r>
        <m:f>
          <m:fPr>
            <m:ctrlPr>
              <w:rPr>
                <w:rFonts w:ascii="Cambria Math" w:hAnsi="Cambria Math"/>
                <w:i/>
                <w:sz w:val="20"/>
                <w:szCs w:val="20"/>
              </w:rPr>
            </m:ctrlPr>
          </m:fPr>
          <m:num>
            <m:r>
              <w:rPr>
                <w:rFonts w:ascii="Cambria Math" w:hAnsi="Cambria Math"/>
                <w:sz w:val="20"/>
                <w:szCs w:val="20"/>
              </w:rPr>
              <m:t>XoXmax∙</m:t>
            </m:r>
            <m:sSup>
              <m:sSupPr>
                <m:ctrlPr>
                  <w:rPr>
                    <w:rFonts w:ascii="Cambria Math" w:hAnsi="Cambria Math"/>
                    <w:i/>
                    <w:sz w:val="20"/>
                    <w:szCs w:val="20"/>
                  </w:rPr>
                </m:ctrlPr>
              </m:sSupPr>
              <m:e>
                <m:r>
                  <w:rPr>
                    <w:rFonts w:ascii="Cambria Math" w:hAnsi="Cambria Math"/>
                    <w:sz w:val="20"/>
                    <w:szCs w:val="20"/>
                  </w:rPr>
                  <m:t>e</m:t>
                </m:r>
              </m:e>
              <m:sup>
                <m:sSub>
                  <m:sSubPr>
                    <m:ctrlPr>
                      <w:rPr>
                        <w:rFonts w:ascii="Cambria Math" w:hAnsi="Cambria Math"/>
                        <w:i/>
                        <w:sz w:val="20"/>
                        <w:szCs w:val="20"/>
                      </w:rPr>
                    </m:ctrlPr>
                  </m:sSubPr>
                  <m:e>
                    <m:r>
                      <w:rPr>
                        <w:rFonts w:ascii="Cambria Math" w:hAnsi="Cambria Math"/>
                        <w:sz w:val="20"/>
                        <w:szCs w:val="20"/>
                      </w:rPr>
                      <m:t>μ</m:t>
                    </m:r>
                  </m:e>
                  <m:sub>
                    <m:sSup>
                      <m:sSupPr>
                        <m:ctrlPr>
                          <w:rPr>
                            <w:rFonts w:ascii="Cambria Math" w:hAnsi="Cambria Math"/>
                            <w:i/>
                            <w:sz w:val="20"/>
                            <w:szCs w:val="20"/>
                          </w:rPr>
                        </m:ctrlPr>
                      </m:sSupPr>
                      <m:e>
                        <m:r>
                          <w:rPr>
                            <w:rFonts w:ascii="Cambria Math" w:hAnsi="Cambria Math"/>
                            <w:sz w:val="20"/>
                            <w:szCs w:val="20"/>
                          </w:rPr>
                          <m:t>max</m:t>
                        </m:r>
                      </m:e>
                      <m:sup>
                        <m:r>
                          <w:rPr>
                            <w:rFonts w:ascii="Cambria Math" w:hAnsi="Cambria Math"/>
                            <w:sz w:val="20"/>
                            <w:szCs w:val="20"/>
                          </w:rPr>
                          <m:t>t</m:t>
                        </m:r>
                      </m:sup>
                    </m:sSup>
                  </m:sub>
                </m:sSub>
              </m:sup>
            </m:sSup>
          </m:num>
          <m:den>
            <m:r>
              <w:rPr>
                <w:rFonts w:ascii="Cambria Math" w:hAnsi="Cambria Math"/>
                <w:sz w:val="20"/>
                <w:szCs w:val="20"/>
              </w:rPr>
              <m:t>Xmax-Xo+Xo</m:t>
            </m:r>
            <m:sSup>
              <m:sSupPr>
                <m:ctrlPr>
                  <w:rPr>
                    <w:rFonts w:ascii="Cambria Math" w:hAnsi="Cambria Math"/>
                    <w:i/>
                    <w:sz w:val="20"/>
                    <w:szCs w:val="20"/>
                  </w:rPr>
                </m:ctrlPr>
              </m:sSupPr>
              <m:e>
                <m:r>
                  <w:rPr>
                    <w:rFonts w:ascii="Cambria Math" w:hAnsi="Cambria Math"/>
                    <w:sz w:val="20"/>
                    <w:szCs w:val="20"/>
                  </w:rPr>
                  <m:t>e</m:t>
                </m:r>
              </m:e>
              <m:sup>
                <m:sSub>
                  <m:sSubPr>
                    <m:ctrlPr>
                      <w:rPr>
                        <w:rFonts w:ascii="Cambria Math" w:hAnsi="Cambria Math"/>
                        <w:i/>
                        <w:sz w:val="20"/>
                        <w:szCs w:val="20"/>
                      </w:rPr>
                    </m:ctrlPr>
                  </m:sSubPr>
                  <m:e>
                    <m:r>
                      <w:rPr>
                        <w:rFonts w:ascii="Cambria Math" w:hAnsi="Cambria Math"/>
                        <w:sz w:val="20"/>
                        <w:szCs w:val="20"/>
                      </w:rPr>
                      <m:t>μ</m:t>
                    </m:r>
                  </m:e>
                  <m:sub>
                    <m:r>
                      <w:rPr>
                        <w:rFonts w:ascii="Cambria Math" w:hAnsi="Cambria Math"/>
                        <w:sz w:val="20"/>
                        <w:szCs w:val="20"/>
                      </w:rPr>
                      <m:t>max</m:t>
                    </m:r>
                  </m:sub>
                </m:sSub>
                <m:r>
                  <w:rPr>
                    <w:rFonts w:ascii="Cambria Math" w:hAnsi="Cambria Math"/>
                    <w:sz w:val="20"/>
                    <w:szCs w:val="20"/>
                  </w:rPr>
                  <m:t>t</m:t>
                </m:r>
              </m:sup>
            </m:sSup>
          </m:den>
        </m:f>
      </m:oMath>
      <w:r w:rsidRPr="00B77BD6">
        <w:rPr>
          <w:rFonts w:ascii="Times New Roman" w:hAnsi="Times New Roman"/>
          <w:sz w:val="20"/>
          <w:szCs w:val="20"/>
        </w:rPr>
        <w:t xml:space="preserve">    </w:t>
      </w:r>
      <w:r w:rsidRPr="00B77BD6">
        <w:rPr>
          <w:rFonts w:ascii="Times New Roman" w:hAnsi="Times New Roman"/>
          <w:sz w:val="20"/>
          <w:szCs w:val="20"/>
        </w:rPr>
        <w:tab/>
      </w:r>
      <w:r w:rsidRPr="00B77BD6">
        <w:rPr>
          <w:rFonts w:ascii="Times New Roman" w:hAnsi="Times New Roman"/>
          <w:sz w:val="20"/>
          <w:szCs w:val="20"/>
        </w:rPr>
        <w:tab/>
      </w:r>
      <w:r w:rsidRPr="00B77BD6">
        <w:rPr>
          <w:rFonts w:ascii="Times New Roman" w:hAnsi="Times New Roman"/>
          <w:sz w:val="20"/>
          <w:szCs w:val="20"/>
        </w:rPr>
        <w:tab/>
      </w:r>
      <w:r w:rsidRPr="00B77BD6">
        <w:rPr>
          <w:rFonts w:ascii="Times New Roman" w:hAnsi="Times New Roman"/>
          <w:sz w:val="20"/>
          <w:szCs w:val="20"/>
        </w:rPr>
        <w:tab/>
      </w:r>
      <w:r w:rsidRPr="00B77BD6">
        <w:rPr>
          <w:rFonts w:ascii="Times New Roman" w:hAnsi="Times New Roman"/>
          <w:sz w:val="20"/>
          <w:szCs w:val="20"/>
        </w:rPr>
        <w:tab/>
        <w:t xml:space="preserve">                                            </w:t>
      </w:r>
      <w:r>
        <w:rPr>
          <w:rFonts w:ascii="Times New Roman" w:hAnsi="Times New Roman"/>
          <w:sz w:val="20"/>
          <w:szCs w:val="20"/>
        </w:rPr>
        <w:t xml:space="preserve">                    </w:t>
      </w:r>
      <w:r w:rsidRPr="00B77BD6">
        <w:rPr>
          <w:rFonts w:ascii="Times New Roman" w:hAnsi="Times New Roman"/>
          <w:sz w:val="20"/>
          <w:szCs w:val="20"/>
        </w:rPr>
        <w:t xml:space="preserve">  </w:t>
      </w:r>
      <w:r w:rsidRPr="00B77BD6">
        <w:rPr>
          <w:rFonts w:ascii="Times New Roman" w:hAnsi="Times New Roman"/>
          <w:sz w:val="20"/>
          <w:szCs w:val="20"/>
          <w:lang w:val="en-GB"/>
        </w:rPr>
        <w:t>(1)</w:t>
      </w:r>
    </w:p>
    <w:p w:rsidR="00B77BD6" w:rsidRPr="00B77BD6" w:rsidRDefault="00B77BD6" w:rsidP="00B77BD6">
      <w:pPr>
        <w:spacing w:after="0" w:line="240" w:lineRule="auto"/>
        <w:jc w:val="both"/>
        <w:rPr>
          <w:rFonts w:ascii="Times New Roman" w:hAnsi="Times New Roman"/>
          <w:sz w:val="20"/>
          <w:szCs w:val="20"/>
          <w:lang w:val="en-GB"/>
        </w:rPr>
      </w:pPr>
    </w:p>
    <w:p w:rsidR="00B77BD6" w:rsidRPr="00B77BD6" w:rsidRDefault="00B77BD6" w:rsidP="00B77BD6">
      <w:pPr>
        <w:spacing w:after="0" w:line="240" w:lineRule="auto"/>
        <w:jc w:val="both"/>
        <w:rPr>
          <w:rFonts w:ascii="Times New Roman" w:hAnsi="Times New Roman"/>
          <w:sz w:val="20"/>
          <w:szCs w:val="20"/>
          <w:lang w:val="en-GB"/>
        </w:rPr>
      </w:pPr>
      <w:r w:rsidRPr="00B77BD6">
        <w:rPr>
          <w:rFonts w:ascii="Times New Roman" w:hAnsi="Times New Roman"/>
          <w:sz w:val="20"/>
          <w:szCs w:val="20"/>
          <w:lang w:val="en-GB"/>
        </w:rPr>
        <w:t xml:space="preserve">where X is the value of predicted biomass achieved by the Logistic Model, </w:t>
      </w:r>
      <w:r w:rsidRPr="00B77BD6">
        <w:rPr>
          <w:rFonts w:ascii="Times New Roman" w:hAnsi="Times New Roman"/>
          <w:i/>
          <w:sz w:val="20"/>
          <w:szCs w:val="20"/>
          <w:lang w:val="en-GB"/>
        </w:rPr>
        <w:t>X</w:t>
      </w:r>
      <w:r w:rsidRPr="00B77BD6">
        <w:rPr>
          <w:rFonts w:ascii="Times New Roman" w:hAnsi="Times New Roman"/>
          <w:sz w:val="20"/>
          <w:szCs w:val="20"/>
          <w:vertAlign w:val="subscript"/>
          <w:lang w:val="en-GB"/>
        </w:rPr>
        <w:t>0</w:t>
      </w:r>
      <w:r w:rsidRPr="00B77BD6">
        <w:rPr>
          <w:rFonts w:ascii="Times New Roman" w:hAnsi="Times New Roman"/>
          <w:sz w:val="20"/>
          <w:szCs w:val="20"/>
          <w:lang w:val="en-GB"/>
        </w:rPr>
        <w:t xml:space="preserve"> is the initial biomass achieved during the experimental set up, and </w:t>
      </w:r>
      <w:r w:rsidRPr="00B77BD6">
        <w:rPr>
          <w:rFonts w:ascii="Times New Roman" w:hAnsi="Times New Roman"/>
          <w:i/>
          <w:sz w:val="20"/>
          <w:szCs w:val="20"/>
          <w:lang w:val="en-GB"/>
        </w:rPr>
        <w:t>X</w:t>
      </w:r>
      <w:r w:rsidRPr="00B77BD6">
        <w:rPr>
          <w:rFonts w:ascii="Times New Roman" w:hAnsi="Times New Roman"/>
          <w:sz w:val="20"/>
          <w:szCs w:val="20"/>
          <w:vertAlign w:val="subscript"/>
          <w:lang w:val="en-GB"/>
        </w:rPr>
        <w:t xml:space="preserve">max </w:t>
      </w:r>
      <w:r w:rsidRPr="00B77BD6">
        <w:rPr>
          <w:rFonts w:ascii="Times New Roman" w:hAnsi="Times New Roman"/>
          <w:sz w:val="20"/>
          <w:szCs w:val="20"/>
          <w:lang w:val="en-GB"/>
        </w:rPr>
        <w:t>is the maximum biomass achieved while t is the time take during the experiment.</w:t>
      </w:r>
    </w:p>
    <w:p w:rsidR="00B77BD6" w:rsidRPr="00B77BD6" w:rsidRDefault="00B77BD6" w:rsidP="00B77BD6">
      <w:pPr>
        <w:spacing w:after="0" w:line="240" w:lineRule="auto"/>
        <w:jc w:val="both"/>
        <w:rPr>
          <w:rFonts w:ascii="Times New Roman" w:hAnsi="Times New Roman"/>
          <w:sz w:val="20"/>
          <w:szCs w:val="20"/>
          <w:lang w:val="en-GB"/>
        </w:rPr>
      </w:pPr>
    </w:p>
    <w:p w:rsidR="00B77BD6" w:rsidRPr="00B77BD6" w:rsidRDefault="00B77BD6" w:rsidP="00B77BD6">
      <w:pPr>
        <w:spacing w:after="0" w:line="240" w:lineRule="auto"/>
        <w:jc w:val="both"/>
        <w:rPr>
          <w:rFonts w:ascii="Times New Roman" w:hAnsi="Times New Roman"/>
          <w:b/>
          <w:sz w:val="20"/>
          <w:szCs w:val="20"/>
          <w:lang w:val="en-GB"/>
        </w:rPr>
      </w:pPr>
      <w:r w:rsidRPr="00B77BD6">
        <w:rPr>
          <w:rFonts w:ascii="Times New Roman" w:eastAsia="SimSun" w:hAnsi="Times New Roman"/>
          <w:b/>
          <w:spacing w:val="-2"/>
          <w:sz w:val="20"/>
          <w:szCs w:val="20"/>
          <w:lang w:val="en-GB"/>
        </w:rPr>
        <w:t>Molecular identification</w:t>
      </w:r>
    </w:p>
    <w:p w:rsidR="00B77BD6" w:rsidRPr="00B77BD6" w:rsidRDefault="00B77BD6" w:rsidP="00B77BD6">
      <w:pPr>
        <w:spacing w:after="0" w:line="240" w:lineRule="auto"/>
        <w:ind w:right="27"/>
        <w:jc w:val="both"/>
        <w:rPr>
          <w:rFonts w:ascii="Times New Roman" w:hAnsi="Times New Roman"/>
          <w:spacing w:val="-2"/>
          <w:sz w:val="20"/>
          <w:szCs w:val="20"/>
          <w:lang w:val="en-GB"/>
        </w:rPr>
      </w:pPr>
      <w:r w:rsidRPr="00B77BD6">
        <w:rPr>
          <w:rFonts w:ascii="Times New Roman" w:eastAsia="SimSun" w:hAnsi="Times New Roman"/>
          <w:spacing w:val="-2"/>
          <w:sz w:val="20"/>
          <w:szCs w:val="20"/>
          <w:lang w:val="en-GB"/>
        </w:rPr>
        <w:t xml:space="preserve">Single/Pure strain of microalgae achieved in isolation process was used in molecular identification. Wet biomass of microalgae were collected and genomic DNA was extracted from it by using liquid nitrogen. Liquid nitrogen is a good agent for extraction due to the low temperature properties which it has boiling point at -196 °C and this will freeze and </w:t>
      </w:r>
      <w:r w:rsidRPr="00B77BD6">
        <w:rPr>
          <w:rFonts w:ascii="Times New Roman" w:eastAsia="SimSun" w:hAnsi="Times New Roman"/>
          <w:spacing w:val="-2"/>
          <w:sz w:val="20"/>
          <w:szCs w:val="20"/>
          <w:lang w:val="en-GB"/>
        </w:rPr>
        <w:lastRenderedPageBreak/>
        <w:t xml:space="preserve">crystalize the microalgae cells in the biomass instantly. </w:t>
      </w:r>
      <w:r w:rsidRPr="00B77BD6">
        <w:rPr>
          <w:rFonts w:ascii="Times New Roman" w:hAnsi="Times New Roman"/>
          <w:spacing w:val="-2"/>
          <w:sz w:val="20"/>
          <w:szCs w:val="20"/>
          <w:lang w:val="en-GB"/>
        </w:rPr>
        <w:t>Wet biomasses from cultivated microalgae were soaked into liquid nitrogen and homogenized with mortar and pestle for initial steps in breaking the cell wall of microalgae in order to extract the genomic DNA (gDNA).</w:t>
      </w:r>
      <w:r w:rsidRPr="00B77BD6">
        <w:rPr>
          <w:rFonts w:ascii="Times New Roman" w:eastAsia="SimSun" w:hAnsi="Times New Roman"/>
          <w:spacing w:val="-2"/>
          <w:sz w:val="20"/>
          <w:szCs w:val="20"/>
          <w:lang w:val="en-GB"/>
        </w:rPr>
        <w:t xml:space="preserve"> </w:t>
      </w:r>
      <w:r w:rsidRPr="00B77BD6">
        <w:rPr>
          <w:rFonts w:ascii="Times New Roman" w:hAnsi="Times New Roman"/>
          <w:spacing w:val="-2"/>
          <w:sz w:val="20"/>
          <w:szCs w:val="20"/>
          <w:lang w:val="en-GB"/>
        </w:rPr>
        <w:t xml:space="preserve">Next steps in achieving gDNA,  extraction kit from Promega containing nuclei lysis solution, protein precipitation solution, isopropanol, ethanol and RNase solution was used according to manual from the manufacturer. </w:t>
      </w:r>
      <w:r w:rsidRPr="00B77BD6">
        <w:rPr>
          <w:rFonts w:ascii="Times New Roman" w:eastAsia="SimSun" w:hAnsi="Times New Roman"/>
          <w:spacing w:val="-2"/>
          <w:sz w:val="20"/>
          <w:szCs w:val="20"/>
          <w:lang w:val="en-GB"/>
        </w:rPr>
        <w:t xml:space="preserve">Biomass achieved was then extracted using plant extraction kit by Promega Wizard Genomic DNA Purification Kit </w:t>
      </w:r>
      <w:r w:rsidRPr="00B77BD6">
        <w:rPr>
          <w:rFonts w:ascii="Times New Roman" w:eastAsia="SimSun" w:hAnsi="Times New Roman"/>
          <w:spacing w:val="-2"/>
          <w:sz w:val="20"/>
          <w:szCs w:val="20"/>
          <w:lang w:val="en-GB"/>
        </w:rPr>
        <w:fldChar w:fldCharType="begin" w:fldLock="1"/>
      </w:r>
      <w:r w:rsidRPr="00B77BD6">
        <w:rPr>
          <w:rFonts w:ascii="Times New Roman" w:eastAsia="SimSun" w:hAnsi="Times New Roman"/>
          <w:spacing w:val="-2"/>
          <w:sz w:val="20"/>
          <w:szCs w:val="20"/>
          <w:lang w:val="en-GB"/>
        </w:rPr>
        <w:instrText>ADDIN CSL_CITATION { "citationItems" : [ { "id" : "ITEM-1", "itemData" : { "ISBN" : "6082744330", "author" : [ { "dropping-particle" : "", "family" : "Promega", "given" : "", "non-dropping-particle" : "", "parse-names" : false, "suffix" : "" } ], "id" : "ITEM-1", "issued" : { "date-parts" : [ [ "2010" ] ] }, "page" : "1123-1126", "title" : "Wizard Genomic DNA Purification Kit Quick Protocol, FB022", "type" : "legislation" }, "uris" : [ "http://www.mendeley.com/documents/?uuid=a2450a04-6345-4ade-8b1d-075aa33e49fb" ] } ], "mendeley" : { "formattedCitation" : "&lt;sup&gt;22&lt;/sup&gt;", "manualFormatting" : "[22", "plainTextFormattedCitation" : "22", "previouslyFormattedCitation" : "&lt;sup&gt;22&lt;/sup&gt;" }, "properties" : { "noteIndex" : 0 }, "schema" : "https://github.com/citation-style-language/schema/raw/master/csl-citation.json" }</w:instrText>
      </w:r>
      <w:r w:rsidRPr="00B77BD6">
        <w:rPr>
          <w:rFonts w:ascii="Times New Roman" w:eastAsia="SimSun" w:hAnsi="Times New Roman"/>
          <w:spacing w:val="-2"/>
          <w:sz w:val="20"/>
          <w:szCs w:val="20"/>
          <w:lang w:val="en-GB"/>
        </w:rPr>
        <w:fldChar w:fldCharType="separate"/>
      </w:r>
      <w:r w:rsidRPr="00B77BD6">
        <w:rPr>
          <w:rFonts w:ascii="Times New Roman" w:eastAsia="SimSun" w:hAnsi="Times New Roman"/>
          <w:noProof/>
          <w:spacing w:val="-2"/>
          <w:sz w:val="20"/>
          <w:szCs w:val="20"/>
          <w:lang w:val="en-GB"/>
        </w:rPr>
        <w:t>[22</w:t>
      </w:r>
      <w:r w:rsidRPr="00B77BD6">
        <w:rPr>
          <w:rFonts w:ascii="Times New Roman" w:eastAsia="SimSun" w:hAnsi="Times New Roman"/>
          <w:spacing w:val="-2"/>
          <w:sz w:val="20"/>
          <w:szCs w:val="20"/>
          <w:lang w:val="en-GB"/>
        </w:rPr>
        <w:fldChar w:fldCharType="end"/>
      </w:r>
      <w:r w:rsidRPr="00B77BD6">
        <w:rPr>
          <w:rFonts w:ascii="Times New Roman" w:eastAsia="SimSun" w:hAnsi="Times New Roman"/>
          <w:spacing w:val="-2"/>
          <w:sz w:val="20"/>
          <w:szCs w:val="20"/>
          <w:lang w:val="en-GB"/>
        </w:rPr>
        <w:t>]. 18s rRNA genes Polymeric Chain Reaction (PCR) amplified using forward (50 TACTGTGAAACTGCGAATGGCTC 30) and reverse (50 TGATCCTTCCGCAGGTTCACCTA 30) primer was used in this process [</w:t>
      </w:r>
      <w:r w:rsidRPr="00B77BD6">
        <w:rPr>
          <w:rFonts w:ascii="Times New Roman" w:eastAsia="SimSun" w:hAnsi="Times New Roman"/>
          <w:spacing w:val="-2"/>
          <w:sz w:val="20"/>
          <w:szCs w:val="20"/>
          <w:lang w:val="en-GB"/>
        </w:rPr>
        <w:fldChar w:fldCharType="begin" w:fldLock="1"/>
      </w:r>
      <w:r w:rsidRPr="00B77BD6">
        <w:rPr>
          <w:rFonts w:ascii="Times New Roman" w:eastAsia="SimSun" w:hAnsi="Times New Roman"/>
          <w:spacing w:val="-2"/>
          <w:sz w:val="20"/>
          <w:szCs w:val="20"/>
          <w:lang w:val="en-GB"/>
        </w:rPr>
        <w:instrText>ADDIN CSL_CITATION { "citationItems" : [ { "id" : "ITEM-1", "itemData" : { "DOI" : "10.1111/j.1550-7408.2000.tb00014.x", "ISBN" : "4947148314", "ISSN" : "1066-5234", "PMID" : "10651300", "abstract" : "Photosynthetic pico- and nanoplankton dominate phytoplankton biomass and primary production in the oligotrophic open ocean. Species composition, community structure, and dynamics of the eukaryotic components of these size classes are poorly known primarily because of the difficulties associated with their preservation and identification. Molecular techniques utilizing 18S rRNA sequences offer a number of new and rapid means of identifying the picoplankton. From the available 18S rRNA sequence data for the algae, we designed new group-specific oligonucleotide probes for the division Chlorophyta, the division Haptophyta, and the class Pelagophyceae (division Heterokonta). Dot blot hybridization with polymerase chain reaction amplified target rDNA and whole-cell hybridization assays with fluorescence microscopy and flow cytometry were used to demonstrate probe specificity. Hybridization results with representatives from seven algal classes supported the phylogenetic affinities of the cells. Such group- or taxon-specific probes will be useful in examining community structure, for identifying new algal isolates, and for in situ detection of these three groups, which are thought to be the dominant algal taxa in the oligotrophic regions of the ocean.", "author" : [ { "dropping-particle" : "", "family" : "Simon", "given" : "N", "non-dropping-particle" : "", "parse-names" : false, "suffix" : "" }, { "dropping-particle" : "", "family" : "Campbell", "given" : "L", "non-dropping-particle" : "", "parse-names" : false, "suffix" : "" }, { "dropping-particle" : "", "family" : "Ornolfsdottir", "given" : "E", "non-dropping-particle" : "", "parse-names" : false, "suffix" : "" }, { "dropping-particle" : "", "family" : "Groben", "given" : "R", "non-dropping-particle" : "", "parse-names" : false, "suffix" : "" }, { "dropping-particle" : "", "family" : "Guillou", "given" : "L", "non-dropping-particle" : "", "parse-names" : false, "suffix" : "" }, { "dropping-particle" : "", "family" : "Lange", "given" : "M", "non-dropping-particle" : "", "parse-names" : false, "suffix" : "" }, { "dropping-particle" : "", "family" : "Medlin", "given" : "L K", "non-dropping-particle" : "", "parse-names" : false, "suffix" : "" } ], "container-title" : "The Journal of eukaryotic microbiology", "id" : "ITEM-1", "issue" : "1", "issued" : { "date-parts" : [ [ "2000" ] ] }, "page" : "76-84", "title" : "Oligonucleotide probes for the identification of three algal groups by dot blot and fluorescent whole-cell hybridization.", "type" : "article-journal", "volume" : "47" }, "uris" : [ "http://www.mendeley.com/documents/?uuid=7caf80b8-1dcd-4660-8fda-ac81d83956c5" ] } ], "mendeley" : { "formattedCitation" : "&lt;sup&gt;23&lt;/sup&gt;", "plainTextFormattedCitation" : "23", "previouslyFormattedCitation" : "&lt;sup&gt;23&lt;/sup&gt;" }, "properties" : { "noteIndex" : 0 }, "schema" : "https://github.com/citation-style-language/schema/raw/master/csl-citation.json" }</w:instrText>
      </w:r>
      <w:r w:rsidRPr="00B77BD6">
        <w:rPr>
          <w:rFonts w:ascii="Times New Roman" w:eastAsia="SimSun" w:hAnsi="Times New Roman"/>
          <w:spacing w:val="-2"/>
          <w:sz w:val="20"/>
          <w:szCs w:val="20"/>
          <w:lang w:val="en-GB"/>
        </w:rPr>
        <w:fldChar w:fldCharType="separate"/>
      </w:r>
      <w:r w:rsidRPr="00B77BD6">
        <w:rPr>
          <w:rFonts w:ascii="Times New Roman" w:eastAsia="SimSun" w:hAnsi="Times New Roman"/>
          <w:noProof/>
          <w:spacing w:val="-2"/>
          <w:sz w:val="20"/>
          <w:szCs w:val="20"/>
          <w:lang w:val="en-GB"/>
        </w:rPr>
        <w:t>23</w:t>
      </w:r>
      <w:r w:rsidRPr="00B77BD6">
        <w:rPr>
          <w:rFonts w:ascii="Times New Roman" w:eastAsia="SimSun" w:hAnsi="Times New Roman"/>
          <w:spacing w:val="-2"/>
          <w:sz w:val="20"/>
          <w:szCs w:val="20"/>
          <w:lang w:val="en-GB"/>
        </w:rPr>
        <w:fldChar w:fldCharType="end"/>
      </w:r>
      <w:r w:rsidRPr="00B77BD6">
        <w:rPr>
          <w:rFonts w:ascii="Times New Roman" w:eastAsia="SimSun" w:hAnsi="Times New Roman"/>
          <w:spacing w:val="-2"/>
          <w:sz w:val="20"/>
          <w:szCs w:val="20"/>
          <w:lang w:val="en-GB"/>
        </w:rPr>
        <w:t xml:space="preserve">, </w:t>
      </w:r>
      <w:r w:rsidRPr="00B77BD6">
        <w:rPr>
          <w:rFonts w:ascii="Times New Roman" w:eastAsia="SimSun" w:hAnsi="Times New Roman"/>
          <w:spacing w:val="-2"/>
          <w:sz w:val="20"/>
          <w:szCs w:val="20"/>
          <w:lang w:val="en-GB"/>
        </w:rPr>
        <w:fldChar w:fldCharType="begin" w:fldLock="1"/>
      </w:r>
      <w:r w:rsidRPr="00B77BD6">
        <w:rPr>
          <w:rFonts w:ascii="Times New Roman" w:eastAsia="SimSun" w:hAnsi="Times New Roman"/>
          <w:spacing w:val="-2"/>
          <w:sz w:val="20"/>
          <w:szCs w:val="20"/>
          <w:lang w:val="en-GB"/>
        </w:rPr>
        <w:instrText>ADDIN CSL_CITATION { "citationItems" : [ { "id" : "ITEM-1", "itemData" : { "DOI" : "10.1046/j.1529-8817.2001.01004.x", "ISBN" : "1529-8817", "ISSN" : "00223646", "abstract" : "Coccoid green algae of the Selenastraceae were investigated by means of light microscopy, TEM, and 18S rRNA analyses to evaluate the generic concept in this family. Phylogenetic trees inferred from the 18S rRNA gene sequences showed that the studied species of autosporic Selenastraceae formed a well-resolved monophyletic clade within the DO group of Chlorophyceae. Several morphological characteristics that are traditionally used as generic features were investigated, especially the arrangement of autospores in the mother cells, colony formation, and pyrenoid structure. The parallel arrangement of autospores was confirmed for the genera Ankistrodesmus, Podohedriella, and Quadrigula. In mother cells of Monoraphidium and Kirchneriella, the autospores were arranged serially. Colony formation was either stable (Quadrigula) or variable (Ankistrodesmus, Podohedriella) within genera. All strains studied possessed naked or starch-covered pyrenoids within the chloroplast. The pyrenoid matrix was homogenous or penetrated by thylakoids. In contrast to considerations of traditional systematics, the present study showed that the presence and structure of pyrenoids are unsuitable for differentiation of genera in Selenastraceae. Furthermore, the molecular analyses showed that any morphological criterion considered so far is not significant for the systematics of the Selenastraceae on the generic level. Species assigned to different genera such as Ankistrodesmus and Monoraphidium were not monophyletic and therefore not distinguishable as separate genera. Species of Monoraphidium appeared in four different lineages of the Selenastraceae. Our phylogenetic analyses support earlier discussions to abandon the common practice of conceiving \u201csmall\u201d genera (i.e. genera that are differentiated from other genera by only a few diacritic characteristics and that contain only a small number of species) and to reestablish \u201clarge\u201d genera of Selenastraceae such as Ankistrodesmus.", "author" : [ { "dropping-particle" : "", "family" : "Krienitz", "given" : "Lothar", "non-dropping-particle" : "", "parse-names" : false, "suffix" : "" }, { "dropping-particle" : "", "family" : "Ustinova", "given" : "Iana", "non-dropping-particle" : "", "parse-names" : false, "suffix" : "" }, { "dropping-particle" : "", "family" : "Friedl", "given" : "Thomas", "non-dropping-particle" : "", "parse-names" : false, "suffix" : "" }, { "dropping-particle" : "", "family" : "Huss", "given" : "V. a R", "non-dropping-particle" : "", "parse-names" : false, "suffix" : "" } ], "container-title" : "Journal of Phycology", "id" : "ITEM-1", "issue" : "5", "issued" : { "date-parts" : [ [ "2001" ] ] }, "page" : "852-865", "title" : "Traditional generic concepts versus 18S rRNA gene phylogeny in the green algal family Selenastraceae (Chlorophyceae, Chlorophyta)", "type" : "article-journal", "volume" : "37" }, "uris" : [ "http://www.mendeley.com/documents/?uuid=3c7f0864-2eac-45c8-85df-781821cf38fe" ] } ], "mendeley" : { "formattedCitation" : "&lt;sup&gt;24&lt;/sup&gt;", "plainTextFormattedCitation" : "24", "previouslyFormattedCitation" : "&lt;sup&gt;24&lt;/sup&gt;" }, "properties" : { "noteIndex" : 0 }, "schema" : "https://github.com/citation-style-language/schema/raw/master/csl-citation.json" }</w:instrText>
      </w:r>
      <w:r w:rsidRPr="00B77BD6">
        <w:rPr>
          <w:rFonts w:ascii="Times New Roman" w:eastAsia="SimSun" w:hAnsi="Times New Roman"/>
          <w:spacing w:val="-2"/>
          <w:sz w:val="20"/>
          <w:szCs w:val="20"/>
          <w:lang w:val="en-GB"/>
        </w:rPr>
        <w:fldChar w:fldCharType="separate"/>
      </w:r>
      <w:r w:rsidRPr="00B77BD6">
        <w:rPr>
          <w:rFonts w:ascii="Times New Roman" w:eastAsia="SimSun" w:hAnsi="Times New Roman"/>
          <w:noProof/>
          <w:spacing w:val="-2"/>
          <w:sz w:val="20"/>
          <w:szCs w:val="20"/>
          <w:lang w:val="en-GB"/>
        </w:rPr>
        <w:t>24</w:t>
      </w:r>
      <w:r w:rsidRPr="00B77BD6">
        <w:rPr>
          <w:rFonts w:ascii="Times New Roman" w:eastAsia="SimSun" w:hAnsi="Times New Roman"/>
          <w:spacing w:val="-2"/>
          <w:sz w:val="20"/>
          <w:szCs w:val="20"/>
          <w:lang w:val="en-GB"/>
        </w:rPr>
        <w:fldChar w:fldCharType="end"/>
      </w:r>
      <w:r w:rsidRPr="00B77BD6">
        <w:rPr>
          <w:rFonts w:ascii="Times New Roman" w:eastAsia="SimSun" w:hAnsi="Times New Roman"/>
          <w:spacing w:val="-2"/>
          <w:sz w:val="20"/>
          <w:szCs w:val="20"/>
          <w:lang w:val="en-GB"/>
        </w:rPr>
        <w:t xml:space="preserve">]. The primer was design by FirstBase Sdn Bhd. </w:t>
      </w:r>
      <w:r w:rsidRPr="00B77BD6">
        <w:rPr>
          <w:rFonts w:ascii="Times New Roman" w:hAnsi="Times New Roman"/>
          <w:spacing w:val="-2"/>
          <w:sz w:val="20"/>
          <w:szCs w:val="20"/>
          <w:lang w:val="en-GB"/>
        </w:rPr>
        <w:t>Purified and single cultured microalgae from the coal-fired power plant were further identified using molecular identification.</w:t>
      </w:r>
    </w:p>
    <w:p w:rsidR="00B77BD6" w:rsidRPr="00B77BD6" w:rsidRDefault="00B77BD6" w:rsidP="00B77BD6">
      <w:pPr>
        <w:spacing w:after="0" w:line="240" w:lineRule="auto"/>
        <w:ind w:right="27"/>
        <w:jc w:val="both"/>
        <w:rPr>
          <w:rFonts w:ascii="Times New Roman" w:hAnsi="Times New Roman"/>
          <w:spacing w:val="-2"/>
          <w:sz w:val="20"/>
          <w:szCs w:val="20"/>
          <w:lang w:val="en-GB"/>
        </w:rPr>
      </w:pPr>
    </w:p>
    <w:p w:rsidR="00B77BD6" w:rsidRPr="00B77BD6" w:rsidRDefault="00B77BD6" w:rsidP="00B77BD6">
      <w:pPr>
        <w:spacing w:after="0" w:line="240" w:lineRule="auto"/>
        <w:ind w:right="27"/>
        <w:jc w:val="both"/>
        <w:rPr>
          <w:rFonts w:ascii="Times New Roman" w:eastAsia="SimSun" w:hAnsi="Times New Roman"/>
          <w:spacing w:val="-2"/>
          <w:sz w:val="20"/>
          <w:szCs w:val="20"/>
          <w:lang w:val="en-GB"/>
        </w:rPr>
      </w:pPr>
      <w:r w:rsidRPr="00B77BD6">
        <w:rPr>
          <w:rFonts w:ascii="Times New Roman" w:hAnsi="Times New Roman"/>
          <w:spacing w:val="-2"/>
          <w:sz w:val="20"/>
          <w:szCs w:val="20"/>
          <w:lang w:val="en-GB"/>
        </w:rPr>
        <w:t>PCR products were sequenced by Life Technologies (China). The sequenced products were compared with NCBI data bank using the BLAST Program. (NCBI BLAST, USA). Top ten similar results were achieved and compared for the similarity in the percentage value.</w:t>
      </w:r>
    </w:p>
    <w:p w:rsidR="00B77BD6" w:rsidRPr="00B77BD6" w:rsidRDefault="00B77BD6" w:rsidP="00B77BD6">
      <w:pPr>
        <w:spacing w:after="0" w:line="240" w:lineRule="auto"/>
        <w:ind w:right="27"/>
        <w:jc w:val="both"/>
        <w:rPr>
          <w:rFonts w:ascii="Times New Roman" w:eastAsia="SimSun" w:hAnsi="Times New Roman"/>
          <w:spacing w:val="-2"/>
          <w:sz w:val="20"/>
          <w:szCs w:val="20"/>
          <w:lang w:val="en-GB"/>
        </w:rPr>
      </w:pPr>
    </w:p>
    <w:p w:rsidR="00B77BD6" w:rsidRPr="00B77BD6" w:rsidRDefault="00B77BD6" w:rsidP="00B77BD6">
      <w:pPr>
        <w:spacing w:after="0" w:line="240" w:lineRule="auto"/>
        <w:ind w:right="27"/>
        <w:jc w:val="both"/>
        <w:rPr>
          <w:rFonts w:ascii="Times New Roman" w:eastAsia="SimSun" w:hAnsi="Times New Roman"/>
          <w:b/>
          <w:spacing w:val="-2"/>
          <w:sz w:val="20"/>
          <w:szCs w:val="20"/>
          <w:lang w:val="en-GB"/>
        </w:rPr>
      </w:pPr>
      <w:r w:rsidRPr="00B77BD6">
        <w:rPr>
          <w:rFonts w:ascii="Times New Roman" w:eastAsia="SimSun" w:hAnsi="Times New Roman"/>
          <w:b/>
          <w:spacing w:val="-2"/>
          <w:sz w:val="20"/>
          <w:szCs w:val="20"/>
          <w:lang w:val="en-GB"/>
        </w:rPr>
        <w:t>Carbon dioxide sequestration</w:t>
      </w:r>
    </w:p>
    <w:p w:rsidR="00B77BD6" w:rsidRPr="00B77BD6" w:rsidRDefault="00B77BD6" w:rsidP="00B77BD6">
      <w:pPr>
        <w:spacing w:after="0" w:line="240" w:lineRule="auto"/>
        <w:jc w:val="both"/>
        <w:rPr>
          <w:rFonts w:ascii="Times New Roman" w:hAnsi="Times New Roman"/>
          <w:spacing w:val="-2"/>
          <w:sz w:val="20"/>
          <w:szCs w:val="20"/>
          <w:lang w:val="en-GB"/>
        </w:rPr>
      </w:pPr>
      <w:r w:rsidRPr="00B77BD6">
        <w:rPr>
          <w:rFonts w:ascii="Times New Roman" w:hAnsi="Times New Roman"/>
          <w:spacing w:val="-2"/>
          <w:sz w:val="20"/>
          <w:szCs w:val="20"/>
          <w:lang w:val="en-GB"/>
        </w:rPr>
        <w:t>Single/Pure strain of microalgae were then cultivated in 2L Schott Duran Bottle with 3 outlets on the top of the cap; 1) used for CO</w:t>
      </w:r>
      <w:r w:rsidRPr="00B77BD6">
        <w:rPr>
          <w:rFonts w:ascii="Times New Roman" w:hAnsi="Times New Roman"/>
          <w:spacing w:val="-2"/>
          <w:sz w:val="20"/>
          <w:szCs w:val="20"/>
          <w:vertAlign w:val="subscript"/>
          <w:lang w:val="en-GB"/>
        </w:rPr>
        <w:t>2</w:t>
      </w:r>
      <w:r w:rsidRPr="00B77BD6">
        <w:rPr>
          <w:rFonts w:ascii="Times New Roman" w:hAnsi="Times New Roman"/>
          <w:spacing w:val="-2"/>
          <w:sz w:val="20"/>
          <w:szCs w:val="20"/>
          <w:lang w:val="en-GB"/>
        </w:rPr>
        <w:t xml:space="preserve"> sparging inlet point, 2) used for CO</w:t>
      </w:r>
      <w:r w:rsidRPr="00B77BD6">
        <w:rPr>
          <w:rFonts w:ascii="Times New Roman" w:hAnsi="Times New Roman"/>
          <w:spacing w:val="-2"/>
          <w:sz w:val="20"/>
          <w:szCs w:val="20"/>
          <w:vertAlign w:val="subscript"/>
          <w:lang w:val="en-GB"/>
        </w:rPr>
        <w:t>2</w:t>
      </w:r>
      <w:r w:rsidRPr="00B77BD6">
        <w:rPr>
          <w:rFonts w:ascii="Times New Roman" w:hAnsi="Times New Roman"/>
          <w:spacing w:val="-2"/>
          <w:sz w:val="20"/>
          <w:szCs w:val="20"/>
          <w:lang w:val="en-GB"/>
        </w:rPr>
        <w:t xml:space="preserve"> sampling outlet, 3) used for secondary outlet as shown in Figure 1. Different CO</w:t>
      </w:r>
      <w:r w:rsidRPr="00B77BD6">
        <w:rPr>
          <w:rFonts w:ascii="Times New Roman" w:hAnsi="Times New Roman"/>
          <w:spacing w:val="-2"/>
          <w:sz w:val="20"/>
          <w:szCs w:val="20"/>
          <w:vertAlign w:val="subscript"/>
          <w:lang w:val="en-GB"/>
        </w:rPr>
        <w:t>2</w:t>
      </w:r>
      <w:r w:rsidRPr="00B77BD6">
        <w:rPr>
          <w:rFonts w:ascii="Times New Roman" w:hAnsi="Times New Roman"/>
          <w:spacing w:val="-2"/>
          <w:sz w:val="20"/>
          <w:szCs w:val="20"/>
          <w:lang w:val="en-GB"/>
        </w:rPr>
        <w:t xml:space="preserve"> concentration at ambient air condition, 1% CO</w:t>
      </w:r>
      <w:r w:rsidRPr="00B77BD6">
        <w:rPr>
          <w:rFonts w:ascii="Times New Roman" w:hAnsi="Times New Roman"/>
          <w:spacing w:val="-2"/>
          <w:sz w:val="20"/>
          <w:szCs w:val="20"/>
          <w:vertAlign w:val="subscript"/>
          <w:lang w:val="en-GB"/>
        </w:rPr>
        <w:t>2</w:t>
      </w:r>
      <w:r w:rsidRPr="00B77BD6">
        <w:rPr>
          <w:rFonts w:ascii="Times New Roman" w:hAnsi="Times New Roman"/>
          <w:spacing w:val="-2"/>
          <w:sz w:val="20"/>
          <w:szCs w:val="20"/>
          <w:lang w:val="en-GB"/>
        </w:rPr>
        <w:t xml:space="preserve"> and 5% CO</w:t>
      </w:r>
      <w:r w:rsidRPr="00B77BD6">
        <w:rPr>
          <w:rFonts w:ascii="Times New Roman" w:hAnsi="Times New Roman"/>
          <w:spacing w:val="-2"/>
          <w:sz w:val="20"/>
          <w:szCs w:val="20"/>
          <w:vertAlign w:val="subscript"/>
          <w:lang w:val="en-GB"/>
        </w:rPr>
        <w:t xml:space="preserve">2 </w:t>
      </w:r>
      <w:r w:rsidRPr="00B77BD6">
        <w:rPr>
          <w:rFonts w:ascii="Times New Roman" w:hAnsi="Times New Roman"/>
          <w:spacing w:val="-2"/>
          <w:sz w:val="20"/>
          <w:szCs w:val="20"/>
          <w:lang w:val="en-GB"/>
        </w:rPr>
        <w:t>were tested to determine the preliminary result for CO</w:t>
      </w:r>
      <w:r w:rsidRPr="00B77BD6">
        <w:rPr>
          <w:rFonts w:ascii="Times New Roman" w:hAnsi="Times New Roman"/>
          <w:spacing w:val="-2"/>
          <w:sz w:val="20"/>
          <w:szCs w:val="20"/>
          <w:vertAlign w:val="subscript"/>
          <w:lang w:val="en-GB"/>
        </w:rPr>
        <w:t>2</w:t>
      </w:r>
      <w:r w:rsidRPr="00B77BD6">
        <w:rPr>
          <w:rFonts w:ascii="Times New Roman" w:hAnsi="Times New Roman"/>
          <w:spacing w:val="-2"/>
          <w:sz w:val="20"/>
          <w:szCs w:val="20"/>
          <w:lang w:val="en-GB"/>
        </w:rPr>
        <w:t xml:space="preserve"> sequestration rate. CO</w:t>
      </w:r>
      <w:r w:rsidRPr="00B77BD6">
        <w:rPr>
          <w:rFonts w:ascii="Times New Roman" w:hAnsi="Times New Roman"/>
          <w:spacing w:val="-2"/>
          <w:sz w:val="20"/>
          <w:szCs w:val="20"/>
          <w:vertAlign w:val="subscript"/>
          <w:lang w:val="en-GB"/>
        </w:rPr>
        <w:t>2</w:t>
      </w:r>
      <w:r w:rsidRPr="00B77BD6">
        <w:rPr>
          <w:rFonts w:ascii="Times New Roman" w:hAnsi="Times New Roman"/>
          <w:spacing w:val="-2"/>
          <w:sz w:val="20"/>
          <w:szCs w:val="20"/>
          <w:lang w:val="en-GB"/>
        </w:rPr>
        <w:t xml:space="preserve"> analyzer (Quantek, Model902D) was used in this run where infra-red sensor read the CO</w:t>
      </w:r>
      <w:r w:rsidRPr="00B77BD6">
        <w:rPr>
          <w:rFonts w:ascii="Times New Roman" w:hAnsi="Times New Roman"/>
          <w:spacing w:val="-2"/>
          <w:sz w:val="20"/>
          <w:szCs w:val="20"/>
          <w:vertAlign w:val="subscript"/>
          <w:lang w:val="en-GB"/>
        </w:rPr>
        <w:t>2</w:t>
      </w:r>
      <w:r w:rsidRPr="00B77BD6">
        <w:rPr>
          <w:rFonts w:ascii="Times New Roman" w:hAnsi="Times New Roman"/>
          <w:spacing w:val="-2"/>
          <w:sz w:val="20"/>
          <w:szCs w:val="20"/>
          <w:lang w:val="en-GB"/>
        </w:rPr>
        <w:t xml:space="preserve"> concentration continuously. Continuous data were collected using data logger.</w:t>
      </w:r>
    </w:p>
    <w:p w:rsidR="00B77BD6" w:rsidRDefault="00B77BD6" w:rsidP="00B77BD6">
      <w:pPr>
        <w:spacing w:after="0" w:line="240" w:lineRule="auto"/>
        <w:jc w:val="both"/>
        <w:rPr>
          <w:rFonts w:ascii="Times New Roman" w:hAnsi="Times New Roman"/>
          <w:spacing w:val="-2"/>
          <w:sz w:val="20"/>
          <w:szCs w:val="20"/>
          <w:lang w:val="en-GB"/>
        </w:rPr>
      </w:pPr>
    </w:p>
    <w:p w:rsidR="00B77BD6" w:rsidRPr="00B77BD6" w:rsidRDefault="00B77BD6" w:rsidP="00B77BD6">
      <w:pPr>
        <w:spacing w:after="0" w:line="240" w:lineRule="auto"/>
        <w:jc w:val="both"/>
        <w:rPr>
          <w:rFonts w:ascii="Times New Roman" w:hAnsi="Times New Roman"/>
          <w:spacing w:val="-2"/>
          <w:sz w:val="20"/>
          <w:szCs w:val="20"/>
          <w:lang w:val="en-GB"/>
        </w:rPr>
      </w:pPr>
    </w:p>
    <w:p w:rsidR="00B77BD6" w:rsidRPr="00B77BD6" w:rsidRDefault="00B77BD6" w:rsidP="00B77BD6">
      <w:pPr>
        <w:spacing w:after="0" w:line="240" w:lineRule="auto"/>
        <w:jc w:val="center"/>
        <w:rPr>
          <w:rFonts w:ascii="Times New Roman" w:hAnsi="Times New Roman"/>
          <w:spacing w:val="-2"/>
          <w:sz w:val="20"/>
          <w:szCs w:val="20"/>
          <w:lang w:val="en-GB"/>
        </w:rPr>
      </w:pPr>
      <w:r w:rsidRPr="00B77BD6">
        <w:rPr>
          <w:rFonts w:ascii="Times New Roman" w:hAnsi="Times New Roman"/>
          <w:noProof/>
          <w:spacing w:val="-2"/>
          <w:sz w:val="20"/>
          <w:szCs w:val="20"/>
          <w:lang w:bidi="ar-SA"/>
        </w:rPr>
        <w:drawing>
          <wp:inline distT="0" distB="0" distL="0" distR="0" wp14:anchorId="37A9913E" wp14:editId="7F35CB97">
            <wp:extent cx="2381250" cy="1701800"/>
            <wp:effectExtent l="19050" t="19050" r="19050" b="12700"/>
            <wp:docPr id="2" name="Picture 2" descr="picture for som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for somch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1250" cy="1701800"/>
                    </a:xfrm>
                    <a:prstGeom prst="rect">
                      <a:avLst/>
                    </a:prstGeom>
                    <a:noFill/>
                    <a:ln w="6350" cmpd="sng">
                      <a:solidFill>
                        <a:srgbClr val="000000"/>
                      </a:solidFill>
                      <a:miter lim="800000"/>
                      <a:headEnd/>
                      <a:tailEnd/>
                    </a:ln>
                    <a:effectLst/>
                  </pic:spPr>
                </pic:pic>
              </a:graphicData>
            </a:graphic>
          </wp:inline>
        </w:drawing>
      </w:r>
    </w:p>
    <w:p w:rsidR="00B77BD6" w:rsidRPr="00B77BD6" w:rsidRDefault="00B77BD6" w:rsidP="00B77BD6">
      <w:pPr>
        <w:spacing w:after="0" w:line="240" w:lineRule="auto"/>
        <w:ind w:firstLine="450"/>
        <w:jc w:val="both"/>
        <w:rPr>
          <w:rFonts w:ascii="Times New Roman" w:hAnsi="Times New Roman"/>
          <w:spacing w:val="-2"/>
          <w:sz w:val="20"/>
          <w:szCs w:val="20"/>
          <w:lang w:val="en-GB"/>
        </w:rPr>
      </w:pPr>
    </w:p>
    <w:p w:rsidR="00B77BD6" w:rsidRPr="00B77BD6" w:rsidRDefault="00B77BD6" w:rsidP="006433EA">
      <w:pPr>
        <w:pStyle w:val="JESTECAbstract"/>
        <w:spacing w:before="0"/>
        <w:ind w:left="851" w:right="-29" w:hanging="851"/>
        <w:rPr>
          <w:spacing w:val="-2"/>
          <w:sz w:val="20"/>
          <w:szCs w:val="20"/>
        </w:rPr>
      </w:pPr>
      <w:r w:rsidRPr="00B77BD6">
        <w:rPr>
          <w:spacing w:val="-2"/>
          <w:sz w:val="20"/>
          <w:szCs w:val="20"/>
        </w:rPr>
        <w:t xml:space="preserve">Figure 1. </w:t>
      </w:r>
      <w:r>
        <w:rPr>
          <w:spacing w:val="-2"/>
          <w:sz w:val="20"/>
          <w:szCs w:val="20"/>
        </w:rPr>
        <w:tab/>
      </w:r>
      <w:r w:rsidRPr="00B77BD6">
        <w:rPr>
          <w:spacing w:val="-2"/>
          <w:sz w:val="20"/>
          <w:szCs w:val="20"/>
        </w:rPr>
        <w:t>Schematic of cultivation in 2L Schott Duran for CO</w:t>
      </w:r>
      <w:r w:rsidRPr="00B77BD6">
        <w:rPr>
          <w:spacing w:val="-2"/>
          <w:sz w:val="20"/>
          <w:szCs w:val="20"/>
          <w:vertAlign w:val="subscript"/>
        </w:rPr>
        <w:t>2</w:t>
      </w:r>
      <w:r w:rsidRPr="00B77BD6">
        <w:rPr>
          <w:spacing w:val="-2"/>
          <w:sz w:val="20"/>
          <w:szCs w:val="20"/>
        </w:rPr>
        <w:t xml:space="preserve"> sequestration experiments; 1) air outlet, 2) gas mixing system inlet and 3) CO</w:t>
      </w:r>
      <w:r w:rsidRPr="00B77BD6">
        <w:rPr>
          <w:spacing w:val="-2"/>
          <w:sz w:val="20"/>
          <w:szCs w:val="20"/>
          <w:vertAlign w:val="subscript"/>
        </w:rPr>
        <w:t>2</w:t>
      </w:r>
      <w:r w:rsidRPr="00B77BD6">
        <w:rPr>
          <w:spacing w:val="-2"/>
          <w:sz w:val="20"/>
          <w:szCs w:val="20"/>
        </w:rPr>
        <w:t xml:space="preserve"> analyzer outlet</w:t>
      </w:r>
    </w:p>
    <w:p w:rsidR="006768E9" w:rsidRDefault="006768E9" w:rsidP="00B77BD6">
      <w:pPr>
        <w:spacing w:after="0" w:line="240" w:lineRule="auto"/>
        <w:jc w:val="center"/>
        <w:rPr>
          <w:rFonts w:ascii="Times New Roman" w:hAnsi="Times New Roman"/>
          <w:noProof/>
          <w:sz w:val="20"/>
          <w:szCs w:val="20"/>
          <w:lang w:bidi="ar-SA"/>
        </w:rPr>
      </w:pPr>
    </w:p>
    <w:p w:rsidR="00B77BD6" w:rsidRPr="00F447A7" w:rsidRDefault="00B77BD6" w:rsidP="00B77BD6">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B77BD6" w:rsidRPr="00B77BD6" w:rsidRDefault="00B77BD6" w:rsidP="00B77BD6">
      <w:pPr>
        <w:spacing w:after="0" w:line="240" w:lineRule="auto"/>
        <w:ind w:right="27"/>
        <w:jc w:val="both"/>
        <w:rPr>
          <w:rFonts w:ascii="Times New Roman" w:eastAsia="SimSun" w:hAnsi="Times New Roman"/>
          <w:b/>
          <w:spacing w:val="-2"/>
          <w:sz w:val="20"/>
          <w:szCs w:val="20"/>
          <w:lang w:val="en-GB"/>
        </w:rPr>
      </w:pPr>
      <w:r w:rsidRPr="00B77BD6">
        <w:rPr>
          <w:rFonts w:ascii="Times New Roman" w:eastAsia="SimSun" w:hAnsi="Times New Roman"/>
          <w:b/>
          <w:spacing w:val="-2"/>
          <w:sz w:val="20"/>
          <w:szCs w:val="20"/>
          <w:lang w:val="en-GB"/>
        </w:rPr>
        <w:t>Isolation of microalgae</w:t>
      </w:r>
    </w:p>
    <w:p w:rsidR="00B77BD6" w:rsidRPr="00B77BD6" w:rsidRDefault="00B77BD6" w:rsidP="00B77BD6">
      <w:pPr>
        <w:spacing w:after="0" w:line="240" w:lineRule="auto"/>
        <w:ind w:right="27"/>
        <w:jc w:val="both"/>
        <w:rPr>
          <w:rFonts w:ascii="Times New Roman" w:eastAsia="SimSun" w:hAnsi="Times New Roman"/>
          <w:spacing w:val="-2"/>
          <w:sz w:val="20"/>
          <w:szCs w:val="20"/>
          <w:lang w:val="en-GB"/>
        </w:rPr>
      </w:pPr>
      <w:r w:rsidRPr="00B77BD6">
        <w:rPr>
          <w:rFonts w:ascii="Times New Roman" w:eastAsia="SimSun" w:hAnsi="Times New Roman"/>
          <w:spacing w:val="-2"/>
          <w:sz w:val="20"/>
          <w:szCs w:val="20"/>
          <w:lang w:val="en-GB"/>
        </w:rPr>
        <w:t xml:space="preserve">The samples that were collected have a pH ranging around 7.0 to 8.5. This alkalinity can be explained due to the sample of the water; usage water containing isolated microalgae source was used as a cooling water for the coal-fired power plant which ash from the burning coal contribute to this phenomena </w:t>
      </w:r>
      <w:r w:rsidRPr="00B77BD6">
        <w:rPr>
          <w:rFonts w:ascii="Times New Roman" w:eastAsia="SimSun" w:hAnsi="Times New Roman"/>
          <w:spacing w:val="-2"/>
          <w:sz w:val="20"/>
          <w:szCs w:val="20"/>
          <w:lang w:val="en-GB"/>
        </w:rPr>
        <w:fldChar w:fldCharType="begin" w:fldLock="1"/>
      </w:r>
      <w:r w:rsidRPr="00B77BD6">
        <w:rPr>
          <w:rFonts w:ascii="Times New Roman" w:eastAsia="SimSun" w:hAnsi="Times New Roman"/>
          <w:spacing w:val="-2"/>
          <w:sz w:val="20"/>
          <w:szCs w:val="20"/>
          <w:lang w:val="en-GB"/>
        </w:rPr>
        <w:instrText>ADDIN CSL_CITATION { "citationItems" : [ { "id" : "ITEM-1", "itemData" : { "DOI" : "10.1016/j.egypro.2011.02.002", "ISSN" : "18766102", "abstract" : "A chemical absorption using three different solvent blends based on piperazine promoted potassium carbonate has been conducted with the simulation program Aspen Plus. In addition, a coal-fired power plant has been modelled in EbsilonProfessional. Different operating conditions within the system were considered for sensitivity analyses. These include the variation of: Initial solvent lean loading, two temperature approaches within cross heat exchanger and desorber pressure. Representative results helped to determine dependencies within the scrubbing process that directly affect a power plant.", "author" : [ { "dropping-particle" : "", "family" : "Heischkamp", "given" : "Elizabeth", "non-dropping-particle" : "", "parse-names" : false, "suffix" : "" }, { "dropping-particle" : "", "family" : "Varlik", "given" : "Muzaffer", "non-dropping-particle" : "", "parse-names" : false, "suffix" : "" }, { "dropping-particle" : "", "family" : "Korkmaz", "given" : "\u00d6zg\u00fcr", "non-dropping-particle" : "", "parse-names" : false, "suffix" : "" }, { "dropping-particle" : "", "family" : "Oeljeklaus", "given" : "Gerd", "non-dropping-particle" : "", "parse-names" : false, "suffix" : "" }, { "dropping-particle" : "", "family" : "G\u00f6rner", "given" : "Klaus", "non-dropping-particle" : "", "parse-names" : false, "suffix" : "" } ], "container-title" : "Energy Procedia", "id" : "ITEM-1", "issued" : { "date-parts" : [ [ "2011" ] ] }, "page" : "1377-1384", "title" : "Analysis of operating conditions of a flue gas scrubbing process for CO2 separation in a coal-fired power plant", "type" : "article-journal", "volume" : "4" }, "uris" : [ "http://www.mendeley.com/documents/?uuid=ab3473b5-184d-4046-a89d-fd17197acedf" ] }, { "id" : "ITEM-2", "itemData" : { "DOI" : "10.1016/j.rser.2014.05.048", "ISSN" : "13640321", "abstract" : "With the deepening of carbon capture research using ammonia solution, CO2 disposal problem after carbon capture has become an important limiting factor affecting the industrial applications of carbon capture technology. It can be seen that CO2 not only controls as a greenhouse gas, but also it is a valuable carbon resource at the same time, CO2 resource recycling has a very good market prospects in near future. Two viable paths for CO2 resource utilization based on carbon capture using ammonia solution are divided in the paper. One path is regenerative resource utilization, i.e., rich liquid regenerates after the decarbonization reaction; the desorbed CO2 is sequestrated under geological layer or reused in other fields. Another path is transformed resource utilization; flue gas decarbonization combines with chemical production, and the ingredients produced from the reaction of ammonia with CO2 are transformed, carbon is fixed into nitrogen fertilizer or other chemical products, such as soda. The existing problems and the economic performance of CO2 resource utilization in power plants were reviewed in the paper. CO2 resource utilization based on carbon capture using ammonia solution is beneficial to the carbon emission reduction in coal-fired power plants; especially transformed resource utilization has economic advantage and good application prospects.", "author" : [ { "dropping-particle" : "", "family" : "Ma", "given" : "Shuangchen", "non-dropping-particle" : "", "parse-names" : false, "suffix" : "" }, { "dropping-particle" : "", "family" : "Chen", "given" : "Gongda", "non-dropping-particle" : "", "parse-names" : false, "suffix" : "" }, { "dropping-particle" : "", "family" : "Guo", "given" : "Meng", "non-dropping-particle" : "", "parse-names" : false, "suffix" : "" }, { "dropping-particle" : "", "family" : "Zhao", "given" : "Li", "non-dropping-particle" : "", "parse-names" : false, "suffix" : "" }, { "dropping-particle" : "", "family" : "Han", "given" : "Tinting", "non-dropping-particle" : "", "parse-names" : false, "suffix" : "" }, { "dropping-particle" : "", "family" : "Zhu", "given" : "Sijie", "non-dropping-particle" : "", "parse-names" : false, "suffix" : "" } ], "container-title" : "Renewable and Sustainable Energy Reviews", "id" : "ITEM-2", "issued" : { "date-parts" : [ [ "2014", "9" ] ] }, "page" : "687-697", "title" : "Path analysis on CO2 resource utilization based on carbon capture using ammonia method in coal-fired power Plants", "type" : "article-journal", "volume" : "37" }, "uris" : [ "http://www.mendeley.com/documents/?uuid=d0e8b09e-c68d-4d51-a9c0-dc360c5c7313" ] } ], "mendeley" : { "formattedCitation" : "&lt;sup&gt;25,26&lt;/sup&gt;", "manualFormatting" : "[25,26]", "plainTextFormattedCitation" : "25,26", "previouslyFormattedCitation" : "&lt;sup&gt;25,26&lt;/sup&gt;" }, "properties" : { "noteIndex" : 0 }, "schema" : "https://github.com/citation-style-language/schema/raw/master/csl-citation.json" }</w:instrText>
      </w:r>
      <w:r w:rsidRPr="00B77BD6">
        <w:rPr>
          <w:rFonts w:ascii="Times New Roman" w:eastAsia="SimSun" w:hAnsi="Times New Roman"/>
          <w:spacing w:val="-2"/>
          <w:sz w:val="20"/>
          <w:szCs w:val="20"/>
          <w:lang w:val="en-GB"/>
        </w:rPr>
        <w:fldChar w:fldCharType="separate"/>
      </w:r>
      <w:r w:rsidRPr="00B77BD6">
        <w:rPr>
          <w:rFonts w:ascii="Times New Roman" w:eastAsia="SimSun" w:hAnsi="Times New Roman"/>
          <w:noProof/>
          <w:spacing w:val="-2"/>
          <w:sz w:val="20"/>
          <w:szCs w:val="20"/>
          <w:lang w:val="en-GB"/>
        </w:rPr>
        <w:t>[25, 26]</w:t>
      </w:r>
      <w:r w:rsidRPr="00B77BD6">
        <w:rPr>
          <w:rFonts w:ascii="Times New Roman" w:eastAsia="SimSun" w:hAnsi="Times New Roman"/>
          <w:spacing w:val="-2"/>
          <w:sz w:val="20"/>
          <w:szCs w:val="20"/>
          <w:lang w:val="en-GB"/>
        </w:rPr>
        <w:fldChar w:fldCharType="end"/>
      </w:r>
      <w:r w:rsidRPr="00B77BD6">
        <w:rPr>
          <w:rFonts w:ascii="Times New Roman" w:eastAsia="SimSun" w:hAnsi="Times New Roman"/>
          <w:spacing w:val="-2"/>
          <w:sz w:val="20"/>
          <w:szCs w:val="20"/>
          <w:lang w:val="en-GB"/>
        </w:rPr>
        <w:t>.</w:t>
      </w:r>
    </w:p>
    <w:p w:rsidR="00B77BD6" w:rsidRPr="00B77BD6" w:rsidRDefault="00B77BD6" w:rsidP="00B77BD6">
      <w:pPr>
        <w:spacing w:after="0" w:line="240" w:lineRule="auto"/>
        <w:ind w:right="27"/>
        <w:jc w:val="both"/>
        <w:rPr>
          <w:rFonts w:ascii="Times New Roman" w:eastAsia="SimSun" w:hAnsi="Times New Roman"/>
          <w:spacing w:val="-2"/>
          <w:sz w:val="20"/>
          <w:szCs w:val="20"/>
          <w:lang w:val="en-GB"/>
        </w:rPr>
      </w:pPr>
    </w:p>
    <w:p w:rsidR="00B77BD6" w:rsidRPr="00B77BD6" w:rsidRDefault="00B77BD6" w:rsidP="00B77BD6">
      <w:pPr>
        <w:spacing w:after="0" w:line="240" w:lineRule="auto"/>
        <w:ind w:right="27"/>
        <w:jc w:val="both"/>
        <w:rPr>
          <w:rFonts w:ascii="Times New Roman" w:eastAsia="SimSun" w:hAnsi="Times New Roman"/>
          <w:spacing w:val="-2"/>
          <w:sz w:val="20"/>
          <w:szCs w:val="20"/>
          <w:lang w:val="en-GB"/>
        </w:rPr>
      </w:pPr>
      <w:r w:rsidRPr="00B77BD6">
        <w:rPr>
          <w:rFonts w:ascii="Times New Roman" w:hAnsi="Times New Roman"/>
          <w:spacing w:val="-2"/>
          <w:sz w:val="20"/>
          <w:szCs w:val="20"/>
          <w:lang w:val="en-GB"/>
        </w:rPr>
        <w:t>Isolation process of microalgae with both liquid medium and 1.25% agar plate showed that microalgae only survived in the F/2 Medium and TNBR medium. Isolation using BBM in liquid medium and agar plate showed lower growth in liquid medium cultivation, while in agar plate there was no colony detected. This can be explained due to higher salinity of F/2 medium and TNBR medium which both used artificial seawater as a component of the medium, while BBM has much lower salinity [</w:t>
      </w:r>
      <w:r w:rsidRPr="00B77BD6">
        <w:rPr>
          <w:rFonts w:ascii="Times New Roman" w:hAnsi="Times New Roman"/>
          <w:spacing w:val="-2"/>
          <w:sz w:val="20"/>
          <w:szCs w:val="20"/>
          <w:lang w:val="en-GB"/>
        </w:rPr>
        <w:fldChar w:fldCharType="begin" w:fldLock="1"/>
      </w:r>
      <w:r w:rsidRPr="00B77BD6">
        <w:rPr>
          <w:rFonts w:ascii="Times New Roman" w:hAnsi="Times New Roman"/>
          <w:spacing w:val="-2"/>
          <w:sz w:val="20"/>
          <w:szCs w:val="20"/>
          <w:lang w:val="en-GB"/>
        </w:rPr>
        <w:instrText>ADDIN CSL_CITATION { "citationItems" : [ { "id" : "ITEM-1", "itemData" : { "DOI" : "10.1016/j.biortech.2015.06.050", "ISSN" : "09608524", "abstract" : "Chlorella vulgaris, a marine microalgae strain adaptable to 0\u201350gL\u22121 of salinity, was selected for studying the coupling system of saline wastewater treatment and lipid accumulation. The effect of total nitrogen (TN) concentration was investigated on algal growth, nutrients removal as well as lipid accumulation. The removal efficiencies of TN and total phosphorus (TP) were found to be 92.2\u201396.6% and over 99%, respectively, after a batch cultivation of 20days. To illustrate the response of lipid accumulation to nutrients removal, C. vulgaris was further cultivated in the recycling experiment of tidal saline water within the photobioreactor. The lipid accumulation was triggered upon the almost depletion of nitrate (&lt;5mgL\u22121), till the final highest lipid content of 40%. The nitrogen conversion in the sequence of nitrate, nitrite, and then to ammonium in the effluents was finally integrated with previous discussions on metabolic pathways of algal cell under nitrogen deficiency.", "author" : [ { "dropping-particle" : "", "family" : "Shen", "given" : "Qiao-Hui", "non-dropping-particle" : "", "parse-names" : false, "suffix" : "" }, { "dropping-particle" : "", "family" : "Gong", "given" : "Yu-Peng", "non-dropping-particle" : "", "parse-names" : false, "suffix" : "" }, { "dropping-particle" : "", "family" : "Fang", "given" : "Wen-Zhe", "non-dropping-particle" : "", "parse-names" : false, "suffix" : "" }, { "dropping-particle" : "", "family" : "Bi", "given" : "Zi-Cheng", "non-dropping-particle" : "", "parse-names" : false, "suffix" : "" }, { "dropping-particle" : "", "family" : "Cheng", "given" : "Li-Hua", "non-dropping-particle" : "", "parse-names" : false, "suffix" : "" }, { "dropping-particle" : "", "family" : "Xu", "given" : "Xin-Hua", "non-dropping-particle" : "", "parse-names" : false, "suffix" : "" }, { "dropping-particle" : "", "family" : "Chen", "given" : "Huan-Lin", "non-dropping-particle" : "", "parse-names" : false, "suffix" : "" } ], "container-title" : "Bioresource Technology", "id" : "ITEM-1", "issued" : { "date-parts" : [ [ "2015", "6" ] ] }, "page" : "68-75", "title" : "Saline wastewater treatment by Chlorella vulgaris with simultaneous algal lipid accumulation triggered by nitrate deficiency", "type" : "article-journal", "volume" : "193" }, "uris" : [ "http://www.mendeley.com/documents/?uuid=6b67ef63-0624-48a8-92df-b64c1bc79a07" ] } ], "mendeley" : { "formattedCitation" : "&lt;sup&gt;27&lt;/sup&gt;", "plainTextFormattedCitation" : "27", "previouslyFormattedCitation" : "&lt;sup&gt;27&lt;/sup&gt;" }, "properties" : { "noteIndex" : 0 }, "schema" : "https://github.com/citation-style-language/schema/raw/master/csl-citation.json" }</w:instrText>
      </w:r>
      <w:r w:rsidRPr="00B77BD6">
        <w:rPr>
          <w:rFonts w:ascii="Times New Roman" w:hAnsi="Times New Roman"/>
          <w:spacing w:val="-2"/>
          <w:sz w:val="20"/>
          <w:szCs w:val="20"/>
          <w:lang w:val="en-GB"/>
        </w:rPr>
        <w:fldChar w:fldCharType="separate"/>
      </w:r>
      <w:r w:rsidRPr="00B77BD6">
        <w:rPr>
          <w:rFonts w:ascii="Times New Roman" w:hAnsi="Times New Roman"/>
          <w:spacing w:val="-2"/>
          <w:sz w:val="20"/>
          <w:szCs w:val="20"/>
          <w:lang w:val="en-GB"/>
        </w:rPr>
        <w:t>27</w:t>
      </w:r>
      <w:r w:rsidRPr="00B77BD6">
        <w:rPr>
          <w:rFonts w:ascii="Times New Roman" w:hAnsi="Times New Roman"/>
          <w:spacing w:val="-2"/>
          <w:sz w:val="20"/>
          <w:szCs w:val="20"/>
          <w:lang w:val="en-GB"/>
        </w:rPr>
        <w:fldChar w:fldCharType="end"/>
      </w:r>
      <w:r w:rsidRPr="00B77BD6">
        <w:rPr>
          <w:rFonts w:ascii="Times New Roman" w:hAnsi="Times New Roman"/>
          <w:spacing w:val="-2"/>
          <w:sz w:val="20"/>
          <w:szCs w:val="20"/>
          <w:lang w:val="en-GB"/>
        </w:rPr>
        <w:t xml:space="preserve">].  Microalgae which has been collected from the source has been exposed and acclimatized to the higher salinity environment for long period of time. From this finding, it can be determined that F/2 medium and TNBR medium is the most suitable medium compare to BBM. Thus, only F/2 medium and TNBR medium was chosen for the next experiment on purification and identification process.  Besides sea water as the main </w:t>
      </w:r>
      <w:r w:rsidRPr="00B77BD6">
        <w:rPr>
          <w:rFonts w:ascii="Times New Roman" w:hAnsi="Times New Roman"/>
          <w:spacing w:val="-2"/>
          <w:sz w:val="20"/>
          <w:szCs w:val="20"/>
          <w:lang w:val="en-GB"/>
        </w:rPr>
        <w:lastRenderedPageBreak/>
        <w:t>factor for higher salinity, higher alkalinity of the water at the source of isolation place was effected by the ash produced by the coal-fired power plant. Result also showed that at pH more than 7, isolated microalgae start to pick up the higher phase of growth.</w:t>
      </w:r>
    </w:p>
    <w:p w:rsidR="00B77BD6" w:rsidRPr="00B77BD6" w:rsidRDefault="00B77BD6" w:rsidP="00B77BD6">
      <w:pPr>
        <w:spacing w:after="0" w:line="240" w:lineRule="auto"/>
        <w:ind w:right="27"/>
        <w:jc w:val="both"/>
        <w:rPr>
          <w:rFonts w:ascii="Times New Roman" w:eastAsia="SimSun" w:hAnsi="Times New Roman"/>
          <w:spacing w:val="-2"/>
          <w:sz w:val="20"/>
          <w:szCs w:val="20"/>
          <w:lang w:val="en-GB"/>
        </w:rPr>
      </w:pPr>
    </w:p>
    <w:p w:rsidR="00B77BD6" w:rsidRPr="00B77BD6" w:rsidRDefault="00B77BD6" w:rsidP="00B77BD6">
      <w:pPr>
        <w:spacing w:after="0" w:line="240" w:lineRule="auto"/>
        <w:ind w:right="27"/>
        <w:jc w:val="both"/>
        <w:rPr>
          <w:rFonts w:ascii="Times New Roman" w:eastAsia="SimSun" w:hAnsi="Times New Roman"/>
          <w:b/>
          <w:spacing w:val="-2"/>
          <w:sz w:val="20"/>
          <w:szCs w:val="20"/>
          <w:lang w:val="en-GB"/>
        </w:rPr>
      </w:pPr>
      <w:r w:rsidRPr="00B77BD6">
        <w:rPr>
          <w:rFonts w:ascii="Times New Roman" w:eastAsia="SimSun" w:hAnsi="Times New Roman"/>
          <w:b/>
          <w:spacing w:val="-2"/>
          <w:sz w:val="20"/>
          <w:szCs w:val="20"/>
          <w:lang w:val="en-GB"/>
        </w:rPr>
        <w:t>Cultivation and morphological identification of microalgae</w:t>
      </w:r>
    </w:p>
    <w:p w:rsidR="00B77BD6" w:rsidRPr="00B77BD6" w:rsidRDefault="00B77BD6" w:rsidP="00B77BD6">
      <w:pPr>
        <w:spacing w:after="0" w:line="240" w:lineRule="auto"/>
        <w:ind w:right="27"/>
        <w:jc w:val="both"/>
        <w:rPr>
          <w:rFonts w:ascii="Times New Roman" w:eastAsia="SimSun" w:hAnsi="Times New Roman"/>
          <w:spacing w:val="-2"/>
          <w:sz w:val="20"/>
          <w:szCs w:val="20"/>
          <w:lang w:val="en-GB"/>
        </w:rPr>
      </w:pPr>
      <w:r w:rsidRPr="00B77BD6">
        <w:rPr>
          <w:rFonts w:ascii="Times New Roman" w:eastAsia="SimSun" w:hAnsi="Times New Roman"/>
          <w:spacing w:val="-2"/>
          <w:sz w:val="20"/>
          <w:szCs w:val="20"/>
          <w:lang w:val="en-GB"/>
        </w:rPr>
        <w:t>Isolated and purified microalgae were cultivated in F/2 medium and TNBR medium. Growth profiles of the microalgae were determined by biomass accumulation in both F/2 and TNBR medium. Figure 2 showed the growth curve of isolated microalgae in TNBR medium (ambient air, 1% and 5% CO</w:t>
      </w:r>
      <w:r w:rsidRPr="00B77BD6">
        <w:rPr>
          <w:rFonts w:ascii="Times New Roman" w:eastAsia="SimSun" w:hAnsi="Times New Roman"/>
          <w:spacing w:val="-2"/>
          <w:sz w:val="20"/>
          <w:szCs w:val="20"/>
          <w:vertAlign w:val="subscript"/>
          <w:lang w:val="en-GB"/>
        </w:rPr>
        <w:t>2</w:t>
      </w:r>
      <w:r w:rsidRPr="00B77BD6">
        <w:rPr>
          <w:rFonts w:ascii="Times New Roman" w:eastAsia="SimSun" w:hAnsi="Times New Roman"/>
          <w:spacing w:val="-2"/>
          <w:sz w:val="20"/>
          <w:szCs w:val="20"/>
          <w:lang w:val="en-GB"/>
        </w:rPr>
        <w:t>) and Figure 3 showed the growth curve of isolated in F/2 medium (ambient air and 5% CO</w:t>
      </w:r>
      <w:r w:rsidRPr="00B77BD6">
        <w:rPr>
          <w:rFonts w:ascii="Times New Roman" w:eastAsia="SimSun" w:hAnsi="Times New Roman"/>
          <w:spacing w:val="-2"/>
          <w:sz w:val="20"/>
          <w:szCs w:val="20"/>
          <w:vertAlign w:val="subscript"/>
          <w:lang w:val="en-GB"/>
        </w:rPr>
        <w:t>2</w:t>
      </w:r>
      <w:r w:rsidRPr="00B77BD6">
        <w:rPr>
          <w:rFonts w:ascii="Times New Roman" w:eastAsia="SimSun" w:hAnsi="Times New Roman"/>
          <w:spacing w:val="-2"/>
          <w:sz w:val="20"/>
          <w:szCs w:val="20"/>
          <w:lang w:val="en-GB"/>
        </w:rPr>
        <w:t>). From the growth profile, the specific maximum growth rate (</w:t>
      </w:r>
      <w:r w:rsidRPr="00B77BD6">
        <w:rPr>
          <w:rFonts w:ascii="Times New Roman" w:eastAsia="SimSun" w:hAnsi="Times New Roman"/>
          <w:i/>
          <w:spacing w:val="-2"/>
          <w:sz w:val="20"/>
          <w:szCs w:val="20"/>
          <w:lang w:val="en-GB"/>
        </w:rPr>
        <w:t>µ</w:t>
      </w:r>
      <w:r w:rsidRPr="00B77BD6">
        <w:rPr>
          <w:rFonts w:ascii="Times New Roman" w:eastAsia="SimSun" w:hAnsi="Times New Roman"/>
          <w:spacing w:val="-2"/>
          <w:sz w:val="20"/>
          <w:szCs w:val="20"/>
          <w:vertAlign w:val="subscript"/>
          <w:lang w:val="en-GB"/>
        </w:rPr>
        <w:t>max</w:t>
      </w:r>
      <w:r w:rsidRPr="00B77BD6">
        <w:rPr>
          <w:rFonts w:ascii="Times New Roman" w:eastAsia="SimSun" w:hAnsi="Times New Roman"/>
          <w:spacing w:val="-2"/>
          <w:sz w:val="20"/>
          <w:szCs w:val="20"/>
          <w:lang w:val="en-GB"/>
        </w:rPr>
        <w:t>) of each cultivation was determined by using MathLab 9.0 version software. Logistic model was used for the curve fitting in for the microalgae growth curve. Population and productivity of microalgae has been widely using Logistic Model for curve fitting since the Logistic equation often represent growth data better than the exponential one [</w:t>
      </w:r>
      <w:r w:rsidRPr="00B77BD6">
        <w:rPr>
          <w:rFonts w:ascii="Times New Roman" w:eastAsia="SimSun" w:hAnsi="Times New Roman"/>
          <w:spacing w:val="-2"/>
          <w:sz w:val="20"/>
          <w:szCs w:val="20"/>
          <w:lang w:val="en-GB"/>
        </w:rPr>
        <w:fldChar w:fldCharType="begin" w:fldLock="1"/>
      </w:r>
      <w:r w:rsidRPr="00B77BD6">
        <w:rPr>
          <w:rFonts w:ascii="Times New Roman" w:eastAsia="SimSun" w:hAnsi="Times New Roman"/>
          <w:spacing w:val="-2"/>
          <w:sz w:val="20"/>
          <w:szCs w:val="20"/>
          <w:lang w:val="en-GB"/>
        </w:rPr>
        <w:instrText>ADDIN CSL_CITATION { "citationItems" : [ { "id" : "ITEM-1", "itemData" : { "DOI" : "10.1016/j.rser.2014.01.002", "ISSN" : "13640321", "abstract" : "Microalgae are fast growing organisms and have the ability to accumulate lipid, which can be converted to biofuels. Here, we review specific growth rate, population productivity, and lipid productivity based on 192 publications of the marine microalgae Nannochloropsis. Specific growth rate was reported by thirty publications often using exponential growth equations, and fourteen publications stated biomass productivity. However, direct comparison among productivity estimates is impossible due to differences in calculations or omission of equations. Less than 5% of the publications directly reported lipid productivity, the key parameter for biofuels. We extracted growth data from 30 publications using Plot Digitizer software and tested best fit with exponential and logistic equations. The logistic equation often represents growth data better than the exponential one. Furthermore, we argue that maximum sustainable yield (MSY) is a more useful measure for harvest rates than specific growth rates. Interestingly, MSY displayed closer linear relationships with carrying capacity measures (r2=0.780, p&lt;0.001 and r2=0.552, p&lt;0.001 for algae density and biomass, respectively) than growth rate (r2=0.297, p&lt;0.001 and r2=0.095, p=0.090). We propose to apply concepts of logistic growth, carrying capacity and MSY calculations to estimates of maximum lipid productivity, similar to commonly used density and biomass calculations.", "author" : [ { "dropping-particle" : "", "family" : "XU", "given" : "Yaoyang", "non-dropping-particle" : "", "parse-names" : false, "suffix" : "" }, { "dropping-particle" : "", "family" : "Boeing", "given" : "Wiebke J.", "non-dropping-particle" : "", "parse-names" : false, "suffix" : "" } ], "container-title" : "Renewable and Sustainable Energy Reviews", "id" : "ITEM-1", "issued" : { "date-parts" : [ [ "2014", "4" ] ] }, "page" : "29-39", "title" : "Modeling maximum lipid productivity of microalgae: Review and next step", "type" : "article-journal", "volume" : "32" }, "uris" : [ "http://www.mendeley.com/documents/?uuid=13d959a4-45b7-43ca-abc9-6133a820adb5" ] } ], "mendeley" : { "formattedCitation" : "&lt;sup&gt;21&lt;/sup&gt;", "plainTextFormattedCitation" : "21", "previouslyFormattedCitation" : "&lt;sup&gt;21&lt;/sup&gt;" }, "properties" : { "noteIndex" : 0 }, "schema" : "https://github.com/citation-style-language/schema/raw/master/csl-citation.json" }</w:instrText>
      </w:r>
      <w:r w:rsidRPr="00B77BD6">
        <w:rPr>
          <w:rFonts w:ascii="Times New Roman" w:eastAsia="SimSun" w:hAnsi="Times New Roman"/>
          <w:spacing w:val="-2"/>
          <w:sz w:val="20"/>
          <w:szCs w:val="20"/>
          <w:lang w:val="en-GB"/>
        </w:rPr>
        <w:fldChar w:fldCharType="separate"/>
      </w:r>
      <w:r w:rsidRPr="00B77BD6">
        <w:rPr>
          <w:rFonts w:ascii="Times New Roman" w:eastAsia="SimSun" w:hAnsi="Times New Roman"/>
          <w:spacing w:val="-2"/>
          <w:sz w:val="20"/>
          <w:szCs w:val="20"/>
          <w:lang w:val="en-GB"/>
        </w:rPr>
        <w:t>21</w:t>
      </w:r>
      <w:r w:rsidRPr="00B77BD6">
        <w:rPr>
          <w:rFonts w:ascii="Times New Roman" w:eastAsia="SimSun" w:hAnsi="Times New Roman"/>
          <w:spacing w:val="-2"/>
          <w:sz w:val="20"/>
          <w:szCs w:val="20"/>
          <w:lang w:val="en-GB"/>
        </w:rPr>
        <w:fldChar w:fldCharType="end"/>
      </w:r>
      <w:r w:rsidRPr="00B77BD6">
        <w:rPr>
          <w:rFonts w:ascii="Times New Roman" w:eastAsia="SimSun" w:hAnsi="Times New Roman"/>
          <w:spacing w:val="-2"/>
          <w:sz w:val="20"/>
          <w:szCs w:val="20"/>
          <w:lang w:val="en-GB"/>
        </w:rPr>
        <w:t xml:space="preserve">]. The value of </w:t>
      </w:r>
      <w:r w:rsidRPr="00B77BD6">
        <w:rPr>
          <w:rFonts w:ascii="Times New Roman" w:eastAsia="SimSun" w:hAnsi="Times New Roman"/>
          <w:i/>
          <w:spacing w:val="-2"/>
          <w:sz w:val="20"/>
          <w:szCs w:val="20"/>
          <w:lang w:val="en-GB"/>
        </w:rPr>
        <w:t>µ</w:t>
      </w:r>
      <w:r w:rsidRPr="00B77BD6">
        <w:rPr>
          <w:rFonts w:ascii="Times New Roman" w:eastAsia="SimSun" w:hAnsi="Times New Roman"/>
          <w:spacing w:val="-2"/>
          <w:sz w:val="20"/>
          <w:szCs w:val="20"/>
          <w:vertAlign w:val="subscript"/>
          <w:lang w:val="en-GB"/>
        </w:rPr>
        <w:t xml:space="preserve">max </w:t>
      </w:r>
      <w:r w:rsidRPr="00B77BD6">
        <w:rPr>
          <w:rFonts w:ascii="Times New Roman" w:eastAsia="SimSun" w:hAnsi="Times New Roman"/>
          <w:spacing w:val="-2"/>
          <w:sz w:val="20"/>
          <w:szCs w:val="20"/>
          <w:lang w:val="en-GB"/>
        </w:rPr>
        <w:t>was calculated according to the Equation 1.</w:t>
      </w:r>
    </w:p>
    <w:p w:rsidR="00B77BD6" w:rsidRPr="00B77BD6" w:rsidRDefault="00B77BD6" w:rsidP="00B77BD6">
      <w:pPr>
        <w:spacing w:after="0" w:line="240" w:lineRule="auto"/>
        <w:ind w:right="27"/>
        <w:jc w:val="both"/>
        <w:rPr>
          <w:rFonts w:ascii="Times New Roman" w:eastAsia="SimSun" w:hAnsi="Times New Roman"/>
          <w:spacing w:val="-2"/>
          <w:sz w:val="20"/>
          <w:szCs w:val="20"/>
          <w:lang w:val="en-GB"/>
        </w:rPr>
      </w:pPr>
    </w:p>
    <w:p w:rsidR="00B77BD6" w:rsidRPr="00B77BD6" w:rsidRDefault="00B77BD6" w:rsidP="00B77BD6">
      <w:pPr>
        <w:spacing w:after="0" w:line="240" w:lineRule="auto"/>
        <w:ind w:right="27"/>
        <w:jc w:val="both"/>
        <w:rPr>
          <w:rFonts w:ascii="Times New Roman" w:eastAsia="SimSun" w:hAnsi="Times New Roman"/>
          <w:spacing w:val="-2"/>
          <w:sz w:val="20"/>
          <w:szCs w:val="20"/>
          <w:lang w:val="en-GB"/>
        </w:rPr>
      </w:pPr>
      <w:r w:rsidRPr="00B77BD6">
        <w:rPr>
          <w:rFonts w:ascii="Times New Roman" w:eastAsia="SimSun" w:hAnsi="Times New Roman"/>
          <w:spacing w:val="-2"/>
          <w:sz w:val="20"/>
          <w:szCs w:val="20"/>
          <w:lang w:val="en-GB"/>
        </w:rPr>
        <w:t xml:space="preserve">Result of </w:t>
      </w:r>
      <w:r w:rsidRPr="00B77BD6">
        <w:rPr>
          <w:rFonts w:ascii="Times New Roman" w:eastAsia="SimSun" w:hAnsi="Times New Roman"/>
          <w:i/>
          <w:spacing w:val="-2"/>
          <w:sz w:val="20"/>
          <w:szCs w:val="20"/>
          <w:lang w:val="en-GB"/>
        </w:rPr>
        <w:t>µ</w:t>
      </w:r>
      <w:r w:rsidRPr="00B77BD6">
        <w:rPr>
          <w:rFonts w:ascii="Times New Roman" w:eastAsia="SimSun" w:hAnsi="Times New Roman"/>
          <w:spacing w:val="-2"/>
          <w:sz w:val="20"/>
          <w:szCs w:val="20"/>
          <w:vertAlign w:val="subscript"/>
          <w:lang w:val="en-GB"/>
        </w:rPr>
        <w:t>max</w:t>
      </w:r>
      <w:r w:rsidRPr="00B77BD6">
        <w:rPr>
          <w:rFonts w:ascii="Times New Roman" w:eastAsia="SimSun" w:hAnsi="Times New Roman"/>
          <w:spacing w:val="-2"/>
          <w:sz w:val="20"/>
          <w:szCs w:val="20"/>
          <w:lang w:val="en-GB"/>
        </w:rPr>
        <w:t xml:space="preserve"> showed that TNBR medium promote better growth by producing higher </w:t>
      </w:r>
      <w:r w:rsidRPr="00B77BD6">
        <w:rPr>
          <w:rFonts w:ascii="Times New Roman" w:eastAsia="SimSun" w:hAnsi="Times New Roman"/>
          <w:i/>
          <w:spacing w:val="-2"/>
          <w:sz w:val="20"/>
          <w:szCs w:val="20"/>
          <w:lang w:val="en-GB"/>
        </w:rPr>
        <w:t>µ</w:t>
      </w:r>
      <w:r w:rsidRPr="00B77BD6">
        <w:rPr>
          <w:rFonts w:ascii="Times New Roman" w:eastAsia="SimSun" w:hAnsi="Times New Roman"/>
          <w:spacing w:val="-2"/>
          <w:sz w:val="20"/>
          <w:szCs w:val="20"/>
          <w:vertAlign w:val="subscript"/>
          <w:lang w:val="en-GB"/>
        </w:rPr>
        <w:t>max</w:t>
      </w:r>
      <w:r w:rsidRPr="00B77BD6">
        <w:rPr>
          <w:rFonts w:ascii="Times New Roman" w:eastAsia="SimSun" w:hAnsi="Times New Roman"/>
          <w:spacing w:val="-2"/>
          <w:sz w:val="20"/>
          <w:szCs w:val="20"/>
          <w:lang w:val="en-GB"/>
        </w:rPr>
        <w:t xml:space="preserve"> value compare to F/2 medium. By using TNBR medium the value of </w:t>
      </w:r>
      <w:r w:rsidRPr="00B77BD6">
        <w:rPr>
          <w:rFonts w:ascii="Times New Roman" w:eastAsia="SimSun" w:hAnsi="Times New Roman"/>
          <w:i/>
          <w:spacing w:val="-2"/>
          <w:sz w:val="20"/>
          <w:szCs w:val="20"/>
          <w:lang w:val="en-GB"/>
        </w:rPr>
        <w:t>µ</w:t>
      </w:r>
      <w:r w:rsidRPr="00B77BD6">
        <w:rPr>
          <w:rFonts w:ascii="Times New Roman" w:eastAsia="SimSun" w:hAnsi="Times New Roman"/>
          <w:spacing w:val="-2"/>
          <w:sz w:val="20"/>
          <w:szCs w:val="20"/>
          <w:vertAlign w:val="subscript"/>
          <w:lang w:val="en-GB"/>
        </w:rPr>
        <w:t>max</w:t>
      </w:r>
      <w:r w:rsidRPr="00B77BD6">
        <w:rPr>
          <w:rFonts w:ascii="Times New Roman" w:eastAsia="SimSun" w:hAnsi="Times New Roman"/>
          <w:spacing w:val="-2"/>
          <w:sz w:val="20"/>
          <w:szCs w:val="20"/>
          <w:lang w:val="en-GB"/>
        </w:rPr>
        <w:t xml:space="preserve">  achieved were 0.4046 day</w:t>
      </w:r>
      <w:r w:rsidRPr="00B77BD6">
        <w:rPr>
          <w:rFonts w:ascii="Times New Roman" w:eastAsia="SimSun" w:hAnsi="Times New Roman"/>
          <w:spacing w:val="-2"/>
          <w:sz w:val="20"/>
          <w:szCs w:val="20"/>
          <w:vertAlign w:val="superscript"/>
          <w:lang w:val="en-GB"/>
        </w:rPr>
        <w:t>-1</w:t>
      </w:r>
      <w:r w:rsidRPr="00B77BD6">
        <w:rPr>
          <w:rFonts w:ascii="Times New Roman" w:eastAsia="SimSun" w:hAnsi="Times New Roman"/>
          <w:spacing w:val="-2"/>
          <w:sz w:val="20"/>
          <w:szCs w:val="20"/>
          <w:lang w:val="en-GB"/>
        </w:rPr>
        <w:t>, 0.4288 day</w:t>
      </w:r>
      <w:r w:rsidRPr="00B77BD6">
        <w:rPr>
          <w:rFonts w:ascii="Times New Roman" w:eastAsia="SimSun" w:hAnsi="Times New Roman"/>
          <w:spacing w:val="-2"/>
          <w:sz w:val="20"/>
          <w:szCs w:val="20"/>
          <w:vertAlign w:val="superscript"/>
          <w:lang w:val="en-GB"/>
        </w:rPr>
        <w:t>-1</w:t>
      </w:r>
      <w:r w:rsidRPr="00B77BD6">
        <w:rPr>
          <w:rFonts w:ascii="Times New Roman" w:eastAsia="SimSun" w:hAnsi="Times New Roman"/>
          <w:spacing w:val="-2"/>
          <w:sz w:val="20"/>
          <w:szCs w:val="20"/>
          <w:lang w:val="en-GB"/>
        </w:rPr>
        <w:t xml:space="preserve"> and 0.4908 day</w:t>
      </w:r>
      <w:r w:rsidRPr="00B77BD6">
        <w:rPr>
          <w:rFonts w:ascii="Times New Roman" w:eastAsia="SimSun" w:hAnsi="Times New Roman"/>
          <w:spacing w:val="-2"/>
          <w:sz w:val="20"/>
          <w:szCs w:val="20"/>
          <w:vertAlign w:val="superscript"/>
          <w:lang w:val="en-GB"/>
        </w:rPr>
        <w:t>-1</w:t>
      </w:r>
      <w:r w:rsidRPr="00B77BD6">
        <w:rPr>
          <w:rFonts w:ascii="Times New Roman" w:eastAsia="SimSun" w:hAnsi="Times New Roman"/>
          <w:spacing w:val="-2"/>
          <w:sz w:val="20"/>
          <w:szCs w:val="20"/>
          <w:lang w:val="en-GB"/>
        </w:rPr>
        <w:t xml:space="preserve">  for ambient air, 1 % CO</w:t>
      </w:r>
      <w:r w:rsidRPr="00B77BD6">
        <w:rPr>
          <w:rFonts w:ascii="Times New Roman" w:eastAsia="SimSun" w:hAnsi="Times New Roman"/>
          <w:spacing w:val="-2"/>
          <w:sz w:val="20"/>
          <w:szCs w:val="20"/>
          <w:vertAlign w:val="subscript"/>
          <w:lang w:val="en-GB"/>
        </w:rPr>
        <w:t>2</w:t>
      </w:r>
      <w:r w:rsidRPr="00B77BD6">
        <w:rPr>
          <w:rFonts w:ascii="Times New Roman" w:eastAsia="SimSun" w:hAnsi="Times New Roman"/>
          <w:spacing w:val="-2"/>
          <w:sz w:val="20"/>
          <w:szCs w:val="20"/>
          <w:lang w:val="en-GB"/>
        </w:rPr>
        <w:t xml:space="preserve"> and 5% CO</w:t>
      </w:r>
      <w:r w:rsidRPr="00B77BD6">
        <w:rPr>
          <w:rFonts w:ascii="Times New Roman" w:eastAsia="SimSun" w:hAnsi="Times New Roman"/>
          <w:spacing w:val="-2"/>
          <w:sz w:val="20"/>
          <w:szCs w:val="20"/>
          <w:vertAlign w:val="subscript"/>
          <w:lang w:val="en-GB"/>
        </w:rPr>
        <w:t>2</w:t>
      </w:r>
      <w:r w:rsidRPr="00B77BD6">
        <w:rPr>
          <w:rFonts w:ascii="Times New Roman" w:eastAsia="SimSun" w:hAnsi="Times New Roman"/>
          <w:spacing w:val="-2"/>
          <w:sz w:val="20"/>
          <w:szCs w:val="20"/>
          <w:lang w:val="en-GB"/>
        </w:rPr>
        <w:t xml:space="preserve"> respectively. Result of </w:t>
      </w:r>
      <w:r w:rsidRPr="00B77BD6">
        <w:rPr>
          <w:rFonts w:ascii="Times New Roman" w:eastAsia="SimSun" w:hAnsi="Times New Roman"/>
          <w:i/>
          <w:spacing w:val="-2"/>
          <w:sz w:val="20"/>
          <w:szCs w:val="20"/>
          <w:lang w:val="en-GB"/>
        </w:rPr>
        <w:t>µ</w:t>
      </w:r>
      <w:r w:rsidRPr="00B77BD6">
        <w:rPr>
          <w:rFonts w:ascii="Times New Roman" w:eastAsia="SimSun" w:hAnsi="Times New Roman"/>
          <w:spacing w:val="-2"/>
          <w:sz w:val="20"/>
          <w:szCs w:val="20"/>
          <w:vertAlign w:val="subscript"/>
          <w:lang w:val="en-GB"/>
        </w:rPr>
        <w:t>max</w:t>
      </w:r>
      <w:r w:rsidRPr="00B77BD6">
        <w:rPr>
          <w:rFonts w:ascii="Times New Roman" w:eastAsia="SimSun" w:hAnsi="Times New Roman"/>
          <w:spacing w:val="-2"/>
          <w:sz w:val="20"/>
          <w:szCs w:val="20"/>
          <w:lang w:val="en-GB"/>
        </w:rPr>
        <w:t xml:space="preserve"> from F/2 medium achieved were 0.2784 day</w:t>
      </w:r>
      <w:r w:rsidRPr="00B77BD6">
        <w:rPr>
          <w:rFonts w:ascii="Times New Roman" w:eastAsia="SimSun" w:hAnsi="Times New Roman"/>
          <w:spacing w:val="-2"/>
          <w:sz w:val="20"/>
          <w:szCs w:val="20"/>
          <w:vertAlign w:val="superscript"/>
          <w:lang w:val="en-GB"/>
        </w:rPr>
        <w:t>-1</w:t>
      </w:r>
      <w:r w:rsidRPr="00B77BD6">
        <w:rPr>
          <w:rFonts w:ascii="Times New Roman" w:eastAsia="SimSun" w:hAnsi="Times New Roman"/>
          <w:spacing w:val="-2"/>
          <w:sz w:val="20"/>
          <w:szCs w:val="20"/>
          <w:lang w:val="en-GB"/>
        </w:rPr>
        <w:t xml:space="preserve"> and 0.3937day</w:t>
      </w:r>
      <w:r w:rsidRPr="00B77BD6">
        <w:rPr>
          <w:rFonts w:ascii="Times New Roman" w:eastAsia="SimSun" w:hAnsi="Times New Roman"/>
          <w:spacing w:val="-2"/>
          <w:sz w:val="20"/>
          <w:szCs w:val="20"/>
          <w:vertAlign w:val="superscript"/>
          <w:lang w:val="en-GB"/>
        </w:rPr>
        <w:t>-1</w:t>
      </w:r>
      <w:r w:rsidRPr="00B77BD6">
        <w:rPr>
          <w:rFonts w:ascii="Times New Roman" w:eastAsia="SimSun" w:hAnsi="Times New Roman"/>
          <w:spacing w:val="-2"/>
          <w:sz w:val="20"/>
          <w:szCs w:val="20"/>
          <w:lang w:val="en-GB"/>
        </w:rPr>
        <w:t xml:space="preserve"> for ambient air and 5% CO</w:t>
      </w:r>
      <w:r w:rsidRPr="00B77BD6">
        <w:rPr>
          <w:rFonts w:ascii="Times New Roman" w:eastAsia="SimSun" w:hAnsi="Times New Roman"/>
          <w:spacing w:val="-2"/>
          <w:sz w:val="20"/>
          <w:szCs w:val="20"/>
          <w:vertAlign w:val="subscript"/>
          <w:lang w:val="en-GB"/>
        </w:rPr>
        <w:t>2</w:t>
      </w:r>
      <w:r w:rsidRPr="00B77BD6">
        <w:rPr>
          <w:rFonts w:ascii="Times New Roman" w:eastAsia="SimSun" w:hAnsi="Times New Roman"/>
          <w:spacing w:val="-2"/>
          <w:sz w:val="20"/>
          <w:szCs w:val="20"/>
          <w:lang w:val="en-GB"/>
        </w:rPr>
        <w:t xml:space="preserve"> respectively. Higher value of </w:t>
      </w:r>
      <w:r w:rsidRPr="00B77BD6">
        <w:rPr>
          <w:rFonts w:ascii="Times New Roman" w:eastAsia="SimSun" w:hAnsi="Times New Roman"/>
          <w:i/>
          <w:spacing w:val="-2"/>
          <w:sz w:val="20"/>
          <w:szCs w:val="20"/>
          <w:lang w:val="en-GB"/>
        </w:rPr>
        <w:t>µ</w:t>
      </w:r>
      <w:r w:rsidRPr="00B77BD6">
        <w:rPr>
          <w:rFonts w:ascii="Times New Roman" w:eastAsia="SimSun" w:hAnsi="Times New Roman"/>
          <w:spacing w:val="-2"/>
          <w:sz w:val="20"/>
          <w:szCs w:val="20"/>
          <w:vertAlign w:val="subscript"/>
          <w:lang w:val="en-GB"/>
        </w:rPr>
        <w:t>max</w:t>
      </w:r>
      <w:r w:rsidRPr="00B77BD6">
        <w:rPr>
          <w:rFonts w:ascii="Times New Roman" w:eastAsia="SimSun" w:hAnsi="Times New Roman"/>
          <w:spacing w:val="-2"/>
          <w:sz w:val="20"/>
          <w:szCs w:val="20"/>
          <w:lang w:val="en-GB"/>
        </w:rPr>
        <w:t xml:space="preserve"> achieved by TNBR medium cultivated microalgae was due to high nutrients content compare to the F/2 medium. TNBR medium used in this experiment is an optimized medium from F/2 medium.</w:t>
      </w:r>
    </w:p>
    <w:p w:rsidR="00B77BD6" w:rsidRPr="00B77BD6" w:rsidRDefault="00B77BD6" w:rsidP="00B77BD6">
      <w:pPr>
        <w:spacing w:after="0" w:line="240" w:lineRule="auto"/>
        <w:ind w:right="27"/>
        <w:jc w:val="both"/>
        <w:rPr>
          <w:rFonts w:ascii="Times New Roman" w:eastAsia="SimSun" w:hAnsi="Times New Roman"/>
          <w:spacing w:val="-2"/>
          <w:sz w:val="20"/>
          <w:szCs w:val="20"/>
          <w:lang w:val="en-GB"/>
        </w:rPr>
      </w:pPr>
    </w:p>
    <w:p w:rsidR="00B77BD6" w:rsidRPr="00B77BD6" w:rsidRDefault="00B77BD6" w:rsidP="00B77BD6">
      <w:pPr>
        <w:spacing w:after="0" w:line="240" w:lineRule="auto"/>
        <w:jc w:val="both"/>
        <w:outlineLvl w:val="0"/>
        <w:rPr>
          <w:rFonts w:ascii="Times New Roman" w:hAnsi="Times New Roman"/>
          <w:spacing w:val="-2"/>
          <w:sz w:val="20"/>
          <w:szCs w:val="20"/>
          <w:lang w:val="en-GB"/>
        </w:rPr>
      </w:pPr>
    </w:p>
    <w:p w:rsidR="00B77BD6" w:rsidRDefault="00B77BD6" w:rsidP="00B77BD6">
      <w:pPr>
        <w:spacing w:after="0" w:line="240" w:lineRule="auto"/>
        <w:jc w:val="center"/>
        <w:outlineLvl w:val="0"/>
        <w:rPr>
          <w:rFonts w:ascii="Times New Roman" w:hAnsi="Times New Roman"/>
          <w:sz w:val="20"/>
          <w:szCs w:val="20"/>
        </w:rPr>
      </w:pPr>
      <w:r w:rsidRPr="00B77BD6">
        <w:rPr>
          <w:rFonts w:ascii="Times New Roman" w:hAnsi="Times New Roman"/>
          <w:noProof/>
          <w:spacing w:val="-2"/>
          <w:sz w:val="20"/>
          <w:szCs w:val="20"/>
          <w:lang w:bidi="ar-SA"/>
        </w:rPr>
        <w:drawing>
          <wp:inline distT="0" distB="0" distL="0" distR="0" wp14:anchorId="3313D66D" wp14:editId="1B15D098">
            <wp:extent cx="2567880" cy="1510747"/>
            <wp:effectExtent l="19050" t="19050" r="23495" b="13335"/>
            <wp:docPr id="3" name="Picture 3" descr="TNBR medium C1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NBR medium C1 ai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85660" cy="1521207"/>
                    </a:xfrm>
                    <a:prstGeom prst="rect">
                      <a:avLst/>
                    </a:prstGeom>
                    <a:noFill/>
                    <a:ln>
                      <a:solidFill>
                        <a:schemeClr val="accent1"/>
                      </a:solidFill>
                    </a:ln>
                  </pic:spPr>
                </pic:pic>
              </a:graphicData>
            </a:graphic>
          </wp:inline>
        </w:drawing>
      </w:r>
      <w:r>
        <w:rPr>
          <w:rFonts w:ascii="Times New Roman" w:hAnsi="Times New Roman"/>
          <w:sz w:val="20"/>
          <w:szCs w:val="20"/>
        </w:rPr>
        <w:t xml:space="preserve">    </w:t>
      </w:r>
      <w:r w:rsidRPr="00B77BD6">
        <w:rPr>
          <w:rFonts w:ascii="Times New Roman" w:hAnsi="Times New Roman"/>
          <w:noProof/>
          <w:spacing w:val="-2"/>
          <w:sz w:val="20"/>
          <w:szCs w:val="20"/>
          <w:lang w:bidi="ar-SA"/>
        </w:rPr>
        <w:drawing>
          <wp:inline distT="0" distB="0" distL="0" distR="0" wp14:anchorId="2EF00527" wp14:editId="490269E8">
            <wp:extent cx="2558333" cy="1510665"/>
            <wp:effectExtent l="19050" t="19050" r="13970" b="13335"/>
            <wp:docPr id="4" name="Picture 4" descr="TNBR medium C1 1% C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NBR medium C1 1% CO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4223" cy="1537762"/>
                    </a:xfrm>
                    <a:prstGeom prst="rect">
                      <a:avLst/>
                    </a:prstGeom>
                    <a:noFill/>
                    <a:ln>
                      <a:solidFill>
                        <a:schemeClr val="accent1"/>
                      </a:solidFill>
                    </a:ln>
                  </pic:spPr>
                </pic:pic>
              </a:graphicData>
            </a:graphic>
          </wp:inline>
        </w:drawing>
      </w:r>
    </w:p>
    <w:p w:rsidR="00B77BD6" w:rsidRPr="00B77BD6" w:rsidRDefault="00B77BD6" w:rsidP="00B77BD6">
      <w:pPr>
        <w:spacing w:after="0" w:line="240" w:lineRule="auto"/>
        <w:jc w:val="center"/>
        <w:outlineLvl w:val="0"/>
        <w:rPr>
          <w:rFonts w:ascii="Times New Roman" w:hAnsi="Times New Roman"/>
          <w:sz w:val="20"/>
          <w:szCs w:val="20"/>
        </w:rPr>
      </w:pPr>
    </w:p>
    <w:p w:rsidR="00B77BD6" w:rsidRPr="00B77BD6" w:rsidRDefault="00B77BD6" w:rsidP="00B77BD6">
      <w:pPr>
        <w:spacing w:after="0" w:line="240" w:lineRule="auto"/>
        <w:jc w:val="center"/>
        <w:outlineLvl w:val="0"/>
        <w:rPr>
          <w:rFonts w:ascii="Times New Roman" w:hAnsi="Times New Roman"/>
          <w:sz w:val="20"/>
          <w:szCs w:val="20"/>
        </w:rPr>
      </w:pPr>
      <w:r w:rsidRPr="00B77BD6">
        <w:rPr>
          <w:rFonts w:ascii="Times New Roman" w:hAnsi="Times New Roman"/>
          <w:noProof/>
          <w:spacing w:val="-2"/>
          <w:sz w:val="20"/>
          <w:szCs w:val="20"/>
          <w:lang w:bidi="ar-SA"/>
        </w:rPr>
        <w:drawing>
          <wp:inline distT="0" distB="0" distL="0" distR="0" wp14:anchorId="7CA5C0B8" wp14:editId="7DDF5212">
            <wp:extent cx="2520529" cy="1518699"/>
            <wp:effectExtent l="19050" t="19050" r="13335" b="24765"/>
            <wp:docPr id="5" name="Picture 5" descr="TNBR medium C1 5% C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NBR medium C1 5% CO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2731" cy="1544127"/>
                    </a:xfrm>
                    <a:prstGeom prst="rect">
                      <a:avLst/>
                    </a:prstGeom>
                    <a:noFill/>
                    <a:ln>
                      <a:solidFill>
                        <a:schemeClr val="accent1"/>
                      </a:solidFill>
                    </a:ln>
                  </pic:spPr>
                </pic:pic>
              </a:graphicData>
            </a:graphic>
          </wp:inline>
        </w:drawing>
      </w:r>
    </w:p>
    <w:p w:rsidR="00B77BD6" w:rsidRPr="00B77BD6" w:rsidRDefault="00B77BD6" w:rsidP="00B77BD6">
      <w:pPr>
        <w:spacing w:after="0" w:line="240" w:lineRule="auto"/>
        <w:jc w:val="both"/>
        <w:outlineLvl w:val="0"/>
        <w:rPr>
          <w:rFonts w:ascii="Times New Roman" w:hAnsi="Times New Roman"/>
          <w:sz w:val="20"/>
          <w:szCs w:val="20"/>
        </w:rPr>
      </w:pPr>
    </w:p>
    <w:p w:rsidR="00B77BD6" w:rsidRPr="00B77BD6" w:rsidRDefault="00B77BD6" w:rsidP="00B77BD6">
      <w:pPr>
        <w:spacing w:after="0" w:line="240" w:lineRule="auto"/>
        <w:jc w:val="center"/>
        <w:outlineLvl w:val="0"/>
        <w:rPr>
          <w:rFonts w:ascii="Times New Roman" w:hAnsi="Times New Roman"/>
          <w:noProof/>
          <w:spacing w:val="-2"/>
          <w:sz w:val="20"/>
          <w:szCs w:val="20"/>
          <w:vertAlign w:val="subscript"/>
          <w:lang w:val="en-MY" w:eastAsia="en-MY"/>
        </w:rPr>
      </w:pPr>
      <w:r w:rsidRPr="00B77BD6">
        <w:rPr>
          <w:rFonts w:ascii="Times New Roman" w:hAnsi="Times New Roman"/>
          <w:noProof/>
          <w:spacing w:val="-2"/>
          <w:sz w:val="20"/>
          <w:szCs w:val="20"/>
          <w:lang w:val="en-MY" w:eastAsia="en-MY"/>
        </w:rPr>
        <w:t xml:space="preserve">Figure 2. </w:t>
      </w:r>
      <w:r>
        <w:rPr>
          <w:rFonts w:ascii="Times New Roman" w:hAnsi="Times New Roman"/>
          <w:noProof/>
          <w:spacing w:val="-2"/>
          <w:sz w:val="20"/>
          <w:szCs w:val="20"/>
          <w:lang w:val="en-MY" w:eastAsia="en-MY"/>
        </w:rPr>
        <w:t xml:space="preserve"> </w:t>
      </w:r>
      <w:r w:rsidRPr="00B77BD6">
        <w:rPr>
          <w:rFonts w:ascii="Times New Roman" w:hAnsi="Times New Roman"/>
          <w:noProof/>
          <w:spacing w:val="-2"/>
          <w:sz w:val="20"/>
          <w:szCs w:val="20"/>
          <w:lang w:val="en-MY" w:eastAsia="en-MY"/>
        </w:rPr>
        <w:t xml:space="preserve">Growth curve of  isolated </w:t>
      </w:r>
      <w:r w:rsidRPr="00B77BD6">
        <w:rPr>
          <w:rFonts w:ascii="Times New Roman" w:hAnsi="Times New Roman"/>
          <w:i/>
          <w:noProof/>
          <w:spacing w:val="-2"/>
          <w:sz w:val="20"/>
          <w:szCs w:val="20"/>
          <w:lang w:val="en-MY" w:eastAsia="en-MY"/>
        </w:rPr>
        <w:t>Chlorella</w:t>
      </w:r>
      <w:r w:rsidRPr="00B77BD6">
        <w:rPr>
          <w:rFonts w:ascii="Times New Roman" w:hAnsi="Times New Roman"/>
          <w:noProof/>
          <w:spacing w:val="-2"/>
          <w:sz w:val="20"/>
          <w:szCs w:val="20"/>
          <w:lang w:val="en-MY" w:eastAsia="en-MY"/>
        </w:rPr>
        <w:t xml:space="preserve"> sp. with TNBR medium at ambient air, 1%and 5% CO</w:t>
      </w:r>
      <w:r w:rsidRPr="00B77BD6">
        <w:rPr>
          <w:rFonts w:ascii="Times New Roman" w:hAnsi="Times New Roman"/>
          <w:noProof/>
          <w:spacing w:val="-2"/>
          <w:sz w:val="20"/>
          <w:szCs w:val="20"/>
          <w:vertAlign w:val="subscript"/>
          <w:lang w:val="en-MY" w:eastAsia="en-MY"/>
        </w:rPr>
        <w:t>2</w:t>
      </w:r>
    </w:p>
    <w:p w:rsidR="00B77BD6" w:rsidRPr="00B77BD6" w:rsidRDefault="00B77BD6" w:rsidP="00B77BD6">
      <w:pPr>
        <w:spacing w:after="0" w:line="240" w:lineRule="auto"/>
        <w:jc w:val="both"/>
        <w:outlineLvl w:val="0"/>
        <w:rPr>
          <w:rFonts w:ascii="Times New Roman" w:hAnsi="Times New Roman"/>
          <w:noProof/>
          <w:spacing w:val="-2"/>
          <w:sz w:val="20"/>
          <w:szCs w:val="20"/>
          <w:vertAlign w:val="subscript"/>
          <w:lang w:val="en-MY" w:eastAsia="en-MY"/>
        </w:rPr>
      </w:pPr>
    </w:p>
    <w:p w:rsidR="00B77BD6" w:rsidRPr="00B77BD6" w:rsidRDefault="00B77BD6" w:rsidP="00B77BD6">
      <w:pPr>
        <w:spacing w:after="0" w:line="240" w:lineRule="auto"/>
        <w:jc w:val="center"/>
        <w:outlineLvl w:val="0"/>
        <w:rPr>
          <w:rFonts w:ascii="Times New Roman" w:hAnsi="Times New Roman"/>
          <w:sz w:val="20"/>
          <w:szCs w:val="20"/>
        </w:rPr>
      </w:pPr>
      <w:r w:rsidRPr="00B77BD6">
        <w:rPr>
          <w:rFonts w:ascii="Times New Roman" w:hAnsi="Times New Roman"/>
          <w:noProof/>
          <w:spacing w:val="-2"/>
          <w:sz w:val="20"/>
          <w:szCs w:val="20"/>
          <w:lang w:bidi="ar-SA"/>
        </w:rPr>
        <w:lastRenderedPageBreak/>
        <w:drawing>
          <wp:inline distT="0" distB="0" distL="0" distR="0" wp14:anchorId="7B5C66B6" wp14:editId="22DD3CCB">
            <wp:extent cx="2527594" cy="1622066"/>
            <wp:effectExtent l="19050" t="19050" r="25400" b="16510"/>
            <wp:docPr id="6" name="Picture 6" descr="F2 medium C1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2 medium C1 ai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5830" cy="1633769"/>
                    </a:xfrm>
                    <a:prstGeom prst="rect">
                      <a:avLst/>
                    </a:prstGeom>
                    <a:noFill/>
                    <a:ln>
                      <a:solidFill>
                        <a:schemeClr val="accent1"/>
                      </a:solidFill>
                    </a:ln>
                  </pic:spPr>
                </pic:pic>
              </a:graphicData>
            </a:graphic>
          </wp:inline>
        </w:drawing>
      </w:r>
      <w:r>
        <w:rPr>
          <w:rFonts w:ascii="Times New Roman" w:hAnsi="Times New Roman"/>
          <w:sz w:val="20"/>
          <w:szCs w:val="20"/>
        </w:rPr>
        <w:t xml:space="preserve">   </w:t>
      </w:r>
      <w:r w:rsidRPr="00B77BD6">
        <w:rPr>
          <w:rFonts w:ascii="Times New Roman" w:hAnsi="Times New Roman"/>
          <w:noProof/>
          <w:spacing w:val="-2"/>
          <w:sz w:val="20"/>
          <w:szCs w:val="20"/>
          <w:lang w:bidi="ar-SA"/>
        </w:rPr>
        <w:drawing>
          <wp:inline distT="0" distB="0" distL="0" distR="0" wp14:anchorId="1C720826" wp14:editId="5DAF4975">
            <wp:extent cx="2451735" cy="1608517"/>
            <wp:effectExtent l="19050" t="19050" r="24765" b="10795"/>
            <wp:docPr id="9" name="Picture 9" descr="F2 medium C1 5%C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2 medium C1 5%CO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2261" cy="1621984"/>
                    </a:xfrm>
                    <a:prstGeom prst="rect">
                      <a:avLst/>
                    </a:prstGeom>
                    <a:noFill/>
                    <a:ln>
                      <a:solidFill>
                        <a:schemeClr val="accent1"/>
                      </a:solidFill>
                    </a:ln>
                  </pic:spPr>
                </pic:pic>
              </a:graphicData>
            </a:graphic>
          </wp:inline>
        </w:drawing>
      </w:r>
    </w:p>
    <w:p w:rsidR="00B77BD6" w:rsidRPr="00B77BD6" w:rsidRDefault="00B77BD6" w:rsidP="00B77BD6">
      <w:pPr>
        <w:pStyle w:val="JESTECAbstract"/>
        <w:spacing w:before="0"/>
        <w:ind w:left="0" w:right="27"/>
        <w:rPr>
          <w:noProof/>
          <w:spacing w:val="-2"/>
          <w:sz w:val="20"/>
          <w:szCs w:val="20"/>
          <w:lang w:val="en-MY" w:eastAsia="en-MY"/>
        </w:rPr>
      </w:pPr>
    </w:p>
    <w:p w:rsidR="00B77BD6" w:rsidRPr="00B77BD6" w:rsidRDefault="00B77BD6" w:rsidP="00B77BD6">
      <w:pPr>
        <w:pStyle w:val="JESTECAbstract"/>
        <w:spacing w:before="0"/>
        <w:ind w:left="0" w:right="27"/>
        <w:jc w:val="center"/>
        <w:rPr>
          <w:noProof/>
          <w:spacing w:val="-2"/>
          <w:sz w:val="20"/>
          <w:szCs w:val="20"/>
          <w:vertAlign w:val="subscript"/>
          <w:lang w:val="en-MY" w:eastAsia="en-MY"/>
        </w:rPr>
      </w:pPr>
      <w:r w:rsidRPr="00B77BD6">
        <w:rPr>
          <w:noProof/>
          <w:spacing w:val="-2"/>
          <w:sz w:val="20"/>
          <w:szCs w:val="20"/>
          <w:lang w:val="en-MY" w:eastAsia="en-MY"/>
        </w:rPr>
        <w:t xml:space="preserve">Figure 3. </w:t>
      </w:r>
      <w:r>
        <w:rPr>
          <w:noProof/>
          <w:spacing w:val="-2"/>
          <w:sz w:val="20"/>
          <w:szCs w:val="20"/>
          <w:lang w:val="en-MY" w:eastAsia="en-MY"/>
        </w:rPr>
        <w:t xml:space="preserve"> </w:t>
      </w:r>
      <w:r w:rsidRPr="00B77BD6">
        <w:rPr>
          <w:noProof/>
          <w:spacing w:val="-2"/>
          <w:sz w:val="20"/>
          <w:szCs w:val="20"/>
          <w:lang w:val="en-MY" w:eastAsia="en-MY"/>
        </w:rPr>
        <w:t>Growth curve of Chlorella sp. with F/2 medium at ambient air, and 5% CO</w:t>
      </w:r>
      <w:r w:rsidRPr="00B77BD6">
        <w:rPr>
          <w:noProof/>
          <w:spacing w:val="-2"/>
          <w:sz w:val="20"/>
          <w:szCs w:val="20"/>
          <w:vertAlign w:val="subscript"/>
          <w:lang w:val="en-MY" w:eastAsia="en-MY"/>
        </w:rPr>
        <w:t>2</w:t>
      </w:r>
    </w:p>
    <w:p w:rsidR="00B77BD6" w:rsidRDefault="00B77BD6" w:rsidP="00B77BD6">
      <w:pPr>
        <w:spacing w:after="0" w:line="240" w:lineRule="auto"/>
        <w:jc w:val="both"/>
        <w:outlineLvl w:val="0"/>
        <w:rPr>
          <w:rFonts w:ascii="Times New Roman" w:eastAsia="SimSun" w:hAnsi="Times New Roman"/>
          <w:noProof/>
          <w:spacing w:val="-2"/>
          <w:sz w:val="20"/>
          <w:szCs w:val="20"/>
          <w:vertAlign w:val="subscript"/>
          <w:lang w:val="en-MY" w:eastAsia="en-MY"/>
        </w:rPr>
      </w:pPr>
    </w:p>
    <w:p w:rsidR="00B77BD6" w:rsidRPr="00B77BD6" w:rsidRDefault="00B77BD6" w:rsidP="00B77BD6">
      <w:pPr>
        <w:spacing w:after="0" w:line="240" w:lineRule="auto"/>
        <w:jc w:val="both"/>
        <w:outlineLvl w:val="0"/>
        <w:rPr>
          <w:rFonts w:ascii="Times New Roman" w:eastAsia="SimSun" w:hAnsi="Times New Roman"/>
          <w:noProof/>
          <w:spacing w:val="-2"/>
          <w:sz w:val="20"/>
          <w:szCs w:val="20"/>
          <w:vertAlign w:val="subscript"/>
          <w:lang w:val="en-MY" w:eastAsia="en-MY"/>
        </w:rPr>
      </w:pPr>
    </w:p>
    <w:p w:rsidR="00B77BD6" w:rsidRPr="00B77BD6" w:rsidRDefault="00B77BD6" w:rsidP="00B77BD6">
      <w:pPr>
        <w:spacing w:after="0" w:line="240" w:lineRule="auto"/>
        <w:jc w:val="both"/>
        <w:outlineLvl w:val="0"/>
        <w:rPr>
          <w:rFonts w:ascii="Times New Roman" w:hAnsi="Times New Roman"/>
          <w:spacing w:val="-2"/>
          <w:sz w:val="20"/>
          <w:szCs w:val="20"/>
        </w:rPr>
      </w:pPr>
      <w:r w:rsidRPr="00B77BD6">
        <w:rPr>
          <w:rFonts w:ascii="Times New Roman" w:hAnsi="Times New Roman"/>
          <w:spacing w:val="-2"/>
          <w:sz w:val="20"/>
          <w:szCs w:val="20"/>
          <w:lang w:val="en-GB"/>
        </w:rPr>
        <w:t>Morphological identification was conducted by characterization of microalgae. Under microscopic observation, the size of the purified microalgae is ranging around 4.24 ~10 µm with the area around 56.48 µm</w:t>
      </w:r>
      <w:r w:rsidRPr="00B77BD6">
        <w:rPr>
          <w:rFonts w:ascii="Times New Roman" w:hAnsi="Times New Roman"/>
          <w:spacing w:val="-2"/>
          <w:sz w:val="20"/>
          <w:szCs w:val="20"/>
          <w:vertAlign w:val="superscript"/>
          <w:lang w:val="en-GB"/>
        </w:rPr>
        <w:t>2</w:t>
      </w:r>
      <w:r w:rsidRPr="00B77BD6">
        <w:rPr>
          <w:rFonts w:ascii="Times New Roman" w:hAnsi="Times New Roman"/>
          <w:spacing w:val="-2"/>
          <w:sz w:val="20"/>
          <w:szCs w:val="20"/>
          <w:lang w:val="en-GB"/>
        </w:rPr>
        <w:t xml:space="preserve">. The visible characteristic that can be observed was round shape with transparent outer membrane. </w:t>
      </w:r>
      <w:r w:rsidRPr="00B77BD6">
        <w:rPr>
          <w:rFonts w:ascii="Times New Roman" w:hAnsi="Times New Roman"/>
          <w:spacing w:val="-2"/>
          <w:sz w:val="20"/>
          <w:szCs w:val="20"/>
        </w:rPr>
        <w:t>All the purified microalgae showed round or ellipsoidal shape with a thin layer of membrane without any extension of flagella.  The purified microalgae also have gridle shape of chloroplast. The chloroplast occupies most of periphery except for the cell ends. It also has the tendency to clump together into big colonies with a slow movement [</w:t>
      </w:r>
      <w:r w:rsidRPr="00B77BD6">
        <w:rPr>
          <w:rFonts w:ascii="Times New Roman" w:hAnsi="Times New Roman"/>
          <w:spacing w:val="-2"/>
          <w:sz w:val="20"/>
          <w:szCs w:val="20"/>
        </w:rPr>
        <w:fldChar w:fldCharType="begin" w:fldLock="1"/>
      </w:r>
      <w:r w:rsidRPr="00B77BD6">
        <w:rPr>
          <w:rFonts w:ascii="Times New Roman" w:hAnsi="Times New Roman"/>
          <w:spacing w:val="-2"/>
          <w:sz w:val="20"/>
          <w:szCs w:val="20"/>
        </w:rPr>
        <w:instrText>ADDIN CSL_CITATION { "citationItems" : [ { "id" : "ITEM-1", "itemData" : { "DOI" : "10.1007/s00425-012-1765-0", "ISBN" : "0032-0935", "ISSN" : "00320935", "PMID" : "23011569", "abstract" : "Cell walls of microalgae consist of a polysaccharide and glycoprotein matrix providing the cells with a formidable defense against its environment. We characterized enzymes that can digest the cell wall and weaken this defense for the purpose of protoplasting or lipid extraction. A growth inhibition screen demonstrated that chitinase, lysozyme, pectinase, sulfatase, \u03b2-glucuronidase, and laminarinase had the broadest effect across the various Chlorella strains tested and also inhibited Nannochloropsis and Nannochloris strains. Chlorella is typically most sensitive to chitinases and lysozymes, both enzymes that degrade polymers containing N-acetylglucosamine. Using a fluorescent DNA stain, we developed rapid methodology to quantify changes in permeability in response to enzyme digestion and found that treatment with lysozyme in conjunction with other enzymes has a drastic effect on cell permeability. Transmission electron microscopy of enzymatically treated Chlorella vulgaris indicates that lysozyme degrades the outer surface of the cell wall and removes hair-like fibers protruding from the surface, which differs from the activity of chitinase. This action on the outer surface of the cell causes visible protuberances on the cell surface and presumably leads to the increased settling rate when cells are treated with lysozyme. We demonstrate radical ultrastructural changes to the cell wall in response to treatment with various enzyme combinations which, in some cases, causes a greater than twofold increase in the thickness of the cell wall. The enzymes characterized in this study should prove useful in the engineering and extraction of oils from microalgae.", "author" : [ { "dropping-particle" : "", "family" : "Gerken", "given" : "Henri G.", "non-dropping-particle" : "", "parse-names" : false, "suffix" : "" }, { "dropping-particle" : "", "family" : "Donohoe", "given" : "Bryon", "non-dropping-particle" : "", "parse-names" : false, "suffix" : "" }, { "dropping-particle" : "", "family" : "Knoshaug", "given" : "Eric P.", "non-dropping-particle" : "", "parse-names" : false, "suffix" : "" } ], "container-title" : "Planta", "id" : "ITEM-1", "issue" : "1", "issued" : { "date-parts" : [ [ "2013" ] ] }, "page" : "239-253", "title" : "Enzymatic cell wall degradation of Chlorella vulgaris and other microalgae for biofuels production", "type" : "article-journal", "volume" : "237" }, "uris" : [ "http://www.mendeley.com/documents/?uuid=897504b6-0cad-4e14-917f-a828f1d7c0be" ] } ], "mendeley" : { "formattedCitation" : "&lt;sup&gt;28&lt;/sup&gt;", "plainTextFormattedCitation" : "28", "previouslyFormattedCitation" : "&lt;sup&gt;28&lt;/sup&gt;" }, "properties" : { "noteIndex" : 0 }, "schema" : "https://github.com/citation-style-language/schema/raw/master/csl-citation.json" }</w:instrText>
      </w:r>
      <w:r w:rsidRPr="00B77BD6">
        <w:rPr>
          <w:rFonts w:ascii="Times New Roman" w:hAnsi="Times New Roman"/>
          <w:spacing w:val="-2"/>
          <w:sz w:val="20"/>
          <w:szCs w:val="20"/>
        </w:rPr>
        <w:fldChar w:fldCharType="separate"/>
      </w:r>
      <w:r w:rsidRPr="00B77BD6">
        <w:rPr>
          <w:rFonts w:ascii="Times New Roman" w:hAnsi="Times New Roman"/>
          <w:noProof/>
          <w:spacing w:val="-2"/>
          <w:sz w:val="20"/>
          <w:szCs w:val="20"/>
        </w:rPr>
        <w:t>28</w:t>
      </w:r>
      <w:r w:rsidRPr="00B77BD6">
        <w:rPr>
          <w:rFonts w:ascii="Times New Roman" w:hAnsi="Times New Roman"/>
          <w:spacing w:val="-2"/>
          <w:sz w:val="20"/>
          <w:szCs w:val="20"/>
        </w:rPr>
        <w:fldChar w:fldCharType="end"/>
      </w:r>
      <w:r w:rsidRPr="00B77BD6">
        <w:rPr>
          <w:rFonts w:ascii="Times New Roman" w:hAnsi="Times New Roman"/>
          <w:spacing w:val="-2"/>
          <w:sz w:val="20"/>
          <w:szCs w:val="20"/>
        </w:rPr>
        <w:t xml:space="preserve">]. By assessment of all the morphological characteristic of the isolated microalgae, the suspected species was </w:t>
      </w:r>
      <w:r w:rsidRPr="00B77BD6">
        <w:rPr>
          <w:rFonts w:ascii="Times New Roman" w:hAnsi="Times New Roman"/>
          <w:i/>
          <w:spacing w:val="-2"/>
          <w:sz w:val="20"/>
          <w:szCs w:val="20"/>
        </w:rPr>
        <w:t>Chlorella</w:t>
      </w:r>
      <w:r w:rsidRPr="00B77BD6">
        <w:rPr>
          <w:rFonts w:ascii="Times New Roman" w:hAnsi="Times New Roman"/>
          <w:spacing w:val="-2"/>
          <w:sz w:val="20"/>
          <w:szCs w:val="20"/>
        </w:rPr>
        <w:t xml:space="preserve"> sp. Figure 4 shows the morphological view under 400x magnifications with comparison from </w:t>
      </w:r>
      <w:r w:rsidRPr="00B77BD6">
        <w:rPr>
          <w:rFonts w:ascii="Times New Roman" w:hAnsi="Times New Roman"/>
          <w:i/>
          <w:spacing w:val="-2"/>
          <w:sz w:val="20"/>
          <w:szCs w:val="20"/>
        </w:rPr>
        <w:t>Chlorella</w:t>
      </w:r>
      <w:r w:rsidRPr="00B77BD6">
        <w:rPr>
          <w:rFonts w:ascii="Times New Roman" w:hAnsi="Times New Roman"/>
          <w:spacing w:val="-2"/>
          <w:sz w:val="20"/>
          <w:szCs w:val="20"/>
        </w:rPr>
        <w:t xml:space="preserve"> sp. from UTEX (1000x magnification). Microalgae </w:t>
      </w:r>
      <w:r w:rsidRPr="00B77BD6">
        <w:rPr>
          <w:rFonts w:ascii="Times New Roman" w:hAnsi="Times New Roman"/>
          <w:i/>
          <w:spacing w:val="-2"/>
          <w:sz w:val="20"/>
          <w:szCs w:val="20"/>
        </w:rPr>
        <w:t>Chlorella</w:t>
      </w:r>
      <w:r w:rsidRPr="00B77BD6">
        <w:rPr>
          <w:rFonts w:ascii="Times New Roman" w:hAnsi="Times New Roman"/>
          <w:spacing w:val="-2"/>
          <w:sz w:val="20"/>
          <w:szCs w:val="20"/>
        </w:rPr>
        <w:t xml:space="preserve"> species is blue-green algae which is belongs to phylum chlorophyta division. Most of Chlorella species survived and cultivated in freshwater conditions. However, several reports and studies on isolation showed the versatility and the availability of </w:t>
      </w:r>
      <w:r w:rsidRPr="00B77BD6">
        <w:rPr>
          <w:rFonts w:ascii="Times New Roman" w:hAnsi="Times New Roman"/>
          <w:i/>
          <w:spacing w:val="-2"/>
          <w:sz w:val="20"/>
          <w:szCs w:val="20"/>
        </w:rPr>
        <w:t>Chlorella</w:t>
      </w:r>
      <w:r w:rsidRPr="00B77BD6">
        <w:rPr>
          <w:rFonts w:ascii="Times New Roman" w:hAnsi="Times New Roman"/>
          <w:spacing w:val="-2"/>
          <w:sz w:val="20"/>
          <w:szCs w:val="20"/>
        </w:rPr>
        <w:t xml:space="preserve"> species to adapt and survive in marine environment [</w:t>
      </w:r>
      <w:r w:rsidRPr="00B77BD6">
        <w:rPr>
          <w:rFonts w:ascii="Times New Roman" w:hAnsi="Times New Roman"/>
          <w:spacing w:val="-2"/>
          <w:sz w:val="20"/>
          <w:szCs w:val="20"/>
        </w:rPr>
        <w:fldChar w:fldCharType="begin" w:fldLock="1"/>
      </w:r>
      <w:r w:rsidRPr="00B77BD6">
        <w:rPr>
          <w:rFonts w:ascii="Times New Roman" w:hAnsi="Times New Roman"/>
          <w:spacing w:val="-2"/>
          <w:sz w:val="20"/>
          <w:szCs w:val="20"/>
        </w:rPr>
        <w:instrText>ADDIN CSL_CITATION { "citationItems" : [ { "id" : "ITEM-1", "itemData" : { "DOI" : "10.1016/j.algal.2015.04.009", "ISSN" : "22119264", "abstract" : "To understand the potential for cultivating tropical marine Chlorella sp. PP1 to produce photosynthetic pigments, particularly \u03b2-carotene (\u03b2-Car), we investigated the growth characteristics and pigment properties of Chlorella sp. PP1 under three different irradiances and properties of solar cells sensitized by \u03b2-Car. Chlorella sp. PP1 cells that were cultured under fluorescent lamp irradiance (12:12-h photoperiods) showed better cell development and density. However, photoinhibition of cell growth was observed in the cells under both continuous fluorescent lamp irradiance and direct natural sunlight exposure. Photosynthetic pigments of Chlorella sp. PP1 were identified as chlorophylls and carotenoids, and carotenoids were produced more dominantly under light stress conditions. The solar cells that only used \u03b2-Car adsorbed by a nanocrystalline TiO2 film electrode exhibited photovoltaic effects, indicating that \u03b2-Car was capable of performing as an antenna of the solar cells.", "author" : [ { "dropping-particle" : "", "family" : "Nurachman", "given" : "Zeily", "non-dropping-particle" : "", "parse-names" : false, "suffix" : "" }, { "dropping-particle" : "", "family" : "H", "given" : "Hartini", "non-dropping-particle" : "", "parse-names" : false, "suffix" : "" }, { "dropping-particle" : "", "family" : "Rahmaniyah", "given" : "Wiwit Ridhani", "non-dropping-particle" : "", "parse-names" : false, "suffix" : "" }, { "dropping-particle" : "", "family" : "Kurnia", "given" : "Dewi", "non-dropping-particle" : "", "parse-names" : false, "suffix" : "" }, { "dropping-particle" : "", "family" : "Hidayat", "given" : "Rahmat", "non-dropping-particle" : "", "parse-names" : false, "suffix" : "" }, { "dropping-particle" : "", "family" : "Prijamboedi", "given" : "Bambang", "non-dropping-particle" : "", "parse-names" : false, "suffix" : "" }, { "dropping-particle" : "", "family" : "Suendo", "given" : "Veinardi", "non-dropping-particle" : "", "parse-names" : false, "suffix" : "" }, { "dropping-particle" : "", "family" : "Ratnaningsih", "given" : "Enny", "non-dropping-particle" : "", "parse-names" : false, "suffix" : "" }, { "dropping-particle" : "", "family" : "Panggabean", "given" : "Lily Maria Goretty", "non-dropping-particle" : "", "parse-names" : false, "suffix" : "" }, { "dropping-particle" : "", "family" : "Nurbaiti", "given" : "Santi", "non-dropping-particle" : "", "parse-names" : false, "suffix" : "" } ], "container-title" : "Algal Research", "id" : "ITEM-1", "issued" : { "date-parts" : [ [ "2015", "7" ] ] }, "page" : "25-32", "title" : "Tropical marine Chlorella sp. PP1 as a source of photosynthetic pigments for dye-sensitized solar cells", "type" : "article-journal", "volume" : "10" }, "uris" : [ "http://www.mendeley.com/documents/?uuid=f2d96bf5-a2b3-4f6c-9747-920166050c6f" ] }, { "id" : "ITEM-2", "itemData" : { "DOI" : "10.1016/j.renene.2015.03.059", "ISSN" : "09601481", "abstract" : "An efficient lipid transesterification method for marine microalga Chlorella sp. BDUG 91771 has been ascertained. Among the homogeneous alkali (NaOH), homogeneous acid (H2SO4), heterogeneous alkali (CaO), heterogeneous acid (Fe2(SO4)3) and two-step transesterification methods (NaOH and H2SO4 or H2SO4 and NaOH) tested with 100\u00a0mg lipid, 12-ml methanol, 2-h reaction time, reaction temperature 65\u00a0\u00b1\u00a01\u00a0\u00b0C with stirring for 2\u00a0h, homogeneous acid catalysis was graded the best and its biodiesel yield was determined to be 45%. Of the different homogeneous acids tested, H2SO4 was regarded seamless. A maximum methyl ester yield of 60% was observed with 3.5% H2SO4, 2.5-h reaction time, which correlated well with the central composite design. Evidently, the spectra of 1H NMR, 13C NMR, FTIR and GC-FID unveiled that biodiesel from Chlorella sp. BDUG 91771 encompasses fatty acid methyl esters (FAMEs). Gas chromatographic analysis revealed abundant palmitic acid, oleic acid and palmitoleic acid and it also had the desired Degree of Unsaturation (DU) of 56.33, Long Chain Saturated Factor (LCSF) of 1.97 and Cold Filter Plugging Point (CFPP) of\u00a0\u221210.51. Further, density, viscosity, specific gravity, pour point, calorific value, acid value, total glycerol and ash content of algal biodiesel accords with the prescribed ASTM and European standard.", "author" : [ { "dropping-particle" : "", "family" : "Mathimani", "given" : "Thangavel", "non-dropping-particle" : "", "parse-names" : false, "suffix" : "" }, { "dropping-particle" : "", "family" : "Uma", "given" : "Lakshmanan", "non-dropping-particle" : "", "parse-names" : false, "suffix" : "" }, { "dropping-particle" : "", "family" : "Prabaharan", "given" : "Dharmar", "non-dropping-particle" : "", "parse-names" : false, "suffix" : "" } ], "container-title" : "Renewable Energy", "id" : "ITEM-2", "issued" : { "date-parts" : [ [ "2015", "9" ] ] }, "note" : "marine chlorella", "page" : "523-533", "title" : "Homogeneous acid catalysed transesterification of marine microalga Chlorella sp. BDUG 91771 lipid \u2013 An efficient biodiesel yield and its characterization", "type" : "article-journal", "volume" : "81" }, "uris" : [ "http://www.mendeley.com/documents/?uuid=8f4fe642-cc1a-43e9-a644-458fdeddfbe2" ] } ], "mendeley" : { "formattedCitation" : "&lt;sup&gt;29,30&lt;/sup&gt;", "plainTextFormattedCitation" : "29,30", "previouslyFormattedCitation" : "&lt;sup&gt;29,30&lt;/sup&gt;" }, "properties" : { "noteIndex" : 0 }, "schema" : "https://github.com/citation-style-language/schema/raw/master/csl-citation.json" }</w:instrText>
      </w:r>
      <w:r w:rsidRPr="00B77BD6">
        <w:rPr>
          <w:rFonts w:ascii="Times New Roman" w:hAnsi="Times New Roman"/>
          <w:spacing w:val="-2"/>
          <w:sz w:val="20"/>
          <w:szCs w:val="20"/>
        </w:rPr>
        <w:fldChar w:fldCharType="separate"/>
      </w:r>
      <w:r w:rsidRPr="00B77BD6">
        <w:rPr>
          <w:rFonts w:ascii="Times New Roman" w:hAnsi="Times New Roman"/>
          <w:noProof/>
          <w:spacing w:val="-2"/>
          <w:sz w:val="20"/>
          <w:szCs w:val="20"/>
        </w:rPr>
        <w:t>29, 30</w:t>
      </w:r>
      <w:r w:rsidRPr="00B77BD6">
        <w:rPr>
          <w:rFonts w:ascii="Times New Roman" w:hAnsi="Times New Roman"/>
          <w:spacing w:val="-2"/>
          <w:sz w:val="20"/>
          <w:szCs w:val="20"/>
        </w:rPr>
        <w:fldChar w:fldCharType="end"/>
      </w:r>
      <w:r w:rsidRPr="00B77BD6">
        <w:rPr>
          <w:rFonts w:ascii="Times New Roman" w:hAnsi="Times New Roman"/>
          <w:spacing w:val="-2"/>
          <w:sz w:val="20"/>
          <w:szCs w:val="20"/>
        </w:rPr>
        <w:t xml:space="preserve">]. Other result from NCBI also showed that several microalgae which were isolated from South China Sea were confirmed to be </w:t>
      </w:r>
      <w:r w:rsidRPr="00B77BD6">
        <w:rPr>
          <w:rFonts w:ascii="Times New Roman" w:hAnsi="Times New Roman"/>
          <w:i/>
          <w:spacing w:val="-2"/>
          <w:sz w:val="20"/>
          <w:szCs w:val="20"/>
        </w:rPr>
        <w:t>Chlorella</w:t>
      </w:r>
      <w:r w:rsidRPr="00B77BD6">
        <w:rPr>
          <w:rFonts w:ascii="Times New Roman" w:hAnsi="Times New Roman"/>
          <w:spacing w:val="-2"/>
          <w:sz w:val="20"/>
          <w:szCs w:val="20"/>
        </w:rPr>
        <w:t xml:space="preserve"> species. Thus, it make the morphological identification of this experiment valid to be </w:t>
      </w:r>
      <w:r w:rsidRPr="00B77BD6">
        <w:rPr>
          <w:rFonts w:ascii="Times New Roman" w:hAnsi="Times New Roman"/>
          <w:i/>
          <w:spacing w:val="-2"/>
          <w:sz w:val="20"/>
          <w:szCs w:val="20"/>
        </w:rPr>
        <w:t>Chlorella</w:t>
      </w:r>
      <w:r w:rsidRPr="00B77BD6">
        <w:rPr>
          <w:rFonts w:ascii="Times New Roman" w:hAnsi="Times New Roman"/>
          <w:spacing w:val="-2"/>
          <w:sz w:val="20"/>
          <w:szCs w:val="20"/>
        </w:rPr>
        <w:t xml:space="preserve"> sp.  Further identification was confirmed with molecular identification with genes sequencing. </w:t>
      </w:r>
    </w:p>
    <w:p w:rsidR="00B77BD6" w:rsidRPr="00B77BD6" w:rsidRDefault="00B77BD6" w:rsidP="00B77BD6">
      <w:pPr>
        <w:spacing w:after="0" w:line="240" w:lineRule="auto"/>
        <w:ind w:firstLine="720"/>
        <w:jc w:val="both"/>
        <w:outlineLvl w:val="0"/>
        <w:rPr>
          <w:rFonts w:ascii="Times New Roman" w:hAnsi="Times New Roman"/>
          <w:spacing w:val="-2"/>
          <w:sz w:val="20"/>
          <w:szCs w:val="20"/>
          <w:lang w:val="en-GB"/>
        </w:rPr>
      </w:pPr>
    </w:p>
    <w:p w:rsidR="00B77BD6" w:rsidRPr="00B77BD6" w:rsidRDefault="00B77BD6" w:rsidP="00B77BD6">
      <w:pPr>
        <w:pStyle w:val="JESTECAbstract"/>
        <w:spacing w:before="0"/>
        <w:ind w:left="0" w:right="27"/>
        <w:rPr>
          <w:rFonts w:eastAsia="Times New Roman"/>
          <w:spacing w:val="-2"/>
          <w:sz w:val="20"/>
          <w:szCs w:val="20"/>
        </w:rPr>
      </w:pPr>
    </w:p>
    <w:p w:rsidR="00B77BD6" w:rsidRPr="00B77BD6" w:rsidRDefault="00B77BD6" w:rsidP="00B77BD6">
      <w:pPr>
        <w:pStyle w:val="JESTECAbstract"/>
        <w:spacing w:before="0"/>
        <w:ind w:left="0" w:right="27"/>
        <w:jc w:val="center"/>
        <w:rPr>
          <w:sz w:val="20"/>
          <w:szCs w:val="20"/>
        </w:rPr>
      </w:pPr>
      <w:r w:rsidRPr="00B77BD6">
        <w:rPr>
          <w:noProof/>
          <w:sz w:val="20"/>
          <w:szCs w:val="20"/>
          <w:lang w:val="en-US"/>
        </w:rPr>
        <mc:AlternateContent>
          <mc:Choice Requires="wps">
            <w:drawing>
              <wp:anchor distT="0" distB="0" distL="114300" distR="114300" simplePos="0" relativeHeight="251662848" behindDoc="0" locked="0" layoutInCell="1" allowOverlap="1" wp14:anchorId="5352839C" wp14:editId="1F8FCF6A">
                <wp:simplePos x="0" y="0"/>
                <wp:positionH relativeFrom="column">
                  <wp:posOffset>5334000</wp:posOffset>
                </wp:positionH>
                <wp:positionV relativeFrom="paragraph">
                  <wp:posOffset>50800</wp:posOffset>
                </wp:positionV>
                <wp:extent cx="419100" cy="262255"/>
                <wp:effectExtent l="0" t="0" r="19050" b="23495"/>
                <wp:wrapNone/>
                <wp:docPr id="15" name="Text Box 15"/>
                <wp:cNvGraphicFramePr/>
                <a:graphic xmlns:a="http://schemas.openxmlformats.org/drawingml/2006/main">
                  <a:graphicData uri="http://schemas.microsoft.com/office/word/2010/wordprocessingShape">
                    <wps:wsp>
                      <wps:cNvSpPr txBox="1"/>
                      <wps:spPr>
                        <a:xfrm>
                          <a:off x="0" y="0"/>
                          <a:ext cx="419100" cy="2622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7BD6" w:rsidRPr="00BB230F" w:rsidRDefault="00B77BD6" w:rsidP="00B77BD6">
                            <w:pPr>
                              <w:rPr>
                                <w:rFonts w:ascii="Times New Roman" w:hAnsi="Times New Roman"/>
                              </w:rPr>
                            </w:pPr>
                            <w:r>
                              <w:rPr>
                                <w:rFonts w:ascii="Times New Roman" w:hAnsi="Times New Roma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7" type="#_x0000_t202" style="position:absolute;left:0;text-align:left;margin-left:420pt;margin-top:4pt;width:33pt;height:20.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" fillcolor="white [3201]" strokeweight=".5pt">
                <v:textbox>
                  <w:txbxContent>
                    <w:p w:rsidR="00B77BD6" w:rsidRPr="00BB230F" w:rsidRDefault="00B77BD6" w:rsidP="00B77BD6">
                      <w:pPr>
                        <w:rPr>
                          <w:rFonts w:ascii="Times New Roman" w:hAnsi="Times New Roman"/>
                        </w:rPr>
                      </w:pPr>
                      <w:r>
                        <w:rPr>
                          <w:rFonts w:ascii="Times New Roman" w:hAnsi="Times New Roman"/>
                        </w:rPr>
                        <w:t>(c</w:t>
                      </w:r>
                      <w:r>
                        <w:rPr>
                          <w:rFonts w:ascii="Times New Roman" w:hAnsi="Times New Roman"/>
                        </w:rPr>
                        <w:t>)</w:t>
                      </w:r>
                    </w:p>
                  </w:txbxContent>
                </v:textbox>
              </v:shape>
            </w:pict>
          </mc:Fallback>
        </mc:AlternateContent>
      </w:r>
      <w:r w:rsidRPr="00B77BD6">
        <w:rPr>
          <w:noProof/>
          <w:sz w:val="20"/>
          <w:szCs w:val="20"/>
          <w:lang w:val="en-US"/>
        </w:rPr>
        <mc:AlternateContent>
          <mc:Choice Requires="wps">
            <w:drawing>
              <wp:anchor distT="0" distB="0" distL="114300" distR="114300" simplePos="0" relativeHeight="251661824" behindDoc="0" locked="0" layoutInCell="1" allowOverlap="1" wp14:anchorId="43F05DFE" wp14:editId="7752BF19">
                <wp:simplePos x="0" y="0"/>
                <wp:positionH relativeFrom="column">
                  <wp:posOffset>3418840</wp:posOffset>
                </wp:positionH>
                <wp:positionV relativeFrom="paragraph">
                  <wp:posOffset>50800</wp:posOffset>
                </wp:positionV>
                <wp:extent cx="390525" cy="262255"/>
                <wp:effectExtent l="0" t="0" r="28575" b="23495"/>
                <wp:wrapNone/>
                <wp:docPr id="8" name="Text Box 8"/>
                <wp:cNvGraphicFramePr/>
                <a:graphic xmlns:a="http://schemas.openxmlformats.org/drawingml/2006/main">
                  <a:graphicData uri="http://schemas.microsoft.com/office/word/2010/wordprocessingShape">
                    <wps:wsp>
                      <wps:cNvSpPr txBox="1"/>
                      <wps:spPr>
                        <a:xfrm>
                          <a:off x="0" y="0"/>
                          <a:ext cx="390525" cy="2622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7BD6" w:rsidRPr="00BB230F" w:rsidRDefault="00B77BD6" w:rsidP="00B77BD6">
                            <w:pPr>
                              <w:rPr>
                                <w:rFonts w:ascii="Times New Roman" w:hAnsi="Times New Roman"/>
                              </w:rPr>
                            </w:pPr>
                            <w:r>
                              <w:rPr>
                                <w:rFonts w:ascii="Times New Roman" w:hAnsi="Times New Roman"/>
                              </w:rPr>
                              <w:t>(b)</w:t>
                            </w:r>
                            <w:r w:rsidRPr="00BB230F">
                              <w:rPr>
                                <w:rFonts w:ascii="Times New Roman" w:hAnsi="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left:0;text-align:left;margin-left:269.2pt;margin-top:4pt;width:30.75pt;height:20.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" fillcolor="white [3201]" strokeweight=".5pt">
                <v:textbox>
                  <w:txbxContent>
                    <w:p w:rsidR="00B77BD6" w:rsidRPr="00BB230F" w:rsidRDefault="00B77BD6" w:rsidP="00B77BD6">
                      <w:pPr>
                        <w:rPr>
                          <w:rFonts w:ascii="Times New Roman" w:hAnsi="Times New Roman"/>
                        </w:rPr>
                      </w:pPr>
                      <w:r>
                        <w:rPr>
                          <w:rFonts w:ascii="Times New Roman" w:hAnsi="Times New Roman"/>
                        </w:rPr>
                        <w:t>(b</w:t>
                      </w:r>
                      <w:r>
                        <w:rPr>
                          <w:rFonts w:ascii="Times New Roman" w:hAnsi="Times New Roman"/>
                        </w:rPr>
                        <w:t>)</w:t>
                      </w:r>
                      <w:r w:rsidRPr="00BB230F">
                        <w:rPr>
                          <w:rFonts w:ascii="Times New Roman" w:hAnsi="Times New Roman"/>
                        </w:rPr>
                        <w:t>)</w:t>
                      </w:r>
                    </w:p>
                  </w:txbxContent>
                </v:textbox>
              </v:shape>
            </w:pict>
          </mc:Fallback>
        </mc:AlternateContent>
      </w:r>
      <w:r w:rsidRPr="00B77BD6">
        <w:rPr>
          <w:noProof/>
          <w:sz w:val="20"/>
          <w:szCs w:val="20"/>
          <w:lang w:val="en-US"/>
        </w:rPr>
        <mc:AlternateContent>
          <mc:Choice Requires="wps">
            <w:drawing>
              <wp:anchor distT="0" distB="0" distL="114300" distR="114300" simplePos="0" relativeHeight="251660800" behindDoc="0" locked="0" layoutInCell="1" allowOverlap="1" wp14:anchorId="3C7A1C84" wp14:editId="33A4C627">
                <wp:simplePos x="0" y="0"/>
                <wp:positionH relativeFrom="column">
                  <wp:posOffset>1485265</wp:posOffset>
                </wp:positionH>
                <wp:positionV relativeFrom="paragraph">
                  <wp:posOffset>50800</wp:posOffset>
                </wp:positionV>
                <wp:extent cx="390525" cy="262255"/>
                <wp:effectExtent l="0" t="0" r="28575" b="23495"/>
                <wp:wrapNone/>
                <wp:docPr id="7" name="Text Box 7"/>
                <wp:cNvGraphicFramePr/>
                <a:graphic xmlns:a="http://schemas.openxmlformats.org/drawingml/2006/main">
                  <a:graphicData uri="http://schemas.microsoft.com/office/word/2010/wordprocessingShape">
                    <wps:wsp>
                      <wps:cNvSpPr txBox="1"/>
                      <wps:spPr>
                        <a:xfrm>
                          <a:off x="0" y="0"/>
                          <a:ext cx="390525" cy="2622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7BD6" w:rsidRPr="00BB230F" w:rsidRDefault="00B77BD6" w:rsidP="00B77BD6">
                            <w:pPr>
                              <w:rPr>
                                <w:rFonts w:ascii="Times New Roman" w:hAnsi="Times New Roman"/>
                              </w:rPr>
                            </w:pPr>
                            <w:r w:rsidRPr="00BB230F">
                              <w:rPr>
                                <w:rFonts w:ascii="Times New Roman" w:hAnsi="Times New Roman"/>
                              </w:rPr>
                              <w:t>(a</w:t>
                            </w:r>
                            <w:r>
                              <w:rPr>
                                <w:rFonts w:ascii="Times New Roman" w:hAnsi="Times New Roman"/>
                              </w:rPr>
                              <w:t>)</w:t>
                            </w:r>
                            <w:r w:rsidRPr="00BB230F">
                              <w:rPr>
                                <w:rFonts w:ascii="Times New Roman" w:hAnsi="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left:0;text-align:left;margin-left:116.95pt;margin-top:4pt;width:30.75pt;height:20.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" fillcolor="white [3201]" strokeweight=".5pt">
                <v:textbox>
                  <w:txbxContent>
                    <w:p w:rsidR="00B77BD6" w:rsidRPr="00BB230F" w:rsidRDefault="00B77BD6" w:rsidP="00B77BD6">
                      <w:pPr>
                        <w:rPr>
                          <w:rFonts w:ascii="Times New Roman" w:hAnsi="Times New Roman"/>
                        </w:rPr>
                      </w:pPr>
                      <w:r w:rsidRPr="00BB230F">
                        <w:rPr>
                          <w:rFonts w:ascii="Times New Roman" w:hAnsi="Times New Roman"/>
                        </w:rPr>
                        <w:t>(a</w:t>
                      </w:r>
                      <w:r>
                        <w:rPr>
                          <w:rFonts w:ascii="Times New Roman" w:hAnsi="Times New Roman"/>
                        </w:rPr>
                        <w:t>)</w:t>
                      </w:r>
                      <w:r w:rsidRPr="00BB230F">
                        <w:rPr>
                          <w:rFonts w:ascii="Times New Roman" w:hAnsi="Times New Roman"/>
                        </w:rPr>
                        <w:t>)</w:t>
                      </w:r>
                    </w:p>
                  </w:txbxContent>
                </v:textbox>
              </v:shape>
            </w:pict>
          </mc:Fallback>
        </mc:AlternateContent>
      </w:r>
      <w:r w:rsidRPr="00B77BD6">
        <w:rPr>
          <w:noProof/>
          <w:sz w:val="20"/>
          <w:szCs w:val="20"/>
          <w:lang w:val="en-US"/>
        </w:rPr>
        <w:drawing>
          <wp:inline distT="0" distB="0" distL="0" distR="0" wp14:anchorId="5A0B493C" wp14:editId="7E055703">
            <wp:extent cx="5722620" cy="1630017"/>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40479" cy="1635104"/>
                    </a:xfrm>
                    <a:prstGeom prst="rect">
                      <a:avLst/>
                    </a:prstGeom>
                    <a:noFill/>
                    <a:ln>
                      <a:noFill/>
                    </a:ln>
                  </pic:spPr>
                </pic:pic>
              </a:graphicData>
            </a:graphic>
          </wp:inline>
        </w:drawing>
      </w:r>
    </w:p>
    <w:p w:rsidR="00B77BD6" w:rsidRPr="00B77BD6" w:rsidRDefault="00B77BD6" w:rsidP="00B77BD6">
      <w:pPr>
        <w:pStyle w:val="JESTECAbstract"/>
        <w:spacing w:before="0"/>
        <w:ind w:right="27"/>
        <w:rPr>
          <w:sz w:val="20"/>
          <w:szCs w:val="20"/>
        </w:rPr>
      </w:pPr>
      <w:r w:rsidRPr="00B77BD6">
        <w:rPr>
          <w:sz w:val="20"/>
          <w:szCs w:val="20"/>
        </w:rPr>
        <w:t xml:space="preserve">   </w:t>
      </w:r>
      <w:r w:rsidRPr="00B77BD6">
        <w:rPr>
          <w:sz w:val="20"/>
          <w:szCs w:val="20"/>
        </w:rPr>
        <w:tab/>
      </w:r>
      <w:r w:rsidRPr="00B77BD6">
        <w:rPr>
          <w:sz w:val="20"/>
          <w:szCs w:val="20"/>
        </w:rPr>
        <w:tab/>
      </w:r>
      <w:r w:rsidRPr="00B77BD6">
        <w:rPr>
          <w:sz w:val="20"/>
          <w:szCs w:val="20"/>
        </w:rPr>
        <w:tab/>
        <w:t xml:space="preserve">   </w:t>
      </w:r>
      <w:r w:rsidRPr="00B77BD6">
        <w:rPr>
          <w:sz w:val="20"/>
          <w:szCs w:val="20"/>
        </w:rPr>
        <w:tab/>
      </w:r>
      <w:r w:rsidRPr="00B77BD6">
        <w:rPr>
          <w:sz w:val="20"/>
          <w:szCs w:val="20"/>
        </w:rPr>
        <w:tab/>
      </w:r>
      <w:r w:rsidRPr="00B77BD6">
        <w:rPr>
          <w:sz w:val="20"/>
          <w:szCs w:val="20"/>
        </w:rPr>
        <w:tab/>
        <w:t xml:space="preserve">           </w:t>
      </w:r>
    </w:p>
    <w:p w:rsidR="00B77BD6" w:rsidRPr="00B77BD6" w:rsidRDefault="00B77BD6" w:rsidP="00B77BD6">
      <w:pPr>
        <w:pStyle w:val="JESTECAbstract"/>
        <w:spacing w:before="0"/>
        <w:ind w:left="851" w:right="27" w:hanging="851"/>
        <w:rPr>
          <w:spacing w:val="-2"/>
          <w:sz w:val="20"/>
          <w:szCs w:val="20"/>
        </w:rPr>
      </w:pPr>
      <w:r w:rsidRPr="00B77BD6">
        <w:rPr>
          <w:sz w:val="20"/>
          <w:szCs w:val="20"/>
        </w:rPr>
        <w:t xml:space="preserve">Figure 4. </w:t>
      </w:r>
      <w:r>
        <w:rPr>
          <w:sz w:val="20"/>
          <w:szCs w:val="20"/>
        </w:rPr>
        <w:tab/>
      </w:r>
      <w:r w:rsidRPr="00B77BD6">
        <w:rPr>
          <w:sz w:val="20"/>
          <w:szCs w:val="20"/>
        </w:rPr>
        <w:t xml:space="preserve">Morphological observation of (1)isolated microalgae (40x magnification) with comparison from (2) Imase et al. and (3) </w:t>
      </w:r>
      <w:r w:rsidRPr="00B77BD6">
        <w:rPr>
          <w:i/>
          <w:sz w:val="20"/>
          <w:szCs w:val="20"/>
        </w:rPr>
        <w:t>Chlorella</w:t>
      </w:r>
      <w:r w:rsidRPr="00B77BD6">
        <w:rPr>
          <w:sz w:val="20"/>
          <w:szCs w:val="20"/>
        </w:rPr>
        <w:t xml:space="preserve"> sp. of UTEX (1000x magnification) </w:t>
      </w:r>
      <w:r w:rsidRPr="00B77BD6">
        <w:rPr>
          <w:spacing w:val="-2"/>
          <w:sz w:val="20"/>
          <w:szCs w:val="20"/>
        </w:rPr>
        <w:t>[</w:t>
      </w:r>
      <w:r w:rsidRPr="00B77BD6">
        <w:rPr>
          <w:spacing w:val="-2"/>
          <w:sz w:val="20"/>
          <w:szCs w:val="20"/>
        </w:rPr>
        <w:fldChar w:fldCharType="begin" w:fldLock="1"/>
      </w:r>
      <w:r w:rsidRPr="00B77BD6">
        <w:rPr>
          <w:spacing w:val="-2"/>
          <w:sz w:val="20"/>
          <w:szCs w:val="20"/>
        </w:rPr>
        <w:instrText>ADDIN CSL_CITATION { "citationItems" : [ { "id" : "ITEM-1", "itemData" : { "DOI" : "10.1111/j.1574-6941.2007.00434.x", "ISSN" : "01686496", "PMID" : "18269632", "abstract" : "Chlorella sorokiniana IAM C-212 produces a polysaccharide gel, termed a sheath, under photoautotrophic conditions. The C. sorokiniana sheath is a suitable habitat for several symbiotic microorganisms because it ensures close proximity between the C. sorokiniana and symbionts. In this study, we established a method for increasing the volume of the sheath produced by C. sorokiniana, and proposed a method for constructing artificial communities of Chlorella and symbiotic microorganisms. The C. sorokiniana sheath was increased by addition of calcium chloride solution. The sheath resulted in coflocculation of C. sorokiniana and the associated symbiotic bacteria, thus strengthening the bacterial-Chlorella symbiotic association. An application of this technique was demonstrated by constructing a complex of C. sorokiniana and a propionate-degrading bacterium (PDS1). Although propionate inhibited the growth of axenic C. sorokiniana, the C. sorokiniana-PDS1 complex showed good growth in a medium containing a high concentration of propionate.", "author" : [ { "dropping-particle" : "", "family" : "Imase", "given" : "Masato", "non-dropping-particle" : "", "parse-names" : false, "suffix" : "" }, { "dropping-particle" : "", "family" : "Watanabe", "given" : "Keiji", "non-dropping-particle" : "", "parse-names" : false, "suffix" : "" }, { "dropping-particle" : "", "family" : "Aoyagi", "given" : "Hideki", "non-dropping-particle" : "", "parse-names" : false, "suffix" : "" }, { "dropping-particle" : "", "family" : "Tanaka", "given" : "Hideo", "non-dropping-particle" : "", "parse-names" : false, "suffix" : "" } ], "container-title" : "FEMS Microbiology Ecology", "id" : "ITEM-1", "issue" : "3", "issued" : { "date-parts" : [ [ "2008" ] ] }, "page" : "273-282", "title" : "Construction of an artificial symbiotic community using a Chlorella-symbiont association as a model", "type" : "article-journal", "volume" : "63" }, "uris" : [ "http://www.mendeley.com/documents/?uuid=683bf9d7-d6b8-4074-bc3e-63c780d88883" ] } ], "mendeley" : { "formattedCitation" : "&lt;sup&gt;31&lt;/sup&gt;", "plainTextFormattedCitation" : "31", "previouslyFormattedCitation" : "&lt;sup&gt;31&lt;/sup&gt;" }, "properties" : { "noteIndex" : 0 }, "schema" : "https://github.com/citation-style-language/schema/raw/master/csl-citation.json" }</w:instrText>
      </w:r>
      <w:r w:rsidRPr="00B77BD6">
        <w:rPr>
          <w:spacing w:val="-2"/>
          <w:sz w:val="20"/>
          <w:szCs w:val="20"/>
        </w:rPr>
        <w:fldChar w:fldCharType="separate"/>
      </w:r>
      <w:r w:rsidRPr="00B77BD6">
        <w:rPr>
          <w:spacing w:val="-2"/>
          <w:sz w:val="20"/>
          <w:szCs w:val="20"/>
        </w:rPr>
        <w:t>31</w:t>
      </w:r>
      <w:r w:rsidRPr="00B77BD6">
        <w:rPr>
          <w:spacing w:val="-2"/>
          <w:sz w:val="20"/>
          <w:szCs w:val="20"/>
        </w:rPr>
        <w:fldChar w:fldCharType="end"/>
      </w:r>
      <w:r w:rsidRPr="00B77BD6">
        <w:rPr>
          <w:spacing w:val="-2"/>
          <w:sz w:val="20"/>
          <w:szCs w:val="20"/>
        </w:rPr>
        <w:t>]</w:t>
      </w:r>
    </w:p>
    <w:p w:rsidR="00B77BD6" w:rsidRDefault="00B77BD6" w:rsidP="00B77BD6">
      <w:pPr>
        <w:pStyle w:val="JESTECAbstract"/>
        <w:spacing w:before="0"/>
        <w:ind w:left="0" w:right="27"/>
        <w:rPr>
          <w:noProof/>
          <w:spacing w:val="-2"/>
          <w:sz w:val="20"/>
          <w:szCs w:val="20"/>
          <w:lang w:val="en-MY" w:eastAsia="en-MY"/>
        </w:rPr>
      </w:pPr>
      <w:r w:rsidRPr="00B77BD6">
        <w:rPr>
          <w:noProof/>
          <w:spacing w:val="-2"/>
          <w:sz w:val="20"/>
          <w:szCs w:val="20"/>
          <w:lang w:val="en-MY" w:eastAsia="en-MY"/>
        </w:rPr>
        <w:t xml:space="preserve"> </w:t>
      </w:r>
    </w:p>
    <w:p w:rsidR="00B77BD6" w:rsidRPr="00B77BD6" w:rsidRDefault="00B77BD6" w:rsidP="00B77BD6">
      <w:pPr>
        <w:pStyle w:val="JESTECAbstract"/>
        <w:spacing w:before="0"/>
        <w:ind w:left="0" w:right="27"/>
        <w:rPr>
          <w:noProof/>
          <w:spacing w:val="-2"/>
          <w:sz w:val="20"/>
          <w:szCs w:val="20"/>
          <w:lang w:val="en-MY" w:eastAsia="en-MY"/>
        </w:rPr>
      </w:pPr>
    </w:p>
    <w:p w:rsidR="00B77BD6" w:rsidRPr="00B77BD6" w:rsidRDefault="00B77BD6" w:rsidP="00B77BD6">
      <w:pPr>
        <w:spacing w:after="0" w:line="240" w:lineRule="auto"/>
        <w:ind w:right="27"/>
        <w:jc w:val="both"/>
        <w:rPr>
          <w:rFonts w:ascii="Times New Roman" w:eastAsia="SimSun" w:hAnsi="Times New Roman"/>
          <w:b/>
          <w:spacing w:val="-2"/>
          <w:sz w:val="20"/>
          <w:szCs w:val="20"/>
          <w:lang w:val="en-GB"/>
        </w:rPr>
      </w:pPr>
      <w:r w:rsidRPr="00B77BD6">
        <w:rPr>
          <w:rFonts w:ascii="Times New Roman" w:eastAsia="SimSun" w:hAnsi="Times New Roman"/>
          <w:b/>
          <w:spacing w:val="-2"/>
          <w:sz w:val="20"/>
          <w:szCs w:val="20"/>
          <w:lang w:val="en-GB"/>
        </w:rPr>
        <w:t>Molecular identification of microalgae</w:t>
      </w:r>
    </w:p>
    <w:p w:rsidR="00B77BD6" w:rsidRPr="00B77BD6" w:rsidRDefault="00B77BD6" w:rsidP="00B77BD6">
      <w:pPr>
        <w:spacing w:after="0" w:line="240" w:lineRule="auto"/>
        <w:jc w:val="both"/>
        <w:rPr>
          <w:rFonts w:ascii="Times New Roman" w:hAnsi="Times New Roman"/>
          <w:spacing w:val="-2"/>
          <w:sz w:val="20"/>
          <w:szCs w:val="20"/>
          <w:lang w:val="en-GB"/>
        </w:rPr>
      </w:pPr>
      <w:r w:rsidRPr="00B77BD6">
        <w:rPr>
          <w:rFonts w:ascii="Times New Roman" w:hAnsi="Times New Roman"/>
          <w:spacing w:val="-2"/>
          <w:sz w:val="20"/>
          <w:szCs w:val="20"/>
          <w:lang w:val="en-GB"/>
        </w:rPr>
        <w:t>Extraction and Purification of gDNA was conducted with a procedure suggested by the manual form the manufacturer (Promega) as mention in methodology section. Extracted gDNA then amplified using PCR with 18s rRNA primer before it is sequenced. Figure 5 showed that PCR product were run into gel for confirmations before the PCR product undergoes sequencing process.</w:t>
      </w:r>
    </w:p>
    <w:p w:rsidR="00B77BD6" w:rsidRPr="00B77BD6" w:rsidRDefault="00B77BD6" w:rsidP="00B77BD6">
      <w:pPr>
        <w:spacing w:after="0" w:line="240" w:lineRule="auto"/>
        <w:jc w:val="both"/>
        <w:rPr>
          <w:rFonts w:ascii="Times New Roman" w:hAnsi="Times New Roman"/>
          <w:spacing w:val="-2"/>
          <w:sz w:val="20"/>
          <w:szCs w:val="20"/>
          <w:lang w:val="en-GB"/>
        </w:rPr>
      </w:pPr>
    </w:p>
    <w:p w:rsidR="00B77BD6" w:rsidRPr="00B77BD6" w:rsidRDefault="00B77BD6" w:rsidP="00B77BD6">
      <w:pPr>
        <w:pStyle w:val="JESTECAbstract"/>
        <w:spacing w:before="0"/>
        <w:ind w:left="0" w:right="27"/>
        <w:rPr>
          <w:rFonts w:eastAsia="Times New Roman"/>
          <w:spacing w:val="-2"/>
          <w:sz w:val="20"/>
          <w:szCs w:val="20"/>
        </w:rPr>
      </w:pPr>
      <w:r w:rsidRPr="00B77BD6">
        <w:rPr>
          <w:rFonts w:eastAsia="Times New Roman"/>
          <w:spacing w:val="-2"/>
          <w:sz w:val="20"/>
          <w:szCs w:val="20"/>
        </w:rPr>
        <w:lastRenderedPageBreak/>
        <w:tab/>
        <w:t xml:space="preserve"> </w:t>
      </w:r>
    </w:p>
    <w:p w:rsidR="00B77BD6" w:rsidRPr="00B77BD6" w:rsidRDefault="00B77BD6" w:rsidP="00B77BD6">
      <w:pPr>
        <w:pStyle w:val="JESTECAbstract"/>
        <w:spacing w:before="0"/>
        <w:ind w:left="0" w:right="27"/>
        <w:jc w:val="center"/>
        <w:rPr>
          <w:noProof/>
          <w:spacing w:val="-2"/>
          <w:sz w:val="20"/>
          <w:szCs w:val="20"/>
          <w:lang w:val="en-MY" w:eastAsia="en-MY"/>
        </w:rPr>
      </w:pPr>
      <w:r w:rsidRPr="00B77BD6">
        <w:rPr>
          <w:noProof/>
          <w:spacing w:val="-2"/>
          <w:sz w:val="20"/>
          <w:szCs w:val="20"/>
          <w:lang w:val="en-US"/>
        </w:rPr>
        <w:drawing>
          <wp:inline distT="0" distB="0" distL="0" distR="0" wp14:anchorId="2DE81496" wp14:editId="3B6A9A21">
            <wp:extent cx="2080260" cy="26593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80260" cy="2659380"/>
                    </a:xfrm>
                    <a:prstGeom prst="rect">
                      <a:avLst/>
                    </a:prstGeom>
                    <a:noFill/>
                    <a:ln>
                      <a:noFill/>
                    </a:ln>
                  </pic:spPr>
                </pic:pic>
              </a:graphicData>
            </a:graphic>
          </wp:inline>
        </w:drawing>
      </w:r>
      <w:r w:rsidRPr="00B77BD6">
        <w:rPr>
          <w:noProof/>
          <w:spacing w:val="-2"/>
          <w:sz w:val="20"/>
          <w:szCs w:val="20"/>
          <w:lang w:val="en-US"/>
        </w:rPr>
        <w:drawing>
          <wp:inline distT="0" distB="0" distL="0" distR="0" wp14:anchorId="03A7C373" wp14:editId="5601D5FD">
            <wp:extent cx="952500" cy="23393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00" cy="2339340"/>
                    </a:xfrm>
                    <a:prstGeom prst="rect">
                      <a:avLst/>
                    </a:prstGeom>
                    <a:noFill/>
                    <a:ln>
                      <a:noFill/>
                    </a:ln>
                  </pic:spPr>
                </pic:pic>
              </a:graphicData>
            </a:graphic>
          </wp:inline>
        </w:drawing>
      </w:r>
    </w:p>
    <w:p w:rsidR="00B77BD6" w:rsidRPr="00B77BD6" w:rsidRDefault="00B77BD6" w:rsidP="00B77BD6">
      <w:pPr>
        <w:pStyle w:val="JESTECAbstract"/>
        <w:spacing w:before="0"/>
        <w:ind w:left="0" w:right="27"/>
        <w:rPr>
          <w:noProof/>
          <w:spacing w:val="-2"/>
          <w:sz w:val="20"/>
          <w:szCs w:val="20"/>
          <w:lang w:val="en-MY" w:eastAsia="en-MY"/>
        </w:rPr>
      </w:pPr>
    </w:p>
    <w:p w:rsidR="00B77BD6" w:rsidRPr="00B77BD6" w:rsidRDefault="00B77BD6" w:rsidP="00B77BD6">
      <w:pPr>
        <w:pStyle w:val="JESTECAbstract"/>
        <w:spacing w:before="0"/>
        <w:ind w:left="900" w:right="27" w:hanging="900"/>
        <w:rPr>
          <w:spacing w:val="-2"/>
          <w:sz w:val="20"/>
          <w:szCs w:val="20"/>
        </w:rPr>
      </w:pPr>
      <w:r w:rsidRPr="00B77BD6">
        <w:rPr>
          <w:spacing w:val="-2"/>
          <w:sz w:val="20"/>
          <w:szCs w:val="20"/>
        </w:rPr>
        <w:t xml:space="preserve">Figure 5. </w:t>
      </w:r>
      <w:r>
        <w:rPr>
          <w:spacing w:val="-2"/>
          <w:sz w:val="20"/>
          <w:szCs w:val="20"/>
        </w:rPr>
        <w:t xml:space="preserve"> </w:t>
      </w:r>
      <w:r>
        <w:rPr>
          <w:spacing w:val="-2"/>
          <w:sz w:val="20"/>
          <w:szCs w:val="20"/>
        </w:rPr>
        <w:tab/>
      </w:r>
      <w:r w:rsidRPr="00B77BD6">
        <w:rPr>
          <w:spacing w:val="-2"/>
          <w:sz w:val="20"/>
          <w:szCs w:val="20"/>
        </w:rPr>
        <w:t>Result of PCR gel run on the ladder. Negative (-) was the PCR non-tem</w:t>
      </w:r>
      <w:r>
        <w:rPr>
          <w:spacing w:val="-2"/>
          <w:sz w:val="20"/>
          <w:szCs w:val="20"/>
        </w:rPr>
        <w:t xml:space="preserve">plate control (water only), and </w:t>
      </w:r>
      <w:r w:rsidRPr="00B77BD6">
        <w:rPr>
          <w:spacing w:val="-2"/>
          <w:sz w:val="20"/>
          <w:szCs w:val="20"/>
        </w:rPr>
        <w:t>positive (+) is positive control using DNA extracted from human blood sample as a template</w:t>
      </w:r>
    </w:p>
    <w:p w:rsidR="00B77BD6" w:rsidRDefault="00B77BD6" w:rsidP="00B77BD6">
      <w:pPr>
        <w:pStyle w:val="JESTECAbstract"/>
        <w:spacing w:before="0"/>
        <w:ind w:left="0" w:right="27"/>
        <w:rPr>
          <w:noProof/>
          <w:spacing w:val="-2"/>
          <w:sz w:val="20"/>
          <w:szCs w:val="20"/>
          <w:lang w:val="en-MY" w:eastAsia="en-MY"/>
        </w:rPr>
      </w:pPr>
    </w:p>
    <w:p w:rsidR="00B77BD6" w:rsidRPr="00B77BD6" w:rsidRDefault="00B77BD6" w:rsidP="00B77BD6">
      <w:pPr>
        <w:pStyle w:val="JESTECAbstract"/>
        <w:spacing w:before="0"/>
        <w:ind w:left="0" w:right="27"/>
        <w:rPr>
          <w:noProof/>
          <w:spacing w:val="-2"/>
          <w:sz w:val="20"/>
          <w:szCs w:val="20"/>
          <w:lang w:val="en-MY" w:eastAsia="en-MY"/>
        </w:rPr>
      </w:pPr>
    </w:p>
    <w:p w:rsidR="00B77BD6" w:rsidRPr="00B77BD6" w:rsidRDefault="00B77BD6" w:rsidP="00B77BD6">
      <w:pPr>
        <w:spacing w:after="0" w:line="240" w:lineRule="auto"/>
        <w:jc w:val="both"/>
        <w:rPr>
          <w:rFonts w:ascii="Times New Roman" w:hAnsi="Times New Roman"/>
          <w:spacing w:val="-2"/>
          <w:sz w:val="20"/>
          <w:szCs w:val="20"/>
          <w:lang w:val="en-GB"/>
        </w:rPr>
      </w:pPr>
      <w:r w:rsidRPr="00B77BD6">
        <w:rPr>
          <w:rFonts w:ascii="Times New Roman" w:hAnsi="Times New Roman"/>
          <w:spacing w:val="-2"/>
          <w:sz w:val="20"/>
          <w:szCs w:val="20"/>
        </w:rPr>
        <w:t xml:space="preserve">PCR product which has been successfully sequenced has the size of 1792bp. Full sequenced by 18s rRNA gave full sequenced of the isolated microalgae. Full sequenced obtained from sequencing process was blast into the NCBI BLAST software to compare the obtained result with the gene bank for the identification purpose. Top ten hits blast result were observed and showed in the Figure 6 in the form of phylogenetic tree where most of the result showed the similarity to the isolated microalgae from the coal-fired power plant. Result from the list of showed seven out of ten confirm up to 99% that an isolated, purified and sequenced microalgae is </w:t>
      </w:r>
      <w:r w:rsidRPr="00B77BD6">
        <w:rPr>
          <w:rFonts w:ascii="Times New Roman" w:hAnsi="Times New Roman"/>
          <w:i/>
          <w:spacing w:val="-2"/>
          <w:sz w:val="20"/>
          <w:szCs w:val="20"/>
        </w:rPr>
        <w:t>Chlorella</w:t>
      </w:r>
      <w:r w:rsidRPr="00B77BD6">
        <w:rPr>
          <w:rFonts w:ascii="Times New Roman" w:hAnsi="Times New Roman"/>
          <w:spacing w:val="-2"/>
          <w:sz w:val="20"/>
          <w:szCs w:val="20"/>
        </w:rPr>
        <w:t xml:space="preserve"> sp. Thus, from molecular result plus with similar characteristic by morphological identification, it was confirm that isolated microalgae were </w:t>
      </w:r>
      <w:r w:rsidRPr="00B77BD6">
        <w:rPr>
          <w:rFonts w:ascii="Times New Roman" w:hAnsi="Times New Roman"/>
          <w:i/>
          <w:spacing w:val="-2"/>
          <w:sz w:val="20"/>
          <w:szCs w:val="20"/>
        </w:rPr>
        <w:t>Chlorella</w:t>
      </w:r>
      <w:r w:rsidRPr="00B77BD6">
        <w:rPr>
          <w:rFonts w:ascii="Times New Roman" w:hAnsi="Times New Roman"/>
          <w:spacing w:val="-2"/>
          <w:sz w:val="20"/>
          <w:szCs w:val="20"/>
        </w:rPr>
        <w:t xml:space="preserve"> sp.</w:t>
      </w:r>
    </w:p>
    <w:p w:rsidR="00B77BD6" w:rsidRPr="00B77BD6" w:rsidRDefault="00B77BD6" w:rsidP="00B77BD6">
      <w:pPr>
        <w:pStyle w:val="JESTECAbstract"/>
        <w:spacing w:before="0"/>
        <w:ind w:left="0" w:right="27"/>
        <w:rPr>
          <w:spacing w:val="-2"/>
          <w:sz w:val="20"/>
          <w:szCs w:val="20"/>
        </w:rPr>
      </w:pPr>
      <w:r w:rsidRPr="00B77BD6">
        <w:rPr>
          <w:spacing w:val="-2"/>
          <w:sz w:val="20"/>
          <w:szCs w:val="20"/>
        </w:rPr>
        <w:t xml:space="preserve"> </w:t>
      </w:r>
      <w:r w:rsidRPr="00B77BD6">
        <w:rPr>
          <w:spacing w:val="-2"/>
          <w:sz w:val="20"/>
          <w:szCs w:val="20"/>
        </w:rPr>
        <w:tab/>
      </w:r>
    </w:p>
    <w:p w:rsidR="00B77BD6" w:rsidRPr="00B77BD6" w:rsidRDefault="00B77BD6" w:rsidP="00B77BD6">
      <w:pPr>
        <w:pStyle w:val="JESTECAbstract"/>
        <w:spacing w:before="0"/>
        <w:ind w:left="0" w:right="27"/>
        <w:rPr>
          <w:spacing w:val="-2"/>
          <w:sz w:val="20"/>
          <w:szCs w:val="20"/>
        </w:rPr>
      </w:pPr>
    </w:p>
    <w:p w:rsidR="00B77BD6" w:rsidRPr="00B77BD6" w:rsidRDefault="00B77BD6" w:rsidP="007724A0">
      <w:pPr>
        <w:pStyle w:val="JESTECAbstract"/>
        <w:spacing w:before="0"/>
        <w:ind w:left="0" w:right="27"/>
        <w:jc w:val="center"/>
        <w:rPr>
          <w:noProof/>
          <w:spacing w:val="-2"/>
          <w:sz w:val="20"/>
          <w:szCs w:val="20"/>
          <w:lang w:val="en-MY" w:eastAsia="en-MY"/>
        </w:rPr>
      </w:pPr>
      <w:r w:rsidRPr="00B77BD6">
        <w:rPr>
          <w:noProof/>
          <w:spacing w:val="-2"/>
          <w:sz w:val="20"/>
          <w:szCs w:val="20"/>
          <w:lang w:val="en-US"/>
        </w:rPr>
        <w:drawing>
          <wp:inline distT="0" distB="0" distL="0" distR="0" wp14:anchorId="1F7B2221" wp14:editId="51D90FF3">
            <wp:extent cx="2376054" cy="2376054"/>
            <wp:effectExtent l="19050" t="19050" r="24765" b="24765"/>
            <wp:docPr id="17" name="Picture 17" descr="C:\Users\User\Pictures\CI TNBR phylogenetic 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Pictures\CI TNBR phylogenetic tre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77541" cy="2377541"/>
                    </a:xfrm>
                    <a:prstGeom prst="rect">
                      <a:avLst/>
                    </a:prstGeom>
                    <a:noFill/>
                    <a:ln w="3175">
                      <a:solidFill>
                        <a:schemeClr val="tx1"/>
                      </a:solidFill>
                    </a:ln>
                  </pic:spPr>
                </pic:pic>
              </a:graphicData>
            </a:graphic>
          </wp:inline>
        </w:drawing>
      </w:r>
    </w:p>
    <w:p w:rsidR="00B77BD6" w:rsidRPr="00B77BD6" w:rsidRDefault="00B77BD6" w:rsidP="00B77BD6">
      <w:pPr>
        <w:spacing w:after="0" w:line="240" w:lineRule="auto"/>
        <w:jc w:val="both"/>
        <w:rPr>
          <w:rFonts w:ascii="Times New Roman" w:hAnsi="Times New Roman"/>
          <w:spacing w:val="-2"/>
          <w:sz w:val="20"/>
          <w:szCs w:val="20"/>
          <w:lang w:val="en-GB"/>
        </w:rPr>
      </w:pPr>
    </w:p>
    <w:p w:rsidR="00B77BD6" w:rsidRPr="00B77BD6" w:rsidRDefault="00B77BD6" w:rsidP="007724A0">
      <w:pPr>
        <w:spacing w:after="0" w:line="240" w:lineRule="auto"/>
        <w:jc w:val="center"/>
        <w:rPr>
          <w:rFonts w:ascii="Times New Roman" w:hAnsi="Times New Roman"/>
          <w:spacing w:val="-2"/>
          <w:sz w:val="20"/>
          <w:szCs w:val="20"/>
          <w:lang w:val="en-GB"/>
        </w:rPr>
      </w:pPr>
      <w:r w:rsidRPr="00B77BD6">
        <w:rPr>
          <w:rFonts w:ascii="Times New Roman" w:hAnsi="Times New Roman"/>
          <w:spacing w:val="-2"/>
          <w:sz w:val="20"/>
          <w:szCs w:val="20"/>
          <w:lang w:val="en-GB"/>
        </w:rPr>
        <w:t xml:space="preserve">Figure 6. </w:t>
      </w:r>
      <w:r w:rsidR="007724A0">
        <w:rPr>
          <w:rFonts w:ascii="Times New Roman" w:hAnsi="Times New Roman"/>
          <w:spacing w:val="-2"/>
          <w:sz w:val="20"/>
          <w:szCs w:val="20"/>
          <w:lang w:val="en-GB"/>
        </w:rPr>
        <w:t xml:space="preserve"> </w:t>
      </w:r>
      <w:r w:rsidRPr="00B77BD6">
        <w:rPr>
          <w:rFonts w:ascii="Times New Roman" w:hAnsi="Times New Roman"/>
          <w:spacing w:val="-2"/>
          <w:sz w:val="20"/>
          <w:szCs w:val="20"/>
          <w:lang w:val="en-GB"/>
        </w:rPr>
        <w:t xml:space="preserve">Top ten of phylogenetic tree of isolated microalgae; </w:t>
      </w:r>
      <w:r w:rsidRPr="00B77BD6">
        <w:rPr>
          <w:rFonts w:ascii="Times New Roman" w:hAnsi="Times New Roman"/>
          <w:i/>
          <w:spacing w:val="-2"/>
          <w:sz w:val="20"/>
          <w:szCs w:val="20"/>
          <w:lang w:val="en-GB"/>
        </w:rPr>
        <w:t>Chlorella</w:t>
      </w:r>
      <w:r w:rsidRPr="00B77BD6">
        <w:rPr>
          <w:rFonts w:ascii="Times New Roman" w:hAnsi="Times New Roman"/>
          <w:spacing w:val="-2"/>
          <w:sz w:val="20"/>
          <w:szCs w:val="20"/>
          <w:lang w:val="en-GB"/>
        </w:rPr>
        <w:t xml:space="preserve"> sp. from NCBI genes bank database</w:t>
      </w:r>
    </w:p>
    <w:p w:rsidR="007724A0" w:rsidRPr="00B77BD6" w:rsidRDefault="007724A0" w:rsidP="007724A0">
      <w:pPr>
        <w:pStyle w:val="JESTECAbstract"/>
        <w:spacing w:before="0"/>
        <w:ind w:left="0" w:right="27"/>
        <w:rPr>
          <w:rFonts w:eastAsia="Times New Roman"/>
          <w:spacing w:val="-2"/>
          <w:sz w:val="20"/>
          <w:szCs w:val="20"/>
        </w:rPr>
      </w:pPr>
      <w:r w:rsidRPr="00B77BD6">
        <w:rPr>
          <w:rFonts w:eastAsia="Times New Roman"/>
          <w:spacing w:val="-2"/>
          <w:sz w:val="20"/>
          <w:szCs w:val="20"/>
        </w:rPr>
        <w:lastRenderedPageBreak/>
        <w:t xml:space="preserve">Among the similar result from the phylogenetic tree, </w:t>
      </w:r>
      <w:r w:rsidRPr="00B77BD6">
        <w:rPr>
          <w:rFonts w:eastAsia="Times New Roman"/>
          <w:i/>
          <w:spacing w:val="-2"/>
          <w:sz w:val="20"/>
          <w:szCs w:val="20"/>
        </w:rPr>
        <w:t>Chlorella</w:t>
      </w:r>
      <w:r w:rsidRPr="00B77BD6">
        <w:rPr>
          <w:rFonts w:eastAsia="Times New Roman"/>
          <w:spacing w:val="-2"/>
          <w:sz w:val="20"/>
          <w:szCs w:val="20"/>
        </w:rPr>
        <w:t xml:space="preserve"> sp. SAG 211-18 showed similarity almost to 99%.  According to the data base from the Experimental Phycology and Culture Collection of Algae at the University of Goettingen (EPSAG), this microalgae which was formally called as </w:t>
      </w:r>
      <w:r w:rsidRPr="00B77BD6">
        <w:rPr>
          <w:rFonts w:eastAsia="Times New Roman"/>
          <w:i/>
          <w:spacing w:val="-2"/>
          <w:sz w:val="20"/>
          <w:szCs w:val="20"/>
        </w:rPr>
        <w:t>Chlorella sorokiniana</w:t>
      </w:r>
      <w:r w:rsidRPr="00B77BD6">
        <w:rPr>
          <w:rFonts w:eastAsia="Times New Roman"/>
          <w:spacing w:val="-2"/>
          <w:sz w:val="20"/>
          <w:szCs w:val="20"/>
        </w:rPr>
        <w:t xml:space="preserve"> was isolated from Sweden. The source of the microalgae was from freshwater habitat which is surrounded by the Baltic Sea. Similar to the isolated microalgae in this study, the species was exposed to harsh environment surrounding of coal-fired power plant and closed proximity to the marine environment.</w:t>
      </w:r>
    </w:p>
    <w:p w:rsidR="00B77BD6" w:rsidRPr="00B77BD6" w:rsidRDefault="00B77BD6" w:rsidP="007724A0">
      <w:pPr>
        <w:spacing w:after="0" w:line="240" w:lineRule="auto"/>
        <w:jc w:val="both"/>
        <w:rPr>
          <w:rFonts w:ascii="Times New Roman" w:hAnsi="Times New Roman"/>
          <w:spacing w:val="-2"/>
          <w:sz w:val="20"/>
          <w:szCs w:val="20"/>
          <w:lang w:val="en-GB"/>
        </w:rPr>
      </w:pPr>
    </w:p>
    <w:p w:rsidR="00B77BD6" w:rsidRPr="00B77BD6" w:rsidRDefault="00B77BD6" w:rsidP="00B77BD6">
      <w:pPr>
        <w:pStyle w:val="JESTECAbstract"/>
        <w:spacing w:before="0"/>
        <w:ind w:left="0" w:right="27"/>
        <w:rPr>
          <w:b/>
          <w:spacing w:val="-2"/>
          <w:sz w:val="20"/>
          <w:szCs w:val="20"/>
        </w:rPr>
      </w:pPr>
      <w:r w:rsidRPr="00B77BD6">
        <w:rPr>
          <w:b/>
          <w:spacing w:val="-2"/>
          <w:sz w:val="20"/>
          <w:szCs w:val="20"/>
        </w:rPr>
        <w:t>CO</w:t>
      </w:r>
      <w:r w:rsidRPr="00B77BD6">
        <w:rPr>
          <w:b/>
          <w:spacing w:val="-2"/>
          <w:sz w:val="20"/>
          <w:szCs w:val="20"/>
          <w:vertAlign w:val="subscript"/>
        </w:rPr>
        <w:t xml:space="preserve">2 </w:t>
      </w:r>
      <w:r w:rsidRPr="00B77BD6">
        <w:rPr>
          <w:b/>
          <w:spacing w:val="-2"/>
          <w:sz w:val="20"/>
          <w:szCs w:val="20"/>
        </w:rPr>
        <w:t>sequestration</w:t>
      </w:r>
    </w:p>
    <w:p w:rsidR="00B77BD6" w:rsidRPr="00B77BD6" w:rsidRDefault="00B77BD6" w:rsidP="00B77BD6">
      <w:pPr>
        <w:pStyle w:val="JESTECAbstract"/>
        <w:spacing w:before="0"/>
        <w:ind w:left="0" w:right="27"/>
        <w:rPr>
          <w:rFonts w:eastAsia="Times New Roman"/>
          <w:spacing w:val="-2"/>
          <w:sz w:val="20"/>
          <w:szCs w:val="20"/>
        </w:rPr>
      </w:pPr>
      <w:r w:rsidRPr="00B77BD6">
        <w:rPr>
          <w:spacing w:val="-2"/>
          <w:sz w:val="20"/>
          <w:szCs w:val="20"/>
        </w:rPr>
        <w:t>Isolated native microalgae were tested for its capability in performing carbon capture and storage (CCS) by sequestration of CO</w:t>
      </w:r>
      <w:r w:rsidRPr="00B77BD6">
        <w:rPr>
          <w:spacing w:val="-2"/>
          <w:sz w:val="20"/>
          <w:szCs w:val="20"/>
          <w:vertAlign w:val="subscript"/>
        </w:rPr>
        <w:t>2</w:t>
      </w:r>
      <w:r w:rsidRPr="00B77BD6">
        <w:rPr>
          <w:spacing w:val="-2"/>
          <w:sz w:val="20"/>
          <w:szCs w:val="20"/>
        </w:rPr>
        <w:t xml:space="preserve">. Result from the </w:t>
      </w:r>
      <w:r w:rsidRPr="00B77BD6">
        <w:rPr>
          <w:i/>
          <w:spacing w:val="-2"/>
          <w:sz w:val="20"/>
          <w:szCs w:val="20"/>
        </w:rPr>
        <w:t>µ</w:t>
      </w:r>
      <w:r w:rsidRPr="00B77BD6">
        <w:rPr>
          <w:spacing w:val="-2"/>
          <w:sz w:val="20"/>
          <w:szCs w:val="20"/>
          <w:vertAlign w:val="subscript"/>
        </w:rPr>
        <w:t>max</w:t>
      </w:r>
      <w:r w:rsidRPr="00B77BD6">
        <w:rPr>
          <w:spacing w:val="-2"/>
          <w:sz w:val="20"/>
          <w:szCs w:val="20"/>
        </w:rPr>
        <w:t xml:space="preserve"> value, showed that TNBR medium gave better result in the growth profile of microalgae. Thus in the CO</w:t>
      </w:r>
      <w:r w:rsidRPr="00B77BD6">
        <w:rPr>
          <w:spacing w:val="-2"/>
          <w:sz w:val="20"/>
          <w:szCs w:val="20"/>
          <w:vertAlign w:val="subscript"/>
        </w:rPr>
        <w:t>2</w:t>
      </w:r>
      <w:r w:rsidRPr="00B77BD6">
        <w:rPr>
          <w:spacing w:val="-2"/>
          <w:sz w:val="20"/>
          <w:szCs w:val="20"/>
        </w:rPr>
        <w:t xml:space="preserve"> sequestration test, TNBR medium was used as the main medium for microalgae cultivation.  CO</w:t>
      </w:r>
      <w:r w:rsidRPr="00B77BD6">
        <w:rPr>
          <w:spacing w:val="-2"/>
          <w:sz w:val="20"/>
          <w:szCs w:val="20"/>
          <w:vertAlign w:val="subscript"/>
        </w:rPr>
        <w:t>2</w:t>
      </w:r>
      <w:r w:rsidRPr="00B77BD6">
        <w:rPr>
          <w:spacing w:val="-2"/>
          <w:sz w:val="20"/>
          <w:szCs w:val="20"/>
        </w:rPr>
        <w:t xml:space="preserve"> was supplied by mixing the 95% purity of CO</w:t>
      </w:r>
      <w:r w:rsidRPr="00B77BD6">
        <w:rPr>
          <w:spacing w:val="-2"/>
          <w:sz w:val="20"/>
          <w:szCs w:val="20"/>
          <w:vertAlign w:val="subscript"/>
        </w:rPr>
        <w:t>2</w:t>
      </w:r>
      <w:r w:rsidRPr="00B77BD6">
        <w:rPr>
          <w:spacing w:val="-2"/>
          <w:sz w:val="20"/>
          <w:szCs w:val="20"/>
        </w:rPr>
        <w:t xml:space="preserve"> with compress air. At 1% and 5 % concentration, CO</w:t>
      </w:r>
      <w:r w:rsidRPr="00B77BD6">
        <w:rPr>
          <w:spacing w:val="-2"/>
          <w:sz w:val="20"/>
          <w:szCs w:val="20"/>
          <w:vertAlign w:val="subscript"/>
        </w:rPr>
        <w:t>2</w:t>
      </w:r>
      <w:r w:rsidRPr="00B77BD6">
        <w:rPr>
          <w:spacing w:val="-2"/>
          <w:sz w:val="20"/>
          <w:szCs w:val="20"/>
        </w:rPr>
        <w:t xml:space="preserve"> were fixed for the run and the percentage was set using volume/volume ratio (v/v).</w:t>
      </w:r>
      <w:r w:rsidRPr="00B77BD6">
        <w:rPr>
          <w:rFonts w:eastAsia="Times New Roman"/>
          <w:spacing w:val="-2"/>
          <w:sz w:val="20"/>
          <w:szCs w:val="20"/>
        </w:rPr>
        <w:t>Results of CO</w:t>
      </w:r>
      <w:r w:rsidRPr="00B77BD6">
        <w:rPr>
          <w:rFonts w:eastAsia="Times New Roman"/>
          <w:spacing w:val="-2"/>
          <w:sz w:val="20"/>
          <w:szCs w:val="20"/>
          <w:vertAlign w:val="subscript"/>
        </w:rPr>
        <w:t xml:space="preserve">2 </w:t>
      </w:r>
      <w:r w:rsidRPr="00B77BD6">
        <w:rPr>
          <w:rFonts w:eastAsia="Times New Roman"/>
          <w:spacing w:val="-2"/>
          <w:sz w:val="20"/>
          <w:szCs w:val="20"/>
        </w:rPr>
        <w:t xml:space="preserve">sequestration by isolated </w:t>
      </w:r>
      <w:r w:rsidRPr="00B77BD6">
        <w:rPr>
          <w:rFonts w:eastAsia="Times New Roman"/>
          <w:i/>
          <w:spacing w:val="-2"/>
          <w:sz w:val="20"/>
          <w:szCs w:val="20"/>
        </w:rPr>
        <w:t>Chlorella</w:t>
      </w:r>
      <w:r w:rsidRPr="00B77BD6">
        <w:rPr>
          <w:rFonts w:eastAsia="Times New Roman"/>
          <w:spacing w:val="-2"/>
          <w:sz w:val="20"/>
          <w:szCs w:val="20"/>
        </w:rPr>
        <w:t xml:space="preserve"> sp. are shown in Figure 7a and 7b.  Result from 1% and 5% of CO</w:t>
      </w:r>
      <w:r w:rsidRPr="00B77BD6">
        <w:rPr>
          <w:rFonts w:eastAsia="Times New Roman"/>
          <w:spacing w:val="-2"/>
          <w:sz w:val="20"/>
          <w:szCs w:val="20"/>
          <w:vertAlign w:val="subscript"/>
        </w:rPr>
        <w:t>2</w:t>
      </w:r>
      <w:r w:rsidRPr="00B77BD6">
        <w:rPr>
          <w:rFonts w:eastAsia="Times New Roman"/>
          <w:spacing w:val="-2"/>
          <w:sz w:val="20"/>
          <w:szCs w:val="20"/>
        </w:rPr>
        <w:t xml:space="preserve"> input showed that isolated </w:t>
      </w:r>
      <w:r w:rsidRPr="00B77BD6">
        <w:rPr>
          <w:rFonts w:eastAsia="Times New Roman"/>
          <w:i/>
          <w:spacing w:val="-2"/>
          <w:sz w:val="20"/>
          <w:szCs w:val="20"/>
        </w:rPr>
        <w:t>Chlorella</w:t>
      </w:r>
      <w:r w:rsidRPr="00B77BD6">
        <w:rPr>
          <w:rFonts w:eastAsia="Times New Roman"/>
          <w:spacing w:val="-2"/>
          <w:sz w:val="20"/>
          <w:szCs w:val="20"/>
        </w:rPr>
        <w:t xml:space="preserve"> sp. manage to sequester CO</w:t>
      </w:r>
      <w:r w:rsidRPr="00B77BD6">
        <w:rPr>
          <w:rFonts w:eastAsia="Times New Roman"/>
          <w:spacing w:val="-2"/>
          <w:sz w:val="20"/>
          <w:szCs w:val="20"/>
          <w:vertAlign w:val="subscript"/>
        </w:rPr>
        <w:t>2</w:t>
      </w:r>
      <w:r w:rsidRPr="00B77BD6">
        <w:rPr>
          <w:rFonts w:eastAsia="Times New Roman"/>
          <w:spacing w:val="-2"/>
          <w:sz w:val="20"/>
          <w:szCs w:val="20"/>
        </w:rPr>
        <w:t xml:space="preserve"> up to 4.3% and 4.5% respectively. Comparison with previous result showed that marine </w:t>
      </w:r>
      <w:r w:rsidRPr="00B77BD6">
        <w:rPr>
          <w:rFonts w:eastAsia="Times New Roman"/>
          <w:i/>
          <w:spacing w:val="-2"/>
          <w:sz w:val="20"/>
          <w:szCs w:val="20"/>
        </w:rPr>
        <w:t>Chlorella</w:t>
      </w:r>
      <w:r w:rsidRPr="00B77BD6">
        <w:rPr>
          <w:rFonts w:eastAsia="Times New Roman"/>
          <w:spacing w:val="-2"/>
          <w:sz w:val="20"/>
          <w:szCs w:val="20"/>
        </w:rPr>
        <w:t xml:space="preserve"> sp. showed lower CO</w:t>
      </w:r>
      <w:r w:rsidRPr="00B77BD6">
        <w:rPr>
          <w:rFonts w:eastAsia="Times New Roman"/>
          <w:spacing w:val="-2"/>
          <w:sz w:val="20"/>
          <w:szCs w:val="20"/>
          <w:vertAlign w:val="subscript"/>
        </w:rPr>
        <w:t>2</w:t>
      </w:r>
      <w:r w:rsidRPr="00B77BD6">
        <w:rPr>
          <w:rFonts w:eastAsia="Times New Roman"/>
          <w:spacing w:val="-2"/>
          <w:sz w:val="20"/>
          <w:szCs w:val="20"/>
        </w:rPr>
        <w:t xml:space="preserve"> sequestration uptake compare to the </w:t>
      </w:r>
      <w:r w:rsidRPr="00B77BD6">
        <w:rPr>
          <w:rFonts w:eastAsia="Times New Roman"/>
          <w:i/>
          <w:spacing w:val="-2"/>
          <w:sz w:val="20"/>
          <w:szCs w:val="20"/>
        </w:rPr>
        <w:t>Chlorella</w:t>
      </w:r>
      <w:r w:rsidRPr="00B77BD6">
        <w:rPr>
          <w:rFonts w:eastAsia="Times New Roman"/>
          <w:spacing w:val="-2"/>
          <w:sz w:val="20"/>
          <w:szCs w:val="20"/>
        </w:rPr>
        <w:t xml:space="preserve"> sp. which has been reported previously which is ranging from the 15% to 30% ability to absorb the CO2 into the biomass form [</w:t>
      </w:r>
      <w:r w:rsidRPr="00B77BD6">
        <w:rPr>
          <w:rFonts w:eastAsia="Times New Roman"/>
          <w:spacing w:val="-2"/>
          <w:sz w:val="20"/>
          <w:szCs w:val="20"/>
        </w:rPr>
        <w:fldChar w:fldCharType="begin" w:fldLock="1"/>
      </w:r>
      <w:r w:rsidRPr="00B77BD6">
        <w:rPr>
          <w:rFonts w:eastAsia="Times New Roman"/>
          <w:spacing w:val="-2"/>
          <w:sz w:val="20"/>
          <w:szCs w:val="20"/>
        </w:rPr>
        <w:instrText>ADDIN CSL_CITATION { "citationItems" : [ { "id" : "ITEM-1", "itemData" : { "DOI" : "10.1016/j.biortech.2009.10.061", "ISSN" : "1873-2976", "PMID" : "19939669", "abstract" : "Biological CO(2) sequestration using algal reactors is one of the most promising and environmentally benign technologies to sequester CO(2). This research study was taken up to alleviate certain limitations associated with the technology such as low CO(2) sequestration efficiency and low biomass yields. The study demonstrates an increase in CO(2) sequestration efficiency by maneuvering chemically aided biological sequestration of CO(2). Chlorella sp. and Spirulina platensis showed 46% and 39% mean fixation efficiency, respectively, at input CO(2) concentration of 10%. The effect of acetazolamide, a potent carbonic anhydrase inhibitor, on CO(2) sequestration efficiency was studied to demonstrate the role of carbonic anhydrase in calcite deposition. Calcite formed by both species was characterized by scanning electron microscopy coupled electron dispersive spectroscopy and X-ray diffraction. The overall scheme of calcite deposition coupled CO(2) fixation with commercially utilizable biomass as a product seems a viable option in the efforts to sequester increasing CO(2) emissions.", "author" : [ { "dropping-particle" : "", "family" : "Ramanan", "given" : "Rishiram", "non-dropping-particle" : "", "parse-names" : false, "suffix" : "" }, { "dropping-particle" : "", "family" : "Kannan", "given" : "Krishnamurthi", "non-dropping-particle" : "", "parse-names" : false, "suffix" : "" }, { "dropping-particle" : "", "family" : "Deshkar", "given" : "Ashok", "non-dropping-particle" : "", "parse-names" : false, "suffix" : "" }, { "dropping-particle" : "", "family" : "Yadav", "given" : "Raju", "non-dropping-particle" : "", "parse-names" : false, "suffix" : "" }, { "dropping-particle" : "", "family" : "Chakrabarti", "given" : "Tapan", "non-dropping-particle" : "", "parse-names" : false, "suffix" : "" } ], "container-title" : "Bioresource technology", "id" : "ITEM-1", "issue" : "8", "issued" : { "date-parts" : [ [ "2010", "4" ] ] }, "page" : "2616-22", "publisher" : "Elsevier Ltd", "title" : "Enhanced algal CO(2) sequestration through calcite deposition by Chlorella sp. and Spirulina platensis in a mini-raceway pond.", "type" : "article-journal", "volume" : "101" }, "uris" : [ "http://www.mendeley.com/documents/?uuid=05fdb0a5-66e8-49f0-869c-8660ef6c6098" ] }, { "id" : "ITEM-2", "itemData" : { "DOI" : "10.1007/s10811-010-9551-5", "ISBN" : "0921-8971", "ISSN" : "09218971", "abstract" : "Because of the importance of collagens in mediating cell-substrate interactions and the association of collagens with neural recognition molecules in the peripheral nervous system, the ability of neural recognition molecules to modify the substrate properties of collagens, in particular collagen type I, for cell adhesion was determined. Two cell lines, the N2A neuroblastoma and PC12 pheochromocytoma, were investigated for their capacity to adhere to different collagen types in the absence or presence of several neural recognition molecules. Adhesion of N2A or PC12 cells and membrane vesicles from PC12 cells to collagen type I was reduced when the collagen had been preincubated prior to its application as substrate with the extracellular domain of myelin-associated glycoprotein (s-MAG) or, as control, fibroblast tenascin-C (F-tenascin). In mixture with other collagen types, s-MAG was only able to reduce the adhesiveness of collagen types III and V, but not of collagen types II and IV. F-tenascin reduced the adhesiveness of all collagen types tested. In contrast to F-tenascin, s-MAG had to be present during fibrillogenesis to exert its effect, indicating that it must be coassembled into the collagen fibril to block the binding site. Cell adhesion to collagen type I was dependent on Mg2+ or Mn2+ and inhibited by a monoclonal antibody to the alpha 1 integrin subunit. The combined observations indicate that s-MAG and F-tenascin interfere with cell binding, most probably by modifying the integrin binding site, and that the two molecules act by different mechanisms, both leading to reduction of adhesion", "author" : [ { "dropping-particle" : "", "family" : "Borkenstein", "given" : "Clemens G.", "non-dropping-particle" : "", "parse-names" : false, "suffix" : "" }, { "dropping-particle" : "", "family" : "Knoblechner", "given" : "Josef", "non-dropping-particle" : "", "parse-names" : false, "suffix" : "" }, { "dropping-particle" : "", "family" : "Fr\u00fchwirth", "given" : "Heike", "non-dropping-particle" : "", "parse-names" : false, "suffix" : "" }, { "dropping-particle" : "", "family" : "Schagerl", "given" : "Michael", "non-dropping-particle" : "", "parse-names" : false, "suffix" : "" } ], "container-title" : "Journal of Applied Phycology", "id" : "ITEM-2", "issue" : "1", "issued" : { "date-parts" : [ [ "2011" ] ] }, "page" : "131-135", "title" : "Cultivation of Chlorella emersonii with flue gas derived from a cement plant", "type" : "article-journal", "volume" : "23" }, "uris" : [ "http://www.mendeley.com/documents/?uuid=3271dd14-9e08-472f-a6ea-f21e64106c11" ] } ], "mendeley" : { "formattedCitation" : "&lt;sup&gt;18,32&lt;/sup&gt;", "plainTextFormattedCitation" : "18,32", "previouslyFormattedCitation" : "&lt;sup&gt;18,32&lt;/sup&gt;" }, "properties" : { "noteIndex" : 0 }, "schema" : "https://github.com/citation-style-language/schema/raw/master/csl-citation.json" }</w:instrText>
      </w:r>
      <w:r w:rsidRPr="00B77BD6">
        <w:rPr>
          <w:rFonts w:eastAsia="Times New Roman"/>
          <w:spacing w:val="-2"/>
          <w:sz w:val="20"/>
          <w:szCs w:val="20"/>
        </w:rPr>
        <w:fldChar w:fldCharType="separate"/>
      </w:r>
      <w:r w:rsidRPr="00B77BD6">
        <w:rPr>
          <w:rFonts w:eastAsia="Times New Roman"/>
          <w:spacing w:val="-2"/>
          <w:sz w:val="20"/>
          <w:szCs w:val="20"/>
        </w:rPr>
        <w:t>18, 32</w:t>
      </w:r>
      <w:r w:rsidRPr="00B77BD6">
        <w:rPr>
          <w:rFonts w:eastAsia="Times New Roman"/>
          <w:spacing w:val="-2"/>
          <w:sz w:val="20"/>
          <w:szCs w:val="20"/>
        </w:rPr>
        <w:fldChar w:fldCharType="end"/>
      </w:r>
      <w:r w:rsidRPr="00B77BD6">
        <w:rPr>
          <w:rFonts w:eastAsia="Times New Roman"/>
          <w:spacing w:val="-2"/>
          <w:sz w:val="20"/>
          <w:szCs w:val="20"/>
        </w:rPr>
        <w:t>]. Higher uptake CO</w:t>
      </w:r>
      <w:r w:rsidRPr="00B77BD6">
        <w:rPr>
          <w:rFonts w:eastAsia="Times New Roman"/>
          <w:spacing w:val="-2"/>
          <w:sz w:val="20"/>
          <w:szCs w:val="20"/>
          <w:vertAlign w:val="subscript"/>
        </w:rPr>
        <w:t>2</w:t>
      </w:r>
      <w:r w:rsidRPr="00B77BD6">
        <w:rPr>
          <w:rFonts w:eastAsia="Times New Roman"/>
          <w:spacing w:val="-2"/>
          <w:sz w:val="20"/>
          <w:szCs w:val="20"/>
        </w:rPr>
        <w:t xml:space="preserve"> can be achieved in optimization of higher CO</w:t>
      </w:r>
      <w:r w:rsidRPr="00B77BD6">
        <w:rPr>
          <w:rFonts w:eastAsia="Times New Roman"/>
          <w:spacing w:val="-2"/>
          <w:sz w:val="20"/>
          <w:szCs w:val="20"/>
          <w:vertAlign w:val="subscript"/>
        </w:rPr>
        <w:t>2</w:t>
      </w:r>
      <w:r w:rsidRPr="00B77BD6">
        <w:rPr>
          <w:rFonts w:eastAsia="Times New Roman"/>
          <w:spacing w:val="-2"/>
          <w:sz w:val="20"/>
          <w:szCs w:val="20"/>
        </w:rPr>
        <w:t xml:space="preserve"> input and aeration rate.</w:t>
      </w:r>
    </w:p>
    <w:p w:rsidR="00B77BD6" w:rsidRPr="00B77BD6" w:rsidRDefault="00B77BD6" w:rsidP="00B77BD6">
      <w:pPr>
        <w:pStyle w:val="JESTECAbstract"/>
        <w:spacing w:before="0"/>
        <w:ind w:left="0" w:right="27"/>
        <w:rPr>
          <w:rFonts w:eastAsia="Times New Roman"/>
          <w:spacing w:val="-2"/>
          <w:sz w:val="20"/>
          <w:szCs w:val="20"/>
        </w:rPr>
      </w:pPr>
    </w:p>
    <w:p w:rsidR="00B77BD6" w:rsidRPr="00B77BD6" w:rsidRDefault="00B77BD6" w:rsidP="00B77BD6">
      <w:pPr>
        <w:spacing w:after="0" w:line="240" w:lineRule="auto"/>
        <w:jc w:val="both"/>
        <w:rPr>
          <w:rFonts w:ascii="Times New Roman" w:hAnsi="Times New Roman"/>
          <w:spacing w:val="-2"/>
          <w:sz w:val="20"/>
          <w:szCs w:val="20"/>
          <w:lang w:val="en-GB"/>
        </w:rPr>
      </w:pPr>
    </w:p>
    <w:p w:rsidR="00B77BD6" w:rsidRPr="00B77BD6" w:rsidRDefault="007724A0" w:rsidP="007724A0">
      <w:pPr>
        <w:spacing w:after="0" w:line="240" w:lineRule="auto"/>
        <w:jc w:val="center"/>
        <w:rPr>
          <w:rFonts w:ascii="Times New Roman" w:hAnsi="Times New Roman"/>
          <w:spacing w:val="-2"/>
          <w:sz w:val="20"/>
          <w:szCs w:val="20"/>
          <w:lang w:val="en-GB"/>
        </w:rPr>
      </w:pPr>
      <w:r w:rsidRPr="00B77BD6">
        <w:rPr>
          <w:rFonts w:ascii="Times New Roman" w:hAnsi="Times New Roman"/>
          <w:noProof/>
          <w:spacing w:val="-2"/>
          <w:sz w:val="20"/>
          <w:szCs w:val="20"/>
          <w:lang w:bidi="ar-SA"/>
        </w:rPr>
        <w:drawing>
          <wp:inline distT="0" distB="0" distL="0" distR="0" wp14:anchorId="44A3F809" wp14:editId="616F4A0F">
            <wp:extent cx="3077155" cy="2083242"/>
            <wp:effectExtent l="0" t="0" r="28575" b="0"/>
            <wp:docPr id="18"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77BD6" w:rsidRPr="00B77BD6" w:rsidRDefault="00B77BD6" w:rsidP="00B77BD6">
      <w:pPr>
        <w:pStyle w:val="JESTECAbstract"/>
        <w:spacing w:before="0"/>
        <w:ind w:left="0" w:right="27"/>
        <w:rPr>
          <w:noProof/>
          <w:spacing w:val="-2"/>
          <w:sz w:val="20"/>
          <w:szCs w:val="20"/>
          <w:lang w:val="en-US"/>
        </w:rPr>
      </w:pPr>
    </w:p>
    <w:p w:rsidR="00B77BD6" w:rsidRPr="00B77BD6" w:rsidRDefault="007724A0" w:rsidP="007724A0">
      <w:pPr>
        <w:pStyle w:val="JESTECAbstract"/>
        <w:spacing w:before="0"/>
        <w:ind w:left="0" w:right="27"/>
        <w:jc w:val="center"/>
        <w:rPr>
          <w:noProof/>
          <w:spacing w:val="-2"/>
          <w:sz w:val="20"/>
          <w:szCs w:val="20"/>
          <w:lang w:val="en-US"/>
        </w:rPr>
      </w:pPr>
      <w:r w:rsidRPr="00B77BD6">
        <w:rPr>
          <w:noProof/>
          <w:sz w:val="20"/>
          <w:szCs w:val="20"/>
          <w:lang w:val="en-US"/>
        </w:rPr>
        <mc:AlternateContent>
          <mc:Choice Requires="wps">
            <w:drawing>
              <wp:anchor distT="0" distB="0" distL="114300" distR="114300" simplePos="0" relativeHeight="251663872" behindDoc="0" locked="0" layoutInCell="1" allowOverlap="1" wp14:anchorId="15CE9D25" wp14:editId="326F437F">
                <wp:simplePos x="0" y="0"/>
                <wp:positionH relativeFrom="column">
                  <wp:posOffset>3655695</wp:posOffset>
                </wp:positionH>
                <wp:positionV relativeFrom="paragraph">
                  <wp:posOffset>269875</wp:posOffset>
                </wp:positionV>
                <wp:extent cx="357505" cy="254000"/>
                <wp:effectExtent l="0" t="0" r="0" b="0"/>
                <wp:wrapNone/>
                <wp:docPr id="16" name="Text Box 1"/>
                <wp:cNvGraphicFramePr/>
                <a:graphic xmlns:a="http://schemas.openxmlformats.org/drawingml/2006/main">
                  <a:graphicData uri="http://schemas.microsoft.com/office/word/2010/wordprocessingShape">
                    <wps:wsp>
                      <wps:cNvSpPr txBox="1"/>
                      <wps:spPr>
                        <a:xfrm>
                          <a:off x="0" y="0"/>
                          <a:ext cx="357505" cy="254000"/>
                        </a:xfrm>
                        <a:prstGeom prst="rect">
                          <a:avLst/>
                        </a:prstGeom>
                      </wps:spPr>
                      <wps:txbx>
                        <w:txbxContent>
                          <w:p w:rsidR="00B77BD6" w:rsidRDefault="00B77BD6" w:rsidP="00B77BD6">
                            <w:pPr>
                              <w:pStyle w:val="NormalWeb"/>
                              <w:spacing w:before="0" w:beforeAutospacing="0" w:after="0" w:afterAutospacing="0"/>
                            </w:pPr>
                            <w:r>
                              <w:rPr>
                                <w:rFonts w:asciiTheme="minorHAnsi" w:hAnsi="Calibri" w:cstheme="minorBidi"/>
                                <w:sz w:val="22"/>
                                <w:szCs w:val="22"/>
                              </w:rPr>
                              <w:t>(b)</w:t>
                            </w:r>
                          </w:p>
                        </w:txbxContent>
                      </wps:txbx>
                      <wps:bodyPr vertOverflow="clip" wrap="square" rtlCol="0"/>
                    </wps:wsp>
                  </a:graphicData>
                </a:graphic>
              </wp:anchor>
            </w:drawing>
          </mc:Choice>
          <mc:Fallback>
            <w:pict>
              <v:shape id="Text Box 1" o:spid="_x0000_s1030" type="#_x0000_t202" style="position:absolute;left:0;text-align:left;margin-left:287.85pt;margin-top:21.25pt;width:28.15pt;height:20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" filled="f" stroked="f">
                <v:textbox>
                  <w:txbxContent>
                    <w:p w:rsidR="00B77BD6" w:rsidRDefault="00B77BD6" w:rsidP="00B77BD6">
                      <w:pPr>
                        <w:pStyle w:val="NormalWeb"/>
                        <w:spacing w:before="0" w:beforeAutospacing="0" w:after="0" w:afterAutospacing="0"/>
                      </w:pPr>
                      <w:r>
                        <w:rPr>
                          <w:rFonts w:asciiTheme="minorHAnsi" w:hAnsi="Calibri" w:cstheme="minorBidi"/>
                          <w:sz w:val="22"/>
                          <w:szCs w:val="22"/>
                        </w:rPr>
                        <w:t>(b)</w:t>
                      </w:r>
                    </w:p>
                  </w:txbxContent>
                </v:textbox>
              </v:shape>
            </w:pict>
          </mc:Fallback>
        </mc:AlternateContent>
      </w:r>
      <w:r w:rsidRPr="00B77BD6">
        <w:rPr>
          <w:noProof/>
          <w:spacing w:val="-2"/>
          <w:sz w:val="20"/>
          <w:szCs w:val="20"/>
          <w:lang w:val="en-US"/>
        </w:rPr>
        <w:drawing>
          <wp:inline distT="0" distB="0" distL="0" distR="0" wp14:anchorId="6C6D6C7A" wp14:editId="3CE7705E">
            <wp:extent cx="3053080" cy="2115047"/>
            <wp:effectExtent l="0" t="0" r="13970" b="0"/>
            <wp:docPr id="19" name="Char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77BD6" w:rsidRPr="00B77BD6" w:rsidRDefault="00B77BD6" w:rsidP="00B77BD6">
      <w:pPr>
        <w:pStyle w:val="JESTECAbstract"/>
        <w:spacing w:before="0"/>
        <w:ind w:left="0" w:right="27"/>
        <w:rPr>
          <w:noProof/>
          <w:spacing w:val="-2"/>
          <w:sz w:val="20"/>
          <w:szCs w:val="20"/>
          <w:lang w:val="en-MY" w:eastAsia="en-MY"/>
        </w:rPr>
      </w:pPr>
    </w:p>
    <w:p w:rsidR="007724A0" w:rsidRPr="007724A0" w:rsidRDefault="00B77BD6" w:rsidP="007724A0">
      <w:pPr>
        <w:spacing w:after="0" w:line="240" w:lineRule="auto"/>
        <w:ind w:left="851" w:hanging="851"/>
        <w:jc w:val="both"/>
        <w:rPr>
          <w:rFonts w:ascii="Times New Roman" w:hAnsi="Times New Roman"/>
          <w:noProof/>
          <w:spacing w:val="-2"/>
          <w:sz w:val="20"/>
          <w:szCs w:val="20"/>
          <w:lang w:val="en-MY" w:eastAsia="en-MY"/>
        </w:rPr>
      </w:pPr>
      <w:r w:rsidRPr="00B77BD6">
        <w:rPr>
          <w:rFonts w:ascii="Times New Roman" w:hAnsi="Times New Roman"/>
          <w:noProof/>
          <w:spacing w:val="-2"/>
          <w:sz w:val="20"/>
          <w:szCs w:val="20"/>
          <w:lang w:val="en-MY" w:eastAsia="en-MY"/>
        </w:rPr>
        <w:t xml:space="preserve">Figure 7. </w:t>
      </w:r>
      <w:r w:rsidR="007724A0">
        <w:rPr>
          <w:rFonts w:ascii="Times New Roman" w:hAnsi="Times New Roman"/>
          <w:noProof/>
          <w:spacing w:val="-2"/>
          <w:sz w:val="20"/>
          <w:szCs w:val="20"/>
          <w:lang w:val="en-MY" w:eastAsia="en-MY"/>
        </w:rPr>
        <w:tab/>
      </w:r>
      <w:r w:rsidRPr="00B77BD6">
        <w:rPr>
          <w:rFonts w:ascii="Times New Roman" w:hAnsi="Times New Roman"/>
          <w:noProof/>
          <w:spacing w:val="-2"/>
          <w:sz w:val="20"/>
          <w:szCs w:val="20"/>
          <w:lang w:val="en-MY" w:eastAsia="en-MY"/>
        </w:rPr>
        <w:t xml:space="preserve">Result of </w:t>
      </w:r>
      <w:r w:rsidRPr="00B77BD6">
        <w:rPr>
          <w:rFonts w:ascii="Times New Roman" w:hAnsi="Times New Roman"/>
          <w:i/>
          <w:noProof/>
          <w:spacing w:val="-2"/>
          <w:sz w:val="20"/>
          <w:szCs w:val="20"/>
          <w:lang w:val="en-MY" w:eastAsia="en-MY"/>
        </w:rPr>
        <w:t>Chlorella</w:t>
      </w:r>
      <w:r w:rsidRPr="00B77BD6">
        <w:rPr>
          <w:rFonts w:ascii="Times New Roman" w:hAnsi="Times New Roman"/>
          <w:noProof/>
          <w:spacing w:val="-2"/>
          <w:sz w:val="20"/>
          <w:szCs w:val="20"/>
          <w:lang w:val="en-MY" w:eastAsia="en-MY"/>
        </w:rPr>
        <w:t xml:space="preserve"> sp. in performing CO</w:t>
      </w:r>
      <w:r w:rsidRPr="00B77BD6">
        <w:rPr>
          <w:rFonts w:ascii="Times New Roman" w:hAnsi="Times New Roman"/>
          <w:noProof/>
          <w:spacing w:val="-2"/>
          <w:sz w:val="20"/>
          <w:szCs w:val="20"/>
          <w:vertAlign w:val="subscript"/>
          <w:lang w:val="en-MY" w:eastAsia="en-MY"/>
        </w:rPr>
        <w:t>2</w:t>
      </w:r>
      <w:r w:rsidRPr="00B77BD6">
        <w:rPr>
          <w:rFonts w:ascii="Times New Roman" w:hAnsi="Times New Roman"/>
          <w:noProof/>
          <w:spacing w:val="-2"/>
          <w:sz w:val="20"/>
          <w:szCs w:val="20"/>
          <w:lang w:val="en-MY" w:eastAsia="en-MY"/>
        </w:rPr>
        <w:t xml:space="preserve"> sequestration at a) 1% CO</w:t>
      </w:r>
      <w:r w:rsidRPr="00B77BD6">
        <w:rPr>
          <w:rFonts w:ascii="Times New Roman" w:hAnsi="Times New Roman"/>
          <w:noProof/>
          <w:spacing w:val="-2"/>
          <w:sz w:val="20"/>
          <w:szCs w:val="20"/>
          <w:vertAlign w:val="subscript"/>
          <w:lang w:val="en-MY" w:eastAsia="en-MY"/>
        </w:rPr>
        <w:t>2</w:t>
      </w:r>
      <w:r w:rsidRPr="00B77BD6">
        <w:rPr>
          <w:rFonts w:ascii="Times New Roman" w:hAnsi="Times New Roman"/>
          <w:noProof/>
          <w:spacing w:val="-2"/>
          <w:sz w:val="20"/>
          <w:szCs w:val="20"/>
          <w:lang w:val="en-MY" w:eastAsia="en-MY"/>
        </w:rPr>
        <w:t xml:space="preserve"> concentration and b) 5% CO</w:t>
      </w:r>
      <w:r w:rsidRPr="00B77BD6">
        <w:rPr>
          <w:rFonts w:ascii="Times New Roman" w:hAnsi="Times New Roman"/>
          <w:noProof/>
          <w:spacing w:val="-2"/>
          <w:sz w:val="20"/>
          <w:szCs w:val="20"/>
          <w:vertAlign w:val="subscript"/>
          <w:lang w:val="en-MY" w:eastAsia="en-MY"/>
        </w:rPr>
        <w:t>2</w:t>
      </w:r>
      <w:r w:rsidRPr="00B77BD6">
        <w:rPr>
          <w:rFonts w:ascii="Times New Roman" w:hAnsi="Times New Roman"/>
          <w:noProof/>
          <w:spacing w:val="-2"/>
          <w:sz w:val="20"/>
          <w:szCs w:val="20"/>
          <w:lang w:val="en-MY" w:eastAsia="en-MY"/>
        </w:rPr>
        <w:t xml:space="preserve"> concentrations, repectively</w:t>
      </w:r>
    </w:p>
    <w:p w:rsidR="007724A0" w:rsidRPr="00B77BD6" w:rsidRDefault="007724A0" w:rsidP="007724A0">
      <w:pPr>
        <w:pStyle w:val="JESTECAbstract"/>
        <w:spacing w:before="0"/>
        <w:ind w:left="0" w:right="27"/>
        <w:rPr>
          <w:noProof/>
          <w:spacing w:val="-2"/>
          <w:sz w:val="20"/>
          <w:szCs w:val="20"/>
          <w:lang w:val="en-MY" w:eastAsia="en-MY"/>
        </w:rPr>
      </w:pPr>
      <w:r w:rsidRPr="00B77BD6">
        <w:rPr>
          <w:rFonts w:eastAsia="Times New Roman"/>
          <w:spacing w:val="-2"/>
          <w:sz w:val="20"/>
          <w:szCs w:val="20"/>
        </w:rPr>
        <w:lastRenderedPageBreak/>
        <w:t>However, higher accumulation of CO</w:t>
      </w:r>
      <w:r w:rsidRPr="00B77BD6">
        <w:rPr>
          <w:rFonts w:eastAsia="Times New Roman"/>
          <w:spacing w:val="-2"/>
          <w:sz w:val="20"/>
          <w:szCs w:val="20"/>
          <w:vertAlign w:val="subscript"/>
        </w:rPr>
        <w:t>2</w:t>
      </w:r>
      <w:r w:rsidRPr="00B77BD6">
        <w:rPr>
          <w:rFonts w:eastAsia="Times New Roman"/>
          <w:spacing w:val="-2"/>
          <w:sz w:val="20"/>
          <w:szCs w:val="20"/>
        </w:rPr>
        <w:t xml:space="preserve"> in the first phase of algae culturing has produce a spike in the beginning of 5 to 7 days of cultivation periods. These phenomena can be explained by the lag phase of microalgae which has lower growth at the initial stage.  Higher accumulation at the initial stage can be reduced with better inoculation process which is inoculums at the exponential phase are used for every single run. Acclimatization of microalgae to higher CO</w:t>
      </w:r>
      <w:r w:rsidRPr="00B77BD6">
        <w:rPr>
          <w:rFonts w:eastAsia="Times New Roman"/>
          <w:spacing w:val="-2"/>
          <w:sz w:val="20"/>
          <w:szCs w:val="20"/>
          <w:vertAlign w:val="subscript"/>
        </w:rPr>
        <w:t>2</w:t>
      </w:r>
      <w:r w:rsidRPr="00B77BD6">
        <w:rPr>
          <w:rFonts w:eastAsia="Times New Roman"/>
          <w:spacing w:val="-2"/>
          <w:sz w:val="20"/>
          <w:szCs w:val="20"/>
        </w:rPr>
        <w:t xml:space="preserve"> concentration will also contribute to higher sequestration rate and reduce the accumulation of CO</w:t>
      </w:r>
      <w:r w:rsidRPr="00B77BD6">
        <w:rPr>
          <w:rFonts w:eastAsia="Times New Roman"/>
          <w:spacing w:val="-2"/>
          <w:sz w:val="20"/>
          <w:szCs w:val="20"/>
          <w:vertAlign w:val="subscript"/>
        </w:rPr>
        <w:t>2</w:t>
      </w:r>
      <w:r w:rsidRPr="00B77BD6">
        <w:rPr>
          <w:rFonts w:eastAsia="Times New Roman"/>
          <w:spacing w:val="-2"/>
          <w:sz w:val="20"/>
          <w:szCs w:val="20"/>
        </w:rPr>
        <w:t xml:space="preserve"> in the initial phase.</w:t>
      </w:r>
    </w:p>
    <w:p w:rsidR="007724A0" w:rsidRDefault="007724A0" w:rsidP="007724A0">
      <w:pPr>
        <w:spacing w:after="0" w:line="240" w:lineRule="auto"/>
        <w:jc w:val="both"/>
        <w:rPr>
          <w:rFonts w:ascii="Times New Roman" w:hAnsi="Times New Roman"/>
          <w:sz w:val="20"/>
          <w:szCs w:val="20"/>
        </w:rPr>
      </w:pPr>
    </w:p>
    <w:p w:rsidR="00B77BD6" w:rsidRPr="00B77BD6" w:rsidRDefault="00B77BD6" w:rsidP="00B77BD6">
      <w:pPr>
        <w:spacing w:after="0" w:line="240" w:lineRule="auto"/>
        <w:jc w:val="both"/>
        <w:rPr>
          <w:rFonts w:ascii="Times New Roman" w:hAnsi="Times New Roman"/>
          <w:sz w:val="20"/>
          <w:szCs w:val="20"/>
        </w:rPr>
      </w:pPr>
      <w:r w:rsidRPr="00B77BD6">
        <w:rPr>
          <w:rFonts w:ascii="Times New Roman" w:hAnsi="Times New Roman"/>
          <w:sz w:val="20"/>
          <w:szCs w:val="20"/>
        </w:rPr>
        <w:t>The spike reduction with time of cultivation has shown that microalgae has the potential that can be tapped to produced biomass even with higher CO</w:t>
      </w:r>
      <w:r w:rsidRPr="00B77BD6">
        <w:rPr>
          <w:rFonts w:ascii="Times New Roman" w:hAnsi="Times New Roman"/>
          <w:sz w:val="20"/>
          <w:szCs w:val="20"/>
          <w:vertAlign w:val="subscript"/>
        </w:rPr>
        <w:t>2</w:t>
      </w:r>
      <w:r w:rsidRPr="00B77BD6">
        <w:rPr>
          <w:rFonts w:ascii="Times New Roman" w:hAnsi="Times New Roman"/>
          <w:sz w:val="20"/>
          <w:szCs w:val="20"/>
        </w:rPr>
        <w:t xml:space="preserve"> concentration compare to the ambient air and this biomass later can be utilized in other product that can contribute to more capital as the world moving forward for the generating waste from the wealth. Thus, the isolated </w:t>
      </w:r>
      <w:r w:rsidRPr="00B77BD6">
        <w:rPr>
          <w:rFonts w:ascii="Times New Roman" w:hAnsi="Times New Roman"/>
          <w:i/>
          <w:sz w:val="20"/>
          <w:szCs w:val="20"/>
        </w:rPr>
        <w:t>Chlorella</w:t>
      </w:r>
      <w:r w:rsidRPr="00B77BD6">
        <w:rPr>
          <w:rFonts w:ascii="Times New Roman" w:hAnsi="Times New Roman"/>
          <w:sz w:val="20"/>
          <w:szCs w:val="20"/>
        </w:rPr>
        <w:t xml:space="preserve"> sp. showed significant result in CCS by converting the CO</w:t>
      </w:r>
      <w:r w:rsidRPr="00B77BD6">
        <w:rPr>
          <w:rFonts w:ascii="Times New Roman" w:hAnsi="Times New Roman"/>
          <w:sz w:val="20"/>
          <w:szCs w:val="20"/>
          <w:vertAlign w:val="subscript"/>
        </w:rPr>
        <w:t>2</w:t>
      </w:r>
      <w:r w:rsidRPr="00B77BD6">
        <w:rPr>
          <w:rFonts w:ascii="Times New Roman" w:hAnsi="Times New Roman"/>
          <w:sz w:val="20"/>
          <w:szCs w:val="20"/>
        </w:rPr>
        <w:t xml:space="preserve"> supplied into the biomass form.</w:t>
      </w:r>
    </w:p>
    <w:p w:rsidR="006768E9" w:rsidRPr="00F447A7" w:rsidRDefault="006768E9" w:rsidP="00B77BD6">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7724A0" w:rsidRPr="007724A0" w:rsidRDefault="007724A0" w:rsidP="007724A0">
      <w:pPr>
        <w:spacing w:after="0" w:line="240" w:lineRule="auto"/>
        <w:jc w:val="both"/>
        <w:rPr>
          <w:rFonts w:ascii="Times New Roman" w:hAnsi="Times New Roman"/>
          <w:sz w:val="20"/>
          <w:szCs w:val="20"/>
        </w:rPr>
      </w:pPr>
      <w:r w:rsidRPr="007724A0">
        <w:rPr>
          <w:rFonts w:ascii="Times New Roman" w:hAnsi="Times New Roman"/>
          <w:sz w:val="20"/>
          <w:szCs w:val="20"/>
        </w:rPr>
        <w:t xml:space="preserve">Chlorella sp. has been isolated from the native environment of Stesen Janakuasa Sultan Azlan Shah. Through morphological and molecular identification it has been confirmed that isolated strain is Chlorella sp. which has similar sequenced to </w:t>
      </w:r>
      <w:r w:rsidRPr="007724A0">
        <w:rPr>
          <w:rFonts w:ascii="Times New Roman" w:hAnsi="Times New Roman"/>
          <w:i/>
          <w:sz w:val="20"/>
          <w:szCs w:val="20"/>
        </w:rPr>
        <w:t>Chlorella sorokinia</w:t>
      </w:r>
      <w:r w:rsidRPr="007724A0">
        <w:rPr>
          <w:rFonts w:ascii="Times New Roman" w:hAnsi="Times New Roman"/>
          <w:sz w:val="20"/>
          <w:szCs w:val="20"/>
        </w:rPr>
        <w:t xml:space="preserve"> from SAG 211-18. Isolated </w:t>
      </w:r>
      <w:r w:rsidRPr="007724A0">
        <w:rPr>
          <w:rFonts w:ascii="Times New Roman" w:hAnsi="Times New Roman"/>
          <w:i/>
          <w:sz w:val="20"/>
          <w:szCs w:val="20"/>
        </w:rPr>
        <w:t>Chlorella</w:t>
      </w:r>
      <w:r w:rsidRPr="007724A0">
        <w:rPr>
          <w:rFonts w:ascii="Times New Roman" w:hAnsi="Times New Roman"/>
          <w:sz w:val="20"/>
          <w:szCs w:val="20"/>
        </w:rPr>
        <w:t xml:space="preserve"> sp. also showed that for higher growth it more favor the TNBR medium by achieving higher µmax value compare to the F/2 medium. At higher CO</w:t>
      </w:r>
      <w:r w:rsidRPr="007724A0">
        <w:rPr>
          <w:rFonts w:ascii="Times New Roman" w:hAnsi="Times New Roman"/>
          <w:sz w:val="20"/>
          <w:szCs w:val="20"/>
          <w:vertAlign w:val="subscript"/>
        </w:rPr>
        <w:t>2</w:t>
      </w:r>
      <w:r w:rsidRPr="007724A0">
        <w:rPr>
          <w:rFonts w:ascii="Times New Roman" w:hAnsi="Times New Roman"/>
          <w:sz w:val="20"/>
          <w:szCs w:val="20"/>
        </w:rPr>
        <w:t xml:space="preserve"> percentage, isolated Chlorella sp. showed that it has potential in reducing the CO</w:t>
      </w:r>
      <w:r w:rsidRPr="007724A0">
        <w:rPr>
          <w:rFonts w:ascii="Times New Roman" w:hAnsi="Times New Roman"/>
          <w:sz w:val="20"/>
          <w:szCs w:val="20"/>
          <w:vertAlign w:val="subscript"/>
        </w:rPr>
        <w:t>2</w:t>
      </w:r>
      <w:r w:rsidRPr="007724A0">
        <w:rPr>
          <w:rFonts w:ascii="Times New Roman" w:hAnsi="Times New Roman"/>
          <w:sz w:val="20"/>
          <w:szCs w:val="20"/>
        </w:rPr>
        <w:t xml:space="preserve"> while still survive and accumulate the biomass. Therefore, isolated Chlorella sp. can be used and explored more on its CO</w:t>
      </w:r>
      <w:r w:rsidRPr="007724A0">
        <w:rPr>
          <w:rFonts w:ascii="Times New Roman" w:hAnsi="Times New Roman"/>
          <w:sz w:val="20"/>
          <w:szCs w:val="20"/>
          <w:vertAlign w:val="subscript"/>
        </w:rPr>
        <w:t xml:space="preserve">2 </w:t>
      </w:r>
      <w:r w:rsidRPr="007724A0">
        <w:rPr>
          <w:rFonts w:ascii="Times New Roman" w:hAnsi="Times New Roman"/>
          <w:sz w:val="20"/>
          <w:szCs w:val="20"/>
        </w:rPr>
        <w:t>tolerance at higher CO</w:t>
      </w:r>
      <w:r w:rsidRPr="007724A0">
        <w:rPr>
          <w:rFonts w:ascii="Times New Roman" w:hAnsi="Times New Roman"/>
          <w:sz w:val="20"/>
          <w:szCs w:val="20"/>
          <w:vertAlign w:val="subscript"/>
        </w:rPr>
        <w:t>2</w:t>
      </w:r>
      <w:r w:rsidRPr="007724A0">
        <w:rPr>
          <w:rFonts w:ascii="Times New Roman" w:hAnsi="Times New Roman"/>
          <w:sz w:val="20"/>
          <w:szCs w:val="20"/>
        </w:rPr>
        <w:t xml:space="preserve"> concentration and can be utilized to biofixation of CO</w:t>
      </w:r>
      <w:r w:rsidRPr="007724A0">
        <w:rPr>
          <w:rFonts w:ascii="Times New Roman" w:hAnsi="Times New Roman"/>
          <w:sz w:val="20"/>
          <w:szCs w:val="20"/>
          <w:vertAlign w:val="subscript"/>
        </w:rPr>
        <w:t xml:space="preserve">2 </w:t>
      </w:r>
      <w:r w:rsidRPr="007724A0">
        <w:rPr>
          <w:rFonts w:ascii="Times New Roman" w:hAnsi="Times New Roman"/>
          <w:sz w:val="20"/>
          <w:szCs w:val="20"/>
        </w:rPr>
        <w:t xml:space="preserve">from coal-fired power plant, which contributes to a reduction in global warming. </w:t>
      </w:r>
    </w:p>
    <w:p w:rsidR="007724A0" w:rsidRPr="007724A0" w:rsidRDefault="007724A0" w:rsidP="007724A0">
      <w:pPr>
        <w:spacing w:after="0" w:line="240" w:lineRule="auto"/>
        <w:jc w:val="center"/>
        <w:outlineLvl w:val="0"/>
        <w:rPr>
          <w:rFonts w:ascii="Times New Roman" w:hAnsi="Times New Roman"/>
          <w:spacing w:val="-2"/>
          <w:sz w:val="20"/>
          <w:szCs w:val="20"/>
          <w:lang w:val="en-GB"/>
        </w:rPr>
      </w:pPr>
    </w:p>
    <w:p w:rsidR="007724A0" w:rsidRPr="007724A0" w:rsidRDefault="007724A0" w:rsidP="007724A0">
      <w:pPr>
        <w:spacing w:after="0" w:line="240" w:lineRule="auto"/>
        <w:jc w:val="center"/>
        <w:outlineLvl w:val="0"/>
        <w:rPr>
          <w:rFonts w:ascii="Times New Roman" w:hAnsi="Times New Roman"/>
          <w:b/>
          <w:sz w:val="20"/>
          <w:szCs w:val="20"/>
        </w:rPr>
      </w:pPr>
      <w:r w:rsidRPr="007724A0">
        <w:rPr>
          <w:rFonts w:ascii="Times New Roman" w:hAnsi="Times New Roman"/>
          <w:b/>
          <w:sz w:val="20"/>
          <w:szCs w:val="20"/>
        </w:rPr>
        <w:t>Acknowledgement</w:t>
      </w:r>
    </w:p>
    <w:p w:rsidR="006768E9" w:rsidRPr="007724A0" w:rsidRDefault="007724A0" w:rsidP="007724A0">
      <w:pPr>
        <w:spacing w:after="0" w:line="240" w:lineRule="auto"/>
        <w:jc w:val="both"/>
        <w:rPr>
          <w:rFonts w:ascii="Times New Roman" w:hAnsi="Times New Roman"/>
          <w:spacing w:val="-2"/>
          <w:sz w:val="20"/>
          <w:szCs w:val="20"/>
          <w:lang w:val="en-MY" w:eastAsia="en-MY"/>
        </w:rPr>
      </w:pPr>
      <w:r w:rsidRPr="007724A0">
        <w:rPr>
          <w:rFonts w:ascii="Times New Roman" w:hAnsi="Times New Roman"/>
          <w:spacing w:val="-2"/>
          <w:sz w:val="20"/>
          <w:szCs w:val="20"/>
          <w:lang w:val="en-MY" w:eastAsia="en-MY"/>
        </w:rPr>
        <w:t>The authors would like to acknowledge and thank TNB Research Technical Board Committee for approving a seed fund no. TNBR/SF0157/2014 and UKM in supporting the research financially and educationally between 2014 and 2015. Also appreciating the Management of TNB Janamanjung Sdn. Bhd. for their co-operation and support.</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7724A0" w:rsidRDefault="007724A0" w:rsidP="007724A0">
      <w:pPr>
        <w:pStyle w:val="ListParagraph"/>
        <w:numPr>
          <w:ilvl w:val="0"/>
          <w:numId w:val="3"/>
        </w:numPr>
        <w:adjustRightInd w:val="0"/>
        <w:spacing w:after="0" w:line="240" w:lineRule="auto"/>
        <w:ind w:left="360"/>
        <w:jc w:val="both"/>
        <w:rPr>
          <w:rFonts w:ascii="Times New Roman" w:hAnsi="Times New Roman"/>
          <w:noProof/>
          <w:sz w:val="20"/>
          <w:szCs w:val="20"/>
        </w:rPr>
      </w:pPr>
      <w:r w:rsidRPr="00325D8C">
        <w:rPr>
          <w:rFonts w:ascii="Times New Roman" w:hAnsi="Times New Roman"/>
          <w:sz w:val="20"/>
          <w:szCs w:val="20"/>
        </w:rPr>
        <w:fldChar w:fldCharType="begin" w:fldLock="1"/>
      </w:r>
      <w:r w:rsidRPr="007724A0">
        <w:rPr>
          <w:rFonts w:ascii="Times New Roman" w:hAnsi="Times New Roman"/>
          <w:sz w:val="20"/>
          <w:szCs w:val="20"/>
        </w:rPr>
        <w:instrText xml:space="preserve">ADDIN Mendeley Bibliography CSL_BIBLIOGRAPHY </w:instrText>
      </w:r>
      <w:r w:rsidRPr="00325D8C">
        <w:rPr>
          <w:rFonts w:ascii="Times New Roman" w:hAnsi="Times New Roman"/>
          <w:sz w:val="20"/>
          <w:szCs w:val="20"/>
        </w:rPr>
        <w:fldChar w:fldCharType="separate"/>
      </w:r>
      <w:r w:rsidRPr="007724A0">
        <w:rPr>
          <w:rFonts w:ascii="Times New Roman" w:hAnsi="Times New Roman"/>
          <w:noProof/>
          <w:sz w:val="20"/>
          <w:szCs w:val="20"/>
        </w:rPr>
        <w:t xml:space="preserve">Certik, M. and Shimizu S. (1999). Biosynthesis and regulation of microbial polyunsaturated fatty acid production. </w:t>
      </w:r>
      <w:r w:rsidRPr="007724A0">
        <w:rPr>
          <w:rFonts w:ascii="Times New Roman" w:hAnsi="Times New Roman"/>
          <w:i/>
          <w:iCs/>
          <w:noProof/>
          <w:sz w:val="20"/>
          <w:szCs w:val="20"/>
        </w:rPr>
        <w:t>Journal of Bioscience and Bioengineering</w:t>
      </w:r>
      <w:r w:rsidRPr="007724A0">
        <w:rPr>
          <w:rFonts w:ascii="Times New Roman" w:hAnsi="Times New Roman"/>
          <w:noProof/>
          <w:sz w:val="20"/>
          <w:szCs w:val="20"/>
        </w:rPr>
        <w:t xml:space="preserve">, 87(1): 1 - 14. </w:t>
      </w:r>
    </w:p>
    <w:p w:rsidR="007724A0" w:rsidRDefault="007724A0" w:rsidP="007724A0">
      <w:pPr>
        <w:pStyle w:val="ListParagraph"/>
        <w:numPr>
          <w:ilvl w:val="0"/>
          <w:numId w:val="3"/>
        </w:numPr>
        <w:adjustRightInd w:val="0"/>
        <w:spacing w:after="0" w:line="240" w:lineRule="auto"/>
        <w:ind w:left="360"/>
        <w:jc w:val="both"/>
        <w:rPr>
          <w:rFonts w:ascii="Times New Roman" w:hAnsi="Times New Roman"/>
          <w:noProof/>
          <w:sz w:val="20"/>
          <w:szCs w:val="20"/>
        </w:rPr>
      </w:pPr>
      <w:r w:rsidRPr="007724A0">
        <w:rPr>
          <w:rFonts w:ascii="Times New Roman" w:hAnsi="Times New Roman"/>
          <w:noProof/>
          <w:sz w:val="20"/>
          <w:szCs w:val="20"/>
        </w:rPr>
        <w:t xml:space="preserve">Hama, S. and Kondo, A. (2012). Enzymatic biodiesel production: An overview of potential feedstocks and process development. </w:t>
      </w:r>
      <w:r w:rsidRPr="007724A0">
        <w:rPr>
          <w:rFonts w:ascii="Times New Roman" w:hAnsi="Times New Roman"/>
          <w:i/>
          <w:iCs/>
          <w:noProof/>
          <w:sz w:val="20"/>
          <w:szCs w:val="20"/>
        </w:rPr>
        <w:t>Bioresource Technol</w:t>
      </w:r>
      <w:r w:rsidRPr="007724A0">
        <w:rPr>
          <w:rFonts w:ascii="Times New Roman" w:hAnsi="Times New Roman"/>
          <w:i/>
          <w:noProof/>
          <w:sz w:val="20"/>
          <w:szCs w:val="20"/>
        </w:rPr>
        <w:t>ogy</w:t>
      </w:r>
      <w:r w:rsidRPr="007724A0">
        <w:rPr>
          <w:rFonts w:ascii="Times New Roman" w:hAnsi="Times New Roman"/>
          <w:noProof/>
          <w:sz w:val="20"/>
          <w:szCs w:val="20"/>
        </w:rPr>
        <w:t xml:space="preserve">, 135: 386 - 395. </w:t>
      </w:r>
    </w:p>
    <w:p w:rsidR="007724A0" w:rsidRDefault="007724A0" w:rsidP="007724A0">
      <w:pPr>
        <w:pStyle w:val="ListParagraph"/>
        <w:numPr>
          <w:ilvl w:val="0"/>
          <w:numId w:val="3"/>
        </w:numPr>
        <w:adjustRightInd w:val="0"/>
        <w:spacing w:after="0" w:line="240" w:lineRule="auto"/>
        <w:ind w:left="360"/>
        <w:jc w:val="both"/>
        <w:rPr>
          <w:rFonts w:ascii="Times New Roman" w:hAnsi="Times New Roman"/>
          <w:noProof/>
          <w:sz w:val="20"/>
          <w:szCs w:val="20"/>
        </w:rPr>
      </w:pPr>
      <w:r w:rsidRPr="007724A0">
        <w:rPr>
          <w:rFonts w:ascii="Times New Roman" w:hAnsi="Times New Roman"/>
          <w:noProof/>
          <w:sz w:val="20"/>
          <w:szCs w:val="20"/>
        </w:rPr>
        <w:t xml:space="preserve">Fujii, K. (2012). Process integration of supercritical carbon dioxide extraction and acid treatment for astaxanthin extraction from a vegetative microalga. </w:t>
      </w:r>
      <w:r w:rsidRPr="007724A0">
        <w:rPr>
          <w:rFonts w:ascii="Times New Roman" w:hAnsi="Times New Roman"/>
          <w:i/>
          <w:iCs/>
          <w:noProof/>
          <w:sz w:val="20"/>
          <w:szCs w:val="20"/>
        </w:rPr>
        <w:t>Food Bioproducts Processing</w:t>
      </w:r>
      <w:r w:rsidRPr="007724A0">
        <w:rPr>
          <w:rFonts w:ascii="Times New Roman" w:hAnsi="Times New Roman"/>
          <w:noProof/>
          <w:sz w:val="20"/>
          <w:szCs w:val="20"/>
        </w:rPr>
        <w:t xml:space="preserve">, 90(4): 762 - 766. </w:t>
      </w:r>
    </w:p>
    <w:p w:rsidR="007724A0" w:rsidRDefault="007724A0" w:rsidP="007724A0">
      <w:pPr>
        <w:pStyle w:val="ListParagraph"/>
        <w:numPr>
          <w:ilvl w:val="0"/>
          <w:numId w:val="3"/>
        </w:numPr>
        <w:adjustRightInd w:val="0"/>
        <w:spacing w:after="0" w:line="240" w:lineRule="auto"/>
        <w:ind w:left="360"/>
        <w:jc w:val="both"/>
        <w:rPr>
          <w:rFonts w:ascii="Times New Roman" w:hAnsi="Times New Roman"/>
          <w:noProof/>
          <w:sz w:val="20"/>
          <w:szCs w:val="20"/>
        </w:rPr>
      </w:pPr>
      <w:r w:rsidRPr="007724A0">
        <w:rPr>
          <w:rFonts w:ascii="Times New Roman" w:hAnsi="Times New Roman"/>
          <w:noProof/>
          <w:sz w:val="20"/>
          <w:szCs w:val="20"/>
        </w:rPr>
        <w:t xml:space="preserve">Kao, C.Y., Chiu, S. Y., Huang, T. T., Dai, L., Wang, G. H, Tseng, C. P., Chen, C. H. and Lin, C. S. (2012).  A mutant strain of microalga Chlorella sp. for the carbon dioxide capture from biogas. </w:t>
      </w:r>
      <w:r w:rsidRPr="007724A0">
        <w:rPr>
          <w:rFonts w:ascii="Times New Roman" w:hAnsi="Times New Roman"/>
          <w:i/>
          <w:iCs/>
          <w:noProof/>
          <w:sz w:val="20"/>
          <w:szCs w:val="20"/>
        </w:rPr>
        <w:t>Biomass and Bioenergy</w:t>
      </w:r>
      <w:r w:rsidRPr="007724A0">
        <w:rPr>
          <w:rFonts w:ascii="Times New Roman" w:hAnsi="Times New Roman"/>
          <w:noProof/>
          <w:sz w:val="20"/>
          <w:szCs w:val="20"/>
        </w:rPr>
        <w:t xml:space="preserve">, 36: 132 - 140. </w:t>
      </w:r>
    </w:p>
    <w:p w:rsidR="007724A0" w:rsidRDefault="007724A0" w:rsidP="007724A0">
      <w:pPr>
        <w:pStyle w:val="ListParagraph"/>
        <w:numPr>
          <w:ilvl w:val="0"/>
          <w:numId w:val="3"/>
        </w:numPr>
        <w:adjustRightInd w:val="0"/>
        <w:spacing w:after="0" w:line="240" w:lineRule="auto"/>
        <w:ind w:left="360"/>
        <w:jc w:val="both"/>
        <w:rPr>
          <w:rFonts w:ascii="Times New Roman" w:hAnsi="Times New Roman"/>
          <w:noProof/>
          <w:sz w:val="20"/>
          <w:szCs w:val="20"/>
        </w:rPr>
      </w:pPr>
      <w:r w:rsidRPr="007724A0">
        <w:rPr>
          <w:rFonts w:ascii="Times New Roman" w:hAnsi="Times New Roman"/>
          <w:noProof/>
          <w:sz w:val="20"/>
          <w:szCs w:val="20"/>
        </w:rPr>
        <w:t xml:space="preserve">Liang, Y., Sarkany, N. and Cui, Y. (2009). Biomass and lipid productivities of Chlorella vulgaris under autotrophic, heterotrophic and mixotrophic growth conditions. </w:t>
      </w:r>
      <w:r w:rsidRPr="007724A0">
        <w:rPr>
          <w:rFonts w:ascii="Times New Roman" w:hAnsi="Times New Roman"/>
          <w:i/>
          <w:iCs/>
          <w:noProof/>
          <w:sz w:val="20"/>
          <w:szCs w:val="20"/>
        </w:rPr>
        <w:t>Biotechnology Lett</w:t>
      </w:r>
      <w:r w:rsidRPr="007724A0">
        <w:rPr>
          <w:rFonts w:ascii="Times New Roman" w:hAnsi="Times New Roman"/>
          <w:i/>
          <w:noProof/>
          <w:sz w:val="20"/>
          <w:szCs w:val="20"/>
        </w:rPr>
        <w:t>ers,</w:t>
      </w:r>
      <w:r w:rsidRPr="007724A0">
        <w:rPr>
          <w:rFonts w:ascii="Times New Roman" w:hAnsi="Times New Roman"/>
          <w:noProof/>
          <w:sz w:val="20"/>
          <w:szCs w:val="20"/>
        </w:rPr>
        <w:t xml:space="preserve"> 31(7): 1043 -1049. </w:t>
      </w:r>
    </w:p>
    <w:p w:rsidR="007724A0" w:rsidRDefault="007724A0" w:rsidP="007724A0">
      <w:pPr>
        <w:pStyle w:val="ListParagraph"/>
        <w:numPr>
          <w:ilvl w:val="0"/>
          <w:numId w:val="3"/>
        </w:numPr>
        <w:adjustRightInd w:val="0"/>
        <w:spacing w:after="0" w:line="240" w:lineRule="auto"/>
        <w:ind w:left="360"/>
        <w:jc w:val="both"/>
        <w:rPr>
          <w:rFonts w:ascii="Times New Roman" w:hAnsi="Times New Roman"/>
          <w:noProof/>
          <w:sz w:val="20"/>
          <w:szCs w:val="20"/>
        </w:rPr>
      </w:pPr>
      <w:r w:rsidRPr="007724A0">
        <w:rPr>
          <w:rFonts w:ascii="Times New Roman" w:hAnsi="Times New Roman"/>
          <w:noProof/>
          <w:sz w:val="20"/>
          <w:szCs w:val="20"/>
        </w:rPr>
        <w:t xml:space="preserve">Perez-Garcia O, Escalante F. M. E., De-Bashan L. E. and Bashan Y. (2011). Heterotrophic cultures of microalgae: Metabolism and potential products. </w:t>
      </w:r>
      <w:r w:rsidRPr="007724A0">
        <w:rPr>
          <w:rFonts w:ascii="Times New Roman" w:hAnsi="Times New Roman"/>
          <w:i/>
          <w:iCs/>
          <w:noProof/>
          <w:sz w:val="20"/>
          <w:szCs w:val="20"/>
        </w:rPr>
        <w:t>Water Res</w:t>
      </w:r>
      <w:r w:rsidRPr="007724A0">
        <w:rPr>
          <w:rFonts w:ascii="Times New Roman" w:hAnsi="Times New Roman"/>
          <w:noProof/>
          <w:sz w:val="20"/>
          <w:szCs w:val="20"/>
        </w:rPr>
        <w:t>e</w:t>
      </w:r>
      <w:r w:rsidRPr="007724A0">
        <w:rPr>
          <w:rFonts w:ascii="Times New Roman" w:hAnsi="Times New Roman"/>
          <w:i/>
          <w:noProof/>
          <w:sz w:val="20"/>
          <w:szCs w:val="20"/>
        </w:rPr>
        <w:t xml:space="preserve">arch, </w:t>
      </w:r>
      <w:r w:rsidRPr="007724A0">
        <w:rPr>
          <w:rFonts w:ascii="Times New Roman" w:hAnsi="Times New Roman"/>
          <w:noProof/>
          <w:sz w:val="20"/>
          <w:szCs w:val="20"/>
        </w:rPr>
        <w:t>45: 11 - 36.</w:t>
      </w:r>
    </w:p>
    <w:p w:rsidR="007724A0" w:rsidRDefault="007724A0" w:rsidP="007724A0">
      <w:pPr>
        <w:pStyle w:val="ListParagraph"/>
        <w:numPr>
          <w:ilvl w:val="0"/>
          <w:numId w:val="3"/>
        </w:numPr>
        <w:adjustRightInd w:val="0"/>
        <w:spacing w:after="0" w:line="240" w:lineRule="auto"/>
        <w:ind w:left="360"/>
        <w:jc w:val="both"/>
        <w:rPr>
          <w:rFonts w:ascii="Times New Roman" w:hAnsi="Times New Roman"/>
          <w:noProof/>
          <w:sz w:val="20"/>
          <w:szCs w:val="20"/>
        </w:rPr>
      </w:pPr>
      <w:r w:rsidRPr="007724A0">
        <w:rPr>
          <w:rFonts w:ascii="Times New Roman" w:hAnsi="Times New Roman"/>
          <w:noProof/>
          <w:sz w:val="20"/>
          <w:szCs w:val="20"/>
        </w:rPr>
        <w:t xml:space="preserve">EL-Sheekh, M. M., Bedaiwy, M. Y., Osman M. E. and Ismail, M. M. (2012). Mixotrophic and heterotrophic growth of some microalgae using extract of fungal-treated wheat bran. </w:t>
      </w:r>
      <w:r w:rsidRPr="007724A0">
        <w:rPr>
          <w:rFonts w:ascii="Times New Roman" w:hAnsi="Times New Roman"/>
          <w:i/>
          <w:iCs/>
          <w:noProof/>
          <w:sz w:val="20"/>
          <w:szCs w:val="20"/>
        </w:rPr>
        <w:t>International Journal of Recycling Organic Waste in Agriculture</w:t>
      </w:r>
      <w:r w:rsidRPr="007724A0">
        <w:rPr>
          <w:rFonts w:ascii="Times New Roman" w:hAnsi="Times New Roman"/>
          <w:noProof/>
          <w:sz w:val="20"/>
          <w:szCs w:val="20"/>
        </w:rPr>
        <w:t xml:space="preserve">, 1(1): 1 - 9. </w:t>
      </w:r>
    </w:p>
    <w:p w:rsidR="007724A0" w:rsidRDefault="007724A0" w:rsidP="007724A0">
      <w:pPr>
        <w:pStyle w:val="ListParagraph"/>
        <w:numPr>
          <w:ilvl w:val="0"/>
          <w:numId w:val="3"/>
        </w:numPr>
        <w:adjustRightInd w:val="0"/>
        <w:spacing w:after="0" w:line="240" w:lineRule="auto"/>
        <w:ind w:left="360"/>
        <w:jc w:val="both"/>
        <w:rPr>
          <w:rFonts w:ascii="Times New Roman" w:hAnsi="Times New Roman"/>
          <w:noProof/>
          <w:sz w:val="20"/>
          <w:szCs w:val="20"/>
        </w:rPr>
      </w:pPr>
      <w:r w:rsidRPr="007724A0">
        <w:rPr>
          <w:rFonts w:ascii="Times New Roman" w:hAnsi="Times New Roman"/>
          <w:noProof/>
          <w:sz w:val="20"/>
          <w:szCs w:val="20"/>
        </w:rPr>
        <w:t xml:space="preserve">Wensel, P., Helms, G., Hiscox, B., Bavis, W. C., Kirchoff, H., Bule, M., Yu, L. and Chen S. (2014). Isolation, characterization, and validation of oleaginous, multi-trophic, and haloalkaline-tolerant microalgae for two-stage cultivation. </w:t>
      </w:r>
      <w:r w:rsidRPr="007724A0">
        <w:rPr>
          <w:rFonts w:ascii="Times New Roman" w:hAnsi="Times New Roman"/>
          <w:i/>
          <w:iCs/>
          <w:noProof/>
          <w:sz w:val="20"/>
          <w:szCs w:val="20"/>
        </w:rPr>
        <w:t>Algal Research</w:t>
      </w:r>
      <w:r w:rsidRPr="007724A0">
        <w:rPr>
          <w:rFonts w:ascii="Times New Roman" w:hAnsi="Times New Roman"/>
          <w:noProof/>
          <w:sz w:val="20"/>
          <w:szCs w:val="20"/>
        </w:rPr>
        <w:t xml:space="preserve">, 4: 2 - 11. </w:t>
      </w:r>
    </w:p>
    <w:p w:rsidR="007724A0" w:rsidRDefault="007724A0" w:rsidP="007724A0">
      <w:pPr>
        <w:pStyle w:val="ListParagraph"/>
        <w:numPr>
          <w:ilvl w:val="0"/>
          <w:numId w:val="3"/>
        </w:numPr>
        <w:adjustRightInd w:val="0"/>
        <w:spacing w:after="0" w:line="240" w:lineRule="auto"/>
        <w:ind w:left="360"/>
        <w:jc w:val="both"/>
        <w:rPr>
          <w:rFonts w:ascii="Times New Roman" w:hAnsi="Times New Roman"/>
          <w:noProof/>
          <w:sz w:val="20"/>
          <w:szCs w:val="20"/>
        </w:rPr>
      </w:pPr>
      <w:r w:rsidRPr="007724A0">
        <w:rPr>
          <w:rFonts w:ascii="Times New Roman" w:hAnsi="Times New Roman"/>
          <w:noProof/>
          <w:sz w:val="20"/>
          <w:szCs w:val="20"/>
        </w:rPr>
        <w:t xml:space="preserve">Pires, J. C. M., Alvim-Ferraz, M. C. M., Martins, F. G. and Simões M. (2012). Carbon dioxide capture from flue gases using microalgae: Engineering aspects and biorefinery concept. </w:t>
      </w:r>
      <w:r w:rsidRPr="007724A0">
        <w:rPr>
          <w:rFonts w:ascii="Times New Roman" w:hAnsi="Times New Roman"/>
          <w:i/>
          <w:iCs/>
          <w:noProof/>
          <w:sz w:val="20"/>
          <w:szCs w:val="20"/>
        </w:rPr>
        <w:t>Renewable and Sustainable Energy Rev</w:t>
      </w:r>
      <w:r w:rsidRPr="007724A0">
        <w:rPr>
          <w:rFonts w:ascii="Times New Roman" w:hAnsi="Times New Roman"/>
          <w:i/>
          <w:noProof/>
          <w:sz w:val="20"/>
          <w:szCs w:val="20"/>
        </w:rPr>
        <w:t>iews</w:t>
      </w:r>
      <w:r w:rsidRPr="007724A0">
        <w:rPr>
          <w:rFonts w:ascii="Times New Roman" w:hAnsi="Times New Roman"/>
          <w:noProof/>
          <w:sz w:val="20"/>
          <w:szCs w:val="20"/>
        </w:rPr>
        <w:t>, 16(5): 3043 - 3053.</w:t>
      </w:r>
    </w:p>
    <w:p w:rsidR="00325D8C" w:rsidRDefault="007724A0" w:rsidP="00325D8C">
      <w:pPr>
        <w:pStyle w:val="ListParagraph"/>
        <w:numPr>
          <w:ilvl w:val="0"/>
          <w:numId w:val="3"/>
        </w:numPr>
        <w:adjustRightInd w:val="0"/>
        <w:spacing w:after="0" w:line="240" w:lineRule="auto"/>
        <w:ind w:left="360"/>
        <w:jc w:val="both"/>
        <w:rPr>
          <w:rFonts w:ascii="Times New Roman" w:hAnsi="Times New Roman"/>
          <w:noProof/>
          <w:sz w:val="20"/>
          <w:szCs w:val="20"/>
        </w:rPr>
      </w:pPr>
      <w:r w:rsidRPr="007724A0">
        <w:rPr>
          <w:rFonts w:ascii="Times New Roman" w:hAnsi="Times New Roman"/>
          <w:noProof/>
          <w:sz w:val="20"/>
          <w:szCs w:val="20"/>
        </w:rPr>
        <w:lastRenderedPageBreak/>
        <w:t>Radmann, E. M., Camerini, F. V., Santos, T. D. and Costa, J. A. V. (2011). Isolation and application of SO</w:t>
      </w:r>
      <w:r w:rsidRPr="007724A0">
        <w:rPr>
          <w:rFonts w:ascii="Times New Roman" w:hAnsi="Times New Roman"/>
          <w:noProof/>
          <w:sz w:val="20"/>
          <w:szCs w:val="20"/>
          <w:vertAlign w:val="subscript"/>
        </w:rPr>
        <w:t>X</w:t>
      </w:r>
      <w:r w:rsidRPr="007724A0">
        <w:rPr>
          <w:rFonts w:ascii="Times New Roman" w:hAnsi="Times New Roman"/>
          <w:noProof/>
          <w:sz w:val="20"/>
          <w:szCs w:val="20"/>
        </w:rPr>
        <w:t xml:space="preserve"> and NO</w:t>
      </w:r>
      <w:r w:rsidRPr="007724A0">
        <w:rPr>
          <w:rFonts w:ascii="Times New Roman" w:hAnsi="Times New Roman"/>
          <w:noProof/>
          <w:sz w:val="20"/>
          <w:szCs w:val="20"/>
          <w:vertAlign w:val="subscript"/>
        </w:rPr>
        <w:t>X</w:t>
      </w:r>
      <w:r w:rsidRPr="007724A0">
        <w:rPr>
          <w:rFonts w:ascii="Times New Roman" w:hAnsi="Times New Roman"/>
          <w:noProof/>
          <w:sz w:val="20"/>
          <w:szCs w:val="20"/>
        </w:rPr>
        <w:t xml:space="preserve"> resistant microalgae in biofixation of CO</w:t>
      </w:r>
      <w:r w:rsidRPr="007724A0">
        <w:rPr>
          <w:rFonts w:ascii="Times New Roman" w:hAnsi="Times New Roman"/>
          <w:noProof/>
          <w:sz w:val="20"/>
          <w:szCs w:val="20"/>
          <w:vertAlign w:val="subscript"/>
        </w:rPr>
        <w:t>2</w:t>
      </w:r>
      <w:r w:rsidRPr="007724A0">
        <w:rPr>
          <w:rFonts w:ascii="Times New Roman" w:hAnsi="Times New Roman"/>
          <w:noProof/>
          <w:sz w:val="20"/>
          <w:szCs w:val="20"/>
        </w:rPr>
        <w:t xml:space="preserve"> from thermoelectricity plants. </w:t>
      </w:r>
      <w:r w:rsidRPr="007724A0">
        <w:rPr>
          <w:rFonts w:ascii="Times New Roman" w:hAnsi="Times New Roman"/>
          <w:i/>
          <w:iCs/>
          <w:noProof/>
          <w:sz w:val="20"/>
          <w:szCs w:val="20"/>
        </w:rPr>
        <w:t>Energy Conversion Management</w:t>
      </w:r>
      <w:r w:rsidRPr="007724A0">
        <w:rPr>
          <w:rFonts w:ascii="Times New Roman" w:hAnsi="Times New Roman"/>
          <w:noProof/>
          <w:sz w:val="20"/>
          <w:szCs w:val="20"/>
        </w:rPr>
        <w:t xml:space="preserve">, 52(10): 3132 - 3136. </w:t>
      </w:r>
    </w:p>
    <w:p w:rsidR="00325D8C" w:rsidRDefault="007724A0" w:rsidP="00325D8C">
      <w:pPr>
        <w:pStyle w:val="ListParagraph"/>
        <w:numPr>
          <w:ilvl w:val="0"/>
          <w:numId w:val="3"/>
        </w:numPr>
        <w:adjustRightInd w:val="0"/>
        <w:spacing w:after="0" w:line="240" w:lineRule="auto"/>
        <w:ind w:left="360"/>
        <w:jc w:val="both"/>
        <w:rPr>
          <w:rFonts w:ascii="Times New Roman" w:hAnsi="Times New Roman"/>
          <w:noProof/>
          <w:sz w:val="20"/>
          <w:szCs w:val="20"/>
        </w:rPr>
      </w:pPr>
      <w:r w:rsidRPr="00325D8C">
        <w:rPr>
          <w:rFonts w:ascii="Times New Roman" w:hAnsi="Times New Roman"/>
          <w:noProof/>
          <w:sz w:val="20"/>
          <w:szCs w:val="20"/>
        </w:rPr>
        <w:t xml:space="preserve">de Morais M. G. and Costa J. A. V. (2007). Isolation and selection of microalgae from coal fired thermoelectric power plant for biofixation of carbon dioxide. </w:t>
      </w:r>
      <w:r w:rsidRPr="00325D8C">
        <w:rPr>
          <w:rFonts w:ascii="Times New Roman" w:hAnsi="Times New Roman"/>
          <w:i/>
          <w:iCs/>
          <w:noProof/>
          <w:sz w:val="20"/>
          <w:szCs w:val="20"/>
        </w:rPr>
        <w:t>Energy Conversion Manag</w:t>
      </w:r>
      <w:r w:rsidRPr="00325D8C">
        <w:rPr>
          <w:rFonts w:ascii="Times New Roman" w:hAnsi="Times New Roman"/>
          <w:i/>
          <w:noProof/>
          <w:sz w:val="20"/>
          <w:szCs w:val="20"/>
        </w:rPr>
        <w:t>ement</w:t>
      </w:r>
      <w:r w:rsidRPr="00325D8C">
        <w:rPr>
          <w:rFonts w:ascii="Times New Roman" w:hAnsi="Times New Roman"/>
          <w:noProof/>
          <w:sz w:val="20"/>
          <w:szCs w:val="20"/>
        </w:rPr>
        <w:t xml:space="preserve">, 48(7): 2169 - 2173. </w:t>
      </w:r>
    </w:p>
    <w:p w:rsidR="00325D8C" w:rsidRDefault="007724A0" w:rsidP="00325D8C">
      <w:pPr>
        <w:pStyle w:val="ListParagraph"/>
        <w:numPr>
          <w:ilvl w:val="0"/>
          <w:numId w:val="3"/>
        </w:numPr>
        <w:adjustRightInd w:val="0"/>
        <w:spacing w:after="0" w:line="240" w:lineRule="auto"/>
        <w:ind w:left="360"/>
        <w:jc w:val="both"/>
        <w:rPr>
          <w:rFonts w:ascii="Times New Roman" w:hAnsi="Times New Roman"/>
          <w:noProof/>
          <w:sz w:val="20"/>
          <w:szCs w:val="20"/>
        </w:rPr>
      </w:pPr>
      <w:r w:rsidRPr="00325D8C">
        <w:rPr>
          <w:rFonts w:ascii="Times New Roman" w:hAnsi="Times New Roman"/>
          <w:noProof/>
          <w:sz w:val="20"/>
          <w:szCs w:val="20"/>
        </w:rPr>
        <w:t xml:space="preserve">Malaysia Energy Information Hub (2013). </w:t>
      </w:r>
      <w:r w:rsidRPr="00325D8C">
        <w:rPr>
          <w:rFonts w:ascii="Times New Roman" w:hAnsi="Times New Roman"/>
          <w:iCs/>
          <w:noProof/>
          <w:sz w:val="20"/>
          <w:szCs w:val="20"/>
        </w:rPr>
        <w:t>Primary Energy Supply (Ktoe)</w:t>
      </w:r>
      <w:r w:rsidRPr="00325D8C">
        <w:rPr>
          <w:rFonts w:ascii="Times New Roman" w:hAnsi="Times New Roman"/>
          <w:noProof/>
          <w:sz w:val="20"/>
          <w:szCs w:val="20"/>
        </w:rPr>
        <w:t>. Putrajaya, Malaysia.</w:t>
      </w:r>
    </w:p>
    <w:p w:rsidR="00325D8C" w:rsidRDefault="007724A0" w:rsidP="00325D8C">
      <w:pPr>
        <w:pStyle w:val="ListParagraph"/>
        <w:numPr>
          <w:ilvl w:val="0"/>
          <w:numId w:val="3"/>
        </w:numPr>
        <w:adjustRightInd w:val="0"/>
        <w:spacing w:after="0" w:line="240" w:lineRule="auto"/>
        <w:ind w:left="360"/>
        <w:jc w:val="both"/>
        <w:rPr>
          <w:rFonts w:ascii="Times New Roman" w:hAnsi="Times New Roman"/>
          <w:noProof/>
          <w:sz w:val="20"/>
          <w:szCs w:val="20"/>
        </w:rPr>
      </w:pPr>
      <w:r w:rsidRPr="00325D8C">
        <w:rPr>
          <w:rFonts w:ascii="Times New Roman" w:hAnsi="Times New Roman"/>
          <w:noProof/>
          <w:sz w:val="20"/>
          <w:szCs w:val="20"/>
        </w:rPr>
        <w:t>CO</w:t>
      </w:r>
      <w:r w:rsidRPr="00325D8C">
        <w:rPr>
          <w:rFonts w:ascii="Times New Roman" w:hAnsi="Times New Roman"/>
          <w:noProof/>
          <w:sz w:val="20"/>
          <w:szCs w:val="20"/>
          <w:vertAlign w:val="subscript"/>
        </w:rPr>
        <w:t>2</w:t>
      </w:r>
      <w:r w:rsidRPr="00325D8C">
        <w:rPr>
          <w:rFonts w:ascii="Times New Roman" w:hAnsi="Times New Roman"/>
          <w:noProof/>
          <w:sz w:val="20"/>
          <w:szCs w:val="20"/>
        </w:rPr>
        <w:t>now.org. Earth’s CO</w:t>
      </w:r>
      <w:r w:rsidRPr="00325D8C">
        <w:rPr>
          <w:rFonts w:ascii="Times New Roman" w:hAnsi="Times New Roman"/>
          <w:noProof/>
          <w:sz w:val="20"/>
          <w:szCs w:val="20"/>
          <w:vertAlign w:val="subscript"/>
        </w:rPr>
        <w:t>2</w:t>
      </w:r>
      <w:r w:rsidRPr="00325D8C">
        <w:rPr>
          <w:rFonts w:ascii="Times New Roman" w:hAnsi="Times New Roman"/>
          <w:noProof/>
          <w:sz w:val="20"/>
          <w:szCs w:val="20"/>
        </w:rPr>
        <w:t xml:space="preserve"> home page. Access from http://co2now.org/.</w:t>
      </w:r>
    </w:p>
    <w:p w:rsidR="00325D8C" w:rsidRDefault="007724A0" w:rsidP="00325D8C">
      <w:pPr>
        <w:pStyle w:val="ListParagraph"/>
        <w:numPr>
          <w:ilvl w:val="0"/>
          <w:numId w:val="3"/>
        </w:numPr>
        <w:adjustRightInd w:val="0"/>
        <w:spacing w:after="0" w:line="240" w:lineRule="auto"/>
        <w:ind w:left="360"/>
        <w:jc w:val="both"/>
        <w:rPr>
          <w:rFonts w:ascii="Times New Roman" w:hAnsi="Times New Roman"/>
          <w:noProof/>
          <w:sz w:val="20"/>
          <w:szCs w:val="20"/>
        </w:rPr>
      </w:pPr>
      <w:r w:rsidRPr="00325D8C">
        <w:rPr>
          <w:rFonts w:ascii="Times New Roman" w:hAnsi="Times New Roman"/>
          <w:noProof/>
          <w:sz w:val="20"/>
          <w:szCs w:val="20"/>
        </w:rPr>
        <w:t xml:space="preserve">Tans P., Keeling R. (2015). </w:t>
      </w:r>
      <w:r w:rsidRPr="00325D8C">
        <w:rPr>
          <w:rFonts w:ascii="Times New Roman" w:hAnsi="Times New Roman"/>
          <w:iCs/>
          <w:noProof/>
          <w:sz w:val="20"/>
          <w:szCs w:val="20"/>
        </w:rPr>
        <w:t>Global Greenhouse Gas Reference Network</w:t>
      </w:r>
      <w:r w:rsidRPr="00325D8C">
        <w:rPr>
          <w:rFonts w:ascii="Times New Roman" w:hAnsi="Times New Roman"/>
          <w:noProof/>
          <w:sz w:val="20"/>
          <w:szCs w:val="20"/>
        </w:rPr>
        <w:t>. Mauna Loa http://www.esrl.noaa.gov/</w:t>
      </w:r>
      <w:r w:rsidR="00325D8C">
        <w:rPr>
          <w:rFonts w:ascii="Times New Roman" w:hAnsi="Times New Roman"/>
          <w:noProof/>
          <w:sz w:val="20"/>
          <w:szCs w:val="20"/>
        </w:rPr>
        <w:t xml:space="preserve"> </w:t>
      </w:r>
      <w:r w:rsidRPr="00325D8C">
        <w:rPr>
          <w:rFonts w:ascii="Times New Roman" w:hAnsi="Times New Roman"/>
          <w:noProof/>
          <w:sz w:val="20"/>
          <w:szCs w:val="20"/>
        </w:rPr>
        <w:t>gmd/ccgg/trends/. Accessed online [July 13, 2015].</w:t>
      </w:r>
    </w:p>
    <w:p w:rsidR="00325D8C" w:rsidRDefault="007724A0" w:rsidP="00325D8C">
      <w:pPr>
        <w:pStyle w:val="ListParagraph"/>
        <w:numPr>
          <w:ilvl w:val="0"/>
          <w:numId w:val="3"/>
        </w:numPr>
        <w:adjustRightInd w:val="0"/>
        <w:spacing w:after="0" w:line="240" w:lineRule="auto"/>
        <w:ind w:left="360"/>
        <w:jc w:val="both"/>
        <w:rPr>
          <w:rFonts w:ascii="Times New Roman" w:hAnsi="Times New Roman"/>
          <w:noProof/>
          <w:sz w:val="20"/>
          <w:szCs w:val="20"/>
        </w:rPr>
      </w:pPr>
      <w:r w:rsidRPr="00325D8C">
        <w:rPr>
          <w:rFonts w:ascii="Times New Roman" w:hAnsi="Times New Roman"/>
          <w:noProof/>
          <w:sz w:val="20"/>
          <w:szCs w:val="20"/>
        </w:rPr>
        <w:t xml:space="preserve">Alstom S. A. (2013). </w:t>
      </w:r>
      <w:r w:rsidRPr="00325D8C">
        <w:rPr>
          <w:rFonts w:ascii="Times New Roman" w:hAnsi="Times New Roman"/>
          <w:iCs/>
          <w:noProof/>
          <w:sz w:val="20"/>
          <w:szCs w:val="20"/>
        </w:rPr>
        <w:t>Case Study: Steam Product Solutions. Manjung Unit 4 - Malaysia. Ultra-Supercritical Coal-Fired Power Plant</w:t>
      </w:r>
      <w:r w:rsidRPr="00325D8C">
        <w:rPr>
          <w:rFonts w:ascii="Times New Roman" w:hAnsi="Times New Roman"/>
          <w:noProof/>
          <w:sz w:val="20"/>
          <w:szCs w:val="20"/>
        </w:rPr>
        <w:t>. Baden, Switzerland.</w:t>
      </w:r>
    </w:p>
    <w:p w:rsidR="00325D8C" w:rsidRDefault="007724A0" w:rsidP="00325D8C">
      <w:pPr>
        <w:pStyle w:val="ListParagraph"/>
        <w:numPr>
          <w:ilvl w:val="0"/>
          <w:numId w:val="3"/>
        </w:numPr>
        <w:adjustRightInd w:val="0"/>
        <w:spacing w:after="0" w:line="240" w:lineRule="auto"/>
        <w:ind w:left="360"/>
        <w:jc w:val="both"/>
        <w:rPr>
          <w:rFonts w:ascii="Times New Roman" w:hAnsi="Times New Roman"/>
          <w:noProof/>
          <w:sz w:val="20"/>
          <w:szCs w:val="20"/>
        </w:rPr>
      </w:pPr>
      <w:r w:rsidRPr="00325D8C">
        <w:rPr>
          <w:rFonts w:ascii="Times New Roman" w:hAnsi="Times New Roman"/>
          <w:noProof/>
          <w:sz w:val="20"/>
          <w:szCs w:val="20"/>
        </w:rPr>
        <w:t xml:space="preserve">Jansson, C. and Northen, T. (2010). Calcifying cyanobacteria — the potential of biomineralization for carbon capture and storage. </w:t>
      </w:r>
      <w:r w:rsidRPr="00325D8C">
        <w:rPr>
          <w:rFonts w:ascii="Times New Roman" w:hAnsi="Times New Roman"/>
          <w:i/>
          <w:iCs/>
          <w:noProof/>
          <w:sz w:val="20"/>
          <w:szCs w:val="20"/>
        </w:rPr>
        <w:t>Current Opinion Biotechnology</w:t>
      </w:r>
      <w:r w:rsidRPr="00325D8C">
        <w:rPr>
          <w:rFonts w:ascii="Times New Roman" w:hAnsi="Times New Roman"/>
          <w:noProof/>
          <w:sz w:val="20"/>
          <w:szCs w:val="20"/>
        </w:rPr>
        <w:t xml:space="preserve">, 21(3): 365 - 371. </w:t>
      </w:r>
    </w:p>
    <w:p w:rsidR="00325D8C" w:rsidRDefault="007724A0" w:rsidP="00325D8C">
      <w:pPr>
        <w:pStyle w:val="ListParagraph"/>
        <w:numPr>
          <w:ilvl w:val="0"/>
          <w:numId w:val="3"/>
        </w:numPr>
        <w:adjustRightInd w:val="0"/>
        <w:spacing w:after="0" w:line="240" w:lineRule="auto"/>
        <w:ind w:left="360"/>
        <w:jc w:val="both"/>
        <w:rPr>
          <w:rFonts w:ascii="Times New Roman" w:hAnsi="Times New Roman"/>
          <w:noProof/>
          <w:sz w:val="20"/>
          <w:szCs w:val="20"/>
        </w:rPr>
      </w:pPr>
      <w:r w:rsidRPr="00325D8C">
        <w:rPr>
          <w:rFonts w:ascii="Times New Roman" w:hAnsi="Times New Roman"/>
          <w:noProof/>
          <w:sz w:val="20"/>
          <w:szCs w:val="20"/>
        </w:rPr>
        <w:t>Skjånes, K., Lindblad, P. and Muller J. (2007). BioCO</w:t>
      </w:r>
      <w:r w:rsidRPr="00325D8C">
        <w:rPr>
          <w:rFonts w:ascii="Times New Roman" w:hAnsi="Times New Roman"/>
          <w:noProof/>
          <w:sz w:val="20"/>
          <w:szCs w:val="20"/>
          <w:vertAlign w:val="subscript"/>
        </w:rPr>
        <w:t>2</w:t>
      </w:r>
      <w:r w:rsidRPr="00325D8C">
        <w:rPr>
          <w:rFonts w:ascii="Times New Roman" w:hAnsi="Times New Roman"/>
          <w:noProof/>
          <w:sz w:val="20"/>
          <w:szCs w:val="20"/>
        </w:rPr>
        <w:t xml:space="preserve"> - a multidisciplinary, biological approach using solar energy to capture CO</w:t>
      </w:r>
      <w:r w:rsidRPr="00325D8C">
        <w:rPr>
          <w:rFonts w:ascii="Times New Roman" w:hAnsi="Times New Roman"/>
          <w:noProof/>
          <w:sz w:val="20"/>
          <w:szCs w:val="20"/>
          <w:vertAlign w:val="subscript"/>
        </w:rPr>
        <w:t>2</w:t>
      </w:r>
      <w:r w:rsidRPr="00325D8C">
        <w:rPr>
          <w:rFonts w:ascii="Times New Roman" w:hAnsi="Times New Roman"/>
          <w:noProof/>
          <w:sz w:val="20"/>
          <w:szCs w:val="20"/>
        </w:rPr>
        <w:t xml:space="preserve"> while producing H</w:t>
      </w:r>
      <w:r w:rsidRPr="00325D8C">
        <w:rPr>
          <w:rFonts w:ascii="Times New Roman" w:hAnsi="Times New Roman"/>
          <w:noProof/>
          <w:sz w:val="20"/>
          <w:szCs w:val="20"/>
          <w:vertAlign w:val="subscript"/>
        </w:rPr>
        <w:t>2</w:t>
      </w:r>
      <w:r w:rsidRPr="00325D8C">
        <w:rPr>
          <w:rFonts w:ascii="Times New Roman" w:hAnsi="Times New Roman"/>
          <w:noProof/>
          <w:sz w:val="20"/>
          <w:szCs w:val="20"/>
        </w:rPr>
        <w:t xml:space="preserve"> and high value products. </w:t>
      </w:r>
      <w:r w:rsidRPr="00325D8C">
        <w:rPr>
          <w:rFonts w:ascii="Times New Roman" w:hAnsi="Times New Roman"/>
          <w:i/>
          <w:iCs/>
          <w:noProof/>
          <w:sz w:val="20"/>
          <w:szCs w:val="20"/>
        </w:rPr>
        <w:t>Biomolecular Engineering</w:t>
      </w:r>
      <w:r w:rsidRPr="00325D8C">
        <w:rPr>
          <w:rFonts w:ascii="Times New Roman" w:hAnsi="Times New Roman"/>
          <w:noProof/>
          <w:sz w:val="20"/>
          <w:szCs w:val="20"/>
        </w:rPr>
        <w:t xml:space="preserve">, 24(4): 405 - 413. </w:t>
      </w:r>
    </w:p>
    <w:p w:rsidR="00325D8C" w:rsidRDefault="007724A0" w:rsidP="00325D8C">
      <w:pPr>
        <w:pStyle w:val="ListParagraph"/>
        <w:numPr>
          <w:ilvl w:val="0"/>
          <w:numId w:val="3"/>
        </w:numPr>
        <w:adjustRightInd w:val="0"/>
        <w:spacing w:after="0" w:line="240" w:lineRule="auto"/>
        <w:ind w:left="360"/>
        <w:jc w:val="both"/>
        <w:rPr>
          <w:rFonts w:ascii="Times New Roman" w:hAnsi="Times New Roman"/>
          <w:noProof/>
          <w:sz w:val="20"/>
          <w:szCs w:val="20"/>
        </w:rPr>
      </w:pPr>
      <w:r w:rsidRPr="00325D8C">
        <w:rPr>
          <w:rFonts w:ascii="Times New Roman" w:hAnsi="Times New Roman"/>
          <w:noProof/>
          <w:sz w:val="20"/>
          <w:szCs w:val="20"/>
        </w:rPr>
        <w:t>Ramanan, R., Kannan, K., Deshkar, A., Yadav, R. and Chakrabarti T. (2010). Enhanced algal CO(</w:t>
      </w:r>
      <w:r w:rsidRPr="00325D8C">
        <w:rPr>
          <w:rFonts w:ascii="Times New Roman" w:hAnsi="Times New Roman"/>
          <w:noProof/>
          <w:sz w:val="20"/>
          <w:szCs w:val="20"/>
          <w:vertAlign w:val="subscript"/>
        </w:rPr>
        <w:t>2</w:t>
      </w:r>
      <w:r w:rsidRPr="00325D8C">
        <w:rPr>
          <w:rFonts w:ascii="Times New Roman" w:hAnsi="Times New Roman"/>
          <w:noProof/>
          <w:sz w:val="20"/>
          <w:szCs w:val="20"/>
        </w:rPr>
        <w:t xml:space="preserve">) sequestration through calcite deposition by Chlorella sp. and Spirulina platensis in a mini-raceway pond. </w:t>
      </w:r>
      <w:r w:rsidRPr="00325D8C">
        <w:rPr>
          <w:rFonts w:ascii="Times New Roman" w:hAnsi="Times New Roman"/>
          <w:i/>
          <w:iCs/>
          <w:noProof/>
          <w:sz w:val="20"/>
          <w:szCs w:val="20"/>
        </w:rPr>
        <w:t>Bioresource Technol</w:t>
      </w:r>
      <w:r w:rsidRPr="00325D8C">
        <w:rPr>
          <w:rFonts w:ascii="Times New Roman" w:hAnsi="Times New Roman"/>
          <w:i/>
          <w:noProof/>
          <w:sz w:val="20"/>
          <w:szCs w:val="20"/>
        </w:rPr>
        <w:t>ogy</w:t>
      </w:r>
      <w:r w:rsidRPr="00325D8C">
        <w:rPr>
          <w:rFonts w:ascii="Times New Roman" w:hAnsi="Times New Roman"/>
          <w:noProof/>
          <w:sz w:val="20"/>
          <w:szCs w:val="20"/>
        </w:rPr>
        <w:t xml:space="preserve">, 101(8): 2616 - 2622. </w:t>
      </w:r>
    </w:p>
    <w:p w:rsidR="00325D8C" w:rsidRDefault="007724A0" w:rsidP="00325D8C">
      <w:pPr>
        <w:pStyle w:val="ListParagraph"/>
        <w:numPr>
          <w:ilvl w:val="0"/>
          <w:numId w:val="3"/>
        </w:numPr>
        <w:adjustRightInd w:val="0"/>
        <w:spacing w:after="0" w:line="240" w:lineRule="auto"/>
        <w:ind w:left="360"/>
        <w:jc w:val="both"/>
        <w:rPr>
          <w:rFonts w:ascii="Times New Roman" w:hAnsi="Times New Roman"/>
          <w:noProof/>
          <w:sz w:val="20"/>
          <w:szCs w:val="20"/>
        </w:rPr>
      </w:pPr>
      <w:r w:rsidRPr="00325D8C">
        <w:rPr>
          <w:rFonts w:ascii="Times New Roman" w:hAnsi="Times New Roman"/>
          <w:noProof/>
          <w:sz w:val="20"/>
          <w:szCs w:val="20"/>
        </w:rPr>
        <w:t xml:space="preserve">Zhao, L., Chen, Y. and Schaffner, D. W. (2001). Comparison of logistic regression and linear regression in modeling percentage data. </w:t>
      </w:r>
      <w:r w:rsidRPr="00325D8C">
        <w:rPr>
          <w:rFonts w:ascii="Times New Roman" w:hAnsi="Times New Roman"/>
          <w:i/>
          <w:iCs/>
          <w:noProof/>
          <w:sz w:val="20"/>
          <w:szCs w:val="20"/>
        </w:rPr>
        <w:t>Applied and Environmental Microbiology</w:t>
      </w:r>
      <w:r w:rsidRPr="00325D8C">
        <w:rPr>
          <w:rFonts w:ascii="Times New Roman" w:hAnsi="Times New Roman"/>
          <w:noProof/>
          <w:sz w:val="20"/>
          <w:szCs w:val="20"/>
        </w:rPr>
        <w:t>, 67(5): 2129 - 2135.</w:t>
      </w:r>
    </w:p>
    <w:p w:rsidR="00325D8C" w:rsidRDefault="007724A0" w:rsidP="00325D8C">
      <w:pPr>
        <w:pStyle w:val="ListParagraph"/>
        <w:numPr>
          <w:ilvl w:val="0"/>
          <w:numId w:val="3"/>
        </w:numPr>
        <w:adjustRightInd w:val="0"/>
        <w:spacing w:after="0" w:line="240" w:lineRule="auto"/>
        <w:ind w:left="360"/>
        <w:jc w:val="both"/>
        <w:rPr>
          <w:rFonts w:ascii="Times New Roman" w:hAnsi="Times New Roman"/>
          <w:noProof/>
          <w:sz w:val="20"/>
          <w:szCs w:val="20"/>
        </w:rPr>
      </w:pPr>
      <w:r w:rsidRPr="00325D8C">
        <w:rPr>
          <w:rFonts w:ascii="Times New Roman" w:hAnsi="Times New Roman"/>
          <w:noProof/>
          <w:sz w:val="20"/>
          <w:szCs w:val="20"/>
        </w:rPr>
        <w:t xml:space="preserve">Kargi, F. (2009). Re-interpretation of the logistic equation for batch microbial growth in relation to Monod kinetics. </w:t>
      </w:r>
      <w:r w:rsidRPr="00325D8C">
        <w:rPr>
          <w:rFonts w:ascii="Times New Roman" w:hAnsi="Times New Roman"/>
          <w:i/>
          <w:iCs/>
          <w:noProof/>
          <w:sz w:val="20"/>
          <w:szCs w:val="20"/>
        </w:rPr>
        <w:t>Letters in Applied Microbiology</w:t>
      </w:r>
      <w:r w:rsidRPr="00325D8C">
        <w:rPr>
          <w:rFonts w:ascii="Times New Roman" w:hAnsi="Times New Roman"/>
          <w:noProof/>
          <w:sz w:val="20"/>
          <w:szCs w:val="20"/>
        </w:rPr>
        <w:t xml:space="preserve">, 48(4): 398 - 401. </w:t>
      </w:r>
    </w:p>
    <w:p w:rsidR="00325D8C" w:rsidRDefault="007724A0" w:rsidP="00325D8C">
      <w:pPr>
        <w:pStyle w:val="ListParagraph"/>
        <w:numPr>
          <w:ilvl w:val="0"/>
          <w:numId w:val="3"/>
        </w:numPr>
        <w:adjustRightInd w:val="0"/>
        <w:spacing w:after="0" w:line="240" w:lineRule="auto"/>
        <w:ind w:left="360"/>
        <w:jc w:val="both"/>
        <w:rPr>
          <w:rFonts w:ascii="Times New Roman" w:hAnsi="Times New Roman"/>
          <w:noProof/>
          <w:sz w:val="20"/>
          <w:szCs w:val="20"/>
        </w:rPr>
      </w:pPr>
      <w:r w:rsidRPr="00325D8C">
        <w:rPr>
          <w:rFonts w:ascii="Times New Roman" w:hAnsi="Times New Roman"/>
          <w:noProof/>
          <w:sz w:val="20"/>
          <w:szCs w:val="20"/>
        </w:rPr>
        <w:t xml:space="preserve">Xu, Y. and Boeing, W. J. (2014). Modeling maximum lipid productivity of microalgae: Review and next step. </w:t>
      </w:r>
      <w:r w:rsidRPr="00325D8C">
        <w:rPr>
          <w:rFonts w:ascii="Times New Roman" w:hAnsi="Times New Roman"/>
          <w:i/>
          <w:iCs/>
          <w:noProof/>
          <w:sz w:val="20"/>
          <w:szCs w:val="20"/>
        </w:rPr>
        <w:t>Renewable and Sustainable Energy Reviews</w:t>
      </w:r>
      <w:r w:rsidRPr="00325D8C">
        <w:rPr>
          <w:rFonts w:ascii="Times New Roman" w:hAnsi="Times New Roman"/>
          <w:noProof/>
          <w:sz w:val="20"/>
          <w:szCs w:val="20"/>
        </w:rPr>
        <w:t xml:space="preserve">, 32: 29 - 39. </w:t>
      </w:r>
    </w:p>
    <w:p w:rsidR="00325D8C" w:rsidRDefault="007724A0" w:rsidP="00325D8C">
      <w:pPr>
        <w:pStyle w:val="ListParagraph"/>
        <w:numPr>
          <w:ilvl w:val="0"/>
          <w:numId w:val="3"/>
        </w:numPr>
        <w:adjustRightInd w:val="0"/>
        <w:spacing w:after="0" w:line="240" w:lineRule="auto"/>
        <w:ind w:left="360"/>
        <w:jc w:val="both"/>
        <w:rPr>
          <w:rFonts w:ascii="Times New Roman" w:hAnsi="Times New Roman"/>
          <w:noProof/>
          <w:sz w:val="20"/>
          <w:szCs w:val="20"/>
        </w:rPr>
      </w:pPr>
      <w:r w:rsidRPr="00325D8C">
        <w:rPr>
          <w:rFonts w:ascii="Times New Roman" w:hAnsi="Times New Roman"/>
          <w:noProof/>
          <w:sz w:val="20"/>
          <w:szCs w:val="20"/>
        </w:rPr>
        <w:t xml:space="preserve">Promega (2010). </w:t>
      </w:r>
      <w:r w:rsidRPr="00325D8C">
        <w:rPr>
          <w:rFonts w:ascii="Times New Roman" w:hAnsi="Times New Roman"/>
          <w:iCs/>
          <w:noProof/>
          <w:sz w:val="20"/>
          <w:szCs w:val="20"/>
        </w:rPr>
        <w:t>Wizard Genomic DNA Purification Kit Quick Protocol, FB022</w:t>
      </w:r>
      <w:r w:rsidRPr="00325D8C">
        <w:rPr>
          <w:rFonts w:ascii="Times New Roman" w:hAnsi="Times New Roman"/>
          <w:noProof/>
          <w:sz w:val="20"/>
          <w:szCs w:val="20"/>
        </w:rPr>
        <w:t>. 2010: 1123 - 1126.</w:t>
      </w:r>
    </w:p>
    <w:p w:rsidR="00325D8C" w:rsidRDefault="007724A0" w:rsidP="00325D8C">
      <w:pPr>
        <w:pStyle w:val="ListParagraph"/>
        <w:numPr>
          <w:ilvl w:val="0"/>
          <w:numId w:val="3"/>
        </w:numPr>
        <w:adjustRightInd w:val="0"/>
        <w:spacing w:after="0" w:line="240" w:lineRule="auto"/>
        <w:ind w:left="360"/>
        <w:jc w:val="both"/>
        <w:rPr>
          <w:rFonts w:ascii="Times New Roman" w:hAnsi="Times New Roman"/>
          <w:noProof/>
          <w:sz w:val="20"/>
          <w:szCs w:val="20"/>
        </w:rPr>
      </w:pPr>
      <w:r w:rsidRPr="00325D8C">
        <w:rPr>
          <w:rFonts w:ascii="Times New Roman" w:hAnsi="Times New Roman"/>
          <w:noProof/>
          <w:sz w:val="20"/>
          <w:szCs w:val="20"/>
        </w:rPr>
        <w:t xml:space="preserve">Simon, N., Campbell, L., Ornolfsdottir, E., Groben, R., Guillou, L., Lange, M. and Medlin, L. K. (2000). Oligonucleotide probes for the identification of three algal groups by dot blot and fluorescent whole-cell hybridization. </w:t>
      </w:r>
      <w:r w:rsidRPr="00325D8C">
        <w:rPr>
          <w:rFonts w:ascii="Times New Roman" w:hAnsi="Times New Roman"/>
          <w:i/>
          <w:iCs/>
          <w:noProof/>
          <w:sz w:val="20"/>
          <w:szCs w:val="20"/>
        </w:rPr>
        <w:t>Journal of Eukaryotic Microbiology</w:t>
      </w:r>
      <w:r w:rsidRPr="00325D8C">
        <w:rPr>
          <w:rFonts w:ascii="Times New Roman" w:hAnsi="Times New Roman"/>
          <w:noProof/>
          <w:sz w:val="20"/>
          <w:szCs w:val="20"/>
        </w:rPr>
        <w:t xml:space="preserve">, 47(1):76 - 84. </w:t>
      </w:r>
    </w:p>
    <w:p w:rsidR="00325D8C" w:rsidRDefault="007724A0" w:rsidP="00325D8C">
      <w:pPr>
        <w:pStyle w:val="ListParagraph"/>
        <w:numPr>
          <w:ilvl w:val="0"/>
          <w:numId w:val="3"/>
        </w:numPr>
        <w:adjustRightInd w:val="0"/>
        <w:spacing w:after="0" w:line="240" w:lineRule="auto"/>
        <w:ind w:left="360"/>
        <w:jc w:val="both"/>
        <w:rPr>
          <w:rFonts w:ascii="Times New Roman" w:hAnsi="Times New Roman"/>
          <w:noProof/>
          <w:sz w:val="20"/>
          <w:szCs w:val="20"/>
        </w:rPr>
      </w:pPr>
      <w:r w:rsidRPr="00325D8C">
        <w:rPr>
          <w:rFonts w:ascii="Times New Roman" w:hAnsi="Times New Roman"/>
          <w:noProof/>
          <w:sz w:val="20"/>
          <w:szCs w:val="20"/>
        </w:rPr>
        <w:t>Krienitz, L., Ustinova, I., Friedl, T. and Huss V. A. R. (2001). Traditional generic concepts versus 18S rRNA gene phylogeny in the green algal family Selenastraceae (</w:t>
      </w:r>
      <w:r w:rsidRPr="00325D8C">
        <w:rPr>
          <w:rFonts w:ascii="Times New Roman" w:hAnsi="Times New Roman"/>
          <w:i/>
          <w:noProof/>
          <w:sz w:val="20"/>
          <w:szCs w:val="20"/>
        </w:rPr>
        <w:t>Chlorophyceae, Chlorophyta</w:t>
      </w:r>
      <w:r w:rsidRPr="00325D8C">
        <w:rPr>
          <w:rFonts w:ascii="Times New Roman" w:hAnsi="Times New Roman"/>
          <w:noProof/>
          <w:sz w:val="20"/>
          <w:szCs w:val="20"/>
        </w:rPr>
        <w:t xml:space="preserve">). </w:t>
      </w:r>
      <w:r w:rsidRPr="00325D8C">
        <w:rPr>
          <w:rFonts w:ascii="Times New Roman" w:hAnsi="Times New Roman"/>
          <w:i/>
          <w:iCs/>
          <w:noProof/>
          <w:sz w:val="20"/>
          <w:szCs w:val="20"/>
        </w:rPr>
        <w:t>Journal of Phycol</w:t>
      </w:r>
      <w:r w:rsidRPr="00325D8C">
        <w:rPr>
          <w:rFonts w:ascii="Times New Roman" w:hAnsi="Times New Roman"/>
          <w:i/>
          <w:noProof/>
          <w:sz w:val="20"/>
          <w:szCs w:val="20"/>
        </w:rPr>
        <w:t>ogy</w:t>
      </w:r>
      <w:r w:rsidRPr="00325D8C">
        <w:rPr>
          <w:rFonts w:ascii="Times New Roman" w:hAnsi="Times New Roman"/>
          <w:noProof/>
          <w:sz w:val="20"/>
          <w:szCs w:val="20"/>
        </w:rPr>
        <w:t xml:space="preserve">, 37(5): 852 - 865. </w:t>
      </w:r>
    </w:p>
    <w:p w:rsidR="00325D8C" w:rsidRDefault="007724A0" w:rsidP="00325D8C">
      <w:pPr>
        <w:pStyle w:val="ListParagraph"/>
        <w:numPr>
          <w:ilvl w:val="0"/>
          <w:numId w:val="3"/>
        </w:numPr>
        <w:adjustRightInd w:val="0"/>
        <w:spacing w:after="0" w:line="240" w:lineRule="auto"/>
        <w:ind w:left="360"/>
        <w:jc w:val="both"/>
        <w:rPr>
          <w:rFonts w:ascii="Times New Roman" w:hAnsi="Times New Roman"/>
          <w:noProof/>
          <w:sz w:val="20"/>
          <w:szCs w:val="20"/>
        </w:rPr>
      </w:pPr>
      <w:r w:rsidRPr="00325D8C">
        <w:rPr>
          <w:rFonts w:ascii="Times New Roman" w:hAnsi="Times New Roman"/>
          <w:noProof/>
          <w:sz w:val="20"/>
          <w:szCs w:val="20"/>
        </w:rPr>
        <w:t>Heischkamp, E., Varlik, M., Korkmaz, Ö., Oeljeklaus, G. and Görner K. (2011). Analysis of operating conditions of a flue gas scrubbing process for CO</w:t>
      </w:r>
      <w:r w:rsidRPr="00325D8C">
        <w:rPr>
          <w:rFonts w:ascii="Times New Roman" w:hAnsi="Times New Roman"/>
          <w:noProof/>
          <w:sz w:val="20"/>
          <w:szCs w:val="20"/>
          <w:vertAlign w:val="subscript"/>
        </w:rPr>
        <w:t>2</w:t>
      </w:r>
      <w:r w:rsidRPr="00325D8C">
        <w:rPr>
          <w:rFonts w:ascii="Times New Roman" w:hAnsi="Times New Roman"/>
          <w:noProof/>
          <w:sz w:val="20"/>
          <w:szCs w:val="20"/>
        </w:rPr>
        <w:t xml:space="preserve"> separation in a coal-fired power plant. </w:t>
      </w:r>
      <w:r w:rsidRPr="00325D8C">
        <w:rPr>
          <w:rFonts w:ascii="Times New Roman" w:hAnsi="Times New Roman"/>
          <w:i/>
          <w:iCs/>
          <w:noProof/>
          <w:sz w:val="20"/>
          <w:szCs w:val="20"/>
        </w:rPr>
        <w:t>Energy Procedia</w:t>
      </w:r>
      <w:r w:rsidRPr="00325D8C">
        <w:rPr>
          <w:rFonts w:ascii="Times New Roman" w:hAnsi="Times New Roman"/>
          <w:noProof/>
          <w:sz w:val="20"/>
          <w:szCs w:val="20"/>
        </w:rPr>
        <w:t xml:space="preserve">, 4:1377 - 1384. </w:t>
      </w:r>
    </w:p>
    <w:p w:rsidR="00325D8C" w:rsidRDefault="007724A0" w:rsidP="00325D8C">
      <w:pPr>
        <w:pStyle w:val="ListParagraph"/>
        <w:numPr>
          <w:ilvl w:val="0"/>
          <w:numId w:val="3"/>
        </w:numPr>
        <w:adjustRightInd w:val="0"/>
        <w:spacing w:after="0" w:line="240" w:lineRule="auto"/>
        <w:ind w:left="360"/>
        <w:jc w:val="both"/>
        <w:rPr>
          <w:rFonts w:ascii="Times New Roman" w:hAnsi="Times New Roman"/>
          <w:noProof/>
          <w:sz w:val="20"/>
          <w:szCs w:val="20"/>
        </w:rPr>
      </w:pPr>
      <w:r w:rsidRPr="00325D8C">
        <w:rPr>
          <w:rFonts w:ascii="Times New Roman" w:hAnsi="Times New Roman"/>
          <w:noProof/>
          <w:sz w:val="20"/>
          <w:szCs w:val="20"/>
        </w:rPr>
        <w:t>Ma, S., Chen, G., Guo, M., Zhao, L., Han, T., Zhu, S. (2014). Path analysis on CO</w:t>
      </w:r>
      <w:r w:rsidRPr="00325D8C">
        <w:rPr>
          <w:rFonts w:ascii="Times New Roman" w:hAnsi="Times New Roman"/>
          <w:noProof/>
          <w:sz w:val="20"/>
          <w:szCs w:val="20"/>
          <w:vertAlign w:val="subscript"/>
        </w:rPr>
        <w:t>2</w:t>
      </w:r>
      <w:r w:rsidRPr="00325D8C">
        <w:rPr>
          <w:rFonts w:ascii="Times New Roman" w:hAnsi="Times New Roman"/>
          <w:noProof/>
          <w:sz w:val="20"/>
          <w:szCs w:val="20"/>
        </w:rPr>
        <w:t xml:space="preserve"> resource utilization based on carbon capture using ammonia method in coal-fired power Plants. </w:t>
      </w:r>
      <w:r w:rsidRPr="00325D8C">
        <w:rPr>
          <w:rFonts w:ascii="Times New Roman" w:hAnsi="Times New Roman"/>
          <w:i/>
          <w:iCs/>
          <w:noProof/>
          <w:sz w:val="20"/>
          <w:szCs w:val="20"/>
        </w:rPr>
        <w:t>Renewable and Sustainable Energy Rev</w:t>
      </w:r>
      <w:r w:rsidRPr="00325D8C">
        <w:rPr>
          <w:rFonts w:ascii="Times New Roman" w:hAnsi="Times New Roman"/>
          <w:i/>
          <w:noProof/>
          <w:sz w:val="20"/>
          <w:szCs w:val="20"/>
        </w:rPr>
        <w:t>iews</w:t>
      </w:r>
      <w:r w:rsidRPr="00325D8C">
        <w:rPr>
          <w:rFonts w:ascii="Times New Roman" w:hAnsi="Times New Roman"/>
          <w:noProof/>
          <w:sz w:val="20"/>
          <w:szCs w:val="20"/>
        </w:rPr>
        <w:t xml:space="preserve">, 37: 687 - 697. </w:t>
      </w:r>
    </w:p>
    <w:p w:rsidR="00325D8C" w:rsidRDefault="007724A0" w:rsidP="00325D8C">
      <w:pPr>
        <w:pStyle w:val="ListParagraph"/>
        <w:numPr>
          <w:ilvl w:val="0"/>
          <w:numId w:val="3"/>
        </w:numPr>
        <w:adjustRightInd w:val="0"/>
        <w:spacing w:after="0" w:line="240" w:lineRule="auto"/>
        <w:ind w:left="360"/>
        <w:jc w:val="both"/>
        <w:rPr>
          <w:rFonts w:ascii="Times New Roman" w:hAnsi="Times New Roman"/>
          <w:noProof/>
          <w:sz w:val="20"/>
          <w:szCs w:val="20"/>
        </w:rPr>
      </w:pPr>
      <w:r w:rsidRPr="00325D8C">
        <w:rPr>
          <w:rFonts w:ascii="Times New Roman" w:hAnsi="Times New Roman"/>
          <w:noProof/>
          <w:sz w:val="20"/>
          <w:szCs w:val="20"/>
        </w:rPr>
        <w:t xml:space="preserve">Shen, Q. H., Gong, Y. P., Fang, W. Z., Bi, Z. C., Cheng, L. H., Xu, X. H. and Chen,  H. L. (2015). Saline wastewater treatment by </w:t>
      </w:r>
      <w:r w:rsidRPr="00325D8C">
        <w:rPr>
          <w:rFonts w:ascii="Times New Roman" w:hAnsi="Times New Roman"/>
          <w:i/>
          <w:noProof/>
          <w:sz w:val="20"/>
          <w:szCs w:val="20"/>
        </w:rPr>
        <w:t>Chlorella vulgaris</w:t>
      </w:r>
      <w:r w:rsidRPr="00325D8C">
        <w:rPr>
          <w:rFonts w:ascii="Times New Roman" w:hAnsi="Times New Roman"/>
          <w:noProof/>
          <w:sz w:val="20"/>
          <w:szCs w:val="20"/>
        </w:rPr>
        <w:t xml:space="preserve"> with simultaneous algal lipid accumulation triggered by nitrate deficiency. </w:t>
      </w:r>
      <w:r w:rsidRPr="00325D8C">
        <w:rPr>
          <w:rFonts w:ascii="Times New Roman" w:hAnsi="Times New Roman"/>
          <w:i/>
          <w:iCs/>
          <w:noProof/>
          <w:sz w:val="20"/>
          <w:szCs w:val="20"/>
        </w:rPr>
        <w:t>Bioresource Technology</w:t>
      </w:r>
      <w:r w:rsidRPr="00325D8C">
        <w:rPr>
          <w:rFonts w:ascii="Times New Roman" w:hAnsi="Times New Roman"/>
          <w:noProof/>
          <w:sz w:val="20"/>
          <w:szCs w:val="20"/>
        </w:rPr>
        <w:t xml:space="preserve">, 193: 68 - 75. </w:t>
      </w:r>
    </w:p>
    <w:p w:rsidR="00325D8C" w:rsidRDefault="007724A0" w:rsidP="00325D8C">
      <w:pPr>
        <w:pStyle w:val="ListParagraph"/>
        <w:numPr>
          <w:ilvl w:val="0"/>
          <w:numId w:val="3"/>
        </w:numPr>
        <w:adjustRightInd w:val="0"/>
        <w:spacing w:after="0" w:line="240" w:lineRule="auto"/>
        <w:ind w:left="360"/>
        <w:jc w:val="both"/>
        <w:rPr>
          <w:rFonts w:ascii="Times New Roman" w:hAnsi="Times New Roman"/>
          <w:noProof/>
          <w:sz w:val="20"/>
          <w:szCs w:val="20"/>
        </w:rPr>
      </w:pPr>
      <w:r w:rsidRPr="00325D8C">
        <w:rPr>
          <w:rFonts w:ascii="Times New Roman" w:hAnsi="Times New Roman"/>
          <w:noProof/>
          <w:sz w:val="20"/>
          <w:szCs w:val="20"/>
        </w:rPr>
        <w:t xml:space="preserve">Gerken, H. G., Donohoe, B. Knoshaug, E. P. (2013). Enzymatic cell wall degradation of </w:t>
      </w:r>
      <w:r w:rsidRPr="00325D8C">
        <w:rPr>
          <w:rFonts w:ascii="Times New Roman" w:hAnsi="Times New Roman"/>
          <w:i/>
          <w:noProof/>
          <w:sz w:val="20"/>
          <w:szCs w:val="20"/>
        </w:rPr>
        <w:t xml:space="preserve">Chlorella vulgaris </w:t>
      </w:r>
      <w:r w:rsidRPr="00325D8C">
        <w:rPr>
          <w:rFonts w:ascii="Times New Roman" w:hAnsi="Times New Roman"/>
          <w:noProof/>
          <w:sz w:val="20"/>
          <w:szCs w:val="20"/>
        </w:rPr>
        <w:t xml:space="preserve">and other microalgae for biofuels production. </w:t>
      </w:r>
      <w:r w:rsidRPr="00325D8C">
        <w:rPr>
          <w:rFonts w:ascii="Times New Roman" w:hAnsi="Times New Roman"/>
          <w:i/>
          <w:iCs/>
          <w:noProof/>
          <w:sz w:val="20"/>
          <w:szCs w:val="20"/>
        </w:rPr>
        <w:t>Planta</w:t>
      </w:r>
      <w:r w:rsidRPr="00325D8C">
        <w:rPr>
          <w:rFonts w:ascii="Times New Roman" w:hAnsi="Times New Roman"/>
          <w:noProof/>
          <w:sz w:val="20"/>
          <w:szCs w:val="20"/>
        </w:rPr>
        <w:t xml:space="preserve">, 237(1): 239 - 253. </w:t>
      </w:r>
    </w:p>
    <w:p w:rsidR="00325D8C" w:rsidRDefault="007724A0" w:rsidP="00325D8C">
      <w:pPr>
        <w:pStyle w:val="ListParagraph"/>
        <w:numPr>
          <w:ilvl w:val="0"/>
          <w:numId w:val="3"/>
        </w:numPr>
        <w:adjustRightInd w:val="0"/>
        <w:spacing w:after="0" w:line="240" w:lineRule="auto"/>
        <w:ind w:left="360"/>
        <w:jc w:val="both"/>
        <w:rPr>
          <w:rFonts w:ascii="Times New Roman" w:hAnsi="Times New Roman"/>
          <w:noProof/>
          <w:sz w:val="20"/>
          <w:szCs w:val="20"/>
        </w:rPr>
      </w:pPr>
      <w:r w:rsidRPr="00325D8C">
        <w:rPr>
          <w:rFonts w:ascii="Times New Roman" w:hAnsi="Times New Roman"/>
          <w:noProof/>
          <w:sz w:val="20"/>
          <w:szCs w:val="20"/>
        </w:rPr>
        <w:t xml:space="preserve">Nurachman, Z., Hartini, H., Rahmaniyah, W. R., Kurnia, D., Hidayat, R., Prijamboedi, B., Suendo, V., Ratnaningsih, E., Panggabean, L. M. G. and Nurbaiti, S. (2015). Tropical marine </w:t>
      </w:r>
      <w:r w:rsidRPr="00325D8C">
        <w:rPr>
          <w:rFonts w:ascii="Times New Roman" w:hAnsi="Times New Roman"/>
          <w:i/>
          <w:noProof/>
          <w:sz w:val="20"/>
          <w:szCs w:val="20"/>
        </w:rPr>
        <w:t xml:space="preserve">Chlorella </w:t>
      </w:r>
      <w:r w:rsidRPr="00325D8C">
        <w:rPr>
          <w:rFonts w:ascii="Times New Roman" w:hAnsi="Times New Roman"/>
          <w:noProof/>
          <w:sz w:val="20"/>
          <w:szCs w:val="20"/>
        </w:rPr>
        <w:t xml:space="preserve">sp. PP1 as a source of photosynthetic pigments for dye-sensitized solar cells. </w:t>
      </w:r>
      <w:r w:rsidRPr="00325D8C">
        <w:rPr>
          <w:rFonts w:ascii="Times New Roman" w:hAnsi="Times New Roman"/>
          <w:i/>
          <w:iCs/>
          <w:noProof/>
          <w:sz w:val="20"/>
          <w:szCs w:val="20"/>
        </w:rPr>
        <w:t>Algal Res</w:t>
      </w:r>
      <w:r w:rsidRPr="00325D8C">
        <w:rPr>
          <w:rFonts w:ascii="Times New Roman" w:hAnsi="Times New Roman"/>
          <w:i/>
          <w:noProof/>
          <w:sz w:val="20"/>
          <w:szCs w:val="20"/>
        </w:rPr>
        <w:t>earch</w:t>
      </w:r>
      <w:r w:rsidRPr="00325D8C">
        <w:rPr>
          <w:rFonts w:ascii="Times New Roman" w:hAnsi="Times New Roman"/>
          <w:noProof/>
          <w:sz w:val="20"/>
          <w:szCs w:val="20"/>
        </w:rPr>
        <w:t xml:space="preserve">, 10: 25 - 32. </w:t>
      </w:r>
    </w:p>
    <w:p w:rsidR="00325D8C" w:rsidRDefault="007724A0" w:rsidP="00325D8C">
      <w:pPr>
        <w:pStyle w:val="ListParagraph"/>
        <w:numPr>
          <w:ilvl w:val="0"/>
          <w:numId w:val="3"/>
        </w:numPr>
        <w:adjustRightInd w:val="0"/>
        <w:spacing w:after="0" w:line="240" w:lineRule="auto"/>
        <w:ind w:left="360"/>
        <w:jc w:val="both"/>
        <w:rPr>
          <w:rFonts w:ascii="Times New Roman" w:hAnsi="Times New Roman"/>
          <w:noProof/>
          <w:sz w:val="20"/>
          <w:szCs w:val="20"/>
        </w:rPr>
      </w:pPr>
      <w:r w:rsidRPr="00325D8C">
        <w:rPr>
          <w:rFonts w:ascii="Times New Roman" w:hAnsi="Times New Roman"/>
          <w:noProof/>
          <w:sz w:val="20"/>
          <w:szCs w:val="20"/>
        </w:rPr>
        <w:t xml:space="preserve">Mathimani, T., Uma, L. and Prabaharan D. (2015). Homogeneous acid catalysed transesterification of marine microalga </w:t>
      </w:r>
      <w:r w:rsidRPr="00325D8C">
        <w:rPr>
          <w:rFonts w:ascii="Times New Roman" w:hAnsi="Times New Roman"/>
          <w:i/>
          <w:noProof/>
          <w:sz w:val="20"/>
          <w:szCs w:val="20"/>
        </w:rPr>
        <w:t>Chlorella</w:t>
      </w:r>
      <w:r w:rsidRPr="00325D8C">
        <w:rPr>
          <w:rFonts w:ascii="Times New Roman" w:hAnsi="Times New Roman"/>
          <w:noProof/>
          <w:sz w:val="20"/>
          <w:szCs w:val="20"/>
        </w:rPr>
        <w:t xml:space="preserve"> sp. BDUG 91771 lipid – An efficient biodiesel yield and its characterization. </w:t>
      </w:r>
      <w:r w:rsidRPr="00325D8C">
        <w:rPr>
          <w:rFonts w:ascii="Times New Roman" w:hAnsi="Times New Roman"/>
          <w:i/>
          <w:iCs/>
          <w:noProof/>
          <w:sz w:val="20"/>
          <w:szCs w:val="20"/>
        </w:rPr>
        <w:t>Renewable Energy</w:t>
      </w:r>
      <w:r w:rsidRPr="00325D8C">
        <w:rPr>
          <w:rFonts w:ascii="Times New Roman" w:hAnsi="Times New Roman"/>
          <w:noProof/>
          <w:sz w:val="20"/>
          <w:szCs w:val="20"/>
        </w:rPr>
        <w:t xml:space="preserve">, 81: 523 - 533. </w:t>
      </w:r>
    </w:p>
    <w:p w:rsidR="00325D8C" w:rsidRDefault="007724A0" w:rsidP="00325D8C">
      <w:pPr>
        <w:pStyle w:val="ListParagraph"/>
        <w:numPr>
          <w:ilvl w:val="0"/>
          <w:numId w:val="3"/>
        </w:numPr>
        <w:adjustRightInd w:val="0"/>
        <w:spacing w:after="0" w:line="240" w:lineRule="auto"/>
        <w:ind w:left="360"/>
        <w:jc w:val="both"/>
        <w:rPr>
          <w:rFonts w:ascii="Times New Roman" w:hAnsi="Times New Roman"/>
          <w:noProof/>
          <w:sz w:val="20"/>
          <w:szCs w:val="20"/>
        </w:rPr>
      </w:pPr>
      <w:r w:rsidRPr="00325D8C">
        <w:rPr>
          <w:rFonts w:ascii="Times New Roman" w:hAnsi="Times New Roman"/>
          <w:noProof/>
          <w:sz w:val="20"/>
          <w:szCs w:val="20"/>
        </w:rPr>
        <w:t xml:space="preserve">Imase, M., Watanabe, K., Aoyagi, H. and Tanaka, H. (2008). Construction of an artificial symbiotic community using a Chlorella-symbiont association as a model. </w:t>
      </w:r>
      <w:r w:rsidRPr="00325D8C">
        <w:rPr>
          <w:rFonts w:ascii="Times New Roman" w:hAnsi="Times New Roman"/>
          <w:i/>
          <w:iCs/>
          <w:noProof/>
          <w:sz w:val="20"/>
          <w:szCs w:val="20"/>
        </w:rPr>
        <w:t>FEMS Microbiology Ecology,</w:t>
      </w:r>
      <w:r w:rsidRPr="00325D8C">
        <w:rPr>
          <w:rFonts w:ascii="Times New Roman" w:hAnsi="Times New Roman"/>
          <w:noProof/>
          <w:sz w:val="20"/>
          <w:szCs w:val="20"/>
        </w:rPr>
        <w:t xml:space="preserve"> 63(3): 273 - 282. </w:t>
      </w:r>
    </w:p>
    <w:p w:rsidR="00A74A7E" w:rsidRPr="00325D8C" w:rsidRDefault="007724A0" w:rsidP="00325D8C">
      <w:pPr>
        <w:pStyle w:val="ListParagraph"/>
        <w:numPr>
          <w:ilvl w:val="0"/>
          <w:numId w:val="3"/>
        </w:numPr>
        <w:adjustRightInd w:val="0"/>
        <w:spacing w:after="0" w:line="240" w:lineRule="auto"/>
        <w:ind w:left="360"/>
        <w:jc w:val="both"/>
        <w:rPr>
          <w:sz w:val="20"/>
          <w:szCs w:val="20"/>
        </w:rPr>
      </w:pPr>
      <w:r w:rsidRPr="00325D8C">
        <w:rPr>
          <w:rFonts w:ascii="Times New Roman" w:hAnsi="Times New Roman"/>
          <w:noProof/>
          <w:sz w:val="20"/>
          <w:szCs w:val="20"/>
        </w:rPr>
        <w:t xml:space="preserve">Borkenstein, C. G., Knoblechner, J., Frühwirth, H. and Schagerl M. (2011). Cultivation of Chlorella emersonii with flue gas derived from a cement plant. </w:t>
      </w:r>
      <w:r w:rsidRPr="00325D8C">
        <w:rPr>
          <w:rFonts w:ascii="Times New Roman" w:hAnsi="Times New Roman"/>
          <w:i/>
          <w:iCs/>
          <w:noProof/>
          <w:sz w:val="20"/>
          <w:szCs w:val="20"/>
        </w:rPr>
        <w:t>Journal of Applied Phycology</w:t>
      </w:r>
      <w:r w:rsidRPr="00325D8C">
        <w:rPr>
          <w:rFonts w:ascii="Times New Roman" w:hAnsi="Times New Roman"/>
          <w:noProof/>
          <w:sz w:val="20"/>
          <w:szCs w:val="20"/>
        </w:rPr>
        <w:t xml:space="preserve">, 23(1): 131 - 135. </w:t>
      </w:r>
      <w:r w:rsidRPr="00325D8C">
        <w:rPr>
          <w:rFonts w:ascii="Times New Roman" w:hAnsi="Times New Roman"/>
          <w:sz w:val="20"/>
          <w:szCs w:val="20"/>
        </w:rPr>
        <w:fldChar w:fldCharType="end"/>
      </w:r>
    </w:p>
    <w:sectPr w:rsidR="00A74A7E" w:rsidRPr="00325D8C" w:rsidSect="00A525DC">
      <w:headerReference w:type="even" r:id="rId23"/>
      <w:headerReference w:type="default" r:id="rId24"/>
      <w:footerReference w:type="even" r:id="rId25"/>
      <w:footerReference w:type="default" r:id="rId26"/>
      <w:pgSz w:w="12240" w:h="15840" w:code="1"/>
      <w:pgMar w:top="1800" w:right="1469" w:bottom="1699" w:left="1440" w:header="706" w:footer="706" w:gutter="0"/>
      <w:pgNumType w:start="46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641" w:rsidRDefault="00502641" w:rsidP="00FB4C59">
      <w:pPr>
        <w:spacing w:after="0" w:line="240" w:lineRule="auto"/>
      </w:pPr>
      <w:r>
        <w:separator/>
      </w:r>
    </w:p>
  </w:endnote>
  <w:endnote w:type="continuationSeparator" w:id="0">
    <w:p w:rsidR="00502641" w:rsidRDefault="00502641"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829628"/>
      <w:docPartObj>
        <w:docPartGallery w:val="Page Numbers (Bottom of Page)"/>
        <w:docPartUnique/>
      </w:docPartObj>
    </w:sdtPr>
    <w:sdtEndPr>
      <w:rPr>
        <w:rFonts w:ascii="Times New Roman" w:hAnsi="Times New Roman"/>
        <w:noProof/>
      </w:rPr>
    </w:sdtEndPr>
    <w:sdtContent>
      <w:p w:rsidR="00C0756D" w:rsidRPr="00C0756D" w:rsidRDefault="00C0756D">
        <w:pPr>
          <w:pStyle w:val="Footer"/>
          <w:jc w:val="right"/>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413C66">
          <w:rPr>
            <w:rFonts w:ascii="Times New Roman" w:hAnsi="Times New Roman"/>
            <w:noProof/>
          </w:rPr>
          <w:t>468</w:t>
        </w:r>
        <w:r w:rsidRPr="00C0756D">
          <w:rPr>
            <w:rFonts w:ascii="Times New Roman" w:hAnsi="Times New Roman"/>
            <w:noProof/>
          </w:rPr>
          <w:fldChar w:fldCharType="end"/>
        </w:r>
      </w:p>
    </w:sdtContent>
  </w:sdt>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2005431"/>
      <w:docPartObj>
        <w:docPartGallery w:val="Page Numbers (Bottom of Page)"/>
        <w:docPartUnique/>
      </w:docPartObj>
    </w:sdtPr>
    <w:sdtEndPr>
      <w:rPr>
        <w:rFonts w:ascii="Times New Roman" w:hAnsi="Times New Roman"/>
        <w:noProof/>
      </w:rPr>
    </w:sdtEndPr>
    <w:sdtContent>
      <w:p w:rsidR="00C0756D" w:rsidRPr="00C0756D" w:rsidRDefault="00C0756D">
        <w:pPr>
          <w:pStyle w:val="Footer"/>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413C66">
          <w:rPr>
            <w:rFonts w:ascii="Times New Roman" w:hAnsi="Times New Roman"/>
            <w:noProof/>
          </w:rPr>
          <w:t>469</w:t>
        </w:r>
        <w:r w:rsidRPr="00C0756D">
          <w:rPr>
            <w:rFonts w:ascii="Times New Roman" w:hAnsi="Times New Roman"/>
            <w:noProof/>
          </w:rPr>
          <w:fldChar w:fldCharType="end"/>
        </w:r>
      </w:p>
    </w:sdtContent>
  </w:sdt>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641" w:rsidRDefault="00502641" w:rsidP="00FB4C59">
      <w:pPr>
        <w:spacing w:after="0" w:line="240" w:lineRule="auto"/>
      </w:pPr>
      <w:r>
        <w:separator/>
      </w:r>
    </w:p>
  </w:footnote>
  <w:footnote w:type="continuationSeparator" w:id="0">
    <w:p w:rsidR="00502641" w:rsidRDefault="00502641"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070690">
      <w:rPr>
        <w:rFonts w:ascii="Times New Roman" w:hAnsi="Times New Roman"/>
        <w:i/>
        <w:lang w:val="en-US"/>
      </w:rPr>
      <w:t>21</w:t>
    </w:r>
    <w:r w:rsidR="00CF05FF">
      <w:rPr>
        <w:rFonts w:ascii="Times New Roman" w:hAnsi="Times New Roman"/>
        <w:i/>
      </w:rPr>
      <w:t xml:space="preserve"> </w:t>
    </w:r>
    <w:r w:rsidR="00EF4195">
      <w:rPr>
        <w:rFonts w:ascii="Times New Roman" w:hAnsi="Times New Roman"/>
        <w:i/>
        <w:lang w:val="en-US"/>
      </w:rPr>
      <w:t>No 2</w:t>
    </w:r>
    <w:r w:rsidR="00B25B65">
      <w:rPr>
        <w:rFonts w:ascii="Times New Roman" w:hAnsi="Times New Roman"/>
        <w:i/>
      </w:rPr>
      <w:t xml:space="preserve"> (201</w:t>
    </w:r>
    <w:r w:rsidR="00070690">
      <w:rPr>
        <w:rFonts w:ascii="Times New Roman" w:hAnsi="Times New Roman"/>
        <w:i/>
        <w:lang w:val="en-US"/>
      </w:rPr>
      <w:t>7</w:t>
    </w:r>
    <w:r w:rsidRPr="00D75B35">
      <w:rPr>
        <w:rFonts w:ascii="Times New Roman" w:hAnsi="Times New Roman"/>
        <w:i/>
      </w:rPr>
      <w:t xml:space="preserve">): </w:t>
    </w:r>
    <w:r w:rsidR="00A525DC">
      <w:rPr>
        <w:rFonts w:ascii="Times New Roman" w:hAnsi="Times New Roman"/>
        <w:i/>
        <w:lang w:val="en-US"/>
      </w:rPr>
      <w:t>460</w:t>
    </w:r>
    <w:r w:rsidR="004B43FF">
      <w:rPr>
        <w:rFonts w:ascii="Times New Roman" w:hAnsi="Times New Roman"/>
        <w:i/>
        <w:lang w:val="en-US"/>
      </w:rPr>
      <w:t xml:space="preserve"> </w:t>
    </w:r>
    <w:r w:rsidR="00583C85">
      <w:rPr>
        <w:rFonts w:ascii="Times New Roman" w:hAnsi="Times New Roman"/>
        <w:i/>
        <w:lang w:val="en-US"/>
      </w:rPr>
      <w:t>-</w:t>
    </w:r>
    <w:r w:rsidR="00A525DC">
      <w:rPr>
        <w:rFonts w:ascii="Times New Roman" w:hAnsi="Times New Roman"/>
        <w:i/>
        <w:lang w:val="en-US"/>
      </w:rPr>
      <w:t xml:space="preserve"> 469</w:t>
    </w:r>
  </w:p>
  <w:p w:rsidR="006A3A0F" w:rsidRPr="004B43FF" w:rsidRDefault="006A3A0F" w:rsidP="006A3A0F">
    <w:pPr>
      <w:pStyle w:val="Header"/>
      <w:jc w:val="right"/>
      <w:rPr>
        <w:rFonts w:ascii="Times New Roman" w:hAnsi="Times New Roman"/>
        <w:i/>
        <w:lang w:val="en-US"/>
      </w:rPr>
    </w:pPr>
    <w:r>
      <w:rPr>
        <w:rFonts w:ascii="Times New Roman" w:hAnsi="Times New Roman"/>
        <w:i/>
        <w:lang w:val="en-US"/>
      </w:rPr>
      <w:t>DOI: http</w:t>
    </w:r>
    <w:r w:rsidR="00EF4195">
      <w:rPr>
        <w:rFonts w:ascii="Times New Roman" w:hAnsi="Times New Roman"/>
        <w:i/>
        <w:lang w:val="en-US"/>
      </w:rPr>
      <w:t>s://</w:t>
    </w:r>
    <w:r w:rsidR="00070690">
      <w:rPr>
        <w:rFonts w:ascii="Times New Roman" w:hAnsi="Times New Roman"/>
        <w:i/>
        <w:lang w:val="en-US"/>
      </w:rPr>
      <w:t>doi.org/10.17576/mjas-2017-21</w:t>
    </w:r>
    <w:r w:rsidR="000C5261">
      <w:rPr>
        <w:rFonts w:ascii="Times New Roman" w:hAnsi="Times New Roman"/>
        <w:i/>
        <w:lang w:val="en-US"/>
      </w:rPr>
      <w:t>0</w:t>
    </w:r>
    <w:r w:rsidR="007F4ECC">
      <w:rPr>
        <w:rFonts w:ascii="Times New Roman" w:hAnsi="Times New Roman"/>
        <w:i/>
        <w:lang w:val="en-US"/>
      </w:rPr>
      <w:t>2</w:t>
    </w:r>
    <w:r w:rsidR="00A525DC">
      <w:rPr>
        <w:rFonts w:ascii="Times New Roman" w:hAnsi="Times New Roman"/>
        <w:i/>
        <w:lang w:val="en-US"/>
      </w:rPr>
      <w:t>-22</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BD6" w:rsidRPr="00B77BD6" w:rsidRDefault="00B77BD6" w:rsidP="00B77BD6">
    <w:pPr>
      <w:spacing w:after="0" w:line="240" w:lineRule="auto"/>
      <w:ind w:left="2070" w:hanging="2070"/>
      <w:outlineLvl w:val="0"/>
      <w:rPr>
        <w:rFonts w:ascii="Times New Roman" w:hAnsi="Times New Roman"/>
        <w:sz w:val="20"/>
        <w:szCs w:val="20"/>
      </w:rPr>
    </w:pPr>
    <w:r>
      <w:rPr>
        <w:rFonts w:ascii="Times New Roman" w:hAnsi="Times New Roman"/>
        <w:sz w:val="20"/>
        <w:szCs w:val="20"/>
      </w:rPr>
      <w:t>Muhammad Nazry et al</w:t>
    </w:r>
    <w:r w:rsidR="008E6968" w:rsidRPr="00B77BD6">
      <w:rPr>
        <w:rFonts w:ascii="Times New Roman" w:hAnsi="Times New Roman"/>
        <w:sz w:val="20"/>
        <w:szCs w:val="20"/>
      </w:rPr>
      <w:t xml:space="preserve">:  </w:t>
    </w:r>
    <w:r>
      <w:rPr>
        <w:rFonts w:ascii="Times New Roman" w:hAnsi="Times New Roman"/>
        <w:sz w:val="20"/>
        <w:szCs w:val="20"/>
      </w:rPr>
      <w:tab/>
    </w:r>
    <w:r w:rsidRPr="00B77BD6">
      <w:rPr>
        <w:rFonts w:ascii="Times New Roman" w:hAnsi="Times New Roman"/>
        <w:sz w:val="20"/>
        <w:szCs w:val="20"/>
      </w:rPr>
      <w:t xml:space="preserve">ISOLATION, PURIFICATION AND IDENTIFICATION OF MICROALGAE FROM COAL-FIRED POWER PLANT ENVIRONMENT </w:t>
    </w:r>
  </w:p>
  <w:p w:rsidR="00D75B35" w:rsidRPr="00B75BF6" w:rsidRDefault="00D75B35" w:rsidP="008E6968">
    <w:pPr>
      <w:pStyle w:val="Header"/>
      <w:rPr>
        <w:rFonts w:ascii="Times New Roman" w:hAnsi="Times New Roman"/>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43D6295C"/>
    <w:multiLevelType w:val="hybridMultilevel"/>
    <w:tmpl w:val="DAEACD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563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06EBC"/>
    <w:rsid w:val="00016385"/>
    <w:rsid w:val="00070690"/>
    <w:rsid w:val="00084936"/>
    <w:rsid w:val="000C49FF"/>
    <w:rsid w:val="000C5261"/>
    <w:rsid w:val="000E5AF1"/>
    <w:rsid w:val="000F77DA"/>
    <w:rsid w:val="001068E8"/>
    <w:rsid w:val="00117BCD"/>
    <w:rsid w:val="001369D4"/>
    <w:rsid w:val="001D035A"/>
    <w:rsid w:val="001D3855"/>
    <w:rsid w:val="001D6F2C"/>
    <w:rsid w:val="00210E36"/>
    <w:rsid w:val="00216D2C"/>
    <w:rsid w:val="00221D39"/>
    <w:rsid w:val="002B188F"/>
    <w:rsid w:val="002B3BD8"/>
    <w:rsid w:val="002F3F91"/>
    <w:rsid w:val="00304767"/>
    <w:rsid w:val="00304B34"/>
    <w:rsid w:val="00325D8C"/>
    <w:rsid w:val="0033321E"/>
    <w:rsid w:val="00361BAF"/>
    <w:rsid w:val="00367D1F"/>
    <w:rsid w:val="00373A9B"/>
    <w:rsid w:val="00383F26"/>
    <w:rsid w:val="003D2A4E"/>
    <w:rsid w:val="003D585B"/>
    <w:rsid w:val="003E7DA6"/>
    <w:rsid w:val="003F12FF"/>
    <w:rsid w:val="00413C66"/>
    <w:rsid w:val="004760D4"/>
    <w:rsid w:val="00494C46"/>
    <w:rsid w:val="004B43FF"/>
    <w:rsid w:val="00502641"/>
    <w:rsid w:val="00545363"/>
    <w:rsid w:val="00583C85"/>
    <w:rsid w:val="00584156"/>
    <w:rsid w:val="005C6768"/>
    <w:rsid w:val="00634C25"/>
    <w:rsid w:val="00637BF5"/>
    <w:rsid w:val="006416AB"/>
    <w:rsid w:val="006433EA"/>
    <w:rsid w:val="006768E9"/>
    <w:rsid w:val="00687982"/>
    <w:rsid w:val="00695D0E"/>
    <w:rsid w:val="006A3A0F"/>
    <w:rsid w:val="006B3EC8"/>
    <w:rsid w:val="006D695E"/>
    <w:rsid w:val="00725A6A"/>
    <w:rsid w:val="00730CB3"/>
    <w:rsid w:val="007724A0"/>
    <w:rsid w:val="007943F3"/>
    <w:rsid w:val="007A738C"/>
    <w:rsid w:val="007B1349"/>
    <w:rsid w:val="007E25BD"/>
    <w:rsid w:val="007F4ECC"/>
    <w:rsid w:val="00801E18"/>
    <w:rsid w:val="00802C35"/>
    <w:rsid w:val="0082181A"/>
    <w:rsid w:val="008B470E"/>
    <w:rsid w:val="008C14D6"/>
    <w:rsid w:val="008E1211"/>
    <w:rsid w:val="008E5BBF"/>
    <w:rsid w:val="008E6968"/>
    <w:rsid w:val="00A14DB9"/>
    <w:rsid w:val="00A4762A"/>
    <w:rsid w:val="00A525DC"/>
    <w:rsid w:val="00A74A7E"/>
    <w:rsid w:val="00AD1B8A"/>
    <w:rsid w:val="00AE713F"/>
    <w:rsid w:val="00B1121C"/>
    <w:rsid w:val="00B25B65"/>
    <w:rsid w:val="00B2770A"/>
    <w:rsid w:val="00B314AD"/>
    <w:rsid w:val="00B75BF6"/>
    <w:rsid w:val="00B77BD6"/>
    <w:rsid w:val="00BA1F7B"/>
    <w:rsid w:val="00BB58AF"/>
    <w:rsid w:val="00BE7C30"/>
    <w:rsid w:val="00C01022"/>
    <w:rsid w:val="00C055BF"/>
    <w:rsid w:val="00C0756D"/>
    <w:rsid w:val="00C2226A"/>
    <w:rsid w:val="00C94D92"/>
    <w:rsid w:val="00C97340"/>
    <w:rsid w:val="00CA513F"/>
    <w:rsid w:val="00CE3C93"/>
    <w:rsid w:val="00CF05FF"/>
    <w:rsid w:val="00D340BB"/>
    <w:rsid w:val="00D505D5"/>
    <w:rsid w:val="00D63C28"/>
    <w:rsid w:val="00D75B35"/>
    <w:rsid w:val="00D76E09"/>
    <w:rsid w:val="00D9736F"/>
    <w:rsid w:val="00D9792A"/>
    <w:rsid w:val="00DD377F"/>
    <w:rsid w:val="00E25547"/>
    <w:rsid w:val="00E2773B"/>
    <w:rsid w:val="00E3287E"/>
    <w:rsid w:val="00E50119"/>
    <w:rsid w:val="00E66197"/>
    <w:rsid w:val="00E81C0D"/>
    <w:rsid w:val="00EF4195"/>
    <w:rsid w:val="00F202C3"/>
    <w:rsid w:val="00F31093"/>
    <w:rsid w:val="00F412AF"/>
    <w:rsid w:val="00F43667"/>
    <w:rsid w:val="00F447A7"/>
    <w:rsid w:val="00FB4C59"/>
    <w:rsid w:val="00FE0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63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216D2C"/>
    <w:rPr>
      <w:color w:val="0000FF" w:themeColor="hyperlink"/>
      <w:u w:val="single"/>
    </w:rPr>
  </w:style>
  <w:style w:type="paragraph" w:customStyle="1" w:styleId="JESTECAbstract">
    <w:name w:val="JESTEC Abstract"/>
    <w:basedOn w:val="BodyText"/>
    <w:rsid w:val="00B77BD6"/>
    <w:pPr>
      <w:spacing w:before="120" w:after="0" w:line="240" w:lineRule="auto"/>
      <w:ind w:left="357" w:right="448"/>
      <w:jc w:val="both"/>
    </w:pPr>
    <w:rPr>
      <w:rFonts w:ascii="Times New Roman" w:eastAsia="SimSun" w:hAnsi="Times New Roman"/>
      <w:sz w:val="18"/>
      <w:szCs w:val="18"/>
      <w:lang w:val="en-GB" w:bidi="ar-SA"/>
    </w:rPr>
  </w:style>
  <w:style w:type="paragraph" w:styleId="BodyText">
    <w:name w:val="Body Text"/>
    <w:basedOn w:val="Normal"/>
    <w:link w:val="BodyTextChar"/>
    <w:uiPriority w:val="99"/>
    <w:semiHidden/>
    <w:unhideWhenUsed/>
    <w:rsid w:val="00B77BD6"/>
    <w:pPr>
      <w:spacing w:after="120"/>
    </w:pPr>
  </w:style>
  <w:style w:type="character" w:customStyle="1" w:styleId="BodyTextChar">
    <w:name w:val="Body Text Char"/>
    <w:basedOn w:val="DefaultParagraphFont"/>
    <w:link w:val="BodyText"/>
    <w:uiPriority w:val="99"/>
    <w:semiHidden/>
    <w:rsid w:val="00B77BD6"/>
    <w:rPr>
      <w:rFonts w:eastAsia="Times New Roman"/>
      <w:sz w:val="22"/>
      <w:szCs w:val="22"/>
      <w:lang w:bidi="en-US"/>
    </w:rPr>
  </w:style>
  <w:style w:type="table" w:styleId="TableGrid">
    <w:name w:val="Table Grid"/>
    <w:basedOn w:val="TableNormal"/>
    <w:uiPriority w:val="59"/>
    <w:rsid w:val="00B77BD6"/>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77BD6"/>
    <w:pPr>
      <w:spacing w:before="100" w:beforeAutospacing="1" w:after="100" w:afterAutospacing="1" w:line="240" w:lineRule="auto"/>
    </w:pPr>
    <w:rPr>
      <w:rFonts w:ascii="Times New Roman" w:eastAsiaTheme="minorEastAsia" w:hAnsi="Times New Roman"/>
      <w:sz w:val="24"/>
      <w:szCs w:val="24"/>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216D2C"/>
    <w:rPr>
      <w:color w:val="0000FF" w:themeColor="hyperlink"/>
      <w:u w:val="single"/>
    </w:rPr>
  </w:style>
  <w:style w:type="paragraph" w:customStyle="1" w:styleId="JESTECAbstract">
    <w:name w:val="JESTEC Abstract"/>
    <w:basedOn w:val="BodyText"/>
    <w:rsid w:val="00B77BD6"/>
    <w:pPr>
      <w:spacing w:before="120" w:after="0" w:line="240" w:lineRule="auto"/>
      <w:ind w:left="357" w:right="448"/>
      <w:jc w:val="both"/>
    </w:pPr>
    <w:rPr>
      <w:rFonts w:ascii="Times New Roman" w:eastAsia="SimSun" w:hAnsi="Times New Roman"/>
      <w:sz w:val="18"/>
      <w:szCs w:val="18"/>
      <w:lang w:val="en-GB" w:bidi="ar-SA"/>
    </w:rPr>
  </w:style>
  <w:style w:type="paragraph" w:styleId="BodyText">
    <w:name w:val="Body Text"/>
    <w:basedOn w:val="Normal"/>
    <w:link w:val="BodyTextChar"/>
    <w:uiPriority w:val="99"/>
    <w:semiHidden/>
    <w:unhideWhenUsed/>
    <w:rsid w:val="00B77BD6"/>
    <w:pPr>
      <w:spacing w:after="120"/>
    </w:pPr>
  </w:style>
  <w:style w:type="character" w:customStyle="1" w:styleId="BodyTextChar">
    <w:name w:val="Body Text Char"/>
    <w:basedOn w:val="DefaultParagraphFont"/>
    <w:link w:val="BodyText"/>
    <w:uiPriority w:val="99"/>
    <w:semiHidden/>
    <w:rsid w:val="00B77BD6"/>
    <w:rPr>
      <w:rFonts w:eastAsia="Times New Roman"/>
      <w:sz w:val="22"/>
      <w:szCs w:val="22"/>
      <w:lang w:bidi="en-US"/>
    </w:rPr>
  </w:style>
  <w:style w:type="table" w:styleId="TableGrid">
    <w:name w:val="Table Grid"/>
    <w:basedOn w:val="TableNormal"/>
    <w:uiPriority w:val="59"/>
    <w:rsid w:val="00B77BD6"/>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77BD6"/>
    <w:pPr>
      <w:spacing w:before="100" w:beforeAutospacing="1" w:after="100" w:afterAutospacing="1" w:line="240" w:lineRule="auto"/>
    </w:pPr>
    <w:rPr>
      <w:rFonts w:ascii="Times New Roman" w:eastAsiaTheme="minorEastAsia" w:hAnsi="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e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chart" Target="charts/chart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Toshiba\Desktop\TNBR\TNB%20Research%20Data.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Toshiba\Desktop\TNBR\TNB%20Research%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017065118851453"/>
          <c:y val="5.1400554097404488E-2"/>
          <c:w val="0.71570127774578507"/>
          <c:h val="0.78423571370518574"/>
        </c:manualLayout>
      </c:layout>
      <c:scatterChart>
        <c:scatterStyle val="lineMarker"/>
        <c:varyColors val="1"/>
        <c:ser>
          <c:idx val="1"/>
          <c:order val="0"/>
          <c:tx>
            <c:v>CO2 output (%)</c:v>
          </c:tx>
          <c:spPr>
            <a:ln w="28575" cap="rnd">
              <a:solidFill>
                <a:schemeClr val="accent2"/>
              </a:solidFill>
              <a:round/>
            </a:ln>
            <a:effectLst/>
          </c:spPr>
          <c:marker>
            <c:symbol val="circle"/>
            <c:size val="5"/>
            <c:spPr>
              <a:solidFill>
                <a:schemeClr val="accent2"/>
              </a:solidFill>
              <a:ln w="9525">
                <a:solidFill>
                  <a:schemeClr val="accent2"/>
                </a:solidFill>
              </a:ln>
              <a:effectLst/>
            </c:spPr>
          </c:marker>
          <c:xVal>
            <c:numRef>
              <c:f>Sheet2!$B$25:$B$42</c:f>
              <c:numCache>
                <c:formatCode>General</c:formatCode>
                <c:ptCount val="18"/>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numCache>
            </c:numRef>
          </c:xVal>
          <c:yVal>
            <c:numRef>
              <c:f>Sheet2!$D$25:$D$42</c:f>
              <c:numCache>
                <c:formatCode>General</c:formatCode>
                <c:ptCount val="18"/>
                <c:pt idx="0">
                  <c:v>1.25</c:v>
                </c:pt>
                <c:pt idx="1">
                  <c:v>1.5</c:v>
                </c:pt>
                <c:pt idx="2">
                  <c:v>2</c:v>
                </c:pt>
                <c:pt idx="3">
                  <c:v>2</c:v>
                </c:pt>
                <c:pt idx="4">
                  <c:v>1.75</c:v>
                </c:pt>
                <c:pt idx="5">
                  <c:v>1.55</c:v>
                </c:pt>
                <c:pt idx="6">
                  <c:v>1.3</c:v>
                </c:pt>
                <c:pt idx="7">
                  <c:v>1.05</c:v>
                </c:pt>
                <c:pt idx="8">
                  <c:v>0.97499999999999998</c:v>
                </c:pt>
                <c:pt idx="9">
                  <c:v>0.96499999999999997</c:v>
                </c:pt>
                <c:pt idx="10">
                  <c:v>0.98499999999999999</c:v>
                </c:pt>
                <c:pt idx="11">
                  <c:v>0.97499999999999998</c:v>
                </c:pt>
                <c:pt idx="12">
                  <c:v>0.97499999999999998</c:v>
                </c:pt>
                <c:pt idx="13">
                  <c:v>0.97499999999999998</c:v>
                </c:pt>
                <c:pt idx="14">
                  <c:v>0.95499999999999996</c:v>
                </c:pt>
                <c:pt idx="15">
                  <c:v>0.96499999999999997</c:v>
                </c:pt>
                <c:pt idx="16">
                  <c:v>0.95499999999999996</c:v>
                </c:pt>
                <c:pt idx="17">
                  <c:v>0.97499999999999998</c:v>
                </c:pt>
              </c:numCache>
            </c:numRef>
          </c:yVal>
          <c:smooth val="1"/>
        </c:ser>
        <c:dLbls>
          <c:showLegendKey val="0"/>
          <c:showVal val="0"/>
          <c:showCatName val="0"/>
          <c:showSerName val="0"/>
          <c:showPercent val="0"/>
          <c:showBubbleSize val="0"/>
        </c:dLbls>
        <c:axId val="69020672"/>
        <c:axId val="76400128"/>
      </c:scatterChart>
      <c:scatterChart>
        <c:scatterStyle val="lineMarker"/>
        <c:varyColors val="1"/>
        <c:ser>
          <c:idx val="2"/>
          <c:order val="1"/>
          <c:tx>
            <c:v>CO2 seq rate (%)</c:v>
          </c:tx>
          <c:spPr>
            <a:ln w="28575" cap="rnd">
              <a:solidFill>
                <a:schemeClr val="accent3"/>
              </a:solidFill>
              <a:round/>
            </a:ln>
            <a:effectLst/>
          </c:spPr>
          <c:marker>
            <c:symbol val="circle"/>
            <c:size val="5"/>
            <c:spPr>
              <a:solidFill>
                <a:schemeClr val="accent3"/>
              </a:solidFill>
              <a:ln w="9525">
                <a:solidFill>
                  <a:schemeClr val="accent3"/>
                </a:solidFill>
              </a:ln>
              <a:effectLst/>
            </c:spPr>
          </c:marker>
          <c:xVal>
            <c:numRef>
              <c:f>Sheet2!$B$25:$B$42</c:f>
              <c:numCache>
                <c:formatCode>General</c:formatCode>
                <c:ptCount val="18"/>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numCache>
            </c:numRef>
          </c:xVal>
          <c:yVal>
            <c:numRef>
              <c:f>Sheet2!$E$25:$E$42</c:f>
              <c:numCache>
                <c:formatCode>General</c:formatCode>
                <c:ptCount val="18"/>
                <c:pt idx="0">
                  <c:v>-25</c:v>
                </c:pt>
                <c:pt idx="1">
                  <c:v>-50</c:v>
                </c:pt>
                <c:pt idx="2">
                  <c:v>-100</c:v>
                </c:pt>
                <c:pt idx="3">
                  <c:v>-100</c:v>
                </c:pt>
                <c:pt idx="4">
                  <c:v>-75</c:v>
                </c:pt>
                <c:pt idx="5">
                  <c:v>-55.000000000000007</c:v>
                </c:pt>
                <c:pt idx="6">
                  <c:v>-30.000000000000004</c:v>
                </c:pt>
                <c:pt idx="7">
                  <c:v>-5.0000000000000044</c:v>
                </c:pt>
                <c:pt idx="8">
                  <c:v>2.5000000000000022</c:v>
                </c:pt>
                <c:pt idx="9">
                  <c:v>3.5000000000000031</c:v>
                </c:pt>
                <c:pt idx="10">
                  <c:v>1.5000000000000013</c:v>
                </c:pt>
                <c:pt idx="11">
                  <c:v>2.5000000000000022</c:v>
                </c:pt>
                <c:pt idx="12">
                  <c:v>2.5000000000000022</c:v>
                </c:pt>
                <c:pt idx="13">
                  <c:v>2.5000000000000022</c:v>
                </c:pt>
                <c:pt idx="14">
                  <c:v>4.5000000000000036</c:v>
                </c:pt>
                <c:pt idx="15">
                  <c:v>3.5000000000000031</c:v>
                </c:pt>
                <c:pt idx="16">
                  <c:v>4.5000000000000036</c:v>
                </c:pt>
                <c:pt idx="17">
                  <c:v>2.5000000000000022</c:v>
                </c:pt>
              </c:numCache>
            </c:numRef>
          </c:yVal>
          <c:smooth val="1"/>
        </c:ser>
        <c:dLbls>
          <c:showLegendKey val="0"/>
          <c:showVal val="0"/>
          <c:showCatName val="0"/>
          <c:showSerName val="0"/>
          <c:showPercent val="0"/>
          <c:showBubbleSize val="0"/>
        </c:dLbls>
        <c:axId val="78292096"/>
        <c:axId val="76484608"/>
      </c:scatterChart>
      <c:valAx>
        <c:axId val="69020672"/>
        <c:scaling>
          <c:orientation val="minMax"/>
          <c:max val="17"/>
          <c:min val="0"/>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MY" sz="800" b="1"/>
                  <a:t>Days of cultivation</a:t>
                </a:r>
              </a:p>
            </c:rich>
          </c:tx>
          <c:layout>
            <c:manualLayout>
              <c:xMode val="edge"/>
              <c:yMode val="edge"/>
              <c:x val="0.39107633420822407"/>
              <c:y val="0.92497666958296831"/>
            </c:manualLayout>
          </c:layout>
          <c:overlay val="1"/>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400128"/>
        <c:crosses val="autoZero"/>
        <c:crossBetween val="midCat"/>
        <c:majorUnit val="2"/>
      </c:valAx>
      <c:valAx>
        <c:axId val="76400128"/>
        <c:scaling>
          <c:orientation val="minMax"/>
        </c:scaling>
        <c:delete val="0"/>
        <c:axPos val="l"/>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n-MY" sz="800" b="1"/>
                  <a:t>CO</a:t>
                </a:r>
                <a:r>
                  <a:rPr lang="en-MY" sz="800" b="1" baseline="-25000"/>
                  <a:t>2</a:t>
                </a:r>
                <a:r>
                  <a:rPr lang="en-MY" sz="800" b="1"/>
                  <a:t> percentage (input &amp;</a:t>
                </a:r>
                <a:r>
                  <a:rPr lang="en-MY" sz="800" b="1" baseline="0"/>
                  <a:t> </a:t>
                </a:r>
                <a:r>
                  <a:rPr lang="en-MY" sz="800" b="1"/>
                  <a:t>output)</a:t>
                </a:r>
              </a:p>
            </c:rich>
          </c:tx>
          <c:layout>
            <c:manualLayout>
              <c:xMode val="edge"/>
              <c:yMode val="edge"/>
              <c:x val="1.6666571638718951E-2"/>
              <c:y val="0.19241474597096128"/>
            </c:manualLayout>
          </c:layout>
          <c:overlay val="1"/>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020672"/>
        <c:crosses val="autoZero"/>
        <c:crossBetween val="midCat"/>
      </c:valAx>
      <c:valAx>
        <c:axId val="76484608"/>
        <c:scaling>
          <c:orientation val="minMax"/>
          <c:max val="5"/>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292096"/>
        <c:crosses val="max"/>
        <c:crossBetween val="midCat"/>
      </c:valAx>
      <c:valAx>
        <c:axId val="78292096"/>
        <c:scaling>
          <c:orientation val="minMax"/>
        </c:scaling>
        <c:delete val="0"/>
        <c:axPos val="b"/>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484608"/>
        <c:crosses val="autoZero"/>
        <c:crossBetween val="midCat"/>
      </c:valAx>
      <c:spPr>
        <a:noFill/>
        <a:ln w="3175">
          <a:solidFill>
            <a:schemeClr val="tx1"/>
          </a:solidFill>
        </a:ln>
        <a:effectLst/>
      </c:spPr>
    </c:plotArea>
    <c:legend>
      <c:legendPos val="b"/>
      <c:layout>
        <c:manualLayout>
          <c:xMode val="edge"/>
          <c:yMode val="edge"/>
          <c:x val="0.42469816272965877"/>
          <c:y val="0.56729133858267722"/>
          <c:w val="0.50897900072411295"/>
          <c:h val="0.2542508689146096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1"/>
  </c:chart>
  <c:spPr>
    <a:solidFill>
      <a:schemeClr val="bg1"/>
    </a:solidFill>
    <a:ln w="9525" cap="flat" cmpd="sng" algn="ctr">
      <a:noFill/>
      <a:round/>
    </a:ln>
    <a:effectLst/>
  </c:spPr>
  <c:txPr>
    <a:bodyPr/>
    <a:lstStyle/>
    <a:p>
      <a:pPr algn="just">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80796150481186"/>
          <c:y val="5.1400554097404488E-2"/>
          <c:w val="0.74946675606597213"/>
          <c:h val="0.78371366107453255"/>
        </c:manualLayout>
      </c:layout>
      <c:scatterChart>
        <c:scatterStyle val="lineMarker"/>
        <c:varyColors val="1"/>
        <c:ser>
          <c:idx val="1"/>
          <c:order val="0"/>
          <c:tx>
            <c:v>CO2 output (%)</c:v>
          </c:tx>
          <c:spPr>
            <a:ln w="28575" cap="rnd">
              <a:solidFill>
                <a:schemeClr val="accent2"/>
              </a:solidFill>
              <a:round/>
            </a:ln>
            <a:effectLst/>
          </c:spPr>
          <c:marker>
            <c:symbol val="circle"/>
            <c:size val="5"/>
            <c:spPr>
              <a:solidFill>
                <a:schemeClr val="accent2"/>
              </a:solidFill>
              <a:ln w="9525">
                <a:solidFill>
                  <a:schemeClr val="accent2"/>
                </a:solidFill>
              </a:ln>
              <a:effectLst/>
            </c:spPr>
          </c:marker>
          <c:xVal>
            <c:numRef>
              <c:f>Sheet2!$B$4:$B$21</c:f>
              <c:numCache>
                <c:formatCode>General</c:formatCode>
                <c:ptCount val="18"/>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numCache>
            </c:numRef>
          </c:xVal>
          <c:yVal>
            <c:numRef>
              <c:f>Sheet2!$D$4:$D$21</c:f>
              <c:numCache>
                <c:formatCode>General</c:formatCode>
                <c:ptCount val="18"/>
                <c:pt idx="0">
                  <c:v>6</c:v>
                </c:pt>
                <c:pt idx="1">
                  <c:v>7</c:v>
                </c:pt>
                <c:pt idx="2">
                  <c:v>8</c:v>
                </c:pt>
                <c:pt idx="3">
                  <c:v>6</c:v>
                </c:pt>
                <c:pt idx="4">
                  <c:v>5.5</c:v>
                </c:pt>
                <c:pt idx="5">
                  <c:v>5</c:v>
                </c:pt>
                <c:pt idx="6">
                  <c:v>5</c:v>
                </c:pt>
                <c:pt idx="7">
                  <c:v>5</c:v>
                </c:pt>
                <c:pt idx="8">
                  <c:v>4.95</c:v>
                </c:pt>
                <c:pt idx="9">
                  <c:v>4.9000000000000004</c:v>
                </c:pt>
                <c:pt idx="10">
                  <c:v>4.8499999999999996</c:v>
                </c:pt>
                <c:pt idx="11">
                  <c:v>4.8499999999999996</c:v>
                </c:pt>
                <c:pt idx="12">
                  <c:v>4.8499999999999996</c:v>
                </c:pt>
                <c:pt idx="13">
                  <c:v>4.8</c:v>
                </c:pt>
                <c:pt idx="14">
                  <c:v>4.75</c:v>
                </c:pt>
                <c:pt idx="15">
                  <c:v>4.7850000000000001</c:v>
                </c:pt>
                <c:pt idx="16">
                  <c:v>4.7850000000000001</c:v>
                </c:pt>
                <c:pt idx="17">
                  <c:v>4.7850000000000001</c:v>
                </c:pt>
              </c:numCache>
            </c:numRef>
          </c:yVal>
          <c:smooth val="1"/>
        </c:ser>
        <c:dLbls>
          <c:showLegendKey val="0"/>
          <c:showVal val="0"/>
          <c:showCatName val="0"/>
          <c:showSerName val="0"/>
          <c:showPercent val="0"/>
          <c:showBubbleSize val="0"/>
        </c:dLbls>
        <c:axId val="123988992"/>
        <c:axId val="125148544"/>
      </c:scatterChart>
      <c:scatterChart>
        <c:scatterStyle val="lineMarker"/>
        <c:varyColors val="1"/>
        <c:ser>
          <c:idx val="2"/>
          <c:order val="1"/>
          <c:tx>
            <c:v>CO2 seq rate (%)</c:v>
          </c:tx>
          <c:spPr>
            <a:ln w="28575" cap="rnd">
              <a:solidFill>
                <a:schemeClr val="accent3"/>
              </a:solidFill>
              <a:round/>
            </a:ln>
            <a:effectLst/>
          </c:spPr>
          <c:marker>
            <c:symbol val="circle"/>
            <c:size val="5"/>
            <c:spPr>
              <a:solidFill>
                <a:schemeClr val="accent3"/>
              </a:solidFill>
              <a:ln w="9525">
                <a:solidFill>
                  <a:schemeClr val="accent3"/>
                </a:solidFill>
              </a:ln>
              <a:effectLst/>
            </c:spPr>
          </c:marker>
          <c:xVal>
            <c:numRef>
              <c:f>Sheet2!$B$4:$B$21</c:f>
              <c:numCache>
                <c:formatCode>General</c:formatCode>
                <c:ptCount val="18"/>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numCache>
            </c:numRef>
          </c:xVal>
          <c:yVal>
            <c:numRef>
              <c:f>Sheet2!$E$4:$E$21</c:f>
              <c:numCache>
                <c:formatCode>General</c:formatCode>
                <c:ptCount val="18"/>
                <c:pt idx="0">
                  <c:v>-20</c:v>
                </c:pt>
                <c:pt idx="1">
                  <c:v>-40</c:v>
                </c:pt>
                <c:pt idx="2">
                  <c:v>-60</c:v>
                </c:pt>
                <c:pt idx="3">
                  <c:v>-20</c:v>
                </c:pt>
                <c:pt idx="4">
                  <c:v>-10</c:v>
                </c:pt>
                <c:pt idx="5">
                  <c:v>0</c:v>
                </c:pt>
                <c:pt idx="6">
                  <c:v>0</c:v>
                </c:pt>
                <c:pt idx="7">
                  <c:v>0</c:v>
                </c:pt>
                <c:pt idx="8">
                  <c:v>0.99999999999999634</c:v>
                </c:pt>
                <c:pt idx="9">
                  <c:v>1.9999999999999927</c:v>
                </c:pt>
                <c:pt idx="10">
                  <c:v>3.0000000000000071</c:v>
                </c:pt>
                <c:pt idx="11">
                  <c:v>3.0000000000000071</c:v>
                </c:pt>
                <c:pt idx="12">
                  <c:v>3.0000000000000071</c:v>
                </c:pt>
                <c:pt idx="13">
                  <c:v>4.0000000000000036</c:v>
                </c:pt>
                <c:pt idx="14">
                  <c:v>5</c:v>
                </c:pt>
                <c:pt idx="15">
                  <c:v>4.2999999999999972</c:v>
                </c:pt>
                <c:pt idx="16">
                  <c:v>4.2999999999999972</c:v>
                </c:pt>
                <c:pt idx="17">
                  <c:v>4.2999999999999972</c:v>
                </c:pt>
              </c:numCache>
            </c:numRef>
          </c:yVal>
          <c:smooth val="1"/>
        </c:ser>
        <c:dLbls>
          <c:showLegendKey val="0"/>
          <c:showVal val="0"/>
          <c:showCatName val="0"/>
          <c:showSerName val="0"/>
          <c:showPercent val="0"/>
          <c:showBubbleSize val="0"/>
        </c:dLbls>
        <c:axId val="29045120"/>
        <c:axId val="127747584"/>
      </c:scatterChart>
      <c:valAx>
        <c:axId val="123988992"/>
        <c:scaling>
          <c:orientation val="minMax"/>
          <c:max val="17"/>
          <c:min val="0"/>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MY" sz="800" b="1">
                    <a:solidFill>
                      <a:sysClr val="windowText" lastClr="000000"/>
                    </a:solidFill>
                  </a:rPr>
                  <a:t>Days of cultivation</a:t>
                </a:r>
              </a:p>
            </c:rich>
          </c:tx>
          <c:layout/>
          <c:overlay val="1"/>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148544"/>
        <c:crosses val="autoZero"/>
        <c:crossBetween val="midCat"/>
        <c:majorUnit val="2"/>
      </c:valAx>
      <c:valAx>
        <c:axId val="125148544"/>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MY" sz="800" b="1">
                    <a:solidFill>
                      <a:sysClr val="windowText" lastClr="000000"/>
                    </a:solidFill>
                  </a:rPr>
                  <a:t>CO</a:t>
                </a:r>
                <a:r>
                  <a:rPr lang="en-MY" sz="800" b="1" baseline="-25000">
                    <a:solidFill>
                      <a:sysClr val="windowText" lastClr="000000"/>
                    </a:solidFill>
                  </a:rPr>
                  <a:t>2</a:t>
                </a:r>
                <a:r>
                  <a:rPr lang="en-MY" sz="800" b="1">
                    <a:solidFill>
                      <a:sysClr val="windowText" lastClr="000000"/>
                    </a:solidFill>
                  </a:rPr>
                  <a:t> percentage (input &amp; output)</a:t>
                </a:r>
              </a:p>
            </c:rich>
          </c:tx>
          <c:layout/>
          <c:overlay val="1"/>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988992"/>
        <c:crosses val="autoZero"/>
        <c:crossBetween val="midCat"/>
      </c:valAx>
      <c:valAx>
        <c:axId val="127747584"/>
        <c:scaling>
          <c:orientation val="minMax"/>
          <c:max val="5"/>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045120"/>
        <c:crosses val="max"/>
        <c:crossBetween val="midCat"/>
      </c:valAx>
      <c:valAx>
        <c:axId val="29045120"/>
        <c:scaling>
          <c:orientation val="minMax"/>
        </c:scaling>
        <c:delete val="0"/>
        <c:axPos val="b"/>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747584"/>
        <c:crosses val="autoZero"/>
        <c:crossBetween val="midCat"/>
      </c:valAx>
      <c:spPr>
        <a:noFill/>
        <a:ln w="3175">
          <a:solidFill>
            <a:schemeClr val="tx1"/>
          </a:solidFill>
        </a:ln>
        <a:effectLst/>
      </c:spPr>
    </c:plotArea>
    <c:legend>
      <c:legendPos val="b"/>
      <c:layout>
        <c:manualLayout>
          <c:xMode val="edge"/>
          <c:yMode val="edge"/>
          <c:x val="0.48304221251819512"/>
          <c:y val="0.56223722599009207"/>
          <c:w val="0.41237263464337698"/>
          <c:h val="0.2636253989695983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1"/>
  </c:chart>
  <c:spPr>
    <a:solidFill>
      <a:schemeClr val="bg1"/>
    </a:solidFill>
    <a:ln w="9525" cap="flat" cmpd="sng" algn="ctr">
      <a:solidFill>
        <a:schemeClr val="bg1"/>
      </a:solidFill>
      <a:round/>
    </a:ln>
    <a:effectLst/>
  </c:spPr>
  <c:txPr>
    <a:bodyPr/>
    <a:lstStyle/>
    <a:p>
      <a:pPr>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0.92708</cdr:x>
      <cdr:y>0.18056</cdr:y>
    </cdr:from>
    <cdr:to>
      <cdr:x>0.99375</cdr:x>
      <cdr:y>0.71875</cdr:y>
    </cdr:to>
    <cdr:sp macro="" textlink="">
      <cdr:nvSpPr>
        <cdr:cNvPr id="2" name="TextBox 1"/>
        <cdr:cNvSpPr txBox="1"/>
      </cdr:nvSpPr>
      <cdr:spPr>
        <a:xfrm xmlns:a="http://schemas.openxmlformats.org/drawingml/2006/main">
          <a:off x="4238625" y="495300"/>
          <a:ext cx="304800" cy="1476375"/>
        </a:xfrm>
        <a:prstGeom xmlns:a="http://schemas.openxmlformats.org/drawingml/2006/main" prst="rect">
          <a:avLst/>
        </a:prstGeom>
      </cdr:spPr>
      <cdr:txBody>
        <a:bodyPr xmlns:a="http://schemas.openxmlformats.org/drawingml/2006/main" vert="vert270"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MY" sz="800" b="1"/>
            <a:t>CO</a:t>
          </a:r>
          <a:r>
            <a:rPr lang="en-MY" sz="800" b="1" baseline="-25000"/>
            <a:t>2</a:t>
          </a:r>
          <a:r>
            <a:rPr lang="en-MY" sz="800" b="1"/>
            <a:t> sequestration</a:t>
          </a:r>
          <a:r>
            <a:rPr lang="en-MY" sz="800" b="1" baseline="0"/>
            <a:t> rate</a:t>
          </a:r>
          <a:endParaRPr lang="en-MY" sz="800" b="1"/>
        </a:p>
      </cdr:txBody>
    </cdr:sp>
  </cdr:relSizeAnchor>
  <cdr:relSizeAnchor xmlns:cdr="http://schemas.openxmlformats.org/drawingml/2006/chartDrawing">
    <cdr:from>
      <cdr:x>0.73065</cdr:x>
      <cdr:y>0.15171</cdr:y>
    </cdr:from>
    <cdr:to>
      <cdr:x>0.84696</cdr:x>
      <cdr:y>0.27387</cdr:y>
    </cdr:to>
    <cdr:sp macro="" textlink="">
      <cdr:nvSpPr>
        <cdr:cNvPr id="3" name="Text Box 2"/>
        <cdr:cNvSpPr txBox="1"/>
      </cdr:nvSpPr>
      <cdr:spPr>
        <a:xfrm xmlns:a="http://schemas.openxmlformats.org/drawingml/2006/main">
          <a:off x="2247900" y="315986"/>
          <a:ext cx="357836" cy="25443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en-US" sz="1100"/>
            <a:t>(a)</a:t>
          </a:r>
        </a:p>
      </cdr:txBody>
    </cdr:sp>
  </cdr:relSizeAnchor>
</c:userShapes>
</file>

<file path=word/drawings/drawing2.xml><?xml version="1.0" encoding="utf-8"?>
<c:userShapes xmlns:c="http://schemas.openxmlformats.org/drawingml/2006/chart">
  <cdr:relSizeAnchor xmlns:cdr="http://schemas.openxmlformats.org/drawingml/2006/chartDrawing">
    <cdr:from>
      <cdr:x>0.91667</cdr:x>
      <cdr:y>0.15625</cdr:y>
    </cdr:from>
    <cdr:to>
      <cdr:x>0.98333</cdr:x>
      <cdr:y>0.69444</cdr:y>
    </cdr:to>
    <cdr:sp macro="" textlink="">
      <cdr:nvSpPr>
        <cdr:cNvPr id="2" name="TextBox 1"/>
        <cdr:cNvSpPr txBox="1"/>
      </cdr:nvSpPr>
      <cdr:spPr>
        <a:xfrm xmlns:a="http://schemas.openxmlformats.org/drawingml/2006/main">
          <a:off x="4191001" y="428625"/>
          <a:ext cx="304800" cy="1476375"/>
        </a:xfrm>
        <a:prstGeom xmlns:a="http://schemas.openxmlformats.org/drawingml/2006/main" prst="rect">
          <a:avLst/>
        </a:prstGeom>
      </cdr:spPr>
      <cdr:txBody>
        <a:bodyPr xmlns:a="http://schemas.openxmlformats.org/drawingml/2006/main" vertOverflow="clip" vert="vert270" wrap="none" rtlCol="0"/>
        <a:lstStyle xmlns:a="http://schemas.openxmlformats.org/drawingml/2006/main"/>
        <a:p xmlns:a="http://schemas.openxmlformats.org/drawingml/2006/main">
          <a:r>
            <a:rPr lang="en-MY" sz="800" b="1"/>
            <a:t>CO</a:t>
          </a:r>
          <a:r>
            <a:rPr lang="en-MY" sz="800" b="1" baseline="-25000"/>
            <a:t>2</a:t>
          </a:r>
          <a:r>
            <a:rPr lang="en-MY" sz="800" b="1"/>
            <a:t> sequestration</a:t>
          </a:r>
          <a:r>
            <a:rPr lang="en-MY" sz="800" b="1" baseline="0"/>
            <a:t> rate</a:t>
          </a:r>
          <a:endParaRPr lang="en-MY" sz="800" b="1"/>
        </a:p>
      </cdr:txBody>
    </cdr:sp>
  </cdr:relSizeAnchor>
  <cdr:relSizeAnchor xmlns:cdr="http://schemas.openxmlformats.org/drawingml/2006/chartDrawing">
    <cdr:from>
      <cdr:x>0.01924</cdr:x>
      <cdr:y>0.04251</cdr:y>
    </cdr:from>
    <cdr:to>
      <cdr:x>0.16407</cdr:x>
      <cdr:y>0.21274</cdr:y>
    </cdr:to>
    <cdr:sp macro="" textlink="">
      <cdr:nvSpPr>
        <cdr:cNvPr id="3" name="Text Box 1"/>
        <cdr:cNvSpPr txBox="1"/>
      </cdr:nvSpPr>
      <cdr:spPr>
        <a:xfrm xmlns:a="http://schemas.openxmlformats.org/drawingml/2006/main">
          <a:off x="58751" y="90556"/>
          <a:ext cx="442181" cy="362669"/>
        </a:xfrm>
        <a:prstGeom xmlns:a="http://schemas.openxmlformats.org/drawingml/2006/main" prst="rect">
          <a:avLst/>
        </a:prstGeom>
      </cdr:spPr>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B74BF7-6A22-4F74-BF1B-C8790BCDD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10</Pages>
  <Words>4927</Words>
  <Characters>27208</Characters>
  <Application>Microsoft Office Word</Application>
  <DocSecurity>0</DocSecurity>
  <Lines>413</Lines>
  <Paragraphs>97</Paragraphs>
  <ScaleCrop>false</ScaleCrop>
  <HeadingPairs>
    <vt:vector size="2" baseType="variant">
      <vt:variant>
        <vt:lpstr>Title</vt:lpstr>
      </vt:variant>
      <vt:variant>
        <vt:i4>1</vt:i4>
      </vt:variant>
    </vt:vector>
  </HeadingPairs>
  <TitlesOfParts>
    <vt:vector size="1" baseType="lpstr">
      <vt:lpstr>MJAS Vol 21 No 2 (2017)</vt:lpstr>
    </vt:vector>
  </TitlesOfParts>
  <Company>UKM</Company>
  <LinksUpToDate>false</LinksUpToDate>
  <CharactersWithSpaces>32222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21 No 2 (2017)</dc:title>
  <dc:creator>Harun Hj Hamzah</dc:creator>
  <cp:lastModifiedBy>Harun Hamzah</cp:lastModifiedBy>
  <cp:revision>15</cp:revision>
  <cp:lastPrinted>2017-04-18T02:58:00Z</cp:lastPrinted>
  <dcterms:created xsi:type="dcterms:W3CDTF">2017-03-28T00:30:00Z</dcterms:created>
  <dcterms:modified xsi:type="dcterms:W3CDTF">2017-04-18T02:59:00Z</dcterms:modified>
</cp:coreProperties>
</file>