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191020" w:rsidRPr="00191020" w:rsidRDefault="00191020" w:rsidP="00191020">
      <w:pPr>
        <w:spacing w:after="0" w:line="240" w:lineRule="auto"/>
        <w:jc w:val="center"/>
        <w:outlineLvl w:val="0"/>
        <w:rPr>
          <w:rFonts w:ascii="Times New Roman" w:hAnsi="Times New Roman"/>
          <w:bCs/>
          <w:sz w:val="28"/>
        </w:rPr>
      </w:pPr>
      <w:r w:rsidRPr="00330B37">
        <w:rPr>
          <w:rFonts w:ascii="Times New Roman" w:hAnsi="Times New Roman"/>
          <w:bCs/>
          <w:sz w:val="28"/>
        </w:rPr>
        <w:t>THE EFFECT OF NOVEL MULTIWALLED CARBON NANOTUBE-TITANIA NANOTUBE HYBRID IN POLYAMIDE ACTIVE LAYER TOWARDS WATER PERMEABILITY AND HIGH SODIUM CHLORIDE REJECTION PERFORMANCE OF NANOFILTRATION MEMBRANE DESALINATION</w:t>
      </w:r>
    </w:p>
    <w:p w:rsidR="00191020" w:rsidRPr="00330B37" w:rsidRDefault="00191020" w:rsidP="00191020">
      <w:pPr>
        <w:spacing w:after="0" w:line="240" w:lineRule="auto"/>
        <w:jc w:val="center"/>
        <w:outlineLvl w:val="0"/>
        <w:rPr>
          <w:rFonts w:ascii="Times New Roman" w:hAnsi="Times New Roman"/>
          <w:sz w:val="24"/>
          <w:szCs w:val="24"/>
        </w:rPr>
      </w:pPr>
      <w:r w:rsidRPr="00330B37">
        <w:rPr>
          <w:rFonts w:ascii="Times New Roman" w:hAnsi="Times New Roman"/>
          <w:sz w:val="24"/>
          <w:szCs w:val="24"/>
        </w:rPr>
        <w:t xml:space="preserve"> </w:t>
      </w:r>
    </w:p>
    <w:p w:rsidR="00191020" w:rsidRPr="00330B37" w:rsidRDefault="00B92C44" w:rsidP="00191020">
      <w:pPr>
        <w:spacing w:after="0" w:line="240" w:lineRule="auto"/>
        <w:jc w:val="center"/>
        <w:outlineLvl w:val="0"/>
        <w:rPr>
          <w:rFonts w:ascii="Times New Roman" w:hAnsi="Times New Roman"/>
          <w:noProof/>
          <w:sz w:val="24"/>
          <w:szCs w:val="24"/>
          <w:lang w:val="ms-MY"/>
        </w:rPr>
      </w:pPr>
      <w:r>
        <w:rPr>
          <w:rFonts w:ascii="Times New Roman" w:hAnsi="Times New Roman"/>
          <w:noProof/>
          <w:sz w:val="24"/>
          <w:szCs w:val="24"/>
          <w:lang w:val="ms-MY"/>
        </w:rPr>
        <w:t xml:space="preserve">(Kesan </w:t>
      </w:r>
      <w:r w:rsidR="00191020" w:rsidRPr="00330B37">
        <w:rPr>
          <w:rFonts w:ascii="Times New Roman" w:hAnsi="Times New Roman"/>
          <w:noProof/>
          <w:sz w:val="24"/>
          <w:szCs w:val="24"/>
          <w:lang w:val="ms-MY"/>
        </w:rPr>
        <w:t xml:space="preserve">Hibrid Karbon Tiub Nano Pelbagai Dinding-Titania Tiub Nano </w:t>
      </w:r>
      <w:r>
        <w:rPr>
          <w:rFonts w:ascii="Times New Roman" w:hAnsi="Times New Roman"/>
          <w:noProof/>
          <w:sz w:val="24"/>
          <w:szCs w:val="24"/>
          <w:lang w:val="ms-MY"/>
        </w:rPr>
        <w:t xml:space="preserve">Novel </w:t>
      </w:r>
      <w:r w:rsidR="00191020" w:rsidRPr="00330B37">
        <w:rPr>
          <w:rFonts w:ascii="Times New Roman" w:hAnsi="Times New Roman"/>
          <w:noProof/>
          <w:sz w:val="24"/>
          <w:szCs w:val="24"/>
          <w:lang w:val="ms-MY"/>
        </w:rPr>
        <w:t>dalam Lapisan Aktif Poliamida Terhadap Prestasi Kebolehtelapan Air dan Penyingkiran Natrium Klorida yang Ting</w:t>
      </w:r>
      <w:r w:rsidR="00191020">
        <w:rPr>
          <w:rFonts w:ascii="Times New Roman" w:hAnsi="Times New Roman"/>
          <w:noProof/>
          <w:sz w:val="24"/>
          <w:szCs w:val="24"/>
          <w:lang w:val="ms-MY"/>
        </w:rPr>
        <w:t>gi Bagi Membran Penapisan Nano Pengenyahmasin</w:t>
      </w:r>
      <w:r w:rsidR="00191020" w:rsidRPr="00330B37">
        <w:rPr>
          <w:rFonts w:ascii="Times New Roman" w:hAnsi="Times New Roman"/>
          <w:noProof/>
          <w:sz w:val="24"/>
          <w:szCs w:val="24"/>
          <w:lang w:val="ms-MY"/>
        </w:rPr>
        <w:t>)</w:t>
      </w:r>
    </w:p>
    <w:p w:rsidR="00191020" w:rsidRPr="00191020" w:rsidRDefault="00191020" w:rsidP="00191020">
      <w:pPr>
        <w:spacing w:after="0" w:line="240" w:lineRule="auto"/>
        <w:jc w:val="center"/>
        <w:outlineLvl w:val="0"/>
        <w:rPr>
          <w:rFonts w:ascii="Times New Roman" w:hAnsi="Times New Roman"/>
          <w:b/>
          <w:sz w:val="20"/>
          <w:szCs w:val="20"/>
        </w:rPr>
      </w:pPr>
    </w:p>
    <w:p w:rsidR="00191020" w:rsidRPr="00191020" w:rsidRDefault="00191020" w:rsidP="00191020">
      <w:pPr>
        <w:spacing w:after="0" w:line="240" w:lineRule="auto"/>
        <w:jc w:val="center"/>
        <w:outlineLvl w:val="0"/>
        <w:rPr>
          <w:rFonts w:ascii="Times New Roman" w:hAnsi="Times New Roman"/>
          <w:sz w:val="20"/>
          <w:szCs w:val="20"/>
        </w:rPr>
      </w:pPr>
      <w:r w:rsidRPr="00191020">
        <w:rPr>
          <w:rFonts w:ascii="Times New Roman" w:hAnsi="Times New Roman"/>
          <w:sz w:val="20"/>
          <w:szCs w:val="20"/>
        </w:rPr>
        <w:t xml:space="preserve">Ihsan Wan Azelee, Pei Sean Goh*, Woei Jye Lau, Ahmad Fauzi Ismail, Masood Rezaei Dasht Arzhandi, </w:t>
      </w:r>
    </w:p>
    <w:p w:rsidR="00191020" w:rsidRPr="00191020" w:rsidRDefault="00191020" w:rsidP="00191020">
      <w:pPr>
        <w:spacing w:after="0" w:line="240" w:lineRule="auto"/>
        <w:jc w:val="center"/>
        <w:outlineLvl w:val="0"/>
        <w:rPr>
          <w:rFonts w:ascii="Times New Roman" w:hAnsi="Times New Roman"/>
          <w:sz w:val="20"/>
          <w:szCs w:val="20"/>
          <w:vertAlign w:val="superscript"/>
        </w:rPr>
      </w:pPr>
      <w:r w:rsidRPr="00191020">
        <w:rPr>
          <w:rFonts w:ascii="Times New Roman" w:hAnsi="Times New Roman"/>
          <w:sz w:val="20"/>
          <w:szCs w:val="20"/>
        </w:rPr>
        <w:t>Kar Chun Wong, Mahesan Naidu Subramaniam</w:t>
      </w:r>
    </w:p>
    <w:p w:rsidR="006768E9" w:rsidRPr="00F447A7" w:rsidRDefault="006768E9" w:rsidP="00F447A7">
      <w:pPr>
        <w:spacing w:after="0" w:line="240" w:lineRule="auto"/>
        <w:jc w:val="center"/>
        <w:rPr>
          <w:rFonts w:ascii="Times New Roman" w:hAnsi="Times New Roman"/>
          <w:noProof/>
          <w:sz w:val="18"/>
          <w:szCs w:val="18"/>
          <w:lang w:bidi="ar-SA"/>
        </w:rPr>
      </w:pPr>
    </w:p>
    <w:p w:rsidR="00191020" w:rsidRDefault="00191020" w:rsidP="00191020">
      <w:pPr>
        <w:spacing w:after="0" w:line="240" w:lineRule="auto"/>
        <w:jc w:val="center"/>
        <w:outlineLvl w:val="0"/>
        <w:rPr>
          <w:rFonts w:ascii="Times New Roman" w:hAnsi="Times New Roman"/>
          <w:i/>
          <w:sz w:val="18"/>
          <w:szCs w:val="18"/>
        </w:rPr>
      </w:pPr>
      <w:r w:rsidRPr="00330B37">
        <w:rPr>
          <w:rFonts w:ascii="Times New Roman" w:hAnsi="Times New Roman"/>
          <w:i/>
          <w:sz w:val="18"/>
          <w:szCs w:val="18"/>
        </w:rPr>
        <w:t>Advanced Membrane Technology Research Centre (AMTEC),</w:t>
      </w:r>
    </w:p>
    <w:p w:rsidR="00191020" w:rsidRPr="00330B37" w:rsidRDefault="00191020" w:rsidP="00191020">
      <w:pPr>
        <w:spacing w:after="0" w:line="240" w:lineRule="auto"/>
        <w:jc w:val="center"/>
        <w:outlineLvl w:val="0"/>
        <w:rPr>
          <w:rFonts w:ascii="Times New Roman" w:hAnsi="Times New Roman"/>
          <w:i/>
          <w:sz w:val="18"/>
          <w:szCs w:val="18"/>
        </w:rPr>
      </w:pPr>
      <w:r w:rsidRPr="00330B37">
        <w:rPr>
          <w:rFonts w:ascii="Times New Roman" w:hAnsi="Times New Roman"/>
          <w:i/>
          <w:sz w:val="18"/>
          <w:szCs w:val="18"/>
        </w:rPr>
        <w:t xml:space="preserve"> Universiti Teknologi Malaysia, 81310 Skudai, Johor,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191020" w:rsidRDefault="006768E9" w:rsidP="00191020">
      <w:pPr>
        <w:spacing w:after="0" w:line="240" w:lineRule="auto"/>
        <w:jc w:val="center"/>
        <w:outlineLvl w:val="0"/>
        <w:rPr>
          <w:rFonts w:ascii="Times New Roman" w:hAnsi="Times New Roman"/>
          <w:i/>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91020" w:rsidRPr="00330B37">
        <w:rPr>
          <w:rFonts w:ascii="Times New Roman" w:hAnsi="Times New Roman"/>
          <w:i/>
          <w:sz w:val="18"/>
          <w:lang w:val="en-AU"/>
        </w:rPr>
        <w:t>peisean@petroleum.utm.my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191020">
        <w:rPr>
          <w:rFonts w:ascii="Times New Roman" w:hAnsi="Times New Roman"/>
          <w:noProof/>
          <w:sz w:val="18"/>
          <w:szCs w:val="18"/>
          <w:lang w:bidi="ar-SA"/>
        </w:rPr>
        <w:t>26 August 2016</w:t>
      </w:r>
      <w:r>
        <w:rPr>
          <w:rFonts w:ascii="Times New Roman" w:hAnsi="Times New Roman"/>
          <w:noProof/>
          <w:sz w:val="18"/>
          <w:szCs w:val="18"/>
          <w:lang w:bidi="ar-SA"/>
        </w:rPr>
        <w:t xml:space="preserve">; Accepted: </w:t>
      </w:r>
      <w:r w:rsidR="00191020">
        <w:rPr>
          <w:rFonts w:ascii="Times New Roman" w:hAnsi="Times New Roman"/>
          <w:noProof/>
          <w:sz w:val="18"/>
          <w:szCs w:val="18"/>
          <w:lang w:bidi="ar-SA"/>
        </w:rPr>
        <w:t>8 January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91020" w:rsidRPr="00330B37" w:rsidRDefault="00191020" w:rsidP="00191020">
      <w:pPr>
        <w:spacing w:after="0" w:line="240" w:lineRule="auto"/>
        <w:jc w:val="both"/>
        <w:outlineLvl w:val="0"/>
        <w:rPr>
          <w:rFonts w:ascii="Times New Roman" w:hAnsi="Times New Roman"/>
          <w:iCs/>
          <w:sz w:val="18"/>
          <w:szCs w:val="18"/>
        </w:rPr>
      </w:pPr>
      <w:r w:rsidRPr="00330B37">
        <w:rPr>
          <w:rFonts w:ascii="Times New Roman" w:hAnsi="Times New Roman"/>
          <w:iCs/>
          <w:sz w:val="18"/>
          <w:szCs w:val="18"/>
        </w:rPr>
        <w:t xml:space="preserve">In this study, </w:t>
      </w:r>
      <w:r w:rsidRPr="00330B37">
        <w:rPr>
          <w:rFonts w:ascii="Times New Roman" w:hAnsi="Times New Roman"/>
          <w:iCs/>
          <w:noProof/>
          <w:sz w:val="18"/>
          <w:szCs w:val="18"/>
        </w:rPr>
        <w:t>thin film</w:t>
      </w:r>
      <w:r w:rsidRPr="00330B37">
        <w:rPr>
          <w:rFonts w:ascii="Times New Roman" w:hAnsi="Times New Roman"/>
          <w:iCs/>
          <w:sz w:val="18"/>
          <w:szCs w:val="18"/>
        </w:rPr>
        <w:t xml:space="preserve"> nanocomposite (TFN) membranes </w:t>
      </w:r>
      <w:r w:rsidRPr="00330B37">
        <w:rPr>
          <w:rFonts w:ascii="Times New Roman" w:hAnsi="Times New Roman"/>
          <w:iCs/>
          <w:noProof/>
          <w:sz w:val="18"/>
          <w:szCs w:val="18"/>
        </w:rPr>
        <w:t>were</w:t>
      </w:r>
      <w:r w:rsidRPr="00330B37">
        <w:rPr>
          <w:rFonts w:ascii="Times New Roman" w:hAnsi="Times New Roman"/>
          <w:iCs/>
          <w:sz w:val="18"/>
          <w:szCs w:val="18"/>
        </w:rPr>
        <w:t xml:space="preserve"> prepared by incorporating multi-walled carbon nanotube-titania nanotube (MWCNT-TNT) hybrid into the polyamide layer via interfacial polymerization </w:t>
      </w:r>
      <w:r w:rsidRPr="00330B37">
        <w:rPr>
          <w:rFonts w:ascii="Times New Roman" w:hAnsi="Times New Roman"/>
          <w:iCs/>
          <w:sz w:val="18"/>
          <w:szCs w:val="18"/>
          <w:lang w:val="en-MY"/>
        </w:rPr>
        <w:t xml:space="preserve">on the surface of </w:t>
      </w:r>
      <w:r w:rsidRPr="00330B37">
        <w:rPr>
          <w:rFonts w:ascii="Times New Roman" w:hAnsi="Times New Roman"/>
          <w:iCs/>
          <w:noProof/>
          <w:sz w:val="18"/>
          <w:szCs w:val="18"/>
        </w:rPr>
        <w:t>PS35</w:t>
      </w:r>
      <w:r w:rsidRPr="00330B37">
        <w:rPr>
          <w:rFonts w:ascii="Times New Roman" w:hAnsi="Times New Roman"/>
          <w:iCs/>
          <w:sz w:val="18"/>
          <w:szCs w:val="18"/>
        </w:rPr>
        <w:t xml:space="preserve"> commercial substrate. The study showed that in the neat thin film composite (TFC), the presence of PIP in polyamide layer increased the water permeability (from 0.54 to 2.25 L/m</w:t>
      </w:r>
      <w:r w:rsidRPr="0083302A">
        <w:rPr>
          <w:rFonts w:ascii="Times New Roman" w:hAnsi="Times New Roman"/>
          <w:iCs/>
          <w:sz w:val="18"/>
          <w:szCs w:val="18"/>
          <w:vertAlign w:val="superscript"/>
        </w:rPr>
        <w:t>2</w:t>
      </w:r>
      <w:r w:rsidRPr="00330B37">
        <w:rPr>
          <w:rFonts w:ascii="Times New Roman" w:hAnsi="Times New Roman"/>
          <w:iCs/>
          <w:sz w:val="18"/>
          <w:szCs w:val="18"/>
        </w:rPr>
        <w:t xml:space="preserve"> h bar) but decreased the NaCl rejection (from 86.48 to 47.45%). Interestingly, the presence of MWCNT-TNT in MPD-PIP polyamide layer increased the NaCl rejection by 38.68% (47.45 to 86.13%) while giving a significant water permeability performance at 0.86 L/m</w:t>
      </w:r>
      <w:r w:rsidRPr="0083302A">
        <w:rPr>
          <w:rFonts w:ascii="Times New Roman" w:hAnsi="Times New Roman"/>
          <w:iCs/>
          <w:sz w:val="18"/>
          <w:szCs w:val="18"/>
          <w:vertAlign w:val="superscript"/>
        </w:rPr>
        <w:t>2</w:t>
      </w:r>
      <w:r w:rsidRPr="00330B37">
        <w:rPr>
          <w:rFonts w:ascii="Times New Roman" w:hAnsi="Times New Roman"/>
          <w:iCs/>
          <w:sz w:val="18"/>
          <w:szCs w:val="18"/>
        </w:rPr>
        <w:t xml:space="preserve"> h bar. The incorporation of acid treated MWCNT-TNT has improved the water permeability from 0.86 to 0.89 L/m</w:t>
      </w:r>
      <w:r w:rsidRPr="00330B37">
        <w:rPr>
          <w:rFonts w:ascii="Times New Roman" w:hAnsi="Times New Roman"/>
          <w:iCs/>
          <w:sz w:val="18"/>
          <w:szCs w:val="18"/>
          <w:vertAlign w:val="superscript"/>
        </w:rPr>
        <w:t>2</w:t>
      </w:r>
      <w:r w:rsidRPr="00330B37">
        <w:rPr>
          <w:rFonts w:ascii="Times New Roman" w:hAnsi="Times New Roman"/>
          <w:iCs/>
          <w:sz w:val="18"/>
          <w:szCs w:val="18"/>
        </w:rPr>
        <w:t xml:space="preserve"> h bar while decreasing the NaCl rejection from 86.13 to 77.51%. Further investigation of MWCNT-TNT loading at pH</w:t>
      </w:r>
      <w:r>
        <w:rPr>
          <w:rFonts w:ascii="Times New Roman" w:hAnsi="Times New Roman"/>
          <w:iCs/>
          <w:sz w:val="18"/>
          <w:szCs w:val="18"/>
        </w:rPr>
        <w:t xml:space="preserve"> </w:t>
      </w:r>
      <w:r w:rsidRPr="00330B37">
        <w:rPr>
          <w:rFonts w:ascii="Times New Roman" w:hAnsi="Times New Roman"/>
          <w:iCs/>
          <w:sz w:val="18"/>
          <w:szCs w:val="18"/>
        </w:rPr>
        <w:t xml:space="preserve">2 revealed that the increase of its loading in polyamide layer decreased both water permeability and NaCl rejection performance of the membrane. Overall, it can be concluded that the addition of an appropriate loading of surface modified MWCNT-TNT into the polyamide layer can remarkably improve the performance of conventional TFC membranes for desalination applications. In addition, incorporating PIP in the polyamide layer </w:t>
      </w:r>
      <w:r w:rsidRPr="00330B37">
        <w:rPr>
          <w:rFonts w:ascii="Times New Roman" w:hAnsi="Times New Roman"/>
          <w:iCs/>
          <w:noProof/>
          <w:sz w:val="18"/>
          <w:szCs w:val="18"/>
        </w:rPr>
        <w:t>reduces</w:t>
      </w:r>
      <w:r w:rsidRPr="00330B37">
        <w:rPr>
          <w:rFonts w:ascii="Times New Roman" w:hAnsi="Times New Roman"/>
          <w:iCs/>
          <w:sz w:val="18"/>
          <w:szCs w:val="18"/>
        </w:rPr>
        <w:t xml:space="preserve"> the capability of the </w:t>
      </w:r>
      <w:r w:rsidRPr="00330B37">
        <w:rPr>
          <w:rFonts w:ascii="Times New Roman" w:hAnsi="Times New Roman"/>
          <w:iCs/>
          <w:noProof/>
          <w:sz w:val="18"/>
          <w:szCs w:val="18"/>
        </w:rPr>
        <w:t>membrane</w:t>
      </w:r>
      <w:r w:rsidRPr="00330B37">
        <w:rPr>
          <w:rFonts w:ascii="Times New Roman" w:hAnsi="Times New Roman"/>
          <w:iCs/>
          <w:sz w:val="18"/>
          <w:szCs w:val="18"/>
        </w:rPr>
        <w:t xml:space="preserve"> on NaCl rejection.</w:t>
      </w:r>
    </w:p>
    <w:p w:rsidR="00191020" w:rsidRPr="00330B37" w:rsidRDefault="00191020" w:rsidP="00191020">
      <w:pPr>
        <w:spacing w:after="0" w:line="240" w:lineRule="auto"/>
        <w:jc w:val="both"/>
        <w:outlineLvl w:val="0"/>
        <w:rPr>
          <w:rFonts w:ascii="Times New Roman" w:hAnsi="Times New Roman"/>
          <w:sz w:val="18"/>
          <w:szCs w:val="18"/>
        </w:rPr>
      </w:pPr>
    </w:p>
    <w:p w:rsidR="00191020" w:rsidRPr="00330B37" w:rsidRDefault="00191020" w:rsidP="00191020">
      <w:pPr>
        <w:spacing w:after="0" w:line="240" w:lineRule="auto"/>
        <w:jc w:val="both"/>
        <w:outlineLvl w:val="0"/>
        <w:rPr>
          <w:rFonts w:ascii="Times New Roman" w:hAnsi="Times New Roman"/>
          <w:sz w:val="18"/>
          <w:szCs w:val="18"/>
        </w:rPr>
      </w:pPr>
      <w:r w:rsidRPr="00330B37">
        <w:rPr>
          <w:rFonts w:ascii="Times New Roman" w:hAnsi="Times New Roman"/>
          <w:b/>
          <w:sz w:val="18"/>
          <w:szCs w:val="18"/>
        </w:rPr>
        <w:t>Keywords</w:t>
      </w:r>
      <w:r w:rsidRPr="00330B37">
        <w:rPr>
          <w:rFonts w:ascii="Times New Roman" w:hAnsi="Times New Roman"/>
          <w:sz w:val="18"/>
          <w:szCs w:val="18"/>
        </w:rPr>
        <w:t>:</w:t>
      </w:r>
      <w:r w:rsidRPr="00330B37">
        <w:rPr>
          <w:rFonts w:asciiTheme="majorBidi" w:eastAsia="SimSun" w:hAnsiTheme="majorBidi" w:cstheme="majorBidi"/>
          <w:spacing w:val="-2"/>
          <w:sz w:val="18"/>
          <w:szCs w:val="18"/>
          <w:lang w:val="en-MY"/>
        </w:rPr>
        <w:t xml:space="preserve"> </w:t>
      </w:r>
      <w:r>
        <w:rPr>
          <w:rFonts w:asciiTheme="majorBidi" w:eastAsia="SimSun" w:hAnsiTheme="majorBidi" w:cstheme="majorBidi"/>
          <w:spacing w:val="-2"/>
          <w:sz w:val="18"/>
          <w:szCs w:val="18"/>
          <w:lang w:val="en-MY"/>
        </w:rPr>
        <w:t xml:space="preserve"> </w:t>
      </w:r>
      <w:r w:rsidRPr="00330B37">
        <w:rPr>
          <w:rFonts w:ascii="Times New Roman" w:hAnsi="Times New Roman"/>
          <w:bCs/>
          <w:iCs/>
          <w:sz w:val="18"/>
          <w:szCs w:val="18"/>
          <w:lang w:val="en-MY"/>
        </w:rPr>
        <w:t xml:space="preserve">water desalination, thin film nanocomposite membrane, </w:t>
      </w:r>
      <w:r w:rsidRPr="00330B37">
        <w:rPr>
          <w:rFonts w:ascii="Times New Roman" w:hAnsi="Times New Roman"/>
          <w:bCs/>
          <w:iCs/>
          <w:sz w:val="18"/>
          <w:szCs w:val="18"/>
        </w:rPr>
        <w:t>MWCNT</w:t>
      </w:r>
      <w:r w:rsidRPr="00330B37">
        <w:rPr>
          <w:rFonts w:ascii="Times New Roman" w:hAnsi="Times New Roman"/>
          <w:bCs/>
          <w:iCs/>
          <w:sz w:val="18"/>
          <w:szCs w:val="18"/>
          <w:lang w:val="en-MY"/>
        </w:rPr>
        <w:t>-TNT hybrid</w:t>
      </w:r>
    </w:p>
    <w:p w:rsidR="00191020" w:rsidRPr="00330B37" w:rsidRDefault="00191020" w:rsidP="00191020">
      <w:pPr>
        <w:spacing w:after="0" w:line="240" w:lineRule="auto"/>
        <w:jc w:val="center"/>
        <w:outlineLvl w:val="0"/>
        <w:rPr>
          <w:rFonts w:ascii="Times New Roman" w:hAnsi="Times New Roman"/>
          <w:b/>
          <w:sz w:val="18"/>
          <w:szCs w:val="18"/>
        </w:rPr>
      </w:pPr>
    </w:p>
    <w:p w:rsidR="00191020" w:rsidRPr="008B62C8" w:rsidRDefault="00191020" w:rsidP="00191020">
      <w:pPr>
        <w:spacing w:after="0" w:line="240" w:lineRule="auto"/>
        <w:jc w:val="center"/>
        <w:outlineLvl w:val="0"/>
        <w:rPr>
          <w:rFonts w:ascii="Times New Roman" w:hAnsi="Times New Roman"/>
          <w:b/>
          <w:sz w:val="18"/>
          <w:szCs w:val="18"/>
          <w:lang w:val="ms-MY"/>
        </w:rPr>
      </w:pPr>
      <w:r w:rsidRPr="008B62C8">
        <w:rPr>
          <w:rFonts w:ascii="Times New Roman" w:hAnsi="Times New Roman"/>
          <w:b/>
          <w:sz w:val="18"/>
          <w:szCs w:val="18"/>
          <w:lang w:val="ms-MY"/>
        </w:rPr>
        <w:t>Abstrak</w:t>
      </w:r>
    </w:p>
    <w:p w:rsidR="00191020" w:rsidRPr="008B62C8" w:rsidRDefault="00191020" w:rsidP="00191020">
      <w:pPr>
        <w:spacing w:after="0" w:line="240" w:lineRule="auto"/>
        <w:jc w:val="both"/>
        <w:outlineLvl w:val="0"/>
        <w:rPr>
          <w:rFonts w:ascii="Times New Roman" w:hAnsi="Times New Roman"/>
          <w:bCs/>
          <w:sz w:val="18"/>
          <w:szCs w:val="18"/>
          <w:lang w:val="ms-MY"/>
        </w:rPr>
      </w:pPr>
      <w:r w:rsidRPr="008B62C8">
        <w:rPr>
          <w:rFonts w:ascii="Times New Roman" w:hAnsi="Times New Roman"/>
          <w:bCs/>
          <w:sz w:val="18"/>
          <w:szCs w:val="18"/>
          <w:lang w:val="ms-MY"/>
        </w:rPr>
        <w:t>Dalam kajian ini, filem nipis komposit nano (TFN) membran telah disediakan d</w:t>
      </w:r>
      <w:r>
        <w:rPr>
          <w:rFonts w:ascii="Times New Roman" w:hAnsi="Times New Roman"/>
          <w:bCs/>
          <w:sz w:val="18"/>
          <w:szCs w:val="18"/>
          <w:lang w:val="ms-MY"/>
        </w:rPr>
        <w:t xml:space="preserve">engan menggabungkan </w:t>
      </w:r>
      <w:r w:rsidRPr="008B62C8">
        <w:rPr>
          <w:rFonts w:ascii="Times New Roman" w:hAnsi="Times New Roman"/>
          <w:bCs/>
          <w:sz w:val="18"/>
          <w:szCs w:val="18"/>
          <w:lang w:val="ms-MY"/>
        </w:rPr>
        <w:t xml:space="preserve">karbon tiub nano pelbagai dinding-titania tiub nano (MWCNT-TNT) ke dalam lapisan poliamida melalui pempolimeran antara muka di permukaan substrat PS35 membran komersial. Kajian ini menunjukkan bahawa tanpa MWCNT-TNT, kehadiran PIP dalam lapisan poliamida meningkatkan kebolehtelapan air (daripada 0.54 kepada 2.25 </w:t>
      </w:r>
      <w:r w:rsidRPr="008B62C8">
        <w:rPr>
          <w:rFonts w:ascii="Times New Roman" w:hAnsi="Times New Roman"/>
          <w:iCs/>
          <w:sz w:val="18"/>
          <w:szCs w:val="18"/>
          <w:lang w:val="ms-MY"/>
        </w:rPr>
        <w:t>L/m</w:t>
      </w:r>
      <w:r w:rsidRPr="0083302A">
        <w:rPr>
          <w:rFonts w:ascii="Times New Roman" w:hAnsi="Times New Roman"/>
          <w:iCs/>
          <w:sz w:val="18"/>
          <w:szCs w:val="18"/>
          <w:vertAlign w:val="superscript"/>
          <w:lang w:val="ms-MY"/>
        </w:rPr>
        <w:t>2</w:t>
      </w:r>
      <w:r w:rsidRPr="008B62C8">
        <w:rPr>
          <w:rFonts w:ascii="Times New Roman" w:hAnsi="Times New Roman"/>
          <w:iCs/>
          <w:sz w:val="18"/>
          <w:szCs w:val="18"/>
          <w:lang w:val="ms-MY"/>
        </w:rPr>
        <w:t xml:space="preserve"> h bar</w:t>
      </w:r>
      <w:r w:rsidRPr="008B62C8">
        <w:rPr>
          <w:rFonts w:ascii="Times New Roman" w:hAnsi="Times New Roman"/>
          <w:bCs/>
          <w:sz w:val="18"/>
          <w:szCs w:val="18"/>
          <w:lang w:val="ms-MY"/>
        </w:rPr>
        <w:t>) tetapi mengurangkan penyingkiran NaCl (daripada 86.48 kepada 47.45%). Menariknya, kehadiran MWCNT-TNT dalam lapisan poliamida</w:t>
      </w:r>
      <w:r>
        <w:rPr>
          <w:rFonts w:ascii="Times New Roman" w:hAnsi="Times New Roman"/>
          <w:bCs/>
          <w:sz w:val="18"/>
          <w:szCs w:val="18"/>
          <w:lang w:val="ms-MY"/>
        </w:rPr>
        <w:t xml:space="preserve"> </w:t>
      </w:r>
      <w:r w:rsidRPr="008B62C8">
        <w:rPr>
          <w:rFonts w:ascii="Times New Roman" w:hAnsi="Times New Roman"/>
          <w:bCs/>
          <w:sz w:val="18"/>
          <w:szCs w:val="18"/>
          <w:lang w:val="ms-MY"/>
        </w:rPr>
        <w:t>MPD-PIP meningkatkan penyingkiran NaCl pada 38.68% (47.45 kepada 86.13%) sambil memberi prestasi kebolehtelapan air yang besar pada</w:t>
      </w:r>
      <w:r>
        <w:rPr>
          <w:rFonts w:ascii="Times New Roman" w:hAnsi="Times New Roman"/>
          <w:bCs/>
          <w:sz w:val="18"/>
          <w:szCs w:val="18"/>
          <w:lang w:val="ms-MY"/>
        </w:rPr>
        <w:t xml:space="preserve"> 0.86 </w:t>
      </w:r>
      <w:r w:rsidRPr="008B62C8">
        <w:rPr>
          <w:rFonts w:ascii="Times New Roman" w:hAnsi="Times New Roman"/>
          <w:iCs/>
          <w:sz w:val="18"/>
          <w:szCs w:val="18"/>
          <w:lang w:val="ms-MY"/>
        </w:rPr>
        <w:t>L/m</w:t>
      </w:r>
      <w:r w:rsidRPr="0083302A">
        <w:rPr>
          <w:rFonts w:ascii="Times New Roman" w:hAnsi="Times New Roman"/>
          <w:iCs/>
          <w:sz w:val="18"/>
          <w:szCs w:val="18"/>
          <w:vertAlign w:val="superscript"/>
          <w:lang w:val="ms-MY"/>
        </w:rPr>
        <w:t>2</w:t>
      </w:r>
      <w:r>
        <w:rPr>
          <w:rFonts w:ascii="Times New Roman" w:hAnsi="Times New Roman"/>
          <w:iCs/>
          <w:sz w:val="18"/>
          <w:szCs w:val="18"/>
          <w:vertAlign w:val="superscript"/>
          <w:lang w:val="ms-MY"/>
        </w:rPr>
        <w:t xml:space="preserve"> </w:t>
      </w:r>
      <w:r>
        <w:rPr>
          <w:rFonts w:ascii="Times New Roman" w:hAnsi="Times New Roman"/>
          <w:iCs/>
          <w:sz w:val="18"/>
          <w:szCs w:val="18"/>
          <w:lang w:val="ms-MY"/>
        </w:rPr>
        <w:t xml:space="preserve">h </w:t>
      </w:r>
      <w:r w:rsidRPr="008B62C8">
        <w:rPr>
          <w:rFonts w:ascii="Times New Roman" w:hAnsi="Times New Roman"/>
          <w:iCs/>
          <w:sz w:val="18"/>
          <w:szCs w:val="18"/>
          <w:lang w:val="ms-MY"/>
        </w:rPr>
        <w:t>bar</w:t>
      </w:r>
      <w:r w:rsidRPr="008B62C8">
        <w:rPr>
          <w:rFonts w:ascii="Times New Roman" w:hAnsi="Times New Roman"/>
          <w:bCs/>
          <w:sz w:val="18"/>
          <w:szCs w:val="18"/>
          <w:lang w:val="ms-MY"/>
        </w:rPr>
        <w:t xml:space="preserve">. Penggabungan MWCNT-TNT ygng dirawat asid telah meningkat kebolehtelapan air </w:t>
      </w:r>
      <w:r>
        <w:rPr>
          <w:rFonts w:ascii="Times New Roman" w:hAnsi="Times New Roman"/>
          <w:bCs/>
          <w:sz w:val="18"/>
          <w:szCs w:val="18"/>
          <w:lang w:val="ms-MY"/>
        </w:rPr>
        <w:t xml:space="preserve">dari </w:t>
      </w:r>
      <w:r w:rsidRPr="00330B37">
        <w:rPr>
          <w:rFonts w:ascii="Times New Roman" w:hAnsi="Times New Roman"/>
          <w:iCs/>
          <w:sz w:val="18"/>
          <w:szCs w:val="18"/>
        </w:rPr>
        <w:t>0.86 to 0.89 L/m</w:t>
      </w:r>
      <w:r w:rsidRPr="00330B37">
        <w:rPr>
          <w:rFonts w:ascii="Times New Roman" w:hAnsi="Times New Roman"/>
          <w:iCs/>
          <w:sz w:val="18"/>
          <w:szCs w:val="18"/>
          <w:vertAlign w:val="superscript"/>
        </w:rPr>
        <w:t>2</w:t>
      </w:r>
      <w:r w:rsidRPr="00330B37">
        <w:rPr>
          <w:rFonts w:ascii="Times New Roman" w:hAnsi="Times New Roman"/>
          <w:iCs/>
          <w:sz w:val="18"/>
          <w:szCs w:val="18"/>
        </w:rPr>
        <w:t xml:space="preserve"> h bar </w:t>
      </w:r>
      <w:r w:rsidRPr="008B62C8">
        <w:rPr>
          <w:rFonts w:ascii="Times New Roman" w:hAnsi="Times New Roman"/>
          <w:bCs/>
          <w:sz w:val="18"/>
          <w:szCs w:val="18"/>
          <w:lang w:val="ms-MY"/>
        </w:rPr>
        <w:t>namun mengurangkan penyingkiran NaCl (daripada 86.13 kepada 77.51%). Siasatan lanjut terhadap muatan MWCNT-TNT pada pH</w:t>
      </w:r>
      <w:r>
        <w:rPr>
          <w:rFonts w:ascii="Times New Roman" w:hAnsi="Times New Roman"/>
          <w:bCs/>
          <w:sz w:val="18"/>
          <w:szCs w:val="18"/>
          <w:lang w:val="ms-MY"/>
        </w:rPr>
        <w:t xml:space="preserve"> </w:t>
      </w:r>
      <w:r w:rsidRPr="008B62C8">
        <w:rPr>
          <w:rFonts w:ascii="Times New Roman" w:hAnsi="Times New Roman"/>
          <w:bCs/>
          <w:sz w:val="18"/>
          <w:szCs w:val="18"/>
          <w:lang w:val="ms-MY"/>
        </w:rPr>
        <w:t>2 mendedahkan bahawa peningkatan muatannya dalam lapisan poliamida menurun kedua</w:t>
      </w:r>
      <w:r w:rsidR="00B0191B">
        <w:rPr>
          <w:rFonts w:ascii="Times New Roman" w:hAnsi="Times New Roman"/>
          <w:bCs/>
          <w:sz w:val="18"/>
          <w:szCs w:val="18"/>
          <w:lang w:val="ms-MY"/>
        </w:rPr>
        <w:t>-</w:t>
      </w:r>
      <w:bookmarkStart w:id="0" w:name="_GoBack"/>
      <w:bookmarkEnd w:id="0"/>
      <w:r w:rsidRPr="008B62C8">
        <w:rPr>
          <w:rFonts w:ascii="Times New Roman" w:hAnsi="Times New Roman"/>
          <w:bCs/>
          <w:sz w:val="18"/>
          <w:szCs w:val="18"/>
          <w:lang w:val="ms-MY"/>
        </w:rPr>
        <w:t xml:space="preserve">dua prestasi membran terhadap kebolehtelapan air dan penyingkiran NaCl. Secara keseluruhan, dapat disimpulkan bahawa penambahan muatan dan pH yang </w:t>
      </w:r>
      <w:r w:rsidRPr="008B62C8">
        <w:rPr>
          <w:rFonts w:ascii="Times New Roman" w:hAnsi="Times New Roman"/>
          <w:bCs/>
          <w:sz w:val="18"/>
          <w:szCs w:val="18"/>
          <w:lang w:val="ms-MY"/>
        </w:rPr>
        <w:lastRenderedPageBreak/>
        <w:t>sesuai bagi MWCNT-TNT ke dalam lapisan poliamida dapat meningkatkan lagi prestasi membran TFC konvensio</w:t>
      </w:r>
      <w:r>
        <w:rPr>
          <w:rFonts w:ascii="Times New Roman" w:hAnsi="Times New Roman"/>
          <w:bCs/>
          <w:sz w:val="18"/>
          <w:szCs w:val="18"/>
          <w:lang w:val="ms-MY"/>
        </w:rPr>
        <w:t>nal untuk aplikasi pengenyahmasin</w:t>
      </w:r>
      <w:r w:rsidRPr="008B62C8">
        <w:rPr>
          <w:rFonts w:ascii="Times New Roman" w:hAnsi="Times New Roman"/>
          <w:bCs/>
          <w:sz w:val="18"/>
          <w:szCs w:val="18"/>
          <w:lang w:val="ms-MY"/>
        </w:rPr>
        <w:t>. Di samping itu, menggabungkan PIP dalam lapisan poliamida mengurangkan keupayaan membran terhadap penyingkiran NaCl.</w:t>
      </w:r>
    </w:p>
    <w:p w:rsidR="00191020" w:rsidRPr="008B62C8" w:rsidRDefault="00191020" w:rsidP="00191020">
      <w:pPr>
        <w:spacing w:after="0" w:line="240" w:lineRule="auto"/>
        <w:jc w:val="both"/>
        <w:outlineLvl w:val="0"/>
        <w:rPr>
          <w:rFonts w:ascii="Times New Roman" w:hAnsi="Times New Roman"/>
          <w:b/>
          <w:sz w:val="18"/>
          <w:szCs w:val="18"/>
          <w:lang w:val="ms-MY"/>
        </w:rPr>
      </w:pPr>
    </w:p>
    <w:p w:rsidR="00191020" w:rsidRPr="008B62C8" w:rsidRDefault="00191020" w:rsidP="00191020">
      <w:pPr>
        <w:spacing w:after="0" w:line="240" w:lineRule="auto"/>
        <w:jc w:val="both"/>
        <w:outlineLvl w:val="0"/>
        <w:rPr>
          <w:rFonts w:ascii="Times New Roman" w:hAnsi="Times New Roman"/>
          <w:bCs/>
          <w:sz w:val="18"/>
          <w:szCs w:val="18"/>
          <w:lang w:val="ms-MY"/>
        </w:rPr>
      </w:pPr>
      <w:r w:rsidRPr="008B62C8">
        <w:rPr>
          <w:rFonts w:ascii="Times New Roman" w:hAnsi="Times New Roman"/>
          <w:b/>
          <w:sz w:val="18"/>
          <w:szCs w:val="18"/>
          <w:lang w:val="ms-MY"/>
        </w:rPr>
        <w:t xml:space="preserve">Kata kunci: </w:t>
      </w:r>
      <w:r>
        <w:rPr>
          <w:rFonts w:ascii="Times New Roman" w:hAnsi="Times New Roman"/>
          <w:b/>
          <w:sz w:val="18"/>
          <w:szCs w:val="18"/>
          <w:lang w:val="ms-MY"/>
        </w:rPr>
        <w:t xml:space="preserve"> </w:t>
      </w:r>
      <w:r>
        <w:rPr>
          <w:rFonts w:ascii="Times New Roman" w:hAnsi="Times New Roman"/>
          <w:bCs/>
          <w:sz w:val="18"/>
          <w:szCs w:val="18"/>
          <w:lang w:val="ms-MY"/>
        </w:rPr>
        <w:t>pengenyahmasin</w:t>
      </w:r>
      <w:r w:rsidRPr="008B62C8">
        <w:rPr>
          <w:rFonts w:ascii="Times New Roman" w:hAnsi="Times New Roman"/>
          <w:bCs/>
          <w:sz w:val="18"/>
          <w:szCs w:val="18"/>
          <w:lang w:val="ms-MY"/>
        </w:rPr>
        <w:t xml:space="preserve"> air, membran </w:t>
      </w:r>
      <w:r w:rsidRPr="008B62C8">
        <w:rPr>
          <w:rFonts w:ascii="Times New Roman" w:hAnsi="Times New Roman"/>
          <w:sz w:val="18"/>
          <w:szCs w:val="18"/>
          <w:lang w:val="ms-MY"/>
        </w:rPr>
        <w:t>filem nipis komposit nano</w:t>
      </w:r>
      <w:r w:rsidRPr="008B62C8">
        <w:rPr>
          <w:rFonts w:ascii="Times New Roman" w:hAnsi="Times New Roman"/>
          <w:bCs/>
          <w:sz w:val="18"/>
          <w:szCs w:val="18"/>
          <w:lang w:val="ms-MY"/>
        </w:rPr>
        <w:t xml:space="preserve">, </w:t>
      </w:r>
      <w:r>
        <w:rPr>
          <w:rFonts w:ascii="Times New Roman" w:hAnsi="Times New Roman"/>
          <w:bCs/>
          <w:sz w:val="18"/>
          <w:szCs w:val="18"/>
          <w:lang w:val="ms-MY"/>
        </w:rPr>
        <w:t>hi</w:t>
      </w:r>
      <w:r w:rsidRPr="008B62C8">
        <w:rPr>
          <w:rFonts w:ascii="Times New Roman" w:hAnsi="Times New Roman"/>
          <w:bCs/>
          <w:sz w:val="18"/>
          <w:szCs w:val="18"/>
          <w:lang w:val="ms-MY"/>
        </w:rPr>
        <w:t>brid MWCNT-TNT</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91020" w:rsidRPr="00191020" w:rsidRDefault="00191020" w:rsidP="00191020">
      <w:pPr>
        <w:spacing w:after="0" w:line="240" w:lineRule="auto"/>
        <w:jc w:val="both"/>
        <w:outlineLvl w:val="0"/>
        <w:rPr>
          <w:rFonts w:ascii="Times New Roman" w:hAnsi="Times New Roman"/>
          <w:sz w:val="20"/>
          <w:szCs w:val="20"/>
        </w:rPr>
      </w:pPr>
      <w:r w:rsidRPr="00191020">
        <w:rPr>
          <w:rFonts w:ascii="Times New Roman" w:hAnsi="Times New Roman"/>
          <w:sz w:val="20"/>
          <w:szCs w:val="20"/>
        </w:rPr>
        <w:t xml:space="preserve">Nanofiltration (NF) which lies between ultrafiltration (UF) and reverse osmosis (RO) is a separation technique used in desalination process mostly to reject multivalent ions rather than monovalent ions. NF shows some advantages over RO such as greater water permeability and lower operating pressure </w:t>
      </w:r>
      <w:r w:rsidRPr="00191020">
        <w:rPr>
          <w:rFonts w:ascii="Times New Roman" w:hAnsi="Times New Roman"/>
          <w:sz w:val="20"/>
          <w:szCs w:val="20"/>
        </w:rPr>
        <w:fldChar w:fldCharType="begin" w:fldLock="1"/>
      </w:r>
      <w:r w:rsidRPr="00191020">
        <w:rPr>
          <w:rFonts w:ascii="Times New Roman" w:hAnsi="Times New Roman"/>
          <w:sz w:val="20"/>
          <w:szCs w:val="20"/>
        </w:rPr>
        <w:instrText>ADDIN CSL_CITATION { "citationItems" : [ { "id" : "ITEM-1", "itemData" : { "DOI" : "10.1016/j.reactfunctpolym.2014.08.009", "ISBN" : "1381-5148", "ISSN" : "13815148", "abstract" : "Thin film composite (TFC) nanofiltration membranes were fabricated by interfacial polymerization using polymeric amine polyethylenimine (PEI) and monomeric amine piperazine (PIP) as the amine reactant. Membranes with a single-ply polyamide layer were produced by reacting trimesoyl chloride (TMC) with mixed amines of PEI and PIP, and incorporation of a small amount of PIP in PEI was found to increase the permeation flux effectively while still maintaining a good solute rejection. For instance, adding 10 wt% PIP in the amine reactant solution resulted in a 6-fold increase in permeation flux, while a 91.6% MgCl2 rejection was maintained. In addition, 2-ply polyamide membranes were also prepared by two cycles of PEI-TMC and PIP-TMC interfacial reactions separately, and they showed a higher rejection than the single-ply polyamide membrane. At a low PIP/PEI concentration ratio, the single-ply polyamide membranes formed with mixed amines of PIP and PEI tended to be more permeable than the 2-ply polyamide membranes. However, it was demonstrated that by properly controlling the PIP/PEI concentration ratio, the 2-ply polyamide membranes with both a higher permeation flux and salt rejection than conventional single-ply polyamide membranes could be produced. The resulting membranes were characterized for chemical composition, surface hydrophilicity, surface charge and morphology of the polyamide skin layer.", "author" : [ { "dropping-particle" : "", "family" : "Wu", "given" : "Dihua", "non-dropping-particle" : "", "parse-names" : false, "suffix" : "" }, { "dropping-particle" : "", "family" : "Yu", "given" : "Sanchuan", "non-dropping-particle" : "", "parse-names" : false, "suffix" : "" }, { "dropping-particle" : "", "family" : "Lawless", "given" : "Darren", "non-dropping-particle" : "", "parse-names" : false, "suffix" : "" }, { "dropping-particle" : "", "family" : "Feng", "given" : "Xianshe", "non-dropping-particle" : "", "parse-names" : false, "suffix" : "" } ], "container-title" : "Reactive and Functional Polymers", "id" : "ITEM-1", "issued" : { "date-parts" : [ [ "2015" ] ] }, "page" : "168-183", "publisher" : "Elsevier B.V.", "title" : "Thin film composite nanofiltration membranes fabricated from polymeric amine polyethylenimine imbedded with monomeric amine piperazine for enhanced salt separations", "type" : "article-journal", "volume" : "86" }, "uris" : [ "http://www.mendeley.com/documents/?uuid=13ead46d-99cd-4df0-921f-a06615dfa805" ] } ], "mendeley" : { "formattedCitation" : "[1]", "plainTextFormattedCitation" : "[1]", "previouslyFormattedCitation" : "&lt;sup&gt;1&lt;/sup&gt;" }, "properties" : { "noteIndex" : 0 }, "schema" : "https://github.com/citation-style-language/schema/raw/master/csl-citation.json" }</w:instrText>
      </w:r>
      <w:r w:rsidRPr="00191020">
        <w:rPr>
          <w:rFonts w:ascii="Times New Roman" w:hAnsi="Times New Roman"/>
          <w:sz w:val="20"/>
          <w:szCs w:val="20"/>
        </w:rPr>
        <w:fldChar w:fldCharType="separate"/>
      </w:r>
      <w:r w:rsidRPr="00191020">
        <w:rPr>
          <w:rFonts w:ascii="Times New Roman" w:hAnsi="Times New Roman"/>
          <w:noProof/>
          <w:sz w:val="20"/>
          <w:szCs w:val="20"/>
        </w:rPr>
        <w:t>[1]</w:t>
      </w:r>
      <w:r w:rsidRPr="00191020">
        <w:rPr>
          <w:rFonts w:ascii="Times New Roman" w:hAnsi="Times New Roman"/>
          <w:sz w:val="20"/>
          <w:szCs w:val="20"/>
        </w:rPr>
        <w:fldChar w:fldCharType="end"/>
      </w:r>
      <w:r w:rsidRPr="00191020">
        <w:rPr>
          <w:rFonts w:ascii="Times New Roman" w:hAnsi="Times New Roman"/>
          <w:sz w:val="20"/>
          <w:szCs w:val="20"/>
        </w:rPr>
        <w:t xml:space="preserve">. The thin film composite (TFC) NF membrane is normally fabricated through interfacial polymerization (IP) process of two immiscible phases in the formation of thin and dense polyamide layer. Nowadays, TFC NF membrane has also been widely applied for water purification, </w:t>
      </w:r>
      <w:r w:rsidRPr="00191020">
        <w:rPr>
          <w:rFonts w:ascii="Times New Roman" w:hAnsi="Times New Roman"/>
          <w:noProof/>
          <w:sz w:val="20"/>
          <w:szCs w:val="20"/>
        </w:rPr>
        <w:t>wastewater</w:t>
      </w:r>
      <w:r w:rsidRPr="00191020">
        <w:rPr>
          <w:rFonts w:ascii="Times New Roman" w:hAnsi="Times New Roman"/>
          <w:sz w:val="20"/>
          <w:szCs w:val="20"/>
        </w:rPr>
        <w:t xml:space="preserve"> treatment, food processing and bio-separation </w:t>
      </w:r>
      <w:r w:rsidRPr="00191020">
        <w:rPr>
          <w:rFonts w:ascii="Times New Roman" w:hAnsi="Times New Roman"/>
          <w:sz w:val="20"/>
          <w:szCs w:val="20"/>
        </w:rPr>
        <w:fldChar w:fldCharType="begin" w:fldLock="1"/>
      </w:r>
      <w:r w:rsidRPr="00191020">
        <w:rPr>
          <w:rFonts w:ascii="Times New Roman" w:hAnsi="Times New Roman"/>
          <w:sz w:val="20"/>
          <w:szCs w:val="20"/>
        </w:rPr>
        <w:instrText>ADDIN CSL_CITATION { "citationItems" : [ { "id" : "ITEM-1", "itemData" : { "DOI" : "10.1080/15422119.2014.882355", "ISSN" : "1542-2119", "abstract" : "This review provides a comprehensive survey on the characterization methods used to study the properties and performances of thin film composite nanofiltration (NF) membranes in water separation processes. In general, the intrinsic properties of NF membranes are characterized with respect to chemical properties and physical properties using various analytical instruments. For instance, FTIR spectroscope, zeta potential analyzer, XPS, XRD, and NMR spectroscope are some of the widely used instruments to evaluate the membrane chemical properties while SEM, FESEM, TEM, AFM, contact angle goniometer, and positron annihilation spectroscopy are those that have been commonly employed to study the membrane structural properties. With respect to permeability and selectivity, NF membranes are generally characterized through filtration experiments using appropriate feed properties under specific testing conditions. Furthermore, this review also covers the characterization techniques used to study the resistance of NF...", "author" : [ { "dropping-particle" : "", "family" : "Lau", "given" : "W. J.", "non-dropping-particle" : "", "parse-names" : false, "suffix" : "" }, { "dropping-particle" : "", "family" : "Ismail", "given" : "A. F.", "non-dropping-particle" : "", "parse-names" : false, "suffix" : "" }, { "dropping-particle" : "", "family" : "Goh", "given" : "P. S.", "non-dropping-particle" : "", "parse-names" : false, "suffix" : "" }, { "dropping-particle" : "", "family" : "Hilal", "given" : "N.", "non-dropping-particle" : "", "parse-names" : false, "suffix" : "" }, { "dropping-particle" : "", "family" : "Ooi", "given" : "B. S.", "non-dropping-particle" : "", "parse-names" : false, "suffix" : "" } ], "container-title" : "Separation &amp; Purification Reviews", "id" : "ITEM-1", "issue" : "2", "issued" : { "date-parts" : [ [ "2014" ] ] }, "page" : "135-156", "title" : "Characterization Methods of Thin Film Composite Nanofiltration Membranes", "type" : "article-journal", "volume" : "44" }, "uris" : [ "http://www.mendeley.com/documents/?uuid=4555c60d-ff1d-4d93-99fc-ff5b01d759c7" ] } ], "mendeley" : { "formattedCitation" : "[2]", "plainTextFormattedCitation" : "[2]", "previouslyFormattedCitation" : "&lt;sup&gt;2&lt;/sup&gt;" }, "properties" : { "noteIndex" : 0 }, "schema" : "https://github.com/citation-style-language/schema/raw/master/csl-citation.json" }</w:instrText>
      </w:r>
      <w:r w:rsidRPr="00191020">
        <w:rPr>
          <w:rFonts w:ascii="Times New Roman" w:hAnsi="Times New Roman"/>
          <w:sz w:val="20"/>
          <w:szCs w:val="20"/>
        </w:rPr>
        <w:fldChar w:fldCharType="separate"/>
      </w:r>
      <w:r w:rsidRPr="00191020">
        <w:rPr>
          <w:rFonts w:ascii="Times New Roman" w:hAnsi="Times New Roman"/>
          <w:noProof/>
          <w:sz w:val="20"/>
          <w:szCs w:val="20"/>
        </w:rPr>
        <w:t>[2]</w:t>
      </w:r>
      <w:r w:rsidRPr="00191020">
        <w:rPr>
          <w:rFonts w:ascii="Times New Roman" w:hAnsi="Times New Roman"/>
          <w:sz w:val="20"/>
          <w:szCs w:val="20"/>
        </w:rPr>
        <w:fldChar w:fldCharType="end"/>
      </w:r>
      <w:r w:rsidRPr="00191020">
        <w:rPr>
          <w:rFonts w:ascii="Times New Roman" w:hAnsi="Times New Roman"/>
          <w:sz w:val="20"/>
          <w:szCs w:val="20"/>
        </w:rPr>
        <w:t xml:space="preserve">. </w:t>
      </w:r>
    </w:p>
    <w:p w:rsidR="00191020" w:rsidRPr="00191020" w:rsidRDefault="00191020" w:rsidP="00191020">
      <w:pPr>
        <w:spacing w:after="0" w:line="240" w:lineRule="auto"/>
        <w:jc w:val="both"/>
        <w:outlineLvl w:val="0"/>
        <w:rPr>
          <w:rFonts w:ascii="Times New Roman" w:hAnsi="Times New Roman"/>
          <w:sz w:val="20"/>
          <w:szCs w:val="20"/>
        </w:rPr>
      </w:pPr>
    </w:p>
    <w:p w:rsidR="00191020" w:rsidRPr="00191020" w:rsidRDefault="00191020" w:rsidP="00191020">
      <w:pPr>
        <w:spacing w:after="0" w:line="240" w:lineRule="auto"/>
        <w:jc w:val="both"/>
        <w:outlineLvl w:val="0"/>
        <w:rPr>
          <w:rFonts w:ascii="Times New Roman" w:hAnsi="Times New Roman"/>
          <w:sz w:val="20"/>
          <w:szCs w:val="20"/>
        </w:rPr>
      </w:pPr>
      <w:r w:rsidRPr="00191020">
        <w:rPr>
          <w:rFonts w:ascii="Times New Roman" w:hAnsi="Times New Roman"/>
          <w:sz w:val="20"/>
          <w:szCs w:val="20"/>
        </w:rPr>
        <w:t xml:space="preserve">Recently, many efforts have been made to tailor the structural properties of polyamide-based TFC membrane to improve the separation performance of the membrane. The introduction of polymeric nanocomposites either by mixed </w:t>
      </w:r>
      <w:r w:rsidRPr="00191020">
        <w:rPr>
          <w:rFonts w:ascii="Times New Roman" w:hAnsi="Times New Roman"/>
          <w:noProof/>
          <w:sz w:val="20"/>
          <w:szCs w:val="20"/>
        </w:rPr>
        <w:t>matrix</w:t>
      </w:r>
      <w:r w:rsidRPr="00191020">
        <w:rPr>
          <w:rFonts w:ascii="Times New Roman" w:hAnsi="Times New Roman"/>
          <w:sz w:val="20"/>
          <w:szCs w:val="20"/>
        </w:rPr>
        <w:t xml:space="preserve"> membrane or incorporated in polyamide layer of the membrane have gained interest of many researchers. Various </w:t>
      </w:r>
      <w:r w:rsidRPr="00191020">
        <w:rPr>
          <w:rFonts w:ascii="Times New Roman" w:hAnsi="Times New Roman"/>
          <w:noProof/>
          <w:sz w:val="20"/>
          <w:szCs w:val="20"/>
        </w:rPr>
        <w:t>nanomaterials</w:t>
      </w:r>
      <w:r w:rsidRPr="00191020">
        <w:rPr>
          <w:rFonts w:ascii="Times New Roman" w:hAnsi="Times New Roman"/>
          <w:sz w:val="20"/>
          <w:szCs w:val="20"/>
        </w:rPr>
        <w:t xml:space="preserve"> such as silica, zeolite, graphite, metal oxide nanomaterials and carbon nanotubes (CNTs) have been </w:t>
      </w:r>
      <w:r w:rsidRPr="00191020">
        <w:rPr>
          <w:rFonts w:ascii="Times New Roman" w:hAnsi="Times New Roman"/>
          <w:noProof/>
          <w:sz w:val="20"/>
          <w:szCs w:val="20"/>
        </w:rPr>
        <w:t>introduced</w:t>
      </w:r>
      <w:r w:rsidRPr="00191020">
        <w:rPr>
          <w:rFonts w:ascii="Times New Roman" w:hAnsi="Times New Roman"/>
          <w:sz w:val="20"/>
          <w:szCs w:val="20"/>
        </w:rPr>
        <w:t xml:space="preserve"> for membrane application due to their unique features including the ability to promote high permeability and decreased in </w:t>
      </w:r>
      <w:r w:rsidRPr="00191020">
        <w:rPr>
          <w:rFonts w:ascii="Times New Roman" w:hAnsi="Times New Roman"/>
          <w:noProof/>
          <w:sz w:val="20"/>
          <w:szCs w:val="20"/>
        </w:rPr>
        <w:t>fouling resistance</w:t>
      </w:r>
      <w:r w:rsidRPr="00191020">
        <w:rPr>
          <w:rFonts w:ascii="Times New Roman" w:hAnsi="Times New Roman"/>
          <w:sz w:val="20"/>
          <w:szCs w:val="20"/>
        </w:rPr>
        <w:t xml:space="preserve"> </w:t>
      </w:r>
      <w:r w:rsidRPr="00191020">
        <w:rPr>
          <w:rFonts w:ascii="Times New Roman" w:hAnsi="Times New Roman"/>
          <w:sz w:val="20"/>
          <w:szCs w:val="20"/>
        </w:rPr>
        <w:fldChar w:fldCharType="begin" w:fldLock="1"/>
      </w:r>
      <w:r w:rsidRPr="00191020">
        <w:rPr>
          <w:rFonts w:ascii="Times New Roman" w:hAnsi="Times New Roman"/>
          <w:sz w:val="20"/>
          <w:szCs w:val="20"/>
        </w:rPr>
        <w:instrText>ADDIN CSL_CITATION { "citationItems" : [ { "id" : "ITEM-1", "itemData" : { "DOI" : "10.1016/j.memsci.2014.04.031", "ISBN" : "0376-7388", "ISSN" : "18733123", "abstract" : "Flat sheet asymmetric amine-functionalized multiwalled carbon nanotubes (NH2-MWCNTs)/polyethersulfone (PES) nanocomposite nanofiltration membranes with different nanofiller contents were prepared by the phase inversion method. The characteristics of the mixed matrix membranes were analyzed by SEM, AFM, contact angle and zeta potential measurements. The performance of the membranes was evaluated in terms of pure water flux (PWF), static protein adsorption and bovine serum albumin (BSA) filtration. Results showed that the hydrophilicity and PWF of the nanocomposite membranes were enhanced with increase of NH2-MWCNTs dosages. Increasing the nanotube dosages from 0wt% to 0.045wt% led to increase of PWF from 13.6 to 23.7L/m2h. The SEM images illustrated that the fabricated membranes possessed a typical asymmetric finger-like structure. The salt rejection experiments and zeta potential measurements evidenced that the surface charge of the NH2-MWCNT embedded membranes was negative and the retention mechanism of the solutes was mainly the Donnan exclusion mechanism. The salt retention sequence for 0.045wt% NH2-MWCNT was Na2SO4 (65%)&gt;MgSO4 (45%)&gt;NaCl (20%) after 180min filtration. The increase of the salt solution pH caused more negative surface charge and higher retention. The addition of the modified MWCNTs, in BSA filtration analysis, led to significant improvement of the fouling recovery ratio (FRR) due to lower roughness, more negatively charged surface and higher hydrophilicity of the membrane surface. \u00a9 2014 Elsevier B.V.", "author" : [ { "dropping-particle" : "", "family" : "Vatanpour", "given" : "Vahid", "non-dropping-particle" : "", "parse-names" : false, "suffix" : "" }, { "dropping-particle" : "", "family" : "Esmaeili", "given" : "Majid", "non-dropping-particle" : "", "parse-names" : false, "suffix" : "" }, { "dropping-particle" : "", "family" : "Farahani", "given" : "Mohammad Hossein Davood Abadi", "non-dropping-particle" : "", "parse-names" : false, "suffix" : "" } ], "container-title" : "Journal of Membrane Science", "id" : "ITEM-1", "issued" : { "date-parts" : [ [ "2014" ] ] }, "page" : "70-81", "publisher" : "Elsevier", "title" : "Fouling reduction and retention increment of polyethersulfone nanofiltration membranes embedded by amine-functionalized multi-walled carbon nanotubes", "type" : "article-journal", "volume" : "466" }, "uris" : [ "http://www.mendeley.com/documents/?uuid=6258f296-8347-495c-8b9e-7f7b99c864cb" ] } ], "mendeley" : { "formattedCitation" : "[3]", "plainTextFormattedCitation" : "[3]", "previouslyFormattedCitation" : "&lt;sup&gt;3&lt;/sup&gt;" }, "properties" : { "noteIndex" : 0 }, "schema" : "https://github.com/citation-style-language/schema/raw/master/csl-citation.json" }</w:instrText>
      </w:r>
      <w:r w:rsidRPr="00191020">
        <w:rPr>
          <w:rFonts w:ascii="Times New Roman" w:hAnsi="Times New Roman"/>
          <w:sz w:val="20"/>
          <w:szCs w:val="20"/>
        </w:rPr>
        <w:fldChar w:fldCharType="separate"/>
      </w:r>
      <w:r w:rsidRPr="00191020">
        <w:rPr>
          <w:rFonts w:ascii="Times New Roman" w:hAnsi="Times New Roman"/>
          <w:noProof/>
          <w:sz w:val="20"/>
          <w:szCs w:val="20"/>
        </w:rPr>
        <w:t>[3]</w:t>
      </w:r>
      <w:r w:rsidRPr="00191020">
        <w:rPr>
          <w:rFonts w:ascii="Times New Roman" w:hAnsi="Times New Roman"/>
          <w:sz w:val="20"/>
          <w:szCs w:val="20"/>
        </w:rPr>
        <w:fldChar w:fldCharType="end"/>
      </w:r>
      <w:r w:rsidRPr="00191020">
        <w:rPr>
          <w:rFonts w:ascii="Times New Roman" w:hAnsi="Times New Roman"/>
          <w:sz w:val="20"/>
          <w:szCs w:val="20"/>
        </w:rPr>
        <w:t xml:space="preserve">. Evidently, each nano-materials have their own unique properties, but a single material is unlikely to simultaneously offer </w:t>
      </w:r>
      <w:r w:rsidRPr="00191020">
        <w:rPr>
          <w:rFonts w:ascii="Times New Roman" w:hAnsi="Times New Roman"/>
          <w:noProof/>
          <w:sz w:val="20"/>
          <w:szCs w:val="20"/>
        </w:rPr>
        <w:t>several</w:t>
      </w:r>
      <w:r w:rsidRPr="00191020">
        <w:rPr>
          <w:rFonts w:ascii="Times New Roman" w:hAnsi="Times New Roman"/>
          <w:sz w:val="20"/>
          <w:szCs w:val="20"/>
        </w:rPr>
        <w:t xml:space="preserve"> if not all, of these beneficial features for membrane fabrication. This has led to recent developments and application of hybrid </w:t>
      </w:r>
      <w:r w:rsidRPr="00191020">
        <w:rPr>
          <w:rFonts w:ascii="Times New Roman" w:hAnsi="Times New Roman"/>
          <w:noProof/>
          <w:sz w:val="20"/>
          <w:szCs w:val="20"/>
        </w:rPr>
        <w:t>nanomaterials</w:t>
      </w:r>
      <w:r w:rsidRPr="00191020">
        <w:rPr>
          <w:rFonts w:ascii="Times New Roman" w:hAnsi="Times New Roman"/>
          <w:sz w:val="20"/>
          <w:szCs w:val="20"/>
        </w:rPr>
        <w:t xml:space="preserve"> capable of synergistically contributing the advantages of their individual components and thereby reducing their shortcoming </w:t>
      </w:r>
      <w:r w:rsidRPr="00191020">
        <w:rPr>
          <w:rFonts w:ascii="Times New Roman" w:hAnsi="Times New Roman"/>
          <w:sz w:val="20"/>
          <w:szCs w:val="20"/>
        </w:rPr>
        <w:fldChar w:fldCharType="begin" w:fldLock="1"/>
      </w:r>
      <w:r w:rsidRPr="00191020">
        <w:rPr>
          <w:rFonts w:ascii="Times New Roman" w:hAnsi="Times New Roman"/>
          <w:sz w:val="20"/>
          <w:szCs w:val="20"/>
        </w:rPr>
        <w:instrText>ADDIN CSL_CITATION { "citationItems" : [ { "id" : "ITEM-1", "itemData" : { "DOI" : "10.1016/j.cattod.2016.03.018", "ISSN" : "09205861", "abstract" : "Multiwall carbon nanotubes (MWCNT)-loaded TiO2 nanotube (TNT) composites were synthesized by hydrothermal method. Scanning electron microscopy and transmission electron microscopy revealed the tubular morphology of the prepared TNT and MWCNT/TNT composites, which was further confirmed by the increase in their surface area. The MWCNT/TNT photocatalysts show high photocatalytic decomposition efficiency (PDE) for the degradation of rhodamine 6G (RhB-6G) dye, with excellent stability and reusability. Among the MWCNT/TNT composites, 10% loading of MWCNT results in a significantly higher PDE (89%) as compared with that of bare TNT (78%), Degussa P-25 TiO2 (P25, 60%), and TiO2 nanoparticles (56%). The enhanced PDE of MWCNT/TNT composites is due to the ability of the MWCNTs to promote the electron transfer process and reduce the electron-hole pair recombination rate, as also confirmed by photoluminescence measurements. Moreover, chemical oxygen demand (COD) and total organic carbon (TOC) analyses were performed to verify the RhB-6G dye degradation. Tubular morphology, enriched adsorption, synergic effect, and efficient separation of photogenerated electron-hole pairs account for the enhanced PDE of MWCNT/TNT composites in the decomposition of RhB-6G dye under the current experimental conditions.", "author" : [ { "dropping-particle" : "", "family" : "Natarajan", "given" : "Thillai Sivakumar", "non-dropping-particle" : "", "parse-names" : false, "suffix" : "" }, { "dropping-particle" : "", "family" : "Lee", "given" : "Joon Yeob", "non-dropping-particle" : "", "parse-names" : false, "suffix" : "" }, { "dropping-particle" : "", "family" : "Bajaj", "given" : "Hari C.", "non-dropping-particle" : "", "parse-names" : false, "suffix" : "" }, { "dropping-particle" : "", "family" : "Jo", "given" : "Wan-Kuen", "non-dropping-particle" : "", "parse-names" : false, "suffix" : "" }, { "dropping-particle" : "", "family" : "Tayade", "given" : "Rajesh J.", "non-dropping-particle" : "", "parse-names" : false, "suffix" : "" } ], "container-title" : "Catalysis Today", "id" : "ITEM-1", "issued" : { "date-parts" : [ [ "2016" ] ] }, "publisher" : "Elsevier B.V.", "title" : "Synthesis of multiwall carbon nanotubes/TiO2 nanotube composites with enhanced photocatalytic decomposition efficiency", "type" : "article-journal" }, "uris" : [ "http://www.mendeley.com/documents/?uuid=50254eb8-2a52-4206-822c-15afae0fa312" ] } ], "mendeley" : { "formattedCitation" : "[4]", "plainTextFormattedCitation" : "[4]", "previouslyFormattedCitation" : "&lt;sup&gt;4&lt;/sup&gt;" }, "properties" : { "noteIndex" : 0 }, "schema" : "https://github.com/citation-style-language/schema/raw/master/csl-citation.json" }</w:instrText>
      </w:r>
      <w:r w:rsidRPr="00191020">
        <w:rPr>
          <w:rFonts w:ascii="Times New Roman" w:hAnsi="Times New Roman"/>
          <w:sz w:val="20"/>
          <w:szCs w:val="20"/>
        </w:rPr>
        <w:fldChar w:fldCharType="separate"/>
      </w:r>
      <w:r w:rsidRPr="00191020">
        <w:rPr>
          <w:rFonts w:ascii="Times New Roman" w:hAnsi="Times New Roman"/>
          <w:noProof/>
          <w:sz w:val="20"/>
          <w:szCs w:val="20"/>
        </w:rPr>
        <w:t>[4]</w:t>
      </w:r>
      <w:r w:rsidRPr="00191020">
        <w:rPr>
          <w:rFonts w:ascii="Times New Roman" w:hAnsi="Times New Roman"/>
          <w:sz w:val="20"/>
          <w:szCs w:val="20"/>
        </w:rPr>
        <w:fldChar w:fldCharType="end"/>
      </w:r>
      <w:r w:rsidRPr="00191020">
        <w:rPr>
          <w:rFonts w:ascii="Times New Roman" w:hAnsi="Times New Roman"/>
          <w:sz w:val="20"/>
          <w:szCs w:val="20"/>
        </w:rPr>
        <w:t xml:space="preserve">. </w:t>
      </w:r>
    </w:p>
    <w:p w:rsidR="00191020" w:rsidRPr="00191020" w:rsidRDefault="00191020" w:rsidP="00191020">
      <w:pPr>
        <w:spacing w:after="0" w:line="240" w:lineRule="auto"/>
        <w:jc w:val="both"/>
        <w:outlineLvl w:val="0"/>
        <w:rPr>
          <w:rFonts w:ascii="Times New Roman" w:hAnsi="Times New Roman"/>
          <w:sz w:val="20"/>
          <w:szCs w:val="20"/>
        </w:rPr>
      </w:pPr>
    </w:p>
    <w:p w:rsidR="00191020" w:rsidRPr="00191020" w:rsidRDefault="00191020" w:rsidP="00191020">
      <w:pPr>
        <w:spacing w:after="0" w:line="240" w:lineRule="auto"/>
        <w:jc w:val="both"/>
        <w:outlineLvl w:val="0"/>
        <w:rPr>
          <w:rFonts w:ascii="Times New Roman" w:hAnsi="Times New Roman"/>
          <w:sz w:val="20"/>
          <w:szCs w:val="20"/>
        </w:rPr>
      </w:pPr>
      <w:r w:rsidRPr="00191020">
        <w:rPr>
          <w:rFonts w:ascii="Times New Roman" w:hAnsi="Times New Roman"/>
          <w:sz w:val="20"/>
          <w:szCs w:val="20"/>
        </w:rPr>
        <w:t xml:space="preserve">The present work aims to evaluate the feasibility of using multi-walled carbon nanotubes-titania (MWCNT-TNT) hybrid as nanofillers of </w:t>
      </w:r>
      <w:r w:rsidRPr="00191020">
        <w:rPr>
          <w:rFonts w:ascii="Times New Roman" w:hAnsi="Times New Roman"/>
          <w:noProof/>
          <w:sz w:val="20"/>
          <w:szCs w:val="20"/>
        </w:rPr>
        <w:t>thin film</w:t>
      </w:r>
      <w:r w:rsidRPr="00191020">
        <w:rPr>
          <w:rFonts w:ascii="Times New Roman" w:hAnsi="Times New Roman"/>
          <w:sz w:val="20"/>
          <w:szCs w:val="20"/>
        </w:rPr>
        <w:t xml:space="preserve"> nanocomposite (TFN) membrane. </w:t>
      </w:r>
      <w:r w:rsidRPr="00191020">
        <w:rPr>
          <w:rFonts w:ascii="Times New Roman" w:hAnsi="Times New Roman"/>
          <w:noProof/>
          <w:sz w:val="20"/>
          <w:szCs w:val="20"/>
        </w:rPr>
        <w:t>Even though</w:t>
      </w:r>
      <w:r w:rsidRPr="00191020">
        <w:rPr>
          <w:rFonts w:ascii="Times New Roman" w:hAnsi="Times New Roman"/>
          <w:sz w:val="20"/>
          <w:szCs w:val="20"/>
        </w:rPr>
        <w:t xml:space="preserve"> many works on inorganic nanoscale particles have been studied, </w:t>
      </w:r>
      <w:r w:rsidRPr="00191020">
        <w:rPr>
          <w:rFonts w:ascii="Times New Roman" w:hAnsi="Times New Roman"/>
          <w:noProof/>
          <w:sz w:val="20"/>
          <w:szCs w:val="20"/>
        </w:rPr>
        <w:t>however,</w:t>
      </w:r>
      <w:r w:rsidRPr="00191020">
        <w:rPr>
          <w:rFonts w:ascii="Times New Roman" w:hAnsi="Times New Roman"/>
          <w:sz w:val="20"/>
          <w:szCs w:val="20"/>
        </w:rPr>
        <w:t xml:space="preserve"> there is still no exploration on hybrid nanomaterials for water desalination membrane. In this study, a hybrid of MWCNT-TNT will be incorporated into the polyamide layer of TFN membrane to harness the unique characteristic of both MWCNTs and TNTs. The TFN membrane will be evaluated in term of their water permeability and NaCl rejection performance.</w:t>
      </w:r>
    </w:p>
    <w:p w:rsidR="00191020" w:rsidRPr="00191020" w:rsidRDefault="00191020" w:rsidP="00191020">
      <w:pPr>
        <w:spacing w:after="0" w:line="240" w:lineRule="auto"/>
        <w:jc w:val="center"/>
        <w:outlineLvl w:val="0"/>
        <w:rPr>
          <w:rFonts w:ascii="Times New Roman" w:hAnsi="Times New Roman"/>
          <w:sz w:val="20"/>
          <w:szCs w:val="20"/>
        </w:rPr>
      </w:pPr>
    </w:p>
    <w:p w:rsidR="00191020" w:rsidRPr="00191020" w:rsidRDefault="00191020" w:rsidP="00191020">
      <w:pPr>
        <w:spacing w:after="0" w:line="240" w:lineRule="auto"/>
        <w:jc w:val="center"/>
        <w:outlineLvl w:val="0"/>
        <w:rPr>
          <w:rFonts w:ascii="Times New Roman" w:hAnsi="Times New Roman"/>
          <w:b/>
          <w:sz w:val="20"/>
          <w:szCs w:val="20"/>
        </w:rPr>
      </w:pPr>
      <w:r w:rsidRPr="00191020">
        <w:rPr>
          <w:rFonts w:ascii="Times New Roman" w:hAnsi="Times New Roman"/>
          <w:b/>
          <w:sz w:val="20"/>
          <w:szCs w:val="20"/>
        </w:rPr>
        <w:t>Materials and Methods</w:t>
      </w:r>
    </w:p>
    <w:p w:rsidR="00191020" w:rsidRPr="00191020" w:rsidRDefault="00191020" w:rsidP="00191020">
      <w:pPr>
        <w:spacing w:after="0" w:line="240" w:lineRule="auto"/>
        <w:jc w:val="both"/>
        <w:outlineLvl w:val="0"/>
        <w:rPr>
          <w:rFonts w:ascii="Times New Roman" w:hAnsi="Times New Roman"/>
          <w:b/>
          <w:bCs/>
          <w:sz w:val="20"/>
          <w:szCs w:val="20"/>
        </w:rPr>
      </w:pPr>
      <w:r w:rsidRPr="00191020">
        <w:rPr>
          <w:rFonts w:ascii="Times New Roman" w:hAnsi="Times New Roman"/>
          <w:b/>
          <w:bCs/>
          <w:sz w:val="20"/>
          <w:szCs w:val="20"/>
        </w:rPr>
        <w:t>Materials</w:t>
      </w:r>
    </w:p>
    <w:p w:rsidR="00191020" w:rsidRPr="00191020" w:rsidRDefault="00191020" w:rsidP="00191020">
      <w:pPr>
        <w:spacing w:after="0" w:line="240" w:lineRule="auto"/>
        <w:jc w:val="both"/>
        <w:outlineLvl w:val="0"/>
        <w:rPr>
          <w:rFonts w:ascii="Times New Roman" w:hAnsi="Times New Roman"/>
          <w:sz w:val="20"/>
          <w:szCs w:val="20"/>
        </w:rPr>
      </w:pPr>
      <w:r w:rsidRPr="00191020">
        <w:rPr>
          <w:rFonts w:ascii="Times New Roman" w:hAnsi="Times New Roman"/>
          <w:sz w:val="20"/>
          <w:szCs w:val="20"/>
        </w:rPr>
        <w:t>Commercial ultrafiltration (UF) membrane obtained from Sterlitech was used for membrane substrate. 1,3,5-benzenetricarboxylic acid chloride (TMC, Acros Organic) in n-hexane (Fisher Chemical), 1,3-phenylenediamine (MPD, Merck) and piperazine (PIP, Merck) in RO water were used in TFC membrane fabrication for PA layer. Titanium dioxide nanoparticles (TiO</w:t>
      </w:r>
      <w:r w:rsidRPr="00191020">
        <w:rPr>
          <w:rFonts w:ascii="Times New Roman" w:hAnsi="Times New Roman"/>
          <w:sz w:val="20"/>
          <w:szCs w:val="20"/>
          <w:vertAlign w:val="subscript"/>
        </w:rPr>
        <w:t xml:space="preserve">2, </w:t>
      </w:r>
      <w:r w:rsidRPr="00191020">
        <w:rPr>
          <w:rFonts w:ascii="Times New Roman" w:hAnsi="Times New Roman"/>
          <w:sz w:val="20"/>
          <w:szCs w:val="20"/>
        </w:rPr>
        <w:t>Degussa P25 Evonik), multi-walled carbon nanotube (MWCNT, Aldrich), hydrochloric acid (HCl, Merck), sulfuric acid (H</w:t>
      </w:r>
      <w:r w:rsidRPr="00191020">
        <w:rPr>
          <w:rFonts w:ascii="Times New Roman" w:hAnsi="Times New Roman"/>
          <w:sz w:val="20"/>
          <w:szCs w:val="20"/>
          <w:vertAlign w:val="subscript"/>
        </w:rPr>
        <w:t>2</w:t>
      </w:r>
      <w:r w:rsidRPr="00191020">
        <w:rPr>
          <w:rFonts w:ascii="Times New Roman" w:hAnsi="Times New Roman"/>
          <w:sz w:val="20"/>
          <w:szCs w:val="20"/>
        </w:rPr>
        <w:t>SO</w:t>
      </w:r>
      <w:r w:rsidRPr="00191020">
        <w:rPr>
          <w:rFonts w:ascii="Times New Roman" w:hAnsi="Times New Roman"/>
          <w:sz w:val="20"/>
          <w:szCs w:val="20"/>
          <w:vertAlign w:val="subscript"/>
        </w:rPr>
        <w:t>4</w:t>
      </w:r>
      <w:r w:rsidRPr="00191020">
        <w:rPr>
          <w:rFonts w:ascii="Times New Roman" w:hAnsi="Times New Roman"/>
          <w:sz w:val="20"/>
          <w:szCs w:val="20"/>
        </w:rPr>
        <w:t>, Merck 95 – 97%), nitric acid (HNO</w:t>
      </w:r>
      <w:r w:rsidRPr="00191020">
        <w:rPr>
          <w:rFonts w:ascii="Times New Roman" w:hAnsi="Times New Roman"/>
          <w:sz w:val="20"/>
          <w:szCs w:val="20"/>
          <w:vertAlign w:val="subscript"/>
        </w:rPr>
        <w:t>3</w:t>
      </w:r>
      <w:r w:rsidRPr="00191020">
        <w:rPr>
          <w:rFonts w:ascii="Times New Roman" w:hAnsi="Times New Roman"/>
          <w:sz w:val="20"/>
          <w:szCs w:val="20"/>
        </w:rPr>
        <w:t xml:space="preserve">, Merck 65%) and sodium hydroxide (NaOH, Merck) and sodium hydroxide (NaOH, Merck) were used to synthesize hybrid MWCNT-TNT. </w:t>
      </w:r>
      <w:r w:rsidRPr="00191020">
        <w:rPr>
          <w:rFonts w:ascii="Times New Roman" w:hAnsi="Times New Roman"/>
          <w:sz w:val="20"/>
          <w:szCs w:val="20"/>
          <w:lang w:val="en-MY"/>
        </w:rPr>
        <w:t>Sodium chloride (NaCl, Merck) was used in salt water preparation.</w:t>
      </w:r>
    </w:p>
    <w:p w:rsidR="00191020" w:rsidRPr="00191020" w:rsidRDefault="00191020" w:rsidP="00191020">
      <w:pPr>
        <w:spacing w:after="0" w:line="240" w:lineRule="auto"/>
        <w:jc w:val="both"/>
        <w:outlineLvl w:val="0"/>
        <w:rPr>
          <w:rFonts w:ascii="Times New Roman" w:hAnsi="Times New Roman"/>
          <w:sz w:val="20"/>
          <w:szCs w:val="20"/>
        </w:rPr>
      </w:pPr>
    </w:p>
    <w:p w:rsidR="00191020" w:rsidRPr="00191020" w:rsidRDefault="00191020" w:rsidP="00191020">
      <w:pPr>
        <w:spacing w:after="0" w:line="240" w:lineRule="auto"/>
        <w:jc w:val="both"/>
        <w:outlineLvl w:val="0"/>
        <w:rPr>
          <w:rFonts w:ascii="Times New Roman" w:hAnsi="Times New Roman"/>
          <w:b/>
          <w:sz w:val="20"/>
          <w:szCs w:val="20"/>
          <w:lang w:val="en-GB"/>
        </w:rPr>
      </w:pPr>
      <w:r w:rsidRPr="00191020">
        <w:rPr>
          <w:rFonts w:ascii="Times New Roman" w:hAnsi="Times New Roman"/>
          <w:b/>
          <w:sz w:val="20"/>
          <w:szCs w:val="20"/>
          <w:lang w:val="en-GB"/>
        </w:rPr>
        <w:t>Synthesis of MWCNT-TNT hybrid</w:t>
      </w:r>
    </w:p>
    <w:p w:rsidR="00191020" w:rsidRPr="00191020" w:rsidRDefault="00191020" w:rsidP="00191020">
      <w:pPr>
        <w:spacing w:after="0" w:line="240" w:lineRule="auto"/>
        <w:jc w:val="both"/>
        <w:rPr>
          <w:rFonts w:ascii="Times New Roman" w:hAnsi="Times New Roman"/>
          <w:sz w:val="20"/>
          <w:szCs w:val="20"/>
        </w:rPr>
      </w:pPr>
      <w:r w:rsidRPr="00191020">
        <w:rPr>
          <w:rFonts w:ascii="Times New Roman" w:hAnsi="Times New Roman"/>
          <w:sz w:val="20"/>
          <w:szCs w:val="20"/>
        </w:rPr>
        <w:t>MWCNT-TNT hybrid was synthesized by oxidization and hydrothermal method. Firstly, 1g of MWCNTs was acid refluxed in H</w:t>
      </w:r>
      <w:r w:rsidRPr="00191020">
        <w:rPr>
          <w:rFonts w:ascii="Times New Roman" w:hAnsi="Times New Roman"/>
          <w:sz w:val="20"/>
          <w:szCs w:val="20"/>
          <w:vertAlign w:val="subscript"/>
        </w:rPr>
        <w:t>2</w:t>
      </w:r>
      <w:r w:rsidRPr="00191020">
        <w:rPr>
          <w:rFonts w:ascii="Times New Roman" w:hAnsi="Times New Roman"/>
          <w:sz w:val="20"/>
          <w:szCs w:val="20"/>
        </w:rPr>
        <w:t>SO</w:t>
      </w:r>
      <w:r w:rsidRPr="00191020">
        <w:rPr>
          <w:rFonts w:ascii="Times New Roman" w:hAnsi="Times New Roman"/>
          <w:sz w:val="20"/>
          <w:szCs w:val="20"/>
          <w:vertAlign w:val="subscript"/>
        </w:rPr>
        <w:t>4</w:t>
      </w:r>
      <w:r w:rsidRPr="00191020">
        <w:rPr>
          <w:rFonts w:ascii="Times New Roman" w:hAnsi="Times New Roman"/>
          <w:sz w:val="20"/>
          <w:szCs w:val="20"/>
        </w:rPr>
        <w:t>:HNO</w:t>
      </w:r>
      <w:r w:rsidRPr="00191020">
        <w:rPr>
          <w:rFonts w:ascii="Times New Roman" w:hAnsi="Times New Roman"/>
          <w:sz w:val="20"/>
          <w:szCs w:val="20"/>
          <w:vertAlign w:val="subscript"/>
        </w:rPr>
        <w:t>3</w:t>
      </w:r>
      <w:r w:rsidRPr="00191020">
        <w:rPr>
          <w:rFonts w:ascii="Times New Roman" w:hAnsi="Times New Roman"/>
          <w:sz w:val="20"/>
          <w:szCs w:val="20"/>
        </w:rPr>
        <w:t xml:space="preserve"> (each 3 M, 3:1, v/v) (250 ml) at 80 °C for 24 hours. The solution was filtered and   washed to get pH neutral before oven-dried. 3 g of oxidized MWCNTs and TiO</w:t>
      </w:r>
      <w:r w:rsidRPr="00191020">
        <w:rPr>
          <w:rFonts w:ascii="Times New Roman" w:hAnsi="Times New Roman"/>
          <w:sz w:val="20"/>
          <w:szCs w:val="20"/>
          <w:vertAlign w:val="subscript"/>
        </w:rPr>
        <w:t>2</w:t>
      </w:r>
      <w:r w:rsidRPr="00191020">
        <w:rPr>
          <w:rFonts w:ascii="Times New Roman" w:hAnsi="Times New Roman"/>
          <w:sz w:val="20"/>
          <w:szCs w:val="20"/>
        </w:rPr>
        <w:t xml:space="preserve"> (1:5) was undergone the hydrothermal process for 24 hours at 120 °C in 10M NaOH (100 ml). The MWCNT-TNT was washed until pH lower than 9 and was treated with HCl solution (0.1M) to obtain pH 3 – 4. The final product was washed to pH neutral and dried in an oven at 60 °C. To prepare the acid treated filler (a-MWCNT-TNT), the prepared MWCNT-TNT was treated with hydrochloric acid (HCl). Briefly, a 0.2g of MWCNT-TNT was added into a solution of pH 2 containing 0.05 HCl solution and was shake for 24 hours. All the solution were prepared with a specific gravity of 0.03M NaCl solutions as buffer solution. The precipitate of a-MWCNT-TNT was filtered and dried in the oven at 60 °C </w:t>
      </w:r>
      <w:r w:rsidRPr="00191020">
        <w:rPr>
          <w:rFonts w:ascii="Times New Roman" w:hAnsi="Times New Roman"/>
          <w:sz w:val="20"/>
          <w:szCs w:val="20"/>
        </w:rPr>
        <w:fldChar w:fldCharType="begin" w:fldLock="1"/>
      </w:r>
      <w:r w:rsidRPr="00191020">
        <w:rPr>
          <w:rFonts w:ascii="Times New Roman" w:hAnsi="Times New Roman"/>
          <w:sz w:val="20"/>
          <w:szCs w:val="20"/>
        </w:rPr>
        <w:instrText>ADDIN CSL_CITATION { "citationItems" : [ { "id" : "ITEM-1", "itemData" : { "author" : [ { "dropping-particle" : "", "family" : "Mudunkotuwa", "given" : "Imali A", "non-dropping-particle" : "", "parse-names" : false, "suffix" : "" }, { "dropping-particle" : "", "family" : "Grassian", "given" : "Vicki H", "non-dropping-particle" : "", "parse-names" : false, "suffix" : "" } ], "container-title" : "Jounal of American Chemical Society", "id" : "ITEM-1", "issue" : "132", "issued" : { "date-parts" : [ [ "2010" ] ] }, "page" : "14986-14994", "title" : "Citric Acid Adsorption on TiO 2 Nanoparticles in Aqueous Suspensions at Acidic and Circumneutral pH : Surface Coverage , Surface Speciation , and Its Impact on Nanoparticle - Nanoparticle Interactions", "type" : "article-journal" }, "uris" : [ "http://www.mendeley.com/documents/?uuid=d4c48c84-157d-4e21-b857-a3b6f3f30d3b" ] } ], "mendeley" : { "formattedCitation" : "[5]", "plainTextFormattedCitation" : "[5]", "previouslyFormattedCitation" : "&lt;sup&gt;5&lt;/sup&gt;" }, "properties" : { "noteIndex" : 0 }, "schema" : "https://github.com/citation-style-language/schema/raw/master/csl-citation.json" }</w:instrText>
      </w:r>
      <w:r w:rsidRPr="00191020">
        <w:rPr>
          <w:rFonts w:ascii="Times New Roman" w:hAnsi="Times New Roman"/>
          <w:sz w:val="20"/>
          <w:szCs w:val="20"/>
        </w:rPr>
        <w:fldChar w:fldCharType="separate"/>
      </w:r>
      <w:r w:rsidRPr="00191020">
        <w:rPr>
          <w:rFonts w:ascii="Times New Roman" w:hAnsi="Times New Roman"/>
          <w:sz w:val="20"/>
          <w:szCs w:val="20"/>
        </w:rPr>
        <w:t>[5]</w:t>
      </w:r>
      <w:r w:rsidRPr="00191020">
        <w:rPr>
          <w:rFonts w:ascii="Times New Roman" w:hAnsi="Times New Roman"/>
          <w:sz w:val="20"/>
          <w:szCs w:val="20"/>
        </w:rPr>
        <w:fldChar w:fldCharType="end"/>
      </w:r>
      <w:r w:rsidRPr="00191020">
        <w:rPr>
          <w:rFonts w:ascii="Times New Roman" w:hAnsi="Times New Roman"/>
          <w:sz w:val="20"/>
          <w:szCs w:val="20"/>
        </w:rPr>
        <w:t xml:space="preserve">. </w:t>
      </w:r>
    </w:p>
    <w:p w:rsidR="00191020" w:rsidRPr="00191020" w:rsidRDefault="00191020" w:rsidP="00191020">
      <w:pPr>
        <w:spacing w:after="0" w:line="240" w:lineRule="auto"/>
        <w:jc w:val="both"/>
        <w:outlineLvl w:val="0"/>
        <w:rPr>
          <w:rFonts w:ascii="Times New Roman" w:hAnsi="Times New Roman"/>
          <w:iCs/>
          <w:sz w:val="20"/>
          <w:szCs w:val="20"/>
          <w:lang w:val="en-GB"/>
        </w:rPr>
      </w:pPr>
    </w:p>
    <w:p w:rsidR="00191020" w:rsidRPr="00191020" w:rsidRDefault="00191020" w:rsidP="00191020">
      <w:pPr>
        <w:spacing w:after="0" w:line="240" w:lineRule="auto"/>
        <w:jc w:val="both"/>
        <w:outlineLvl w:val="0"/>
        <w:rPr>
          <w:rFonts w:ascii="Times New Roman" w:hAnsi="Times New Roman"/>
          <w:b/>
          <w:bCs/>
          <w:iCs/>
          <w:sz w:val="20"/>
          <w:szCs w:val="20"/>
          <w:lang w:val="en-GB"/>
        </w:rPr>
      </w:pPr>
      <w:r w:rsidRPr="00191020">
        <w:rPr>
          <w:rFonts w:ascii="Times New Roman" w:hAnsi="Times New Roman"/>
          <w:b/>
          <w:bCs/>
          <w:iCs/>
          <w:sz w:val="20"/>
          <w:szCs w:val="20"/>
          <w:lang w:val="en-GB"/>
        </w:rPr>
        <w:lastRenderedPageBreak/>
        <w:t>Synthesis of polyamide layer</w:t>
      </w:r>
    </w:p>
    <w:p w:rsidR="00191020" w:rsidRPr="00191020" w:rsidRDefault="00191020" w:rsidP="00191020">
      <w:pPr>
        <w:spacing w:after="0" w:line="240" w:lineRule="auto"/>
        <w:jc w:val="both"/>
        <w:outlineLvl w:val="0"/>
        <w:rPr>
          <w:rFonts w:ascii="Times New Roman" w:hAnsi="Times New Roman"/>
          <w:iCs/>
          <w:sz w:val="20"/>
          <w:szCs w:val="20"/>
          <w:lang w:eastAsia="en-MY"/>
        </w:rPr>
      </w:pPr>
      <w:r w:rsidRPr="00191020">
        <w:rPr>
          <w:rFonts w:ascii="Times New Roman" w:hAnsi="Times New Roman"/>
          <w:iCs/>
          <w:sz w:val="20"/>
          <w:szCs w:val="20"/>
          <w:lang w:eastAsia="en-MY"/>
        </w:rPr>
        <w:t xml:space="preserve">Two types of polyamide layer were formed by (i) </w:t>
      </w:r>
      <w:r w:rsidRPr="00191020">
        <w:rPr>
          <w:rFonts w:ascii="Times New Roman" w:hAnsi="Times New Roman"/>
          <w:iCs/>
          <w:sz w:val="20"/>
          <w:szCs w:val="20"/>
        </w:rPr>
        <w:t xml:space="preserve">MPD (1.5wt) / TMC (0.05wt) which indicated as TFC A and (ii) MPD (1.13wt)-PIP (0.37wt) / TMC (0.05wt) indicated as TFC B. </w:t>
      </w:r>
      <w:r w:rsidRPr="00191020">
        <w:rPr>
          <w:rFonts w:ascii="Times New Roman" w:hAnsi="Times New Roman"/>
          <w:iCs/>
          <w:sz w:val="20"/>
          <w:szCs w:val="20"/>
          <w:lang w:val="en-GB"/>
        </w:rPr>
        <w:t xml:space="preserve">The polyamide layer for thin film composite (TFC) membrane was introduced via interfacial polymerization (IP) process on the surface of PS35 substrate membrane. The PS35 substrate was kept in RO water for at least 24 hours prior to interfacial polymerization (IP) process. Briefly, the MPD or </w:t>
      </w:r>
      <w:r w:rsidRPr="00191020">
        <w:rPr>
          <w:rFonts w:ascii="Times New Roman" w:hAnsi="Times New Roman"/>
          <w:iCs/>
          <w:noProof/>
          <w:sz w:val="20"/>
          <w:szCs w:val="20"/>
          <w:lang w:val="en-GB"/>
        </w:rPr>
        <w:t>MPD-PIP,</w:t>
      </w:r>
      <w:r w:rsidRPr="00191020">
        <w:rPr>
          <w:rFonts w:ascii="Times New Roman" w:hAnsi="Times New Roman"/>
          <w:iCs/>
          <w:sz w:val="20"/>
          <w:szCs w:val="20"/>
          <w:lang w:val="en-GB"/>
        </w:rPr>
        <w:t xml:space="preserve"> was dissolved in RO water and the solution was covered by tissue paper to prevent from light oxidation </w:t>
      </w:r>
      <w:r w:rsidRPr="00191020">
        <w:rPr>
          <w:rFonts w:ascii="Times New Roman" w:hAnsi="Times New Roman"/>
          <w:iCs/>
          <w:sz w:val="20"/>
          <w:szCs w:val="20"/>
          <w:lang w:val="en-GB"/>
        </w:rPr>
        <w:fldChar w:fldCharType="begin" w:fldLock="1"/>
      </w:r>
      <w:r w:rsidRPr="00191020">
        <w:rPr>
          <w:rFonts w:ascii="Times New Roman" w:hAnsi="Times New Roman"/>
          <w:iCs/>
          <w:sz w:val="20"/>
          <w:szCs w:val="20"/>
          <w:lang w:val="en-GB"/>
        </w:rPr>
        <w:instrText>ADDIN CSL_CITATION { "citationItems" : [ { "id" : "ITEM-1", "itemData" : { "DOI" : "10.1021/es101569p", "ISBN" : "1520-5851 (Electronic)\\r0013-936X (Linking)", "ISSN" : "0013936X", "PMID" : "20942398", "abstract" : "Herein we report on the formation and characterization of pure polyamide thin film composite (TFC) and zeolite-polyamide thin film nanocomposite (TFN) reverse osmosis (RO) membranes. Four different physical-chemical post-treatment combinations were applied after the interfacial polymerization reaction to change the molecular structure of polyamide and zeolite-polyamide thin films. Both TFC and TFN hand-cast membranes were more permeable, hydrophilic, and rough than a commercial seawater RO membrane. Salt rejection by TFN membranes was consistently below that of hand-cast TFC membranes; however, two TFN membranes exhibited 32 g/L NaCl rejections above 99.4%, which was better than the commercial membrane under the test conditions employed. The nearly defect-free TFN films that produced such high rejections were achieved only with wet curing, regardless of other post-treatments. Polyamide films formed in the presence of zeolite nanoparticles were less cross-linked than similarly cast pure polyamide films. At the very low nanoparticle loadings evaluated, differences between pure polyamide and zeolite-polyamide membrane water and salt permeability correlated weakly with extent of cross-linking of the polyamide film, which suggests that defects and molecular-sieving largely govern transport through zeolite-polyamide thin film nanocomposite membranes.", "author" : [ { "dropping-particle" : "", "family" : "Lind", "given" : "Mary Laura", "non-dropping-particle" : "", "parse-names" : false, "suffix" : "" }, { "dropping-particle" : "", "family" : "Suk", "given" : "Daniel Eumine", "non-dropping-particle" : "", "parse-names" : false, "suffix" : "" }, { "dropping-particle" : "", "family" : "Nguyen", "given" : "The Vinh", "non-dropping-particle" : "", "parse-names" : false, "suffix" : "" }, { "dropping-particle" : "V", "family" : "Hoek", "given" : "Eric M", "non-dropping-particle" : "", "parse-names" : false, "suffix" : "" } ], "container-title" : "Environmental Science and Technology", "id" : "ITEM-1", "issue" : "21", "issued" : { "date-parts" : [ [ "2010" ] ] }, "page" : "8230-8235", "title" : "Tailoring the structure of thin film nanocomposite membranes to achieve seawater RO membrane performance", "type" : "article-journal", "volume" : "44" }, "uris" : [ "http://www.mendeley.com/documents/?uuid=6b47d1ff-5ebe-459f-ae9e-766cb185224f" ] } ], "mendeley" : { "formattedCitation" : "[6]", "plainTextFormattedCitation" : "[6]", "previouslyFormattedCitation" : "&lt;sup&gt;6&lt;/sup&gt;" }, "properties" : { "noteIndex" : 0 }, "schema" : "https://github.com/citation-style-language/schema/raw/master/csl-citation.json" }</w:instrText>
      </w:r>
      <w:r w:rsidRPr="00191020">
        <w:rPr>
          <w:rFonts w:ascii="Times New Roman" w:hAnsi="Times New Roman"/>
          <w:iCs/>
          <w:sz w:val="20"/>
          <w:szCs w:val="20"/>
          <w:lang w:val="en-GB"/>
        </w:rPr>
        <w:fldChar w:fldCharType="separate"/>
      </w:r>
      <w:r w:rsidRPr="00191020">
        <w:rPr>
          <w:rFonts w:ascii="Times New Roman" w:hAnsi="Times New Roman"/>
          <w:iCs/>
          <w:noProof/>
          <w:sz w:val="20"/>
          <w:szCs w:val="20"/>
          <w:lang w:val="en-GB"/>
        </w:rPr>
        <w:t>[6]</w:t>
      </w:r>
      <w:r w:rsidRPr="00191020">
        <w:rPr>
          <w:rFonts w:ascii="Times New Roman" w:hAnsi="Times New Roman"/>
          <w:iCs/>
          <w:sz w:val="20"/>
          <w:szCs w:val="20"/>
        </w:rPr>
        <w:fldChar w:fldCharType="end"/>
      </w:r>
      <w:r w:rsidRPr="00191020">
        <w:rPr>
          <w:rFonts w:ascii="Times New Roman" w:hAnsi="Times New Roman"/>
          <w:iCs/>
          <w:sz w:val="20"/>
          <w:szCs w:val="20"/>
          <w:lang w:val="en-GB"/>
        </w:rPr>
        <w:t xml:space="preserve">. In </w:t>
      </w:r>
      <w:r w:rsidRPr="00191020">
        <w:rPr>
          <w:rFonts w:ascii="Times New Roman" w:hAnsi="Times New Roman"/>
          <w:iCs/>
          <w:noProof/>
          <w:sz w:val="20"/>
          <w:szCs w:val="20"/>
          <w:lang w:val="en-GB"/>
        </w:rPr>
        <w:t>separated</w:t>
      </w:r>
      <w:r w:rsidRPr="00191020">
        <w:rPr>
          <w:rFonts w:ascii="Times New Roman" w:hAnsi="Times New Roman"/>
          <w:iCs/>
          <w:sz w:val="20"/>
          <w:szCs w:val="20"/>
          <w:lang w:val="en-GB"/>
        </w:rPr>
        <w:t xml:space="preserve"> solution, TMC was dissolved in n-hexane. All the solutions were stirred at a </w:t>
      </w:r>
      <w:r w:rsidRPr="00191020">
        <w:rPr>
          <w:rFonts w:ascii="Times New Roman" w:hAnsi="Times New Roman"/>
          <w:iCs/>
          <w:noProof/>
          <w:sz w:val="20"/>
          <w:szCs w:val="20"/>
          <w:lang w:val="en-GB"/>
        </w:rPr>
        <w:t>minimum</w:t>
      </w:r>
      <w:r w:rsidRPr="00191020">
        <w:rPr>
          <w:rFonts w:ascii="Times New Roman" w:hAnsi="Times New Roman"/>
          <w:iCs/>
          <w:sz w:val="20"/>
          <w:szCs w:val="20"/>
          <w:lang w:val="en-GB"/>
        </w:rPr>
        <w:t xml:space="preserve"> of 3 hours prior to use. To begin IP process, 40 ml of MPD aqueous solution (0.8 g MPD in 40 ml RO water) was poured and fully covered the PS35 substrate surface which was held horizontally for 1 min. The excess MPD solution and residual droplets were gently removed by using a soft rubber roller. Then, 40 ml of TMC solution (0.04 g TMC in 40 ml n-hexane) was also poured and fully covered on the substrate and was drained off after 50 s. The synthesized TFC membrane was dried for 1 min at ambient condition and 5 min later in the oven at 65 </w:t>
      </w:r>
      <w:r w:rsidRPr="00191020">
        <w:rPr>
          <w:rFonts w:ascii="Times New Roman" w:hAnsi="Times New Roman"/>
          <w:iCs/>
          <w:sz w:val="20"/>
          <w:szCs w:val="20"/>
          <w:vertAlign w:val="superscript"/>
          <w:lang w:val="en-GB"/>
        </w:rPr>
        <w:t>o</w:t>
      </w:r>
      <w:r w:rsidRPr="00191020">
        <w:rPr>
          <w:rFonts w:ascii="Times New Roman" w:hAnsi="Times New Roman"/>
          <w:iCs/>
          <w:sz w:val="20"/>
          <w:szCs w:val="20"/>
          <w:lang w:val="en-GB"/>
        </w:rPr>
        <w:t xml:space="preserve">C. Finally, the TFC membrane was cooled for 1 min at ambient condition before continued to be rinsed with water and stored in RO water container </w:t>
      </w:r>
      <w:r w:rsidRPr="00191020">
        <w:rPr>
          <w:rFonts w:ascii="Times New Roman" w:hAnsi="Times New Roman"/>
          <w:iCs/>
          <w:sz w:val="20"/>
          <w:szCs w:val="20"/>
          <w:lang w:val="en-GB"/>
        </w:rPr>
        <w:fldChar w:fldCharType="begin" w:fldLock="1"/>
      </w:r>
      <w:r w:rsidRPr="00191020">
        <w:rPr>
          <w:rFonts w:ascii="Times New Roman" w:hAnsi="Times New Roman"/>
          <w:iCs/>
          <w:sz w:val="20"/>
          <w:szCs w:val="20"/>
          <w:lang w:val="en-GB"/>
        </w:rPr>
        <w:instrText>ADDIN CSL_CITATION { "citationItems" : [ { "id" : "ITEM-1", "itemData" : { "DOI" : "10.1016/j.memsci.2012.02.038", "ISBN" : "0376-7388", "ISSN" : "03767388", "abstract" : "The influence of synthesis conditions (e.g., monomer concentration and membrane preparation protocol) on transport properties of polyamide thin-film composite (TFC) membranes prepared using m-phenylenediamine (MPD) and trimesoyl chloride (TMC) via interfacial polymerization is reported. For example, at 25??C, NaCl rejection and permeate flux combinations of 99.6??0.1% and 42??3L/(m 2h), respectively, were achieved in crossflow filtration using a 2000ppm aqueous solution of NaCl and a transmembrane pressure difference of 225psi (15.5bar). Additionally, a sulfone diamine, disulfonated bis[4-(3-aminophenoxy)phenyl]sulfone (S-BAPS), was used in place of MPD to prepare TFC membranes. The resulting membranes had low NaCl rejection but somewhat higher permeate flux than MPD/TMC membranes. These membranes had reduced chlorine tolerance compared to those prepared using MPD as the diamine. ?? 2012 Elsevier B.V.", "author" : [ { "dropping-particle" : "", "family" : "Xie", "given" : "Wei", "non-dropping-particle" : "", "parse-names" : false, "suffix" : "" }, { "dropping-particle" : "", "family" : "Geise", "given" : "Geoffrey M.", "non-dropping-particle" : "", "parse-names" : false, "suffix" : "" }, { "dropping-particle" : "", "family" : "Freeman", "given" : "Benny D.", "non-dropping-particle" : "", "parse-names" : false, "suffix" : "" }, { "dropping-particle" : "", "family" : "Lee", "given" : "Hae Seung", "non-dropping-particle" : "", "parse-names" : false, "suffix" : "" }, { "dropping-particle" : "", "family" : "Byun", "given" : "Gwangsu", "non-dropping-particle" : "", "parse-names" : false, "suffix" : "" }, { "dropping-particle" : "", "family" : "McGrath", "given" : "James E.", "non-dropping-particle" : "", "parse-names" : false, "suffix" : "" } ], "container-title" : "Journal of Membrane Science", "id" : "ITEM-1", "issued" : { "date-parts" : [ [ "2012" ] ] }, "note" : "MPD diffuses through the polyamide layer into the TMC-rich organic phase where it reacts with TMC", "page" : "152-161", "publisher" : "Elsevier B.V.", "title" : "Polyamide interfacial composite membranes prepared from m-phenylene diamine, trimesoyl chloride and a new disulfonated diamine", "type" : "article-journal", "volume" : "403-404" }, "uris" : [ "http://www.mendeley.com/documents/?uuid=43cfd622-962b-4084-841e-8ab1954e3413" ] } ], "mendeley" : { "formattedCitation" : "[7]", "plainTextFormattedCitation" : "[7]", "previouslyFormattedCitation" : "&lt;sup&gt;7&lt;/sup&gt;" }, "properties" : { "noteIndex" : 0 }, "schema" : "https://github.com/citation-style-language/schema/raw/master/csl-citation.json" }</w:instrText>
      </w:r>
      <w:r w:rsidRPr="00191020">
        <w:rPr>
          <w:rFonts w:ascii="Times New Roman" w:hAnsi="Times New Roman"/>
          <w:iCs/>
          <w:sz w:val="20"/>
          <w:szCs w:val="20"/>
          <w:lang w:val="en-GB"/>
        </w:rPr>
        <w:fldChar w:fldCharType="separate"/>
      </w:r>
      <w:r w:rsidRPr="00191020">
        <w:rPr>
          <w:rFonts w:ascii="Times New Roman" w:hAnsi="Times New Roman"/>
          <w:iCs/>
          <w:noProof/>
          <w:sz w:val="20"/>
          <w:szCs w:val="20"/>
          <w:lang w:val="en-GB"/>
        </w:rPr>
        <w:t>[7]</w:t>
      </w:r>
      <w:r w:rsidRPr="00191020">
        <w:rPr>
          <w:rFonts w:ascii="Times New Roman" w:hAnsi="Times New Roman"/>
          <w:iCs/>
          <w:sz w:val="20"/>
          <w:szCs w:val="20"/>
        </w:rPr>
        <w:fldChar w:fldCharType="end"/>
      </w:r>
      <w:r w:rsidRPr="00191020">
        <w:rPr>
          <w:rFonts w:ascii="Times New Roman" w:hAnsi="Times New Roman"/>
          <w:iCs/>
          <w:sz w:val="20"/>
          <w:szCs w:val="20"/>
          <w:lang w:val="en-GB"/>
        </w:rPr>
        <w:t>. The</w:t>
      </w:r>
      <w:r w:rsidRPr="00191020">
        <w:rPr>
          <w:rFonts w:ascii="Times New Roman" w:hAnsi="Times New Roman"/>
          <w:iCs/>
          <w:sz w:val="20"/>
          <w:szCs w:val="20"/>
        </w:rPr>
        <w:t xml:space="preserve"> membrane (mentioned as MWCNT-TNT/TFC) were fabricated similarly to TFC membrane, except that d</w:t>
      </w:r>
      <w:r w:rsidRPr="00191020">
        <w:rPr>
          <w:rFonts w:ascii="Times New Roman" w:hAnsi="Times New Roman"/>
          <w:iCs/>
          <w:sz w:val="20"/>
          <w:szCs w:val="20"/>
          <w:lang w:eastAsia="en-MY"/>
        </w:rPr>
        <w:t>uring the interfacial polymerization, the MWCNT-TNT (0.05 wt.% or 0.1 wt.%) was dispersed and sonicated for 30 min in organic solution of TMC in n-hexane and was reacted with MPD or MPD-PIP immobilized on PS35 substrate commercial membrane</w:t>
      </w:r>
    </w:p>
    <w:p w:rsidR="00191020" w:rsidRPr="00191020" w:rsidRDefault="00191020" w:rsidP="00191020">
      <w:pPr>
        <w:spacing w:after="0" w:line="240" w:lineRule="auto"/>
        <w:jc w:val="both"/>
        <w:outlineLvl w:val="0"/>
        <w:rPr>
          <w:rFonts w:ascii="Times New Roman" w:hAnsi="Times New Roman"/>
          <w:iCs/>
          <w:sz w:val="20"/>
          <w:szCs w:val="20"/>
          <w:lang w:val="en-GB"/>
        </w:rPr>
      </w:pPr>
    </w:p>
    <w:p w:rsidR="00191020" w:rsidRPr="00191020" w:rsidRDefault="00191020" w:rsidP="00191020">
      <w:pPr>
        <w:spacing w:after="0" w:line="240" w:lineRule="auto"/>
        <w:jc w:val="both"/>
        <w:outlineLvl w:val="0"/>
        <w:rPr>
          <w:rFonts w:ascii="Times New Roman" w:hAnsi="Times New Roman"/>
          <w:b/>
          <w:sz w:val="20"/>
          <w:szCs w:val="20"/>
        </w:rPr>
      </w:pPr>
      <w:r w:rsidRPr="00191020">
        <w:rPr>
          <w:rFonts w:ascii="Times New Roman" w:hAnsi="Times New Roman"/>
          <w:b/>
          <w:sz w:val="20"/>
          <w:szCs w:val="20"/>
        </w:rPr>
        <w:t>Characterization</w:t>
      </w:r>
      <w:r w:rsidRPr="00191020">
        <w:rPr>
          <w:rFonts w:ascii="Times New Roman" w:hAnsi="Times New Roman"/>
          <w:b/>
          <w:sz w:val="20"/>
          <w:szCs w:val="20"/>
          <w:lang w:val="en-GB"/>
        </w:rPr>
        <w:t xml:space="preserve"> of MWCNT-TNT, TFC and TFN membranes</w:t>
      </w:r>
    </w:p>
    <w:p w:rsidR="00191020" w:rsidRPr="00191020" w:rsidRDefault="00191020" w:rsidP="00191020">
      <w:pPr>
        <w:spacing w:after="0" w:line="240" w:lineRule="auto"/>
        <w:jc w:val="both"/>
        <w:outlineLvl w:val="0"/>
        <w:rPr>
          <w:rFonts w:ascii="Times New Roman" w:hAnsi="Times New Roman"/>
          <w:sz w:val="20"/>
          <w:szCs w:val="20"/>
          <w:lang w:val="en-GB"/>
        </w:rPr>
      </w:pPr>
      <w:r w:rsidRPr="00191020">
        <w:rPr>
          <w:rFonts w:ascii="Times New Roman" w:hAnsi="Times New Roman"/>
          <w:sz w:val="20"/>
          <w:szCs w:val="20"/>
          <w:lang w:val="en-GB"/>
        </w:rPr>
        <w:t xml:space="preserve">The crystal configuration of MWCNT-TNT hybrid was </w:t>
      </w:r>
      <w:r w:rsidRPr="00191020">
        <w:rPr>
          <w:rFonts w:ascii="Times New Roman" w:hAnsi="Times New Roman"/>
          <w:noProof/>
          <w:sz w:val="20"/>
          <w:szCs w:val="20"/>
          <w:lang w:val="en-GB"/>
        </w:rPr>
        <w:t>analyzed</w:t>
      </w:r>
      <w:r w:rsidRPr="00191020">
        <w:rPr>
          <w:rFonts w:ascii="Times New Roman" w:hAnsi="Times New Roman"/>
          <w:sz w:val="20"/>
          <w:szCs w:val="20"/>
          <w:lang w:val="en-GB"/>
        </w:rPr>
        <w:t xml:space="preserve"> by X-ray diffraction (XRD) analysis. The tabular morphology of MWCNT-TNT hybrid was observed by transmission electron microscopy (TEM, HT 7700, Hitachi). The Zeta potential analysis (Malvern Zetasizer, Nano ZS) was utilized to determine the charge of the </w:t>
      </w:r>
      <w:r w:rsidRPr="00191020">
        <w:rPr>
          <w:rFonts w:ascii="Times New Roman" w:hAnsi="Times New Roman"/>
          <w:noProof/>
          <w:sz w:val="20"/>
          <w:szCs w:val="20"/>
          <w:lang w:val="en-GB"/>
        </w:rPr>
        <w:t>MWCNT-TNT</w:t>
      </w:r>
      <w:r w:rsidRPr="00191020">
        <w:rPr>
          <w:rFonts w:ascii="Times New Roman" w:hAnsi="Times New Roman"/>
          <w:sz w:val="20"/>
          <w:szCs w:val="20"/>
          <w:lang w:val="en-GB"/>
        </w:rPr>
        <w:t xml:space="preserve"> and fabricated membrane. The hydrophilicity of membranes </w:t>
      </w:r>
      <w:r w:rsidRPr="00191020">
        <w:rPr>
          <w:rFonts w:ascii="Times New Roman" w:hAnsi="Times New Roman"/>
          <w:noProof/>
          <w:sz w:val="20"/>
          <w:szCs w:val="20"/>
          <w:lang w:val="en-GB"/>
        </w:rPr>
        <w:t>was</w:t>
      </w:r>
      <w:r w:rsidRPr="00191020">
        <w:rPr>
          <w:rFonts w:ascii="Times New Roman" w:hAnsi="Times New Roman"/>
          <w:sz w:val="20"/>
          <w:szCs w:val="20"/>
          <w:lang w:val="en-GB"/>
        </w:rPr>
        <w:t xml:space="preserve"> measured by contact angle goniometer (OCA 15Pro, Dataphysics). </w:t>
      </w:r>
    </w:p>
    <w:p w:rsidR="00191020" w:rsidRPr="00191020" w:rsidRDefault="00191020" w:rsidP="00191020">
      <w:pPr>
        <w:spacing w:after="0" w:line="240" w:lineRule="auto"/>
        <w:jc w:val="both"/>
        <w:outlineLvl w:val="0"/>
        <w:rPr>
          <w:rFonts w:ascii="Times New Roman" w:hAnsi="Times New Roman"/>
          <w:sz w:val="20"/>
          <w:szCs w:val="20"/>
          <w:lang w:val="en-GB"/>
        </w:rPr>
      </w:pPr>
    </w:p>
    <w:p w:rsidR="00191020" w:rsidRPr="00191020" w:rsidRDefault="00191020" w:rsidP="00191020">
      <w:pPr>
        <w:spacing w:after="0" w:line="240" w:lineRule="auto"/>
        <w:jc w:val="both"/>
        <w:outlineLvl w:val="0"/>
        <w:rPr>
          <w:rFonts w:ascii="Times New Roman" w:hAnsi="Times New Roman"/>
          <w:b/>
          <w:sz w:val="20"/>
          <w:szCs w:val="20"/>
        </w:rPr>
      </w:pPr>
      <w:r w:rsidRPr="00191020">
        <w:rPr>
          <w:rFonts w:ascii="Times New Roman" w:hAnsi="Times New Roman"/>
          <w:b/>
          <w:sz w:val="20"/>
          <w:szCs w:val="20"/>
          <w:lang w:val="en-GB"/>
        </w:rPr>
        <w:t>Performance study of TFC and TFN membranes</w:t>
      </w:r>
    </w:p>
    <w:p w:rsidR="00191020" w:rsidRPr="00191020" w:rsidRDefault="00191020" w:rsidP="00191020">
      <w:pPr>
        <w:spacing w:after="0" w:line="240" w:lineRule="auto"/>
        <w:jc w:val="both"/>
        <w:outlineLvl w:val="0"/>
        <w:rPr>
          <w:rFonts w:ascii="Times New Roman" w:hAnsi="Times New Roman"/>
          <w:sz w:val="20"/>
          <w:szCs w:val="20"/>
        </w:rPr>
      </w:pPr>
      <w:r w:rsidRPr="00191020">
        <w:rPr>
          <w:rFonts w:ascii="Times New Roman" w:hAnsi="Times New Roman"/>
          <w:sz w:val="20"/>
          <w:szCs w:val="20"/>
        </w:rPr>
        <w:t xml:space="preserve">Pure water permeability and salt rejection performance by RO water and standard aqueous solution of NaCl (2000ppm) were conducted using dead end RO cell at an </w:t>
      </w:r>
      <w:r w:rsidRPr="00191020">
        <w:rPr>
          <w:rFonts w:ascii="Times New Roman" w:hAnsi="Times New Roman"/>
          <w:noProof/>
          <w:sz w:val="20"/>
          <w:szCs w:val="20"/>
        </w:rPr>
        <w:t>applied</w:t>
      </w:r>
      <w:r w:rsidRPr="00191020">
        <w:rPr>
          <w:rFonts w:ascii="Times New Roman" w:hAnsi="Times New Roman"/>
          <w:sz w:val="20"/>
          <w:szCs w:val="20"/>
        </w:rPr>
        <w:t xml:space="preserve"> pressure of 15 </w:t>
      </w:r>
      <w:r w:rsidRPr="00191020">
        <w:rPr>
          <w:rFonts w:ascii="Times New Roman" w:hAnsi="Times New Roman"/>
          <w:noProof/>
          <w:sz w:val="20"/>
          <w:szCs w:val="20"/>
        </w:rPr>
        <w:t>bar</w:t>
      </w:r>
      <w:r w:rsidRPr="00191020">
        <w:rPr>
          <w:rFonts w:ascii="Times New Roman" w:hAnsi="Times New Roman"/>
          <w:sz w:val="20"/>
          <w:szCs w:val="20"/>
        </w:rPr>
        <w:t>.  All permeation experiments were performed using circular membranes with an effective area of 14.6 cm</w:t>
      </w:r>
      <w:r w:rsidRPr="00191020">
        <w:rPr>
          <w:rFonts w:ascii="Times New Roman" w:hAnsi="Times New Roman"/>
          <w:sz w:val="20"/>
          <w:szCs w:val="20"/>
          <w:vertAlign w:val="superscript"/>
        </w:rPr>
        <w:t>2</w:t>
      </w:r>
      <w:r w:rsidRPr="00191020">
        <w:rPr>
          <w:rFonts w:ascii="Times New Roman" w:hAnsi="Times New Roman"/>
          <w:sz w:val="20"/>
          <w:szCs w:val="20"/>
        </w:rPr>
        <w:t xml:space="preserve">. The membrane water permeability was evaluated by dividing the water flux value (Eq. 1) with operating pressure (15 </w:t>
      </w:r>
      <w:r w:rsidRPr="00191020">
        <w:rPr>
          <w:rFonts w:ascii="Times New Roman" w:hAnsi="Times New Roman"/>
          <w:noProof/>
          <w:sz w:val="20"/>
          <w:szCs w:val="20"/>
        </w:rPr>
        <w:t>bar</w:t>
      </w:r>
      <w:r w:rsidRPr="00191020">
        <w:rPr>
          <w:rFonts w:ascii="Times New Roman" w:hAnsi="Times New Roman"/>
          <w:sz w:val="20"/>
          <w:szCs w:val="20"/>
        </w:rPr>
        <w:t>).</w:t>
      </w:r>
    </w:p>
    <w:p w:rsidR="00191020" w:rsidRPr="00191020" w:rsidRDefault="00191020" w:rsidP="00191020">
      <w:pPr>
        <w:spacing w:after="0" w:line="240" w:lineRule="auto"/>
        <w:jc w:val="both"/>
        <w:outlineLvl w:val="0"/>
        <w:rPr>
          <w:rFonts w:ascii="Times New Roman" w:hAnsi="Times New Roman"/>
          <w:sz w:val="20"/>
          <w:szCs w:val="20"/>
        </w:rPr>
      </w:pPr>
    </w:p>
    <w:p w:rsidR="00191020" w:rsidRPr="00191020" w:rsidRDefault="00191020" w:rsidP="00191020">
      <w:pPr>
        <w:spacing w:after="0" w:line="240" w:lineRule="auto"/>
        <w:jc w:val="both"/>
        <w:outlineLvl w:val="0"/>
        <w:rPr>
          <w:rFonts w:ascii="Times New Roman" w:hAnsi="Times New Roman"/>
          <w:sz w:val="20"/>
          <w:szCs w:val="20"/>
        </w:rPr>
      </w:pPr>
      <w:r w:rsidRPr="00191020">
        <w:rPr>
          <w:rFonts w:ascii="Times New Roman" w:hAnsi="Times New Roman"/>
          <w:sz w:val="20"/>
          <w:szCs w:val="20"/>
        </w:rPr>
        <w:t xml:space="preserve">           </w:t>
      </w:r>
      <w:r w:rsidRPr="00191020">
        <w:rPr>
          <w:rFonts w:ascii="Times New Roman" w:hAnsi="Times New Roman"/>
          <w:position w:val="-24"/>
          <w:sz w:val="20"/>
          <w:szCs w:val="20"/>
          <w:lang w:val="en-GB"/>
        </w:rPr>
        <w:object w:dxaOrig="9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9.25pt" o:ole="">
            <v:imagedata r:id="rId11" o:title=""/>
          </v:shape>
          <o:OLEObject Type="Embed" ProgID="Equation.DSMT4" ShapeID="_x0000_i1025" DrawAspect="Content" ObjectID="_1552227246" r:id="rId12"/>
        </w:object>
      </w:r>
      <w:r w:rsidRPr="00191020">
        <w:rPr>
          <w:rFonts w:ascii="Times New Roman" w:hAnsi="Times New Roman"/>
          <w:sz w:val="20"/>
          <w:szCs w:val="20"/>
        </w:rPr>
        <w:tab/>
        <w:t xml:space="preserve">    </w:t>
      </w:r>
      <w:r w:rsidRPr="00191020">
        <w:rPr>
          <w:rFonts w:ascii="Times New Roman" w:hAnsi="Times New Roman"/>
          <w:sz w:val="20"/>
          <w:szCs w:val="20"/>
        </w:rPr>
        <w:tab/>
      </w:r>
      <w:r w:rsidRPr="00191020">
        <w:rPr>
          <w:rFonts w:ascii="Times New Roman" w:hAnsi="Times New Roman"/>
          <w:sz w:val="20"/>
          <w:szCs w:val="20"/>
        </w:rPr>
        <w:tab/>
      </w:r>
      <w:r w:rsidRPr="00191020">
        <w:rPr>
          <w:rFonts w:ascii="Times New Roman" w:hAnsi="Times New Roman"/>
          <w:sz w:val="20"/>
          <w:szCs w:val="20"/>
        </w:rPr>
        <w:tab/>
      </w:r>
      <w:r w:rsidRPr="00191020">
        <w:rPr>
          <w:rFonts w:ascii="Times New Roman" w:hAnsi="Times New Roman"/>
          <w:sz w:val="20"/>
          <w:szCs w:val="20"/>
        </w:rPr>
        <w:tab/>
      </w:r>
      <w:r w:rsidRPr="00191020">
        <w:rPr>
          <w:rFonts w:ascii="Times New Roman" w:hAnsi="Times New Roman"/>
          <w:sz w:val="20"/>
          <w:szCs w:val="20"/>
        </w:rPr>
        <w:tab/>
      </w:r>
      <w:r w:rsidRPr="00191020">
        <w:rPr>
          <w:rFonts w:ascii="Times New Roman" w:hAnsi="Times New Roman"/>
          <w:sz w:val="20"/>
          <w:szCs w:val="20"/>
        </w:rPr>
        <w:tab/>
      </w:r>
      <w:r w:rsidRPr="00191020">
        <w:rPr>
          <w:rFonts w:ascii="Times New Roman" w:hAnsi="Times New Roman"/>
          <w:sz w:val="20"/>
          <w:szCs w:val="20"/>
        </w:rPr>
        <w:tab/>
      </w:r>
      <w:r w:rsidRPr="00191020">
        <w:rPr>
          <w:rFonts w:ascii="Times New Roman" w:hAnsi="Times New Roman"/>
          <w:sz w:val="20"/>
          <w:szCs w:val="20"/>
        </w:rPr>
        <w:tab/>
      </w:r>
      <w:r w:rsidRPr="00191020">
        <w:rPr>
          <w:rFonts w:ascii="Times New Roman" w:hAnsi="Times New Roman"/>
          <w:sz w:val="20"/>
          <w:szCs w:val="20"/>
        </w:rPr>
        <w:tab/>
        <w:t xml:space="preserve">  </w:t>
      </w:r>
      <w:r w:rsidRPr="00191020">
        <w:rPr>
          <w:rFonts w:ascii="Times New Roman" w:hAnsi="Times New Roman"/>
          <w:sz w:val="20"/>
          <w:szCs w:val="20"/>
        </w:rPr>
        <w:tab/>
      </w:r>
      <w:r>
        <w:rPr>
          <w:rFonts w:ascii="Times New Roman" w:hAnsi="Times New Roman"/>
          <w:sz w:val="20"/>
          <w:szCs w:val="20"/>
        </w:rPr>
        <w:t xml:space="preserve">       </w:t>
      </w:r>
      <w:r w:rsidRPr="00191020">
        <w:rPr>
          <w:rFonts w:ascii="Times New Roman" w:hAnsi="Times New Roman"/>
          <w:sz w:val="20"/>
          <w:szCs w:val="20"/>
        </w:rPr>
        <w:t xml:space="preserve">  (1)</w:t>
      </w:r>
    </w:p>
    <w:p w:rsidR="00191020" w:rsidRPr="00191020" w:rsidRDefault="00191020" w:rsidP="00191020">
      <w:pPr>
        <w:spacing w:after="0" w:line="240" w:lineRule="auto"/>
        <w:jc w:val="both"/>
        <w:outlineLvl w:val="0"/>
        <w:rPr>
          <w:rFonts w:ascii="Times New Roman" w:hAnsi="Times New Roman"/>
          <w:sz w:val="20"/>
          <w:szCs w:val="20"/>
        </w:rPr>
      </w:pPr>
    </w:p>
    <w:p w:rsidR="00191020" w:rsidRPr="00191020" w:rsidRDefault="00191020" w:rsidP="00191020">
      <w:pPr>
        <w:spacing w:after="0" w:line="240" w:lineRule="auto"/>
        <w:jc w:val="both"/>
        <w:outlineLvl w:val="0"/>
        <w:rPr>
          <w:rFonts w:ascii="Times New Roman" w:hAnsi="Times New Roman"/>
          <w:sz w:val="20"/>
          <w:szCs w:val="20"/>
        </w:rPr>
      </w:pPr>
      <w:r w:rsidRPr="00191020">
        <w:rPr>
          <w:rFonts w:ascii="Times New Roman" w:hAnsi="Times New Roman"/>
          <w:sz w:val="20"/>
          <w:szCs w:val="20"/>
        </w:rPr>
        <w:t xml:space="preserve">where </w:t>
      </w:r>
      <w:r w:rsidRPr="00191020">
        <w:rPr>
          <w:rFonts w:ascii="Times New Roman" w:hAnsi="Times New Roman"/>
          <w:sz w:val="20"/>
          <w:szCs w:val="20"/>
          <w:lang w:val="en-GB"/>
        </w:rPr>
        <w:object w:dxaOrig="240" w:dyaOrig="279">
          <v:shape id="_x0000_i1026" type="#_x0000_t75" style="width:11.25pt;height:14.25pt" o:ole="">
            <v:imagedata r:id="rId13" o:title=""/>
          </v:shape>
          <o:OLEObject Type="Embed" ProgID="Equation.DSMT4" ShapeID="_x0000_i1026" DrawAspect="Content" ObjectID="_1552227247" r:id="rId14"/>
        </w:object>
      </w:r>
      <w:r w:rsidRPr="00191020">
        <w:rPr>
          <w:rFonts w:ascii="Times New Roman" w:hAnsi="Times New Roman"/>
          <w:sz w:val="20"/>
          <w:szCs w:val="20"/>
          <w:lang w:val="en-GB"/>
        </w:rPr>
        <w:t xml:space="preserve"> is the permeate volume (L), </w:t>
      </w:r>
      <w:r w:rsidRPr="00191020">
        <w:rPr>
          <w:rFonts w:ascii="Times New Roman" w:hAnsi="Times New Roman"/>
          <w:sz w:val="20"/>
          <w:szCs w:val="20"/>
          <w:lang w:val="en-GB"/>
        </w:rPr>
        <w:object w:dxaOrig="240" w:dyaOrig="260">
          <v:shape id="_x0000_i1027" type="#_x0000_t75" style="width:11.25pt;height:11.25pt" o:ole="">
            <v:imagedata r:id="rId15" o:title=""/>
          </v:shape>
          <o:OLEObject Type="Embed" ProgID="Equation.DSMT4" ShapeID="_x0000_i1027" DrawAspect="Content" ObjectID="_1552227248" r:id="rId16"/>
        </w:object>
      </w:r>
      <w:r w:rsidRPr="00191020">
        <w:rPr>
          <w:rFonts w:ascii="Times New Roman" w:hAnsi="Times New Roman"/>
          <w:sz w:val="20"/>
          <w:szCs w:val="20"/>
          <w:lang w:val="en-GB"/>
        </w:rPr>
        <w:t>is the membrane active area (m</w:t>
      </w:r>
      <w:r w:rsidRPr="00191020">
        <w:rPr>
          <w:rFonts w:ascii="Times New Roman" w:hAnsi="Times New Roman"/>
          <w:sz w:val="20"/>
          <w:szCs w:val="20"/>
          <w:vertAlign w:val="superscript"/>
          <w:lang w:val="en-GB"/>
        </w:rPr>
        <w:t>2</w:t>
      </w:r>
      <w:r w:rsidRPr="00191020">
        <w:rPr>
          <w:rFonts w:ascii="Times New Roman" w:hAnsi="Times New Roman"/>
          <w:sz w:val="20"/>
          <w:szCs w:val="20"/>
          <w:lang w:val="en-GB"/>
        </w:rPr>
        <w:t xml:space="preserve">) and </w:t>
      </w:r>
      <w:r w:rsidRPr="00191020">
        <w:rPr>
          <w:rFonts w:ascii="Times New Roman" w:hAnsi="Times New Roman"/>
          <w:position w:val="-6"/>
          <w:sz w:val="20"/>
          <w:szCs w:val="20"/>
          <w:lang w:val="en-GB"/>
        </w:rPr>
        <w:object w:dxaOrig="139" w:dyaOrig="240">
          <v:shape id="_x0000_i1028" type="#_x0000_t75" style="width:6.75pt;height:11.25pt" o:ole="">
            <v:imagedata r:id="rId17" o:title=""/>
          </v:shape>
          <o:OLEObject Type="Embed" ProgID="Equation.DSMT4" ShapeID="_x0000_i1028" DrawAspect="Content" ObjectID="_1552227249" r:id="rId18"/>
        </w:object>
      </w:r>
      <w:r w:rsidRPr="00191020">
        <w:rPr>
          <w:rFonts w:ascii="Times New Roman" w:hAnsi="Times New Roman"/>
          <w:sz w:val="20"/>
          <w:szCs w:val="20"/>
          <w:lang w:val="en-GB"/>
        </w:rPr>
        <w:t xml:space="preserve"> is the experiment time (h) to obtain </w:t>
      </w:r>
      <w:r w:rsidRPr="00191020">
        <w:rPr>
          <w:rFonts w:ascii="Times New Roman" w:hAnsi="Times New Roman"/>
          <w:sz w:val="20"/>
          <w:szCs w:val="20"/>
          <w:lang w:val="en-GB"/>
        </w:rPr>
        <w:object w:dxaOrig="240" w:dyaOrig="279">
          <v:shape id="_x0000_i1029" type="#_x0000_t75" style="width:11.25pt;height:14.25pt" o:ole="">
            <v:imagedata r:id="rId19" o:title=""/>
          </v:shape>
          <o:OLEObject Type="Embed" ProgID="Equation.DSMT4" ShapeID="_x0000_i1029" DrawAspect="Content" ObjectID="_1552227250" r:id="rId20"/>
        </w:object>
      </w:r>
      <w:r w:rsidRPr="00191020">
        <w:rPr>
          <w:rFonts w:ascii="Times New Roman" w:hAnsi="Times New Roman"/>
          <w:sz w:val="20"/>
          <w:szCs w:val="20"/>
          <w:lang w:val="en-GB"/>
        </w:rPr>
        <w:t>.</w:t>
      </w:r>
      <w:r w:rsidRPr="00191020">
        <w:rPr>
          <w:rFonts w:ascii="Times New Roman" w:hAnsi="Times New Roman"/>
          <w:sz w:val="20"/>
          <w:szCs w:val="20"/>
        </w:rPr>
        <w:t xml:space="preserve"> The salt rejection was calculated based on following Equation 2:</w:t>
      </w:r>
    </w:p>
    <w:p w:rsidR="00191020" w:rsidRPr="00191020" w:rsidRDefault="00191020" w:rsidP="00191020">
      <w:pPr>
        <w:spacing w:after="0" w:line="240" w:lineRule="auto"/>
        <w:jc w:val="both"/>
        <w:outlineLvl w:val="0"/>
        <w:rPr>
          <w:rFonts w:ascii="Times New Roman" w:hAnsi="Times New Roman"/>
          <w:sz w:val="20"/>
          <w:szCs w:val="20"/>
        </w:rPr>
      </w:pPr>
    </w:p>
    <w:p w:rsidR="00191020" w:rsidRPr="00191020" w:rsidRDefault="00191020" w:rsidP="00191020">
      <w:pPr>
        <w:spacing w:after="0" w:line="240" w:lineRule="auto"/>
        <w:jc w:val="both"/>
        <w:outlineLvl w:val="0"/>
        <w:rPr>
          <w:rFonts w:ascii="Times New Roman" w:hAnsi="Times New Roman"/>
          <w:sz w:val="20"/>
          <w:szCs w:val="20"/>
        </w:rPr>
      </w:pPr>
      <w:r w:rsidRPr="00191020">
        <w:rPr>
          <w:rFonts w:ascii="Times New Roman" w:hAnsi="Times New Roman"/>
          <w:iCs/>
          <w:sz w:val="20"/>
          <w:szCs w:val="20"/>
        </w:rPr>
        <w:t xml:space="preserve">            </w:t>
      </w:r>
      <w:r w:rsidRPr="00191020">
        <w:rPr>
          <w:rFonts w:ascii="Times New Roman" w:hAnsi="Times New Roman"/>
          <w:iCs/>
          <w:spacing w:val="-4"/>
          <w:position w:val="-34"/>
          <w:sz w:val="20"/>
          <w:szCs w:val="20"/>
        </w:rPr>
        <w:object w:dxaOrig="2200" w:dyaOrig="800">
          <v:shape id="_x0000_i1030" type="#_x0000_t75" style="width:96.05pt;height:33.75pt" o:ole="">
            <v:imagedata r:id="rId21" o:title=""/>
          </v:shape>
          <o:OLEObject Type="Embed" ProgID="Equation.DSMT4" ShapeID="_x0000_i1030" DrawAspect="Content" ObjectID="_1552227251" r:id="rId22"/>
        </w:object>
      </w:r>
      <w:r w:rsidRPr="00191020">
        <w:rPr>
          <w:rFonts w:ascii="Times New Roman" w:hAnsi="Times New Roman"/>
          <w:iCs/>
          <w:spacing w:val="-4"/>
          <w:sz w:val="20"/>
          <w:szCs w:val="20"/>
        </w:rPr>
        <w:tab/>
      </w:r>
      <w:r w:rsidRPr="00191020">
        <w:rPr>
          <w:rFonts w:ascii="Times New Roman" w:hAnsi="Times New Roman"/>
          <w:iCs/>
          <w:spacing w:val="-4"/>
          <w:sz w:val="20"/>
          <w:szCs w:val="20"/>
        </w:rPr>
        <w:tab/>
      </w:r>
      <w:r w:rsidRPr="00191020">
        <w:rPr>
          <w:rFonts w:ascii="Times New Roman" w:hAnsi="Times New Roman"/>
          <w:iCs/>
          <w:spacing w:val="-4"/>
          <w:sz w:val="20"/>
          <w:szCs w:val="20"/>
        </w:rPr>
        <w:tab/>
      </w:r>
      <w:r w:rsidRPr="00191020">
        <w:rPr>
          <w:rFonts w:ascii="Times New Roman" w:hAnsi="Times New Roman"/>
          <w:iCs/>
          <w:spacing w:val="-4"/>
          <w:sz w:val="20"/>
          <w:szCs w:val="20"/>
        </w:rPr>
        <w:tab/>
      </w:r>
      <w:r w:rsidRPr="00191020">
        <w:rPr>
          <w:rFonts w:ascii="Times New Roman" w:hAnsi="Times New Roman"/>
          <w:iCs/>
          <w:spacing w:val="-4"/>
          <w:sz w:val="20"/>
          <w:szCs w:val="20"/>
        </w:rPr>
        <w:tab/>
      </w:r>
      <w:r w:rsidRPr="00191020">
        <w:rPr>
          <w:rFonts w:ascii="Times New Roman" w:hAnsi="Times New Roman"/>
          <w:iCs/>
          <w:spacing w:val="-4"/>
          <w:sz w:val="20"/>
          <w:szCs w:val="20"/>
        </w:rPr>
        <w:tab/>
      </w:r>
      <w:r w:rsidRPr="00191020">
        <w:rPr>
          <w:rFonts w:ascii="Times New Roman" w:hAnsi="Times New Roman"/>
          <w:iCs/>
          <w:spacing w:val="-4"/>
          <w:sz w:val="20"/>
          <w:szCs w:val="20"/>
        </w:rPr>
        <w:tab/>
      </w:r>
      <w:r w:rsidRPr="00191020">
        <w:rPr>
          <w:rFonts w:ascii="Times New Roman" w:hAnsi="Times New Roman"/>
          <w:iCs/>
          <w:spacing w:val="-4"/>
          <w:sz w:val="20"/>
          <w:szCs w:val="20"/>
        </w:rPr>
        <w:tab/>
        <w:t xml:space="preserve"> </w:t>
      </w:r>
      <w:r w:rsidRPr="00191020">
        <w:rPr>
          <w:rFonts w:ascii="Times New Roman" w:hAnsi="Times New Roman"/>
          <w:iCs/>
          <w:spacing w:val="-4"/>
          <w:sz w:val="20"/>
          <w:szCs w:val="20"/>
        </w:rPr>
        <w:tab/>
      </w:r>
      <w:r>
        <w:rPr>
          <w:rFonts w:ascii="Times New Roman" w:hAnsi="Times New Roman"/>
          <w:iCs/>
          <w:spacing w:val="-4"/>
          <w:sz w:val="20"/>
          <w:szCs w:val="20"/>
        </w:rPr>
        <w:t xml:space="preserve">       </w:t>
      </w:r>
      <w:r w:rsidRPr="00191020">
        <w:rPr>
          <w:rFonts w:ascii="Times New Roman" w:hAnsi="Times New Roman"/>
          <w:iCs/>
          <w:spacing w:val="-4"/>
          <w:sz w:val="20"/>
          <w:szCs w:val="20"/>
        </w:rPr>
        <w:t xml:space="preserve">   (2)</w:t>
      </w:r>
      <w:r w:rsidRPr="00191020">
        <w:rPr>
          <w:rFonts w:ascii="Times New Roman" w:hAnsi="Times New Roman"/>
          <w:sz w:val="20"/>
          <w:szCs w:val="20"/>
        </w:rPr>
        <w:t xml:space="preserve"> </w:t>
      </w:r>
    </w:p>
    <w:p w:rsidR="00191020" w:rsidRPr="00191020" w:rsidRDefault="00191020" w:rsidP="00191020">
      <w:pPr>
        <w:spacing w:after="0" w:line="240" w:lineRule="auto"/>
        <w:jc w:val="both"/>
        <w:outlineLvl w:val="0"/>
        <w:rPr>
          <w:rFonts w:ascii="Times New Roman" w:hAnsi="Times New Roman"/>
          <w:sz w:val="20"/>
          <w:szCs w:val="20"/>
          <w:lang w:val="en-GB"/>
        </w:rPr>
      </w:pPr>
      <w:r w:rsidRPr="00191020">
        <w:rPr>
          <w:rFonts w:ascii="Times New Roman" w:hAnsi="Times New Roman"/>
          <w:sz w:val="20"/>
          <w:szCs w:val="20"/>
        </w:rPr>
        <w:t xml:space="preserve">where </w:t>
      </w:r>
      <w:r w:rsidRPr="00191020">
        <w:rPr>
          <w:rFonts w:ascii="Times New Roman" w:hAnsi="Times New Roman"/>
          <w:position w:val="-14"/>
          <w:sz w:val="20"/>
          <w:szCs w:val="20"/>
        </w:rPr>
        <w:object w:dxaOrig="320" w:dyaOrig="380">
          <v:shape id="_x0000_i1031" type="#_x0000_t75" style="width:16.5pt;height:18.75pt" o:ole="">
            <v:imagedata r:id="rId23" o:title=""/>
          </v:shape>
          <o:OLEObject Type="Embed" ProgID="Equation.DSMT4" ShapeID="_x0000_i1031" DrawAspect="Content" ObjectID="_1552227252" r:id="rId24"/>
        </w:object>
      </w:r>
      <w:r w:rsidRPr="00191020">
        <w:rPr>
          <w:rFonts w:ascii="Times New Roman" w:hAnsi="Times New Roman"/>
          <w:sz w:val="20"/>
          <w:szCs w:val="20"/>
          <w:lang w:val="en-GB"/>
        </w:rPr>
        <w:t xml:space="preserve">and </w:t>
      </w:r>
      <w:r w:rsidRPr="00191020">
        <w:rPr>
          <w:rFonts w:ascii="Times New Roman" w:hAnsi="Times New Roman"/>
          <w:position w:val="-14"/>
          <w:sz w:val="20"/>
          <w:szCs w:val="20"/>
        </w:rPr>
        <w:object w:dxaOrig="340" w:dyaOrig="380">
          <v:shape id="_x0000_i1032" type="#_x0000_t75" style="width:16.5pt;height:18.75pt" o:ole="">
            <v:imagedata r:id="rId25" o:title=""/>
          </v:shape>
          <o:OLEObject Type="Embed" ProgID="Equation.DSMT4" ShapeID="_x0000_i1032" DrawAspect="Content" ObjectID="_1552227253" r:id="rId26"/>
        </w:object>
      </w:r>
      <w:r w:rsidRPr="00191020">
        <w:rPr>
          <w:rFonts w:ascii="Times New Roman" w:hAnsi="Times New Roman"/>
          <w:sz w:val="20"/>
          <w:szCs w:val="20"/>
          <w:lang w:val="en-GB"/>
        </w:rPr>
        <w:t xml:space="preserve"> are the concentration (ppm) of the permeate and feed solution, respectively.</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8225B" w:rsidRPr="00D8225B" w:rsidRDefault="00D8225B" w:rsidP="00D8225B">
      <w:pPr>
        <w:spacing w:after="0" w:line="240" w:lineRule="auto"/>
        <w:jc w:val="both"/>
        <w:outlineLvl w:val="0"/>
        <w:rPr>
          <w:rFonts w:ascii="Times New Roman" w:hAnsi="Times New Roman"/>
          <w:b/>
          <w:bCs/>
          <w:sz w:val="20"/>
          <w:szCs w:val="20"/>
        </w:rPr>
      </w:pPr>
      <w:r w:rsidRPr="00D8225B">
        <w:rPr>
          <w:rFonts w:ascii="Times New Roman" w:hAnsi="Times New Roman"/>
          <w:b/>
          <w:bCs/>
          <w:sz w:val="20"/>
          <w:szCs w:val="20"/>
        </w:rPr>
        <w:t>XRD analysis</w:t>
      </w:r>
    </w:p>
    <w:p w:rsidR="00D8225B" w:rsidRDefault="00D8225B" w:rsidP="00D8225B">
      <w:pPr>
        <w:spacing w:after="0" w:line="240" w:lineRule="auto"/>
        <w:jc w:val="both"/>
        <w:outlineLvl w:val="0"/>
        <w:rPr>
          <w:rFonts w:ascii="Times New Roman" w:hAnsi="Times New Roman"/>
          <w:sz w:val="20"/>
          <w:szCs w:val="20"/>
        </w:rPr>
      </w:pPr>
      <w:r w:rsidRPr="00D8225B">
        <w:rPr>
          <w:rFonts w:ascii="Times New Roman" w:hAnsi="Times New Roman"/>
          <w:sz w:val="20"/>
          <w:szCs w:val="20"/>
        </w:rPr>
        <w:t xml:space="preserve">The XRD analysis of MWCNT-TNT hybrid, MWCNTs and TNTs are represented in Figure 1. The self-synthesized TNTs sample </w:t>
      </w:r>
      <w:r w:rsidRPr="00D8225B">
        <w:rPr>
          <w:rFonts w:ascii="Times New Roman" w:hAnsi="Times New Roman"/>
          <w:noProof/>
          <w:sz w:val="20"/>
          <w:szCs w:val="20"/>
        </w:rPr>
        <w:t>shows</w:t>
      </w:r>
      <w:r w:rsidRPr="00D8225B">
        <w:rPr>
          <w:rFonts w:ascii="Times New Roman" w:hAnsi="Times New Roman"/>
          <w:sz w:val="20"/>
          <w:szCs w:val="20"/>
        </w:rPr>
        <w:t xml:space="preserve"> an intense peak at 2-theta values of 10.48</w:t>
      </w:r>
      <w:r w:rsidRPr="00D8225B">
        <w:rPr>
          <w:rFonts w:ascii="Times New Roman" w:hAnsi="Times New Roman"/>
          <w:sz w:val="20"/>
          <w:szCs w:val="20"/>
          <w:vertAlign w:val="superscript"/>
        </w:rPr>
        <w:t>o</w:t>
      </w:r>
      <w:r w:rsidRPr="00D8225B">
        <w:rPr>
          <w:rFonts w:ascii="Times New Roman" w:hAnsi="Times New Roman"/>
          <w:sz w:val="20"/>
          <w:szCs w:val="20"/>
        </w:rPr>
        <w:t>, 24.76</w:t>
      </w:r>
      <w:r w:rsidRPr="00D8225B">
        <w:rPr>
          <w:rFonts w:ascii="Times New Roman" w:hAnsi="Times New Roman"/>
          <w:sz w:val="20"/>
          <w:szCs w:val="20"/>
          <w:vertAlign w:val="superscript"/>
        </w:rPr>
        <w:t xml:space="preserve"> o</w:t>
      </w:r>
      <w:r w:rsidRPr="00D8225B">
        <w:rPr>
          <w:rFonts w:ascii="Times New Roman" w:hAnsi="Times New Roman"/>
          <w:sz w:val="20"/>
          <w:szCs w:val="20"/>
        </w:rPr>
        <w:t xml:space="preserve"> and 48.58</w:t>
      </w:r>
      <w:r w:rsidRPr="00D8225B">
        <w:rPr>
          <w:rFonts w:ascii="Times New Roman" w:hAnsi="Times New Roman"/>
          <w:sz w:val="20"/>
          <w:szCs w:val="20"/>
          <w:vertAlign w:val="superscript"/>
        </w:rPr>
        <w:t xml:space="preserve"> o</w:t>
      </w:r>
      <w:r w:rsidRPr="00D8225B">
        <w:rPr>
          <w:rFonts w:ascii="Times New Roman" w:hAnsi="Times New Roman"/>
          <w:sz w:val="20"/>
          <w:szCs w:val="20"/>
        </w:rPr>
        <w:t xml:space="preserve">. These patterns correspond to the </w:t>
      </w:r>
      <w:r w:rsidRPr="00D8225B">
        <w:rPr>
          <w:rFonts w:ascii="Times New Roman" w:hAnsi="Times New Roman"/>
          <w:noProof/>
          <w:sz w:val="20"/>
          <w:szCs w:val="20"/>
        </w:rPr>
        <w:t>crystal</w:t>
      </w:r>
      <w:r w:rsidRPr="00D8225B">
        <w:rPr>
          <w:rFonts w:ascii="Times New Roman" w:hAnsi="Times New Roman"/>
          <w:sz w:val="20"/>
          <w:szCs w:val="20"/>
        </w:rPr>
        <w:t xml:space="preserve"> structure of TNTs. The peaks at a 2-theta values of 25.78</w:t>
      </w:r>
      <w:r w:rsidRPr="00D8225B">
        <w:rPr>
          <w:rFonts w:ascii="Times New Roman" w:hAnsi="Times New Roman"/>
          <w:sz w:val="20"/>
          <w:szCs w:val="20"/>
          <w:vertAlign w:val="superscript"/>
        </w:rPr>
        <w:t xml:space="preserve"> o</w:t>
      </w:r>
      <w:r w:rsidRPr="00D8225B">
        <w:rPr>
          <w:rFonts w:ascii="Times New Roman" w:hAnsi="Times New Roman"/>
          <w:sz w:val="20"/>
          <w:szCs w:val="20"/>
        </w:rPr>
        <w:t xml:space="preserve"> and 43.13</w:t>
      </w:r>
      <w:r w:rsidRPr="00D8225B">
        <w:rPr>
          <w:rFonts w:ascii="Times New Roman" w:hAnsi="Times New Roman"/>
          <w:sz w:val="20"/>
          <w:szCs w:val="20"/>
          <w:vertAlign w:val="superscript"/>
        </w:rPr>
        <w:t xml:space="preserve"> o</w:t>
      </w:r>
      <w:r w:rsidRPr="00D8225B">
        <w:rPr>
          <w:rFonts w:ascii="Times New Roman" w:hAnsi="Times New Roman"/>
          <w:sz w:val="20"/>
          <w:szCs w:val="20"/>
        </w:rPr>
        <w:t xml:space="preserve"> in XRD pattern of MWCNTs correspond to the cylindrical concentric tubular structure of MWCNTs and the sp</w:t>
      </w:r>
      <w:r w:rsidRPr="00D8225B">
        <w:rPr>
          <w:rFonts w:ascii="Times New Roman" w:hAnsi="Times New Roman"/>
          <w:sz w:val="20"/>
          <w:szCs w:val="20"/>
          <w:vertAlign w:val="superscript"/>
        </w:rPr>
        <w:t>3</w:t>
      </w:r>
      <w:r w:rsidRPr="00D8225B">
        <w:rPr>
          <w:rFonts w:ascii="Times New Roman" w:hAnsi="Times New Roman"/>
          <w:sz w:val="20"/>
          <w:szCs w:val="20"/>
        </w:rPr>
        <w:t xml:space="preserve"> hybridization of the carbon atom. The characterization peak of MWCNTs at 25.78</w:t>
      </w:r>
      <w:r w:rsidRPr="00D8225B">
        <w:rPr>
          <w:rFonts w:ascii="Times New Roman" w:hAnsi="Times New Roman"/>
          <w:sz w:val="20"/>
          <w:szCs w:val="20"/>
          <w:vertAlign w:val="superscript"/>
        </w:rPr>
        <w:t>o</w:t>
      </w:r>
      <w:r w:rsidRPr="00D8225B">
        <w:rPr>
          <w:rFonts w:ascii="Times New Roman" w:hAnsi="Times New Roman"/>
          <w:sz w:val="20"/>
          <w:szCs w:val="20"/>
        </w:rPr>
        <w:t xml:space="preserve"> can also be observed clearly in the formation peak at 26.18</w:t>
      </w:r>
      <w:r w:rsidRPr="00D8225B">
        <w:rPr>
          <w:rFonts w:ascii="Times New Roman" w:hAnsi="Times New Roman"/>
          <w:sz w:val="20"/>
          <w:szCs w:val="20"/>
          <w:vertAlign w:val="superscript"/>
        </w:rPr>
        <w:t>o</w:t>
      </w:r>
      <w:r w:rsidRPr="00D8225B">
        <w:rPr>
          <w:rFonts w:ascii="Times New Roman" w:hAnsi="Times New Roman"/>
          <w:sz w:val="20"/>
          <w:szCs w:val="20"/>
        </w:rPr>
        <w:t xml:space="preserve"> in the patterns of MWCNT-TNT hybrid, which suggested the successful formation of MWCNT-TNTs </w:t>
      </w:r>
      <w:r w:rsidRPr="00D8225B">
        <w:rPr>
          <w:rFonts w:ascii="Times New Roman" w:hAnsi="Times New Roman"/>
          <w:sz w:val="20"/>
          <w:szCs w:val="20"/>
        </w:rPr>
        <w:fldChar w:fldCharType="begin" w:fldLock="1"/>
      </w:r>
      <w:r w:rsidRPr="00D8225B">
        <w:rPr>
          <w:rFonts w:ascii="Times New Roman" w:hAnsi="Times New Roman"/>
          <w:sz w:val="20"/>
          <w:szCs w:val="20"/>
        </w:rPr>
        <w:instrText>ADDIN CSL_CITATION { "citationItems" : [ { "id" : "ITEM-1", "itemData" : { "DOI" : "10.1016/j.bios.2014.11.028", "ISBN" : "0956-5663", "ISSN" : "18734235", "abstract" : "A significant aspect of this work is the development of a multi-wall carbon nanotube (MWCNT)-titanate nanotube (TNT) nanocomposite to serve as a biocompatible scaffold with high conductivity on a biosensor surface. Unlike other scaffolds consisting of MWCNTs alone or TNTs alone, the MWCNT-TNT nanocomposite synergistically provides excellent biocompatibility, good electrical conductivity, low electrochemical interferences and a high signal-to-noise ratio. For comparison, after characterising a scaffold consisting of MWCNTs alone, TNTs alone and a MWCNT-TNT nanocomposite using several spectroscopic techniques, the analytical performance of a horseradish peroxidase (HRP) electrochemical biosensor was evaluated using cyclic voltammetry and differential pulse voltammetry. The scaffold consisting of MWCNTs alone displayed a high background charging current, a low signal-to-noise ratio and distinct electrochemical interference from its surface functional groups. In contrast, the direct electrochemistry and the catalytic capability of HRP at MWCNT-TNT modified biosensors towards H2O2 was demonstrated to be ~51% and ~144% enhanced, respectively, compared to those at TNT modified biosensors. Meanwhile, MWCNT-TNT nanocomposite modified HRP biosensors also exhibited higher sensitivity (4.42??AmM-1) than TNT modified HRP biosensors (1.48??AmM-1). The above superior performance was attributed to the improved properties of MWCNT-TNT nanocomposite as biosensor scaffold compared to its two individual components by complementing each component and synergistically sustaining the characteristic features of each component.", "author" : [ { "dropping-particle" : "", "family" : "Liu", "given" : "Xiaoqiang", "non-dropping-particle" : "", "parse-names" : false, "suffix" : "" }, { "dropping-particle" : "", "family" : "Yan", "given" : "Rui", "non-dropping-particle" : "", "parse-names" : false, "suffix" : "" }, { "dropping-particle" : "", "family" : "Zhang", "given" : "Jiamei", "non-dropping-particle" : "", "parse-names" : false, "suffix" : "" }, { "dropping-particle" : "", "family" : "Zhu", "given" : "Jie", "non-dropping-particle" : "", "parse-names" : false, "suffix" : "" }, { "dropping-particle" : "", "family" : "Wong", "given" : "Danny K Y", "non-dropping-particle" : "", "parse-names" : false, "suffix" : "" } ], "container-title" : "Biosensors and Bioelectronics", "id" : "ITEM-1", "issued" : { "date-parts" : [ [ "2015" ] ] }, "page" : "208-215", "publisher" : "Elsevier", "title" : "Evaluation of a carbon nanotube-titanate nanotube nanocomposite as an electrochemical biosensor scaffold", "type" : "article-journal", "volume" : "66" }, "uris" : [ "http://www.mendeley.com/documents/?uuid=7edc1ca6-3e0e-466f-ac96-775565f0b29c" ] } ], "mendeley" : { "formattedCitation" : "[8]", "plainTextFormattedCitation" : "[8]", "previouslyFormattedCitation" : "&lt;sup&gt;8&lt;/sup&gt;" }, "properties" : { "noteIndex" : 0 }, "schema" : "https://github.com/citation-style-language/schema/raw/master/csl-citation.json" }</w:instrText>
      </w:r>
      <w:r w:rsidRPr="00D8225B">
        <w:rPr>
          <w:rFonts w:ascii="Times New Roman" w:hAnsi="Times New Roman"/>
          <w:sz w:val="20"/>
          <w:szCs w:val="20"/>
        </w:rPr>
        <w:fldChar w:fldCharType="separate"/>
      </w:r>
      <w:r w:rsidRPr="00D8225B">
        <w:rPr>
          <w:rFonts w:ascii="Times New Roman" w:hAnsi="Times New Roman"/>
          <w:noProof/>
          <w:sz w:val="20"/>
          <w:szCs w:val="20"/>
        </w:rPr>
        <w:t>[8]</w:t>
      </w:r>
      <w:r w:rsidRPr="00D8225B">
        <w:rPr>
          <w:rFonts w:ascii="Times New Roman" w:hAnsi="Times New Roman"/>
          <w:sz w:val="20"/>
          <w:szCs w:val="20"/>
        </w:rPr>
        <w:fldChar w:fldCharType="end"/>
      </w:r>
      <w:r w:rsidRPr="00D8225B">
        <w:rPr>
          <w:rFonts w:ascii="Times New Roman" w:hAnsi="Times New Roman"/>
          <w:sz w:val="20"/>
          <w:szCs w:val="20"/>
        </w:rPr>
        <w:t>.  Meanwhile, an intense peak at 2-theta values of 24.98</w:t>
      </w:r>
      <w:r w:rsidRPr="00D8225B">
        <w:rPr>
          <w:rFonts w:ascii="Times New Roman" w:hAnsi="Times New Roman"/>
          <w:sz w:val="20"/>
          <w:szCs w:val="20"/>
          <w:vertAlign w:val="superscript"/>
        </w:rPr>
        <w:t>o</w:t>
      </w:r>
      <w:r w:rsidRPr="00D8225B">
        <w:rPr>
          <w:rFonts w:ascii="Times New Roman" w:hAnsi="Times New Roman"/>
          <w:sz w:val="20"/>
          <w:szCs w:val="20"/>
        </w:rPr>
        <w:t>, 26.18</w:t>
      </w:r>
      <w:r w:rsidRPr="00D8225B">
        <w:rPr>
          <w:rFonts w:ascii="Times New Roman" w:hAnsi="Times New Roman"/>
          <w:sz w:val="20"/>
          <w:szCs w:val="20"/>
          <w:vertAlign w:val="superscript"/>
        </w:rPr>
        <w:t>o</w:t>
      </w:r>
      <w:r w:rsidRPr="00D8225B">
        <w:rPr>
          <w:rFonts w:ascii="Times New Roman" w:hAnsi="Times New Roman"/>
          <w:sz w:val="20"/>
          <w:szCs w:val="20"/>
        </w:rPr>
        <w:t xml:space="preserve"> and 48.72</w:t>
      </w:r>
      <w:r w:rsidRPr="00D8225B">
        <w:rPr>
          <w:rFonts w:ascii="Times New Roman" w:hAnsi="Times New Roman"/>
          <w:sz w:val="20"/>
          <w:szCs w:val="20"/>
          <w:vertAlign w:val="superscript"/>
        </w:rPr>
        <w:t xml:space="preserve"> o</w:t>
      </w:r>
      <w:r w:rsidRPr="00D8225B">
        <w:rPr>
          <w:rFonts w:ascii="Times New Roman" w:hAnsi="Times New Roman"/>
          <w:sz w:val="20"/>
          <w:szCs w:val="20"/>
        </w:rPr>
        <w:t xml:space="preserve"> for MWCNT-TNT hybrid samples supported the </w:t>
      </w:r>
      <w:r w:rsidRPr="00D8225B">
        <w:rPr>
          <w:rFonts w:ascii="Times New Roman" w:hAnsi="Times New Roman"/>
          <w:sz w:val="20"/>
          <w:szCs w:val="20"/>
        </w:rPr>
        <w:lastRenderedPageBreak/>
        <w:t>formation of TNTs nanotubes. The diffraction peak 10.48</w:t>
      </w:r>
      <w:r w:rsidRPr="00D8225B">
        <w:rPr>
          <w:rFonts w:ascii="Times New Roman" w:hAnsi="Times New Roman"/>
          <w:sz w:val="20"/>
          <w:szCs w:val="20"/>
          <w:vertAlign w:val="superscript"/>
        </w:rPr>
        <w:t xml:space="preserve">o </w:t>
      </w:r>
      <w:r w:rsidRPr="00D8225B">
        <w:rPr>
          <w:rFonts w:ascii="Times New Roman" w:hAnsi="Times New Roman"/>
          <w:sz w:val="20"/>
          <w:szCs w:val="20"/>
        </w:rPr>
        <w:t>and 11.1</w:t>
      </w:r>
      <w:r w:rsidRPr="00D8225B">
        <w:rPr>
          <w:rFonts w:ascii="Times New Roman" w:hAnsi="Times New Roman"/>
          <w:sz w:val="20"/>
          <w:szCs w:val="20"/>
          <w:vertAlign w:val="superscript"/>
        </w:rPr>
        <w:t>o</w:t>
      </w:r>
      <w:r w:rsidRPr="00D8225B">
        <w:rPr>
          <w:rFonts w:ascii="Times New Roman" w:hAnsi="Times New Roman"/>
          <w:sz w:val="20"/>
          <w:szCs w:val="20"/>
        </w:rPr>
        <w:t xml:space="preserve"> showed by TNTs and MWCNT-TNT hybrid, respectively, a </w:t>
      </w:r>
      <w:r w:rsidRPr="00D8225B">
        <w:rPr>
          <w:rFonts w:ascii="Times New Roman" w:hAnsi="Times New Roman"/>
          <w:noProof/>
          <w:sz w:val="20"/>
          <w:szCs w:val="20"/>
        </w:rPr>
        <w:t>notable</w:t>
      </w:r>
      <w:r w:rsidRPr="00D8225B">
        <w:rPr>
          <w:rFonts w:ascii="Times New Roman" w:hAnsi="Times New Roman"/>
          <w:sz w:val="20"/>
          <w:szCs w:val="20"/>
        </w:rPr>
        <w:t xml:space="preserve"> feature of the tubular structure of TiO</w:t>
      </w:r>
      <w:r w:rsidRPr="00D8225B">
        <w:rPr>
          <w:rFonts w:ascii="Times New Roman" w:hAnsi="Times New Roman"/>
          <w:sz w:val="20"/>
          <w:szCs w:val="20"/>
          <w:vertAlign w:val="subscript"/>
        </w:rPr>
        <w:t>2</w:t>
      </w:r>
      <w:r w:rsidRPr="00D8225B">
        <w:rPr>
          <w:rFonts w:ascii="Times New Roman" w:hAnsi="Times New Roman"/>
          <w:sz w:val="20"/>
          <w:szCs w:val="20"/>
        </w:rPr>
        <w:t xml:space="preserve"> nanomaterials </w:t>
      </w:r>
      <w:r w:rsidRPr="00D8225B">
        <w:rPr>
          <w:rFonts w:ascii="Times New Roman" w:hAnsi="Times New Roman"/>
          <w:sz w:val="20"/>
          <w:szCs w:val="20"/>
        </w:rPr>
        <w:fldChar w:fldCharType="begin" w:fldLock="1"/>
      </w:r>
      <w:r w:rsidRPr="00D8225B">
        <w:rPr>
          <w:rFonts w:ascii="Times New Roman" w:hAnsi="Times New Roman"/>
          <w:sz w:val="20"/>
          <w:szCs w:val="20"/>
        </w:rPr>
        <w:instrText>ADDIN CSL_CITATION { "citationItems" : [ { "id" : "ITEM-1", "itemData" : { "DOI" : "10.1016/j.bios.2014.11.028", "ISBN" : "0956-5663", "ISSN" : "18734235", "abstract" : "A significant aspect of this work is the development of a multi-wall carbon nanotube (MWCNT)-titanate nanotube (TNT) nanocomposite to serve as a biocompatible scaffold with high conductivity on a biosensor surface. Unlike other scaffolds consisting of MWCNTs alone or TNTs alone, the MWCNT-TNT nanocomposite synergistically provides excellent biocompatibility, good electrical conductivity, low electrochemical interferences and a high signal-to-noise ratio. For comparison, after characterising a scaffold consisting of MWCNTs alone, TNTs alone and a MWCNT-TNT nanocomposite using several spectroscopic techniques, the analytical performance of a horseradish peroxidase (HRP) electrochemical biosensor was evaluated using cyclic voltammetry and differential pulse voltammetry. The scaffold consisting of MWCNTs alone displayed a high background charging current, a low signal-to-noise ratio and distinct electrochemical interference from its surface functional groups. In contrast, the direct electrochemistry and the catalytic capability of HRP at MWCNT-TNT modified biosensors towards H2O2 was demonstrated to be ~51% and ~144% enhanced, respectively, compared to those at TNT modified biosensors. Meanwhile, MWCNT-TNT nanocomposite modified HRP biosensors also exhibited higher sensitivity (4.42??AmM-1) than TNT modified HRP biosensors (1.48??AmM-1). The above superior performance was attributed to the improved properties of MWCNT-TNT nanocomposite as biosensor scaffold compared to its two individual components by complementing each component and synergistically sustaining the characteristic features of each component.", "author" : [ { "dropping-particle" : "", "family" : "Liu", "given" : "Xiaoqiang", "non-dropping-particle" : "", "parse-names" : false, "suffix" : "" }, { "dropping-particle" : "", "family" : "Yan", "given" : "Rui", "non-dropping-particle" : "", "parse-names" : false, "suffix" : "" }, { "dropping-particle" : "", "family" : "Zhang", "given" : "Jiamei", "non-dropping-particle" : "", "parse-names" : false, "suffix" : "" }, { "dropping-particle" : "", "family" : "Zhu", "given" : "Jie", "non-dropping-particle" : "", "parse-names" : false, "suffix" : "" }, { "dropping-particle" : "", "family" : "Wong", "given" : "Danny K Y", "non-dropping-particle" : "", "parse-names" : false, "suffix" : "" } ], "container-title" : "Biosensors and Bioelectronics", "id" : "ITEM-1", "issued" : { "date-parts" : [ [ "2015" ] ] }, "page" : "208-215", "publisher" : "Elsevier", "title" : "Evaluation of a carbon nanotube-titanate nanotube nanocomposite as an electrochemical biosensor scaffold", "type" : "article-journal", "volume" : "66" }, "uris" : [ "http://www.mendeley.com/documents/?uuid=7edc1ca6-3e0e-466f-ac96-775565f0b29c" ] } ], "mendeley" : { "formattedCitation" : "[8]", "plainTextFormattedCitation" : "[8]", "previouslyFormattedCitation" : "&lt;sup&gt;8&lt;/sup&gt;" }, "properties" : { "noteIndex" : 0 }, "schema" : "https://github.com/citation-style-language/schema/raw/master/csl-citation.json" }</w:instrText>
      </w:r>
      <w:r w:rsidRPr="00D8225B">
        <w:rPr>
          <w:rFonts w:ascii="Times New Roman" w:hAnsi="Times New Roman"/>
          <w:sz w:val="20"/>
          <w:szCs w:val="20"/>
        </w:rPr>
        <w:fldChar w:fldCharType="separate"/>
      </w:r>
      <w:r w:rsidRPr="00D8225B">
        <w:rPr>
          <w:rFonts w:ascii="Times New Roman" w:hAnsi="Times New Roman"/>
          <w:noProof/>
          <w:sz w:val="20"/>
          <w:szCs w:val="20"/>
        </w:rPr>
        <w:t>[8]</w:t>
      </w:r>
      <w:r w:rsidRPr="00D8225B">
        <w:rPr>
          <w:rFonts w:ascii="Times New Roman" w:hAnsi="Times New Roman"/>
          <w:sz w:val="20"/>
          <w:szCs w:val="20"/>
        </w:rPr>
        <w:fldChar w:fldCharType="end"/>
      </w:r>
      <w:r w:rsidRPr="00D8225B">
        <w:rPr>
          <w:rFonts w:ascii="Times New Roman" w:hAnsi="Times New Roman"/>
          <w:sz w:val="20"/>
          <w:szCs w:val="20"/>
        </w:rPr>
        <w:t xml:space="preserve">. </w:t>
      </w:r>
    </w:p>
    <w:p w:rsidR="00D8225B" w:rsidRPr="00D8225B" w:rsidRDefault="00D8225B" w:rsidP="00D8225B">
      <w:pPr>
        <w:spacing w:after="0" w:line="240" w:lineRule="auto"/>
        <w:jc w:val="both"/>
        <w:outlineLvl w:val="0"/>
        <w:rPr>
          <w:rFonts w:ascii="Times New Roman" w:hAnsi="Times New Roman"/>
          <w:sz w:val="20"/>
          <w:szCs w:val="20"/>
        </w:rPr>
      </w:pPr>
    </w:p>
    <w:p w:rsidR="00D8225B" w:rsidRPr="00D8225B" w:rsidRDefault="00D8225B" w:rsidP="00D8225B">
      <w:pPr>
        <w:spacing w:after="0" w:line="240" w:lineRule="auto"/>
        <w:jc w:val="both"/>
        <w:outlineLvl w:val="0"/>
        <w:rPr>
          <w:rFonts w:ascii="Times New Roman" w:hAnsi="Times New Roman"/>
          <w:sz w:val="20"/>
          <w:szCs w:val="20"/>
        </w:rPr>
      </w:pPr>
    </w:p>
    <w:tbl>
      <w:tblPr>
        <w:tblStyle w:val="TableGrid"/>
        <w:tblW w:w="0" w:type="auto"/>
        <w:jc w:val="center"/>
        <w:tblLook w:val="04A0" w:firstRow="1" w:lastRow="0" w:firstColumn="1" w:lastColumn="0" w:noHBand="0" w:noVBand="1"/>
      </w:tblPr>
      <w:tblGrid>
        <w:gridCol w:w="5587"/>
      </w:tblGrid>
      <w:tr w:rsidR="00D8225B" w:rsidRPr="00D8225B" w:rsidTr="00D8225B">
        <w:trPr>
          <w:trHeight w:val="4176"/>
          <w:jc w:val="center"/>
        </w:trPr>
        <w:tc>
          <w:tcPr>
            <w:tcW w:w="0" w:type="auto"/>
          </w:tcPr>
          <w:p w:rsidR="00D8225B" w:rsidRPr="00D8225B" w:rsidRDefault="00D8225B" w:rsidP="00D8225B">
            <w:pPr>
              <w:spacing w:after="0" w:line="240" w:lineRule="auto"/>
              <w:jc w:val="both"/>
              <w:outlineLvl w:val="0"/>
              <w:rPr>
                <w:sz w:val="20"/>
                <w:szCs w:val="20"/>
              </w:rPr>
            </w:pPr>
          </w:p>
          <w:p w:rsidR="00D8225B" w:rsidRPr="00D8225B" w:rsidRDefault="00D8225B" w:rsidP="00D8225B">
            <w:pPr>
              <w:spacing w:after="0" w:line="240" w:lineRule="auto"/>
              <w:jc w:val="center"/>
              <w:outlineLvl w:val="0"/>
              <w:rPr>
                <w:sz w:val="20"/>
                <w:szCs w:val="20"/>
              </w:rPr>
            </w:pPr>
            <w:r w:rsidRPr="00D8225B">
              <w:rPr>
                <w:rFonts w:ascii="Cambria" w:hAnsi="Cambria"/>
                <w:sz w:val="20"/>
                <w:szCs w:val="20"/>
              </w:rPr>
              <w:object w:dxaOrig="5889" w:dyaOrig="4608">
                <v:shape id="_x0000_i1033" type="#_x0000_t75" style="width:268.55pt;height:209.9pt" o:ole="">
                  <v:imagedata r:id="rId27" o:title=""/>
                </v:shape>
                <o:OLEObject Type="Embed" ProgID="Origin50.Graph" ShapeID="_x0000_i1033" DrawAspect="Content" ObjectID="_1552227254" r:id="rId28"/>
              </w:object>
            </w:r>
          </w:p>
        </w:tc>
      </w:tr>
    </w:tbl>
    <w:p w:rsidR="00D8225B" w:rsidRPr="00D8225B" w:rsidRDefault="00D8225B" w:rsidP="00D8225B">
      <w:pPr>
        <w:spacing w:after="0" w:line="240" w:lineRule="auto"/>
        <w:jc w:val="both"/>
        <w:outlineLvl w:val="0"/>
        <w:rPr>
          <w:rFonts w:ascii="Times New Roman" w:hAnsi="Times New Roman"/>
          <w:sz w:val="20"/>
          <w:szCs w:val="20"/>
        </w:rPr>
      </w:pPr>
    </w:p>
    <w:p w:rsidR="00D8225B" w:rsidRPr="00D8225B" w:rsidRDefault="00D8225B" w:rsidP="00D8225B">
      <w:pPr>
        <w:spacing w:after="0" w:line="240" w:lineRule="auto"/>
        <w:ind w:left="851" w:hanging="851"/>
        <w:jc w:val="both"/>
        <w:outlineLvl w:val="0"/>
        <w:rPr>
          <w:rFonts w:ascii="Times New Roman" w:hAnsi="Times New Roman"/>
          <w:bCs/>
          <w:iCs/>
          <w:sz w:val="20"/>
          <w:szCs w:val="20"/>
        </w:rPr>
      </w:pPr>
      <w:r w:rsidRPr="00D8225B">
        <w:rPr>
          <w:rFonts w:ascii="Times New Roman" w:hAnsi="Times New Roman"/>
          <w:bCs/>
          <w:iCs/>
          <w:sz w:val="20"/>
          <w:szCs w:val="20"/>
        </w:rPr>
        <w:t>Figure 1. XRD patterns of (a) self-synthesized MWCNT-TNT hybrid, (b) commercial MWCNTs and (c) self-synthesized TNT</w:t>
      </w:r>
    </w:p>
    <w:p w:rsidR="00D8225B" w:rsidRPr="00D8225B" w:rsidRDefault="00D8225B" w:rsidP="00D8225B">
      <w:pPr>
        <w:spacing w:after="120" w:line="240" w:lineRule="auto"/>
        <w:jc w:val="both"/>
        <w:outlineLvl w:val="0"/>
        <w:rPr>
          <w:rFonts w:ascii="Times New Roman" w:hAnsi="Times New Roman"/>
          <w:bCs/>
          <w:sz w:val="20"/>
          <w:szCs w:val="20"/>
        </w:rPr>
      </w:pPr>
    </w:p>
    <w:p w:rsidR="00D8225B" w:rsidRPr="00D8225B" w:rsidRDefault="00D8225B" w:rsidP="00D8225B">
      <w:pPr>
        <w:spacing w:after="0" w:line="240" w:lineRule="auto"/>
        <w:jc w:val="both"/>
        <w:outlineLvl w:val="0"/>
        <w:rPr>
          <w:rFonts w:ascii="Times New Roman" w:hAnsi="Times New Roman"/>
          <w:b/>
          <w:bCs/>
          <w:sz w:val="20"/>
          <w:szCs w:val="20"/>
        </w:rPr>
      </w:pPr>
      <w:r w:rsidRPr="00D8225B">
        <w:rPr>
          <w:rFonts w:ascii="Times New Roman" w:hAnsi="Times New Roman"/>
          <w:b/>
          <w:bCs/>
          <w:sz w:val="20"/>
          <w:szCs w:val="20"/>
        </w:rPr>
        <w:t>TEM analysis</w:t>
      </w:r>
    </w:p>
    <w:p w:rsidR="00D8225B" w:rsidRPr="00D8225B" w:rsidRDefault="00D8225B" w:rsidP="00D8225B">
      <w:pPr>
        <w:spacing w:after="0" w:line="240" w:lineRule="auto"/>
        <w:jc w:val="both"/>
        <w:outlineLvl w:val="0"/>
        <w:rPr>
          <w:rFonts w:ascii="Times New Roman" w:hAnsi="Times New Roman"/>
          <w:sz w:val="20"/>
          <w:szCs w:val="20"/>
        </w:rPr>
      </w:pPr>
      <w:r w:rsidRPr="00D8225B">
        <w:rPr>
          <w:rFonts w:ascii="Times New Roman" w:hAnsi="Times New Roman"/>
          <w:sz w:val="20"/>
          <w:szCs w:val="20"/>
        </w:rPr>
        <w:t xml:space="preserve">TEM images (Figure 2) clearly demonstrate the tubular structure of MWCNT-TNT hybrid which depicted the open end of MWCNTs in the MWCNT-TNT hybrid. The MWCNT have the outer diameter in the range of 16 –20 nm while 71 – 141 nm for TNT, as indicated by TEM image. In addition, there </w:t>
      </w:r>
      <w:r w:rsidRPr="00D8225B">
        <w:rPr>
          <w:rFonts w:ascii="Times New Roman" w:hAnsi="Times New Roman"/>
          <w:noProof/>
          <w:sz w:val="20"/>
          <w:szCs w:val="20"/>
        </w:rPr>
        <w:t>were</w:t>
      </w:r>
      <w:r w:rsidRPr="00D8225B">
        <w:rPr>
          <w:rFonts w:ascii="Times New Roman" w:hAnsi="Times New Roman"/>
          <w:sz w:val="20"/>
          <w:szCs w:val="20"/>
        </w:rPr>
        <w:t xml:space="preserve"> no TiO</w:t>
      </w:r>
      <w:r w:rsidRPr="00D8225B">
        <w:rPr>
          <w:rFonts w:ascii="Times New Roman" w:hAnsi="Times New Roman"/>
          <w:sz w:val="20"/>
          <w:szCs w:val="20"/>
          <w:vertAlign w:val="subscript"/>
        </w:rPr>
        <w:t>2</w:t>
      </w:r>
      <w:r w:rsidRPr="00D8225B">
        <w:rPr>
          <w:rFonts w:ascii="Times New Roman" w:hAnsi="Times New Roman"/>
          <w:sz w:val="20"/>
          <w:szCs w:val="20"/>
        </w:rPr>
        <w:t xml:space="preserve"> nanoparticles (NPs) observed in TEM image of MWCNT-TNT hybrid, confirming that TiO</w:t>
      </w:r>
      <w:r w:rsidRPr="00D8225B">
        <w:rPr>
          <w:rFonts w:ascii="Times New Roman" w:hAnsi="Times New Roman"/>
          <w:sz w:val="20"/>
          <w:szCs w:val="20"/>
          <w:vertAlign w:val="subscript"/>
        </w:rPr>
        <w:t>2</w:t>
      </w:r>
      <w:r w:rsidRPr="00D8225B">
        <w:rPr>
          <w:rFonts w:ascii="Times New Roman" w:hAnsi="Times New Roman"/>
          <w:sz w:val="20"/>
          <w:szCs w:val="20"/>
        </w:rPr>
        <w:t xml:space="preserve"> NPs was completely converted into TNTs after the hydrothermal treatment. These findings are consistent with the XRD results. Liu et al. </w:t>
      </w:r>
      <w:r w:rsidRPr="00D8225B">
        <w:rPr>
          <w:rFonts w:ascii="Times New Roman" w:hAnsi="Times New Roman"/>
          <w:sz w:val="20"/>
          <w:szCs w:val="20"/>
        </w:rPr>
        <w:fldChar w:fldCharType="begin" w:fldLock="1"/>
      </w:r>
      <w:r w:rsidRPr="00D8225B">
        <w:rPr>
          <w:rFonts w:ascii="Times New Roman" w:hAnsi="Times New Roman"/>
          <w:sz w:val="20"/>
          <w:szCs w:val="20"/>
        </w:rPr>
        <w:instrText>ADDIN CSL_CITATION { "citationItems" : [ { "id" : "ITEM-1", "itemData" : { "DOI" : "10.1016/j.bios.2014.11.028", "ISBN" : "0956-5663", "ISSN" : "18734235", "abstract" : "A significant aspect of this work is the development of a multi-wall carbon nanotube (MWCNT)-titanate nanotube (TNT) nanocomposite to serve as a biocompatible scaffold with high conductivity on a biosensor surface. Unlike other scaffolds consisting of MWCNTs alone or TNTs alone, the MWCNT-TNT nanocomposite synergistically provides excellent biocompatibility, good electrical conductivity, low electrochemical interferences and a high signal-to-noise ratio. For comparison, after characterising a scaffold consisting of MWCNTs alone, TNTs alone and a MWCNT-TNT nanocomposite using several spectroscopic techniques, the analytical performance of a horseradish peroxidase (HRP) electrochemical biosensor was evaluated using cyclic voltammetry and differential pulse voltammetry. The scaffold consisting of MWCNTs alone displayed a high background charging current, a low signal-to-noise ratio and distinct electrochemical interference from its surface functional groups. In contrast, the direct electrochemistry and the catalytic capability of HRP at MWCNT-TNT modified biosensors towards H2O2 was demonstrated to be ~51% and ~144% enhanced, respectively, compared to those at TNT modified biosensors. Meanwhile, MWCNT-TNT nanocomposite modified HRP biosensors also exhibited higher sensitivity (4.42??AmM-1) than TNT modified HRP biosensors (1.48??AmM-1). The above superior performance was attributed to the improved properties of MWCNT-TNT nanocomposite as biosensor scaffold compared to its two individual components by complementing each component and synergistically sustaining the characteristic features of each component.", "author" : [ { "dropping-particle" : "", "family" : "Liu", "given" : "Xiaoqiang", "non-dropping-particle" : "", "parse-names" : false, "suffix" : "" }, { "dropping-particle" : "", "family" : "Yan", "given" : "Rui", "non-dropping-particle" : "", "parse-names" : false, "suffix" : "" }, { "dropping-particle" : "", "family" : "Zhang", "given" : "Jiamei", "non-dropping-particle" : "", "parse-names" : false, "suffix" : "" }, { "dropping-particle" : "", "family" : "Zhu", "given" : "Jie", "non-dropping-particle" : "", "parse-names" : false, "suffix" : "" }, { "dropping-particle" : "", "family" : "Wong", "given" : "Danny K Y", "non-dropping-particle" : "", "parse-names" : false, "suffix" : "" } ], "container-title" : "Biosensors and Bioelectronics", "id" : "ITEM-1", "issued" : { "date-parts" : [ [ "2015" ] ] }, "page" : "208-215", "publisher" : "Elsevier", "title" : "Evaluation of a carbon nanotube-titanate nanotube nanocomposite as an electrochemical biosensor scaffold", "type" : "article-journal", "volume" : "66" }, "uris" : [ "http://www.mendeley.com/documents/?uuid=7edc1ca6-3e0e-466f-ac96-775565f0b29c" ] } ], "mendeley" : { "formattedCitation" : "[8]", "plainTextFormattedCitation" : "[8]", "previouslyFormattedCitation" : "&lt;sup&gt;8&lt;/sup&gt;" }, "properties" : { "noteIndex" : 0 }, "schema" : "https://github.com/citation-style-language/schema/raw/master/csl-citation.json" }</w:instrText>
      </w:r>
      <w:r w:rsidRPr="00D8225B">
        <w:rPr>
          <w:rFonts w:ascii="Times New Roman" w:hAnsi="Times New Roman"/>
          <w:sz w:val="20"/>
          <w:szCs w:val="20"/>
        </w:rPr>
        <w:fldChar w:fldCharType="separate"/>
      </w:r>
      <w:r w:rsidRPr="00D8225B">
        <w:rPr>
          <w:rFonts w:ascii="Times New Roman" w:hAnsi="Times New Roman"/>
          <w:noProof/>
          <w:sz w:val="20"/>
          <w:szCs w:val="20"/>
        </w:rPr>
        <w:t>[8]</w:t>
      </w:r>
      <w:r w:rsidRPr="00D8225B">
        <w:rPr>
          <w:rFonts w:ascii="Times New Roman" w:hAnsi="Times New Roman"/>
          <w:sz w:val="20"/>
          <w:szCs w:val="20"/>
        </w:rPr>
        <w:fldChar w:fldCharType="end"/>
      </w:r>
      <w:r w:rsidRPr="00D8225B">
        <w:rPr>
          <w:rFonts w:ascii="Times New Roman" w:hAnsi="Times New Roman"/>
          <w:sz w:val="20"/>
          <w:szCs w:val="20"/>
        </w:rPr>
        <w:t xml:space="preserve">,who applied the same hydrothermal method for the synthesized of MWCNT-TNT hybrid indicated the </w:t>
      </w:r>
      <w:r w:rsidRPr="00D8225B">
        <w:rPr>
          <w:rFonts w:ascii="Times New Roman" w:hAnsi="Times New Roman"/>
          <w:noProof/>
          <w:sz w:val="20"/>
          <w:szCs w:val="20"/>
        </w:rPr>
        <w:t>homogeneous</w:t>
      </w:r>
      <w:r w:rsidRPr="00D8225B">
        <w:rPr>
          <w:rFonts w:ascii="Times New Roman" w:hAnsi="Times New Roman"/>
          <w:sz w:val="20"/>
          <w:szCs w:val="20"/>
        </w:rPr>
        <w:t xml:space="preserve"> mixture of nanotube was difficult to be achieved through the </w:t>
      </w:r>
      <w:r w:rsidRPr="00D8225B">
        <w:rPr>
          <w:rFonts w:ascii="Times New Roman" w:hAnsi="Times New Roman"/>
          <w:noProof/>
          <w:sz w:val="20"/>
          <w:szCs w:val="20"/>
        </w:rPr>
        <w:t>simple</w:t>
      </w:r>
      <w:r w:rsidRPr="00D8225B">
        <w:rPr>
          <w:rFonts w:ascii="Times New Roman" w:hAnsi="Times New Roman"/>
          <w:sz w:val="20"/>
          <w:szCs w:val="20"/>
        </w:rPr>
        <w:t xml:space="preserve"> mechanical mixing.  </w:t>
      </w:r>
    </w:p>
    <w:p w:rsidR="00D8225B" w:rsidRPr="00D8225B" w:rsidRDefault="00D8225B" w:rsidP="00D8225B">
      <w:pPr>
        <w:spacing w:after="120" w:line="240" w:lineRule="auto"/>
        <w:jc w:val="both"/>
        <w:outlineLvl w:val="0"/>
        <w:rPr>
          <w:rFonts w:ascii="Times New Roman" w:hAnsi="Times New Roman"/>
          <w:sz w:val="20"/>
          <w:szCs w:val="20"/>
        </w:rPr>
      </w:pPr>
    </w:p>
    <w:p w:rsidR="00D8225B" w:rsidRPr="00D8225B" w:rsidRDefault="00D8225B" w:rsidP="00D8225B">
      <w:pPr>
        <w:spacing w:after="0" w:line="240" w:lineRule="auto"/>
        <w:jc w:val="center"/>
        <w:outlineLvl w:val="0"/>
        <w:rPr>
          <w:rFonts w:ascii="Times New Roman" w:hAnsi="Times New Roman"/>
          <w:bCs/>
          <w:iCs/>
          <w:sz w:val="20"/>
          <w:szCs w:val="20"/>
        </w:rPr>
      </w:pPr>
      <w:r w:rsidRPr="00D8225B">
        <w:rPr>
          <w:rFonts w:ascii="Times New Roman" w:hAnsi="Times New Roman"/>
          <w:bCs/>
          <w:iCs/>
          <w:noProof/>
          <w:sz w:val="20"/>
          <w:szCs w:val="20"/>
          <w:lang w:bidi="ar-SA"/>
        </w:rPr>
        <w:drawing>
          <wp:inline distT="0" distB="0" distL="0" distR="0" wp14:anchorId="75591A40" wp14:editId="76510601">
            <wp:extent cx="2704026" cy="2103120"/>
            <wp:effectExtent l="0" t="0" r="1270" b="0"/>
            <wp:docPr id="2" name="Picture 2" descr="C:\Users\User\Desktop\Analysis result May\TEM\TEM result CNT-TIO2\TEM 6\6-5-1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User\Desktop\Analysis result May\TEM\TEM result CNT-TIO2\TEM 6\6-5-13.t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04026" cy="2103120"/>
                    </a:xfrm>
                    <a:prstGeom prst="rect">
                      <a:avLst/>
                    </a:prstGeom>
                    <a:noFill/>
                    <a:ln>
                      <a:noFill/>
                    </a:ln>
                  </pic:spPr>
                </pic:pic>
              </a:graphicData>
            </a:graphic>
          </wp:inline>
        </w:drawing>
      </w:r>
    </w:p>
    <w:p w:rsidR="00D8225B" w:rsidRPr="00D8225B" w:rsidRDefault="00D8225B" w:rsidP="00D8225B">
      <w:pPr>
        <w:spacing w:before="120" w:after="0" w:line="240" w:lineRule="auto"/>
        <w:jc w:val="center"/>
        <w:outlineLvl w:val="0"/>
        <w:rPr>
          <w:rFonts w:ascii="Times New Roman" w:hAnsi="Times New Roman"/>
          <w:bCs/>
          <w:iCs/>
          <w:sz w:val="20"/>
          <w:szCs w:val="20"/>
        </w:rPr>
      </w:pPr>
      <w:r w:rsidRPr="00D8225B">
        <w:rPr>
          <w:rFonts w:ascii="Times New Roman" w:hAnsi="Times New Roman"/>
          <w:bCs/>
          <w:iCs/>
          <w:sz w:val="20"/>
          <w:szCs w:val="20"/>
        </w:rPr>
        <w:t xml:space="preserve">Figure 2. </w:t>
      </w:r>
      <w:r>
        <w:rPr>
          <w:rFonts w:ascii="Times New Roman" w:hAnsi="Times New Roman"/>
          <w:bCs/>
          <w:iCs/>
          <w:sz w:val="20"/>
          <w:szCs w:val="20"/>
        </w:rPr>
        <w:t xml:space="preserve"> </w:t>
      </w:r>
      <w:r w:rsidRPr="00D8225B">
        <w:rPr>
          <w:rFonts w:ascii="Times New Roman" w:hAnsi="Times New Roman"/>
          <w:bCs/>
          <w:iCs/>
          <w:sz w:val="20"/>
          <w:szCs w:val="20"/>
        </w:rPr>
        <w:t>TEM image (magnification: 40K) of MWCNT-TNT hybrid</w:t>
      </w:r>
    </w:p>
    <w:p w:rsidR="00D8225B" w:rsidRPr="00D8225B" w:rsidRDefault="00D8225B" w:rsidP="00D8225B">
      <w:pPr>
        <w:spacing w:after="0" w:line="240" w:lineRule="auto"/>
        <w:jc w:val="both"/>
        <w:outlineLvl w:val="0"/>
        <w:rPr>
          <w:rFonts w:ascii="Times New Roman" w:hAnsi="Times New Roman"/>
          <w:b/>
          <w:iCs/>
          <w:sz w:val="20"/>
          <w:szCs w:val="20"/>
        </w:rPr>
      </w:pPr>
      <w:r w:rsidRPr="00D8225B">
        <w:rPr>
          <w:rFonts w:ascii="Times New Roman" w:hAnsi="Times New Roman"/>
          <w:b/>
          <w:iCs/>
          <w:sz w:val="20"/>
          <w:szCs w:val="20"/>
        </w:rPr>
        <w:lastRenderedPageBreak/>
        <w:t>Membrane performance</w:t>
      </w:r>
    </w:p>
    <w:p w:rsidR="00D8225B" w:rsidRDefault="00D8225B" w:rsidP="00D8225B">
      <w:pPr>
        <w:spacing w:after="0" w:line="240" w:lineRule="auto"/>
        <w:jc w:val="both"/>
        <w:outlineLvl w:val="0"/>
        <w:rPr>
          <w:rFonts w:ascii="Times New Roman" w:hAnsi="Times New Roman"/>
          <w:bCs/>
          <w:sz w:val="20"/>
          <w:szCs w:val="20"/>
        </w:rPr>
      </w:pPr>
      <w:r w:rsidRPr="00D8225B">
        <w:rPr>
          <w:rFonts w:ascii="Times New Roman" w:hAnsi="Times New Roman"/>
          <w:bCs/>
          <w:iCs/>
          <w:sz w:val="20"/>
          <w:szCs w:val="20"/>
        </w:rPr>
        <w:t xml:space="preserve">Water permeability and NaCl rejection were evaluated for the membrane performance to determine the effect of the addition of MWCNT-TNT hybrid as nanofiller in polyamide layer of composite membrane. It was observed (Figure 3) that the water permeability of TFC membrane was </w:t>
      </w:r>
      <w:r w:rsidRPr="00D8225B">
        <w:rPr>
          <w:rFonts w:ascii="Times New Roman" w:hAnsi="Times New Roman"/>
          <w:bCs/>
          <w:iCs/>
          <w:noProof/>
          <w:sz w:val="20"/>
          <w:szCs w:val="20"/>
        </w:rPr>
        <w:t>increased</w:t>
      </w:r>
      <w:r w:rsidRPr="00D8225B">
        <w:rPr>
          <w:rFonts w:ascii="Times New Roman" w:hAnsi="Times New Roman"/>
          <w:bCs/>
          <w:iCs/>
          <w:sz w:val="20"/>
          <w:szCs w:val="20"/>
        </w:rPr>
        <w:t xml:space="preserve"> from 0.54 to 2.25 L/m</w:t>
      </w:r>
      <w:r w:rsidRPr="00D8225B">
        <w:rPr>
          <w:rFonts w:ascii="Times New Roman" w:hAnsi="Times New Roman"/>
          <w:bCs/>
          <w:iCs/>
          <w:sz w:val="20"/>
          <w:szCs w:val="20"/>
          <w:vertAlign w:val="superscript"/>
        </w:rPr>
        <w:t>2</w:t>
      </w:r>
      <w:r w:rsidRPr="00D8225B">
        <w:rPr>
          <w:rFonts w:ascii="Times New Roman" w:hAnsi="Times New Roman"/>
          <w:bCs/>
          <w:iCs/>
          <w:sz w:val="20"/>
          <w:szCs w:val="20"/>
        </w:rPr>
        <w:t xml:space="preserve"> h bar when </w:t>
      </w:r>
      <w:r w:rsidRPr="00D8225B">
        <w:rPr>
          <w:rFonts w:ascii="Times New Roman" w:hAnsi="Times New Roman"/>
          <w:bCs/>
          <w:iCs/>
          <w:noProof/>
          <w:sz w:val="20"/>
          <w:szCs w:val="20"/>
        </w:rPr>
        <w:t>piperazine</w:t>
      </w:r>
      <w:r w:rsidRPr="00D8225B">
        <w:rPr>
          <w:rFonts w:ascii="Times New Roman" w:hAnsi="Times New Roman"/>
          <w:bCs/>
          <w:iCs/>
          <w:sz w:val="20"/>
          <w:szCs w:val="20"/>
        </w:rPr>
        <w:t xml:space="preserve"> as a co-monomer was used in polyamide selective layer (TFC B). </w:t>
      </w:r>
      <w:r w:rsidRPr="00D8225B">
        <w:rPr>
          <w:rFonts w:ascii="Times New Roman" w:hAnsi="Times New Roman"/>
          <w:bCs/>
          <w:sz w:val="20"/>
          <w:szCs w:val="20"/>
        </w:rPr>
        <w:t xml:space="preserve">The transport property that includes flux and rejection of nanofiltration membranes were greatly </w:t>
      </w:r>
      <w:r w:rsidRPr="00D8225B">
        <w:rPr>
          <w:rFonts w:ascii="Times New Roman" w:hAnsi="Times New Roman"/>
          <w:bCs/>
          <w:noProof/>
          <w:sz w:val="20"/>
          <w:szCs w:val="20"/>
        </w:rPr>
        <w:t>influenced</w:t>
      </w:r>
      <w:r w:rsidRPr="00D8225B">
        <w:rPr>
          <w:rFonts w:ascii="Times New Roman" w:hAnsi="Times New Roman"/>
          <w:bCs/>
          <w:sz w:val="20"/>
          <w:szCs w:val="20"/>
        </w:rPr>
        <w:t xml:space="preserve"> by monomer type during polyamide layer formation which in accordance with that reported Saha and Joshi </w:t>
      </w:r>
      <w:r w:rsidRPr="00D8225B">
        <w:rPr>
          <w:rFonts w:ascii="Times New Roman" w:hAnsi="Times New Roman"/>
          <w:bCs/>
          <w:sz w:val="20"/>
          <w:szCs w:val="20"/>
        </w:rPr>
        <w:fldChar w:fldCharType="begin" w:fldLock="1"/>
      </w:r>
      <w:r w:rsidRPr="00D8225B">
        <w:rPr>
          <w:rFonts w:ascii="Times New Roman" w:hAnsi="Times New Roman"/>
          <w:bCs/>
          <w:sz w:val="20"/>
          <w:szCs w:val="20"/>
        </w:rPr>
        <w:instrText>ADDIN CSL_CITATION { "citationItems" : [ { "id" : "ITEM-1", "itemData" : { "DOI" : "10.1016/j.memsci.2009.06.025", "ISBN" : "0376-7388", "ISSN" : "03767388", "PMID" : "33", "abstract" : "This work investigated the effect of variation in polyamide structure of thin film composite nanofiltration membranes resulting from variation in monomers on flux and rejection properties. Membranes from various combinations of monomers have been prepared including mixture of diamines or acid chlorides. The physicochemical characteristics of the membranes thus obtained were determined by infra-red spectroscopy, SEM, AFM, contact angle measurement and molecular model analysis. Attempts have been made to correlate the observed flux and rejection properties of the membranes with their physicochemical properties. It has been observed that polyamide structure influences flux and rejection of membranes to a great extent. ?? 2009 Elsevier B.V. All rights reserved.", "author" : [ { "dropping-particle" : "", "family" : "Saha", "given" : "N. K.", "non-dropping-particle" : "", "parse-names" : false, "suffix" : "" }, { "dropping-particle" : "V.", "family" : "Joshi", "given" : "S.", "non-dropping-particle" : "", "parse-names" : false, "suffix" : "" } ], "container-title" : "Journal of Membrane Science", "id" : "ITEM-1", "issue" : "1-2", "issued" : { "date-parts" : [ [ "2009" ] ] }, "page" : "60-69", "title" : "Performance evaluation of thin film composite polyamide nanofiltration membrane with variation in monomer type", "type" : "article-journal", "volume" : "342" }, "uris" : [ "http://www.mendeley.com/documents/?uuid=28a58260-2261-4101-b802-6657bc958773" ] } ], "mendeley" : { "formattedCitation" : "[9]", "plainTextFormattedCitation" : "[9]", "previouslyFormattedCitation" : "&lt;sup&gt;9&lt;/sup&gt;" }, "properties" : { "noteIndex" : 0 }, "schema" : "https://github.com/citation-style-language/schema/raw/master/csl-citation.json" }</w:instrText>
      </w:r>
      <w:r w:rsidRPr="00D8225B">
        <w:rPr>
          <w:rFonts w:ascii="Times New Roman" w:hAnsi="Times New Roman"/>
          <w:bCs/>
          <w:sz w:val="20"/>
          <w:szCs w:val="20"/>
        </w:rPr>
        <w:fldChar w:fldCharType="separate"/>
      </w:r>
      <w:r w:rsidRPr="00D8225B">
        <w:rPr>
          <w:rFonts w:ascii="Times New Roman" w:hAnsi="Times New Roman"/>
          <w:bCs/>
          <w:noProof/>
          <w:sz w:val="20"/>
          <w:szCs w:val="20"/>
        </w:rPr>
        <w:t>[9]</w:t>
      </w:r>
      <w:r w:rsidRPr="00D8225B">
        <w:rPr>
          <w:rFonts w:ascii="Times New Roman" w:hAnsi="Times New Roman"/>
          <w:bCs/>
          <w:sz w:val="20"/>
          <w:szCs w:val="20"/>
        </w:rPr>
        <w:fldChar w:fldCharType="end"/>
      </w:r>
      <w:r w:rsidRPr="00D8225B">
        <w:rPr>
          <w:rFonts w:ascii="Times New Roman" w:hAnsi="Times New Roman"/>
          <w:bCs/>
          <w:sz w:val="20"/>
          <w:szCs w:val="20"/>
        </w:rPr>
        <w:t xml:space="preserve">.  It was also believed that the addition of </w:t>
      </w:r>
      <w:r w:rsidRPr="00D8225B">
        <w:rPr>
          <w:rFonts w:ascii="Times New Roman" w:hAnsi="Times New Roman"/>
          <w:bCs/>
          <w:noProof/>
          <w:sz w:val="20"/>
          <w:szCs w:val="20"/>
        </w:rPr>
        <w:t>piperazine</w:t>
      </w:r>
      <w:r w:rsidRPr="00D8225B">
        <w:rPr>
          <w:rFonts w:ascii="Times New Roman" w:hAnsi="Times New Roman"/>
          <w:bCs/>
          <w:sz w:val="20"/>
          <w:szCs w:val="20"/>
        </w:rPr>
        <w:t xml:space="preserve"> into PA layer will disturb the restricted chain flexibility of MPD-TMC PA, resulting in high water permeability in TFC B </w:t>
      </w:r>
      <w:r w:rsidRPr="00D8225B">
        <w:rPr>
          <w:rFonts w:ascii="Times New Roman" w:hAnsi="Times New Roman"/>
          <w:bCs/>
          <w:sz w:val="20"/>
          <w:szCs w:val="20"/>
        </w:rPr>
        <w:fldChar w:fldCharType="begin" w:fldLock="1"/>
      </w:r>
      <w:r w:rsidRPr="00D8225B">
        <w:rPr>
          <w:rFonts w:ascii="Times New Roman" w:hAnsi="Times New Roman"/>
          <w:bCs/>
          <w:sz w:val="20"/>
          <w:szCs w:val="20"/>
        </w:rPr>
        <w:instrText>ADDIN CSL_CITATION { "citationItems" : [ { "id" : "ITEM-1", "itemData" : { "DOI" : "10.1016/j.memsci.2009.06.025", "ISBN" : "0376-7388", "ISSN" : "03767388", "PMID" : "33", "abstract" : "This work investigated the effect of variation in polyamide structure of thin film composite nanofiltration membranes resulting from variation in monomers on flux and rejection properties. Membranes from various combinations of monomers have been prepared including mixture of diamines or acid chlorides. The physicochemical characteristics of the membranes thus obtained were determined by infra-red spectroscopy, SEM, AFM, contact angle measurement and molecular model analysis. Attempts have been made to correlate the observed flux and rejection properties of the membranes with their physicochemical properties. It has been observed that polyamide structure influences flux and rejection of membranes to a great extent. ?? 2009 Elsevier B.V. All rights reserved.", "author" : [ { "dropping-particle" : "", "family" : "Saha", "given" : "N. K.", "non-dropping-particle" : "", "parse-names" : false, "suffix" : "" }, { "dropping-particle" : "V.", "family" : "Joshi", "given" : "S.", "non-dropping-particle" : "", "parse-names" : false, "suffix" : "" } ], "container-title" : "Journal of Membrane Science", "id" : "ITEM-1", "issue" : "1-2", "issued" : { "date-parts" : [ [ "2009" ] ] }, "page" : "60-69", "title" : "Performance evaluation of thin film composite polyamide nanofiltration membrane with variation in monomer type", "type" : "article-journal", "volume" : "342" }, "uris" : [ "http://www.mendeley.com/documents/?uuid=28a58260-2261-4101-b802-6657bc958773" ] } ], "mendeley" : { "formattedCitation" : "[9]", "plainTextFormattedCitation" : "[9]", "previouslyFormattedCitation" : "&lt;sup&gt;9&lt;/sup&gt;" }, "properties" : { "noteIndex" : 0 }, "schema" : "https://github.com/citation-style-language/schema/raw/master/csl-citation.json" }</w:instrText>
      </w:r>
      <w:r w:rsidRPr="00D8225B">
        <w:rPr>
          <w:rFonts w:ascii="Times New Roman" w:hAnsi="Times New Roman"/>
          <w:bCs/>
          <w:sz w:val="20"/>
          <w:szCs w:val="20"/>
        </w:rPr>
        <w:fldChar w:fldCharType="separate"/>
      </w:r>
      <w:r w:rsidRPr="00D8225B">
        <w:rPr>
          <w:rFonts w:ascii="Times New Roman" w:hAnsi="Times New Roman"/>
          <w:bCs/>
          <w:noProof/>
          <w:sz w:val="20"/>
          <w:szCs w:val="20"/>
        </w:rPr>
        <w:t>[9]</w:t>
      </w:r>
      <w:r w:rsidRPr="00D8225B">
        <w:rPr>
          <w:rFonts w:ascii="Times New Roman" w:hAnsi="Times New Roman"/>
          <w:bCs/>
          <w:sz w:val="20"/>
          <w:szCs w:val="20"/>
        </w:rPr>
        <w:fldChar w:fldCharType="end"/>
      </w:r>
      <w:r w:rsidRPr="00D8225B">
        <w:rPr>
          <w:rFonts w:ascii="Times New Roman" w:hAnsi="Times New Roman"/>
          <w:bCs/>
          <w:sz w:val="20"/>
          <w:szCs w:val="20"/>
        </w:rPr>
        <w:t>.</w:t>
      </w:r>
    </w:p>
    <w:p w:rsidR="00D8225B" w:rsidRPr="00D8225B" w:rsidRDefault="00D8225B" w:rsidP="00D8225B">
      <w:pPr>
        <w:spacing w:after="0" w:line="240" w:lineRule="auto"/>
        <w:jc w:val="both"/>
        <w:outlineLvl w:val="0"/>
        <w:rPr>
          <w:rFonts w:ascii="Times New Roman" w:hAnsi="Times New Roman"/>
          <w:bCs/>
          <w:iCs/>
          <w:sz w:val="20"/>
          <w:szCs w:val="20"/>
        </w:rPr>
      </w:pPr>
    </w:p>
    <w:p w:rsidR="00D8225B" w:rsidRPr="00D8225B" w:rsidRDefault="00D8225B" w:rsidP="00D8225B">
      <w:pPr>
        <w:spacing w:after="0" w:line="240" w:lineRule="auto"/>
        <w:jc w:val="both"/>
        <w:outlineLvl w:val="0"/>
        <w:rPr>
          <w:rFonts w:ascii="Times New Roman" w:hAnsi="Times New Roman"/>
          <w:b/>
          <w:iCs/>
          <w:sz w:val="20"/>
          <w:szCs w:val="20"/>
        </w:rPr>
      </w:pPr>
      <w:r w:rsidRPr="00D8225B">
        <w:rPr>
          <w:rFonts w:ascii="Times New Roman" w:hAnsi="Times New Roman"/>
          <w:noProof/>
          <w:sz w:val="20"/>
          <w:szCs w:val="20"/>
          <w:lang w:bidi="ar-SA"/>
        </w:rPr>
        <w:drawing>
          <wp:anchor distT="0" distB="0" distL="114300" distR="114300" simplePos="0" relativeHeight="251660800" behindDoc="0" locked="0" layoutInCell="1" allowOverlap="1" wp14:anchorId="1D603ED7" wp14:editId="105775EE">
            <wp:simplePos x="0" y="0"/>
            <wp:positionH relativeFrom="margin">
              <wp:posOffset>191135</wp:posOffset>
            </wp:positionH>
            <wp:positionV relativeFrom="paragraph">
              <wp:posOffset>136525</wp:posOffset>
            </wp:positionV>
            <wp:extent cx="5518150" cy="2228850"/>
            <wp:effectExtent l="0" t="0" r="25400" b="1905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D8225B" w:rsidRPr="00D8225B" w:rsidRDefault="00D8225B" w:rsidP="00D8225B">
      <w:pPr>
        <w:spacing w:after="0" w:line="240" w:lineRule="auto"/>
        <w:ind w:left="900" w:hanging="900"/>
        <w:jc w:val="both"/>
        <w:outlineLvl w:val="0"/>
        <w:rPr>
          <w:rFonts w:ascii="Times New Roman" w:hAnsi="Times New Roman"/>
          <w:bCs/>
          <w:sz w:val="20"/>
          <w:szCs w:val="20"/>
        </w:rPr>
      </w:pPr>
      <w:r w:rsidRPr="00D8225B">
        <w:rPr>
          <w:rFonts w:ascii="Times New Roman" w:hAnsi="Times New Roman"/>
          <w:bCs/>
          <w:sz w:val="20"/>
          <w:szCs w:val="20"/>
        </w:rPr>
        <w:t xml:space="preserve">Figure 3. </w:t>
      </w:r>
      <w:r>
        <w:rPr>
          <w:rFonts w:ascii="Times New Roman" w:hAnsi="Times New Roman"/>
          <w:bCs/>
          <w:sz w:val="20"/>
          <w:szCs w:val="20"/>
        </w:rPr>
        <w:tab/>
      </w:r>
      <w:r w:rsidRPr="00D8225B">
        <w:rPr>
          <w:rFonts w:ascii="Times New Roman" w:hAnsi="Times New Roman"/>
          <w:bCs/>
          <w:sz w:val="20"/>
          <w:szCs w:val="20"/>
        </w:rPr>
        <w:t xml:space="preserve">Water permeability and NaCl separation of thin film composite membranes (TFC) of TFC A [MPD (1.5wt) / TMC (0.05wt)] and TFC B [MPD (1.13wt)-PIP (0.37wt) / TMC (0.05wt)]. (Test conditions: 15 bar, 25 </w:t>
      </w:r>
      <w:r w:rsidRPr="00D8225B">
        <w:rPr>
          <w:rFonts w:ascii="Times New Roman" w:hAnsi="Times New Roman"/>
          <w:bCs/>
          <w:sz w:val="20"/>
          <w:szCs w:val="20"/>
          <w:vertAlign w:val="superscript"/>
        </w:rPr>
        <w:t>o</w:t>
      </w:r>
      <w:r w:rsidRPr="00D8225B">
        <w:rPr>
          <w:rFonts w:ascii="Times New Roman" w:hAnsi="Times New Roman"/>
          <w:bCs/>
          <w:sz w:val="20"/>
          <w:szCs w:val="20"/>
        </w:rPr>
        <w:t>C, 2000 ppm NaCl aqueous solution)</w:t>
      </w:r>
    </w:p>
    <w:p w:rsidR="00D8225B" w:rsidRPr="00D8225B" w:rsidRDefault="00D8225B" w:rsidP="00D8225B">
      <w:pPr>
        <w:spacing w:after="0" w:line="240" w:lineRule="auto"/>
        <w:ind w:left="851" w:hanging="851"/>
        <w:jc w:val="both"/>
        <w:outlineLvl w:val="0"/>
        <w:rPr>
          <w:rFonts w:ascii="Times New Roman" w:hAnsi="Times New Roman"/>
          <w:bCs/>
          <w:sz w:val="20"/>
          <w:szCs w:val="20"/>
        </w:rPr>
      </w:pPr>
    </w:p>
    <w:p w:rsidR="00D8225B" w:rsidRPr="00D8225B" w:rsidRDefault="00D8225B" w:rsidP="00D8225B">
      <w:pPr>
        <w:spacing w:after="0" w:line="240" w:lineRule="auto"/>
        <w:jc w:val="both"/>
        <w:outlineLvl w:val="0"/>
        <w:rPr>
          <w:rFonts w:ascii="Times New Roman" w:hAnsi="Times New Roman"/>
          <w:bCs/>
          <w:sz w:val="20"/>
          <w:szCs w:val="20"/>
        </w:rPr>
      </w:pPr>
    </w:p>
    <w:p w:rsidR="00D8225B" w:rsidRPr="00D8225B" w:rsidRDefault="00D8225B" w:rsidP="00D8225B">
      <w:pPr>
        <w:spacing w:after="0" w:line="240" w:lineRule="auto"/>
        <w:jc w:val="both"/>
        <w:outlineLvl w:val="0"/>
        <w:rPr>
          <w:rFonts w:ascii="Times New Roman" w:hAnsi="Times New Roman"/>
          <w:bCs/>
          <w:iCs/>
          <w:sz w:val="20"/>
          <w:szCs w:val="20"/>
        </w:rPr>
      </w:pPr>
      <w:r w:rsidRPr="00D8225B">
        <w:rPr>
          <w:rFonts w:ascii="Times New Roman" w:hAnsi="Times New Roman"/>
          <w:bCs/>
          <w:iCs/>
          <w:sz w:val="20"/>
          <w:szCs w:val="20"/>
        </w:rPr>
        <w:t xml:space="preserve">However, the sharp increase in water permeability deteriorating the NaCl rejection from 86.48% to 47.45%. This observation is in agreement with that of reported by Wu et al. </w:t>
      </w:r>
      <w:r w:rsidRPr="00D8225B">
        <w:rPr>
          <w:rFonts w:ascii="Times New Roman" w:hAnsi="Times New Roman"/>
          <w:bCs/>
          <w:iCs/>
          <w:sz w:val="20"/>
          <w:szCs w:val="20"/>
        </w:rPr>
        <w:fldChar w:fldCharType="begin" w:fldLock="1"/>
      </w:r>
      <w:r w:rsidRPr="00D8225B">
        <w:rPr>
          <w:rFonts w:ascii="Times New Roman" w:hAnsi="Times New Roman"/>
          <w:bCs/>
          <w:iCs/>
          <w:sz w:val="20"/>
          <w:szCs w:val="20"/>
        </w:rPr>
        <w:instrText>ADDIN CSL_CITATION { "citationItems" : [ { "id" : "ITEM-1", "itemData" : { "DOI" : "10.1016/j.reactfunctpolym.2014.08.009", "ISBN" : "1381-5148", "ISSN" : "13815148", "abstract" : "Thin film composite (TFC) nanofiltration membranes were fabricated by interfacial polymerization using polymeric amine polyethylenimine (PEI) and monomeric amine piperazine (PIP) as the amine reactant. Membranes with a single-ply polyamide layer were produced by reacting trimesoyl chloride (TMC) with mixed amines of PEI and PIP, and incorporation of a small amount of PIP in PEI was found to increase the permeation flux effectively while still maintaining a good solute rejection. For instance, adding 10 wt% PIP in the amine reactant solution resulted in a 6-fold increase in permeation flux, while a 91.6% MgCl2 rejection was maintained. In addition, 2-ply polyamide membranes were also prepared by two cycles of PEI-TMC and PIP-TMC interfacial reactions separately, and they showed a higher rejection than the single-ply polyamide membrane. At a low PIP/PEI concentration ratio, the single-ply polyamide membranes formed with mixed amines of PIP and PEI tended to be more permeable than the 2-ply polyamide membranes. However, it was demonstrated that by properly controlling the PIP/PEI concentration ratio, the 2-ply polyamide membranes with both a higher permeation flux and salt rejection than conventional single-ply polyamide membranes could be produced. The resulting membranes were characterized for chemical composition, surface hydrophilicity, surface charge and morphology of the polyamide skin layer.", "author" : [ { "dropping-particle" : "", "family" : "Wu", "given" : "Dihua", "non-dropping-particle" : "", "parse-names" : false, "suffix" : "" }, { "dropping-particle" : "", "family" : "Yu", "given" : "Sanchuan", "non-dropping-particle" : "", "parse-names" : false, "suffix" : "" }, { "dropping-particle" : "", "family" : "Lawless", "given" : "Darren", "non-dropping-particle" : "", "parse-names" : false, "suffix" : "" }, { "dropping-particle" : "", "family" : "Feng", "given" : "Xianshe", "non-dropping-particle" : "", "parse-names" : false, "suffix" : "" } ], "container-title" : "Reactive and Functional Polymers", "id" : "ITEM-1", "issued" : { "date-parts" : [ [ "2015" ] ] }, "page" : "168-183", "publisher" : "Elsevier B.V.", "title" : "Thin film composite nanofiltration membranes fabricated from polymeric amine polyethylenimine imbedded with monomeric amine piperazine for enhanced salt separations", "type" : "article-journal", "volume" : "86" }, "uris" : [ "http://www.mendeley.com/documents/?uuid=13ead46d-99cd-4df0-921f-a06615dfa805" ] } ], "mendeley" : { "formattedCitation" : "[1]", "plainTextFormattedCitation" : "[1]", "previouslyFormattedCitation" : "&lt;sup&gt;1&lt;/sup&gt;" }, "properties" : { "noteIndex" : 0 }, "schema" : "https://github.com/citation-style-language/schema/raw/master/csl-citation.json" }</w:instrText>
      </w:r>
      <w:r w:rsidRPr="00D8225B">
        <w:rPr>
          <w:rFonts w:ascii="Times New Roman" w:hAnsi="Times New Roman"/>
          <w:bCs/>
          <w:iCs/>
          <w:sz w:val="20"/>
          <w:szCs w:val="20"/>
        </w:rPr>
        <w:fldChar w:fldCharType="separate"/>
      </w:r>
      <w:r w:rsidRPr="00D8225B">
        <w:rPr>
          <w:rFonts w:ascii="Times New Roman" w:hAnsi="Times New Roman"/>
          <w:bCs/>
          <w:iCs/>
          <w:noProof/>
          <w:sz w:val="20"/>
          <w:szCs w:val="20"/>
        </w:rPr>
        <w:t>[1]</w:t>
      </w:r>
      <w:r w:rsidRPr="00D8225B">
        <w:rPr>
          <w:rFonts w:ascii="Times New Roman" w:hAnsi="Times New Roman"/>
          <w:bCs/>
          <w:iCs/>
          <w:sz w:val="20"/>
          <w:szCs w:val="20"/>
        </w:rPr>
        <w:fldChar w:fldCharType="end"/>
      </w:r>
      <w:r w:rsidR="00B92C44">
        <w:rPr>
          <w:rFonts w:ascii="Times New Roman" w:hAnsi="Times New Roman"/>
          <w:bCs/>
          <w:iCs/>
          <w:sz w:val="20"/>
          <w:szCs w:val="20"/>
        </w:rPr>
        <w:t xml:space="preserve"> where</w:t>
      </w:r>
      <w:r w:rsidRPr="00D8225B">
        <w:rPr>
          <w:rFonts w:ascii="Times New Roman" w:hAnsi="Times New Roman"/>
          <w:bCs/>
          <w:iCs/>
          <w:sz w:val="20"/>
          <w:szCs w:val="20"/>
        </w:rPr>
        <w:t xml:space="preserve"> PIP was used as co-monomer. Uniquely, by incorporating the MWCNT-TNT hybrid in TFC B, the NaCl rejection increased from 47.45% to 86.13%, while the water permeability was higher compared to TFC A. T</w:t>
      </w:r>
      <w:r w:rsidRPr="00D8225B">
        <w:rPr>
          <w:rFonts w:ascii="Times New Roman" w:hAnsi="Times New Roman"/>
          <w:bCs/>
          <w:sz w:val="20"/>
          <w:szCs w:val="20"/>
        </w:rPr>
        <w:t xml:space="preserve">he existence of hydrogen on MWCNT-TNT can </w:t>
      </w:r>
      <w:r w:rsidRPr="00D8225B">
        <w:rPr>
          <w:rFonts w:ascii="Times New Roman" w:hAnsi="Times New Roman"/>
          <w:bCs/>
          <w:noProof/>
          <w:sz w:val="20"/>
          <w:szCs w:val="20"/>
        </w:rPr>
        <w:t>enhance</w:t>
      </w:r>
      <w:r w:rsidRPr="00D8225B">
        <w:rPr>
          <w:rFonts w:ascii="Times New Roman" w:hAnsi="Times New Roman"/>
          <w:bCs/>
          <w:sz w:val="20"/>
          <w:szCs w:val="20"/>
        </w:rPr>
        <w:t xml:space="preserve"> the hydrogen bonding formation in PA layer which in turn decreased the pore sizes in PA layer while later contributed to low water </w:t>
      </w:r>
      <w:r w:rsidRPr="00D8225B">
        <w:rPr>
          <w:rFonts w:ascii="Times New Roman" w:hAnsi="Times New Roman"/>
          <w:bCs/>
          <w:noProof/>
          <w:sz w:val="20"/>
          <w:szCs w:val="20"/>
        </w:rPr>
        <w:t>permeability</w:t>
      </w:r>
      <w:r w:rsidRPr="00D8225B">
        <w:rPr>
          <w:rFonts w:ascii="Times New Roman" w:hAnsi="Times New Roman"/>
          <w:bCs/>
          <w:sz w:val="20"/>
          <w:szCs w:val="20"/>
        </w:rPr>
        <w:t xml:space="preserve"> and increase NaCl rejection </w:t>
      </w:r>
      <w:r w:rsidRPr="00D8225B">
        <w:rPr>
          <w:rFonts w:ascii="Times New Roman" w:hAnsi="Times New Roman"/>
          <w:bCs/>
          <w:sz w:val="20"/>
          <w:szCs w:val="20"/>
        </w:rPr>
        <w:fldChar w:fldCharType="begin" w:fldLock="1"/>
      </w:r>
      <w:r w:rsidRPr="00D8225B">
        <w:rPr>
          <w:rFonts w:ascii="Times New Roman" w:hAnsi="Times New Roman"/>
          <w:bCs/>
          <w:sz w:val="20"/>
          <w:szCs w:val="20"/>
        </w:rPr>
        <w:instrText>ADDIN CSL_CITATION { "citationItems" : [ { "id" : "ITEM-1", "itemData" : { "DOI" : "10.1016/j.memsci.2009.06.025", "ISBN" : "0376-7388", "ISSN" : "03767388", "PMID" : "33", "abstract" : "This work investigated the effect of variation in polyamide structure of thin film composite nanofiltration membranes resulting from variation in monomers on flux and rejection properties. Membranes from various combinations of monomers have been prepared including mixture of diamines or acid chlorides. The physicochemical characteristics of the membranes thus obtained were determined by infra-red spectroscopy, SEM, AFM, contact angle measurement and molecular model analysis. Attempts have been made to correlate the observed flux and rejection properties of the membranes with their physicochemical properties. It has been observed that polyamide structure influences flux and rejection of membranes to a great extent. ?? 2009 Elsevier B.V. All rights reserved.", "author" : [ { "dropping-particle" : "", "family" : "Saha", "given" : "N. K.", "non-dropping-particle" : "", "parse-names" : false, "suffix" : "" }, { "dropping-particle" : "V.", "family" : "Joshi", "given" : "S.", "non-dropping-particle" : "", "parse-names" : false, "suffix" : "" } ], "container-title" : "Journal of Membrane Science", "id" : "ITEM-1", "issue" : "1-2", "issued" : { "date-parts" : [ [ "2009" ] ] }, "page" : "60-69", "title" : "Performance evaluation of thin film composite polyamide nanofiltration membrane with variation in monomer type", "type" : "article-journal", "volume" : "342" }, "uris" : [ "http://www.mendeley.com/documents/?uuid=28a58260-2261-4101-b802-6657bc958773" ] } ], "mendeley" : { "formattedCitation" : "[9]", "plainTextFormattedCitation" : "[9]", "previouslyFormattedCitation" : "&lt;sup&gt;9&lt;/sup&gt;" }, "properties" : { "noteIndex" : 0 }, "schema" : "https://github.com/citation-style-language/schema/raw/master/csl-citation.json" }</w:instrText>
      </w:r>
      <w:r w:rsidRPr="00D8225B">
        <w:rPr>
          <w:rFonts w:ascii="Times New Roman" w:hAnsi="Times New Roman"/>
          <w:bCs/>
          <w:sz w:val="20"/>
          <w:szCs w:val="20"/>
        </w:rPr>
        <w:fldChar w:fldCharType="separate"/>
      </w:r>
      <w:r w:rsidRPr="00D8225B">
        <w:rPr>
          <w:rFonts w:ascii="Times New Roman" w:hAnsi="Times New Roman"/>
          <w:bCs/>
          <w:noProof/>
          <w:sz w:val="20"/>
          <w:szCs w:val="20"/>
        </w:rPr>
        <w:t>[9]</w:t>
      </w:r>
      <w:r w:rsidRPr="00D8225B">
        <w:rPr>
          <w:rFonts w:ascii="Times New Roman" w:hAnsi="Times New Roman"/>
          <w:bCs/>
          <w:sz w:val="20"/>
          <w:szCs w:val="20"/>
        </w:rPr>
        <w:fldChar w:fldCharType="end"/>
      </w:r>
      <w:r w:rsidRPr="00D8225B">
        <w:rPr>
          <w:rFonts w:ascii="Times New Roman" w:hAnsi="Times New Roman"/>
          <w:bCs/>
          <w:sz w:val="20"/>
          <w:szCs w:val="20"/>
        </w:rPr>
        <w:t xml:space="preserve">. Moreover, the successful synthesis of MWCNT-TNT as confirmed by XRD and TEM provides unique properties for the membrane which offers pore channels and high hydrophilicity of hybrid to increase water permeability while reject certain dissolved ions </w:t>
      </w:r>
      <w:r w:rsidRPr="00D8225B">
        <w:rPr>
          <w:rFonts w:ascii="Times New Roman" w:hAnsi="Times New Roman"/>
          <w:bCs/>
          <w:sz w:val="20"/>
          <w:szCs w:val="20"/>
        </w:rPr>
        <w:fldChar w:fldCharType="begin" w:fldLock="1"/>
      </w:r>
      <w:r w:rsidRPr="00D8225B">
        <w:rPr>
          <w:rFonts w:ascii="Times New Roman" w:hAnsi="Times New Roman"/>
          <w:bCs/>
          <w:sz w:val="20"/>
          <w:szCs w:val="20"/>
        </w:rPr>
        <w:instrText>ADDIN CSL_CITATION { "citationItems" : [ { "id" : "ITEM-1", "itemData" : { "DOI" : "http://dx.doi.org/10.1016/j.desal.2015.03.030", "ISBN" : "0011-9164", "ISSN" : "00119164", "abstract" : "Given their unique structural and morphological features, nanomaterials have gained considerable attention for their applications in membrane desalination. Recent advances in nanomaterial-incorporated membranes have resulted in membranes with very high water flux and salt rejection, both being sought after in membrane desalination. Nevertheless, the economic feasibility of scaling up such membranes remains questionable. The present paper surveyed the recent published literatures and current studies on nanomaterials and their applications in membrane desalination. The goal of this work was to reveal, through reviewing experimental and computational studies, the potential of nanomaterials in desalination. The paper reviewed three of the most studied nanomaterials in membrane desalination namely; carbon nanotubes, zeolites, and graphene. The investigation included preparation and synthesis of nanomaterial membranes, their properties with respect to desalination, and their applications in membrane desalination. This includes different membrane processes, and opportunities and challenges of those materials in desalination applications. The environmental and economic sustainability of nanomaterials in desalination for future prospects has also been presented.", "author" : [ { "dropping-particle" : "", "family" : "Daer", "given" : "Sahar", "non-dropping-particle" : "", "parse-names" : false, "suffix" : "" }, { "dropping-particle" : "", "family" : "Kharraz", "given" : "Jehad", "non-dropping-particle" : "", "parse-names" : false, "suffix" : "" }, { "dropping-particle" : "", "family" : "Giwa", "given" : "Adewale", "non-dropping-particle" : "", "parse-names" : false, "suffix" : "" }, { "dropping-particle" : "", "family" : "Hasan", "given" : "Shadi Wajih", "non-dropping-particle" : "", "parse-names" : false, "suffix" : "" } ], "container-title" : "Desalination", "id" : "ITEM-1", "issued" : { "date-parts" : [ [ "2015" ] ] }, "page" : "37-48", "publisher" : "Elsevier B.V.", "title" : "Recent applications of nanomaterials in water desalination: A critical review and future opportunities", "type" : "article-journal", "volume" : "367" }, "uris" : [ "http://www.mendeley.com/documents/?uuid=ac512489-7b5a-4275-9cfa-cb43092823fd" ] }, { "id" : "ITEM-2", "itemData" : { "DOI" : "10.5004/dwt.2011.2801", "ISSN" : "1944-3994", "abstract" : "To enhance the water flux of reverse osmosis membranes, thin film nanocomposite reverse osmosis membranes are prepared by incorporating functionalized multi-walled carbon nanotubes (MWNTs). The functionalized MWNTs are obtained by the treatment of pristine MWNTs with the mixed acid of H2SO4 and HNO3 (3:1 v/v). The MWNTs are analyzed by Fourier transform infrared spectrometry (FTIR). The surface morphology and structure of membrane are characterized by scanning electronic microscopy (SEM), transmission electron microscopy (TEM) and contact angle measurement, respectively. Those results show that modified MWNTs yielded some hydrophilic groups, such as -COOH and -OH, which make acidified MWNTs disperse more evenly in the aqueous solution. The SEM and TEM results demonstrate that the functionalized MWNTs penetrated through the polyamide layer, and might play the role of water channel. Compared with the bare polyamide membrane, the MWNT-polyamide thin film nanocomposite membranes have more hydrophilic surface, and the water flux of MWNT-polyamide membranes improve dramatically. For 2000 ppm NaCl, the water permeability increases from 26 l/m2h without MWNTs to 71 l/m2h at the acidified MWNTs loading of 0.1% (w/v), while NaCl rejection of MWNT-polyamide membranes decreases obviously compared to bare polyamide membrane. However, for 200 ppm purified terephthalic acid (PTA) solution, the pure water flux increases from 19 l/m2h up to 49 l/m2h, while PTA rejection is all higher than 98%. The experimental results reveal that the modified MWNTs well dispersed in the polyamide thin film layer, and hence improve the water permeation.\\nTo enhance the water flux of reverse osmosis membranes, thin film nanocomposite reverse osmosis membranes are prepared by incorporating functionalized multi-walled carbon nanotubes (MWNTs). The functionalized MWNTs are obtained by the treatment of pristine MWNTs with the mixed acid of H2SO4 and HNO3 (3:1 v/v). The MWNTs are analyzed by Fourier transform infrared spectrometry (FTIR). The surface morphology and structure of membrane are characterized by scanning electronic microscopy (SEM), transmission electron microscopy (TEM) and contact angle measurement, respectively. Those results show that modified MWNTs yielded some hydrophilic groups, such as -COOH and -OH, which make acidified MWNTs disperse more evenly in the aqueous solution. The SEM and TEM results demonstrate that the functionalized MWNTs penetrated through the polyamide laye\u2026", "author" : [ { "dropping-particle" : "", "family" : "Zhang", "given" : "Lin", "non-dropping-particle" : "", "parse-names" : false, "suffix" : "" }, { "dropping-particle" : "", "family" : "Shi", "given" : "Guo-Zhong", "non-dropping-particle" : "", "parse-names" : false, "suffix" : "" }, { "dropping-particle" : "", "family" : "Qiu", "given" : "Shi", "non-dropping-particle" : "", "parse-names" : false, "suffix" : "" }, { "dropping-particle" : "", "family" : "Cheng", "given" : "Li-Hua", "non-dropping-particle" : "", "parse-names" : false, "suffix" : "" }, { "dropping-particle" : "", "family" : "Chen", "given" : "Huan-Lin", "non-dropping-particle" : "", "parse-names" : false, "suffix" : "" } ], "container-title" : "Desalination and Water Treatment", "id" : "ITEM-2", "issue" : "1-3", "issued" : { "date-parts" : [ [ "2011" ] ] }, "page" : "19-24", "title" : "Preparation of high-flux thin film nanocomposite reverse osmosis membranes by incorporating functionalized multi-walled carbon nanotubes", "type" : "article-journal", "volume" : "34" }, "uris" : [ "http://www.mendeley.com/documents/?uuid=5b3b44b2-b2ed-41b3-862c-503e01fbabdd" ] } ], "mendeley" : { "formattedCitation" : "[10], [11]", "plainTextFormattedCitation" : "[10], [11]", "previouslyFormattedCitation" : "&lt;sup&gt;10,11&lt;/sup&gt;" }, "properties" : { "noteIndex" : 0 }, "schema" : "https://github.com/citation-style-language/schema/raw/master/csl-citation.json" }</w:instrText>
      </w:r>
      <w:r w:rsidRPr="00D8225B">
        <w:rPr>
          <w:rFonts w:ascii="Times New Roman" w:hAnsi="Times New Roman"/>
          <w:bCs/>
          <w:sz w:val="20"/>
          <w:szCs w:val="20"/>
        </w:rPr>
        <w:fldChar w:fldCharType="separate"/>
      </w:r>
      <w:r w:rsidRPr="00D8225B">
        <w:rPr>
          <w:rFonts w:ascii="Times New Roman" w:hAnsi="Times New Roman"/>
          <w:bCs/>
          <w:noProof/>
          <w:sz w:val="20"/>
          <w:szCs w:val="20"/>
        </w:rPr>
        <w:t>[10], [11]</w:t>
      </w:r>
      <w:r w:rsidRPr="00D8225B">
        <w:rPr>
          <w:rFonts w:ascii="Times New Roman" w:hAnsi="Times New Roman"/>
          <w:bCs/>
          <w:sz w:val="20"/>
          <w:szCs w:val="20"/>
        </w:rPr>
        <w:fldChar w:fldCharType="end"/>
      </w:r>
      <w:r w:rsidRPr="00D8225B">
        <w:rPr>
          <w:rFonts w:ascii="Times New Roman" w:hAnsi="Times New Roman"/>
          <w:bCs/>
          <w:sz w:val="20"/>
          <w:szCs w:val="20"/>
        </w:rPr>
        <w:t xml:space="preserve">. </w:t>
      </w:r>
      <w:r w:rsidRPr="00D8225B">
        <w:rPr>
          <w:rFonts w:ascii="Times New Roman" w:hAnsi="Times New Roman"/>
          <w:bCs/>
          <w:iCs/>
          <w:sz w:val="20"/>
          <w:szCs w:val="20"/>
        </w:rPr>
        <w:t>Meanwhile, when the MWCNT-TNT was treated with acid (a-MWCNT-TNT) and was incorporated into the polyamide layer of TFC B, the water permeability was increased as indicated by decreasing contact angle from 72.92 to 61.71</w:t>
      </w:r>
      <w:r w:rsidRPr="00D8225B">
        <w:rPr>
          <w:rFonts w:ascii="Times New Roman" w:hAnsi="Times New Roman"/>
          <w:bCs/>
          <w:iCs/>
          <w:sz w:val="20"/>
          <w:szCs w:val="20"/>
          <w:vertAlign w:val="superscript"/>
        </w:rPr>
        <w:t>o</w:t>
      </w:r>
      <w:r w:rsidRPr="00D8225B">
        <w:rPr>
          <w:rFonts w:ascii="Times New Roman" w:hAnsi="Times New Roman"/>
          <w:bCs/>
          <w:iCs/>
          <w:sz w:val="20"/>
          <w:szCs w:val="20"/>
        </w:rPr>
        <w:t xml:space="preserve"> of the </w:t>
      </w:r>
      <w:r w:rsidRPr="00D8225B">
        <w:rPr>
          <w:rFonts w:ascii="Times New Roman" w:hAnsi="Times New Roman"/>
          <w:bCs/>
          <w:iCs/>
          <w:noProof/>
          <w:sz w:val="20"/>
          <w:szCs w:val="20"/>
        </w:rPr>
        <w:t>membrane</w:t>
      </w:r>
      <w:r w:rsidRPr="00D8225B">
        <w:rPr>
          <w:rFonts w:ascii="Times New Roman" w:hAnsi="Times New Roman"/>
          <w:bCs/>
          <w:iCs/>
          <w:sz w:val="20"/>
          <w:szCs w:val="20"/>
        </w:rPr>
        <w:t xml:space="preserve"> as shown in Table 1. </w:t>
      </w:r>
    </w:p>
    <w:p w:rsidR="00D8225B" w:rsidRPr="00D8225B" w:rsidRDefault="00D8225B" w:rsidP="00D8225B">
      <w:pPr>
        <w:spacing w:after="0" w:line="240" w:lineRule="auto"/>
        <w:jc w:val="both"/>
        <w:outlineLvl w:val="0"/>
        <w:rPr>
          <w:rFonts w:ascii="Times New Roman" w:hAnsi="Times New Roman"/>
          <w:bCs/>
          <w:iCs/>
          <w:sz w:val="20"/>
          <w:szCs w:val="20"/>
        </w:rPr>
      </w:pPr>
    </w:p>
    <w:p w:rsidR="00D8225B" w:rsidRPr="00D8225B" w:rsidRDefault="00D8225B" w:rsidP="00D8225B">
      <w:pPr>
        <w:spacing w:after="0" w:line="240" w:lineRule="auto"/>
        <w:jc w:val="both"/>
        <w:outlineLvl w:val="0"/>
        <w:rPr>
          <w:rFonts w:ascii="Times New Roman" w:hAnsi="Times New Roman"/>
          <w:bCs/>
          <w:iCs/>
          <w:sz w:val="20"/>
          <w:szCs w:val="20"/>
        </w:rPr>
      </w:pPr>
      <w:r w:rsidRPr="00D8225B">
        <w:rPr>
          <w:rFonts w:ascii="Times New Roman" w:hAnsi="Times New Roman"/>
          <w:bCs/>
          <w:iCs/>
          <w:sz w:val="20"/>
          <w:szCs w:val="20"/>
        </w:rPr>
        <w:t xml:space="preserve">However, a-MWCNT-TNT/TFC B showed a slightly </w:t>
      </w:r>
      <w:r w:rsidRPr="00D8225B">
        <w:rPr>
          <w:rFonts w:ascii="Times New Roman" w:hAnsi="Times New Roman"/>
          <w:bCs/>
          <w:iCs/>
          <w:noProof/>
          <w:sz w:val="20"/>
          <w:szCs w:val="20"/>
        </w:rPr>
        <w:t>decreased</w:t>
      </w:r>
      <w:r w:rsidRPr="00D8225B">
        <w:rPr>
          <w:rFonts w:ascii="Times New Roman" w:hAnsi="Times New Roman"/>
          <w:bCs/>
          <w:iCs/>
          <w:sz w:val="20"/>
          <w:szCs w:val="20"/>
        </w:rPr>
        <w:t xml:space="preserve"> in NaCl rejection. The polymer links formed from PIP and TMC, which occurs faster in polyamide layer of TFC B might compete with the bonding between a-MWCNT-TNT with the free –COCl groups of TMC </w:t>
      </w:r>
      <w:r w:rsidRPr="00D8225B">
        <w:rPr>
          <w:rFonts w:ascii="Times New Roman" w:hAnsi="Times New Roman"/>
          <w:bCs/>
          <w:iCs/>
          <w:sz w:val="20"/>
          <w:szCs w:val="20"/>
        </w:rPr>
        <w:fldChar w:fldCharType="begin" w:fldLock="1"/>
      </w:r>
      <w:r w:rsidRPr="00D8225B">
        <w:rPr>
          <w:rFonts w:ascii="Times New Roman" w:hAnsi="Times New Roman"/>
          <w:bCs/>
          <w:iCs/>
          <w:sz w:val="20"/>
          <w:szCs w:val="20"/>
        </w:rPr>
        <w:instrText>ADDIN CSL_CITATION { "citationItems" : [ { "id" : "ITEM-1", "itemData" : { "DOI" : "10.1016/j.reactfunctpolym.2014.08.009", "ISBN" : "1381-5148", "ISSN" : "13815148", "abstract" : "Thin film composite (TFC) nanofiltration membranes were fabricated by interfacial polymerization using polymeric amine polyethylenimine (PEI) and monomeric amine piperazine (PIP) as the amine reactant. Membranes with a single-ply polyamide layer were produced by reacting trimesoyl chloride (TMC) with mixed amines of PEI and PIP, and incorporation of a small amount of PIP in PEI was found to increase the permeation flux effectively while still maintaining a good solute rejection. For instance, adding 10 wt% PIP in the amine reactant solution resulted in a 6-fold increase in permeation flux, while a 91.6% MgCl2 rejection was maintained. In addition, 2-ply polyamide membranes were also prepared by two cycles of PEI-TMC and PIP-TMC interfacial reactions separately, and they showed a higher rejection than the single-ply polyamide membrane. At a low PIP/PEI concentration ratio, the single-ply polyamide membranes formed with mixed amines of PIP and PEI tended to be more permeable than the 2-ply polyamide membranes. However, it was demonstrated that by properly controlling the PIP/PEI concentration ratio, the 2-ply polyamide membranes with both a higher permeation flux and salt rejection than conventional single-ply polyamide membranes could be produced. The resulting membranes were characterized for chemical composition, surface hydrophilicity, surface charge and morphology of the polyamide skin layer.", "author" : [ { "dropping-particle" : "", "family" : "Wu", "given" : "Dihua", "non-dropping-particle" : "", "parse-names" : false, "suffix" : "" }, { "dropping-particle" : "", "family" : "Yu", "given" : "Sanchuan", "non-dropping-particle" : "", "parse-names" : false, "suffix" : "" }, { "dropping-particle" : "", "family" : "Lawless", "given" : "Darren", "non-dropping-particle" : "", "parse-names" : false, "suffix" : "" }, { "dropping-particle" : "", "family" : "Feng", "given" : "Xianshe", "non-dropping-particle" : "", "parse-names" : false, "suffix" : "" } ], "container-title" : "Reactive and Functional Polymers", "id" : "ITEM-1", "issued" : { "date-parts" : [ [ "2015" ] ] }, "page" : "168-183", "publisher" : "Elsevier B.V.", "title" : "Thin film composite nanofiltration membranes fabricated from polymeric amine polyethylenimine imbedded with monomeric amine piperazine for enhanced salt separations", "type" : "article-journal", "volume" : "86" }, "uris" : [ "http://www.mendeley.com/documents/?uuid=13ead46d-99cd-4df0-921f-a06615dfa805" ] } ], "mendeley" : { "formattedCitation" : "[1]", "plainTextFormattedCitation" : "[1]", "previouslyFormattedCitation" : "&lt;sup&gt;1&lt;/sup&gt;" }, "properties" : { "noteIndex" : 0 }, "schema" : "https://github.com/citation-style-language/schema/raw/master/csl-citation.json" }</w:instrText>
      </w:r>
      <w:r w:rsidRPr="00D8225B">
        <w:rPr>
          <w:rFonts w:ascii="Times New Roman" w:hAnsi="Times New Roman"/>
          <w:bCs/>
          <w:iCs/>
          <w:sz w:val="20"/>
          <w:szCs w:val="20"/>
        </w:rPr>
        <w:fldChar w:fldCharType="separate"/>
      </w:r>
      <w:r w:rsidRPr="00D8225B">
        <w:rPr>
          <w:rFonts w:ascii="Times New Roman" w:hAnsi="Times New Roman"/>
          <w:bCs/>
          <w:iCs/>
          <w:noProof/>
          <w:sz w:val="20"/>
          <w:szCs w:val="20"/>
        </w:rPr>
        <w:t>[1]</w:t>
      </w:r>
      <w:r w:rsidRPr="00D8225B">
        <w:rPr>
          <w:rFonts w:ascii="Times New Roman" w:hAnsi="Times New Roman"/>
          <w:bCs/>
          <w:iCs/>
          <w:sz w:val="20"/>
          <w:szCs w:val="20"/>
        </w:rPr>
        <w:fldChar w:fldCharType="end"/>
      </w:r>
      <w:r w:rsidRPr="00D8225B">
        <w:rPr>
          <w:rFonts w:ascii="Times New Roman" w:hAnsi="Times New Roman"/>
          <w:bCs/>
          <w:iCs/>
          <w:sz w:val="20"/>
          <w:szCs w:val="20"/>
        </w:rPr>
        <w:t xml:space="preserve">. Hence, contributed to the decreased in surface negative charge of the </w:t>
      </w:r>
      <w:r w:rsidRPr="00D8225B">
        <w:rPr>
          <w:rFonts w:ascii="Times New Roman" w:hAnsi="Times New Roman"/>
          <w:bCs/>
          <w:iCs/>
          <w:noProof/>
          <w:sz w:val="20"/>
          <w:szCs w:val="20"/>
        </w:rPr>
        <w:t>membrane</w:t>
      </w:r>
      <w:r w:rsidRPr="00D8225B">
        <w:rPr>
          <w:rFonts w:ascii="Times New Roman" w:hAnsi="Times New Roman"/>
          <w:bCs/>
          <w:iCs/>
          <w:sz w:val="20"/>
          <w:szCs w:val="20"/>
        </w:rPr>
        <w:t xml:space="preserve"> as provided by the </w:t>
      </w:r>
      <w:r w:rsidRPr="00D8225B">
        <w:rPr>
          <w:rFonts w:ascii="Times New Roman" w:hAnsi="Times New Roman"/>
          <w:bCs/>
          <w:iCs/>
          <w:noProof/>
          <w:sz w:val="20"/>
          <w:szCs w:val="20"/>
        </w:rPr>
        <w:t>positive</w:t>
      </w:r>
      <w:r w:rsidRPr="00D8225B">
        <w:rPr>
          <w:rFonts w:ascii="Times New Roman" w:hAnsi="Times New Roman"/>
          <w:bCs/>
          <w:iCs/>
          <w:sz w:val="20"/>
          <w:szCs w:val="20"/>
        </w:rPr>
        <w:t xml:space="preserve"> value of zeta potential (Table 1). The further increased of a-MWCNT-TNT in polyamide layer of TFC B deteriorated NaCl rejection of membrane performance. It is possibly due to the tendency of NaCl molecules to pass through some voids between a-MWCNT-TNT and polyamide at high loading of the hybrid nanotube </w:t>
      </w:r>
      <w:r w:rsidRPr="00D8225B">
        <w:rPr>
          <w:rFonts w:ascii="Times New Roman" w:hAnsi="Times New Roman"/>
          <w:bCs/>
          <w:iCs/>
          <w:sz w:val="20"/>
          <w:szCs w:val="20"/>
        </w:rPr>
        <w:fldChar w:fldCharType="begin" w:fldLock="1"/>
      </w:r>
      <w:r w:rsidRPr="00D8225B">
        <w:rPr>
          <w:rFonts w:ascii="Times New Roman" w:hAnsi="Times New Roman"/>
          <w:bCs/>
          <w:iCs/>
          <w:sz w:val="20"/>
          <w:szCs w:val="20"/>
        </w:rPr>
        <w:instrText>ADDIN CSL_CITATION { "citationItems" : [ { "id" : "ITEM-1", "itemData" : { "DOI" : "10.5004/dwt.2011.2801", "ISSN" : "1944-3994", "abstract" : "To enhance the water flux of reverse osmosis membranes, thin film nanocomposite reverse osmosis membranes are prepared by incorporating functionalized multi-walled carbon nanotubes (MWNTs). The functionalized MWNTs are obtained by the treatment of pristine MWNTs with the mixed acid of H2SO4 and HNO3 (3:1 v/v). The MWNTs are analyzed by Fourier transform infrared spectrometry (FTIR). The surface morphology and structure of membrane are characterized by scanning electronic microscopy (SEM), transmission electron microscopy (TEM) and contact angle measurement, respectively. Those results show that modified MWNTs yielded some hydrophilic groups, such as -COOH and -OH, which make acidified MWNTs disperse more evenly in the aqueous solution. The SEM and TEM results demonstrate that the functionalized MWNTs penetrated through the polyamide layer, and might play the role of water channel. Compared with the bare polyamide membrane, the MWNT-polyamide thin film nanocomposite membranes have more hydrophilic surface, and the water flux of MWNT-polyamide membranes improve dramatically. For 2000 ppm NaCl, the water permeability increases from 26 l/m2h without MWNTs to 71 l/m2h at the acidified MWNTs loading of 0.1% (w/v), while NaCl rejection of MWNT-polyamide membranes decreases obviously compared to bare polyamide membrane. However, for 200 ppm purified terephthalic acid (PTA) solution, the pure water flux increases from 19 l/m2h up to 49 l/m2h, while PTA rejection is all higher than 98%. The experimental results reveal that the modified MWNTs well dispersed in the polyamide thin film layer, and hence improve the water permeation.\\nTo enhance the water flux of reverse osmosis membranes, thin film nanocomposite reverse osmosis membranes are prepared by incorporating functionalized multi-walled carbon nanotubes (MWNTs). The functionalized MWNTs are obtained by the treatment of pristine MWNTs with the mixed acid of H2SO4 and HNO3 (3:1 v/v). The MWNTs are analyzed by Fourier transform infrared spectrometry (FTIR). The surface morphology and structure of membrane are characterized by scanning electronic microscopy (SEM), transmission electron microscopy (TEM) and contact angle measurement, respectively. Those results show that modified MWNTs yielded some hydrophilic groups, such as -COOH and -OH, which make acidified MWNTs disperse more evenly in the aqueous solution. The SEM and TEM results demonstrate that the functionalized MWNTs penetrated through the polyamide laye\u2026", "author" : [ { "dropping-particle" : "", "family" : "Zhang", "given" : "Lin", "non-dropping-particle" : "", "parse-names" : false, "suffix" : "" }, { "dropping-particle" : "", "family" : "Shi", "given" : "Guo-Zhong", "non-dropping-particle" : "", "parse-names" : false, "suffix" : "" }, { "dropping-particle" : "", "family" : "Qiu", "given" : "Shi", "non-dropping-particle" : "", "parse-names" : false, "suffix" : "" }, { "dropping-particle" : "", "family" : "Cheng", "given" : "Li-Hua", "non-dropping-particle" : "", "parse-names" : false, "suffix" : "" }, { "dropping-particle" : "", "family" : "Chen", "given" : "Huan-Lin", "non-dropping-particle" : "", "parse-names" : false, "suffix" : "" } ], "container-title" : "Desalination and Water Treatment", "id" : "ITEM-1", "issue" : "1-3", "issued" : { "date-parts" : [ [ "2011" ] ] }, "page" : "19-24", "title" : "Preparation of high-flux thin film nanocomposite reverse osmosis membranes by incorporating functionalized multi-walled carbon nanotubes", "type" : "article-journal", "volume" : "34" }, "uris" : [ "http://www.mendeley.com/documents/?uuid=5b3b44b2-b2ed-41b3-862c-503e01fbabdd" ] } ], "mendeley" : { "formattedCitation" : "[11]", "plainTextFormattedCitation" : "[11]", "previouslyFormattedCitation" : "&lt;sup&gt;11&lt;/sup&gt;" }, "properties" : { "noteIndex" : 0 }, "schema" : "https://github.com/citation-style-language/schema/raw/master/csl-citation.json" }</w:instrText>
      </w:r>
      <w:r w:rsidRPr="00D8225B">
        <w:rPr>
          <w:rFonts w:ascii="Times New Roman" w:hAnsi="Times New Roman"/>
          <w:bCs/>
          <w:iCs/>
          <w:sz w:val="20"/>
          <w:szCs w:val="20"/>
        </w:rPr>
        <w:fldChar w:fldCharType="separate"/>
      </w:r>
      <w:r w:rsidRPr="00D8225B">
        <w:rPr>
          <w:rFonts w:ascii="Times New Roman" w:hAnsi="Times New Roman"/>
          <w:bCs/>
          <w:iCs/>
          <w:noProof/>
          <w:sz w:val="20"/>
          <w:szCs w:val="20"/>
        </w:rPr>
        <w:t>[11]</w:t>
      </w:r>
      <w:r w:rsidRPr="00D8225B">
        <w:rPr>
          <w:rFonts w:ascii="Times New Roman" w:hAnsi="Times New Roman"/>
          <w:bCs/>
          <w:iCs/>
          <w:sz w:val="20"/>
          <w:szCs w:val="20"/>
        </w:rPr>
        <w:fldChar w:fldCharType="end"/>
      </w:r>
      <w:r w:rsidRPr="00D8225B">
        <w:rPr>
          <w:rFonts w:ascii="Times New Roman" w:hAnsi="Times New Roman"/>
          <w:bCs/>
          <w:iCs/>
          <w:sz w:val="20"/>
          <w:szCs w:val="20"/>
        </w:rPr>
        <w:t>. Moreover, higher a-MWCNT-</w:t>
      </w:r>
      <w:r w:rsidR="00B92C44">
        <w:rPr>
          <w:rFonts w:ascii="Times New Roman" w:hAnsi="Times New Roman"/>
          <w:bCs/>
          <w:iCs/>
          <w:sz w:val="20"/>
          <w:szCs w:val="20"/>
        </w:rPr>
        <w:t>TNT loading (0.10 MWCNT-TNT) le</w:t>
      </w:r>
      <w:r w:rsidRPr="00D8225B">
        <w:rPr>
          <w:rFonts w:ascii="Times New Roman" w:hAnsi="Times New Roman"/>
          <w:bCs/>
          <w:iCs/>
          <w:sz w:val="20"/>
          <w:szCs w:val="20"/>
        </w:rPr>
        <w:t xml:space="preserve">d to ineffectiveness on water permeability, which likely suggests the formation of thicker polyamide rejection layer under this a-MWCNT-TNT loading condition </w:t>
      </w:r>
      <w:r w:rsidRPr="00D8225B">
        <w:rPr>
          <w:rFonts w:ascii="Times New Roman" w:hAnsi="Times New Roman"/>
          <w:bCs/>
          <w:iCs/>
          <w:sz w:val="20"/>
          <w:szCs w:val="20"/>
        </w:rPr>
        <w:fldChar w:fldCharType="begin" w:fldLock="1"/>
      </w:r>
      <w:r w:rsidRPr="00D8225B">
        <w:rPr>
          <w:rFonts w:ascii="Times New Roman" w:hAnsi="Times New Roman"/>
          <w:bCs/>
          <w:iCs/>
          <w:sz w:val="20"/>
          <w:szCs w:val="20"/>
        </w:rPr>
        <w:instrText>ADDIN CSL_CITATION { "citationItems" : [ { "id" : "ITEM-1", "itemData" : { "DOI" : "10.1016/j.memsci.2012.03.002", "ISBN" : "0376-7388", "ISSN" : "03767388", "abstract" : "Zeolite-polyamide thin film nanocomposite (TFN) membranes were prepared on a polysulfone (PSf) porous substrate tailored for forward osmosis (thin thickness, high porosity, and straight needle-like pores). The TFN membranes were characterized and evaluated in comparison with a thin film composite (TFC) membrane. The incorporation of NaY zeolite nanoparticles in the polyamide rejection layer significantly changed its separation properties. In the range of 0.02-0.1. wt./v% zeolite loading, the incorporation of zeolite-polyamide exhibited enhanced water permeability of membrane likely due to the porous nature of zeolite. However, further increase in zeolite loading led to a reduction in water permeability, possibly as a result of the formation of a thicker polyamide layer. The most permeable TFN membrane (TFN0.1, with 0.1. wt./v% zeolite loading) had a water permeability approximately 80% higher compared to the baseline TFC membrane. The FO water flux followed a similar trend to that of the membrane water permeability. Under all cases evaluated in the current study (0.5-2.0 NaCl draw solution, DI water and 10. mM NaCl feed solution, and both membrane orientations), the membrane TFN0.1 exhibited highest water flux (up to 50% improvement over the TFC membrane). To the best knowledge of the authors, this is the first report on zeolite-polyamide based TFN membranes for FO applications. ?? 2012 Elsevier B.V.", "author" : [ { "dropping-particle" : "", "family" : "Ma", "given" : "Ning", "non-dropping-particle" : "", "parse-names" : false, "suffix" : "" }, { "dropping-particle" : "", "family" : "Wei", "given" : "Jing", "non-dropping-particle" : "", "parse-names" : false, "suffix" : "" }, { "dropping-particle" : "", "family" : "Liao", "given" : "Rihong", "non-dropping-particle" : "", "parse-names" : false, "suffix" : "" }, { "dropping-particle" : "", "family" : "Tang", "given" : "Chuyang Y.", "non-dropping-particle" : "", "parse-names" : false, "suffix" : "" } ], "container-title" : "Journal of Membrane Science", "id" : "ITEM-1", "issued" : { "date-parts" : [ [ "2012" ] ] }, "page" : "149-157", "publisher" : "Elsevier B.V.", "title" : "Zeolite-polyamide thin film nanocomposite membranes: Towards enhanced performance for forward osmosis", "type" : "article-journal", "volume" : "405-406" }, "uris" : [ "http://www.mendeley.com/documents/?uuid=50725031-4e0a-4e53-8c61-722097f6592b" ] }, { "id" : "ITEM-2", "itemData" : { "author" : [ { "dropping-particle" : "", "family" : "Wan Azelee", "given" : "I", "non-dropping-particle" : "", "parse-names" : false, "suffix" : "" }, { "dropping-particle" : "", "family" : "Goh", "given" : "P S", "non-dropping-particle" : "", "parse-names" : false, "suffix" : "" }, { "dropping-particle" : "", "family" : "Lau", "given" : "W J", "non-dropping-particle" : "", "parse-names" : false, "suffix" : "" }, { "dropping-particle" : "", "family" : "Ng", "given" : "B C", "non-dropping-particle" : "", "parse-names" : false, "suffix" : "" }, { "dropping-particle" : "", "family" : "Ismail", "given" : "A F", "non-dropping-particle" : "", "parse-names" : false, "suffix" : "" } ], "container-title" : "Journal of Engineerning Science and Technology", "id" : "ITEM-2", "issue" : "7", "issued" : { "date-parts" : [ [ "2016" ] ] }, "page" : "974-986", "title" : "Development of thin film nanocomposite embedded with graphene oxide for MgSo4 removal", "type" : "article-journal", "volume" : "11" }, "uris" : [ "http://www.mendeley.com/documents/?uuid=2526d774-20af-4925-b359-a4ba6fbe708b" ] } ], "mendeley" : { "formattedCitation" : "[12], [13]", "plainTextFormattedCitation" : "[12], [13]", "previouslyFormattedCitation" : "&lt;sup&gt;12,13&lt;/sup&gt;" }, "properties" : { "noteIndex" : 0 }, "schema" : "https://github.com/citation-style-language/schema/raw/master/csl-citation.json" }</w:instrText>
      </w:r>
      <w:r w:rsidRPr="00D8225B">
        <w:rPr>
          <w:rFonts w:ascii="Times New Roman" w:hAnsi="Times New Roman"/>
          <w:bCs/>
          <w:iCs/>
          <w:sz w:val="20"/>
          <w:szCs w:val="20"/>
        </w:rPr>
        <w:fldChar w:fldCharType="separate"/>
      </w:r>
      <w:r w:rsidRPr="00D8225B">
        <w:rPr>
          <w:rFonts w:ascii="Times New Roman" w:hAnsi="Times New Roman"/>
          <w:bCs/>
          <w:iCs/>
          <w:noProof/>
          <w:sz w:val="20"/>
          <w:szCs w:val="20"/>
        </w:rPr>
        <w:t>[12, 13]</w:t>
      </w:r>
      <w:r w:rsidRPr="00D8225B">
        <w:rPr>
          <w:rFonts w:ascii="Times New Roman" w:hAnsi="Times New Roman"/>
          <w:bCs/>
          <w:iCs/>
          <w:sz w:val="20"/>
          <w:szCs w:val="20"/>
        </w:rPr>
        <w:fldChar w:fldCharType="end"/>
      </w:r>
      <w:r w:rsidRPr="00D8225B">
        <w:rPr>
          <w:rFonts w:ascii="Times New Roman" w:hAnsi="Times New Roman"/>
          <w:bCs/>
          <w:iCs/>
          <w:sz w:val="20"/>
          <w:szCs w:val="20"/>
        </w:rPr>
        <w:t>.</w:t>
      </w:r>
    </w:p>
    <w:p w:rsidR="00D8225B" w:rsidRPr="00D8225B" w:rsidRDefault="00D8225B" w:rsidP="00D8225B">
      <w:pPr>
        <w:spacing w:after="0" w:line="240" w:lineRule="auto"/>
        <w:jc w:val="both"/>
        <w:outlineLvl w:val="0"/>
        <w:rPr>
          <w:rFonts w:ascii="Times New Roman" w:hAnsi="Times New Roman"/>
          <w:bCs/>
          <w:sz w:val="20"/>
          <w:szCs w:val="20"/>
        </w:rPr>
      </w:pPr>
    </w:p>
    <w:p w:rsidR="00D8225B" w:rsidRPr="00D8225B" w:rsidRDefault="00D8225B" w:rsidP="00D8225B">
      <w:pPr>
        <w:spacing w:after="120" w:line="240" w:lineRule="auto"/>
        <w:jc w:val="center"/>
        <w:outlineLvl w:val="0"/>
        <w:rPr>
          <w:rFonts w:ascii="Times New Roman" w:hAnsi="Times New Roman"/>
          <w:bCs/>
          <w:sz w:val="20"/>
          <w:szCs w:val="20"/>
        </w:rPr>
      </w:pPr>
      <w:r w:rsidRPr="00D8225B">
        <w:rPr>
          <w:rFonts w:ascii="Times New Roman" w:hAnsi="Times New Roman"/>
          <w:bCs/>
          <w:sz w:val="20"/>
          <w:szCs w:val="20"/>
        </w:rPr>
        <w:lastRenderedPageBreak/>
        <w:t xml:space="preserve">Table 1. </w:t>
      </w:r>
      <w:r>
        <w:rPr>
          <w:rFonts w:ascii="Times New Roman" w:hAnsi="Times New Roman"/>
          <w:bCs/>
          <w:sz w:val="20"/>
          <w:szCs w:val="20"/>
        </w:rPr>
        <w:t xml:space="preserve"> </w:t>
      </w:r>
      <w:r w:rsidRPr="00D8225B">
        <w:rPr>
          <w:rFonts w:ascii="Times New Roman" w:hAnsi="Times New Roman"/>
          <w:bCs/>
          <w:sz w:val="20"/>
          <w:szCs w:val="20"/>
        </w:rPr>
        <w:t>The properties of MWCNT-TNT hybrid and TFC/TFN membranes prepared in this work</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605"/>
        <w:gridCol w:w="1444"/>
        <w:gridCol w:w="2127"/>
      </w:tblGrid>
      <w:tr w:rsidR="00D8225B" w:rsidRPr="00D8225B" w:rsidTr="00787052">
        <w:trPr>
          <w:jc w:val="center"/>
        </w:trPr>
        <w:tc>
          <w:tcPr>
            <w:tcW w:w="0" w:type="auto"/>
            <w:tcBorders>
              <w:bottom w:val="single" w:sz="4" w:space="0" w:color="auto"/>
              <w:right w:val="nil"/>
            </w:tcBorders>
          </w:tcPr>
          <w:p w:rsidR="00D8225B" w:rsidRPr="00D8225B" w:rsidRDefault="00D8225B" w:rsidP="00D8225B">
            <w:pPr>
              <w:spacing w:before="60" w:after="0" w:line="240" w:lineRule="auto"/>
              <w:outlineLvl w:val="0"/>
              <w:rPr>
                <w:b/>
                <w:bCs/>
                <w:sz w:val="20"/>
                <w:szCs w:val="20"/>
              </w:rPr>
            </w:pPr>
            <w:r w:rsidRPr="00D8225B">
              <w:rPr>
                <w:b/>
                <w:bCs/>
                <w:sz w:val="20"/>
                <w:szCs w:val="20"/>
              </w:rPr>
              <w:t xml:space="preserve">MWCNT-TNT / Membrane </w:t>
            </w:r>
          </w:p>
        </w:tc>
        <w:tc>
          <w:tcPr>
            <w:tcW w:w="0" w:type="auto"/>
            <w:tcBorders>
              <w:left w:val="nil"/>
              <w:bottom w:val="single" w:sz="4" w:space="0" w:color="auto"/>
              <w:right w:val="nil"/>
            </w:tcBorders>
          </w:tcPr>
          <w:p w:rsidR="00D8225B" w:rsidRPr="00D8225B" w:rsidRDefault="00D8225B" w:rsidP="00D8225B">
            <w:pPr>
              <w:spacing w:before="60" w:after="0" w:line="240" w:lineRule="auto"/>
              <w:jc w:val="center"/>
              <w:outlineLvl w:val="0"/>
              <w:rPr>
                <w:b/>
                <w:bCs/>
                <w:sz w:val="20"/>
                <w:szCs w:val="20"/>
              </w:rPr>
            </w:pPr>
            <w:r w:rsidRPr="00D8225B">
              <w:rPr>
                <w:b/>
                <w:bCs/>
                <w:sz w:val="20"/>
                <w:szCs w:val="20"/>
              </w:rPr>
              <w:t>Contact Angle</w:t>
            </w:r>
          </w:p>
          <w:p w:rsidR="00D8225B" w:rsidRPr="00D8225B" w:rsidRDefault="00D8225B" w:rsidP="00D8225B">
            <w:pPr>
              <w:spacing w:after="0" w:line="240" w:lineRule="auto"/>
              <w:jc w:val="center"/>
              <w:outlineLvl w:val="0"/>
              <w:rPr>
                <w:b/>
                <w:bCs/>
                <w:sz w:val="20"/>
                <w:szCs w:val="20"/>
              </w:rPr>
            </w:pPr>
            <w:r w:rsidRPr="00D8225B">
              <w:rPr>
                <w:b/>
                <w:bCs/>
                <w:sz w:val="20"/>
                <w:szCs w:val="20"/>
              </w:rPr>
              <w:t>(</w:t>
            </w:r>
            <w:r w:rsidRPr="00D8225B">
              <w:rPr>
                <w:b/>
                <w:bCs/>
                <w:sz w:val="20"/>
                <w:szCs w:val="20"/>
                <w:vertAlign w:val="superscript"/>
              </w:rPr>
              <w:t>o</w:t>
            </w:r>
            <w:r w:rsidRPr="00D8225B">
              <w:rPr>
                <w:b/>
                <w:bCs/>
                <w:sz w:val="20"/>
                <w:szCs w:val="20"/>
              </w:rPr>
              <w:t>)</w:t>
            </w:r>
          </w:p>
        </w:tc>
        <w:tc>
          <w:tcPr>
            <w:tcW w:w="0" w:type="auto"/>
            <w:tcBorders>
              <w:left w:val="nil"/>
              <w:bottom w:val="single" w:sz="4" w:space="0" w:color="auto"/>
              <w:right w:val="nil"/>
            </w:tcBorders>
          </w:tcPr>
          <w:p w:rsidR="00D8225B" w:rsidRPr="00D8225B" w:rsidRDefault="00D8225B" w:rsidP="00D8225B">
            <w:pPr>
              <w:spacing w:before="60" w:after="0" w:line="240" w:lineRule="auto"/>
              <w:jc w:val="center"/>
              <w:outlineLvl w:val="0"/>
              <w:rPr>
                <w:b/>
                <w:bCs/>
                <w:sz w:val="20"/>
                <w:szCs w:val="20"/>
              </w:rPr>
            </w:pPr>
            <w:r w:rsidRPr="00D8225B">
              <w:rPr>
                <w:b/>
                <w:bCs/>
                <w:sz w:val="20"/>
                <w:szCs w:val="20"/>
              </w:rPr>
              <w:t>Surface Zeta Potential</w:t>
            </w:r>
          </w:p>
          <w:p w:rsidR="00D8225B" w:rsidRPr="00D8225B" w:rsidRDefault="00D8225B" w:rsidP="00D8225B">
            <w:pPr>
              <w:spacing w:after="60" w:line="240" w:lineRule="auto"/>
              <w:jc w:val="center"/>
              <w:outlineLvl w:val="0"/>
              <w:rPr>
                <w:b/>
                <w:bCs/>
                <w:sz w:val="20"/>
                <w:szCs w:val="20"/>
              </w:rPr>
            </w:pPr>
            <w:r w:rsidRPr="00D8225B">
              <w:rPr>
                <w:b/>
                <w:bCs/>
                <w:sz w:val="20"/>
                <w:szCs w:val="20"/>
              </w:rPr>
              <w:t>(mV)</w:t>
            </w:r>
          </w:p>
        </w:tc>
      </w:tr>
      <w:tr w:rsidR="00D8225B" w:rsidRPr="00D8225B" w:rsidTr="00787052">
        <w:trPr>
          <w:jc w:val="center"/>
        </w:trPr>
        <w:tc>
          <w:tcPr>
            <w:tcW w:w="0" w:type="auto"/>
            <w:tcBorders>
              <w:top w:val="single" w:sz="4" w:space="0" w:color="auto"/>
              <w:bottom w:val="nil"/>
              <w:right w:val="nil"/>
            </w:tcBorders>
          </w:tcPr>
          <w:p w:rsidR="00D8225B" w:rsidRPr="00D8225B" w:rsidRDefault="00D8225B" w:rsidP="00D8225B">
            <w:pPr>
              <w:spacing w:before="60" w:after="0" w:line="240" w:lineRule="auto"/>
              <w:outlineLvl w:val="0"/>
              <w:rPr>
                <w:bCs/>
                <w:sz w:val="20"/>
                <w:szCs w:val="20"/>
              </w:rPr>
            </w:pPr>
            <w:r w:rsidRPr="00D8225B">
              <w:rPr>
                <w:bCs/>
                <w:sz w:val="20"/>
                <w:szCs w:val="20"/>
              </w:rPr>
              <w:t xml:space="preserve">MWCNT-TNT </w:t>
            </w:r>
          </w:p>
        </w:tc>
        <w:tc>
          <w:tcPr>
            <w:tcW w:w="0" w:type="auto"/>
            <w:tcBorders>
              <w:top w:val="single" w:sz="4" w:space="0" w:color="auto"/>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w:t>
            </w:r>
          </w:p>
        </w:tc>
        <w:tc>
          <w:tcPr>
            <w:tcW w:w="0" w:type="auto"/>
            <w:tcBorders>
              <w:top w:val="single" w:sz="4" w:space="0" w:color="auto"/>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-8.95</w:t>
            </w:r>
          </w:p>
        </w:tc>
      </w:tr>
      <w:tr w:rsidR="00D8225B" w:rsidRPr="00D8225B" w:rsidTr="00787052">
        <w:trPr>
          <w:jc w:val="center"/>
        </w:trPr>
        <w:tc>
          <w:tcPr>
            <w:tcW w:w="0" w:type="auto"/>
            <w:tcBorders>
              <w:top w:val="nil"/>
              <w:bottom w:val="nil"/>
              <w:right w:val="nil"/>
            </w:tcBorders>
          </w:tcPr>
          <w:p w:rsidR="00D8225B" w:rsidRPr="00D8225B" w:rsidRDefault="00D8225B" w:rsidP="00D8225B">
            <w:pPr>
              <w:spacing w:before="60" w:after="0" w:line="240" w:lineRule="auto"/>
              <w:outlineLvl w:val="0"/>
              <w:rPr>
                <w:bCs/>
                <w:sz w:val="20"/>
                <w:szCs w:val="20"/>
              </w:rPr>
            </w:pPr>
            <w:r w:rsidRPr="00D8225B">
              <w:rPr>
                <w:bCs/>
                <w:sz w:val="20"/>
                <w:szCs w:val="20"/>
              </w:rPr>
              <w:t xml:space="preserve">a-MWCNT-TNT </w:t>
            </w:r>
          </w:p>
        </w:tc>
        <w:tc>
          <w:tcPr>
            <w:tcW w:w="0" w:type="auto"/>
            <w:tcBorders>
              <w:top w:val="nil"/>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w:t>
            </w:r>
          </w:p>
        </w:tc>
        <w:tc>
          <w:tcPr>
            <w:tcW w:w="0" w:type="auto"/>
            <w:tcBorders>
              <w:top w:val="nil"/>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26.6</w:t>
            </w:r>
          </w:p>
        </w:tc>
      </w:tr>
      <w:tr w:rsidR="00D8225B" w:rsidRPr="00D8225B" w:rsidTr="00787052">
        <w:trPr>
          <w:jc w:val="center"/>
        </w:trPr>
        <w:tc>
          <w:tcPr>
            <w:tcW w:w="0" w:type="auto"/>
            <w:tcBorders>
              <w:top w:val="nil"/>
              <w:bottom w:val="nil"/>
              <w:right w:val="nil"/>
            </w:tcBorders>
          </w:tcPr>
          <w:p w:rsidR="00D8225B" w:rsidRPr="00D8225B" w:rsidRDefault="00D8225B" w:rsidP="00D8225B">
            <w:pPr>
              <w:spacing w:before="60" w:after="0" w:line="240" w:lineRule="auto"/>
              <w:outlineLvl w:val="0"/>
              <w:rPr>
                <w:bCs/>
                <w:sz w:val="20"/>
                <w:szCs w:val="20"/>
              </w:rPr>
            </w:pPr>
            <w:r w:rsidRPr="00D8225B">
              <w:rPr>
                <w:bCs/>
                <w:sz w:val="20"/>
                <w:szCs w:val="20"/>
              </w:rPr>
              <w:t>TFC A</w:t>
            </w:r>
          </w:p>
        </w:tc>
        <w:tc>
          <w:tcPr>
            <w:tcW w:w="0" w:type="auto"/>
            <w:tcBorders>
              <w:top w:val="nil"/>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90.22 ± 2.81</w:t>
            </w:r>
          </w:p>
        </w:tc>
        <w:tc>
          <w:tcPr>
            <w:tcW w:w="0" w:type="auto"/>
            <w:tcBorders>
              <w:top w:val="nil"/>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w:t>
            </w:r>
          </w:p>
        </w:tc>
      </w:tr>
      <w:tr w:rsidR="00D8225B" w:rsidRPr="00D8225B" w:rsidTr="00787052">
        <w:trPr>
          <w:jc w:val="center"/>
        </w:trPr>
        <w:tc>
          <w:tcPr>
            <w:tcW w:w="0" w:type="auto"/>
            <w:tcBorders>
              <w:top w:val="nil"/>
              <w:bottom w:val="nil"/>
              <w:right w:val="nil"/>
            </w:tcBorders>
          </w:tcPr>
          <w:p w:rsidR="00D8225B" w:rsidRPr="00D8225B" w:rsidRDefault="00D8225B" w:rsidP="00D8225B">
            <w:pPr>
              <w:spacing w:before="60" w:after="0" w:line="240" w:lineRule="auto"/>
              <w:outlineLvl w:val="0"/>
              <w:rPr>
                <w:bCs/>
                <w:sz w:val="20"/>
                <w:szCs w:val="20"/>
              </w:rPr>
            </w:pPr>
            <w:r w:rsidRPr="00D8225B">
              <w:rPr>
                <w:bCs/>
                <w:sz w:val="20"/>
                <w:szCs w:val="20"/>
              </w:rPr>
              <w:t>TFC B</w:t>
            </w:r>
          </w:p>
        </w:tc>
        <w:tc>
          <w:tcPr>
            <w:tcW w:w="0" w:type="auto"/>
            <w:tcBorders>
              <w:top w:val="nil"/>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52.66 ± 3.39</w:t>
            </w:r>
          </w:p>
        </w:tc>
        <w:tc>
          <w:tcPr>
            <w:tcW w:w="0" w:type="auto"/>
            <w:tcBorders>
              <w:top w:val="nil"/>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-14.1</w:t>
            </w:r>
          </w:p>
        </w:tc>
      </w:tr>
      <w:tr w:rsidR="00D8225B" w:rsidRPr="00D8225B" w:rsidTr="00787052">
        <w:trPr>
          <w:jc w:val="center"/>
        </w:trPr>
        <w:tc>
          <w:tcPr>
            <w:tcW w:w="0" w:type="auto"/>
            <w:tcBorders>
              <w:top w:val="nil"/>
              <w:bottom w:val="nil"/>
              <w:right w:val="nil"/>
            </w:tcBorders>
          </w:tcPr>
          <w:p w:rsidR="00D8225B" w:rsidRPr="00D8225B" w:rsidRDefault="00D8225B" w:rsidP="00D8225B">
            <w:pPr>
              <w:spacing w:before="60" w:after="0" w:line="240" w:lineRule="auto"/>
              <w:outlineLvl w:val="0"/>
              <w:rPr>
                <w:bCs/>
                <w:sz w:val="20"/>
                <w:szCs w:val="20"/>
              </w:rPr>
            </w:pPr>
            <w:r w:rsidRPr="00D8225B">
              <w:rPr>
                <w:bCs/>
                <w:sz w:val="20"/>
                <w:szCs w:val="20"/>
              </w:rPr>
              <w:t>0.05 MWCNT-TNT/TFC B</w:t>
            </w:r>
          </w:p>
        </w:tc>
        <w:tc>
          <w:tcPr>
            <w:tcW w:w="0" w:type="auto"/>
            <w:tcBorders>
              <w:top w:val="nil"/>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72.92 ± 3.56</w:t>
            </w:r>
          </w:p>
        </w:tc>
        <w:tc>
          <w:tcPr>
            <w:tcW w:w="0" w:type="auto"/>
            <w:tcBorders>
              <w:top w:val="nil"/>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-10.6</w:t>
            </w:r>
          </w:p>
        </w:tc>
      </w:tr>
      <w:tr w:rsidR="00D8225B" w:rsidRPr="00D8225B" w:rsidTr="00787052">
        <w:trPr>
          <w:jc w:val="center"/>
        </w:trPr>
        <w:tc>
          <w:tcPr>
            <w:tcW w:w="0" w:type="auto"/>
            <w:tcBorders>
              <w:top w:val="nil"/>
              <w:bottom w:val="nil"/>
              <w:right w:val="nil"/>
            </w:tcBorders>
          </w:tcPr>
          <w:p w:rsidR="00D8225B" w:rsidRPr="00D8225B" w:rsidRDefault="00D8225B" w:rsidP="00D8225B">
            <w:pPr>
              <w:spacing w:before="60" w:after="0" w:line="240" w:lineRule="auto"/>
              <w:outlineLvl w:val="0"/>
              <w:rPr>
                <w:bCs/>
                <w:sz w:val="20"/>
                <w:szCs w:val="20"/>
              </w:rPr>
            </w:pPr>
            <w:r w:rsidRPr="00D8225B">
              <w:rPr>
                <w:bCs/>
                <w:sz w:val="20"/>
                <w:szCs w:val="20"/>
              </w:rPr>
              <w:t>0.05 a-MWCNT-TNT/TFC B</w:t>
            </w:r>
          </w:p>
        </w:tc>
        <w:tc>
          <w:tcPr>
            <w:tcW w:w="0" w:type="auto"/>
            <w:tcBorders>
              <w:top w:val="nil"/>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61.71 ± 2.21</w:t>
            </w:r>
          </w:p>
        </w:tc>
        <w:tc>
          <w:tcPr>
            <w:tcW w:w="0" w:type="auto"/>
            <w:tcBorders>
              <w:top w:val="nil"/>
              <w:left w:val="nil"/>
              <w:bottom w:val="nil"/>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17.2</w:t>
            </w:r>
          </w:p>
        </w:tc>
      </w:tr>
      <w:tr w:rsidR="00D8225B" w:rsidRPr="00D8225B" w:rsidTr="00787052">
        <w:trPr>
          <w:jc w:val="center"/>
        </w:trPr>
        <w:tc>
          <w:tcPr>
            <w:tcW w:w="0" w:type="auto"/>
            <w:tcBorders>
              <w:top w:val="nil"/>
              <w:bottom w:val="single" w:sz="4" w:space="0" w:color="auto"/>
              <w:right w:val="nil"/>
            </w:tcBorders>
          </w:tcPr>
          <w:p w:rsidR="00D8225B" w:rsidRPr="00D8225B" w:rsidRDefault="00D8225B" w:rsidP="00D8225B">
            <w:pPr>
              <w:spacing w:before="60" w:after="0" w:line="240" w:lineRule="auto"/>
              <w:outlineLvl w:val="0"/>
              <w:rPr>
                <w:bCs/>
                <w:sz w:val="20"/>
                <w:szCs w:val="20"/>
              </w:rPr>
            </w:pPr>
            <w:r w:rsidRPr="00D8225B">
              <w:rPr>
                <w:bCs/>
                <w:sz w:val="20"/>
                <w:szCs w:val="20"/>
              </w:rPr>
              <w:t>0.10 a-MWCNT-TNT/TFC B</w:t>
            </w:r>
          </w:p>
        </w:tc>
        <w:tc>
          <w:tcPr>
            <w:tcW w:w="0" w:type="auto"/>
            <w:tcBorders>
              <w:top w:val="nil"/>
              <w:left w:val="nil"/>
              <w:bottom w:val="single" w:sz="4" w:space="0" w:color="auto"/>
              <w:right w:val="nil"/>
            </w:tcBorders>
          </w:tcPr>
          <w:p w:rsidR="00D8225B" w:rsidRPr="00D8225B" w:rsidRDefault="00D8225B" w:rsidP="00D8225B">
            <w:pPr>
              <w:spacing w:before="60" w:after="0" w:line="240" w:lineRule="auto"/>
              <w:jc w:val="center"/>
              <w:outlineLvl w:val="0"/>
              <w:rPr>
                <w:bCs/>
                <w:sz w:val="20"/>
                <w:szCs w:val="20"/>
              </w:rPr>
            </w:pPr>
            <w:r w:rsidRPr="00D8225B">
              <w:rPr>
                <w:bCs/>
                <w:sz w:val="20"/>
                <w:szCs w:val="20"/>
              </w:rPr>
              <w:t>75.77 ± 2.97</w:t>
            </w:r>
          </w:p>
        </w:tc>
        <w:tc>
          <w:tcPr>
            <w:tcW w:w="0" w:type="auto"/>
            <w:tcBorders>
              <w:top w:val="nil"/>
              <w:left w:val="nil"/>
              <w:bottom w:val="single" w:sz="4" w:space="0" w:color="auto"/>
              <w:right w:val="nil"/>
            </w:tcBorders>
          </w:tcPr>
          <w:p w:rsidR="00D8225B" w:rsidRPr="00D8225B" w:rsidRDefault="00D8225B" w:rsidP="00D8225B">
            <w:pPr>
              <w:spacing w:before="60" w:after="60" w:line="240" w:lineRule="auto"/>
              <w:jc w:val="center"/>
              <w:outlineLvl w:val="0"/>
              <w:rPr>
                <w:bCs/>
                <w:sz w:val="20"/>
                <w:szCs w:val="20"/>
              </w:rPr>
            </w:pPr>
            <w:r w:rsidRPr="00D8225B">
              <w:rPr>
                <w:bCs/>
                <w:sz w:val="20"/>
                <w:szCs w:val="20"/>
              </w:rPr>
              <w:t>14.3</w:t>
            </w:r>
          </w:p>
        </w:tc>
      </w:tr>
    </w:tbl>
    <w:p w:rsidR="006768E9" w:rsidRDefault="006768E9" w:rsidP="00F447A7">
      <w:pPr>
        <w:spacing w:after="0" w:line="240" w:lineRule="auto"/>
        <w:jc w:val="center"/>
        <w:rPr>
          <w:rFonts w:ascii="Times New Roman" w:hAnsi="Times New Roman"/>
          <w:noProof/>
          <w:sz w:val="20"/>
          <w:szCs w:val="20"/>
          <w:lang w:bidi="ar-SA"/>
        </w:rPr>
      </w:pPr>
    </w:p>
    <w:p w:rsidR="00D8225B" w:rsidRPr="00F447A7" w:rsidRDefault="00D8225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8225B" w:rsidRPr="00D8225B" w:rsidRDefault="00D8225B" w:rsidP="00D8225B">
      <w:pPr>
        <w:spacing w:after="0" w:line="240" w:lineRule="auto"/>
        <w:jc w:val="both"/>
        <w:outlineLvl w:val="0"/>
        <w:rPr>
          <w:rFonts w:ascii="Times New Roman" w:hAnsi="Times New Roman"/>
          <w:sz w:val="20"/>
          <w:szCs w:val="20"/>
        </w:rPr>
      </w:pPr>
      <w:r w:rsidRPr="00D8225B">
        <w:rPr>
          <w:rFonts w:ascii="Times New Roman" w:hAnsi="Times New Roman"/>
          <w:sz w:val="20"/>
          <w:szCs w:val="20"/>
        </w:rPr>
        <w:t xml:space="preserve">Novel TFN membranes for nanofiltration were fabricated by incorporating MWCNT-TNT hybrid. The MWCNT-TNT hybrid was successfully synthesized, which was confirmed by XRD and TEM analysis. The mixed cross-linking of MPD-PIP diamine monomer during interfacial polymerization in polyamide layer decreased the rejection of NaCl to an average of 39%. The unique properties of MWCNT-TNT hybrid such as tubular structure </w:t>
      </w:r>
      <w:r w:rsidRPr="00D8225B">
        <w:rPr>
          <w:rFonts w:ascii="Times New Roman" w:hAnsi="Times New Roman"/>
          <w:noProof/>
          <w:sz w:val="20"/>
          <w:szCs w:val="20"/>
        </w:rPr>
        <w:t>have</w:t>
      </w:r>
      <w:r w:rsidRPr="00D8225B">
        <w:rPr>
          <w:rFonts w:ascii="Times New Roman" w:hAnsi="Times New Roman"/>
          <w:sz w:val="20"/>
          <w:szCs w:val="20"/>
        </w:rPr>
        <w:t xml:space="preserve"> improved the membrane performance in terms of water permeability and NaCl rejection. The acid treatment of MWCNT-TNT with HCl possibly provide</w:t>
      </w:r>
      <w:r w:rsidR="00B92C44">
        <w:rPr>
          <w:rFonts w:ascii="Times New Roman" w:hAnsi="Times New Roman"/>
          <w:sz w:val="20"/>
          <w:szCs w:val="20"/>
        </w:rPr>
        <w:t>d</w:t>
      </w:r>
      <w:r w:rsidRPr="00D8225B">
        <w:rPr>
          <w:rFonts w:ascii="Times New Roman" w:hAnsi="Times New Roman"/>
          <w:sz w:val="20"/>
          <w:szCs w:val="20"/>
        </w:rPr>
        <w:t xml:space="preserve"> external Cl group which help on PA layer formation. However, it might compete with the fast reaction of PIP monomer which decrease the negative charge of the membrane and decreased the salt rejection. Worth noting that the higher loading of a-MWCNT-TNT in MPD-PIP polyamide layer decreased both water permeability and NaCl rejection of membrane performance due to the dense PA layer formation.</w:t>
      </w:r>
    </w:p>
    <w:p w:rsidR="00D8225B" w:rsidRPr="00D8225B" w:rsidRDefault="00D8225B" w:rsidP="00D8225B">
      <w:pPr>
        <w:spacing w:after="0" w:line="240" w:lineRule="auto"/>
        <w:jc w:val="center"/>
        <w:outlineLvl w:val="0"/>
        <w:rPr>
          <w:rFonts w:ascii="Times New Roman" w:hAnsi="Times New Roman"/>
          <w:sz w:val="20"/>
          <w:szCs w:val="20"/>
        </w:rPr>
      </w:pPr>
    </w:p>
    <w:p w:rsidR="00D8225B" w:rsidRPr="00D8225B" w:rsidRDefault="00D8225B" w:rsidP="00D8225B">
      <w:pPr>
        <w:spacing w:after="0" w:line="240" w:lineRule="auto"/>
        <w:jc w:val="center"/>
        <w:outlineLvl w:val="0"/>
        <w:rPr>
          <w:rFonts w:ascii="Times New Roman" w:hAnsi="Times New Roman"/>
          <w:b/>
          <w:sz w:val="20"/>
          <w:szCs w:val="20"/>
        </w:rPr>
      </w:pPr>
      <w:r w:rsidRPr="00D8225B">
        <w:rPr>
          <w:rFonts w:ascii="Times New Roman" w:hAnsi="Times New Roman"/>
          <w:b/>
          <w:sz w:val="20"/>
          <w:szCs w:val="20"/>
        </w:rPr>
        <w:t>Acknowledgement</w:t>
      </w:r>
    </w:p>
    <w:p w:rsidR="006768E9" w:rsidRPr="00F447A7" w:rsidRDefault="00D8225B" w:rsidP="00D8225B">
      <w:pPr>
        <w:spacing w:after="0" w:line="240" w:lineRule="auto"/>
        <w:jc w:val="both"/>
        <w:outlineLvl w:val="0"/>
        <w:rPr>
          <w:rFonts w:ascii="Times New Roman" w:hAnsi="Times New Roman"/>
          <w:sz w:val="20"/>
          <w:szCs w:val="20"/>
        </w:rPr>
      </w:pPr>
      <w:r w:rsidRPr="00D8225B">
        <w:rPr>
          <w:rFonts w:ascii="Times New Roman" w:hAnsi="Times New Roman"/>
          <w:sz w:val="20"/>
          <w:szCs w:val="20"/>
        </w:rPr>
        <w:t xml:space="preserve">The authors would like to acknowledge the financial supports provided by Ministry of Higher Education (FRGS Grant: 4F306 and HiCOE Grant: 4J196) and Universiti Teknologi Malaysia for Research University Grant: 02G43. Author, Ihsan Wan Azelee thanks the sponsorship given by Ministry of Higher Education under MyBrain15 (MyPhD) scheme during his </w:t>
      </w:r>
      <w:r w:rsidRPr="00D8225B">
        <w:rPr>
          <w:rFonts w:ascii="Times New Roman" w:hAnsi="Times New Roman"/>
          <w:noProof/>
          <w:sz w:val="20"/>
          <w:szCs w:val="20"/>
        </w:rPr>
        <w:t>Ph.D.</w:t>
      </w:r>
      <w:r w:rsidRPr="00D8225B">
        <w:rPr>
          <w:rFonts w:ascii="Times New Roman" w:hAnsi="Times New Roman"/>
          <w:sz w:val="20"/>
          <w:szCs w:val="20"/>
        </w:rPr>
        <w:t xml:space="preserve"> studies.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D8225B">
        <w:rPr>
          <w:rFonts w:ascii="Times New Roman" w:hAnsi="Times New Roman"/>
          <w:sz w:val="20"/>
          <w:szCs w:val="20"/>
        </w:rPr>
        <w:fldChar w:fldCharType="begin" w:fldLock="1"/>
      </w:r>
      <w:r w:rsidRPr="007753B2">
        <w:rPr>
          <w:rFonts w:ascii="Times New Roman" w:hAnsi="Times New Roman"/>
          <w:sz w:val="20"/>
          <w:szCs w:val="20"/>
        </w:rPr>
        <w:instrText xml:space="preserve">ADDIN Mendeley Bibliography CSL_BIBLIOGRAPHY </w:instrText>
      </w:r>
      <w:r w:rsidRPr="00D8225B">
        <w:rPr>
          <w:rFonts w:ascii="Times New Roman" w:hAnsi="Times New Roman"/>
          <w:sz w:val="20"/>
          <w:szCs w:val="20"/>
        </w:rPr>
        <w:fldChar w:fldCharType="separate"/>
      </w:r>
      <w:r w:rsidRPr="007753B2">
        <w:rPr>
          <w:rFonts w:ascii="Times New Roman" w:hAnsi="Times New Roman"/>
          <w:noProof/>
          <w:sz w:val="20"/>
          <w:szCs w:val="20"/>
        </w:rPr>
        <w:t xml:space="preserve">Wu, D., Yu, S., Lawless, D. and Feng, X. (2015). Thin film composite nanofiltration membranes fabricated from polymeric amine polyethylenimine imbedded with monomeric amine piperazine for enhanced salt separations. </w:t>
      </w:r>
      <w:r w:rsidRPr="007753B2">
        <w:rPr>
          <w:rFonts w:ascii="Times New Roman" w:hAnsi="Times New Roman"/>
          <w:i/>
          <w:iCs/>
          <w:noProof/>
          <w:sz w:val="20"/>
          <w:szCs w:val="20"/>
        </w:rPr>
        <w:t>Reactive and Functional Polymers</w:t>
      </w:r>
      <w:r w:rsidRPr="007753B2">
        <w:rPr>
          <w:rFonts w:ascii="Times New Roman" w:hAnsi="Times New Roman"/>
          <w:noProof/>
          <w:sz w:val="20"/>
          <w:szCs w:val="20"/>
        </w:rPr>
        <w:t>, 86: 168 – 1835.</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Lau, W. J., Ismail, A. F., Goh, P. S., Hilal, N. and Ooi, B. S. (2014). Characterization methods of thin film composite nanofiltration membranes. </w:t>
      </w:r>
      <w:r w:rsidRPr="007753B2">
        <w:rPr>
          <w:rFonts w:ascii="Times New Roman" w:hAnsi="Times New Roman"/>
          <w:i/>
          <w:iCs/>
          <w:noProof/>
          <w:sz w:val="20"/>
          <w:szCs w:val="20"/>
        </w:rPr>
        <w:t>Separation and Purification Reviews</w:t>
      </w:r>
      <w:r w:rsidRPr="007753B2">
        <w:rPr>
          <w:rFonts w:ascii="Times New Roman" w:hAnsi="Times New Roman"/>
          <w:noProof/>
          <w:sz w:val="20"/>
          <w:szCs w:val="20"/>
        </w:rPr>
        <w:t>, 44 (2): 135 – 156.</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Vatanpour, V., Esmaeili, M. and Farahani, M. H. D. A. (2014). Fouling reduction and retention increment of polyethersulfone nanofiltration membranes embedded by amine-functionalized multi-walled carbon nanotubes. </w:t>
      </w:r>
      <w:r w:rsidRPr="007753B2">
        <w:rPr>
          <w:rFonts w:ascii="Times New Roman" w:hAnsi="Times New Roman"/>
          <w:i/>
          <w:iCs/>
          <w:noProof/>
          <w:sz w:val="20"/>
          <w:szCs w:val="20"/>
        </w:rPr>
        <w:t>Journal of Membrane Science</w:t>
      </w:r>
      <w:r w:rsidRPr="007753B2">
        <w:rPr>
          <w:rFonts w:ascii="Times New Roman" w:hAnsi="Times New Roman"/>
          <w:noProof/>
          <w:sz w:val="20"/>
          <w:szCs w:val="20"/>
        </w:rPr>
        <w:t>, 466: 70 – 81.</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Natarajan, T. S., Lee, J. Y., Bajaj, H. C., Jo, W.-K. and Tayade, R. J. (2016). Synthesis of multiwall carbon nanotubes/TiO</w:t>
      </w:r>
      <w:r w:rsidRPr="007753B2">
        <w:rPr>
          <w:rFonts w:ascii="Times New Roman" w:hAnsi="Times New Roman"/>
          <w:noProof/>
          <w:sz w:val="20"/>
          <w:szCs w:val="20"/>
          <w:vertAlign w:val="subscript"/>
        </w:rPr>
        <w:t>2</w:t>
      </w:r>
      <w:r w:rsidRPr="007753B2">
        <w:rPr>
          <w:rFonts w:ascii="Times New Roman" w:hAnsi="Times New Roman"/>
          <w:noProof/>
          <w:sz w:val="20"/>
          <w:szCs w:val="20"/>
        </w:rPr>
        <w:t xml:space="preserve"> nanotube composites with enhanced photocatalytic decomposition efficiency. </w:t>
      </w:r>
      <w:r w:rsidRPr="007753B2">
        <w:rPr>
          <w:rFonts w:ascii="Times New Roman" w:hAnsi="Times New Roman"/>
          <w:i/>
          <w:iCs/>
          <w:noProof/>
          <w:sz w:val="20"/>
          <w:szCs w:val="20"/>
        </w:rPr>
        <w:t>Catalysis Today</w:t>
      </w:r>
      <w:r w:rsidRPr="007753B2">
        <w:rPr>
          <w:rFonts w:ascii="Times New Roman" w:hAnsi="Times New Roman"/>
          <w:noProof/>
          <w:sz w:val="20"/>
          <w:szCs w:val="20"/>
        </w:rPr>
        <w:t>, 282: 13 –  23.</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Mudunkotuwa, I. A. and Grassian, V. H. (2010). Citric acid adsorption on TiO</w:t>
      </w:r>
      <w:r w:rsidRPr="007753B2">
        <w:rPr>
          <w:rFonts w:ascii="Times New Roman" w:hAnsi="Times New Roman"/>
          <w:noProof/>
          <w:sz w:val="20"/>
          <w:szCs w:val="20"/>
          <w:vertAlign w:val="subscript"/>
        </w:rPr>
        <w:t>2</w:t>
      </w:r>
      <w:r w:rsidRPr="007753B2">
        <w:rPr>
          <w:rFonts w:ascii="Times New Roman" w:hAnsi="Times New Roman"/>
          <w:noProof/>
          <w:sz w:val="20"/>
          <w:szCs w:val="20"/>
        </w:rPr>
        <w:t xml:space="preserve"> nanoparticles in aqueous suspensions at acidic and circumneutral pH : Surface coverage , surface speciation , and its impact on nanoparticle - nanoparticle interactions. </w:t>
      </w:r>
      <w:r w:rsidRPr="007753B2">
        <w:rPr>
          <w:rFonts w:ascii="Times New Roman" w:hAnsi="Times New Roman"/>
          <w:i/>
          <w:iCs/>
          <w:noProof/>
          <w:sz w:val="20"/>
          <w:szCs w:val="20"/>
        </w:rPr>
        <w:t>Jounal of American Chemical Society</w:t>
      </w:r>
      <w:r w:rsidRPr="007753B2">
        <w:rPr>
          <w:rFonts w:ascii="Times New Roman" w:hAnsi="Times New Roman"/>
          <w:noProof/>
          <w:sz w:val="20"/>
          <w:szCs w:val="20"/>
        </w:rPr>
        <w:t>, 132: 14986 – 14994.</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Lind, M. L., Suk, D. E., Nguyen, T. V. and Hoek, E. M. V. (2010). Tailoring the structure of thin film nanocomposite membranes to achieve seawater RO membrane performance. </w:t>
      </w:r>
      <w:r w:rsidRPr="007753B2">
        <w:rPr>
          <w:rFonts w:ascii="Times New Roman" w:hAnsi="Times New Roman"/>
          <w:i/>
          <w:iCs/>
          <w:noProof/>
          <w:sz w:val="20"/>
          <w:szCs w:val="20"/>
        </w:rPr>
        <w:t>Environmental Science and Technology</w:t>
      </w:r>
      <w:r w:rsidRPr="007753B2">
        <w:rPr>
          <w:rFonts w:ascii="Times New Roman" w:hAnsi="Times New Roman"/>
          <w:noProof/>
          <w:sz w:val="20"/>
          <w:szCs w:val="20"/>
        </w:rPr>
        <w:t>, 44 (21): 8230 – 8235.</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Xie, W., Geise, G. M., Freeman, B. D., Lee, H. S., Byun, G. and McGrath, J. E. (2012). Polyamide interfacial composite membranes prepared from m-phenylene diamine, trimesoyl chloride and a new disulfonated diamine. </w:t>
      </w:r>
      <w:r w:rsidRPr="007753B2">
        <w:rPr>
          <w:rFonts w:ascii="Times New Roman" w:hAnsi="Times New Roman"/>
          <w:i/>
          <w:iCs/>
          <w:noProof/>
          <w:sz w:val="20"/>
          <w:szCs w:val="20"/>
        </w:rPr>
        <w:t>Journal of Membrane Science</w:t>
      </w:r>
      <w:r w:rsidRPr="007753B2">
        <w:rPr>
          <w:rFonts w:ascii="Times New Roman" w:hAnsi="Times New Roman"/>
          <w:noProof/>
          <w:sz w:val="20"/>
          <w:szCs w:val="20"/>
        </w:rPr>
        <w:t>, 403 – 404: 152 – 161.</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lastRenderedPageBreak/>
        <w:t xml:space="preserve">Liu, X., Yan, R., Zhang, J., Zhu, J. and Wong, D. K. Y. (2015). Evaluation of a carbon nanotube-titanate nanotube nanocomposite as an electrochemical biosensor scaffold. </w:t>
      </w:r>
      <w:r w:rsidRPr="007753B2">
        <w:rPr>
          <w:rFonts w:ascii="Times New Roman" w:hAnsi="Times New Roman"/>
          <w:i/>
          <w:iCs/>
          <w:noProof/>
          <w:sz w:val="20"/>
          <w:szCs w:val="20"/>
        </w:rPr>
        <w:t>Biosensors and Bioelectronics</w:t>
      </w:r>
      <w:r w:rsidRPr="007753B2">
        <w:rPr>
          <w:rFonts w:ascii="Times New Roman" w:hAnsi="Times New Roman"/>
          <w:noProof/>
          <w:sz w:val="20"/>
          <w:szCs w:val="20"/>
        </w:rPr>
        <w:t>, 66:  208 – 215.</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Saha, N. K. and Joshi, S. V. (2009). Performance evaluation of thin film composite polyamide nanofiltration membrane with variation in monomer type. </w:t>
      </w:r>
      <w:r w:rsidRPr="007753B2">
        <w:rPr>
          <w:rFonts w:ascii="Times New Roman" w:hAnsi="Times New Roman"/>
          <w:i/>
          <w:iCs/>
          <w:noProof/>
          <w:sz w:val="20"/>
          <w:szCs w:val="20"/>
        </w:rPr>
        <w:t>Journal of Membrane Science</w:t>
      </w:r>
      <w:r w:rsidRPr="007753B2">
        <w:rPr>
          <w:rFonts w:ascii="Times New Roman" w:hAnsi="Times New Roman"/>
          <w:noProof/>
          <w:sz w:val="20"/>
          <w:szCs w:val="20"/>
        </w:rPr>
        <w:t>, 342 (1–2): 60 – 69.</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Daer, S., Kharraz, J., Giwa, A. and Hasan, S. W. (2015). Recent applications of nanomaterials in water desalination: A critical review and future opportunities. </w:t>
      </w:r>
      <w:r w:rsidRPr="007753B2">
        <w:rPr>
          <w:rFonts w:ascii="Times New Roman" w:hAnsi="Times New Roman"/>
          <w:i/>
          <w:iCs/>
          <w:noProof/>
          <w:sz w:val="20"/>
          <w:szCs w:val="20"/>
        </w:rPr>
        <w:t>Desalination</w:t>
      </w:r>
      <w:r w:rsidRPr="007753B2">
        <w:rPr>
          <w:rFonts w:ascii="Times New Roman" w:hAnsi="Times New Roman"/>
          <w:noProof/>
          <w:sz w:val="20"/>
          <w:szCs w:val="20"/>
        </w:rPr>
        <w:t>, 367: 37 – 48.</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Zhang, L., Shi, G.-Z., Qiu, S., Cheng, L.-H. and Chen, H.-L. (2011). Preparation of high-flux thin film nanocomposite reverse osmosis membranes by incorporating functionalized multi-walled carbon nanotubes. </w:t>
      </w:r>
      <w:r w:rsidRPr="007753B2">
        <w:rPr>
          <w:rFonts w:ascii="Times New Roman" w:hAnsi="Times New Roman"/>
          <w:i/>
          <w:iCs/>
          <w:noProof/>
          <w:sz w:val="20"/>
          <w:szCs w:val="20"/>
        </w:rPr>
        <w:t>Desalination and Water Treatment</w:t>
      </w:r>
      <w:r w:rsidRPr="007753B2">
        <w:rPr>
          <w:rFonts w:ascii="Times New Roman" w:hAnsi="Times New Roman"/>
          <w:noProof/>
          <w:sz w:val="20"/>
          <w:szCs w:val="20"/>
        </w:rPr>
        <w:t>, 34(1–3): 19 – 24.</w:t>
      </w:r>
    </w:p>
    <w:p w:rsid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 xml:space="preserve">Ma, N., Wei, J., Liao, R. and Tang, C. Y. (2012). Zeolite-polyamide thin film nanocomposite membranes: Towards enhanced performance for forward osmosis. </w:t>
      </w:r>
      <w:r w:rsidRPr="007753B2">
        <w:rPr>
          <w:rFonts w:ascii="Times New Roman" w:hAnsi="Times New Roman"/>
          <w:i/>
          <w:iCs/>
          <w:noProof/>
          <w:sz w:val="20"/>
          <w:szCs w:val="20"/>
        </w:rPr>
        <w:t>Journal of Membrane Science</w:t>
      </w:r>
      <w:r w:rsidRPr="007753B2">
        <w:rPr>
          <w:rFonts w:ascii="Times New Roman" w:hAnsi="Times New Roman"/>
          <w:noProof/>
          <w:sz w:val="20"/>
          <w:szCs w:val="20"/>
        </w:rPr>
        <w:t>, 405 – 406: 149 – 157.</w:t>
      </w:r>
    </w:p>
    <w:p w:rsidR="00D8225B" w:rsidRPr="007753B2" w:rsidRDefault="00D8225B" w:rsidP="007753B2">
      <w:pPr>
        <w:pStyle w:val="ListParagraph"/>
        <w:numPr>
          <w:ilvl w:val="0"/>
          <w:numId w:val="3"/>
        </w:numPr>
        <w:adjustRightInd w:val="0"/>
        <w:spacing w:after="0" w:line="240" w:lineRule="auto"/>
        <w:ind w:left="360"/>
        <w:jc w:val="both"/>
        <w:rPr>
          <w:rFonts w:ascii="Times New Roman" w:hAnsi="Times New Roman"/>
          <w:noProof/>
          <w:sz w:val="20"/>
          <w:szCs w:val="20"/>
        </w:rPr>
      </w:pPr>
      <w:r w:rsidRPr="007753B2">
        <w:rPr>
          <w:rFonts w:ascii="Times New Roman" w:hAnsi="Times New Roman"/>
          <w:noProof/>
          <w:sz w:val="20"/>
          <w:szCs w:val="20"/>
        </w:rPr>
        <w:t>Wan Azelee, I., Goh, P. S., Lau, W. J., Ng, B. C. and Ismail, A. F. (2016). Development of thin film nanocomposite embedded with graphene oxide for MgSO</w:t>
      </w:r>
      <w:r w:rsidRPr="007753B2">
        <w:rPr>
          <w:rFonts w:ascii="Times New Roman" w:hAnsi="Times New Roman"/>
          <w:noProof/>
          <w:sz w:val="20"/>
          <w:szCs w:val="20"/>
          <w:vertAlign w:val="subscript"/>
        </w:rPr>
        <w:t xml:space="preserve">4 </w:t>
      </w:r>
      <w:r w:rsidRPr="007753B2">
        <w:rPr>
          <w:rFonts w:ascii="Times New Roman" w:hAnsi="Times New Roman"/>
          <w:noProof/>
          <w:sz w:val="20"/>
          <w:szCs w:val="20"/>
        </w:rPr>
        <w:t xml:space="preserve">removal. </w:t>
      </w:r>
      <w:r w:rsidRPr="007753B2">
        <w:rPr>
          <w:rFonts w:ascii="Times New Roman" w:hAnsi="Times New Roman"/>
          <w:i/>
          <w:iCs/>
          <w:noProof/>
          <w:sz w:val="20"/>
          <w:szCs w:val="20"/>
        </w:rPr>
        <w:t>Journal of Engineerning Science and Technology</w:t>
      </w:r>
      <w:r w:rsidRPr="007753B2">
        <w:rPr>
          <w:rFonts w:ascii="Times New Roman" w:hAnsi="Times New Roman"/>
          <w:noProof/>
          <w:sz w:val="20"/>
          <w:szCs w:val="20"/>
        </w:rPr>
        <w:t>, 11(7): 974 – 986.</w:t>
      </w:r>
    </w:p>
    <w:p w:rsidR="00A74A7E" w:rsidRPr="00D8225B" w:rsidRDefault="00D8225B" w:rsidP="007753B2">
      <w:pPr>
        <w:spacing w:after="0" w:line="240" w:lineRule="auto"/>
        <w:ind w:left="360" w:hanging="360"/>
        <w:jc w:val="both"/>
      </w:pPr>
      <w:r w:rsidRPr="00D8225B">
        <w:rPr>
          <w:rFonts w:ascii="Times New Roman" w:hAnsi="Times New Roman"/>
          <w:sz w:val="20"/>
          <w:szCs w:val="20"/>
        </w:rPr>
        <w:fldChar w:fldCharType="end"/>
      </w:r>
    </w:p>
    <w:sectPr w:rsidR="00A74A7E" w:rsidRPr="00D8225B" w:rsidSect="00F10993">
      <w:headerReference w:type="even" r:id="rId31"/>
      <w:headerReference w:type="default" r:id="rId32"/>
      <w:footerReference w:type="even" r:id="rId33"/>
      <w:footerReference w:type="default" r:id="rId34"/>
      <w:pgSz w:w="12240" w:h="15840" w:code="1"/>
      <w:pgMar w:top="1800" w:right="1469" w:bottom="1699" w:left="1440" w:header="706" w:footer="706" w:gutter="0"/>
      <w:pgNumType w:start="40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06DF5">
          <w:rPr>
            <w:rFonts w:ascii="Times New Roman" w:hAnsi="Times New Roman"/>
            <w:noProof/>
          </w:rPr>
          <w:t>408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06DF5">
          <w:rPr>
            <w:rFonts w:ascii="Times New Roman" w:hAnsi="Times New Roman"/>
            <w:noProof/>
          </w:rPr>
          <w:t>407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F4195">
      <w:rPr>
        <w:rFonts w:ascii="Times New Roman" w:hAnsi="Times New Roman"/>
        <w:i/>
        <w:lang w:val="en-US"/>
      </w:rPr>
      <w:t>No 2</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F10993">
      <w:rPr>
        <w:rFonts w:ascii="Times New Roman" w:hAnsi="Times New Roman"/>
        <w:i/>
        <w:lang w:val="en-US"/>
      </w:rPr>
      <w:t>402</w:t>
    </w:r>
    <w:r w:rsidR="004B43FF">
      <w:rPr>
        <w:rFonts w:ascii="Times New Roman" w:hAnsi="Times New Roman"/>
        <w:i/>
        <w:lang w:val="en-US"/>
      </w:rPr>
      <w:t xml:space="preserve"> </w:t>
    </w:r>
    <w:r w:rsidR="00583C85">
      <w:rPr>
        <w:rFonts w:ascii="Times New Roman" w:hAnsi="Times New Roman"/>
        <w:i/>
        <w:lang w:val="en-US"/>
      </w:rPr>
      <w:t>-</w:t>
    </w:r>
    <w:r w:rsidR="00F10993">
      <w:rPr>
        <w:rFonts w:ascii="Times New Roman" w:hAnsi="Times New Roman"/>
        <w:i/>
        <w:lang w:val="en-US"/>
      </w:rPr>
      <w:t xml:space="preserve"> 408</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7F4ECC">
      <w:rPr>
        <w:rFonts w:ascii="Times New Roman" w:hAnsi="Times New Roman"/>
        <w:i/>
        <w:lang w:val="en-US"/>
      </w:rPr>
      <w:t>2</w:t>
    </w:r>
    <w:r w:rsidR="00F10993">
      <w:rPr>
        <w:rFonts w:ascii="Times New Roman" w:hAnsi="Times New Roman"/>
        <w:i/>
        <w:lang w:val="en-US"/>
      </w:rPr>
      <w:t>-15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191020" w:rsidRDefault="00191020" w:rsidP="00191020">
    <w:pPr>
      <w:spacing w:after="0" w:line="240" w:lineRule="auto"/>
      <w:ind w:left="1080" w:hanging="1080"/>
      <w:outlineLvl w:val="0"/>
      <w:rPr>
        <w:rFonts w:ascii="Times New Roman" w:hAnsi="Times New Roman"/>
        <w:bCs/>
        <w:sz w:val="20"/>
        <w:szCs w:val="20"/>
      </w:rPr>
    </w:pPr>
    <w:r>
      <w:rPr>
        <w:rFonts w:ascii="Times New Roman" w:hAnsi="Times New Roman"/>
        <w:sz w:val="20"/>
        <w:szCs w:val="20"/>
      </w:rPr>
      <w:t>Ihsan et al</w:t>
    </w:r>
    <w:r w:rsidR="008E6968" w:rsidRPr="00191020">
      <w:rPr>
        <w:rFonts w:ascii="Times New Roman" w:hAnsi="Times New Roman"/>
        <w:sz w:val="20"/>
        <w:szCs w:val="20"/>
      </w:rPr>
      <w:t xml:space="preserve">:  </w:t>
    </w:r>
    <w:r w:rsidRPr="00191020">
      <w:rPr>
        <w:rFonts w:ascii="Times New Roman" w:hAnsi="Times New Roman"/>
        <w:sz w:val="20"/>
        <w:szCs w:val="20"/>
      </w:rPr>
      <w:t xml:space="preserve"> </w:t>
    </w:r>
    <w:r>
      <w:rPr>
        <w:rFonts w:ascii="Times New Roman" w:hAnsi="Times New Roman"/>
        <w:sz w:val="20"/>
        <w:szCs w:val="20"/>
      </w:rPr>
      <w:tab/>
    </w:r>
    <w:r w:rsidRPr="00191020">
      <w:rPr>
        <w:rFonts w:ascii="Times New Roman" w:hAnsi="Times New Roman"/>
        <w:bCs/>
        <w:sz w:val="20"/>
        <w:szCs w:val="20"/>
      </w:rPr>
      <w:t>THE EFFECT OF NOVEL MULTIWALLED CARBON NANOTUBE-TITANIA NANOTUBE HYBRID IN POLYAMIDE ACTIVE LAYER TOWARDS WATER PERMEABILITY AND HIGH SODIUM CHLORIDE REJECTION PERFORMANCE OF NANOFILTRATION MEMBRANE DESALINATION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910A61"/>
    <w:multiLevelType w:val="hybridMultilevel"/>
    <w:tmpl w:val="A4AA7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91020"/>
    <w:rsid w:val="001937B4"/>
    <w:rsid w:val="001D035A"/>
    <w:rsid w:val="001D3855"/>
    <w:rsid w:val="001D6F2C"/>
    <w:rsid w:val="00206DF5"/>
    <w:rsid w:val="00221D39"/>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B43FF"/>
    <w:rsid w:val="00502641"/>
    <w:rsid w:val="00545363"/>
    <w:rsid w:val="00583C85"/>
    <w:rsid w:val="00584156"/>
    <w:rsid w:val="00593819"/>
    <w:rsid w:val="005C6768"/>
    <w:rsid w:val="00634C25"/>
    <w:rsid w:val="006416AB"/>
    <w:rsid w:val="006768E9"/>
    <w:rsid w:val="00687982"/>
    <w:rsid w:val="00695D0E"/>
    <w:rsid w:val="006A3A0F"/>
    <w:rsid w:val="006B3EC8"/>
    <w:rsid w:val="006D695E"/>
    <w:rsid w:val="006E646E"/>
    <w:rsid w:val="00725A6A"/>
    <w:rsid w:val="00730CB3"/>
    <w:rsid w:val="007753B2"/>
    <w:rsid w:val="007943F3"/>
    <w:rsid w:val="007A738C"/>
    <w:rsid w:val="007B1349"/>
    <w:rsid w:val="007E25BD"/>
    <w:rsid w:val="007F4ECC"/>
    <w:rsid w:val="00801E18"/>
    <w:rsid w:val="00802C35"/>
    <w:rsid w:val="00803C45"/>
    <w:rsid w:val="0082181A"/>
    <w:rsid w:val="00871F16"/>
    <w:rsid w:val="008B470E"/>
    <w:rsid w:val="008C14D6"/>
    <w:rsid w:val="008E1211"/>
    <w:rsid w:val="008E5BBF"/>
    <w:rsid w:val="008E6968"/>
    <w:rsid w:val="00A14DB9"/>
    <w:rsid w:val="00A4762A"/>
    <w:rsid w:val="00A74A7E"/>
    <w:rsid w:val="00AD1B8A"/>
    <w:rsid w:val="00AE713F"/>
    <w:rsid w:val="00B0191B"/>
    <w:rsid w:val="00B1121C"/>
    <w:rsid w:val="00B25B65"/>
    <w:rsid w:val="00B2770A"/>
    <w:rsid w:val="00B314AD"/>
    <w:rsid w:val="00B75BF6"/>
    <w:rsid w:val="00B92C44"/>
    <w:rsid w:val="00BA1F7B"/>
    <w:rsid w:val="00BB58AF"/>
    <w:rsid w:val="00BE7C30"/>
    <w:rsid w:val="00C055BF"/>
    <w:rsid w:val="00C0756D"/>
    <w:rsid w:val="00C2226A"/>
    <w:rsid w:val="00C94D92"/>
    <w:rsid w:val="00C97340"/>
    <w:rsid w:val="00CA513F"/>
    <w:rsid w:val="00CB41AC"/>
    <w:rsid w:val="00CF05FF"/>
    <w:rsid w:val="00D340BB"/>
    <w:rsid w:val="00D505D5"/>
    <w:rsid w:val="00D63C28"/>
    <w:rsid w:val="00D75B35"/>
    <w:rsid w:val="00D76E09"/>
    <w:rsid w:val="00D8225B"/>
    <w:rsid w:val="00D9736F"/>
    <w:rsid w:val="00D9792A"/>
    <w:rsid w:val="00DD377F"/>
    <w:rsid w:val="00E25547"/>
    <w:rsid w:val="00E2773B"/>
    <w:rsid w:val="00E3287E"/>
    <w:rsid w:val="00E66197"/>
    <w:rsid w:val="00EF4195"/>
    <w:rsid w:val="00F10993"/>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39"/>
    <w:rsid w:val="00D822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39"/>
    <w:rsid w:val="00D822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tif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chart" Target="charts/chart1.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PhD%20Doc\PhD\Excel%20data\17%20Mac%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70921094232246"/>
          <c:y val="0.12535612535612536"/>
          <c:w val="0.73047737161439907"/>
          <c:h val="0.56654732261031482"/>
        </c:manualLayout>
      </c:layout>
      <c:barChart>
        <c:barDir val="col"/>
        <c:grouping val="clustered"/>
        <c:varyColors val="0"/>
        <c:ser>
          <c:idx val="0"/>
          <c:order val="0"/>
          <c:tx>
            <c:v>Water Permeability</c:v>
          </c:tx>
          <c:spPr>
            <a:solidFill>
              <a:srgbClr val="1C138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Sheet1!$A$45:$A$49</c:f>
              <c:strCache>
                <c:ptCount val="5"/>
                <c:pt idx="0">
                  <c:v>TFC A</c:v>
                </c:pt>
                <c:pt idx="1">
                  <c:v>TFC B</c:v>
                </c:pt>
                <c:pt idx="2">
                  <c:v>0.05 MWCNT- TNT/TFC B</c:v>
                </c:pt>
                <c:pt idx="3">
                  <c:v>0.05 MWCNT- TNT (pH2)/TFC B</c:v>
                </c:pt>
                <c:pt idx="4">
                  <c:v>0.10 MWCNT- TNT (pH2)/TFC B </c:v>
                </c:pt>
              </c:strCache>
            </c:strRef>
          </c:cat>
          <c:val>
            <c:numRef>
              <c:f>Sheet1!$B$45:$B$49</c:f>
              <c:numCache>
                <c:formatCode>General</c:formatCode>
                <c:ptCount val="5"/>
                <c:pt idx="0">
                  <c:v>0.54</c:v>
                </c:pt>
                <c:pt idx="1">
                  <c:v>2.25</c:v>
                </c:pt>
                <c:pt idx="2">
                  <c:v>0.86</c:v>
                </c:pt>
                <c:pt idx="3">
                  <c:v>0.89</c:v>
                </c:pt>
                <c:pt idx="4">
                  <c:v>0.57999999999999996</c:v>
                </c:pt>
              </c:numCache>
            </c:numRef>
          </c:val>
        </c:ser>
        <c:dLbls>
          <c:dLblPos val="ctr"/>
          <c:showLegendKey val="0"/>
          <c:showVal val="1"/>
          <c:showCatName val="0"/>
          <c:showSerName val="0"/>
          <c:showPercent val="0"/>
          <c:showBubbleSize val="0"/>
        </c:dLbls>
        <c:gapWidth val="247"/>
        <c:axId val="80322560"/>
        <c:axId val="80325248"/>
      </c:barChart>
      <c:lineChart>
        <c:grouping val="standard"/>
        <c:varyColors val="0"/>
        <c:ser>
          <c:idx val="1"/>
          <c:order val="1"/>
          <c:tx>
            <c:v>NaCl Rejection</c:v>
          </c:tx>
          <c:spPr>
            <a:ln w="34925" cap="rnd">
              <a:solidFill>
                <a:srgbClr val="F56A33"/>
              </a:solidFill>
              <a:round/>
            </a:ln>
            <a:effectLst>
              <a:outerShdw blurRad="40000" dist="23000" dir="5400000" rotWithShape="0">
                <a:srgbClr val="000000">
                  <a:alpha val="35000"/>
                </a:srgbClr>
              </a:outerShdw>
            </a:effectLst>
          </c:spPr>
          <c:marker>
            <c:symbol val="circle"/>
            <c:size val="6"/>
            <c:spPr>
              <a:solidFill>
                <a:schemeClr val="bg1"/>
              </a:solidFill>
              <a:ln w="9525">
                <a:solidFill>
                  <a:srgbClr val="F56A33"/>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0"/>
              <c:layout>
                <c:manualLayout>
                  <c:x val="-3.5645104841844799E-2"/>
                  <c:y val="-6.189554706755630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5135630222286501E-2"/>
                  <c:y val="-4.2463161183748299E-3"/>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5384332152981098E-2"/>
                  <c:y val="-5.98640409886066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53202248024082E-2"/>
                  <c:y val="-6.916426512968300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3436985631033402E-2"/>
                  <c:y val="-7.684918347742560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Sheet1!$B$56:$B$60</c:f>
              <c:numCache>
                <c:formatCode>General</c:formatCode>
                <c:ptCount val="5"/>
                <c:pt idx="0">
                  <c:v>86.48</c:v>
                </c:pt>
                <c:pt idx="1">
                  <c:v>47.45</c:v>
                </c:pt>
                <c:pt idx="2">
                  <c:v>86.13</c:v>
                </c:pt>
                <c:pt idx="3">
                  <c:v>77.510000000000005</c:v>
                </c:pt>
                <c:pt idx="4">
                  <c:v>74.260000000000005</c:v>
                </c:pt>
              </c:numCache>
            </c:numRef>
          </c:val>
          <c:smooth val="0"/>
        </c:ser>
        <c:dLbls>
          <c:dLblPos val="ctr"/>
          <c:showLegendKey val="0"/>
          <c:showVal val="1"/>
          <c:showCatName val="0"/>
          <c:showSerName val="0"/>
          <c:showPercent val="0"/>
          <c:showBubbleSize val="0"/>
        </c:dLbls>
        <c:marker val="1"/>
        <c:smooth val="0"/>
        <c:axId val="34906496"/>
        <c:axId val="132417792"/>
      </c:lineChart>
      <c:catAx>
        <c:axId val="803225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Times New Roman" panose="02020603050405020304" pitchFamily="18" charset="0"/>
              </a:defRPr>
            </a:pPr>
            <a:endParaRPr lang="en-US"/>
          </a:p>
        </c:txPr>
        <c:crossAx val="80325248"/>
        <c:crosses val="autoZero"/>
        <c:auto val="1"/>
        <c:lblAlgn val="ctr"/>
        <c:lblOffset val="100"/>
        <c:noMultiLvlLbl val="0"/>
      </c:catAx>
      <c:valAx>
        <c:axId val="80325248"/>
        <c:scaling>
          <c:orientation val="minMax"/>
          <c:max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Water Permeability (L/m</a:t>
                </a:r>
                <a:r>
                  <a:rPr lang="en-US" sz="900" baseline="30000">
                    <a:solidFill>
                      <a:sysClr val="windowText" lastClr="000000"/>
                    </a:solidFill>
                    <a:latin typeface="Times New Roman" panose="02020603050405020304" pitchFamily="18" charset="0"/>
                    <a:cs typeface="Times New Roman" panose="02020603050405020304" pitchFamily="18" charset="0"/>
                  </a:rPr>
                  <a:t>2</a:t>
                </a:r>
                <a:r>
                  <a:rPr lang="en-US" sz="900">
                    <a:solidFill>
                      <a:sysClr val="windowText" lastClr="000000"/>
                    </a:solidFill>
                    <a:latin typeface="Times New Roman" panose="02020603050405020304" pitchFamily="18" charset="0"/>
                    <a:cs typeface="Times New Roman" panose="02020603050405020304" pitchFamily="18" charset="0"/>
                  </a:rPr>
                  <a:t> h bar)</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322560"/>
        <c:crosses val="autoZero"/>
        <c:crossBetween val="between"/>
      </c:valAx>
      <c:valAx>
        <c:axId val="132417792"/>
        <c:scaling>
          <c:orientation val="minMax"/>
        </c:scaling>
        <c:delete val="0"/>
        <c:axPos val="r"/>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latin typeface="Times New Roman" panose="02020603050405020304" pitchFamily="18" charset="0"/>
                    <a:cs typeface="Times New Roman" panose="02020603050405020304" pitchFamily="18" charset="0"/>
                  </a:rPr>
                  <a:t>2000ppm NaCl Rejection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906496"/>
        <c:crosses val="max"/>
        <c:crossBetween val="between"/>
      </c:valAx>
      <c:catAx>
        <c:axId val="34906496"/>
        <c:scaling>
          <c:orientation val="minMax"/>
        </c:scaling>
        <c:delete val="1"/>
        <c:axPos val="b"/>
        <c:majorTickMark val="none"/>
        <c:minorTickMark val="none"/>
        <c:tickLblPos val="nextTo"/>
        <c:crossAx val="132417792"/>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46D9D-C439-4CBE-9A44-9E0CCA3B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3114</Words>
  <Characters>17467</Characters>
  <Application>Microsoft Office Word</Application>
  <DocSecurity>0</DocSecurity>
  <Lines>296</Lines>
  <Paragraphs>92</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20604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12</cp:revision>
  <cp:lastPrinted>2017-03-28T09:27:00Z</cp:lastPrinted>
  <dcterms:created xsi:type="dcterms:W3CDTF">2017-03-15T03:50:00Z</dcterms:created>
  <dcterms:modified xsi:type="dcterms:W3CDTF">2017-03-28T09:27:00Z</dcterms:modified>
</cp:coreProperties>
</file>