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2B665" w14:textId="77777777" w:rsidR="00477B87" w:rsidRPr="003443B4" w:rsidRDefault="00477B87" w:rsidP="00477B87">
      <w:pPr>
        <w:jc w:val="center"/>
        <w:rPr>
          <w:bCs/>
          <w:sz w:val="28"/>
          <w:szCs w:val="28"/>
        </w:rPr>
      </w:pPr>
      <w:r w:rsidRPr="003443B4">
        <w:rPr>
          <w:bCs/>
          <w:sz w:val="28"/>
          <w:szCs w:val="28"/>
        </w:rPr>
        <w:t xml:space="preserve">SYNTHESIS AND STRUCTURAL CHARACTERIZATION OF </w:t>
      </w:r>
      <w:r w:rsidRPr="003443B4">
        <w:rPr>
          <w:bCs/>
          <w:i/>
          <w:sz w:val="28"/>
          <w:szCs w:val="28"/>
        </w:rPr>
        <w:t>N</w:t>
      </w:r>
      <w:r w:rsidRPr="003443B4">
        <w:rPr>
          <w:bCs/>
          <w:sz w:val="28"/>
          <w:szCs w:val="28"/>
        </w:rPr>
        <w:t>-BROMOBENZOYL-</w:t>
      </w:r>
      <w:r w:rsidRPr="003443B4">
        <w:rPr>
          <w:bCs/>
          <w:i/>
          <w:sz w:val="28"/>
          <w:szCs w:val="28"/>
        </w:rPr>
        <w:t>N</w:t>
      </w:r>
      <w:r w:rsidRPr="003443B4">
        <w:rPr>
          <w:bCs/>
          <w:sz w:val="28"/>
          <w:szCs w:val="28"/>
        </w:rPr>
        <w:t>'-(1,10-PHENANTHROLIN-5-YL)THIOUREA DERIVATIVES</w:t>
      </w:r>
    </w:p>
    <w:p w14:paraId="56FC0014" w14:textId="77777777" w:rsidR="00477B87" w:rsidRDefault="00477B87" w:rsidP="00477B87">
      <w:pPr>
        <w:jc w:val="center"/>
        <w:rPr>
          <w:b/>
          <w:sz w:val="20"/>
        </w:rPr>
      </w:pPr>
    </w:p>
    <w:p w14:paraId="05865F57" w14:textId="77777777" w:rsidR="005948CE" w:rsidRDefault="00477B87" w:rsidP="005948CE">
      <w:pPr>
        <w:jc w:val="center"/>
        <w:rPr>
          <w:szCs w:val="24"/>
        </w:rPr>
      </w:pPr>
      <w:r w:rsidRPr="003443B4">
        <w:rPr>
          <w:szCs w:val="24"/>
        </w:rPr>
        <w:t>(</w:t>
      </w:r>
      <w:proofErr w:type="spellStart"/>
      <w:r w:rsidRPr="003443B4">
        <w:rPr>
          <w:szCs w:val="24"/>
        </w:rPr>
        <w:t>Sintesis</w:t>
      </w:r>
      <w:proofErr w:type="spellEnd"/>
      <w:r w:rsidR="00BF1E90">
        <w:rPr>
          <w:szCs w:val="24"/>
        </w:rPr>
        <w:t xml:space="preserve"> </w:t>
      </w:r>
      <w:proofErr w:type="spellStart"/>
      <w:r w:rsidRPr="003443B4">
        <w:rPr>
          <w:szCs w:val="24"/>
        </w:rPr>
        <w:t>dan</w:t>
      </w:r>
      <w:proofErr w:type="spellEnd"/>
      <w:r w:rsidR="00BF1E90">
        <w:rPr>
          <w:szCs w:val="24"/>
        </w:rPr>
        <w:t xml:space="preserve"> </w:t>
      </w:r>
      <w:proofErr w:type="spellStart"/>
      <w:r w:rsidRPr="003443B4">
        <w:rPr>
          <w:szCs w:val="24"/>
        </w:rPr>
        <w:t>Penentuan</w:t>
      </w:r>
      <w:proofErr w:type="spellEnd"/>
      <w:r w:rsidR="00BF1E90">
        <w:rPr>
          <w:szCs w:val="24"/>
        </w:rPr>
        <w:t xml:space="preserve"> </w:t>
      </w:r>
      <w:proofErr w:type="spellStart"/>
      <w:r w:rsidRPr="003443B4">
        <w:rPr>
          <w:szCs w:val="24"/>
        </w:rPr>
        <w:t>Struktur</w:t>
      </w:r>
      <w:proofErr w:type="spellEnd"/>
      <w:r w:rsidR="00BF1E90">
        <w:rPr>
          <w:szCs w:val="24"/>
        </w:rPr>
        <w:t xml:space="preserve"> </w:t>
      </w:r>
      <w:proofErr w:type="spellStart"/>
      <w:r w:rsidRPr="003443B4">
        <w:rPr>
          <w:szCs w:val="24"/>
        </w:rPr>
        <w:t>Ligan</w:t>
      </w:r>
      <w:proofErr w:type="spellEnd"/>
      <w:r w:rsidR="00BF1E90">
        <w:rPr>
          <w:szCs w:val="24"/>
        </w:rPr>
        <w:t xml:space="preserve"> </w:t>
      </w:r>
      <w:proofErr w:type="spellStart"/>
      <w:r w:rsidRPr="003443B4">
        <w:rPr>
          <w:szCs w:val="24"/>
        </w:rPr>
        <w:t>Terbitan</w:t>
      </w:r>
      <w:proofErr w:type="spellEnd"/>
      <w:r w:rsidR="00BF1E90">
        <w:rPr>
          <w:szCs w:val="24"/>
        </w:rPr>
        <w:t xml:space="preserve"> </w:t>
      </w:r>
      <w:r w:rsidRPr="003443B4">
        <w:rPr>
          <w:i/>
          <w:szCs w:val="24"/>
        </w:rPr>
        <w:t>N</w:t>
      </w:r>
      <w:r w:rsidRPr="003443B4">
        <w:rPr>
          <w:szCs w:val="24"/>
        </w:rPr>
        <w:t>-</w:t>
      </w:r>
      <w:proofErr w:type="spellStart"/>
      <w:r w:rsidRPr="003443B4">
        <w:rPr>
          <w:szCs w:val="24"/>
        </w:rPr>
        <w:t>Bromobenzoil</w:t>
      </w:r>
      <w:proofErr w:type="spellEnd"/>
      <w:r w:rsidRPr="003443B4">
        <w:rPr>
          <w:szCs w:val="24"/>
        </w:rPr>
        <w:t>-</w:t>
      </w:r>
      <w:r w:rsidRPr="003443B4">
        <w:rPr>
          <w:i/>
          <w:szCs w:val="24"/>
        </w:rPr>
        <w:t>N</w:t>
      </w:r>
      <w:r w:rsidRPr="003443B4">
        <w:rPr>
          <w:szCs w:val="24"/>
        </w:rPr>
        <w:t>'-(1,10-Fenantrolin-</w:t>
      </w:r>
    </w:p>
    <w:p w14:paraId="1C9BF2BC" w14:textId="0C8C82E6" w:rsidR="00477B87" w:rsidRPr="003443B4" w:rsidRDefault="00477B87" w:rsidP="005948CE">
      <w:pPr>
        <w:jc w:val="center"/>
        <w:rPr>
          <w:szCs w:val="24"/>
        </w:rPr>
      </w:pPr>
      <w:r w:rsidRPr="003443B4">
        <w:rPr>
          <w:szCs w:val="24"/>
        </w:rPr>
        <w:t>5-il)</w:t>
      </w:r>
      <w:proofErr w:type="spellStart"/>
      <w:r w:rsidRPr="003443B4">
        <w:rPr>
          <w:szCs w:val="24"/>
        </w:rPr>
        <w:t>tiourea</w:t>
      </w:r>
      <w:proofErr w:type="spellEnd"/>
      <w:r w:rsidRPr="003443B4">
        <w:rPr>
          <w:szCs w:val="24"/>
        </w:rPr>
        <w:t>)</w:t>
      </w:r>
    </w:p>
    <w:p w14:paraId="25BBC641" w14:textId="77777777" w:rsidR="00477B87" w:rsidRDefault="00477B87" w:rsidP="00477B87">
      <w:pPr>
        <w:jc w:val="center"/>
        <w:rPr>
          <w:b/>
          <w:sz w:val="20"/>
        </w:rPr>
      </w:pPr>
    </w:p>
    <w:p w14:paraId="2FB168AE" w14:textId="77777777" w:rsidR="00477B87" w:rsidRPr="003443B4" w:rsidRDefault="00477B87" w:rsidP="007B3641">
      <w:pPr>
        <w:jc w:val="center"/>
        <w:outlineLvl w:val="0"/>
        <w:rPr>
          <w:bCs/>
          <w:sz w:val="20"/>
        </w:rPr>
      </w:pPr>
      <w:proofErr w:type="spellStart"/>
      <w:r w:rsidRPr="003443B4">
        <w:rPr>
          <w:bCs/>
          <w:sz w:val="20"/>
        </w:rPr>
        <w:t>Rosidah</w:t>
      </w:r>
      <w:proofErr w:type="spellEnd"/>
      <w:r w:rsidRPr="003443B4">
        <w:rPr>
          <w:bCs/>
          <w:sz w:val="20"/>
        </w:rPr>
        <w:t xml:space="preserve"> Shardin</w:t>
      </w:r>
      <w:r w:rsidRPr="003443B4">
        <w:rPr>
          <w:bCs/>
          <w:sz w:val="20"/>
          <w:vertAlign w:val="superscript"/>
        </w:rPr>
        <w:t>1</w:t>
      </w:r>
      <w:r w:rsidRPr="003443B4">
        <w:rPr>
          <w:bCs/>
          <w:sz w:val="20"/>
        </w:rPr>
        <w:t>, Siew San Tan</w:t>
      </w:r>
      <w:r w:rsidRPr="003443B4">
        <w:rPr>
          <w:bCs/>
          <w:sz w:val="20"/>
          <w:vertAlign w:val="superscript"/>
        </w:rPr>
        <w:t>1</w:t>
      </w:r>
      <w:r w:rsidR="00D80F5B">
        <w:rPr>
          <w:bCs/>
          <w:sz w:val="20"/>
        </w:rPr>
        <w:t xml:space="preserve">, </w:t>
      </w:r>
      <w:r w:rsidRPr="003443B4">
        <w:rPr>
          <w:bCs/>
          <w:sz w:val="20"/>
        </w:rPr>
        <w:t>Mohammad B. Kassim</w:t>
      </w:r>
      <w:r w:rsidRPr="003443B4">
        <w:rPr>
          <w:bCs/>
          <w:sz w:val="20"/>
          <w:vertAlign w:val="superscript"/>
        </w:rPr>
        <w:t>1,2*</w:t>
      </w:r>
    </w:p>
    <w:p w14:paraId="4409B679" w14:textId="77777777" w:rsidR="00477B87" w:rsidRDefault="00477B87" w:rsidP="00477B87">
      <w:pPr>
        <w:jc w:val="center"/>
        <w:rPr>
          <w:sz w:val="20"/>
        </w:rPr>
      </w:pPr>
    </w:p>
    <w:p w14:paraId="620D8085" w14:textId="77777777" w:rsidR="005948CE" w:rsidRDefault="00477B87" w:rsidP="005948CE">
      <w:pPr>
        <w:autoSpaceDE w:val="0"/>
        <w:autoSpaceDN w:val="0"/>
        <w:adjustRightInd w:val="0"/>
        <w:jc w:val="center"/>
        <w:outlineLvl w:val="0"/>
        <w:rPr>
          <w:i/>
          <w:sz w:val="18"/>
          <w:szCs w:val="18"/>
        </w:rPr>
      </w:pPr>
      <w:r w:rsidRPr="003443B4">
        <w:rPr>
          <w:i/>
          <w:sz w:val="18"/>
          <w:szCs w:val="18"/>
          <w:vertAlign w:val="superscript"/>
        </w:rPr>
        <w:t>1</w:t>
      </w:r>
      <w:r w:rsidRPr="003443B4">
        <w:rPr>
          <w:i/>
          <w:sz w:val="18"/>
          <w:szCs w:val="18"/>
        </w:rPr>
        <w:t>School of Chemical Sciences and Food Technology, Faculty of Science and</w:t>
      </w:r>
      <w:r w:rsidR="005948CE">
        <w:rPr>
          <w:i/>
          <w:sz w:val="18"/>
          <w:szCs w:val="18"/>
        </w:rPr>
        <w:t xml:space="preserve"> </w:t>
      </w:r>
      <w:r w:rsidRPr="003443B4">
        <w:rPr>
          <w:i/>
          <w:sz w:val="18"/>
          <w:szCs w:val="18"/>
        </w:rPr>
        <w:t xml:space="preserve">Technology, </w:t>
      </w:r>
    </w:p>
    <w:p w14:paraId="710B2900" w14:textId="22F31230" w:rsidR="00477B87" w:rsidRPr="003443B4" w:rsidRDefault="00477B87" w:rsidP="005948CE">
      <w:pPr>
        <w:autoSpaceDE w:val="0"/>
        <w:autoSpaceDN w:val="0"/>
        <w:adjustRightInd w:val="0"/>
        <w:jc w:val="center"/>
        <w:outlineLvl w:val="0"/>
        <w:rPr>
          <w:i/>
          <w:sz w:val="18"/>
          <w:szCs w:val="18"/>
        </w:rPr>
      </w:pPr>
      <w:r w:rsidRPr="003443B4">
        <w:rPr>
          <w:i/>
          <w:sz w:val="18"/>
          <w:szCs w:val="18"/>
        </w:rPr>
        <w:t>Universiti</w:t>
      </w:r>
      <w:r w:rsidR="00BF1E90">
        <w:rPr>
          <w:i/>
          <w:sz w:val="18"/>
          <w:szCs w:val="18"/>
        </w:rPr>
        <w:t xml:space="preserve"> </w:t>
      </w:r>
      <w:r w:rsidRPr="003443B4">
        <w:rPr>
          <w:i/>
          <w:sz w:val="18"/>
          <w:szCs w:val="18"/>
        </w:rPr>
        <w:t>Kebangsaan Malaysia, 43600 Bangi, Selangor, Malaysia</w:t>
      </w:r>
    </w:p>
    <w:p w14:paraId="5430E0B5" w14:textId="77777777" w:rsidR="00477B87" w:rsidRPr="003443B4" w:rsidRDefault="00477B87" w:rsidP="00477B87">
      <w:pPr>
        <w:jc w:val="center"/>
        <w:rPr>
          <w:i/>
          <w:sz w:val="18"/>
          <w:szCs w:val="18"/>
        </w:rPr>
      </w:pPr>
      <w:r w:rsidRPr="003443B4">
        <w:rPr>
          <w:i/>
          <w:sz w:val="18"/>
          <w:szCs w:val="18"/>
          <w:vertAlign w:val="superscript"/>
        </w:rPr>
        <w:t>2</w:t>
      </w:r>
      <w:r w:rsidRPr="003443B4">
        <w:rPr>
          <w:i/>
          <w:sz w:val="18"/>
          <w:szCs w:val="18"/>
        </w:rPr>
        <w:t>Fuel Cell Institute, Universiti</w:t>
      </w:r>
      <w:r w:rsidR="00BF1E90">
        <w:rPr>
          <w:i/>
          <w:sz w:val="18"/>
          <w:szCs w:val="18"/>
        </w:rPr>
        <w:t xml:space="preserve"> </w:t>
      </w:r>
      <w:r w:rsidRPr="003443B4">
        <w:rPr>
          <w:i/>
          <w:sz w:val="18"/>
          <w:szCs w:val="18"/>
        </w:rPr>
        <w:t>Kebangsaan Malaysia, 43600 Bangi, Selangor, Malaysia</w:t>
      </w:r>
    </w:p>
    <w:p w14:paraId="72295565" w14:textId="77777777" w:rsidR="00477B87" w:rsidRPr="003443B4" w:rsidRDefault="00477B87" w:rsidP="00477B87">
      <w:pPr>
        <w:jc w:val="center"/>
        <w:rPr>
          <w:sz w:val="18"/>
          <w:szCs w:val="18"/>
        </w:rPr>
      </w:pPr>
    </w:p>
    <w:p w14:paraId="36BDF522" w14:textId="77777777" w:rsidR="00477B87" w:rsidRPr="003443B4" w:rsidRDefault="00477B87" w:rsidP="00477B87">
      <w:pPr>
        <w:jc w:val="center"/>
        <w:rPr>
          <w:i/>
          <w:iCs/>
          <w:sz w:val="18"/>
          <w:szCs w:val="18"/>
          <w:lang w:val="en-US"/>
        </w:rPr>
      </w:pPr>
      <w:r w:rsidRPr="003443B4">
        <w:rPr>
          <w:i/>
          <w:iCs/>
          <w:sz w:val="18"/>
          <w:szCs w:val="18"/>
          <w:lang w:val="en-US"/>
        </w:rPr>
        <w:t xml:space="preserve">*Corresponding author: </w:t>
      </w:r>
      <w:hyperlink r:id="rId5" w:history="1">
        <w:r w:rsidRPr="003443B4">
          <w:rPr>
            <w:rStyle w:val="Hyperlink"/>
            <w:i/>
            <w:iCs/>
            <w:sz w:val="18"/>
            <w:szCs w:val="18"/>
            <w:lang w:val="en-US"/>
          </w:rPr>
          <w:t>mb_kassim@ukm.edu.my</w:t>
        </w:r>
      </w:hyperlink>
    </w:p>
    <w:p w14:paraId="3071F37E" w14:textId="77777777" w:rsidR="00477B87" w:rsidRDefault="00477B87" w:rsidP="00477B87">
      <w:pPr>
        <w:rPr>
          <w:sz w:val="20"/>
        </w:rPr>
      </w:pPr>
    </w:p>
    <w:p w14:paraId="1E96EFF5" w14:textId="77777777" w:rsidR="00477B87" w:rsidRPr="005948CE" w:rsidRDefault="00477B87" w:rsidP="007B3641">
      <w:pPr>
        <w:jc w:val="center"/>
        <w:outlineLvl w:val="0"/>
        <w:rPr>
          <w:b/>
          <w:sz w:val="18"/>
          <w:szCs w:val="18"/>
        </w:rPr>
      </w:pPr>
      <w:r w:rsidRPr="005948CE">
        <w:rPr>
          <w:b/>
          <w:sz w:val="18"/>
          <w:szCs w:val="18"/>
        </w:rPr>
        <w:t>Abstract</w:t>
      </w:r>
    </w:p>
    <w:p w14:paraId="1F8052E9" w14:textId="77777777" w:rsidR="00D80F5B" w:rsidRPr="005948CE" w:rsidRDefault="00477B87" w:rsidP="00D80F5B">
      <w:pPr>
        <w:jc w:val="both"/>
        <w:rPr>
          <w:sz w:val="18"/>
          <w:szCs w:val="18"/>
        </w:rPr>
      </w:pPr>
      <w:r w:rsidRPr="005948CE">
        <w:rPr>
          <w:sz w:val="18"/>
          <w:szCs w:val="18"/>
        </w:rPr>
        <w:t xml:space="preserve">Derivatives of </w:t>
      </w:r>
      <w:r w:rsidRPr="005948CE">
        <w:rPr>
          <w:i/>
          <w:sz w:val="18"/>
          <w:szCs w:val="18"/>
        </w:rPr>
        <w:t>N</w:t>
      </w:r>
      <w:r w:rsidRPr="005948CE">
        <w:rPr>
          <w:sz w:val="18"/>
          <w:szCs w:val="18"/>
        </w:rPr>
        <w:t>-</w:t>
      </w:r>
      <w:proofErr w:type="spellStart"/>
      <w:r w:rsidRPr="005948CE">
        <w:rPr>
          <w:sz w:val="18"/>
          <w:szCs w:val="18"/>
        </w:rPr>
        <w:t>bromobenzoyl</w:t>
      </w:r>
      <w:proofErr w:type="spellEnd"/>
      <w:r w:rsidRPr="005948CE">
        <w:rPr>
          <w:sz w:val="18"/>
          <w:szCs w:val="18"/>
        </w:rPr>
        <w:t>-</w:t>
      </w:r>
      <w:r w:rsidRPr="005948CE">
        <w:rPr>
          <w:i/>
          <w:sz w:val="18"/>
          <w:szCs w:val="18"/>
        </w:rPr>
        <w:t>N</w:t>
      </w:r>
      <w:r w:rsidRPr="005948CE">
        <w:rPr>
          <w:sz w:val="18"/>
          <w:szCs w:val="18"/>
        </w:rPr>
        <w:t xml:space="preserve">'-(1,10-phenanthrolin-5-yl)thiourea were successfully synthesized from the reaction of 1,10-phenanthroline with </w:t>
      </w:r>
      <w:r w:rsidRPr="005948CE">
        <w:rPr>
          <w:i/>
          <w:iCs/>
          <w:sz w:val="18"/>
          <w:szCs w:val="18"/>
        </w:rPr>
        <w:t>x</w:t>
      </w:r>
      <w:r w:rsidRPr="005948CE">
        <w:rPr>
          <w:sz w:val="18"/>
          <w:szCs w:val="18"/>
        </w:rPr>
        <w:t>-</w:t>
      </w:r>
      <w:proofErr w:type="spellStart"/>
      <w:r w:rsidRPr="005948CE">
        <w:rPr>
          <w:sz w:val="18"/>
          <w:szCs w:val="18"/>
        </w:rPr>
        <w:t>bromobenzoylisothiocyanate</w:t>
      </w:r>
      <w:proofErr w:type="spellEnd"/>
      <w:r w:rsidRPr="005948CE">
        <w:rPr>
          <w:sz w:val="18"/>
          <w:szCs w:val="18"/>
        </w:rPr>
        <w:t xml:space="preserve"> (</w:t>
      </w:r>
      <w:r w:rsidRPr="005948CE">
        <w:rPr>
          <w:i/>
          <w:iCs/>
          <w:sz w:val="18"/>
          <w:szCs w:val="18"/>
        </w:rPr>
        <w:t xml:space="preserve">x </w:t>
      </w:r>
      <w:r w:rsidRPr="005948CE">
        <w:rPr>
          <w:sz w:val="18"/>
          <w:szCs w:val="18"/>
        </w:rPr>
        <w:t xml:space="preserve">= </w:t>
      </w:r>
      <w:r w:rsidRPr="005948CE">
        <w:rPr>
          <w:i/>
          <w:iCs/>
          <w:sz w:val="18"/>
          <w:szCs w:val="18"/>
        </w:rPr>
        <w:t>ortho</w:t>
      </w:r>
      <w:r w:rsidRPr="005948CE">
        <w:rPr>
          <w:sz w:val="18"/>
          <w:szCs w:val="18"/>
        </w:rPr>
        <w:t xml:space="preserve">, </w:t>
      </w:r>
      <w:r w:rsidRPr="005948CE">
        <w:rPr>
          <w:i/>
          <w:iCs/>
          <w:sz w:val="18"/>
          <w:szCs w:val="18"/>
        </w:rPr>
        <w:t>meta</w:t>
      </w:r>
      <w:r w:rsidRPr="005948CE">
        <w:rPr>
          <w:sz w:val="18"/>
          <w:szCs w:val="18"/>
        </w:rPr>
        <w:t xml:space="preserve"> and </w:t>
      </w:r>
      <w:r w:rsidRPr="005948CE">
        <w:rPr>
          <w:i/>
          <w:iCs/>
          <w:sz w:val="18"/>
          <w:szCs w:val="18"/>
        </w:rPr>
        <w:t>para</w:t>
      </w:r>
      <w:r w:rsidRPr="005948CE">
        <w:rPr>
          <w:sz w:val="18"/>
          <w:szCs w:val="18"/>
        </w:rPr>
        <w:t xml:space="preserve">) to give </w:t>
      </w:r>
      <w:proofErr w:type="spellStart"/>
      <w:r w:rsidRPr="005948CE">
        <w:rPr>
          <w:sz w:val="18"/>
          <w:szCs w:val="18"/>
        </w:rPr>
        <w:t>phen</w:t>
      </w:r>
      <w:proofErr w:type="spellEnd"/>
      <w:r w:rsidRPr="005948CE">
        <w:rPr>
          <w:sz w:val="18"/>
          <w:szCs w:val="18"/>
        </w:rPr>
        <w:t>-</w:t>
      </w:r>
      <w:r w:rsidRPr="005948CE">
        <w:rPr>
          <w:i/>
          <w:sz w:val="18"/>
          <w:szCs w:val="18"/>
        </w:rPr>
        <w:t>o</w:t>
      </w:r>
      <w:r w:rsidRPr="005948CE">
        <w:rPr>
          <w:sz w:val="18"/>
          <w:szCs w:val="18"/>
        </w:rPr>
        <w:t>-</w:t>
      </w:r>
      <w:proofErr w:type="spellStart"/>
      <w:r w:rsidRPr="005948CE">
        <w:rPr>
          <w:sz w:val="18"/>
          <w:szCs w:val="18"/>
        </w:rPr>
        <w:t>BrBT</w:t>
      </w:r>
      <w:proofErr w:type="spellEnd"/>
      <w:r w:rsidRPr="005948CE">
        <w:rPr>
          <w:sz w:val="18"/>
          <w:szCs w:val="18"/>
        </w:rPr>
        <w:t xml:space="preserve">, </w:t>
      </w:r>
      <w:proofErr w:type="spellStart"/>
      <w:r w:rsidRPr="005948CE">
        <w:rPr>
          <w:sz w:val="18"/>
          <w:szCs w:val="18"/>
        </w:rPr>
        <w:t>phen</w:t>
      </w:r>
      <w:proofErr w:type="spellEnd"/>
      <w:r w:rsidRPr="005948CE">
        <w:rPr>
          <w:sz w:val="18"/>
          <w:szCs w:val="18"/>
        </w:rPr>
        <w:t>-</w:t>
      </w:r>
      <w:r w:rsidRPr="005948CE">
        <w:rPr>
          <w:i/>
          <w:sz w:val="18"/>
          <w:szCs w:val="18"/>
        </w:rPr>
        <w:t>m</w:t>
      </w:r>
      <w:r w:rsidRPr="005948CE">
        <w:rPr>
          <w:sz w:val="18"/>
          <w:szCs w:val="18"/>
        </w:rPr>
        <w:t>-</w:t>
      </w:r>
      <w:proofErr w:type="spellStart"/>
      <w:r w:rsidRPr="005948CE">
        <w:rPr>
          <w:sz w:val="18"/>
          <w:szCs w:val="18"/>
        </w:rPr>
        <w:t>BrBT</w:t>
      </w:r>
      <w:proofErr w:type="spellEnd"/>
      <w:r w:rsidR="00BF1E90" w:rsidRPr="005948CE">
        <w:rPr>
          <w:sz w:val="18"/>
          <w:szCs w:val="18"/>
        </w:rPr>
        <w:t xml:space="preserve"> </w:t>
      </w:r>
      <w:r w:rsidRPr="005948CE">
        <w:rPr>
          <w:sz w:val="18"/>
          <w:szCs w:val="18"/>
        </w:rPr>
        <w:t xml:space="preserve">and </w:t>
      </w:r>
      <w:proofErr w:type="spellStart"/>
      <w:r w:rsidRPr="005948CE">
        <w:rPr>
          <w:sz w:val="18"/>
          <w:szCs w:val="18"/>
        </w:rPr>
        <w:t>phen</w:t>
      </w:r>
      <w:proofErr w:type="spellEnd"/>
      <w:r w:rsidRPr="005948CE">
        <w:rPr>
          <w:sz w:val="18"/>
          <w:szCs w:val="18"/>
        </w:rPr>
        <w:t>-</w:t>
      </w:r>
      <w:r w:rsidRPr="005948CE">
        <w:rPr>
          <w:i/>
          <w:sz w:val="18"/>
          <w:szCs w:val="18"/>
        </w:rPr>
        <w:t>p</w:t>
      </w:r>
      <w:r w:rsidRPr="005948CE">
        <w:rPr>
          <w:sz w:val="18"/>
          <w:szCs w:val="18"/>
        </w:rPr>
        <w:t>-</w:t>
      </w:r>
      <w:proofErr w:type="spellStart"/>
      <w:r w:rsidRPr="005948CE">
        <w:rPr>
          <w:sz w:val="18"/>
          <w:szCs w:val="18"/>
        </w:rPr>
        <w:t>BrBT</w:t>
      </w:r>
      <w:proofErr w:type="spellEnd"/>
      <w:r w:rsidRPr="005948CE">
        <w:rPr>
          <w:sz w:val="18"/>
          <w:szCs w:val="18"/>
        </w:rPr>
        <w:t xml:space="preserve">, respectively. The molecular structures of the derivatives compounds were elucidated based on the crystal structure of </w:t>
      </w:r>
      <w:r w:rsidRPr="005948CE">
        <w:rPr>
          <w:i/>
          <w:sz w:val="18"/>
          <w:szCs w:val="18"/>
        </w:rPr>
        <w:t>N</w:t>
      </w:r>
      <w:r w:rsidRPr="005948CE">
        <w:rPr>
          <w:sz w:val="18"/>
          <w:szCs w:val="18"/>
        </w:rPr>
        <w:t>-</w:t>
      </w:r>
      <w:proofErr w:type="spellStart"/>
      <w:r w:rsidRPr="005948CE">
        <w:rPr>
          <w:sz w:val="18"/>
          <w:szCs w:val="18"/>
        </w:rPr>
        <w:t>bromobenzoyl</w:t>
      </w:r>
      <w:proofErr w:type="spellEnd"/>
      <w:r w:rsidRPr="005948CE">
        <w:rPr>
          <w:sz w:val="18"/>
          <w:szCs w:val="18"/>
        </w:rPr>
        <w:t>-</w:t>
      </w:r>
      <w:r w:rsidRPr="005948CE">
        <w:rPr>
          <w:i/>
          <w:sz w:val="18"/>
          <w:szCs w:val="18"/>
        </w:rPr>
        <w:t>N</w:t>
      </w:r>
      <w:r w:rsidRPr="005948CE">
        <w:rPr>
          <w:sz w:val="18"/>
          <w:szCs w:val="18"/>
        </w:rPr>
        <w:t xml:space="preserve">'-(1,10-phenanthrolin-5-yl)thiourea, </w:t>
      </w:r>
      <w:r w:rsidR="005B63AC" w:rsidRPr="005948CE">
        <w:rPr>
          <w:sz w:val="18"/>
          <w:szCs w:val="18"/>
        </w:rPr>
        <w:t xml:space="preserve">CHNS elemental analysis, </w:t>
      </w:r>
      <w:r w:rsidRPr="005948CE">
        <w:rPr>
          <w:sz w:val="18"/>
          <w:szCs w:val="18"/>
        </w:rPr>
        <w:t xml:space="preserve">mass spectrometry, spectroscopic data (infrared, ultraviolet-visible, nuclear magnetic resonance and luminescence) and cyclic </w:t>
      </w:r>
      <w:proofErr w:type="spellStart"/>
      <w:r w:rsidRPr="005948CE">
        <w:rPr>
          <w:sz w:val="18"/>
          <w:szCs w:val="18"/>
        </w:rPr>
        <w:t>voltammetry.The</w:t>
      </w:r>
      <w:proofErr w:type="spellEnd"/>
      <w:r w:rsidRPr="005948CE">
        <w:rPr>
          <w:sz w:val="18"/>
          <w:szCs w:val="18"/>
        </w:rPr>
        <w:t xml:space="preserve"> mass spectrum show similar </w:t>
      </w:r>
      <w:r w:rsidRPr="005948CE">
        <w:rPr>
          <w:i/>
          <w:iCs/>
          <w:sz w:val="18"/>
          <w:szCs w:val="18"/>
        </w:rPr>
        <w:t>m/z</w:t>
      </w:r>
      <w:r w:rsidRPr="005948CE">
        <w:rPr>
          <w:sz w:val="18"/>
          <w:szCs w:val="18"/>
        </w:rPr>
        <w:t xml:space="preserve"> values at </w:t>
      </w:r>
      <w:r w:rsidRPr="005948CE">
        <w:rPr>
          <w:sz w:val="18"/>
          <w:szCs w:val="18"/>
          <w:lang w:val="ms-MY"/>
        </w:rPr>
        <w:t xml:space="preserve">460.9 </w:t>
      </w:r>
      <w:proofErr w:type="spellStart"/>
      <w:r w:rsidRPr="005948CE">
        <w:rPr>
          <w:sz w:val="18"/>
          <w:szCs w:val="18"/>
          <w:lang w:val="ms-MY"/>
        </w:rPr>
        <w:t>and</w:t>
      </w:r>
      <w:proofErr w:type="spellEnd"/>
      <w:r w:rsidRPr="005948CE">
        <w:rPr>
          <w:sz w:val="18"/>
          <w:szCs w:val="18"/>
          <w:lang w:val="ms-MY"/>
        </w:rPr>
        <w:t xml:space="preserve"> </w:t>
      </w:r>
      <w:r w:rsidRPr="005948CE">
        <w:rPr>
          <w:rFonts w:eastAsia="Arial Unicode MS"/>
          <w:sz w:val="18"/>
          <w:szCs w:val="18"/>
          <w:shd w:val="clear" w:color="auto" w:fill="FFFFFF"/>
        </w:rPr>
        <w:t xml:space="preserve">260.0, which represent </w:t>
      </w:r>
      <w:r w:rsidRPr="005948CE">
        <w:rPr>
          <w:sz w:val="18"/>
          <w:szCs w:val="18"/>
        </w:rPr>
        <w:t>the molecular ions for [(</w:t>
      </w:r>
      <w:proofErr w:type="spellStart"/>
      <w:r w:rsidRPr="005948CE">
        <w:rPr>
          <w:sz w:val="18"/>
          <w:szCs w:val="18"/>
        </w:rPr>
        <w:t>phen</w:t>
      </w:r>
      <w:proofErr w:type="spellEnd"/>
      <w:r w:rsidRPr="005948CE">
        <w:rPr>
          <w:sz w:val="18"/>
          <w:szCs w:val="18"/>
        </w:rPr>
        <w:t>-</w:t>
      </w:r>
      <w:r w:rsidR="00CA4DFC" w:rsidRPr="005948CE">
        <w:rPr>
          <w:i/>
          <w:iCs/>
          <w:sz w:val="18"/>
          <w:szCs w:val="18"/>
        </w:rPr>
        <w:t>x</w:t>
      </w:r>
      <w:r w:rsidRPr="005948CE">
        <w:rPr>
          <w:sz w:val="18"/>
          <w:szCs w:val="18"/>
        </w:rPr>
        <w:t>-</w:t>
      </w:r>
      <w:proofErr w:type="spellStart"/>
      <w:r w:rsidRPr="005948CE">
        <w:rPr>
          <w:sz w:val="18"/>
          <w:szCs w:val="18"/>
        </w:rPr>
        <w:t>BrBT</w:t>
      </w:r>
      <w:proofErr w:type="spellEnd"/>
      <w:r w:rsidRPr="005948CE">
        <w:rPr>
          <w:sz w:val="18"/>
          <w:szCs w:val="18"/>
        </w:rPr>
        <w:t>)-Na</w:t>
      </w:r>
      <w:r w:rsidRPr="005948CE">
        <w:rPr>
          <w:rFonts w:eastAsia="Arial Unicode MS"/>
          <w:sz w:val="18"/>
          <w:szCs w:val="18"/>
          <w:shd w:val="clear" w:color="auto" w:fill="FFFFFF"/>
        </w:rPr>
        <w:t>]</w:t>
      </w:r>
      <w:r w:rsidRPr="005948CE">
        <w:rPr>
          <w:rFonts w:eastAsia="Arial Unicode MS"/>
          <w:sz w:val="18"/>
          <w:szCs w:val="18"/>
          <w:shd w:val="clear" w:color="auto" w:fill="FFFFFF"/>
          <w:vertAlign w:val="superscript"/>
        </w:rPr>
        <w:t>+</w:t>
      </w:r>
      <w:r w:rsidR="00BF1E90" w:rsidRPr="005948CE">
        <w:rPr>
          <w:rFonts w:eastAsia="Arial Unicode MS"/>
          <w:sz w:val="18"/>
          <w:szCs w:val="18"/>
          <w:shd w:val="clear" w:color="auto" w:fill="FFFFFF"/>
          <w:vertAlign w:val="superscript"/>
        </w:rPr>
        <w:t xml:space="preserve"> </w:t>
      </w:r>
      <w:r w:rsidRPr="005948CE">
        <w:rPr>
          <w:rFonts w:eastAsia="Arial Unicode MS"/>
          <w:sz w:val="18"/>
          <w:szCs w:val="18"/>
          <w:shd w:val="clear" w:color="auto" w:fill="FFFFFF"/>
        </w:rPr>
        <w:t>and [</w:t>
      </w:r>
      <w:proofErr w:type="spellStart"/>
      <w:r w:rsidRPr="005948CE">
        <w:rPr>
          <w:rFonts w:eastAsia="Arial Unicode MS"/>
          <w:sz w:val="18"/>
          <w:szCs w:val="18"/>
          <w:shd w:val="clear" w:color="auto" w:fill="FFFFFF"/>
        </w:rPr>
        <w:t>BrBT</w:t>
      </w:r>
      <w:proofErr w:type="spellEnd"/>
      <w:r w:rsidRPr="005948CE">
        <w:rPr>
          <w:rFonts w:eastAsia="Arial Unicode MS"/>
          <w:sz w:val="18"/>
          <w:szCs w:val="18"/>
          <w:shd w:val="clear" w:color="auto" w:fill="FFFFFF"/>
        </w:rPr>
        <w:t>]</w:t>
      </w:r>
      <w:r w:rsidRPr="005948CE">
        <w:rPr>
          <w:rFonts w:eastAsia="Arial Unicode MS"/>
          <w:sz w:val="18"/>
          <w:szCs w:val="18"/>
          <w:shd w:val="clear" w:color="auto" w:fill="FFFFFF"/>
          <w:vertAlign w:val="superscript"/>
        </w:rPr>
        <w:t>+</w:t>
      </w:r>
      <w:r w:rsidRPr="005948CE">
        <w:rPr>
          <w:rFonts w:eastAsia="Arial Unicode MS"/>
          <w:sz w:val="18"/>
          <w:szCs w:val="18"/>
          <w:shd w:val="clear" w:color="auto" w:fill="FFFFFF"/>
        </w:rPr>
        <w:t xml:space="preserve">, respectively. The presence of a </w:t>
      </w:r>
      <w:r w:rsidRPr="005948CE">
        <w:rPr>
          <w:rFonts w:eastAsia="Arial Unicode MS"/>
          <w:i/>
          <w:iCs/>
          <w:sz w:val="18"/>
          <w:szCs w:val="18"/>
          <w:shd w:val="clear" w:color="auto" w:fill="FFFFFF"/>
        </w:rPr>
        <w:t>v</w:t>
      </w:r>
      <w:r w:rsidRPr="005948CE">
        <w:rPr>
          <w:sz w:val="18"/>
          <w:szCs w:val="18"/>
        </w:rPr>
        <w:t>(NH) (3389-3599 cm</w:t>
      </w:r>
      <w:r w:rsidRPr="005948CE">
        <w:rPr>
          <w:sz w:val="18"/>
          <w:szCs w:val="18"/>
          <w:vertAlign w:val="superscript"/>
        </w:rPr>
        <w:t>-1</w:t>
      </w:r>
      <w:r w:rsidRPr="005948CE">
        <w:rPr>
          <w:sz w:val="18"/>
          <w:szCs w:val="18"/>
        </w:rPr>
        <w:t>) and the disappearance of ν(NH</w:t>
      </w:r>
      <w:r w:rsidRPr="005948CE">
        <w:rPr>
          <w:sz w:val="18"/>
          <w:szCs w:val="18"/>
          <w:vertAlign w:val="subscript"/>
        </w:rPr>
        <w:t>2</w:t>
      </w:r>
      <w:r w:rsidRPr="005948CE">
        <w:rPr>
          <w:sz w:val="18"/>
          <w:szCs w:val="18"/>
        </w:rPr>
        <w:t xml:space="preserve">) bands from </w:t>
      </w:r>
      <w:r w:rsidR="00CA4DFC" w:rsidRPr="005948CE">
        <w:rPr>
          <w:rFonts w:eastAsia="Arial Unicode MS"/>
          <w:sz w:val="18"/>
          <w:szCs w:val="18"/>
          <w:shd w:val="clear" w:color="auto" w:fill="FFFFFF"/>
        </w:rPr>
        <w:t>1,10-phe</w:t>
      </w:r>
      <w:r w:rsidR="00312D94" w:rsidRPr="005948CE">
        <w:rPr>
          <w:rFonts w:eastAsia="Arial Unicode MS"/>
          <w:sz w:val="18"/>
          <w:szCs w:val="18"/>
          <w:shd w:val="clear" w:color="auto" w:fill="FFFFFF"/>
        </w:rPr>
        <w:t>nanthroline</w:t>
      </w:r>
      <w:r w:rsidRPr="005948CE">
        <w:rPr>
          <w:rFonts w:eastAsia="Arial Unicode MS"/>
          <w:sz w:val="18"/>
          <w:szCs w:val="18"/>
          <w:shd w:val="clear" w:color="auto" w:fill="FFFFFF"/>
        </w:rPr>
        <w:t xml:space="preserve">-5-amine </w:t>
      </w:r>
      <w:r w:rsidRPr="005948CE">
        <w:rPr>
          <w:sz w:val="18"/>
          <w:szCs w:val="18"/>
        </w:rPr>
        <w:t xml:space="preserve">indicate the formation of the </w:t>
      </w:r>
      <w:r w:rsidRPr="005948CE">
        <w:rPr>
          <w:i/>
          <w:sz w:val="18"/>
          <w:szCs w:val="18"/>
        </w:rPr>
        <w:t>N</w:t>
      </w:r>
      <w:r w:rsidRPr="005948CE">
        <w:rPr>
          <w:sz w:val="18"/>
          <w:szCs w:val="18"/>
        </w:rPr>
        <w:t>-</w:t>
      </w:r>
      <w:proofErr w:type="spellStart"/>
      <w:r w:rsidRPr="005948CE">
        <w:rPr>
          <w:sz w:val="18"/>
          <w:szCs w:val="18"/>
        </w:rPr>
        <w:t>bromobenzoyl</w:t>
      </w:r>
      <w:proofErr w:type="spellEnd"/>
      <w:r w:rsidRPr="005948CE">
        <w:rPr>
          <w:sz w:val="18"/>
          <w:szCs w:val="18"/>
        </w:rPr>
        <w:t>-</w:t>
      </w:r>
      <w:r w:rsidRPr="005948CE">
        <w:rPr>
          <w:i/>
          <w:sz w:val="18"/>
          <w:szCs w:val="18"/>
        </w:rPr>
        <w:t>N</w:t>
      </w:r>
      <w:r w:rsidRPr="005948CE">
        <w:rPr>
          <w:sz w:val="18"/>
          <w:szCs w:val="18"/>
        </w:rPr>
        <w:t>'-(1,10-phenanthrolin-5-yl)thiourea</w:t>
      </w:r>
      <w:r w:rsidRPr="005948CE">
        <w:rPr>
          <w:rFonts w:eastAsia="Arial Unicode MS"/>
          <w:sz w:val="18"/>
          <w:szCs w:val="18"/>
          <w:shd w:val="clear" w:color="auto" w:fill="FFFFFF"/>
        </w:rPr>
        <w:t xml:space="preserve">. Attachment of a Br atom to the benzoyl moiety reduced the stretching frequency of </w:t>
      </w:r>
      <w:r w:rsidRPr="005948CE">
        <w:rPr>
          <w:sz w:val="18"/>
          <w:szCs w:val="18"/>
        </w:rPr>
        <w:t>C=O group by &gt;20</w:t>
      </w:r>
      <w:r w:rsidR="00580AC5" w:rsidRPr="005948CE">
        <w:rPr>
          <w:sz w:val="18"/>
          <w:szCs w:val="18"/>
        </w:rPr>
        <w:t xml:space="preserve"> </w:t>
      </w:r>
      <w:r w:rsidRPr="005948CE">
        <w:rPr>
          <w:sz w:val="18"/>
          <w:szCs w:val="18"/>
        </w:rPr>
        <w:t>cm</w:t>
      </w:r>
      <w:r w:rsidRPr="005948CE">
        <w:rPr>
          <w:sz w:val="18"/>
          <w:szCs w:val="18"/>
          <w:vertAlign w:val="superscript"/>
        </w:rPr>
        <w:t xml:space="preserve">-1 </w:t>
      </w:r>
      <w:r w:rsidRPr="005948CE">
        <w:rPr>
          <w:rFonts w:eastAsia="Arial Unicode MS"/>
          <w:sz w:val="18"/>
          <w:szCs w:val="18"/>
          <w:shd w:val="clear" w:color="auto" w:fill="FFFFFF"/>
        </w:rPr>
        <w:t xml:space="preserve">compared with </w:t>
      </w:r>
      <w:proofErr w:type="spellStart"/>
      <w:r w:rsidRPr="005948CE">
        <w:rPr>
          <w:rFonts w:eastAsia="Arial Unicode MS"/>
          <w:sz w:val="18"/>
          <w:szCs w:val="18"/>
          <w:shd w:val="clear" w:color="auto" w:fill="FFFFFF"/>
        </w:rPr>
        <w:t>phen</w:t>
      </w:r>
      <w:proofErr w:type="spellEnd"/>
      <w:r w:rsidRPr="005948CE">
        <w:rPr>
          <w:rFonts w:eastAsia="Arial Unicode MS"/>
          <w:sz w:val="18"/>
          <w:szCs w:val="18"/>
          <w:shd w:val="clear" w:color="auto" w:fill="FFFFFF"/>
        </w:rPr>
        <w:t xml:space="preserve">-BT ligand. </w:t>
      </w:r>
      <w:r w:rsidRPr="005948CE">
        <w:rPr>
          <w:sz w:val="18"/>
          <w:szCs w:val="18"/>
        </w:rPr>
        <w:t>The compounds exh</w:t>
      </w:r>
      <w:r w:rsidR="00CA4DFC" w:rsidRPr="005948CE">
        <w:rPr>
          <w:sz w:val="18"/>
          <w:szCs w:val="18"/>
        </w:rPr>
        <w:t>ibit two π→π* bands at 231 and 269-270</w:t>
      </w:r>
      <w:r w:rsidRPr="005948CE">
        <w:rPr>
          <w:sz w:val="18"/>
          <w:szCs w:val="18"/>
        </w:rPr>
        <w:t xml:space="preserve"> nm for the phenanthroline and benzoyl moieties, respectively. The resonance for N-H proton appeared at </w:t>
      </w:r>
      <w:r w:rsidRPr="005948CE">
        <w:rPr>
          <w:sz w:val="18"/>
          <w:szCs w:val="18"/>
          <w:lang w:eastAsia="zh-CN"/>
        </w:rPr>
        <w:t xml:space="preserve">δ = 11.53-12.49 ppm. In addition, </w:t>
      </w:r>
      <w:r w:rsidRPr="005948CE">
        <w:rPr>
          <w:sz w:val="18"/>
          <w:szCs w:val="18"/>
          <w:vertAlign w:val="superscript"/>
          <w:lang w:eastAsia="zh-CN"/>
        </w:rPr>
        <w:t>13</w:t>
      </w:r>
      <w:r w:rsidRPr="005948CE">
        <w:rPr>
          <w:sz w:val="18"/>
          <w:szCs w:val="18"/>
          <w:lang w:eastAsia="zh-CN"/>
        </w:rPr>
        <w:t xml:space="preserve">C resonance signals for C=S and C=O groups </w:t>
      </w:r>
      <w:r w:rsidR="00CA4DFC" w:rsidRPr="005948CE">
        <w:rPr>
          <w:sz w:val="18"/>
          <w:szCs w:val="18"/>
          <w:lang w:eastAsia="zh-CN"/>
        </w:rPr>
        <w:t xml:space="preserve">were recorded at around 182 and </w:t>
      </w:r>
      <w:r w:rsidR="00CA4DFC" w:rsidRPr="005948CE">
        <w:rPr>
          <w:sz w:val="18"/>
          <w:szCs w:val="18"/>
        </w:rPr>
        <w:t>167.39-169.08</w:t>
      </w:r>
      <w:r w:rsidR="00D80F5B" w:rsidRPr="005948CE">
        <w:rPr>
          <w:sz w:val="18"/>
          <w:szCs w:val="18"/>
        </w:rPr>
        <w:t xml:space="preserve"> ppm, respectively. The synthesis and effect of a Br substitution on the structural and luminescence properties of </w:t>
      </w:r>
      <w:r w:rsidR="00D80F5B" w:rsidRPr="005948CE">
        <w:rPr>
          <w:i/>
          <w:sz w:val="18"/>
          <w:szCs w:val="18"/>
        </w:rPr>
        <w:t>N</w:t>
      </w:r>
      <w:r w:rsidR="00D80F5B" w:rsidRPr="005948CE">
        <w:rPr>
          <w:sz w:val="18"/>
          <w:szCs w:val="18"/>
        </w:rPr>
        <w:t>-</w:t>
      </w:r>
      <w:proofErr w:type="spellStart"/>
      <w:r w:rsidR="00D80F5B" w:rsidRPr="005948CE">
        <w:rPr>
          <w:sz w:val="18"/>
          <w:szCs w:val="18"/>
        </w:rPr>
        <w:t>bromobenzoyl</w:t>
      </w:r>
      <w:proofErr w:type="spellEnd"/>
      <w:r w:rsidR="00D80F5B" w:rsidRPr="005948CE">
        <w:rPr>
          <w:sz w:val="18"/>
          <w:szCs w:val="18"/>
        </w:rPr>
        <w:t>-</w:t>
      </w:r>
      <w:r w:rsidR="00D80F5B" w:rsidRPr="005948CE">
        <w:rPr>
          <w:i/>
          <w:sz w:val="18"/>
          <w:szCs w:val="18"/>
        </w:rPr>
        <w:t>N</w:t>
      </w:r>
      <w:r w:rsidR="00D80F5B" w:rsidRPr="005948CE">
        <w:rPr>
          <w:sz w:val="18"/>
          <w:szCs w:val="18"/>
        </w:rPr>
        <w:t>'-(1,10-phenanthrolin-5-yl)thiourea derivatives are prese</w:t>
      </w:r>
      <w:r w:rsidR="002711B4" w:rsidRPr="005948CE">
        <w:rPr>
          <w:sz w:val="18"/>
          <w:szCs w:val="18"/>
        </w:rPr>
        <w:t>nted and discussed in this study</w:t>
      </w:r>
      <w:r w:rsidR="00D80F5B" w:rsidRPr="005948CE">
        <w:rPr>
          <w:sz w:val="18"/>
          <w:szCs w:val="18"/>
        </w:rPr>
        <w:t>.</w:t>
      </w:r>
    </w:p>
    <w:p w14:paraId="18F9845F" w14:textId="77777777" w:rsidR="00D80F5B" w:rsidRPr="005948CE" w:rsidRDefault="00D80F5B" w:rsidP="00D80F5B">
      <w:pPr>
        <w:pStyle w:val="Titleofthepaper"/>
        <w:tabs>
          <w:tab w:val="left" w:pos="8252"/>
        </w:tabs>
        <w:jc w:val="left"/>
        <w:rPr>
          <w:rFonts w:ascii="Times New Roman" w:hAnsi="Times New Roman"/>
          <w:sz w:val="18"/>
          <w:szCs w:val="18"/>
        </w:rPr>
      </w:pPr>
    </w:p>
    <w:p w14:paraId="3757EE2E" w14:textId="6CD1B573" w:rsidR="00D80F5B" w:rsidRPr="005948CE" w:rsidRDefault="00D80F5B" w:rsidP="007B3641">
      <w:pPr>
        <w:pStyle w:val="Titleofthepaper"/>
        <w:tabs>
          <w:tab w:val="left" w:pos="8252"/>
        </w:tabs>
        <w:jc w:val="left"/>
        <w:outlineLvl w:val="0"/>
        <w:rPr>
          <w:rFonts w:ascii="Times New Roman" w:hAnsi="Times New Roman"/>
          <w:b w:val="0"/>
          <w:sz w:val="18"/>
          <w:szCs w:val="18"/>
        </w:rPr>
      </w:pPr>
      <w:r w:rsidRPr="005948CE">
        <w:rPr>
          <w:rFonts w:ascii="Times New Roman" w:hAnsi="Times New Roman"/>
          <w:sz w:val="18"/>
          <w:szCs w:val="18"/>
        </w:rPr>
        <w:t>Keywords</w:t>
      </w:r>
      <w:r w:rsidRPr="005948CE">
        <w:rPr>
          <w:rFonts w:ascii="Times New Roman" w:hAnsi="Times New Roman"/>
          <w:b w:val="0"/>
          <w:sz w:val="18"/>
          <w:szCs w:val="18"/>
        </w:rPr>
        <w:t xml:space="preserve">: </w:t>
      </w:r>
      <w:proofErr w:type="spellStart"/>
      <w:r w:rsidRPr="005948CE">
        <w:rPr>
          <w:rFonts w:ascii="Times New Roman" w:hAnsi="Times New Roman"/>
          <w:b w:val="0"/>
          <w:sz w:val="18"/>
          <w:szCs w:val="18"/>
        </w:rPr>
        <w:t>benzoylthiourea</w:t>
      </w:r>
      <w:proofErr w:type="spellEnd"/>
      <w:r w:rsidRPr="005948CE">
        <w:rPr>
          <w:rFonts w:ascii="Times New Roman" w:hAnsi="Times New Roman"/>
          <w:b w:val="0"/>
          <w:sz w:val="18"/>
          <w:szCs w:val="18"/>
        </w:rPr>
        <w:t>, 1,10-phenanthroline, thiocyanate, infrared, luminescence</w:t>
      </w:r>
    </w:p>
    <w:p w14:paraId="435920FE" w14:textId="77777777" w:rsidR="000D33D1" w:rsidRDefault="000D33D1" w:rsidP="00D80F5B">
      <w:pPr>
        <w:pStyle w:val="Titleofthepaper"/>
        <w:tabs>
          <w:tab w:val="left" w:pos="8252"/>
        </w:tabs>
        <w:jc w:val="left"/>
        <w:rPr>
          <w:rFonts w:ascii="Times New Roman" w:hAnsi="Times New Roman"/>
          <w:b w:val="0"/>
          <w:sz w:val="18"/>
          <w:szCs w:val="18"/>
        </w:rPr>
      </w:pPr>
    </w:p>
    <w:p w14:paraId="4D5398A6" w14:textId="77777777" w:rsidR="000D33D1" w:rsidRPr="005948CE" w:rsidRDefault="000D33D1" w:rsidP="005948CE">
      <w:pPr>
        <w:widowControl/>
        <w:suppressAutoHyphens w:val="0"/>
        <w:jc w:val="center"/>
        <w:outlineLvl w:val="0"/>
        <w:rPr>
          <w:b/>
          <w:noProof/>
          <w:sz w:val="18"/>
          <w:szCs w:val="18"/>
          <w:lang w:val="ms-MY"/>
        </w:rPr>
      </w:pPr>
      <w:r w:rsidRPr="005948CE">
        <w:rPr>
          <w:b/>
          <w:noProof/>
          <w:sz w:val="18"/>
          <w:szCs w:val="18"/>
          <w:lang w:val="ms-MY"/>
        </w:rPr>
        <w:t>Abstrak</w:t>
      </w:r>
    </w:p>
    <w:p w14:paraId="1B13F31F" w14:textId="77777777" w:rsidR="000D33D1" w:rsidRPr="005948CE" w:rsidRDefault="000D33D1" w:rsidP="005948CE">
      <w:pPr>
        <w:pStyle w:val="AEuroAbstract"/>
        <w:spacing w:before="0"/>
        <w:rPr>
          <w:noProof/>
          <w:sz w:val="18"/>
          <w:szCs w:val="18"/>
          <w:shd w:val="clear" w:color="auto" w:fill="FFFFFF"/>
          <w:lang w:val="ms-MY"/>
        </w:rPr>
      </w:pPr>
      <w:r w:rsidRPr="005948CE">
        <w:rPr>
          <w:noProof/>
          <w:sz w:val="18"/>
          <w:szCs w:val="18"/>
          <w:lang w:val="ms-MY"/>
        </w:rPr>
        <w:t>Terbitan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i/>
          <w:noProof/>
          <w:sz w:val="18"/>
          <w:szCs w:val="18"/>
          <w:lang w:val="ms-MY"/>
        </w:rPr>
        <w:t>N</w:t>
      </w:r>
      <w:r w:rsidRPr="005948CE">
        <w:rPr>
          <w:noProof/>
          <w:sz w:val="18"/>
          <w:szCs w:val="18"/>
          <w:lang w:val="ms-MY"/>
        </w:rPr>
        <w:t>-bromobenzoil-</w:t>
      </w:r>
      <w:r w:rsidRPr="005948CE">
        <w:rPr>
          <w:i/>
          <w:noProof/>
          <w:sz w:val="18"/>
          <w:szCs w:val="18"/>
          <w:lang w:val="ms-MY"/>
        </w:rPr>
        <w:t>N</w:t>
      </w:r>
      <w:r w:rsidRPr="005948CE">
        <w:rPr>
          <w:noProof/>
          <w:sz w:val="18"/>
          <w:szCs w:val="18"/>
          <w:lang w:val="ms-MY"/>
        </w:rPr>
        <w:t>'-(1,10-fenantrolin-5-il)tiourea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telah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disintesis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melalui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tindak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balas di antara 1,10-fenantrolina dengan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i/>
          <w:noProof/>
          <w:sz w:val="18"/>
          <w:szCs w:val="18"/>
          <w:lang w:val="ms-MY"/>
        </w:rPr>
        <w:t>x</w:t>
      </w:r>
      <w:r w:rsidRPr="005948CE">
        <w:rPr>
          <w:noProof/>
          <w:sz w:val="18"/>
          <w:szCs w:val="18"/>
          <w:lang w:val="ms-MY"/>
        </w:rPr>
        <w:t>-bromobenzoilisotiosianat (</w:t>
      </w:r>
      <w:r w:rsidRPr="005948CE">
        <w:rPr>
          <w:i/>
          <w:noProof/>
          <w:sz w:val="18"/>
          <w:szCs w:val="18"/>
          <w:lang w:val="ms-MY"/>
        </w:rPr>
        <w:t xml:space="preserve">x </w:t>
      </w:r>
      <w:r w:rsidRPr="005948CE">
        <w:rPr>
          <w:noProof/>
          <w:sz w:val="18"/>
          <w:szCs w:val="18"/>
          <w:lang w:val="ms-MY"/>
        </w:rPr>
        <w:t xml:space="preserve">= </w:t>
      </w:r>
      <w:r w:rsidRPr="005948CE">
        <w:rPr>
          <w:i/>
          <w:iCs/>
          <w:noProof/>
          <w:sz w:val="18"/>
          <w:szCs w:val="18"/>
          <w:lang w:val="ms-MY"/>
        </w:rPr>
        <w:t>orto</w:t>
      </w:r>
      <w:r w:rsidRPr="005948CE">
        <w:rPr>
          <w:noProof/>
          <w:sz w:val="18"/>
          <w:szCs w:val="18"/>
          <w:lang w:val="ms-MY"/>
        </w:rPr>
        <w:t xml:space="preserve">, </w:t>
      </w:r>
      <w:r w:rsidRPr="005948CE">
        <w:rPr>
          <w:i/>
          <w:iCs/>
          <w:noProof/>
          <w:sz w:val="18"/>
          <w:szCs w:val="18"/>
          <w:lang w:val="ms-MY"/>
        </w:rPr>
        <w:t>meta</w:t>
      </w:r>
      <w:r w:rsidRPr="005948CE">
        <w:rPr>
          <w:noProof/>
          <w:sz w:val="18"/>
          <w:szCs w:val="18"/>
          <w:lang w:val="ms-MY"/>
        </w:rPr>
        <w:t xml:space="preserve"> and </w:t>
      </w:r>
      <w:r w:rsidRPr="005948CE">
        <w:rPr>
          <w:i/>
          <w:iCs/>
          <w:noProof/>
          <w:sz w:val="18"/>
          <w:szCs w:val="18"/>
          <w:lang w:val="ms-MY"/>
        </w:rPr>
        <w:t>para</w:t>
      </w:r>
      <w:r w:rsidRPr="005948CE">
        <w:rPr>
          <w:noProof/>
          <w:sz w:val="18"/>
          <w:szCs w:val="18"/>
          <w:lang w:val="ms-MY"/>
        </w:rPr>
        <w:t>) masing-masing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menghasilkan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sebatian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phen-</w:t>
      </w:r>
      <w:r w:rsidRPr="005948CE">
        <w:rPr>
          <w:i/>
          <w:noProof/>
          <w:sz w:val="18"/>
          <w:szCs w:val="18"/>
          <w:lang w:val="ms-MY"/>
        </w:rPr>
        <w:t>o</w:t>
      </w:r>
      <w:r w:rsidRPr="005948CE">
        <w:rPr>
          <w:noProof/>
          <w:sz w:val="18"/>
          <w:szCs w:val="18"/>
          <w:lang w:val="ms-MY"/>
        </w:rPr>
        <w:t>-BrBT, phen-</w:t>
      </w:r>
      <w:r w:rsidRPr="005948CE">
        <w:rPr>
          <w:i/>
          <w:noProof/>
          <w:sz w:val="18"/>
          <w:szCs w:val="18"/>
          <w:lang w:val="ms-MY"/>
        </w:rPr>
        <w:t>m</w:t>
      </w:r>
      <w:r w:rsidRPr="005948CE">
        <w:rPr>
          <w:noProof/>
          <w:sz w:val="18"/>
          <w:szCs w:val="18"/>
          <w:lang w:val="ms-MY"/>
        </w:rPr>
        <w:t>-BrBT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dan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phen-</w:t>
      </w:r>
      <w:r w:rsidRPr="005948CE">
        <w:rPr>
          <w:i/>
          <w:noProof/>
          <w:sz w:val="18"/>
          <w:szCs w:val="18"/>
          <w:lang w:val="ms-MY"/>
        </w:rPr>
        <w:t>p</w:t>
      </w:r>
      <w:r w:rsidRPr="005948CE">
        <w:rPr>
          <w:noProof/>
          <w:sz w:val="18"/>
          <w:szCs w:val="18"/>
          <w:lang w:val="ms-MY"/>
        </w:rPr>
        <w:t>-BrBT. Struktur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sebatian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ditentukan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berdasarkan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struktur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kristal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i/>
          <w:noProof/>
          <w:sz w:val="18"/>
          <w:szCs w:val="18"/>
          <w:lang w:val="ms-MY"/>
        </w:rPr>
        <w:t>N</w:t>
      </w:r>
      <w:r w:rsidRPr="005948CE">
        <w:rPr>
          <w:noProof/>
          <w:sz w:val="18"/>
          <w:szCs w:val="18"/>
          <w:lang w:val="ms-MY"/>
        </w:rPr>
        <w:t>-benzoil-</w:t>
      </w:r>
      <w:r w:rsidRPr="005948CE">
        <w:rPr>
          <w:i/>
          <w:noProof/>
          <w:sz w:val="18"/>
          <w:szCs w:val="18"/>
          <w:lang w:val="ms-MY"/>
        </w:rPr>
        <w:t>N</w:t>
      </w:r>
      <w:r w:rsidRPr="005948CE">
        <w:rPr>
          <w:noProof/>
          <w:sz w:val="18"/>
          <w:szCs w:val="18"/>
          <w:lang w:val="ms-MY"/>
        </w:rPr>
        <w:t>'-(1,10-fenantrolin-5-il)tiourea, analisis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unsur CHNS, spektrometri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jisim, data spektroskopi (inframerah, ultralembayung-boleh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nampak, pendarcahaya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dan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resonans</w:t>
      </w:r>
      <w:r w:rsidR="00580AC5" w:rsidRPr="005948CE">
        <w:rPr>
          <w:noProof/>
          <w:sz w:val="18"/>
          <w:szCs w:val="18"/>
          <w:lang w:val="ms-MY"/>
        </w:rPr>
        <w:t xml:space="preserve"> magnetik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nuklear) dan</w:t>
      </w:r>
      <w:r w:rsidR="00BF1E90" w:rsidRPr="005948CE">
        <w:rPr>
          <w:noProof/>
          <w:sz w:val="18"/>
          <w:szCs w:val="18"/>
          <w:lang w:val="ms-MY"/>
        </w:rPr>
        <w:t xml:space="preserve"> voltammetry </w:t>
      </w:r>
      <w:r w:rsidRPr="005948CE">
        <w:rPr>
          <w:noProof/>
          <w:sz w:val="18"/>
          <w:szCs w:val="18"/>
          <w:lang w:val="ms-MY"/>
        </w:rPr>
        <w:t>kitaran. Spektrum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jisim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bagi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ketiga-tiga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sebatian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ini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menunjukkan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nilai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i/>
          <w:iCs/>
          <w:noProof/>
          <w:sz w:val="18"/>
          <w:szCs w:val="18"/>
          <w:lang w:val="ms-MY"/>
        </w:rPr>
        <w:t xml:space="preserve">m/z </w:t>
      </w:r>
      <w:r w:rsidRPr="005948CE">
        <w:rPr>
          <w:noProof/>
          <w:sz w:val="18"/>
          <w:szCs w:val="18"/>
          <w:lang w:val="ms-MY"/>
        </w:rPr>
        <w:t xml:space="preserve">yang sama pada 460.9 dan 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>260.0 masing-masing</w:t>
      </w:r>
      <w:r w:rsidR="00BF1E90"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>mewakili</w:t>
      </w:r>
      <w:r w:rsidR="00BF1E90"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ion molekul [(phen-</w:t>
      </w:r>
      <w:r w:rsidRPr="005948CE">
        <w:rPr>
          <w:i/>
          <w:iCs/>
          <w:noProof/>
          <w:sz w:val="18"/>
          <w:szCs w:val="18"/>
          <w:lang w:val="ms-MY"/>
        </w:rPr>
        <w:t>x</w:t>
      </w:r>
      <w:r w:rsidRPr="005948CE">
        <w:rPr>
          <w:i/>
          <w:noProof/>
          <w:sz w:val="18"/>
          <w:szCs w:val="18"/>
          <w:lang w:val="ms-MY"/>
        </w:rPr>
        <w:t>-</w:t>
      </w:r>
      <w:r w:rsidRPr="005948CE">
        <w:rPr>
          <w:noProof/>
          <w:sz w:val="18"/>
          <w:szCs w:val="18"/>
          <w:lang w:val="ms-MY"/>
        </w:rPr>
        <w:t>BrBT)-Na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>]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vertAlign w:val="superscript"/>
          <w:lang w:val="ms-MY"/>
        </w:rPr>
        <w:t>+</w:t>
      </w:r>
      <w:r w:rsidR="00BF1E90" w:rsidRPr="005948CE">
        <w:rPr>
          <w:rFonts w:eastAsia="Arial Unicode MS"/>
          <w:noProof/>
          <w:sz w:val="18"/>
          <w:szCs w:val="18"/>
          <w:shd w:val="clear" w:color="auto" w:fill="FFFFFF"/>
          <w:vertAlign w:val="superscript"/>
          <w:lang w:val="ms-MY"/>
        </w:rPr>
        <w:t xml:space="preserve"> 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>dan [BrBT]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vertAlign w:val="superscript"/>
          <w:lang w:val="ms-MY"/>
        </w:rPr>
        <w:t>+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>. Kemunculan</w:t>
      </w:r>
      <w:r w:rsidR="00BF1E90"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>isyarat</w:t>
      </w:r>
      <w:r w:rsidR="00BF1E90"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rFonts w:eastAsia="Arial Unicode MS"/>
          <w:i/>
          <w:iCs/>
          <w:noProof/>
          <w:sz w:val="18"/>
          <w:szCs w:val="18"/>
          <w:shd w:val="clear" w:color="auto" w:fill="FFFFFF"/>
          <w:lang w:val="ms-MY"/>
        </w:rPr>
        <w:t>v</w:t>
      </w:r>
      <w:r w:rsidRPr="005948CE">
        <w:rPr>
          <w:noProof/>
          <w:sz w:val="18"/>
          <w:szCs w:val="18"/>
          <w:lang w:val="ms-MY"/>
        </w:rPr>
        <w:t>(NH) pada 3389-3599 cm</w:t>
      </w:r>
      <w:r w:rsidRPr="005948CE">
        <w:rPr>
          <w:noProof/>
          <w:sz w:val="18"/>
          <w:szCs w:val="18"/>
          <w:vertAlign w:val="superscript"/>
          <w:lang w:val="ms-MY"/>
        </w:rPr>
        <w:t xml:space="preserve">-1 </w:t>
      </w:r>
      <w:r w:rsidRPr="005948CE">
        <w:rPr>
          <w:noProof/>
          <w:sz w:val="18"/>
          <w:szCs w:val="18"/>
          <w:lang w:val="ms-MY"/>
        </w:rPr>
        <w:t>dan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kehilangan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frekuensi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regangan ν(NH</w:t>
      </w:r>
      <w:r w:rsidRPr="005948CE">
        <w:rPr>
          <w:noProof/>
          <w:sz w:val="18"/>
          <w:szCs w:val="18"/>
          <w:vertAlign w:val="subscript"/>
          <w:lang w:val="ms-MY"/>
        </w:rPr>
        <w:t>2</w:t>
      </w:r>
      <w:r w:rsidRPr="005948CE">
        <w:rPr>
          <w:noProof/>
          <w:sz w:val="18"/>
          <w:szCs w:val="18"/>
          <w:lang w:val="ms-MY"/>
        </w:rPr>
        <w:t>) bagi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sebatian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>1,10-fenantrolin-5-amina</w:t>
      </w:r>
      <w:r w:rsidR="00BF1E90"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menunjukkan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pembentukan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molekul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i/>
          <w:noProof/>
          <w:sz w:val="18"/>
          <w:szCs w:val="18"/>
          <w:lang w:val="ms-MY"/>
        </w:rPr>
        <w:t>N</w:t>
      </w:r>
      <w:r w:rsidRPr="005948CE">
        <w:rPr>
          <w:noProof/>
          <w:sz w:val="18"/>
          <w:szCs w:val="18"/>
          <w:lang w:val="ms-MY"/>
        </w:rPr>
        <w:t>-bromobenzoil-</w:t>
      </w:r>
      <w:r w:rsidRPr="005948CE">
        <w:rPr>
          <w:i/>
          <w:noProof/>
          <w:sz w:val="18"/>
          <w:szCs w:val="18"/>
          <w:lang w:val="ms-MY"/>
        </w:rPr>
        <w:t>N</w:t>
      </w:r>
      <w:r w:rsidRPr="005948CE">
        <w:rPr>
          <w:noProof/>
          <w:sz w:val="18"/>
          <w:szCs w:val="18"/>
          <w:lang w:val="ms-MY"/>
        </w:rPr>
        <w:t>'-(1,10-fenantrolin-5-il)tiourea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 xml:space="preserve">. Kehadiran atom </w:t>
      </w:r>
      <w:r w:rsidRPr="005948CE">
        <w:rPr>
          <w:noProof/>
          <w:sz w:val="18"/>
          <w:szCs w:val="18"/>
          <w:shd w:val="clear" w:color="auto" w:fill="FFFFFF"/>
          <w:lang w:val="ms-MY"/>
        </w:rPr>
        <w:t>bromo</w:t>
      </w:r>
      <w:r w:rsidR="00BF1E90" w:rsidRPr="005948CE">
        <w:rPr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>pada gelang</w:t>
      </w:r>
      <w:r w:rsidR="00BF1E90"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noProof/>
          <w:sz w:val="18"/>
          <w:szCs w:val="18"/>
          <w:shd w:val="clear" w:color="auto" w:fill="FFFFFF"/>
          <w:lang w:val="ms-MY"/>
        </w:rPr>
        <w:t>benzoil</w:t>
      </w:r>
      <w:r w:rsidR="00BF1E90" w:rsidRPr="005948CE">
        <w:rPr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noProof/>
          <w:sz w:val="18"/>
          <w:szCs w:val="18"/>
          <w:shd w:val="clear" w:color="auto" w:fill="FFFFFF"/>
          <w:lang w:val="ms-MY"/>
        </w:rPr>
        <w:t>telah</w:t>
      </w:r>
      <w:r w:rsidR="00BF1E90" w:rsidRPr="005948CE">
        <w:rPr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>merendahkan</w:t>
      </w:r>
      <w:r w:rsidR="00BF1E90"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frekuensi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regangan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rFonts w:eastAsia="Arial Unicode MS"/>
          <w:i/>
          <w:iCs/>
          <w:noProof/>
          <w:sz w:val="18"/>
          <w:szCs w:val="18"/>
          <w:shd w:val="clear" w:color="auto" w:fill="FFFFFF"/>
          <w:lang w:val="ms-MY"/>
        </w:rPr>
        <w:t>v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>(CO) sebanyak</w:t>
      </w:r>
      <w:r w:rsidR="00BF1E90"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>&gt;20 cm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vertAlign w:val="superscript"/>
          <w:lang w:val="ms-MY"/>
        </w:rPr>
        <w:t xml:space="preserve">-1 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>berbanding</w:t>
      </w:r>
      <w:r w:rsidR="00BF1E90"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i/>
          <w:noProof/>
          <w:sz w:val="18"/>
          <w:szCs w:val="18"/>
          <w:lang w:val="ms-MY"/>
        </w:rPr>
        <w:t>N</w:t>
      </w:r>
      <w:r w:rsidRPr="005948CE">
        <w:rPr>
          <w:noProof/>
          <w:sz w:val="18"/>
          <w:szCs w:val="18"/>
          <w:lang w:val="ms-MY"/>
        </w:rPr>
        <w:t>-bromobenzoil-</w:t>
      </w:r>
      <w:r w:rsidRPr="005948CE">
        <w:rPr>
          <w:i/>
          <w:noProof/>
          <w:sz w:val="18"/>
          <w:szCs w:val="18"/>
          <w:lang w:val="ms-MY"/>
        </w:rPr>
        <w:t>N</w:t>
      </w:r>
      <w:r w:rsidRPr="005948CE">
        <w:rPr>
          <w:noProof/>
          <w:sz w:val="18"/>
          <w:szCs w:val="18"/>
          <w:lang w:val="ms-MY"/>
        </w:rPr>
        <w:t>'-(1,10-fenantrolin-5-il)tiourea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 xml:space="preserve">. </w:t>
      </w:r>
      <w:r w:rsidRPr="005948CE">
        <w:rPr>
          <w:noProof/>
          <w:sz w:val="18"/>
          <w:szCs w:val="18"/>
          <w:shd w:val="clear" w:color="auto" w:fill="FFFFFF"/>
          <w:lang w:val="ms-MY"/>
        </w:rPr>
        <w:t>Spektrum</w:t>
      </w:r>
      <w:r w:rsidR="00BF1E90" w:rsidRPr="005948CE">
        <w:rPr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>elektronik</w:t>
      </w:r>
      <w:r w:rsidR="00BF1E90"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>sebatian</w:t>
      </w:r>
      <w:r w:rsidR="00BF1E90"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>memapar</w:t>
      </w:r>
      <w:r w:rsidR="00BF1E90"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noProof/>
          <w:sz w:val="18"/>
          <w:szCs w:val="18"/>
          <w:shd w:val="clear" w:color="auto" w:fill="FFFFFF"/>
          <w:lang w:val="ms-MY"/>
        </w:rPr>
        <w:t>dua</w:t>
      </w:r>
      <w:r w:rsidR="00BF1E90" w:rsidRPr="005948CE">
        <w:rPr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noProof/>
          <w:sz w:val="18"/>
          <w:szCs w:val="18"/>
          <w:shd w:val="clear" w:color="auto" w:fill="FFFFFF"/>
          <w:lang w:val="ms-MY"/>
        </w:rPr>
        <w:t>jalur</w:t>
      </w:r>
      <w:r w:rsidR="00BF1E90" w:rsidRPr="005948CE">
        <w:rPr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noProof/>
          <w:sz w:val="18"/>
          <w:szCs w:val="18"/>
          <w:shd w:val="clear" w:color="auto" w:fill="FFFFFF"/>
          <w:lang w:val="ms-MY"/>
        </w:rPr>
        <w:t>serapan</w:t>
      </w:r>
      <w:r w:rsidR="00BF1E90" w:rsidRPr="005948CE">
        <w:rPr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>bagi</w:t>
      </w:r>
      <w:r w:rsidR="00BF1E90"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noProof/>
          <w:sz w:val="18"/>
          <w:szCs w:val="18"/>
          <w:shd w:val="clear" w:color="auto" w:fill="FFFFFF"/>
          <w:lang w:val="ms-MY"/>
        </w:rPr>
        <w:t>peralihan</w:t>
      </w:r>
      <w:r w:rsidR="00BF1E90" w:rsidRPr="005948CE">
        <w:rPr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 xml:space="preserve">π→π* </w:t>
      </w:r>
      <w:r w:rsidRPr="005948CE">
        <w:rPr>
          <w:noProof/>
          <w:sz w:val="18"/>
          <w:szCs w:val="18"/>
          <w:shd w:val="clear" w:color="auto" w:fill="FFFFFF"/>
          <w:lang w:val="ms-MY"/>
        </w:rPr>
        <w:t>pada 231</w:t>
      </w:r>
      <w:r w:rsidR="00BF1E90" w:rsidRPr="005948CE">
        <w:rPr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noProof/>
          <w:sz w:val="18"/>
          <w:szCs w:val="18"/>
          <w:shd w:val="clear" w:color="auto" w:fill="FFFFFF"/>
          <w:lang w:val="ms-MY"/>
        </w:rPr>
        <w:t>dan 269-270 nm masing-masing</w:t>
      </w:r>
      <w:r w:rsidR="00BF1E90" w:rsidRPr="005948CE">
        <w:rPr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noProof/>
          <w:sz w:val="18"/>
          <w:szCs w:val="18"/>
          <w:shd w:val="clear" w:color="auto" w:fill="FFFFFF"/>
          <w:lang w:val="ms-MY"/>
        </w:rPr>
        <w:t>berpunca</w:t>
      </w:r>
      <w:r w:rsidR="00BF1E90" w:rsidRPr="005948CE">
        <w:rPr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noProof/>
          <w:sz w:val="18"/>
          <w:szCs w:val="18"/>
          <w:shd w:val="clear" w:color="auto" w:fill="FFFFFF"/>
          <w:lang w:val="ms-MY"/>
        </w:rPr>
        <w:t>daripada</w:t>
      </w:r>
      <w:r w:rsidR="00580AC5" w:rsidRPr="005948CE">
        <w:rPr>
          <w:noProof/>
          <w:sz w:val="18"/>
          <w:szCs w:val="18"/>
          <w:shd w:val="clear" w:color="auto" w:fill="FFFFFF"/>
          <w:lang w:val="ms-MY"/>
        </w:rPr>
        <w:t xml:space="preserve"> moieti</w:t>
      </w:r>
      <w:r w:rsidR="00BF1E90" w:rsidRPr="005948CE">
        <w:rPr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noProof/>
          <w:sz w:val="18"/>
          <w:szCs w:val="18"/>
          <w:shd w:val="clear" w:color="auto" w:fill="FFFFFF"/>
          <w:lang w:val="ms-MY"/>
        </w:rPr>
        <w:t>fenantrolina</w:t>
      </w:r>
      <w:r w:rsidR="00BF1E90" w:rsidRPr="005948CE">
        <w:rPr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noProof/>
          <w:sz w:val="18"/>
          <w:szCs w:val="18"/>
          <w:shd w:val="clear" w:color="auto" w:fill="FFFFFF"/>
          <w:lang w:val="ms-MY"/>
        </w:rPr>
        <w:t>dan</w:t>
      </w:r>
      <w:r w:rsidR="00BF1E90" w:rsidRPr="005948CE">
        <w:rPr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noProof/>
          <w:sz w:val="18"/>
          <w:szCs w:val="18"/>
          <w:shd w:val="clear" w:color="auto" w:fill="FFFFFF"/>
          <w:lang w:val="ms-MY"/>
        </w:rPr>
        <w:t xml:space="preserve">benzoil. 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>Isyarat</w:t>
      </w:r>
      <w:r w:rsidR="00BF1E90"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>resonan</w:t>
      </w:r>
      <w:r w:rsidR="00BF1E90"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 xml:space="preserve"> </w:t>
      </w:r>
      <w:r w:rsidRPr="005948CE">
        <w:rPr>
          <w:noProof/>
          <w:sz w:val="18"/>
          <w:szCs w:val="18"/>
          <w:shd w:val="clear" w:color="auto" w:fill="FFFFFF"/>
          <w:vertAlign w:val="superscript"/>
          <w:lang w:val="ms-MY"/>
        </w:rPr>
        <w:t>1</w:t>
      </w:r>
      <w:r w:rsidRPr="005948CE">
        <w:rPr>
          <w:noProof/>
          <w:sz w:val="18"/>
          <w:szCs w:val="18"/>
          <w:shd w:val="clear" w:color="auto" w:fill="FFFFFF"/>
          <w:lang w:val="ms-MY"/>
        </w:rPr>
        <w:t xml:space="preserve">H </w:t>
      </w:r>
      <w:r w:rsidRPr="005948CE">
        <w:rPr>
          <w:rFonts w:eastAsia="Arial Unicode MS"/>
          <w:noProof/>
          <w:sz w:val="18"/>
          <w:szCs w:val="18"/>
          <w:shd w:val="clear" w:color="auto" w:fill="FFFFFF"/>
          <w:lang w:val="ms-MY"/>
        </w:rPr>
        <w:t>(N-H) hadir</w:t>
      </w:r>
      <w:r w:rsidRPr="005948CE">
        <w:rPr>
          <w:noProof/>
          <w:sz w:val="18"/>
          <w:szCs w:val="18"/>
          <w:shd w:val="clear" w:color="auto" w:fill="FFFFFF"/>
          <w:lang w:val="ms-MY"/>
        </w:rPr>
        <w:t xml:space="preserve"> pada </w:t>
      </w:r>
      <w:r w:rsidRPr="005948CE">
        <w:rPr>
          <w:noProof/>
          <w:sz w:val="18"/>
          <w:szCs w:val="18"/>
          <w:lang w:val="ms-MY" w:eastAsia="zh-CN"/>
        </w:rPr>
        <w:t>δ = 11.53-12.49 ppm manakala, isyarat</w:t>
      </w:r>
      <w:r w:rsidR="00BF1E90" w:rsidRPr="005948CE">
        <w:rPr>
          <w:noProof/>
          <w:sz w:val="18"/>
          <w:szCs w:val="18"/>
          <w:lang w:val="ms-MY" w:eastAsia="zh-CN"/>
        </w:rPr>
        <w:t xml:space="preserve"> </w:t>
      </w:r>
      <w:r w:rsidRPr="005948CE">
        <w:rPr>
          <w:noProof/>
          <w:sz w:val="18"/>
          <w:szCs w:val="18"/>
          <w:vertAlign w:val="superscript"/>
          <w:lang w:val="ms-MY"/>
        </w:rPr>
        <w:t>13</w:t>
      </w:r>
      <w:r w:rsidRPr="005948CE">
        <w:rPr>
          <w:noProof/>
          <w:sz w:val="18"/>
          <w:szCs w:val="18"/>
          <w:lang w:val="ms-MY"/>
        </w:rPr>
        <w:t>C bagi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kumpulan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 w:eastAsia="zh-CN"/>
        </w:rPr>
        <w:t>berfungsi</w:t>
      </w:r>
      <w:r w:rsidR="00BF1E90" w:rsidRPr="005948CE">
        <w:rPr>
          <w:noProof/>
          <w:sz w:val="18"/>
          <w:szCs w:val="18"/>
          <w:lang w:val="ms-MY" w:eastAsia="zh-CN"/>
        </w:rPr>
        <w:t xml:space="preserve"> </w:t>
      </w:r>
      <w:r w:rsidRPr="005948CE">
        <w:rPr>
          <w:noProof/>
          <w:sz w:val="18"/>
          <w:szCs w:val="18"/>
          <w:lang w:val="ms-MY" w:eastAsia="zh-CN"/>
        </w:rPr>
        <w:t>utama C=S dan C=O telah</w:t>
      </w:r>
      <w:r w:rsidR="00BF1E90" w:rsidRPr="005948CE">
        <w:rPr>
          <w:noProof/>
          <w:sz w:val="18"/>
          <w:szCs w:val="18"/>
          <w:lang w:val="ms-MY" w:eastAsia="zh-CN"/>
        </w:rPr>
        <w:t xml:space="preserve"> </w:t>
      </w:r>
      <w:r w:rsidRPr="005948CE">
        <w:rPr>
          <w:noProof/>
          <w:sz w:val="18"/>
          <w:szCs w:val="18"/>
          <w:lang w:val="ms-MY" w:eastAsia="zh-CN"/>
        </w:rPr>
        <w:t>dikenal</w:t>
      </w:r>
      <w:r w:rsidR="00BF1E90" w:rsidRPr="005948CE">
        <w:rPr>
          <w:noProof/>
          <w:sz w:val="18"/>
          <w:szCs w:val="18"/>
          <w:lang w:val="ms-MY" w:eastAsia="zh-CN"/>
        </w:rPr>
        <w:t xml:space="preserve"> </w:t>
      </w:r>
      <w:r w:rsidRPr="005948CE">
        <w:rPr>
          <w:noProof/>
          <w:sz w:val="18"/>
          <w:szCs w:val="18"/>
          <w:lang w:val="ms-MY" w:eastAsia="zh-CN"/>
        </w:rPr>
        <w:t>pasti</w:t>
      </w:r>
      <w:r w:rsidR="00BF1E90" w:rsidRPr="005948CE">
        <w:rPr>
          <w:noProof/>
          <w:sz w:val="18"/>
          <w:szCs w:val="18"/>
          <w:lang w:val="ms-MY" w:eastAsia="zh-CN"/>
        </w:rPr>
        <w:t xml:space="preserve"> </w:t>
      </w:r>
      <w:r w:rsidRPr="005948CE">
        <w:rPr>
          <w:noProof/>
          <w:sz w:val="18"/>
          <w:szCs w:val="18"/>
          <w:lang w:val="ms-MY" w:eastAsia="zh-CN"/>
        </w:rPr>
        <w:t>masing-masing pada 182 dan</w:t>
      </w:r>
      <w:r w:rsidR="00BF1E90" w:rsidRPr="005948CE">
        <w:rPr>
          <w:noProof/>
          <w:sz w:val="18"/>
          <w:szCs w:val="18"/>
          <w:lang w:val="ms-MY" w:eastAsia="zh-CN"/>
        </w:rPr>
        <w:t xml:space="preserve"> </w:t>
      </w:r>
      <w:r w:rsidRPr="005948CE">
        <w:rPr>
          <w:noProof/>
          <w:sz w:val="18"/>
          <w:szCs w:val="18"/>
          <w:lang w:val="ms-MY"/>
        </w:rPr>
        <w:t>167.39-169.08 ppm. Sintesis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dan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kesan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kehadiran Br pada posisi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i/>
          <w:noProof/>
          <w:sz w:val="18"/>
          <w:szCs w:val="18"/>
          <w:lang w:val="ms-MY"/>
        </w:rPr>
        <w:t>orto</w:t>
      </w:r>
      <w:r w:rsidRPr="005948CE">
        <w:rPr>
          <w:noProof/>
          <w:sz w:val="18"/>
          <w:szCs w:val="18"/>
          <w:lang w:val="ms-MY"/>
        </w:rPr>
        <w:t xml:space="preserve">, </w:t>
      </w:r>
      <w:r w:rsidRPr="005948CE">
        <w:rPr>
          <w:i/>
          <w:noProof/>
          <w:sz w:val="18"/>
          <w:szCs w:val="18"/>
          <w:lang w:val="ms-MY"/>
        </w:rPr>
        <w:t>meta</w:t>
      </w:r>
      <w:r w:rsidR="00BF1E90" w:rsidRPr="005948CE">
        <w:rPr>
          <w:i/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dan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i/>
          <w:noProof/>
          <w:sz w:val="18"/>
          <w:szCs w:val="18"/>
          <w:lang w:val="ms-MY"/>
        </w:rPr>
        <w:t>para</w:t>
      </w:r>
      <w:r w:rsidR="00BF1E90" w:rsidRPr="005948CE">
        <w:rPr>
          <w:i/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terhadap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struktur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serta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sifat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pendarcahaya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sebatian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dilapor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dan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dibincang di dalam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kajian</w:t>
      </w:r>
      <w:r w:rsidR="00BF1E90" w:rsidRPr="005948CE">
        <w:rPr>
          <w:noProof/>
          <w:sz w:val="18"/>
          <w:szCs w:val="18"/>
          <w:lang w:val="ms-MY"/>
        </w:rPr>
        <w:t xml:space="preserve"> </w:t>
      </w:r>
      <w:r w:rsidRPr="005948CE">
        <w:rPr>
          <w:noProof/>
          <w:sz w:val="18"/>
          <w:szCs w:val="18"/>
          <w:lang w:val="ms-MY"/>
        </w:rPr>
        <w:t>ini.</w:t>
      </w:r>
    </w:p>
    <w:p w14:paraId="6762A56E" w14:textId="77777777" w:rsidR="000D33D1" w:rsidRPr="005948CE" w:rsidRDefault="000D33D1" w:rsidP="000D33D1">
      <w:pPr>
        <w:pStyle w:val="AEuroAbstract"/>
        <w:spacing w:before="0"/>
        <w:rPr>
          <w:noProof/>
          <w:sz w:val="18"/>
          <w:szCs w:val="18"/>
          <w:lang w:val="ms-MY"/>
        </w:rPr>
      </w:pPr>
    </w:p>
    <w:p w14:paraId="4E715D81" w14:textId="77777777" w:rsidR="000D33D1" w:rsidRPr="005948CE" w:rsidRDefault="000D33D1" w:rsidP="007B3641">
      <w:pPr>
        <w:pStyle w:val="AEuroAbstract"/>
        <w:spacing w:before="0"/>
        <w:jc w:val="left"/>
        <w:outlineLvl w:val="0"/>
        <w:rPr>
          <w:noProof/>
          <w:sz w:val="18"/>
          <w:szCs w:val="18"/>
          <w:lang w:val="ms-MY"/>
        </w:rPr>
      </w:pPr>
      <w:r w:rsidRPr="005948CE">
        <w:rPr>
          <w:b/>
          <w:bCs/>
          <w:noProof/>
          <w:sz w:val="18"/>
          <w:szCs w:val="18"/>
          <w:lang w:val="ms-MY"/>
        </w:rPr>
        <w:t xml:space="preserve">Kata kunci: </w:t>
      </w:r>
      <w:r w:rsidRPr="005948CE">
        <w:rPr>
          <w:noProof/>
          <w:sz w:val="18"/>
          <w:szCs w:val="18"/>
          <w:lang w:val="ms-MY"/>
        </w:rPr>
        <w:t>benzoilthiourea, 1,10-fenantrolina, tiosianat, inframerah, pendarcahaya</w:t>
      </w:r>
    </w:p>
    <w:p w14:paraId="6754D1B3" w14:textId="363741A3" w:rsidR="000D33D1" w:rsidRDefault="000D33D1" w:rsidP="000D33D1">
      <w:pPr>
        <w:pStyle w:val="AEuroAbstract"/>
        <w:spacing w:before="0"/>
        <w:jc w:val="left"/>
        <w:rPr>
          <w:sz w:val="20"/>
        </w:rPr>
      </w:pPr>
    </w:p>
    <w:p w14:paraId="3BFDB30B" w14:textId="77777777" w:rsidR="000D33D1" w:rsidRDefault="000D33D1" w:rsidP="007B3641">
      <w:pPr>
        <w:pStyle w:val="AEuroAbstract"/>
        <w:tabs>
          <w:tab w:val="left" w:pos="567"/>
        </w:tabs>
        <w:spacing w:before="0"/>
        <w:jc w:val="center"/>
        <w:outlineLvl w:val="0"/>
        <w:rPr>
          <w:b/>
          <w:sz w:val="20"/>
        </w:rPr>
      </w:pPr>
      <w:r>
        <w:rPr>
          <w:b/>
          <w:sz w:val="20"/>
        </w:rPr>
        <w:t>Introduction</w:t>
      </w:r>
    </w:p>
    <w:p w14:paraId="0ECA7FDF" w14:textId="77777777" w:rsidR="000D33D1" w:rsidRPr="00312D94" w:rsidRDefault="000D33D1" w:rsidP="000D33D1">
      <w:pPr>
        <w:pStyle w:val="AEuroAbstract"/>
        <w:spacing w:before="0"/>
        <w:rPr>
          <w:sz w:val="20"/>
        </w:rPr>
      </w:pPr>
      <w:r w:rsidRPr="00312D94">
        <w:rPr>
          <w:sz w:val="20"/>
        </w:rPr>
        <w:t>Polypyridine compounds such as 1,10-phenanthroline (</w:t>
      </w:r>
      <w:proofErr w:type="spellStart"/>
      <w:r w:rsidRPr="00312D94">
        <w:rPr>
          <w:sz w:val="20"/>
        </w:rPr>
        <w:t>phen</w:t>
      </w:r>
      <w:proofErr w:type="spellEnd"/>
      <w:r w:rsidRPr="00312D94">
        <w:rPr>
          <w:sz w:val="20"/>
        </w:rPr>
        <w:t>) are one of the most widely used chelating ligands in m</w:t>
      </w:r>
      <w:r>
        <w:rPr>
          <w:sz w:val="20"/>
        </w:rPr>
        <w:t>odern coordination chemistry [1,</w:t>
      </w:r>
      <w:r w:rsidRPr="00312D94">
        <w:rPr>
          <w:sz w:val="20"/>
        </w:rPr>
        <w:t xml:space="preserve">2]. The shape of the </w:t>
      </w:r>
      <w:proofErr w:type="spellStart"/>
      <w:r w:rsidRPr="00312D94">
        <w:rPr>
          <w:sz w:val="20"/>
        </w:rPr>
        <w:t>phen</w:t>
      </w:r>
      <w:proofErr w:type="spellEnd"/>
      <w:r w:rsidRPr="00312D94">
        <w:rPr>
          <w:sz w:val="20"/>
        </w:rPr>
        <w:t xml:space="preserve"> favors the formation of metal complexes via chelation and hence, </w:t>
      </w:r>
      <w:proofErr w:type="spellStart"/>
      <w:r w:rsidRPr="00312D94">
        <w:rPr>
          <w:sz w:val="20"/>
        </w:rPr>
        <w:t>phen</w:t>
      </w:r>
      <w:proofErr w:type="spellEnd"/>
      <w:r w:rsidRPr="00312D94">
        <w:rPr>
          <w:sz w:val="20"/>
        </w:rPr>
        <w:t xml:space="preserve"> and its derivatives are widely used ligands in metal complexes. The metal complexes of </w:t>
      </w:r>
      <w:proofErr w:type="spellStart"/>
      <w:r w:rsidRPr="00312D94">
        <w:rPr>
          <w:sz w:val="20"/>
        </w:rPr>
        <w:t>phen</w:t>
      </w:r>
      <w:proofErr w:type="spellEnd"/>
      <w:r w:rsidRPr="00312D94">
        <w:rPr>
          <w:sz w:val="20"/>
        </w:rPr>
        <w:t xml:space="preserve"> derivatives have many applications in various fields such as molecular catalysis, solar energy conversion, herbicides and nucleic acid probes. Besides, metal-</w:t>
      </w:r>
      <w:proofErr w:type="spellStart"/>
      <w:r w:rsidRPr="00312D94">
        <w:rPr>
          <w:sz w:val="20"/>
        </w:rPr>
        <w:t>phen</w:t>
      </w:r>
      <w:proofErr w:type="spellEnd"/>
      <w:r w:rsidRPr="00312D94">
        <w:rPr>
          <w:sz w:val="20"/>
        </w:rPr>
        <w:t xml:space="preserve"> compound has also been used in the development of luminescence-based senso</w:t>
      </w:r>
      <w:r>
        <w:rPr>
          <w:sz w:val="20"/>
        </w:rPr>
        <w:t>rs for pH, anions and cations [3</w:t>
      </w:r>
      <w:r w:rsidRPr="00312D94">
        <w:rPr>
          <w:sz w:val="20"/>
        </w:rPr>
        <w:t>].</w:t>
      </w:r>
    </w:p>
    <w:p w14:paraId="09983D72" w14:textId="77777777" w:rsidR="000D33D1" w:rsidRPr="00312D94" w:rsidRDefault="000D33D1" w:rsidP="000D33D1">
      <w:pPr>
        <w:pStyle w:val="AEuroAbstract"/>
        <w:spacing w:before="0"/>
        <w:rPr>
          <w:sz w:val="20"/>
        </w:rPr>
      </w:pPr>
    </w:p>
    <w:p w14:paraId="3079F111" w14:textId="77777777" w:rsidR="000D33D1" w:rsidRPr="00312D94" w:rsidRDefault="000D33D1" w:rsidP="000D33D1">
      <w:pPr>
        <w:pStyle w:val="AEuroAbstract"/>
        <w:spacing w:before="0"/>
        <w:rPr>
          <w:sz w:val="20"/>
        </w:rPr>
      </w:pPr>
      <w:r w:rsidRPr="00312D94">
        <w:rPr>
          <w:sz w:val="20"/>
        </w:rPr>
        <w:t>Thiourea compounds are essential as building blocks in the synthe</w:t>
      </w:r>
      <w:r>
        <w:rPr>
          <w:sz w:val="20"/>
        </w:rPr>
        <w:t>sis of heterocyclic compounds [4</w:t>
      </w:r>
      <w:r w:rsidRPr="00312D94">
        <w:rPr>
          <w:sz w:val="20"/>
        </w:rPr>
        <w:t>]. Substituted thioureas have gained great attention in the preparation of wide variety of biologically active compounds [</w:t>
      </w:r>
      <w:r>
        <w:rPr>
          <w:sz w:val="20"/>
        </w:rPr>
        <w:t>5,6</w:t>
      </w:r>
      <w:r w:rsidRPr="00312D94">
        <w:rPr>
          <w:sz w:val="20"/>
        </w:rPr>
        <w:t>]. Thioureas are also an important class of organic compounds, which showed high biological activity, used as corrosion inhibitors and antioxidant, and were also wide</w:t>
      </w:r>
      <w:r>
        <w:rPr>
          <w:sz w:val="20"/>
        </w:rPr>
        <w:t>ly used as polymer components [7</w:t>
      </w:r>
      <w:r w:rsidRPr="00312D94">
        <w:rPr>
          <w:sz w:val="20"/>
        </w:rPr>
        <w:t xml:space="preserve">]. The synthesis of </w:t>
      </w:r>
      <w:r w:rsidRPr="00312D94">
        <w:rPr>
          <w:sz w:val="20"/>
        </w:rPr>
        <w:lastRenderedPageBreak/>
        <w:t xml:space="preserve">thiourea derivatives can be easily </w:t>
      </w:r>
      <w:r>
        <w:rPr>
          <w:sz w:val="20"/>
        </w:rPr>
        <w:t>done with a good yield [8</w:t>
      </w:r>
      <w:r w:rsidRPr="00312D94">
        <w:rPr>
          <w:sz w:val="20"/>
        </w:rPr>
        <w:t xml:space="preserve">]. One of the thiourea derivatives that have gained a lot of attention is </w:t>
      </w:r>
      <w:proofErr w:type="spellStart"/>
      <w:r w:rsidRPr="00312D94">
        <w:rPr>
          <w:sz w:val="20"/>
        </w:rPr>
        <w:t>benzoylthiourea</w:t>
      </w:r>
      <w:proofErr w:type="spellEnd"/>
      <w:r w:rsidRPr="00312D94">
        <w:rPr>
          <w:sz w:val="20"/>
        </w:rPr>
        <w:t>, which has shown a wide range of biological ac</w:t>
      </w:r>
      <w:r>
        <w:rPr>
          <w:sz w:val="20"/>
        </w:rPr>
        <w:t>tivities including antiviral [9], antibacterial [10,11], antifungal [12], herbicidal [13</w:t>
      </w:r>
      <w:r w:rsidRPr="00312D94">
        <w:rPr>
          <w:sz w:val="20"/>
        </w:rPr>
        <w:t>] and a</w:t>
      </w:r>
      <w:r>
        <w:rPr>
          <w:sz w:val="20"/>
        </w:rPr>
        <w:t>cting as chelating agents [14,15</w:t>
      </w:r>
      <w:r w:rsidRPr="00312D94">
        <w:rPr>
          <w:sz w:val="20"/>
        </w:rPr>
        <w:t xml:space="preserve">]. </w:t>
      </w:r>
    </w:p>
    <w:p w14:paraId="5121EAEC" w14:textId="77777777" w:rsidR="000D33D1" w:rsidRPr="00312D94" w:rsidRDefault="000D33D1" w:rsidP="000D33D1">
      <w:pPr>
        <w:pStyle w:val="AEuroAbstract"/>
        <w:spacing w:before="0"/>
        <w:rPr>
          <w:sz w:val="20"/>
        </w:rPr>
      </w:pPr>
    </w:p>
    <w:p w14:paraId="1D3E4018" w14:textId="77777777" w:rsidR="000D33D1" w:rsidRPr="00312D94" w:rsidRDefault="000D33D1" w:rsidP="000D33D1">
      <w:pPr>
        <w:pStyle w:val="AEuroAbstract"/>
        <w:spacing w:before="0"/>
        <w:rPr>
          <w:sz w:val="20"/>
        </w:rPr>
      </w:pPr>
      <w:r w:rsidRPr="00312D94">
        <w:rPr>
          <w:sz w:val="20"/>
        </w:rPr>
        <w:t xml:space="preserve">Phenanthroline derivatives and </w:t>
      </w:r>
      <w:proofErr w:type="spellStart"/>
      <w:r w:rsidRPr="00312D94">
        <w:rPr>
          <w:sz w:val="20"/>
        </w:rPr>
        <w:t>bromobenzoylthiourea</w:t>
      </w:r>
      <w:proofErr w:type="spellEnd"/>
      <w:r w:rsidRPr="00312D94">
        <w:rPr>
          <w:sz w:val="20"/>
        </w:rPr>
        <w:t xml:space="preserve"> compounds are widely used chelating agents in</w:t>
      </w:r>
      <w:r>
        <w:rPr>
          <w:sz w:val="20"/>
        </w:rPr>
        <w:t xml:space="preserve"> the coordination chemistry [1,4</w:t>
      </w:r>
      <w:r w:rsidRPr="00312D94">
        <w:rPr>
          <w:sz w:val="20"/>
        </w:rPr>
        <w:t xml:space="preserve">]. This study attempts to combine both classes of the compounds to form a multi-dentate </w:t>
      </w:r>
      <w:proofErr w:type="spellStart"/>
      <w:r w:rsidRPr="00312D94">
        <w:rPr>
          <w:sz w:val="20"/>
        </w:rPr>
        <w:t>benzoylthiourea</w:t>
      </w:r>
      <w:proofErr w:type="spellEnd"/>
      <w:r w:rsidRPr="00312D94">
        <w:rPr>
          <w:sz w:val="20"/>
        </w:rPr>
        <w:t xml:space="preserve"> ligand that contains both moieties. Subsequently, this new multi-dentate chelating ligand can be used to form stable complexes with metal ions. The derivatives of </w:t>
      </w:r>
      <w:r w:rsidRPr="00312D94">
        <w:rPr>
          <w:i/>
          <w:sz w:val="20"/>
        </w:rPr>
        <w:t>N</w:t>
      </w:r>
      <w:r w:rsidRPr="00312D94">
        <w:rPr>
          <w:sz w:val="20"/>
        </w:rPr>
        <w:t>-</w:t>
      </w:r>
      <w:proofErr w:type="spellStart"/>
      <w:r w:rsidRPr="00312D94">
        <w:rPr>
          <w:sz w:val="20"/>
        </w:rPr>
        <w:t>bromobenzoyl</w:t>
      </w:r>
      <w:proofErr w:type="spellEnd"/>
      <w:r w:rsidRPr="00312D94">
        <w:rPr>
          <w:sz w:val="20"/>
        </w:rPr>
        <w:t>-</w:t>
      </w:r>
      <w:r w:rsidRPr="00312D94">
        <w:rPr>
          <w:i/>
          <w:sz w:val="20"/>
        </w:rPr>
        <w:t>N</w:t>
      </w:r>
      <w:r w:rsidRPr="00312D94">
        <w:rPr>
          <w:sz w:val="20"/>
        </w:rPr>
        <w:t xml:space="preserve">'-(1,10-phenanthrolin-5-yl)thiourea compounds are  expected to be a more effective class of the organic compounds to coordinate with metal ions due to the presence of lone pair electrons on nitrogen, </w:t>
      </w:r>
      <w:proofErr w:type="spellStart"/>
      <w:r w:rsidRPr="00312D94">
        <w:rPr>
          <w:sz w:val="20"/>
        </w:rPr>
        <w:t>sulphur</w:t>
      </w:r>
      <w:proofErr w:type="spellEnd"/>
      <w:r w:rsidRPr="00312D94">
        <w:rPr>
          <w:sz w:val="20"/>
        </w:rPr>
        <w:t xml:space="preserve"> and oxygen atoms. In addition, the π-electron cloud in the </w:t>
      </w:r>
      <w:proofErr w:type="spellStart"/>
      <w:r w:rsidRPr="00312D94">
        <w:rPr>
          <w:sz w:val="20"/>
        </w:rPr>
        <w:t>phen</w:t>
      </w:r>
      <w:proofErr w:type="spellEnd"/>
      <w:r w:rsidRPr="00312D94">
        <w:rPr>
          <w:sz w:val="20"/>
        </w:rPr>
        <w:t xml:space="preserve"> and </w:t>
      </w:r>
      <w:proofErr w:type="spellStart"/>
      <w:r w:rsidRPr="00312D94">
        <w:rPr>
          <w:sz w:val="20"/>
        </w:rPr>
        <w:t>benzoylthiourea</w:t>
      </w:r>
      <w:proofErr w:type="spellEnd"/>
      <w:r w:rsidRPr="00312D94">
        <w:rPr>
          <w:sz w:val="20"/>
        </w:rPr>
        <w:t xml:space="preserve"> moieties will also add to the stability of the coordination complexes through delocalization of electrons across the coordination sphere. </w:t>
      </w:r>
    </w:p>
    <w:p w14:paraId="782DA2D2" w14:textId="77777777" w:rsidR="000D33D1" w:rsidRPr="00312D94" w:rsidRDefault="000D33D1" w:rsidP="000D33D1">
      <w:pPr>
        <w:pStyle w:val="AEuroAbstract"/>
        <w:spacing w:before="0"/>
        <w:rPr>
          <w:sz w:val="20"/>
        </w:rPr>
      </w:pPr>
    </w:p>
    <w:p w14:paraId="09CC44C8" w14:textId="77777777" w:rsidR="000D33D1" w:rsidRPr="00312D94" w:rsidRDefault="000D33D1" w:rsidP="000D33D1">
      <w:pPr>
        <w:pStyle w:val="AEuroAbstract"/>
        <w:spacing w:before="0"/>
        <w:rPr>
          <w:sz w:val="20"/>
        </w:rPr>
      </w:pPr>
      <w:r w:rsidRPr="00312D94">
        <w:rPr>
          <w:sz w:val="20"/>
        </w:rPr>
        <w:t xml:space="preserve">In this paper, we present the synthetic method, structural and electronic properties of </w:t>
      </w:r>
      <w:r w:rsidRPr="00312D94">
        <w:rPr>
          <w:i/>
          <w:sz w:val="20"/>
        </w:rPr>
        <w:t>N</w:t>
      </w:r>
      <w:r w:rsidRPr="00312D94">
        <w:rPr>
          <w:sz w:val="20"/>
        </w:rPr>
        <w:t>-</w:t>
      </w:r>
      <w:proofErr w:type="spellStart"/>
      <w:r w:rsidRPr="00312D94">
        <w:rPr>
          <w:sz w:val="20"/>
        </w:rPr>
        <w:t>bromobenzoyl</w:t>
      </w:r>
      <w:proofErr w:type="spellEnd"/>
      <w:r w:rsidRPr="00312D94">
        <w:rPr>
          <w:sz w:val="20"/>
        </w:rPr>
        <w:t>-</w:t>
      </w:r>
      <w:r w:rsidRPr="00312D94">
        <w:rPr>
          <w:i/>
          <w:sz w:val="20"/>
        </w:rPr>
        <w:t>N</w:t>
      </w:r>
      <w:r w:rsidRPr="00312D94">
        <w:rPr>
          <w:sz w:val="20"/>
        </w:rPr>
        <w:t xml:space="preserve">'-(1,10-phenanthrolin-5-yl)thiourea derivatives. In addition we also discussed the effects of the Br substitution on the structural and luminescence properties of the compounds. </w:t>
      </w:r>
    </w:p>
    <w:p w14:paraId="7C77751C" w14:textId="77777777" w:rsidR="000D33D1" w:rsidRPr="00312D94" w:rsidRDefault="000D33D1" w:rsidP="000D33D1">
      <w:pPr>
        <w:pStyle w:val="AEuroAbstract"/>
        <w:spacing w:before="0"/>
        <w:rPr>
          <w:b/>
          <w:sz w:val="20"/>
        </w:rPr>
      </w:pPr>
    </w:p>
    <w:p w14:paraId="0DD4A5D1" w14:textId="2F30E5DF" w:rsidR="000D33D1" w:rsidRPr="00312D94" w:rsidRDefault="005948CE" w:rsidP="007B3641">
      <w:pPr>
        <w:pStyle w:val="AEuroAbstract"/>
        <w:tabs>
          <w:tab w:val="left" w:pos="567"/>
        </w:tabs>
        <w:spacing w:before="0"/>
        <w:jc w:val="center"/>
        <w:outlineLvl w:val="0"/>
        <w:rPr>
          <w:b/>
          <w:sz w:val="20"/>
        </w:rPr>
      </w:pPr>
      <w:r>
        <w:rPr>
          <w:b/>
          <w:sz w:val="20"/>
        </w:rPr>
        <w:t>Materials and Methods</w:t>
      </w:r>
    </w:p>
    <w:p w14:paraId="31E9F31B" w14:textId="77F33341" w:rsidR="000D33D1" w:rsidRPr="00312D94" w:rsidRDefault="005948CE" w:rsidP="007B3641">
      <w:pPr>
        <w:pStyle w:val="AEuroAbstract"/>
        <w:tabs>
          <w:tab w:val="left" w:pos="567"/>
        </w:tabs>
        <w:spacing w:before="0"/>
        <w:jc w:val="left"/>
        <w:outlineLvl w:val="0"/>
        <w:rPr>
          <w:rFonts w:asciiTheme="majorBidi" w:hAnsiTheme="majorBidi" w:cstheme="majorBidi"/>
          <w:b/>
          <w:sz w:val="20"/>
        </w:rPr>
      </w:pPr>
      <w:r>
        <w:rPr>
          <w:rFonts w:asciiTheme="majorBidi" w:hAnsiTheme="majorBidi" w:cstheme="majorBidi"/>
          <w:b/>
          <w:sz w:val="20"/>
        </w:rPr>
        <w:t>Chemicals and i</w:t>
      </w:r>
      <w:r w:rsidR="000D33D1" w:rsidRPr="00312D94">
        <w:rPr>
          <w:rFonts w:asciiTheme="majorBidi" w:hAnsiTheme="majorBidi" w:cstheme="majorBidi"/>
          <w:b/>
          <w:sz w:val="20"/>
        </w:rPr>
        <w:t>nstrumentation</w:t>
      </w:r>
    </w:p>
    <w:p w14:paraId="772024C7" w14:textId="77777777" w:rsidR="000D33D1" w:rsidRPr="00312D94" w:rsidRDefault="000D33D1" w:rsidP="005948CE">
      <w:pPr>
        <w:pStyle w:val="ListParagraph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sz w:val="20"/>
          <w:szCs w:val="20"/>
        </w:rPr>
      </w:pPr>
      <w:r w:rsidRPr="00312D94">
        <w:rPr>
          <w:rFonts w:asciiTheme="majorBidi" w:hAnsiTheme="majorBidi" w:cstheme="majorBidi"/>
          <w:sz w:val="20"/>
          <w:szCs w:val="20"/>
        </w:rPr>
        <w:t xml:space="preserve">Benzoyl chloride, 1,10-phenanthroline-5-amine, </w:t>
      </w:r>
      <w:r w:rsidRPr="00312D94">
        <w:rPr>
          <w:rFonts w:asciiTheme="majorBidi" w:hAnsiTheme="majorBidi" w:cstheme="majorBidi"/>
          <w:i/>
          <w:sz w:val="20"/>
          <w:szCs w:val="20"/>
        </w:rPr>
        <w:t>o</w:t>
      </w:r>
      <w:r w:rsidRPr="00312D94">
        <w:rPr>
          <w:rFonts w:asciiTheme="majorBidi" w:hAnsiTheme="majorBidi" w:cstheme="majorBidi"/>
          <w:sz w:val="20"/>
          <w:szCs w:val="20"/>
        </w:rPr>
        <w:t>-</w:t>
      </w:r>
      <w:proofErr w:type="spellStart"/>
      <w:r w:rsidRPr="00312D94">
        <w:rPr>
          <w:rFonts w:asciiTheme="majorBidi" w:hAnsiTheme="majorBidi" w:cstheme="majorBidi"/>
          <w:sz w:val="20"/>
          <w:szCs w:val="20"/>
        </w:rPr>
        <w:t>bromobenzoyl</w:t>
      </w:r>
      <w:proofErr w:type="spellEnd"/>
      <w:r w:rsidRPr="00312D94">
        <w:rPr>
          <w:rFonts w:asciiTheme="majorBidi" w:hAnsiTheme="majorBidi" w:cstheme="majorBidi"/>
          <w:sz w:val="20"/>
          <w:szCs w:val="20"/>
        </w:rPr>
        <w:t xml:space="preserve"> chloride, </w:t>
      </w:r>
      <w:r w:rsidRPr="00312D94">
        <w:rPr>
          <w:rFonts w:asciiTheme="majorBidi" w:hAnsiTheme="majorBidi" w:cstheme="majorBidi"/>
          <w:i/>
          <w:sz w:val="20"/>
          <w:szCs w:val="20"/>
        </w:rPr>
        <w:t>m</w:t>
      </w:r>
      <w:r w:rsidRPr="00312D94">
        <w:rPr>
          <w:rFonts w:asciiTheme="majorBidi" w:hAnsiTheme="majorBidi" w:cstheme="majorBidi"/>
          <w:sz w:val="20"/>
          <w:szCs w:val="20"/>
        </w:rPr>
        <w:t>-</w:t>
      </w:r>
      <w:proofErr w:type="spellStart"/>
      <w:r w:rsidRPr="00312D94">
        <w:rPr>
          <w:rFonts w:asciiTheme="majorBidi" w:hAnsiTheme="majorBidi" w:cstheme="majorBidi"/>
          <w:sz w:val="20"/>
          <w:szCs w:val="20"/>
        </w:rPr>
        <w:t>bromobenzoyl</w:t>
      </w:r>
      <w:proofErr w:type="spellEnd"/>
      <w:r w:rsidRPr="00312D94">
        <w:rPr>
          <w:rFonts w:asciiTheme="majorBidi" w:hAnsiTheme="majorBidi" w:cstheme="majorBidi"/>
          <w:sz w:val="20"/>
          <w:szCs w:val="20"/>
        </w:rPr>
        <w:t xml:space="preserve"> chloride and </w:t>
      </w:r>
      <w:r w:rsidRPr="00312D94">
        <w:rPr>
          <w:rFonts w:asciiTheme="majorBidi" w:hAnsiTheme="majorBidi" w:cstheme="majorBidi"/>
          <w:i/>
          <w:sz w:val="20"/>
          <w:szCs w:val="20"/>
        </w:rPr>
        <w:t>p</w:t>
      </w:r>
      <w:r w:rsidRPr="00312D94">
        <w:rPr>
          <w:rFonts w:asciiTheme="majorBidi" w:hAnsiTheme="majorBidi" w:cstheme="majorBidi"/>
          <w:sz w:val="20"/>
          <w:szCs w:val="20"/>
        </w:rPr>
        <w:t>-</w:t>
      </w:r>
      <w:proofErr w:type="spellStart"/>
      <w:r w:rsidRPr="00312D94">
        <w:rPr>
          <w:rFonts w:asciiTheme="majorBidi" w:hAnsiTheme="majorBidi" w:cstheme="majorBidi"/>
          <w:sz w:val="20"/>
          <w:szCs w:val="20"/>
        </w:rPr>
        <w:t>bromobenzoyl</w:t>
      </w:r>
      <w:proofErr w:type="spellEnd"/>
      <w:r w:rsidRPr="00312D94">
        <w:rPr>
          <w:rFonts w:asciiTheme="majorBidi" w:hAnsiTheme="majorBidi" w:cstheme="majorBidi"/>
          <w:sz w:val="20"/>
          <w:szCs w:val="20"/>
        </w:rPr>
        <w:t xml:space="preserve"> chloride were purchased from </w:t>
      </w:r>
      <w:proofErr w:type="spellStart"/>
      <w:r w:rsidRPr="00312D94">
        <w:rPr>
          <w:rFonts w:asciiTheme="majorBidi" w:hAnsiTheme="majorBidi" w:cstheme="majorBidi"/>
          <w:sz w:val="20"/>
          <w:szCs w:val="20"/>
        </w:rPr>
        <w:t>Fluka</w:t>
      </w:r>
      <w:proofErr w:type="spellEnd"/>
      <w:r w:rsidRPr="00312D94">
        <w:rPr>
          <w:rFonts w:asciiTheme="majorBidi" w:hAnsiTheme="majorBidi" w:cstheme="majorBidi"/>
          <w:sz w:val="20"/>
          <w:szCs w:val="20"/>
        </w:rPr>
        <w:t xml:space="preserve"> (Malaysia). All solvents were of reagent grade quality and were obtained from commercial suppliers and used without further purification. </w:t>
      </w:r>
    </w:p>
    <w:p w14:paraId="272FDB8F" w14:textId="77777777" w:rsidR="000D33D1" w:rsidRPr="00312D94" w:rsidRDefault="000D33D1" w:rsidP="000D33D1">
      <w:pPr>
        <w:pStyle w:val="ListParagraph"/>
        <w:autoSpaceDE w:val="0"/>
        <w:autoSpaceDN w:val="0"/>
        <w:adjustRightInd w:val="0"/>
        <w:ind w:left="360"/>
        <w:jc w:val="both"/>
        <w:rPr>
          <w:rFonts w:asciiTheme="majorBidi" w:hAnsiTheme="majorBidi" w:cstheme="majorBidi"/>
          <w:sz w:val="20"/>
          <w:szCs w:val="20"/>
        </w:rPr>
      </w:pPr>
    </w:p>
    <w:p w14:paraId="7206BAC3" w14:textId="3258D2A6" w:rsidR="000D33D1" w:rsidRPr="00312D94" w:rsidRDefault="000D33D1" w:rsidP="000D33D1">
      <w:pPr>
        <w:jc w:val="both"/>
        <w:rPr>
          <w:rFonts w:asciiTheme="majorBidi" w:eastAsia="Arial Unicode MS" w:hAnsiTheme="majorBidi" w:cstheme="majorBidi"/>
          <w:sz w:val="20"/>
          <w:shd w:val="clear" w:color="auto" w:fill="FFFFFF"/>
        </w:rPr>
      </w:pPr>
      <w:r w:rsidRPr="00312D94">
        <w:rPr>
          <w:rFonts w:asciiTheme="majorBidi" w:eastAsia="Arial Unicode MS" w:hAnsiTheme="majorBidi" w:cstheme="majorBidi"/>
          <w:sz w:val="20"/>
          <w:shd w:val="clear" w:color="auto" w:fill="FFFFFF"/>
        </w:rPr>
        <w:t xml:space="preserve">Melting points were determined on an Electrothermal 9100. </w:t>
      </w:r>
      <w:r w:rsidRPr="00312D94">
        <w:rPr>
          <w:rFonts w:asciiTheme="majorBidi" w:hAnsiTheme="majorBidi" w:cstheme="majorBidi"/>
          <w:sz w:val="20"/>
        </w:rPr>
        <w:t xml:space="preserve">Elemental (C, H, N and S) analyses were performed on </w:t>
      </w:r>
      <w:proofErr w:type="spellStart"/>
      <w:r w:rsidRPr="00312D94">
        <w:rPr>
          <w:rFonts w:asciiTheme="majorBidi" w:hAnsiTheme="majorBidi" w:cstheme="majorBidi"/>
          <w:sz w:val="20"/>
        </w:rPr>
        <w:t>Leco</w:t>
      </w:r>
      <w:proofErr w:type="spellEnd"/>
      <w:r w:rsidRPr="00312D94">
        <w:rPr>
          <w:rFonts w:asciiTheme="majorBidi" w:hAnsiTheme="majorBidi" w:cstheme="majorBidi"/>
          <w:sz w:val="20"/>
        </w:rPr>
        <w:t xml:space="preserve"> 932 </w:t>
      </w:r>
      <w:proofErr w:type="spellStart"/>
      <w:r w:rsidRPr="00312D94">
        <w:rPr>
          <w:rFonts w:asciiTheme="majorBidi" w:hAnsiTheme="majorBidi" w:cstheme="majorBidi"/>
          <w:sz w:val="20"/>
        </w:rPr>
        <w:t>analyzer</w:t>
      </w:r>
      <w:proofErr w:type="spellEnd"/>
      <w:r w:rsidRPr="00312D94">
        <w:rPr>
          <w:rFonts w:asciiTheme="majorBidi" w:hAnsiTheme="majorBidi" w:cstheme="majorBidi"/>
          <w:sz w:val="20"/>
        </w:rPr>
        <w:t xml:space="preserve">. </w:t>
      </w:r>
      <w:r w:rsidRPr="00312D94">
        <w:rPr>
          <w:rFonts w:asciiTheme="majorBidi" w:eastAsia="Arial Unicode MS" w:hAnsiTheme="majorBidi" w:cstheme="majorBidi"/>
          <w:sz w:val="20"/>
          <w:shd w:val="clear" w:color="auto" w:fill="FFFFFF"/>
        </w:rPr>
        <w:t>The mass spectra were re</w:t>
      </w:r>
      <w:r w:rsidR="005948CE">
        <w:rPr>
          <w:rFonts w:asciiTheme="majorBidi" w:eastAsia="Arial Unicode MS" w:hAnsiTheme="majorBidi" w:cstheme="majorBidi"/>
          <w:sz w:val="20"/>
          <w:shd w:val="clear" w:color="auto" w:fill="FFFFFF"/>
        </w:rPr>
        <w:t xml:space="preserve">corded on a Bruker </w:t>
      </w:r>
      <w:proofErr w:type="spellStart"/>
      <w:r w:rsidR="005948CE">
        <w:rPr>
          <w:rFonts w:asciiTheme="majorBidi" w:eastAsia="Arial Unicode MS" w:hAnsiTheme="majorBidi" w:cstheme="majorBidi"/>
          <w:sz w:val="20"/>
          <w:shd w:val="clear" w:color="auto" w:fill="FFFFFF"/>
        </w:rPr>
        <w:t>micrOTOF</w:t>
      </w:r>
      <w:proofErr w:type="spellEnd"/>
      <w:r w:rsidR="005948CE">
        <w:rPr>
          <w:rFonts w:asciiTheme="majorBidi" w:eastAsia="Arial Unicode MS" w:hAnsiTheme="majorBidi" w:cstheme="majorBidi"/>
          <w:sz w:val="20"/>
          <w:shd w:val="clear" w:color="auto" w:fill="FFFFFF"/>
        </w:rPr>
        <w:t>-Q 8</w:t>
      </w:r>
      <w:r w:rsidRPr="00312D94">
        <w:rPr>
          <w:rFonts w:asciiTheme="majorBidi" w:eastAsia="Arial Unicode MS" w:hAnsiTheme="majorBidi" w:cstheme="majorBidi"/>
          <w:sz w:val="20"/>
          <w:shd w:val="clear" w:color="auto" w:fill="FFFFFF"/>
        </w:rPr>
        <w:t>6 spectrometer equipped with an electrospray ionization (ESI) module. The source temperature was maintained at 18</w:t>
      </w:r>
      <w:r w:rsidR="005948CE">
        <w:rPr>
          <w:rFonts w:asciiTheme="majorBidi" w:eastAsia="Arial Unicode MS" w:hAnsiTheme="majorBidi" w:cstheme="majorBidi"/>
          <w:sz w:val="20"/>
          <w:shd w:val="clear" w:color="auto" w:fill="FFFFFF"/>
        </w:rPr>
        <w:t xml:space="preserve">0 </w:t>
      </w:r>
      <w:r w:rsidRPr="00312D94">
        <w:rPr>
          <w:rFonts w:asciiTheme="majorBidi" w:eastAsia="Arial Unicode MS" w:hAnsiTheme="majorBidi" w:cstheme="majorBidi"/>
          <w:sz w:val="20"/>
          <w:shd w:val="clear" w:color="auto" w:fill="FFFFFF"/>
          <w:rtl/>
        </w:rPr>
        <w:t>˚</w:t>
      </w:r>
      <w:r w:rsidRPr="00312D94">
        <w:rPr>
          <w:rFonts w:asciiTheme="majorBidi" w:eastAsia="Arial Unicode MS" w:hAnsiTheme="majorBidi" w:cstheme="majorBidi"/>
          <w:sz w:val="20"/>
          <w:shd w:val="clear" w:color="auto" w:fill="FFFFFF"/>
        </w:rPr>
        <w:t>C at an approximately 0.4 bar pressure.</w:t>
      </w:r>
      <w:r w:rsidRPr="00312D94">
        <w:rPr>
          <w:rFonts w:asciiTheme="majorBidi" w:hAnsiTheme="majorBidi" w:cstheme="majorBidi"/>
          <w:sz w:val="20"/>
        </w:rPr>
        <w:t xml:space="preserve"> Infrared measurements of the complexes were recorded by using Agilent Cary 630 spectrophotometer in the range of 4000-400 cm</w:t>
      </w:r>
      <w:r w:rsidRPr="00312D94">
        <w:rPr>
          <w:rFonts w:asciiTheme="majorBidi" w:hAnsiTheme="majorBidi" w:cstheme="majorBidi"/>
          <w:sz w:val="20"/>
          <w:vertAlign w:val="superscript"/>
        </w:rPr>
        <w:t>-1</w:t>
      </w:r>
      <w:r w:rsidRPr="00312D94">
        <w:rPr>
          <w:rFonts w:asciiTheme="majorBidi" w:hAnsiTheme="majorBidi" w:cstheme="majorBidi"/>
          <w:sz w:val="20"/>
        </w:rPr>
        <w:t xml:space="preserve"> in the ATR Diamond mode</w:t>
      </w:r>
      <w:r w:rsidRPr="00312D94">
        <w:rPr>
          <w:rFonts w:asciiTheme="majorBidi" w:eastAsia="Arial Unicode MS" w:hAnsiTheme="majorBidi" w:cstheme="majorBidi"/>
          <w:sz w:val="20"/>
          <w:shd w:val="clear" w:color="auto" w:fill="FFFFFF"/>
        </w:rPr>
        <w:t xml:space="preserve">, whereas the UV-Vis absorption spectra were obtained by using a 1 cm path length quartz cell on a Perkin-Elmer Lambda 35 spectrometer. The </w:t>
      </w:r>
      <w:r w:rsidRPr="00312D94">
        <w:rPr>
          <w:rFonts w:asciiTheme="majorBidi" w:eastAsia="Arial Unicode MS" w:hAnsiTheme="majorBidi" w:cstheme="majorBidi"/>
          <w:sz w:val="20"/>
          <w:shd w:val="clear" w:color="auto" w:fill="FFFFFF"/>
          <w:vertAlign w:val="superscript"/>
        </w:rPr>
        <w:t>1</w:t>
      </w:r>
      <w:r w:rsidRPr="00312D94">
        <w:rPr>
          <w:rFonts w:asciiTheme="majorBidi" w:eastAsia="Arial Unicode MS" w:hAnsiTheme="majorBidi" w:cstheme="majorBidi"/>
          <w:sz w:val="20"/>
          <w:shd w:val="clear" w:color="auto" w:fill="FFFFFF"/>
        </w:rPr>
        <w:t xml:space="preserve">H NMR and </w:t>
      </w:r>
      <w:r w:rsidRPr="00312D94">
        <w:rPr>
          <w:rFonts w:asciiTheme="majorBidi" w:eastAsia="Arial Unicode MS" w:hAnsiTheme="majorBidi" w:cstheme="majorBidi"/>
          <w:sz w:val="20"/>
          <w:shd w:val="clear" w:color="auto" w:fill="FFFFFF"/>
          <w:vertAlign w:val="superscript"/>
        </w:rPr>
        <w:t>13</w:t>
      </w:r>
      <w:r w:rsidRPr="00312D94">
        <w:rPr>
          <w:rFonts w:asciiTheme="majorBidi" w:eastAsia="Arial Unicode MS" w:hAnsiTheme="majorBidi" w:cstheme="majorBidi"/>
          <w:sz w:val="20"/>
          <w:shd w:val="clear" w:color="auto" w:fill="FFFFFF"/>
        </w:rPr>
        <w:t xml:space="preserve">C NMR spectra were collected on a ECP 400 (Delta-NMR) spectrophotometer as deuterated DMSO solution. The chemical shifts were scaled to parts per million (ppm) with reference to TMS. </w:t>
      </w:r>
      <w:r w:rsidRPr="00312D94">
        <w:rPr>
          <w:rFonts w:asciiTheme="majorBidi" w:hAnsiTheme="majorBidi" w:cstheme="majorBidi"/>
          <w:sz w:val="20"/>
        </w:rPr>
        <w:t xml:space="preserve">The electrochemical measurements were carried out with a </w:t>
      </w:r>
      <w:proofErr w:type="spellStart"/>
      <w:r w:rsidRPr="00312D94">
        <w:rPr>
          <w:rFonts w:asciiTheme="majorBidi" w:hAnsiTheme="majorBidi" w:cstheme="majorBidi"/>
          <w:sz w:val="20"/>
        </w:rPr>
        <w:t>Voltalab</w:t>
      </w:r>
      <w:proofErr w:type="spellEnd"/>
      <w:r w:rsidRPr="00312D94">
        <w:rPr>
          <w:rFonts w:asciiTheme="majorBidi" w:hAnsiTheme="majorBidi" w:cstheme="majorBidi"/>
          <w:sz w:val="20"/>
        </w:rPr>
        <w:t xml:space="preserve"> PGZ402, </w:t>
      </w:r>
      <w:proofErr w:type="spellStart"/>
      <w:r w:rsidRPr="00312D94">
        <w:rPr>
          <w:rFonts w:asciiTheme="majorBidi" w:hAnsiTheme="majorBidi" w:cstheme="majorBidi"/>
          <w:sz w:val="20"/>
        </w:rPr>
        <w:t>AmetekVersastat</w:t>
      </w:r>
      <w:proofErr w:type="spellEnd"/>
      <w:r w:rsidRPr="00312D94">
        <w:rPr>
          <w:rFonts w:asciiTheme="majorBidi" w:hAnsiTheme="majorBidi" w:cstheme="majorBidi"/>
          <w:sz w:val="20"/>
        </w:rPr>
        <w:t xml:space="preserve"> 4 system. </w:t>
      </w:r>
      <w:r w:rsidRPr="00312D94">
        <w:rPr>
          <w:rFonts w:asciiTheme="majorBidi" w:eastAsia="Arial Unicode MS" w:hAnsiTheme="majorBidi" w:cstheme="majorBidi"/>
          <w:sz w:val="20"/>
          <w:shd w:val="clear" w:color="auto" w:fill="FFFFFF"/>
        </w:rPr>
        <w:t>Steady state emission spectra were recorded on an Edinburgh FLS920 time resolved fluorescence spectrometer at 298 K in CH</w:t>
      </w:r>
      <w:r w:rsidRPr="00312D94">
        <w:rPr>
          <w:rFonts w:asciiTheme="majorBidi" w:eastAsia="Arial Unicode MS" w:hAnsiTheme="majorBidi" w:cstheme="majorBidi"/>
          <w:sz w:val="20"/>
          <w:shd w:val="clear" w:color="auto" w:fill="FFFFFF"/>
          <w:vertAlign w:val="subscript"/>
        </w:rPr>
        <w:t>3</w:t>
      </w:r>
      <w:r w:rsidRPr="00312D94">
        <w:rPr>
          <w:rFonts w:asciiTheme="majorBidi" w:eastAsia="Arial Unicode MS" w:hAnsiTheme="majorBidi" w:cstheme="majorBidi"/>
          <w:sz w:val="20"/>
          <w:shd w:val="clear" w:color="auto" w:fill="FFFFFF"/>
        </w:rPr>
        <w:t>CN</w:t>
      </w:r>
      <w:r w:rsidRPr="00312D94">
        <w:rPr>
          <w:rFonts w:asciiTheme="majorBidi" w:hAnsiTheme="majorBidi" w:cstheme="majorBidi"/>
          <w:sz w:val="20"/>
        </w:rPr>
        <w:t xml:space="preserve">, </w:t>
      </w:r>
      <w:r w:rsidRPr="00312D94">
        <w:rPr>
          <w:rFonts w:asciiTheme="majorBidi" w:eastAsia="Arial Unicode MS" w:hAnsiTheme="majorBidi" w:cstheme="majorBidi"/>
          <w:sz w:val="20"/>
          <w:shd w:val="clear" w:color="auto" w:fill="FFFFFF"/>
        </w:rPr>
        <w:t>using 1 cm path length quartz cell.</w:t>
      </w:r>
    </w:p>
    <w:p w14:paraId="0737C56D" w14:textId="77777777" w:rsidR="000D33D1" w:rsidRDefault="000D33D1" w:rsidP="000D33D1">
      <w:pPr>
        <w:tabs>
          <w:tab w:val="left" w:pos="567"/>
        </w:tabs>
        <w:jc w:val="both"/>
        <w:rPr>
          <w:rFonts w:eastAsia="Arial Unicode MS"/>
          <w:sz w:val="20"/>
          <w:shd w:val="clear" w:color="auto" w:fill="FFFFFF"/>
        </w:rPr>
      </w:pPr>
    </w:p>
    <w:p w14:paraId="019DA05F" w14:textId="77777777" w:rsidR="000D33D1" w:rsidRPr="006E649B" w:rsidRDefault="000D33D1" w:rsidP="007B3641">
      <w:pPr>
        <w:tabs>
          <w:tab w:val="left" w:pos="567"/>
        </w:tabs>
        <w:outlineLvl w:val="0"/>
        <w:rPr>
          <w:b/>
          <w:sz w:val="20"/>
        </w:rPr>
      </w:pPr>
      <w:r>
        <w:rPr>
          <w:b/>
          <w:sz w:val="20"/>
        </w:rPr>
        <w:t xml:space="preserve">Synthesis of </w:t>
      </w:r>
      <w:r w:rsidRPr="006E649B">
        <w:rPr>
          <w:b/>
          <w:i/>
          <w:sz w:val="20"/>
        </w:rPr>
        <w:t>N</w:t>
      </w:r>
      <w:r w:rsidRPr="006E649B">
        <w:rPr>
          <w:b/>
          <w:sz w:val="20"/>
        </w:rPr>
        <w:t>-(x-</w:t>
      </w:r>
      <w:proofErr w:type="spellStart"/>
      <w:r w:rsidRPr="006E649B">
        <w:rPr>
          <w:b/>
          <w:sz w:val="20"/>
        </w:rPr>
        <w:t>bromobenzoyl</w:t>
      </w:r>
      <w:proofErr w:type="spellEnd"/>
      <w:r w:rsidRPr="006E649B">
        <w:rPr>
          <w:b/>
          <w:sz w:val="20"/>
        </w:rPr>
        <w:t>)-</w:t>
      </w:r>
      <w:r w:rsidRPr="006E649B">
        <w:rPr>
          <w:b/>
          <w:i/>
          <w:sz w:val="20"/>
        </w:rPr>
        <w:t>N</w:t>
      </w:r>
      <w:r w:rsidRPr="006E649B">
        <w:rPr>
          <w:b/>
          <w:sz w:val="20"/>
        </w:rPr>
        <w:t>'-(1,10-phenanthrolin-5-yl)thiourea</w:t>
      </w:r>
    </w:p>
    <w:p w14:paraId="171E11B7" w14:textId="77777777" w:rsidR="000D33D1" w:rsidRPr="006E649B" w:rsidRDefault="000D33D1" w:rsidP="000D33D1">
      <w:pPr>
        <w:pStyle w:val="AEuroAbstract"/>
        <w:spacing w:before="0"/>
        <w:rPr>
          <w:sz w:val="20"/>
          <w:lang w:val="en-GB"/>
        </w:rPr>
      </w:pPr>
      <w:r w:rsidRPr="006E649B">
        <w:rPr>
          <w:rFonts w:eastAsia="Arial Unicode MS"/>
          <w:sz w:val="20"/>
          <w:shd w:val="clear" w:color="auto" w:fill="FFFFFF"/>
          <w:lang w:val="en-GB"/>
        </w:rPr>
        <w:t xml:space="preserve">Firstly, </w:t>
      </w:r>
      <w:r w:rsidRPr="006E649B">
        <w:rPr>
          <w:rFonts w:eastAsia="Arial Unicode MS"/>
          <w:i/>
          <w:sz w:val="20"/>
          <w:shd w:val="clear" w:color="auto" w:fill="FFFFFF"/>
          <w:lang w:val="en-GB"/>
        </w:rPr>
        <w:t>ortho-</w:t>
      </w:r>
      <w:r w:rsidRPr="006E649B">
        <w:rPr>
          <w:rFonts w:eastAsia="Arial Unicode MS"/>
          <w:sz w:val="20"/>
          <w:shd w:val="clear" w:color="auto" w:fill="FFFFFF"/>
          <w:lang w:val="en-GB"/>
        </w:rPr>
        <w:t xml:space="preserve">, </w:t>
      </w:r>
      <w:r w:rsidRPr="006E649B">
        <w:rPr>
          <w:rFonts w:eastAsia="Arial Unicode MS"/>
          <w:i/>
          <w:sz w:val="20"/>
          <w:shd w:val="clear" w:color="auto" w:fill="FFFFFF"/>
          <w:lang w:val="en-GB"/>
        </w:rPr>
        <w:t>meta-</w:t>
      </w:r>
      <w:r w:rsidRPr="006E649B">
        <w:rPr>
          <w:rFonts w:eastAsia="Arial Unicode MS"/>
          <w:sz w:val="20"/>
          <w:shd w:val="clear" w:color="auto" w:fill="FFFFFF"/>
          <w:lang w:val="en-GB"/>
        </w:rPr>
        <w:t xml:space="preserve"> and </w:t>
      </w:r>
      <w:r w:rsidRPr="006E649B">
        <w:rPr>
          <w:rFonts w:eastAsia="Arial Unicode MS"/>
          <w:i/>
          <w:sz w:val="20"/>
          <w:shd w:val="clear" w:color="auto" w:fill="FFFFFF"/>
          <w:lang w:val="en-GB"/>
        </w:rPr>
        <w:t>para-</w:t>
      </w:r>
      <w:r w:rsidRPr="006E649B">
        <w:rPr>
          <w:rFonts w:eastAsia="Arial Unicode MS"/>
          <w:sz w:val="20"/>
          <w:shd w:val="clear" w:color="auto" w:fill="FFFFFF"/>
          <w:lang w:val="en-GB"/>
        </w:rPr>
        <w:t>b</w:t>
      </w:r>
      <w:proofErr w:type="spellStart"/>
      <w:r w:rsidRPr="006E649B">
        <w:rPr>
          <w:rFonts w:eastAsia="Arial Unicode MS"/>
          <w:sz w:val="20"/>
          <w:shd w:val="clear" w:color="auto" w:fill="FFFFFF"/>
        </w:rPr>
        <w:t>romobenzoyl</w:t>
      </w:r>
      <w:proofErr w:type="spellEnd"/>
      <w:r w:rsidRPr="006E649B">
        <w:rPr>
          <w:rFonts w:eastAsia="Arial Unicode MS"/>
          <w:sz w:val="20"/>
          <w:shd w:val="clear" w:color="auto" w:fill="FFFFFF"/>
        </w:rPr>
        <w:t xml:space="preserve"> chloride derivatives (1.5 </w:t>
      </w:r>
      <w:proofErr w:type="spellStart"/>
      <w:r w:rsidRPr="006E649B">
        <w:rPr>
          <w:rFonts w:eastAsia="Arial Unicode MS"/>
          <w:sz w:val="20"/>
          <w:shd w:val="clear" w:color="auto" w:fill="FFFFFF"/>
        </w:rPr>
        <w:t>mmol</w:t>
      </w:r>
      <w:proofErr w:type="spellEnd"/>
      <w:r w:rsidRPr="006E649B">
        <w:rPr>
          <w:rFonts w:eastAsia="Arial Unicode MS"/>
          <w:sz w:val="20"/>
          <w:shd w:val="clear" w:color="auto" w:fill="FFFFFF"/>
        </w:rPr>
        <w:t xml:space="preserve">) were reacted with ammonium thiocyanate (1.15 </w:t>
      </w:r>
      <w:proofErr w:type="spellStart"/>
      <w:r w:rsidRPr="006E649B">
        <w:rPr>
          <w:rFonts w:eastAsia="Arial Unicode MS"/>
          <w:sz w:val="20"/>
          <w:shd w:val="clear" w:color="auto" w:fill="FFFFFF"/>
        </w:rPr>
        <w:t>mmol</w:t>
      </w:r>
      <w:proofErr w:type="spellEnd"/>
      <w:r w:rsidRPr="006E649B">
        <w:rPr>
          <w:rFonts w:eastAsia="Arial Unicode MS"/>
          <w:sz w:val="20"/>
          <w:shd w:val="clear" w:color="auto" w:fill="FFFFFF"/>
        </w:rPr>
        <w:t xml:space="preserve">) in acetone (30 ml) to give the corresponding </w:t>
      </w:r>
      <w:proofErr w:type="spellStart"/>
      <w:r w:rsidRPr="006E649B">
        <w:rPr>
          <w:rFonts w:eastAsia="Arial Unicode MS"/>
          <w:sz w:val="20"/>
          <w:shd w:val="clear" w:color="auto" w:fill="FFFFFF"/>
        </w:rPr>
        <w:t>bromo</w:t>
      </w:r>
      <w:r w:rsidRPr="006E649B">
        <w:rPr>
          <w:sz w:val="20"/>
        </w:rPr>
        <w:t>benzoylisothiocyanate</w:t>
      </w:r>
      <w:proofErr w:type="spellEnd"/>
      <w:r w:rsidRPr="006E649B">
        <w:rPr>
          <w:sz w:val="20"/>
        </w:rPr>
        <w:t xml:space="preserve"> derivatives followed by a condensation </w:t>
      </w:r>
      <w:r>
        <w:rPr>
          <w:rFonts w:eastAsia="Arial Unicode MS"/>
          <w:sz w:val="20"/>
          <w:shd w:val="clear" w:color="auto" w:fill="FFFFFF"/>
        </w:rPr>
        <w:t>with 1,10-phe</w:t>
      </w:r>
      <w:r w:rsidRPr="006E649B">
        <w:rPr>
          <w:rFonts w:eastAsia="Arial Unicode MS"/>
          <w:sz w:val="20"/>
          <w:shd w:val="clear" w:color="auto" w:fill="FFFFFF"/>
        </w:rPr>
        <w:t xml:space="preserve">nanthroline-5-amine in ethanol (20 ml) to give </w:t>
      </w:r>
      <w:r w:rsidRPr="006E649B">
        <w:rPr>
          <w:rFonts w:eastAsia="Arial Unicode MS"/>
          <w:i/>
          <w:sz w:val="20"/>
          <w:shd w:val="clear" w:color="auto" w:fill="FFFFFF"/>
        </w:rPr>
        <w:t>o</w:t>
      </w:r>
      <w:r w:rsidRPr="006E649B">
        <w:rPr>
          <w:rFonts w:eastAsia="Arial Unicode MS"/>
          <w:sz w:val="20"/>
          <w:shd w:val="clear" w:color="auto" w:fill="FFFFFF"/>
        </w:rPr>
        <w:t>-</w:t>
      </w:r>
      <w:proofErr w:type="spellStart"/>
      <w:r w:rsidRPr="006E649B">
        <w:rPr>
          <w:rFonts w:eastAsia="Arial Unicode MS"/>
          <w:sz w:val="20"/>
          <w:shd w:val="clear" w:color="auto" w:fill="FFFFFF"/>
        </w:rPr>
        <w:t>bromobenzoyl</w:t>
      </w:r>
      <w:proofErr w:type="spellEnd"/>
      <w:r w:rsidRPr="006E649B">
        <w:rPr>
          <w:sz w:val="20"/>
        </w:rPr>
        <w:t>-(1,10-phenanthrolin-5-yl)thiourea [</w:t>
      </w:r>
      <w:proofErr w:type="spellStart"/>
      <w:r w:rsidRPr="006E649B">
        <w:rPr>
          <w:sz w:val="20"/>
        </w:rPr>
        <w:t>phen</w:t>
      </w:r>
      <w:proofErr w:type="spellEnd"/>
      <w:r w:rsidRPr="006E649B">
        <w:rPr>
          <w:sz w:val="20"/>
        </w:rPr>
        <w:t>-</w:t>
      </w:r>
      <w:r w:rsidRPr="006E649B">
        <w:rPr>
          <w:i/>
          <w:sz w:val="20"/>
        </w:rPr>
        <w:t>o</w:t>
      </w:r>
      <w:r w:rsidRPr="006E649B">
        <w:rPr>
          <w:sz w:val="20"/>
        </w:rPr>
        <w:t>-</w:t>
      </w:r>
      <w:proofErr w:type="spellStart"/>
      <w:r w:rsidRPr="006E649B">
        <w:rPr>
          <w:sz w:val="20"/>
        </w:rPr>
        <w:t>BrBT</w:t>
      </w:r>
      <w:proofErr w:type="spellEnd"/>
      <w:r w:rsidRPr="006E649B">
        <w:rPr>
          <w:sz w:val="20"/>
        </w:rPr>
        <w:t xml:space="preserve">], </w:t>
      </w:r>
      <w:r w:rsidRPr="006E649B">
        <w:rPr>
          <w:rFonts w:eastAsia="Arial Unicode MS"/>
          <w:i/>
          <w:sz w:val="20"/>
          <w:shd w:val="clear" w:color="auto" w:fill="FFFFFF"/>
        </w:rPr>
        <w:t>m</w:t>
      </w:r>
      <w:r w:rsidRPr="006E649B">
        <w:rPr>
          <w:rFonts w:eastAsia="Arial Unicode MS"/>
          <w:sz w:val="20"/>
          <w:shd w:val="clear" w:color="auto" w:fill="FFFFFF"/>
        </w:rPr>
        <w:t>-</w:t>
      </w:r>
      <w:proofErr w:type="spellStart"/>
      <w:r w:rsidRPr="006E649B">
        <w:rPr>
          <w:rFonts w:eastAsia="Arial Unicode MS"/>
          <w:sz w:val="20"/>
          <w:shd w:val="clear" w:color="auto" w:fill="FFFFFF"/>
        </w:rPr>
        <w:t>bromobenzoyl</w:t>
      </w:r>
      <w:proofErr w:type="spellEnd"/>
      <w:r w:rsidRPr="006E649B">
        <w:rPr>
          <w:sz w:val="20"/>
        </w:rPr>
        <w:t>-(1,10-phenanthrolin-5-yl)thiourea [</w:t>
      </w:r>
      <w:proofErr w:type="spellStart"/>
      <w:r w:rsidRPr="006E649B">
        <w:rPr>
          <w:sz w:val="20"/>
        </w:rPr>
        <w:t>phen</w:t>
      </w:r>
      <w:proofErr w:type="spellEnd"/>
      <w:r w:rsidRPr="006E649B">
        <w:rPr>
          <w:sz w:val="20"/>
        </w:rPr>
        <w:t>-</w:t>
      </w:r>
      <w:r w:rsidRPr="006E649B">
        <w:rPr>
          <w:i/>
          <w:sz w:val="20"/>
        </w:rPr>
        <w:t>m</w:t>
      </w:r>
      <w:r w:rsidRPr="006E649B">
        <w:rPr>
          <w:sz w:val="20"/>
        </w:rPr>
        <w:t>-</w:t>
      </w:r>
      <w:proofErr w:type="spellStart"/>
      <w:r w:rsidRPr="006E649B">
        <w:rPr>
          <w:sz w:val="20"/>
        </w:rPr>
        <w:t>BrBT</w:t>
      </w:r>
      <w:proofErr w:type="spellEnd"/>
      <w:r w:rsidRPr="006E649B">
        <w:rPr>
          <w:sz w:val="20"/>
        </w:rPr>
        <w:t xml:space="preserve">] and </w:t>
      </w:r>
      <w:r w:rsidRPr="006E649B">
        <w:rPr>
          <w:rFonts w:eastAsia="Arial Unicode MS"/>
          <w:i/>
          <w:sz w:val="20"/>
          <w:shd w:val="clear" w:color="auto" w:fill="FFFFFF"/>
        </w:rPr>
        <w:t>p</w:t>
      </w:r>
      <w:r w:rsidRPr="006E649B">
        <w:rPr>
          <w:rFonts w:eastAsia="Arial Unicode MS"/>
          <w:sz w:val="20"/>
          <w:shd w:val="clear" w:color="auto" w:fill="FFFFFF"/>
        </w:rPr>
        <w:t>-</w:t>
      </w:r>
      <w:proofErr w:type="spellStart"/>
      <w:r w:rsidRPr="006E649B">
        <w:rPr>
          <w:rFonts w:eastAsia="Arial Unicode MS"/>
          <w:sz w:val="20"/>
          <w:shd w:val="clear" w:color="auto" w:fill="FFFFFF"/>
        </w:rPr>
        <w:t>bromobenzoyl</w:t>
      </w:r>
      <w:proofErr w:type="spellEnd"/>
      <w:r w:rsidRPr="006E649B">
        <w:rPr>
          <w:sz w:val="20"/>
        </w:rPr>
        <w:t>-(1,10-phenanthrolin-5-yl)thiourea [</w:t>
      </w:r>
      <w:proofErr w:type="spellStart"/>
      <w:r w:rsidRPr="006E649B">
        <w:rPr>
          <w:sz w:val="20"/>
        </w:rPr>
        <w:t>phen</w:t>
      </w:r>
      <w:proofErr w:type="spellEnd"/>
      <w:r w:rsidRPr="006E649B">
        <w:rPr>
          <w:sz w:val="20"/>
        </w:rPr>
        <w:t>-</w:t>
      </w:r>
      <w:r w:rsidRPr="006E649B">
        <w:rPr>
          <w:i/>
          <w:sz w:val="20"/>
        </w:rPr>
        <w:t>p</w:t>
      </w:r>
      <w:r w:rsidRPr="006E649B">
        <w:rPr>
          <w:sz w:val="20"/>
        </w:rPr>
        <w:t>-</w:t>
      </w:r>
      <w:proofErr w:type="spellStart"/>
      <w:r w:rsidRPr="006E649B">
        <w:rPr>
          <w:sz w:val="20"/>
        </w:rPr>
        <w:t>BrBT</w:t>
      </w:r>
      <w:proofErr w:type="spellEnd"/>
      <w:r w:rsidRPr="006E649B">
        <w:rPr>
          <w:sz w:val="20"/>
        </w:rPr>
        <w:t>]</w:t>
      </w:r>
      <w:r>
        <w:rPr>
          <w:sz w:val="20"/>
        </w:rPr>
        <w:t xml:space="preserve"> compounds, respectively (Scheme</w:t>
      </w:r>
      <w:r w:rsidRPr="006E649B">
        <w:rPr>
          <w:sz w:val="20"/>
        </w:rPr>
        <w:t xml:space="preserve"> 1). </w:t>
      </w:r>
      <w:r w:rsidRPr="006E649B">
        <w:rPr>
          <w:rFonts w:eastAsia="Arial Unicode MS"/>
          <w:sz w:val="20"/>
          <w:shd w:val="clear" w:color="auto" w:fill="FFFFFF"/>
        </w:rPr>
        <w:t>The reaction mixtures were left to stir for 5 hours at 80</w:t>
      </w:r>
      <w:r w:rsidRPr="006E649B">
        <w:rPr>
          <w:rFonts w:eastAsia="Arial Unicode MS" w:cs="Arial Unicode MS" w:hint="eastAsia"/>
          <w:sz w:val="20"/>
          <w:shd w:val="clear" w:color="auto" w:fill="FFFFFF"/>
          <w:rtl/>
        </w:rPr>
        <w:t>˚</w:t>
      </w:r>
      <w:r w:rsidRPr="006E649B">
        <w:rPr>
          <w:rFonts w:eastAsia="Arial Unicode MS"/>
          <w:sz w:val="20"/>
          <w:shd w:val="clear" w:color="auto" w:fill="FFFFFF"/>
        </w:rPr>
        <w:t xml:space="preserve">C. The products were collected as yellow precipitates and the solvents were removed under reduced pressure. The precipitates were then rinsed with cold acetone to give the desired products. Recrystallization in a suitable solvent gave a pure yellowish crystalline product. </w:t>
      </w:r>
    </w:p>
    <w:p w14:paraId="779A4B9B" w14:textId="77777777" w:rsidR="000D33D1" w:rsidRDefault="000D33D1" w:rsidP="000D33D1">
      <w:pPr>
        <w:pStyle w:val="AEuroAbstract"/>
        <w:spacing w:before="0"/>
        <w:rPr>
          <w:sz w:val="20"/>
          <w:lang w:val="en-GB"/>
        </w:rPr>
      </w:pPr>
    </w:p>
    <w:p w14:paraId="75537281" w14:textId="7DCD48C1" w:rsidR="000D33D1" w:rsidRDefault="005948CE" w:rsidP="000D33D1">
      <w:pPr>
        <w:pStyle w:val="AEuroAbstract"/>
        <w:spacing w:before="0"/>
        <w:jc w:val="center"/>
        <w:rPr>
          <w:sz w:val="20"/>
        </w:rPr>
      </w:pPr>
      <w:r>
        <w:object w:dxaOrig="10328" w:dyaOrig="9563" w14:anchorId="699889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6pt;height:307.8pt" o:ole="">
            <v:imagedata r:id="rId6" o:title=""/>
          </v:shape>
          <o:OLEObject Type="Embed" ProgID="ChemDraw.Document.6.0" ShapeID="_x0000_i1025" DrawAspect="Content" ObjectID="_1543677666" r:id="rId7"/>
        </w:object>
      </w:r>
    </w:p>
    <w:p w14:paraId="1D5CA465" w14:textId="71EF8E2F" w:rsidR="000D33D1" w:rsidRDefault="000D33D1" w:rsidP="005948CE">
      <w:pPr>
        <w:spacing w:before="240"/>
        <w:ind w:left="993" w:hanging="993"/>
        <w:jc w:val="both"/>
        <w:rPr>
          <w:sz w:val="20"/>
        </w:rPr>
      </w:pPr>
      <w:r>
        <w:rPr>
          <w:sz w:val="20"/>
        </w:rPr>
        <w:t>Scheme</w:t>
      </w:r>
      <w:r w:rsidR="00662DD4">
        <w:rPr>
          <w:sz w:val="20"/>
        </w:rPr>
        <w:t xml:space="preserve"> 1</w:t>
      </w:r>
      <w:r w:rsidR="005948CE">
        <w:rPr>
          <w:sz w:val="20"/>
        </w:rPr>
        <w:t xml:space="preserve">. </w:t>
      </w:r>
      <w:r>
        <w:rPr>
          <w:sz w:val="20"/>
        </w:rPr>
        <w:t xml:space="preserve">Schematic diagram for the synthesis of </w:t>
      </w:r>
      <w:r>
        <w:rPr>
          <w:i/>
          <w:sz w:val="20"/>
        </w:rPr>
        <w:t>N</w:t>
      </w:r>
      <w:r>
        <w:rPr>
          <w:sz w:val="20"/>
        </w:rPr>
        <w:t>-(</w:t>
      </w:r>
      <w:r>
        <w:rPr>
          <w:i/>
          <w:sz w:val="20"/>
        </w:rPr>
        <w:t>x</w:t>
      </w:r>
      <w:r>
        <w:rPr>
          <w:sz w:val="20"/>
        </w:rPr>
        <w:t>-</w:t>
      </w:r>
      <w:proofErr w:type="spellStart"/>
      <w:r>
        <w:rPr>
          <w:sz w:val="20"/>
        </w:rPr>
        <w:t>bromobenzoyl</w:t>
      </w:r>
      <w:proofErr w:type="spellEnd"/>
      <w:r>
        <w:rPr>
          <w:sz w:val="20"/>
        </w:rPr>
        <w:t>)-</w:t>
      </w:r>
      <w:r>
        <w:rPr>
          <w:i/>
          <w:sz w:val="20"/>
        </w:rPr>
        <w:t>N</w:t>
      </w:r>
      <w:r>
        <w:rPr>
          <w:sz w:val="20"/>
        </w:rPr>
        <w:t xml:space="preserve">'-(1,10-phenanthrolin-5-yl)thiourea derivatives from </w:t>
      </w:r>
      <w:r>
        <w:rPr>
          <w:i/>
          <w:sz w:val="20"/>
        </w:rPr>
        <w:t>x</w:t>
      </w:r>
      <w:r>
        <w:rPr>
          <w:sz w:val="20"/>
        </w:rPr>
        <w:t>-</w:t>
      </w:r>
      <w:proofErr w:type="spellStart"/>
      <w:r>
        <w:rPr>
          <w:sz w:val="20"/>
        </w:rPr>
        <w:t>bromobenzoylisothiocyanate</w:t>
      </w:r>
      <w:proofErr w:type="spellEnd"/>
      <w:r>
        <w:rPr>
          <w:sz w:val="20"/>
        </w:rPr>
        <w:t xml:space="preserve"> and 1,10-phenanthroline-5-amine</w:t>
      </w:r>
    </w:p>
    <w:p w14:paraId="061B6EF7" w14:textId="77777777" w:rsidR="000D33D1" w:rsidRDefault="000D33D1" w:rsidP="000D33D1">
      <w:pPr>
        <w:pStyle w:val="AEuroAbstract"/>
        <w:spacing w:before="0"/>
        <w:jc w:val="center"/>
        <w:rPr>
          <w:rFonts w:eastAsia="Times New Roman"/>
          <w:sz w:val="20"/>
          <w:lang w:val="en-GB"/>
        </w:rPr>
      </w:pPr>
    </w:p>
    <w:p w14:paraId="657CBD04" w14:textId="77777777" w:rsidR="000D33D1" w:rsidRDefault="000D33D1" w:rsidP="007B3641">
      <w:pPr>
        <w:pStyle w:val="AEuroAbstract"/>
        <w:spacing w:before="0"/>
        <w:jc w:val="center"/>
        <w:outlineLvl w:val="0"/>
        <w:rPr>
          <w:b/>
          <w:sz w:val="20"/>
        </w:rPr>
      </w:pPr>
      <w:r>
        <w:rPr>
          <w:b/>
          <w:sz w:val="20"/>
        </w:rPr>
        <w:t>Results and Discussion</w:t>
      </w:r>
    </w:p>
    <w:p w14:paraId="7D6C20A2" w14:textId="77777777" w:rsidR="000D33D1" w:rsidRDefault="000D33D1" w:rsidP="000D33D1">
      <w:pPr>
        <w:pStyle w:val="AEuroAbstract"/>
        <w:spacing w:before="0"/>
        <w:rPr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 xml:space="preserve">-BT,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o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m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p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 compounds were characterized on the basis of the mass spectrometry, </w:t>
      </w:r>
      <w:r w:rsidR="00BC5967">
        <w:rPr>
          <w:sz w:val="20"/>
        </w:rPr>
        <w:t xml:space="preserve">CHNS </w:t>
      </w:r>
      <w:r>
        <w:rPr>
          <w:sz w:val="20"/>
        </w:rPr>
        <w:t>elemental analysis and the spectroscopic data from infrared, ultraviolet-visible, nuclear magnetic resonance (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H and </w:t>
      </w:r>
      <w:r>
        <w:rPr>
          <w:sz w:val="20"/>
          <w:vertAlign w:val="superscript"/>
        </w:rPr>
        <w:t>13</w:t>
      </w:r>
      <w:r>
        <w:rPr>
          <w:sz w:val="20"/>
        </w:rPr>
        <w:t>C) spectroscopy. Besides, the cyclic voltammetry and luminescence properties of these compounds also were recorded to provide more information on the electronic states and structures. Overall, the reactions gave a reasonable to good yield (58-68%) as summarized in Table 1.</w:t>
      </w:r>
    </w:p>
    <w:p w14:paraId="382CF36B" w14:textId="77777777" w:rsidR="000D33D1" w:rsidRDefault="000D33D1" w:rsidP="000D33D1">
      <w:pPr>
        <w:pStyle w:val="AEuroAbstract"/>
        <w:spacing w:before="0"/>
        <w:rPr>
          <w:sz w:val="20"/>
        </w:rPr>
      </w:pPr>
    </w:p>
    <w:p w14:paraId="2F83206C" w14:textId="277C7B22" w:rsidR="000D33D1" w:rsidRDefault="000D33D1" w:rsidP="000D33D1">
      <w:pPr>
        <w:widowControl/>
        <w:suppressAutoHyphens w:val="0"/>
        <w:spacing w:after="240" w:line="276" w:lineRule="auto"/>
        <w:jc w:val="center"/>
        <w:rPr>
          <w:sz w:val="20"/>
        </w:rPr>
      </w:pPr>
      <w:r>
        <w:rPr>
          <w:sz w:val="20"/>
        </w:rPr>
        <w:t>Tabl</w:t>
      </w:r>
      <w:r w:rsidR="005948CE">
        <w:rPr>
          <w:sz w:val="20"/>
        </w:rPr>
        <w:t xml:space="preserve">e 1. </w:t>
      </w:r>
      <w:r>
        <w:rPr>
          <w:sz w:val="20"/>
        </w:rPr>
        <w:t xml:space="preserve">The yield and melting point of </w:t>
      </w:r>
      <w:r>
        <w:rPr>
          <w:i/>
          <w:sz w:val="20"/>
        </w:rPr>
        <w:t>N</w:t>
      </w:r>
      <w:r>
        <w:rPr>
          <w:sz w:val="20"/>
        </w:rPr>
        <w:t>-(</w:t>
      </w:r>
      <w:proofErr w:type="spellStart"/>
      <w:r>
        <w:rPr>
          <w:sz w:val="20"/>
        </w:rPr>
        <w:t>bromobenzoyl</w:t>
      </w:r>
      <w:proofErr w:type="spellEnd"/>
      <w:r>
        <w:rPr>
          <w:sz w:val="20"/>
        </w:rPr>
        <w:t>)-</w:t>
      </w:r>
      <w:r>
        <w:rPr>
          <w:i/>
          <w:sz w:val="20"/>
        </w:rPr>
        <w:t>N</w:t>
      </w:r>
      <w:r>
        <w:rPr>
          <w:sz w:val="20"/>
        </w:rPr>
        <w:t>'-(1,10-phenanthrolin-5-yl)thiourea derivatives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8"/>
        <w:gridCol w:w="1055"/>
        <w:gridCol w:w="1772"/>
      </w:tblGrid>
      <w:tr w:rsidR="000D33D1" w14:paraId="1C094488" w14:textId="77777777" w:rsidTr="005948CE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F8CD3" w14:textId="77777777" w:rsidR="000D33D1" w:rsidRDefault="000D33D1" w:rsidP="000D5CDF">
            <w:pPr>
              <w:pStyle w:val="AEuroAbstract"/>
              <w:widowControl w:val="0"/>
              <w:spacing w:before="0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Compound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4A6055" w14:textId="77777777" w:rsidR="000D33D1" w:rsidRDefault="000D33D1" w:rsidP="000D5CDF">
            <w:pPr>
              <w:pStyle w:val="AEuroAbstract"/>
              <w:widowControl w:val="0"/>
              <w:spacing w:before="0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Yield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E6304" w14:textId="77777777" w:rsidR="000D33D1" w:rsidRDefault="000D33D1" w:rsidP="000D5CDF">
            <w:pPr>
              <w:pStyle w:val="AEuroAbstract"/>
              <w:widowControl w:val="0"/>
              <w:spacing w:before="0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Melting</w:t>
            </w:r>
            <w:r>
              <w:rPr>
                <w:b/>
                <w:bCs/>
                <w:sz w:val="20"/>
              </w:rPr>
              <w:t xml:space="preserve"> point (˚</w:t>
            </w:r>
            <w:r>
              <w:rPr>
                <w:b/>
                <w:sz w:val="20"/>
              </w:rPr>
              <w:t>C)</w:t>
            </w:r>
          </w:p>
        </w:tc>
      </w:tr>
      <w:tr w:rsidR="000D33D1" w14:paraId="380040F5" w14:textId="77777777" w:rsidTr="005948CE">
        <w:trPr>
          <w:jc w:val="center"/>
        </w:trPr>
        <w:tc>
          <w:tcPr>
            <w:tcW w:w="0" w:type="auto"/>
            <w:hideMark/>
          </w:tcPr>
          <w:p w14:paraId="2A96D21A" w14:textId="77777777" w:rsidR="000D33D1" w:rsidRDefault="000D33D1" w:rsidP="000D5CDF">
            <w:pPr>
              <w:pStyle w:val="AEuroAbstract"/>
              <w:spacing w:befor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phen</w:t>
            </w:r>
            <w:proofErr w:type="spellEnd"/>
            <w:r>
              <w:rPr>
                <w:sz w:val="20"/>
              </w:rPr>
              <w:t>-BT</w:t>
            </w:r>
          </w:p>
        </w:tc>
        <w:tc>
          <w:tcPr>
            <w:tcW w:w="0" w:type="auto"/>
            <w:hideMark/>
          </w:tcPr>
          <w:p w14:paraId="7706E7DD" w14:textId="77777777" w:rsidR="000D33D1" w:rsidRDefault="000D33D1" w:rsidP="000D5CDF">
            <w:pPr>
              <w:pStyle w:val="AEuroAbstract"/>
              <w:widowControl w:val="0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65.0</w:t>
            </w:r>
          </w:p>
        </w:tc>
        <w:tc>
          <w:tcPr>
            <w:tcW w:w="0" w:type="auto"/>
            <w:hideMark/>
          </w:tcPr>
          <w:p w14:paraId="5EFA00DF" w14:textId="77777777" w:rsidR="000D33D1" w:rsidRDefault="000D33D1" w:rsidP="000D5CDF">
            <w:pPr>
              <w:pStyle w:val="AEuroAbstract"/>
              <w:widowControl w:val="0"/>
              <w:spacing w:before="0"/>
              <w:jc w:val="center"/>
              <w:outlineLvl w:val="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D33D1" w14:paraId="13D75B5C" w14:textId="77777777" w:rsidTr="005948CE">
        <w:trPr>
          <w:jc w:val="center"/>
        </w:trPr>
        <w:tc>
          <w:tcPr>
            <w:tcW w:w="0" w:type="auto"/>
            <w:hideMark/>
          </w:tcPr>
          <w:p w14:paraId="7CC8B797" w14:textId="77777777" w:rsidR="000D33D1" w:rsidRDefault="000D33D1" w:rsidP="000D5CDF">
            <w:pPr>
              <w:pStyle w:val="AEuroAbstract"/>
              <w:spacing w:befor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phen</w:t>
            </w:r>
            <w:proofErr w:type="spellEnd"/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o-</w:t>
            </w:r>
            <w:proofErr w:type="spellStart"/>
            <w:r>
              <w:rPr>
                <w:sz w:val="20"/>
              </w:rPr>
              <w:t>BrBT</w:t>
            </w:r>
            <w:proofErr w:type="spellEnd"/>
          </w:p>
        </w:tc>
        <w:tc>
          <w:tcPr>
            <w:tcW w:w="0" w:type="auto"/>
            <w:hideMark/>
          </w:tcPr>
          <w:p w14:paraId="3B380BB9" w14:textId="77777777" w:rsidR="000D33D1" w:rsidRDefault="000D33D1" w:rsidP="000D5CDF">
            <w:pPr>
              <w:pStyle w:val="AEuroAbstract"/>
              <w:widowControl w:val="0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63.5</w:t>
            </w:r>
          </w:p>
        </w:tc>
        <w:tc>
          <w:tcPr>
            <w:tcW w:w="0" w:type="auto"/>
            <w:hideMark/>
          </w:tcPr>
          <w:p w14:paraId="70269963" w14:textId="77777777" w:rsidR="000D33D1" w:rsidRDefault="000D33D1" w:rsidP="000D5CDF">
            <w:pPr>
              <w:pStyle w:val="AEuroAbstract"/>
              <w:widowControl w:val="0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197.5 – 198.3</w:t>
            </w:r>
          </w:p>
        </w:tc>
      </w:tr>
      <w:tr w:rsidR="000D33D1" w14:paraId="0B9F96F3" w14:textId="77777777" w:rsidTr="005948CE">
        <w:trPr>
          <w:jc w:val="center"/>
        </w:trPr>
        <w:tc>
          <w:tcPr>
            <w:tcW w:w="0" w:type="auto"/>
            <w:hideMark/>
          </w:tcPr>
          <w:p w14:paraId="47D89D95" w14:textId="77777777" w:rsidR="000D33D1" w:rsidRDefault="000D33D1" w:rsidP="000D5CDF">
            <w:pPr>
              <w:pStyle w:val="AEuroAbstract"/>
              <w:spacing w:befor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phen</w:t>
            </w:r>
            <w:proofErr w:type="spellEnd"/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m-</w:t>
            </w:r>
            <w:proofErr w:type="spellStart"/>
            <w:r>
              <w:rPr>
                <w:sz w:val="20"/>
              </w:rPr>
              <w:t>BrBT</w:t>
            </w:r>
            <w:proofErr w:type="spellEnd"/>
          </w:p>
        </w:tc>
        <w:tc>
          <w:tcPr>
            <w:tcW w:w="0" w:type="auto"/>
            <w:hideMark/>
          </w:tcPr>
          <w:p w14:paraId="5C2229B4" w14:textId="77777777" w:rsidR="000D33D1" w:rsidRDefault="000D33D1" w:rsidP="000D5CDF">
            <w:pPr>
              <w:pStyle w:val="AEuroAbstract"/>
              <w:widowControl w:val="0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57.9</w:t>
            </w:r>
          </w:p>
        </w:tc>
        <w:tc>
          <w:tcPr>
            <w:tcW w:w="0" w:type="auto"/>
            <w:hideMark/>
          </w:tcPr>
          <w:p w14:paraId="25A6D0A8" w14:textId="77777777" w:rsidR="000D33D1" w:rsidRDefault="000D33D1" w:rsidP="000D5CDF">
            <w:pPr>
              <w:pStyle w:val="AEuroAbstract"/>
              <w:widowControl w:val="0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146.3 – 151.3</w:t>
            </w:r>
          </w:p>
        </w:tc>
      </w:tr>
      <w:tr w:rsidR="000D33D1" w14:paraId="0D530B21" w14:textId="77777777" w:rsidTr="005948CE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6E9A8F" w14:textId="77777777" w:rsidR="000D33D1" w:rsidRDefault="000D33D1" w:rsidP="000D5CDF">
            <w:pPr>
              <w:pStyle w:val="AEuroAbstract"/>
              <w:spacing w:befor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phen</w:t>
            </w:r>
            <w:proofErr w:type="spellEnd"/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p-</w:t>
            </w:r>
            <w:proofErr w:type="spellStart"/>
            <w:r>
              <w:rPr>
                <w:sz w:val="20"/>
              </w:rPr>
              <w:t>BrBT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2C0EDB" w14:textId="77777777" w:rsidR="000D33D1" w:rsidRDefault="000D33D1" w:rsidP="000D5CDF">
            <w:pPr>
              <w:pStyle w:val="AEuroAbstract"/>
              <w:widowControl w:val="0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42B629" w14:textId="77777777" w:rsidR="000D33D1" w:rsidRDefault="000D33D1" w:rsidP="000D5CDF">
            <w:pPr>
              <w:pStyle w:val="AEuroAbstract"/>
              <w:widowControl w:val="0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175.2 – 176.5</w:t>
            </w:r>
          </w:p>
        </w:tc>
      </w:tr>
    </w:tbl>
    <w:p w14:paraId="45DEA85C" w14:textId="77777777" w:rsidR="000D33D1" w:rsidRDefault="000D33D1" w:rsidP="000D33D1">
      <w:pPr>
        <w:pStyle w:val="AEuroAbstract"/>
        <w:spacing w:before="0"/>
        <w:rPr>
          <w:sz w:val="20"/>
        </w:rPr>
      </w:pPr>
    </w:p>
    <w:p w14:paraId="09EDB42E" w14:textId="75B0601A" w:rsidR="000D33D1" w:rsidRDefault="005948CE" w:rsidP="007B3641">
      <w:pPr>
        <w:tabs>
          <w:tab w:val="left" w:pos="567"/>
        </w:tabs>
        <w:jc w:val="both"/>
        <w:outlineLvl w:val="0"/>
        <w:rPr>
          <w:b/>
          <w:sz w:val="20"/>
        </w:rPr>
      </w:pPr>
      <w:r>
        <w:rPr>
          <w:b/>
          <w:sz w:val="20"/>
        </w:rPr>
        <w:t>Elemental a</w:t>
      </w:r>
      <w:r w:rsidR="000D33D1">
        <w:rPr>
          <w:b/>
          <w:sz w:val="20"/>
        </w:rPr>
        <w:t>nalysis of C, H, N and S</w:t>
      </w:r>
    </w:p>
    <w:p w14:paraId="7F260B9E" w14:textId="77777777" w:rsidR="000D33D1" w:rsidRPr="000A2B9D" w:rsidRDefault="000D33D1" w:rsidP="000D33D1">
      <w:pPr>
        <w:jc w:val="both"/>
        <w:rPr>
          <w:sz w:val="20"/>
        </w:rPr>
      </w:pPr>
      <w:r w:rsidRPr="000A2B9D">
        <w:rPr>
          <w:sz w:val="20"/>
        </w:rPr>
        <w:t>The</w:t>
      </w:r>
      <w:r w:rsidR="00E83C00" w:rsidRPr="000A2B9D">
        <w:rPr>
          <w:sz w:val="20"/>
        </w:rPr>
        <w:t>re was some</w:t>
      </w:r>
      <w:r w:rsidRPr="000A2B9D">
        <w:rPr>
          <w:sz w:val="20"/>
        </w:rPr>
        <w:t xml:space="preserve"> </w:t>
      </w:r>
      <w:r w:rsidR="00E1066E" w:rsidRPr="000A2B9D">
        <w:rPr>
          <w:sz w:val="20"/>
        </w:rPr>
        <w:t>deviation</w:t>
      </w:r>
      <w:r w:rsidR="001C754F" w:rsidRPr="000A2B9D">
        <w:rPr>
          <w:sz w:val="20"/>
        </w:rPr>
        <w:t xml:space="preserve"> from the</w:t>
      </w:r>
      <w:r w:rsidRPr="000A2B9D">
        <w:rPr>
          <w:sz w:val="20"/>
        </w:rPr>
        <w:t xml:space="preserve"> theoretical </w:t>
      </w:r>
      <w:r w:rsidR="00663328" w:rsidRPr="000A2B9D">
        <w:rPr>
          <w:sz w:val="20"/>
        </w:rPr>
        <w:t>value</w:t>
      </w:r>
      <w:r w:rsidRPr="000A2B9D">
        <w:rPr>
          <w:sz w:val="20"/>
        </w:rPr>
        <w:t xml:space="preserve"> for C, H, N and </w:t>
      </w:r>
      <w:r w:rsidR="001C754F" w:rsidRPr="000A2B9D">
        <w:rPr>
          <w:sz w:val="20"/>
        </w:rPr>
        <w:t xml:space="preserve">S contents </w:t>
      </w:r>
      <w:r w:rsidR="000D5CDF" w:rsidRPr="000A2B9D">
        <w:rPr>
          <w:sz w:val="20"/>
        </w:rPr>
        <w:t>in</w:t>
      </w:r>
      <w:r w:rsidRPr="000A2B9D">
        <w:rPr>
          <w:sz w:val="20"/>
        </w:rPr>
        <w:t xml:space="preserve"> </w:t>
      </w:r>
      <w:r w:rsidR="00E1066E" w:rsidRPr="000A2B9D">
        <w:rPr>
          <w:sz w:val="20"/>
        </w:rPr>
        <w:t xml:space="preserve">the </w:t>
      </w:r>
      <w:proofErr w:type="spellStart"/>
      <w:r w:rsidRPr="000A2B9D">
        <w:rPr>
          <w:sz w:val="20"/>
        </w:rPr>
        <w:t>phen</w:t>
      </w:r>
      <w:proofErr w:type="spellEnd"/>
      <w:r w:rsidRPr="000A2B9D">
        <w:rPr>
          <w:sz w:val="20"/>
        </w:rPr>
        <w:t xml:space="preserve">-BT, </w:t>
      </w:r>
      <w:proofErr w:type="spellStart"/>
      <w:r w:rsidRPr="000A2B9D">
        <w:rPr>
          <w:sz w:val="20"/>
        </w:rPr>
        <w:t>phen</w:t>
      </w:r>
      <w:proofErr w:type="spellEnd"/>
      <w:r w:rsidRPr="000A2B9D">
        <w:rPr>
          <w:sz w:val="20"/>
        </w:rPr>
        <w:t>-</w:t>
      </w:r>
      <w:r w:rsidRPr="000A2B9D">
        <w:rPr>
          <w:i/>
          <w:sz w:val="20"/>
        </w:rPr>
        <w:t>o</w:t>
      </w:r>
      <w:r w:rsidRPr="000A2B9D">
        <w:rPr>
          <w:sz w:val="20"/>
        </w:rPr>
        <w:t>-</w:t>
      </w:r>
      <w:proofErr w:type="spellStart"/>
      <w:r w:rsidRPr="000A2B9D">
        <w:rPr>
          <w:sz w:val="20"/>
        </w:rPr>
        <w:t>BrBT</w:t>
      </w:r>
      <w:proofErr w:type="spellEnd"/>
      <w:r w:rsidRPr="000A2B9D">
        <w:rPr>
          <w:sz w:val="20"/>
        </w:rPr>
        <w:t xml:space="preserve">, </w:t>
      </w:r>
      <w:proofErr w:type="spellStart"/>
      <w:r w:rsidRPr="000A2B9D">
        <w:rPr>
          <w:sz w:val="20"/>
        </w:rPr>
        <w:t>phen</w:t>
      </w:r>
      <w:proofErr w:type="spellEnd"/>
      <w:r w:rsidRPr="000A2B9D">
        <w:rPr>
          <w:sz w:val="20"/>
        </w:rPr>
        <w:t>-</w:t>
      </w:r>
      <w:r w:rsidRPr="000A2B9D">
        <w:rPr>
          <w:i/>
          <w:sz w:val="20"/>
        </w:rPr>
        <w:t>m</w:t>
      </w:r>
      <w:r w:rsidRPr="000A2B9D">
        <w:rPr>
          <w:sz w:val="20"/>
        </w:rPr>
        <w:t>-</w:t>
      </w:r>
      <w:proofErr w:type="spellStart"/>
      <w:r w:rsidRPr="000A2B9D">
        <w:rPr>
          <w:sz w:val="20"/>
        </w:rPr>
        <w:t>BrBT</w:t>
      </w:r>
      <w:proofErr w:type="spellEnd"/>
      <w:r w:rsidRPr="000A2B9D">
        <w:rPr>
          <w:sz w:val="20"/>
        </w:rPr>
        <w:t xml:space="preserve"> and </w:t>
      </w:r>
      <w:proofErr w:type="spellStart"/>
      <w:r w:rsidRPr="000A2B9D">
        <w:rPr>
          <w:sz w:val="20"/>
        </w:rPr>
        <w:t>phen</w:t>
      </w:r>
      <w:proofErr w:type="spellEnd"/>
      <w:r w:rsidRPr="000A2B9D">
        <w:rPr>
          <w:sz w:val="20"/>
        </w:rPr>
        <w:t>-</w:t>
      </w:r>
      <w:r w:rsidRPr="000A2B9D">
        <w:rPr>
          <w:i/>
          <w:sz w:val="20"/>
        </w:rPr>
        <w:t>p</w:t>
      </w:r>
      <w:r w:rsidRPr="000A2B9D">
        <w:rPr>
          <w:sz w:val="20"/>
        </w:rPr>
        <w:t>-</w:t>
      </w:r>
      <w:proofErr w:type="spellStart"/>
      <w:r w:rsidRPr="000A2B9D">
        <w:rPr>
          <w:sz w:val="20"/>
        </w:rPr>
        <w:t>BrBT</w:t>
      </w:r>
      <w:proofErr w:type="spellEnd"/>
      <w:r w:rsidRPr="000A2B9D">
        <w:rPr>
          <w:sz w:val="20"/>
        </w:rPr>
        <w:t xml:space="preserve"> compounds</w:t>
      </w:r>
      <w:r w:rsidR="001C754F" w:rsidRPr="000A2B9D">
        <w:rPr>
          <w:sz w:val="20"/>
        </w:rPr>
        <w:t xml:space="preserve">. </w:t>
      </w:r>
      <w:r w:rsidRPr="000A2B9D">
        <w:rPr>
          <w:sz w:val="20"/>
        </w:rPr>
        <w:t>These</w:t>
      </w:r>
      <w:r w:rsidR="001C754F" w:rsidRPr="000A2B9D">
        <w:rPr>
          <w:sz w:val="20"/>
        </w:rPr>
        <w:t xml:space="preserve"> differences are within the experimental errors and </w:t>
      </w:r>
      <w:r w:rsidR="00663328" w:rsidRPr="000A2B9D">
        <w:rPr>
          <w:sz w:val="20"/>
        </w:rPr>
        <w:t xml:space="preserve">may be due to a </w:t>
      </w:r>
      <w:r w:rsidR="00E83C00" w:rsidRPr="000A2B9D">
        <w:rPr>
          <w:sz w:val="20"/>
        </w:rPr>
        <w:t>contamination from the recrystallization solvent and atmospheric water</w:t>
      </w:r>
      <w:r w:rsidR="001C754F" w:rsidRPr="000A2B9D">
        <w:rPr>
          <w:sz w:val="20"/>
        </w:rPr>
        <w:t>.</w:t>
      </w:r>
      <w:r w:rsidRPr="000A2B9D">
        <w:rPr>
          <w:sz w:val="20"/>
        </w:rPr>
        <w:t xml:space="preserve"> </w:t>
      </w:r>
      <w:r w:rsidR="00663328" w:rsidRPr="000A2B9D">
        <w:rPr>
          <w:sz w:val="20"/>
        </w:rPr>
        <w:t xml:space="preserve">This is not uncommon as the solvent is quite polar and the compound contains Br atom that can also induce polarity in the molecule. </w:t>
      </w:r>
      <w:r w:rsidR="00E83C00" w:rsidRPr="000A2B9D">
        <w:rPr>
          <w:sz w:val="20"/>
        </w:rPr>
        <w:t xml:space="preserve">We proposed a new chemical formula for each compound </w:t>
      </w:r>
      <w:r w:rsidR="00663328" w:rsidRPr="000A2B9D">
        <w:rPr>
          <w:sz w:val="20"/>
        </w:rPr>
        <w:t xml:space="preserve">taking into consideration that the samples might be </w:t>
      </w:r>
      <w:r w:rsidR="00E83C00" w:rsidRPr="000A2B9D">
        <w:rPr>
          <w:sz w:val="20"/>
        </w:rPr>
        <w:t>contaminat</w:t>
      </w:r>
      <w:r w:rsidR="00663328" w:rsidRPr="000A2B9D">
        <w:rPr>
          <w:sz w:val="20"/>
        </w:rPr>
        <w:t>ed</w:t>
      </w:r>
      <w:r w:rsidR="00E83C00" w:rsidRPr="000A2B9D">
        <w:rPr>
          <w:sz w:val="20"/>
        </w:rPr>
        <w:t xml:space="preserve"> as shown in Table 2. </w:t>
      </w:r>
      <w:r w:rsidR="00663328" w:rsidRPr="000A2B9D">
        <w:rPr>
          <w:sz w:val="20"/>
        </w:rPr>
        <w:t>The calculation revealed that the highest deviation (0.86) was for carbon content in the</w:t>
      </w:r>
      <w:r w:rsidR="00E83C00" w:rsidRPr="000A2B9D">
        <w:rPr>
          <w:sz w:val="20"/>
        </w:rPr>
        <w:t xml:space="preserve"> </w:t>
      </w:r>
      <w:proofErr w:type="spellStart"/>
      <w:r w:rsidR="00663328" w:rsidRPr="000A2B9D">
        <w:rPr>
          <w:sz w:val="20"/>
        </w:rPr>
        <w:t>phen</w:t>
      </w:r>
      <w:proofErr w:type="spellEnd"/>
      <w:r w:rsidR="00663328" w:rsidRPr="000A2B9D">
        <w:rPr>
          <w:sz w:val="20"/>
        </w:rPr>
        <w:t>-</w:t>
      </w:r>
      <w:r w:rsidR="00663328" w:rsidRPr="000A2B9D">
        <w:rPr>
          <w:i/>
          <w:sz w:val="20"/>
        </w:rPr>
        <w:t>p</w:t>
      </w:r>
      <w:r w:rsidR="00663328" w:rsidRPr="000A2B9D">
        <w:rPr>
          <w:sz w:val="20"/>
        </w:rPr>
        <w:t>-</w:t>
      </w:r>
      <w:proofErr w:type="spellStart"/>
      <w:r w:rsidR="00663328" w:rsidRPr="000A2B9D">
        <w:rPr>
          <w:sz w:val="20"/>
        </w:rPr>
        <w:t>BrBT</w:t>
      </w:r>
      <w:proofErr w:type="spellEnd"/>
      <w:r w:rsidR="00663328" w:rsidRPr="000A2B9D">
        <w:rPr>
          <w:sz w:val="20"/>
        </w:rPr>
        <w:t xml:space="preserve"> sample.</w:t>
      </w:r>
    </w:p>
    <w:p w14:paraId="7198B477" w14:textId="77777777" w:rsidR="000D33D1" w:rsidRPr="000A2B9D" w:rsidRDefault="000D33D1" w:rsidP="000D33D1">
      <w:pPr>
        <w:jc w:val="both"/>
        <w:rPr>
          <w:sz w:val="20"/>
        </w:rPr>
      </w:pPr>
    </w:p>
    <w:p w14:paraId="791BEBB1" w14:textId="77777777" w:rsidR="005948CE" w:rsidRDefault="005948CE" w:rsidP="005948CE">
      <w:pPr>
        <w:spacing w:after="240"/>
        <w:ind w:left="851" w:hanging="851"/>
        <w:jc w:val="both"/>
        <w:rPr>
          <w:sz w:val="20"/>
        </w:rPr>
      </w:pPr>
    </w:p>
    <w:p w14:paraId="5F48D1EB" w14:textId="77777777" w:rsidR="005948CE" w:rsidRDefault="005948CE" w:rsidP="005948CE">
      <w:pPr>
        <w:spacing w:after="240"/>
        <w:ind w:left="851" w:hanging="851"/>
        <w:jc w:val="both"/>
        <w:rPr>
          <w:sz w:val="20"/>
        </w:rPr>
      </w:pPr>
    </w:p>
    <w:p w14:paraId="2216B1EF" w14:textId="77777777" w:rsidR="005948CE" w:rsidRDefault="005948CE" w:rsidP="005948CE">
      <w:pPr>
        <w:spacing w:after="240"/>
        <w:ind w:left="851" w:hanging="851"/>
        <w:jc w:val="both"/>
        <w:rPr>
          <w:sz w:val="20"/>
        </w:rPr>
      </w:pPr>
    </w:p>
    <w:p w14:paraId="0A50340B" w14:textId="476D1E95" w:rsidR="000D33D1" w:rsidRPr="000A2B9D" w:rsidRDefault="000D33D1" w:rsidP="005948CE">
      <w:pPr>
        <w:ind w:left="851" w:hanging="851"/>
        <w:jc w:val="both"/>
        <w:rPr>
          <w:sz w:val="20"/>
        </w:rPr>
      </w:pPr>
      <w:r w:rsidRPr="000A2B9D">
        <w:rPr>
          <w:sz w:val="20"/>
        </w:rPr>
        <w:lastRenderedPageBreak/>
        <w:t>Table 2</w:t>
      </w:r>
      <w:r w:rsidR="005948CE">
        <w:rPr>
          <w:sz w:val="20"/>
        </w:rPr>
        <w:t xml:space="preserve">. </w:t>
      </w:r>
      <w:r w:rsidRPr="000A2B9D">
        <w:rPr>
          <w:sz w:val="20"/>
        </w:rPr>
        <w:t xml:space="preserve">The elemental </w:t>
      </w:r>
      <w:r w:rsidR="00E83C00" w:rsidRPr="000A2B9D">
        <w:rPr>
          <w:sz w:val="20"/>
        </w:rPr>
        <w:t>CHNS</w:t>
      </w:r>
      <w:r w:rsidRPr="000A2B9D">
        <w:rPr>
          <w:sz w:val="20"/>
        </w:rPr>
        <w:t xml:space="preserve"> contents in </w:t>
      </w:r>
      <w:proofErr w:type="spellStart"/>
      <w:r w:rsidRPr="000A2B9D">
        <w:rPr>
          <w:sz w:val="20"/>
        </w:rPr>
        <w:t>phen</w:t>
      </w:r>
      <w:proofErr w:type="spellEnd"/>
      <w:r w:rsidRPr="000A2B9D">
        <w:rPr>
          <w:sz w:val="20"/>
        </w:rPr>
        <w:t xml:space="preserve">-BT, </w:t>
      </w:r>
      <w:proofErr w:type="spellStart"/>
      <w:r w:rsidRPr="000A2B9D">
        <w:rPr>
          <w:sz w:val="20"/>
        </w:rPr>
        <w:t>phen</w:t>
      </w:r>
      <w:proofErr w:type="spellEnd"/>
      <w:r w:rsidRPr="000A2B9D">
        <w:rPr>
          <w:sz w:val="20"/>
        </w:rPr>
        <w:t>-</w:t>
      </w:r>
      <w:r w:rsidRPr="000A2B9D">
        <w:rPr>
          <w:i/>
          <w:sz w:val="20"/>
        </w:rPr>
        <w:t>o</w:t>
      </w:r>
      <w:r w:rsidRPr="000A2B9D">
        <w:rPr>
          <w:sz w:val="20"/>
        </w:rPr>
        <w:t>-</w:t>
      </w:r>
      <w:proofErr w:type="spellStart"/>
      <w:r w:rsidRPr="000A2B9D">
        <w:rPr>
          <w:sz w:val="20"/>
        </w:rPr>
        <w:t>BrBT</w:t>
      </w:r>
      <w:proofErr w:type="spellEnd"/>
      <w:r w:rsidRPr="000A2B9D">
        <w:rPr>
          <w:sz w:val="20"/>
        </w:rPr>
        <w:t xml:space="preserve">, </w:t>
      </w:r>
      <w:proofErr w:type="spellStart"/>
      <w:r w:rsidRPr="000A2B9D">
        <w:rPr>
          <w:sz w:val="20"/>
        </w:rPr>
        <w:t>phen</w:t>
      </w:r>
      <w:proofErr w:type="spellEnd"/>
      <w:r w:rsidRPr="000A2B9D">
        <w:rPr>
          <w:sz w:val="20"/>
        </w:rPr>
        <w:t>-</w:t>
      </w:r>
      <w:r w:rsidRPr="000A2B9D">
        <w:rPr>
          <w:i/>
          <w:sz w:val="20"/>
        </w:rPr>
        <w:t>m</w:t>
      </w:r>
      <w:r w:rsidRPr="000A2B9D">
        <w:rPr>
          <w:sz w:val="20"/>
        </w:rPr>
        <w:t>-</w:t>
      </w:r>
      <w:proofErr w:type="spellStart"/>
      <w:r w:rsidRPr="000A2B9D">
        <w:rPr>
          <w:sz w:val="20"/>
        </w:rPr>
        <w:t>BrBT</w:t>
      </w:r>
      <w:proofErr w:type="spellEnd"/>
      <w:r w:rsidRPr="000A2B9D">
        <w:rPr>
          <w:sz w:val="20"/>
        </w:rPr>
        <w:t xml:space="preserve"> and </w:t>
      </w:r>
      <w:proofErr w:type="spellStart"/>
      <w:r w:rsidRPr="000A2B9D">
        <w:rPr>
          <w:sz w:val="20"/>
        </w:rPr>
        <w:t>phen</w:t>
      </w:r>
      <w:proofErr w:type="spellEnd"/>
      <w:r w:rsidRPr="000A2B9D">
        <w:rPr>
          <w:sz w:val="20"/>
        </w:rPr>
        <w:t>-</w:t>
      </w:r>
      <w:r w:rsidRPr="000A2B9D">
        <w:rPr>
          <w:i/>
          <w:sz w:val="20"/>
        </w:rPr>
        <w:t>p</w:t>
      </w:r>
      <w:r w:rsidRPr="000A2B9D">
        <w:rPr>
          <w:sz w:val="20"/>
        </w:rPr>
        <w:t>-</w:t>
      </w:r>
      <w:proofErr w:type="spellStart"/>
      <w:r w:rsidRPr="000A2B9D">
        <w:rPr>
          <w:sz w:val="20"/>
        </w:rPr>
        <w:t>BrBT</w:t>
      </w:r>
      <w:proofErr w:type="spellEnd"/>
      <w:r w:rsidRPr="000A2B9D">
        <w:rPr>
          <w:sz w:val="20"/>
        </w:rPr>
        <w:t xml:space="preserve"> </w:t>
      </w:r>
      <w:r w:rsidR="00E83C00" w:rsidRPr="000A2B9D">
        <w:rPr>
          <w:sz w:val="20"/>
        </w:rPr>
        <w:t>and the proposed new chemical formula to account for an acetone and water content</w:t>
      </w:r>
    </w:p>
    <w:tbl>
      <w:tblPr>
        <w:tblpPr w:leftFromText="180" w:rightFromText="180" w:vertAnchor="text" w:horzAnchor="page" w:tblpX="1369" w:tblpY="138"/>
        <w:tblW w:w="0" w:type="auto"/>
        <w:tblLook w:val="04A0" w:firstRow="1" w:lastRow="0" w:firstColumn="1" w:lastColumn="0" w:noHBand="0" w:noVBand="1"/>
      </w:tblPr>
      <w:tblGrid>
        <w:gridCol w:w="1225"/>
        <w:gridCol w:w="963"/>
        <w:gridCol w:w="830"/>
        <w:gridCol w:w="963"/>
        <w:gridCol w:w="830"/>
        <w:gridCol w:w="3087"/>
        <w:gridCol w:w="1344"/>
      </w:tblGrid>
      <w:tr w:rsidR="00886744" w:rsidRPr="000A2B9D" w14:paraId="516A4234" w14:textId="77777777" w:rsidTr="00E83C00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E93262" w14:textId="77777777" w:rsidR="00886744" w:rsidRPr="000A2B9D" w:rsidRDefault="00886744" w:rsidP="005948CE">
            <w:pPr>
              <w:jc w:val="center"/>
              <w:rPr>
                <w:sz w:val="20"/>
              </w:rPr>
            </w:pPr>
            <w:r w:rsidRPr="000A2B9D">
              <w:rPr>
                <w:b/>
                <w:bCs/>
                <w:sz w:val="20"/>
              </w:rPr>
              <w:t>Compound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3EAFC5" w14:textId="77777777" w:rsidR="00886744" w:rsidRPr="000A2B9D" w:rsidRDefault="00886744" w:rsidP="005948CE">
            <w:pPr>
              <w:jc w:val="center"/>
              <w:rPr>
                <w:sz w:val="20"/>
              </w:rPr>
            </w:pPr>
            <w:r w:rsidRPr="000A2B9D">
              <w:rPr>
                <w:b/>
                <w:bCs/>
                <w:sz w:val="20"/>
              </w:rPr>
              <w:t>Experiment (theory), 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1E9EE0F" w14:textId="77777777" w:rsidR="00886744" w:rsidRPr="000A2B9D" w:rsidRDefault="00886744" w:rsidP="005948CE">
            <w:pPr>
              <w:jc w:val="center"/>
              <w:rPr>
                <w:b/>
                <w:bCs/>
                <w:sz w:val="20"/>
              </w:rPr>
            </w:pPr>
            <w:r w:rsidRPr="000A2B9D">
              <w:rPr>
                <w:b/>
                <w:bCs/>
                <w:sz w:val="20"/>
              </w:rPr>
              <w:t>Proposed</w:t>
            </w:r>
          </w:p>
          <w:p w14:paraId="465E98F4" w14:textId="77777777" w:rsidR="00886744" w:rsidRPr="000A2B9D" w:rsidRDefault="00886744" w:rsidP="005948CE">
            <w:pPr>
              <w:jc w:val="center"/>
              <w:rPr>
                <w:b/>
                <w:bCs/>
                <w:sz w:val="20"/>
              </w:rPr>
            </w:pPr>
            <w:r w:rsidRPr="000A2B9D">
              <w:rPr>
                <w:b/>
                <w:bCs/>
                <w:sz w:val="20"/>
              </w:rPr>
              <w:t xml:space="preserve">Chemical </w:t>
            </w:r>
            <w:proofErr w:type="spellStart"/>
            <w:r w:rsidRPr="000A2B9D">
              <w:rPr>
                <w:b/>
                <w:bCs/>
                <w:sz w:val="20"/>
              </w:rPr>
              <w:t>Fomula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61EAADF" w14:textId="77777777" w:rsidR="00886744" w:rsidRPr="000A2B9D" w:rsidRDefault="00886744" w:rsidP="005948CE">
            <w:pPr>
              <w:jc w:val="center"/>
              <w:rPr>
                <w:b/>
                <w:bCs/>
                <w:sz w:val="20"/>
              </w:rPr>
            </w:pPr>
            <w:r w:rsidRPr="000A2B9D">
              <w:rPr>
                <w:b/>
                <w:bCs/>
                <w:sz w:val="20"/>
              </w:rPr>
              <w:t xml:space="preserve">Largest </w:t>
            </w:r>
          </w:p>
          <w:p w14:paraId="518E0BDF" w14:textId="77777777" w:rsidR="00886744" w:rsidRPr="000A2B9D" w:rsidRDefault="00886744" w:rsidP="005948CE">
            <w:pPr>
              <w:jc w:val="center"/>
              <w:rPr>
                <w:b/>
                <w:bCs/>
                <w:sz w:val="20"/>
              </w:rPr>
            </w:pPr>
            <w:r w:rsidRPr="000A2B9D">
              <w:rPr>
                <w:b/>
                <w:bCs/>
                <w:sz w:val="20"/>
              </w:rPr>
              <w:t>Deviation (Element)</w:t>
            </w:r>
          </w:p>
        </w:tc>
      </w:tr>
      <w:tr w:rsidR="00886744" w:rsidRPr="000A2B9D" w14:paraId="7853E3E0" w14:textId="77777777" w:rsidTr="00E83C00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A96B6" w14:textId="77777777" w:rsidR="00886744" w:rsidRPr="000A2B9D" w:rsidRDefault="00886744" w:rsidP="00E83C00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4AB72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b/>
                <w:bCs/>
                <w:sz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1FA79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b/>
                <w:bCs/>
                <w:sz w:val="20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D2C76E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b/>
                <w:bCs/>
                <w:sz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987C5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b/>
                <w:bCs/>
                <w:sz w:val="20"/>
              </w:rPr>
              <w:t>S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14:paraId="5E1A9556" w14:textId="77777777" w:rsidR="00886744" w:rsidRPr="000A2B9D" w:rsidRDefault="00886744" w:rsidP="00E83C0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14:paraId="3CDFFF5A" w14:textId="77777777" w:rsidR="00886744" w:rsidRPr="000A2B9D" w:rsidRDefault="00886744" w:rsidP="00E83C00">
            <w:pPr>
              <w:jc w:val="center"/>
              <w:rPr>
                <w:b/>
                <w:bCs/>
                <w:sz w:val="20"/>
              </w:rPr>
            </w:pPr>
          </w:p>
        </w:tc>
      </w:tr>
      <w:tr w:rsidR="00886744" w:rsidRPr="000A2B9D" w14:paraId="473CA02B" w14:textId="77777777" w:rsidTr="00E83C00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5A13D1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proofErr w:type="spellStart"/>
            <w:r w:rsidRPr="000A2B9D">
              <w:rPr>
                <w:sz w:val="20"/>
              </w:rPr>
              <w:t>phen</w:t>
            </w:r>
            <w:proofErr w:type="spellEnd"/>
            <w:r w:rsidRPr="000A2B9D">
              <w:rPr>
                <w:sz w:val="20"/>
              </w:rPr>
              <w:t>-BT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B7141D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66.61 (67.02)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8B788C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4.83 (3.94)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9C6ECB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15.78 (15.63)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535D15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8.73 (8.95)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6A15C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color w:val="000000"/>
                <w:sz w:val="20"/>
                <w:lang w:val="en-MY" w:eastAsia="en-US"/>
              </w:rPr>
              <w:t>C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20</w:t>
            </w:r>
            <w:r w:rsidRPr="000A2B9D">
              <w:rPr>
                <w:color w:val="000000"/>
                <w:sz w:val="20"/>
                <w:lang w:val="en-MY" w:eastAsia="en-US"/>
              </w:rPr>
              <w:t>H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14</w:t>
            </w:r>
            <w:r w:rsidRPr="000A2B9D">
              <w:rPr>
                <w:color w:val="000000"/>
                <w:sz w:val="20"/>
                <w:lang w:val="en-MY" w:eastAsia="en-US"/>
              </w:rPr>
              <w:t>N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4</w:t>
            </w:r>
            <w:r w:rsidRPr="000A2B9D">
              <w:rPr>
                <w:color w:val="000000"/>
                <w:sz w:val="20"/>
                <w:lang w:val="en-MY" w:eastAsia="en-US"/>
              </w:rPr>
              <w:t>OS·0.2H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2</w:t>
            </w:r>
            <w:r w:rsidRPr="000A2B9D">
              <w:rPr>
                <w:color w:val="000000"/>
                <w:sz w:val="20"/>
                <w:lang w:val="en-MY" w:eastAsia="en-US"/>
              </w:rPr>
              <w:t>O·</w:t>
            </w:r>
            <w:r w:rsidR="00E83C00" w:rsidRPr="000A2B9D">
              <w:rPr>
                <w:color w:val="000000"/>
                <w:sz w:val="20"/>
                <w:lang w:val="en-MY" w:eastAsia="en-US"/>
              </w:rPr>
              <w:t>0.15</w:t>
            </w:r>
            <w:r w:rsidRPr="000A2B9D">
              <w:rPr>
                <w:color w:val="000000"/>
                <w:sz w:val="20"/>
                <w:lang w:val="en-MY" w:eastAsia="en-US"/>
              </w:rPr>
              <w:t>C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3</w:t>
            </w:r>
            <w:r w:rsidRPr="000A2B9D">
              <w:rPr>
                <w:color w:val="000000"/>
                <w:sz w:val="20"/>
                <w:lang w:val="en-MY" w:eastAsia="en-US"/>
              </w:rPr>
              <w:t>H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6</w:t>
            </w:r>
            <w:r w:rsidRPr="000A2B9D">
              <w:rPr>
                <w:color w:val="000000"/>
                <w:sz w:val="20"/>
                <w:lang w:val="en-MY" w:eastAsia="en-US"/>
              </w:rPr>
              <w:t xml:space="preserve">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08F8C6" w14:textId="77777777" w:rsidR="00886744" w:rsidRPr="000A2B9D" w:rsidRDefault="00E83C00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0.67</w:t>
            </w:r>
            <w:r w:rsidR="00663328" w:rsidRPr="000A2B9D">
              <w:rPr>
                <w:sz w:val="20"/>
              </w:rPr>
              <w:t xml:space="preserve"> </w:t>
            </w:r>
            <w:r w:rsidRPr="000A2B9D">
              <w:rPr>
                <w:sz w:val="20"/>
              </w:rPr>
              <w:t>(H)</w:t>
            </w:r>
          </w:p>
        </w:tc>
      </w:tr>
      <w:tr w:rsidR="00886744" w:rsidRPr="000A2B9D" w14:paraId="68C831C1" w14:textId="77777777" w:rsidTr="00E83C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D95C19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proofErr w:type="spellStart"/>
            <w:r w:rsidRPr="000A2B9D">
              <w:rPr>
                <w:sz w:val="20"/>
              </w:rPr>
              <w:t>phen</w:t>
            </w:r>
            <w:proofErr w:type="spellEnd"/>
            <w:r w:rsidRPr="000A2B9D">
              <w:rPr>
                <w:sz w:val="20"/>
              </w:rPr>
              <w:t>-</w:t>
            </w:r>
            <w:r w:rsidRPr="000A2B9D">
              <w:rPr>
                <w:i/>
                <w:sz w:val="20"/>
              </w:rPr>
              <w:t>o</w:t>
            </w:r>
            <w:r w:rsidRPr="000A2B9D">
              <w:rPr>
                <w:sz w:val="20"/>
              </w:rPr>
              <w:t>-</w:t>
            </w:r>
            <w:proofErr w:type="spellStart"/>
            <w:r w:rsidRPr="000A2B9D">
              <w:rPr>
                <w:sz w:val="20"/>
              </w:rPr>
              <w:t>BrBT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AF1A0D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53.54 (54.93)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873F03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4.47 (3.00)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892B36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11.72 (12.81)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4B7749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7.22 (7.33)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2BD5A1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color w:val="000000"/>
                <w:sz w:val="20"/>
                <w:lang w:val="en-MY" w:eastAsia="en-US"/>
              </w:rPr>
              <w:t>C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20</w:t>
            </w:r>
            <w:r w:rsidRPr="000A2B9D">
              <w:rPr>
                <w:color w:val="000000"/>
                <w:sz w:val="20"/>
                <w:lang w:val="en-MY" w:eastAsia="en-US"/>
              </w:rPr>
              <w:t>H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13</w:t>
            </w:r>
            <w:r w:rsidRPr="000A2B9D">
              <w:rPr>
                <w:color w:val="000000"/>
                <w:sz w:val="20"/>
                <w:lang w:val="en-MY" w:eastAsia="en-US"/>
              </w:rPr>
              <w:t>BrN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4</w:t>
            </w:r>
            <w:r w:rsidRPr="000A2B9D">
              <w:rPr>
                <w:color w:val="000000"/>
                <w:sz w:val="20"/>
                <w:lang w:val="en-MY" w:eastAsia="en-US"/>
              </w:rPr>
              <w:t>OS·1.1H2O·0.55 C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3</w:t>
            </w:r>
            <w:r w:rsidRPr="000A2B9D">
              <w:rPr>
                <w:color w:val="000000"/>
                <w:sz w:val="20"/>
                <w:lang w:val="en-MY" w:eastAsia="en-US"/>
              </w:rPr>
              <w:t>H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6</w:t>
            </w:r>
            <w:r w:rsidRPr="000A2B9D">
              <w:rPr>
                <w:color w:val="000000"/>
                <w:sz w:val="20"/>
                <w:lang w:val="en-MY" w:eastAsia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AF5E7A" w14:textId="77777777" w:rsidR="00886744" w:rsidRPr="000A2B9D" w:rsidRDefault="00E83C00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0.66</w:t>
            </w:r>
            <w:r w:rsidR="00663328" w:rsidRPr="000A2B9D">
              <w:rPr>
                <w:sz w:val="20"/>
              </w:rPr>
              <w:t xml:space="preserve"> </w:t>
            </w:r>
            <w:r w:rsidRPr="000A2B9D">
              <w:rPr>
                <w:sz w:val="20"/>
              </w:rPr>
              <w:t>(H)</w:t>
            </w:r>
          </w:p>
        </w:tc>
      </w:tr>
      <w:tr w:rsidR="00886744" w:rsidRPr="000A2B9D" w14:paraId="57E9C28C" w14:textId="77777777" w:rsidTr="00E83C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29A53C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proofErr w:type="spellStart"/>
            <w:r w:rsidRPr="000A2B9D">
              <w:rPr>
                <w:sz w:val="20"/>
              </w:rPr>
              <w:t>phen</w:t>
            </w:r>
            <w:proofErr w:type="spellEnd"/>
            <w:r w:rsidRPr="000A2B9D">
              <w:rPr>
                <w:sz w:val="20"/>
              </w:rPr>
              <w:t>-</w:t>
            </w:r>
            <w:r w:rsidRPr="000A2B9D">
              <w:rPr>
                <w:i/>
                <w:sz w:val="20"/>
              </w:rPr>
              <w:t>m</w:t>
            </w:r>
            <w:r w:rsidRPr="000A2B9D">
              <w:rPr>
                <w:sz w:val="20"/>
              </w:rPr>
              <w:t>-</w:t>
            </w:r>
            <w:proofErr w:type="spellStart"/>
            <w:r w:rsidRPr="000A2B9D">
              <w:rPr>
                <w:sz w:val="20"/>
              </w:rPr>
              <w:t>BrBT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B4CCC2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53.59 (54.93)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1FFFC6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4.12 (3.00)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A42BD6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12.03 (12.81)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32B9EF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7.17 (7.33)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13F625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color w:val="000000"/>
                <w:sz w:val="20"/>
                <w:lang w:val="en-MY" w:eastAsia="en-US"/>
              </w:rPr>
              <w:t>C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20</w:t>
            </w:r>
            <w:r w:rsidRPr="000A2B9D">
              <w:rPr>
                <w:color w:val="000000"/>
                <w:sz w:val="20"/>
                <w:lang w:val="en-MY" w:eastAsia="en-US"/>
              </w:rPr>
              <w:t>H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13</w:t>
            </w:r>
            <w:r w:rsidRPr="000A2B9D">
              <w:rPr>
                <w:color w:val="000000"/>
                <w:sz w:val="20"/>
                <w:lang w:val="en-MY" w:eastAsia="en-US"/>
              </w:rPr>
              <w:t>BrN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4</w:t>
            </w:r>
            <w:r w:rsidRPr="000A2B9D">
              <w:rPr>
                <w:color w:val="000000"/>
                <w:sz w:val="20"/>
                <w:lang w:val="en-MY" w:eastAsia="en-US"/>
              </w:rPr>
              <w:t>OS·0.95H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2</w:t>
            </w:r>
            <w:r w:rsidRPr="000A2B9D">
              <w:rPr>
                <w:color w:val="000000"/>
                <w:sz w:val="20"/>
                <w:lang w:val="en-MY" w:eastAsia="en-US"/>
              </w:rPr>
              <w:t>O·0.4C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3</w:t>
            </w:r>
            <w:r w:rsidRPr="000A2B9D">
              <w:rPr>
                <w:color w:val="000000"/>
                <w:sz w:val="20"/>
                <w:lang w:val="en-MY" w:eastAsia="en-US"/>
              </w:rPr>
              <w:t>H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6</w:t>
            </w:r>
            <w:r w:rsidRPr="000A2B9D">
              <w:rPr>
                <w:color w:val="000000"/>
                <w:sz w:val="20"/>
                <w:lang w:val="en-MY" w:eastAsia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D6A7A2" w14:textId="77777777" w:rsidR="00886744" w:rsidRPr="000A2B9D" w:rsidRDefault="00E83C00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0.47</w:t>
            </w:r>
            <w:r w:rsidR="00663328" w:rsidRPr="000A2B9D">
              <w:rPr>
                <w:sz w:val="20"/>
              </w:rPr>
              <w:t xml:space="preserve"> </w:t>
            </w:r>
            <w:r w:rsidRPr="000A2B9D">
              <w:rPr>
                <w:sz w:val="20"/>
              </w:rPr>
              <w:t>(H)</w:t>
            </w:r>
          </w:p>
        </w:tc>
      </w:tr>
      <w:tr w:rsidR="00886744" w14:paraId="43D92FD8" w14:textId="77777777" w:rsidTr="00E83C00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D966C0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proofErr w:type="spellStart"/>
            <w:r w:rsidRPr="000A2B9D">
              <w:rPr>
                <w:sz w:val="20"/>
              </w:rPr>
              <w:t>phen</w:t>
            </w:r>
            <w:proofErr w:type="spellEnd"/>
            <w:r w:rsidRPr="000A2B9D">
              <w:rPr>
                <w:sz w:val="20"/>
              </w:rPr>
              <w:t>-</w:t>
            </w:r>
            <w:r w:rsidRPr="000A2B9D">
              <w:rPr>
                <w:i/>
                <w:sz w:val="20"/>
              </w:rPr>
              <w:t>p</w:t>
            </w:r>
            <w:r w:rsidRPr="000A2B9D">
              <w:rPr>
                <w:sz w:val="20"/>
              </w:rPr>
              <w:t>-</w:t>
            </w:r>
            <w:proofErr w:type="spellStart"/>
            <w:r w:rsidRPr="000A2B9D">
              <w:rPr>
                <w:sz w:val="20"/>
              </w:rPr>
              <w:t>BrBT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47B12F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56.55 (54.93)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654552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4.05 (3.00)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212E2F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12.14 (12.81)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F5A148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7.37 (7.33)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929AF" w14:textId="77777777" w:rsidR="00886744" w:rsidRPr="000A2B9D" w:rsidRDefault="00886744" w:rsidP="00E83C00">
            <w:pPr>
              <w:jc w:val="center"/>
              <w:rPr>
                <w:sz w:val="20"/>
              </w:rPr>
            </w:pPr>
            <w:r w:rsidRPr="000A2B9D">
              <w:rPr>
                <w:color w:val="000000"/>
                <w:sz w:val="20"/>
                <w:lang w:val="en-MY" w:eastAsia="en-US"/>
              </w:rPr>
              <w:t>C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20</w:t>
            </w:r>
            <w:r w:rsidRPr="000A2B9D">
              <w:rPr>
                <w:color w:val="000000"/>
                <w:sz w:val="20"/>
                <w:lang w:val="en-MY" w:eastAsia="en-US"/>
              </w:rPr>
              <w:t>H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13</w:t>
            </w:r>
            <w:r w:rsidRPr="000A2B9D">
              <w:rPr>
                <w:color w:val="000000"/>
                <w:sz w:val="20"/>
                <w:lang w:val="en-MY" w:eastAsia="en-US"/>
              </w:rPr>
              <w:t>BrN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4</w:t>
            </w:r>
            <w:r w:rsidRPr="000A2B9D">
              <w:rPr>
                <w:color w:val="000000"/>
                <w:sz w:val="20"/>
                <w:lang w:val="en-MY" w:eastAsia="en-US"/>
              </w:rPr>
              <w:t>OS·0.9C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3</w:t>
            </w:r>
            <w:r w:rsidRPr="000A2B9D">
              <w:rPr>
                <w:color w:val="000000"/>
                <w:sz w:val="20"/>
                <w:lang w:val="en-MY" w:eastAsia="en-US"/>
              </w:rPr>
              <w:t>H</w:t>
            </w:r>
            <w:r w:rsidRPr="000A2B9D">
              <w:rPr>
                <w:color w:val="000000"/>
                <w:sz w:val="20"/>
                <w:vertAlign w:val="subscript"/>
                <w:lang w:val="en-MY" w:eastAsia="en-US"/>
              </w:rPr>
              <w:t>6</w:t>
            </w:r>
            <w:r w:rsidRPr="000A2B9D">
              <w:rPr>
                <w:color w:val="000000"/>
                <w:sz w:val="20"/>
                <w:lang w:val="en-MY" w:eastAsia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1194F" w14:textId="77777777" w:rsidR="00E83C00" w:rsidRPr="000A2B9D" w:rsidRDefault="00E83C00" w:rsidP="00E83C00">
            <w:pPr>
              <w:jc w:val="center"/>
              <w:rPr>
                <w:sz w:val="20"/>
              </w:rPr>
            </w:pPr>
            <w:r w:rsidRPr="000A2B9D">
              <w:rPr>
                <w:sz w:val="20"/>
              </w:rPr>
              <w:t>0.86</w:t>
            </w:r>
            <w:r w:rsidR="00663328" w:rsidRPr="000A2B9D">
              <w:rPr>
                <w:sz w:val="20"/>
              </w:rPr>
              <w:t xml:space="preserve"> </w:t>
            </w:r>
            <w:r w:rsidRPr="000A2B9D">
              <w:rPr>
                <w:sz w:val="20"/>
              </w:rPr>
              <w:t>(C)</w:t>
            </w:r>
          </w:p>
          <w:p w14:paraId="1F34B38F" w14:textId="77777777" w:rsidR="00886744" w:rsidRPr="000A2B9D" w:rsidRDefault="00886744" w:rsidP="00E83C00">
            <w:pPr>
              <w:jc w:val="center"/>
              <w:rPr>
                <w:sz w:val="20"/>
              </w:rPr>
            </w:pPr>
          </w:p>
        </w:tc>
      </w:tr>
    </w:tbl>
    <w:p w14:paraId="7E0D4276" w14:textId="77777777" w:rsidR="00886744" w:rsidRDefault="00886744" w:rsidP="000D33D1">
      <w:pPr>
        <w:tabs>
          <w:tab w:val="left" w:pos="567"/>
        </w:tabs>
        <w:jc w:val="both"/>
        <w:rPr>
          <w:b/>
          <w:sz w:val="20"/>
        </w:rPr>
      </w:pPr>
    </w:p>
    <w:p w14:paraId="5DBBB6A1" w14:textId="787A9FC9" w:rsidR="000D33D1" w:rsidRDefault="005948CE" w:rsidP="007B3641">
      <w:pPr>
        <w:tabs>
          <w:tab w:val="left" w:pos="567"/>
        </w:tabs>
        <w:outlineLvl w:val="0"/>
        <w:rPr>
          <w:sz w:val="20"/>
        </w:rPr>
      </w:pPr>
      <w:r>
        <w:rPr>
          <w:b/>
          <w:sz w:val="20"/>
        </w:rPr>
        <w:t>Mass spectrometry</w:t>
      </w:r>
    </w:p>
    <w:p w14:paraId="2145938E" w14:textId="6F8EF15C" w:rsidR="005948CE" w:rsidRPr="005948CE" w:rsidRDefault="000D33D1" w:rsidP="005948CE">
      <w:pPr>
        <w:jc w:val="both"/>
        <w:rPr>
          <w:rFonts w:eastAsia="Arial Unicode MS"/>
          <w:sz w:val="20"/>
          <w:shd w:val="clear" w:color="auto" w:fill="FFFFFF"/>
        </w:rPr>
      </w:pPr>
      <w:r>
        <w:rPr>
          <w:sz w:val="20"/>
        </w:rPr>
        <w:t xml:space="preserve">The electron impact mass-spectrum of a representative compound namely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p</w:t>
      </w:r>
      <w:r w:rsidR="00B87BC0">
        <w:rPr>
          <w:sz w:val="20"/>
        </w:rPr>
        <w:t>-</w:t>
      </w:r>
      <w:proofErr w:type="spellStart"/>
      <w:r w:rsidR="00B87BC0">
        <w:rPr>
          <w:sz w:val="20"/>
        </w:rPr>
        <w:t>BrBT</w:t>
      </w:r>
      <w:proofErr w:type="spellEnd"/>
      <w:r w:rsidR="00B87BC0">
        <w:rPr>
          <w:sz w:val="20"/>
        </w:rPr>
        <w:t xml:space="preserve"> (Figure 1</w:t>
      </w:r>
      <w:r>
        <w:rPr>
          <w:sz w:val="20"/>
        </w:rPr>
        <w:t xml:space="preserve">) shows the corresponding </w:t>
      </w:r>
      <w:r>
        <w:rPr>
          <w:i/>
          <w:sz w:val="20"/>
          <w:lang w:val="ms-MY"/>
        </w:rPr>
        <w:t xml:space="preserve">m/z </w:t>
      </w:r>
      <w:proofErr w:type="spellStart"/>
      <w:r>
        <w:rPr>
          <w:iCs/>
          <w:sz w:val="20"/>
          <w:lang w:val="ms-MY"/>
        </w:rPr>
        <w:t>value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of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the</w:t>
      </w:r>
      <w:proofErr w:type="spellEnd"/>
      <w:r>
        <w:rPr>
          <w:sz w:val="20"/>
          <w:lang w:val="ms-MY"/>
        </w:rPr>
        <w:t xml:space="preserve"> </w:t>
      </w:r>
      <w:r>
        <w:rPr>
          <w:sz w:val="20"/>
        </w:rPr>
        <w:t>parent molecule with one mole of associated sodium ion, [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x</w:t>
      </w:r>
      <w:r>
        <w:rPr>
          <w:sz w:val="20"/>
        </w:rPr>
        <w:t>-</w:t>
      </w:r>
      <w:proofErr w:type="spellStart"/>
      <w:r>
        <w:rPr>
          <w:rFonts w:eastAsia="Arial Unicode MS"/>
          <w:sz w:val="20"/>
          <w:shd w:val="clear" w:color="auto" w:fill="FFFFFF"/>
        </w:rPr>
        <w:t>BrBT</w:t>
      </w:r>
      <w:proofErr w:type="spellEnd"/>
      <w:r>
        <w:rPr>
          <w:rFonts w:eastAsia="Arial Unicode MS"/>
          <w:sz w:val="20"/>
          <w:shd w:val="clear" w:color="auto" w:fill="FFFFFF"/>
        </w:rPr>
        <w:t>)-Na]</w:t>
      </w:r>
      <w:r>
        <w:rPr>
          <w:rFonts w:eastAsia="Arial Unicode MS"/>
          <w:sz w:val="20"/>
          <w:shd w:val="clear" w:color="auto" w:fill="FFFFFF"/>
          <w:vertAlign w:val="superscript"/>
        </w:rPr>
        <w:t>+</w:t>
      </w:r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at</w:t>
      </w:r>
      <w:proofErr w:type="spellEnd"/>
      <w:r>
        <w:rPr>
          <w:sz w:val="20"/>
          <w:lang w:val="ms-MY"/>
        </w:rPr>
        <w:t xml:space="preserve"> 460.9 (</w:t>
      </w:r>
      <w:r>
        <w:rPr>
          <w:rFonts w:eastAsia="Arial Unicode MS"/>
          <w:sz w:val="20"/>
          <w:shd w:val="clear" w:color="auto" w:fill="FFFFFF"/>
        </w:rPr>
        <w:t xml:space="preserve">459.0 </w:t>
      </w:r>
      <w:r>
        <w:rPr>
          <w:rFonts w:eastAsia="Arial Unicode MS"/>
          <w:i/>
          <w:sz w:val="20"/>
          <w:shd w:val="clear" w:color="auto" w:fill="FFFFFF"/>
        </w:rPr>
        <w:t>theory</w:t>
      </w:r>
      <w:r>
        <w:rPr>
          <w:rFonts w:eastAsia="Arial Unicode MS"/>
          <w:sz w:val="20"/>
          <w:shd w:val="clear" w:color="auto" w:fill="FFFFFF"/>
        </w:rPr>
        <w:t xml:space="preserve">). A fragmentation with </w:t>
      </w:r>
      <w:r>
        <w:rPr>
          <w:i/>
          <w:sz w:val="20"/>
          <w:lang w:val="ms-MY"/>
        </w:rPr>
        <w:t>m/z</w:t>
      </w:r>
      <w:r>
        <w:rPr>
          <w:iCs/>
          <w:sz w:val="20"/>
          <w:lang w:val="ms-MY"/>
        </w:rPr>
        <w:t xml:space="preserve"> </w:t>
      </w:r>
      <w:proofErr w:type="spellStart"/>
      <w:r>
        <w:rPr>
          <w:iCs/>
          <w:sz w:val="20"/>
          <w:lang w:val="ms-MY"/>
        </w:rPr>
        <w:t>value</w:t>
      </w:r>
      <w:proofErr w:type="spellEnd"/>
      <w:r>
        <w:rPr>
          <w:iCs/>
          <w:sz w:val="20"/>
          <w:lang w:val="ms-MY"/>
        </w:rPr>
        <w:t xml:space="preserve"> </w:t>
      </w:r>
      <w:r>
        <w:rPr>
          <w:rFonts w:eastAsia="Arial Unicode MS"/>
          <w:sz w:val="20"/>
          <w:shd w:val="clear" w:color="auto" w:fill="FFFFFF"/>
        </w:rPr>
        <w:t>corresponding to [</w:t>
      </w:r>
      <w:proofErr w:type="spellStart"/>
      <w:r>
        <w:rPr>
          <w:rFonts w:eastAsia="Arial Unicode MS"/>
          <w:sz w:val="20"/>
          <w:shd w:val="clear" w:color="auto" w:fill="FFFFFF"/>
        </w:rPr>
        <w:t>BrBT</w:t>
      </w:r>
      <w:proofErr w:type="spellEnd"/>
      <w:r>
        <w:rPr>
          <w:rFonts w:eastAsia="Arial Unicode MS"/>
          <w:sz w:val="20"/>
          <w:shd w:val="clear" w:color="auto" w:fill="FFFFFF"/>
        </w:rPr>
        <w:t>]</w:t>
      </w:r>
      <w:r>
        <w:rPr>
          <w:rFonts w:eastAsia="Arial Unicode MS"/>
          <w:sz w:val="20"/>
          <w:shd w:val="clear" w:color="auto" w:fill="FFFFFF"/>
          <w:vertAlign w:val="superscript"/>
        </w:rPr>
        <w:t>+</w:t>
      </w:r>
      <w:r>
        <w:rPr>
          <w:rFonts w:eastAsia="Arial Unicode MS"/>
          <w:sz w:val="20"/>
          <w:shd w:val="clear" w:color="auto" w:fill="FFFFFF"/>
        </w:rPr>
        <w:t xml:space="preserve"> was observed at 260.0 (258.9 </w:t>
      </w:r>
      <w:r>
        <w:rPr>
          <w:rFonts w:eastAsia="Arial Unicode MS"/>
          <w:i/>
          <w:sz w:val="20"/>
          <w:shd w:val="clear" w:color="auto" w:fill="FFFFFF"/>
        </w:rPr>
        <w:t>theory</w:t>
      </w:r>
      <w:r>
        <w:rPr>
          <w:rFonts w:eastAsia="Arial Unicode MS"/>
          <w:sz w:val="20"/>
          <w:shd w:val="clear" w:color="auto" w:fill="FFFFFF"/>
        </w:rPr>
        <w:t>). Similarly, the mass spectrum and the fragmentation masses of other derivatives agreed with the structures as shown in Figure 1.</w:t>
      </w:r>
    </w:p>
    <w:p w14:paraId="70357437" w14:textId="77777777" w:rsidR="000D33D1" w:rsidRPr="00662DD4" w:rsidRDefault="000D33D1" w:rsidP="000D33D1">
      <w:pPr>
        <w:jc w:val="both"/>
        <w:rPr>
          <w:rFonts w:eastAsia="Arial Unicode MS"/>
          <w:iCs/>
          <w:sz w:val="20"/>
          <w:shd w:val="clear" w:color="auto" w:fill="FFFFFF"/>
        </w:rPr>
      </w:pPr>
    </w:p>
    <w:p w14:paraId="4DB84DA7" w14:textId="77777777" w:rsidR="000D33D1" w:rsidRDefault="000C0944" w:rsidP="000D33D1">
      <w:pPr>
        <w:jc w:val="center"/>
        <w:rPr>
          <w:sz w:val="20"/>
        </w:rPr>
      </w:pPr>
      <w:r w:rsidRPr="000C0944">
        <w:rPr>
          <w:noProof/>
          <w:lang w:val="en-US" w:eastAsia="ko-KR"/>
        </w:rPr>
        <w:drawing>
          <wp:inline distT="0" distB="0" distL="0" distR="0" wp14:anchorId="1BEB5D29" wp14:editId="30E13729">
            <wp:extent cx="4318195" cy="2104072"/>
            <wp:effectExtent l="19050" t="19050" r="25400" b="1079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195" cy="210407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87DA42" w14:textId="7D27A0D1" w:rsidR="000D33D1" w:rsidRDefault="005948CE" w:rsidP="007B3641">
      <w:pPr>
        <w:spacing w:before="240"/>
        <w:jc w:val="center"/>
        <w:outlineLvl w:val="0"/>
        <w:rPr>
          <w:sz w:val="20"/>
        </w:rPr>
      </w:pPr>
      <w:r>
        <w:rPr>
          <w:sz w:val="20"/>
        </w:rPr>
        <w:t xml:space="preserve">Figure 1. </w:t>
      </w:r>
      <w:r w:rsidR="007B3641" w:rsidRPr="00842FD6">
        <w:rPr>
          <w:sz w:val="20"/>
        </w:rPr>
        <w:t xml:space="preserve">The </w:t>
      </w:r>
      <w:r w:rsidR="00B5541A">
        <w:rPr>
          <w:sz w:val="20"/>
        </w:rPr>
        <w:t>GC-</w:t>
      </w:r>
      <w:r w:rsidR="000D33D1" w:rsidRPr="00842FD6">
        <w:rPr>
          <w:sz w:val="20"/>
        </w:rPr>
        <w:t xml:space="preserve">MS spectrum for the representative </w:t>
      </w:r>
      <w:proofErr w:type="spellStart"/>
      <w:r w:rsidR="000D33D1" w:rsidRPr="00842FD6">
        <w:rPr>
          <w:sz w:val="20"/>
        </w:rPr>
        <w:t>phen</w:t>
      </w:r>
      <w:proofErr w:type="spellEnd"/>
      <w:r w:rsidR="000D33D1" w:rsidRPr="00842FD6">
        <w:rPr>
          <w:sz w:val="20"/>
        </w:rPr>
        <w:t>-</w:t>
      </w:r>
      <w:r w:rsidR="000D33D1" w:rsidRPr="00842FD6">
        <w:rPr>
          <w:i/>
          <w:sz w:val="20"/>
        </w:rPr>
        <w:t>p</w:t>
      </w:r>
      <w:r w:rsidR="000D33D1" w:rsidRPr="00842FD6">
        <w:rPr>
          <w:sz w:val="20"/>
        </w:rPr>
        <w:t>-</w:t>
      </w:r>
      <w:proofErr w:type="spellStart"/>
      <w:r w:rsidR="000D33D1" w:rsidRPr="00842FD6">
        <w:rPr>
          <w:sz w:val="20"/>
        </w:rPr>
        <w:t>BrBT</w:t>
      </w:r>
      <w:proofErr w:type="spellEnd"/>
      <w:r w:rsidR="000D33D1" w:rsidRPr="00842FD6">
        <w:rPr>
          <w:sz w:val="20"/>
        </w:rPr>
        <w:t xml:space="preserve"> compound</w:t>
      </w:r>
    </w:p>
    <w:p w14:paraId="20CCE09B" w14:textId="77777777" w:rsidR="000D33D1" w:rsidRDefault="000D33D1" w:rsidP="000D33D1">
      <w:pPr>
        <w:jc w:val="both"/>
        <w:outlineLvl w:val="0"/>
        <w:rPr>
          <w:b/>
          <w:sz w:val="20"/>
        </w:rPr>
      </w:pPr>
    </w:p>
    <w:p w14:paraId="6ED170D9" w14:textId="720D3FA7" w:rsidR="000D33D1" w:rsidRDefault="005948CE" w:rsidP="007B3641">
      <w:pPr>
        <w:jc w:val="both"/>
        <w:outlineLvl w:val="0"/>
        <w:rPr>
          <w:b/>
          <w:sz w:val="20"/>
        </w:rPr>
      </w:pPr>
      <w:r>
        <w:rPr>
          <w:b/>
          <w:sz w:val="20"/>
        </w:rPr>
        <w:t>X-ray crystal s</w:t>
      </w:r>
      <w:r w:rsidR="000D33D1">
        <w:rPr>
          <w:b/>
          <w:sz w:val="20"/>
        </w:rPr>
        <w:t>tructures</w:t>
      </w:r>
    </w:p>
    <w:p w14:paraId="73E32D2A" w14:textId="09E0607E" w:rsidR="000D33D1" w:rsidRDefault="000D33D1" w:rsidP="000D33D1">
      <w:pPr>
        <w:jc w:val="both"/>
        <w:rPr>
          <w:sz w:val="20"/>
        </w:rPr>
      </w:pPr>
      <w:r>
        <w:rPr>
          <w:sz w:val="20"/>
        </w:rPr>
        <w:t xml:space="preserve">The structure of </w:t>
      </w:r>
      <w:r>
        <w:rPr>
          <w:i/>
          <w:sz w:val="20"/>
        </w:rPr>
        <w:t>N</w:t>
      </w:r>
      <w:r>
        <w:rPr>
          <w:sz w:val="20"/>
        </w:rPr>
        <w:t>-(benzoyl)-</w:t>
      </w:r>
      <w:r>
        <w:rPr>
          <w:i/>
          <w:sz w:val="20"/>
        </w:rPr>
        <w:t>N</w:t>
      </w:r>
      <w:r>
        <w:rPr>
          <w:sz w:val="20"/>
        </w:rPr>
        <w:t>'-(1,10-phenanthrolin-5-yl)thiourea [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 xml:space="preserve">-BT] [16] </w:t>
      </w:r>
      <w:r w:rsidR="00842FD6">
        <w:rPr>
          <w:sz w:val="20"/>
        </w:rPr>
        <w:t xml:space="preserve">(Figure 2) </w:t>
      </w:r>
      <w:r>
        <w:rPr>
          <w:sz w:val="20"/>
        </w:rPr>
        <w:t xml:space="preserve">was used as a reference to provide additional information in the determination of the molecular structure of the </w:t>
      </w:r>
      <w:proofErr w:type="spellStart"/>
      <w:r>
        <w:rPr>
          <w:sz w:val="20"/>
        </w:rPr>
        <w:t>bromo</w:t>
      </w:r>
      <w:proofErr w:type="spellEnd"/>
      <w:r>
        <w:rPr>
          <w:sz w:val="20"/>
        </w:rPr>
        <w:t>-substituted analogues.</w:t>
      </w:r>
    </w:p>
    <w:p w14:paraId="7FE26BA8" w14:textId="2C48FA7A" w:rsidR="00127C9D" w:rsidRDefault="00127C9D" w:rsidP="000D33D1">
      <w:pPr>
        <w:jc w:val="both"/>
        <w:rPr>
          <w:sz w:val="20"/>
        </w:rPr>
      </w:pPr>
    </w:p>
    <w:p w14:paraId="3ED12BA3" w14:textId="77777777" w:rsidR="00127C9D" w:rsidRDefault="00127C9D" w:rsidP="00127C9D">
      <w:pPr>
        <w:jc w:val="center"/>
        <w:rPr>
          <w:sz w:val="20"/>
        </w:rPr>
      </w:pPr>
      <w:r>
        <w:rPr>
          <w:noProof/>
          <w:sz w:val="20"/>
          <w:lang w:val="en-US" w:eastAsia="ko-KR"/>
        </w:rPr>
        <w:drawing>
          <wp:inline distT="0" distB="0" distL="0" distR="0" wp14:anchorId="5514ADA3" wp14:editId="15561677">
            <wp:extent cx="3959419" cy="189088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86" b="31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419" cy="189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3EC7F" w14:textId="4FFA1473" w:rsidR="00127C9D" w:rsidRDefault="00127C9D" w:rsidP="00127C9D">
      <w:pPr>
        <w:spacing w:before="240"/>
        <w:ind w:left="851" w:hanging="851"/>
        <w:jc w:val="both"/>
        <w:rPr>
          <w:sz w:val="20"/>
        </w:rPr>
      </w:pPr>
      <w:r>
        <w:rPr>
          <w:sz w:val="20"/>
          <w:lang w:val="en-US"/>
        </w:rPr>
        <w:t xml:space="preserve">Figure 2. The molecular structure of the </w:t>
      </w:r>
      <w:proofErr w:type="spellStart"/>
      <w:r>
        <w:rPr>
          <w:sz w:val="20"/>
          <w:lang w:val="en-US"/>
        </w:rPr>
        <w:t>phen</w:t>
      </w:r>
      <w:proofErr w:type="spellEnd"/>
      <w:r>
        <w:rPr>
          <w:sz w:val="20"/>
          <w:lang w:val="en-US"/>
        </w:rPr>
        <w:t>-BT</w:t>
      </w:r>
      <w:r>
        <w:rPr>
          <w:sz w:val="20"/>
        </w:rPr>
        <w:t xml:space="preserve"> with a dashed line indicates the intramolecular hydrogen bond that forms a pseudo-six membered ring</w:t>
      </w:r>
    </w:p>
    <w:p w14:paraId="6D4899AB" w14:textId="22A89B50" w:rsidR="000D33D1" w:rsidRDefault="000D33D1" w:rsidP="000D33D1">
      <w:pPr>
        <w:jc w:val="both"/>
        <w:rPr>
          <w:sz w:val="20"/>
        </w:rPr>
      </w:pPr>
    </w:p>
    <w:p w14:paraId="153C273D" w14:textId="77777777" w:rsidR="000D33D1" w:rsidRDefault="000D33D1" w:rsidP="000D33D1">
      <w:pPr>
        <w:jc w:val="both"/>
        <w:rPr>
          <w:sz w:val="20"/>
        </w:rPr>
      </w:pPr>
      <w:r>
        <w:rPr>
          <w:sz w:val="20"/>
        </w:rPr>
        <w:t xml:space="preserve">In the structure of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 xml:space="preserve">-BT, the benzoyl and 1,10-phenanthroline moieties were attached to the terminal nitrogen atoms of the thiourea moiety at </w:t>
      </w:r>
      <w:proofErr w:type="spellStart"/>
      <w:r>
        <w:rPr>
          <w:i/>
          <w:sz w:val="20"/>
        </w:rPr>
        <w:t>cisoid</w:t>
      </w:r>
      <w:proofErr w:type="spellEnd"/>
      <w:r>
        <w:rPr>
          <w:sz w:val="20"/>
        </w:rPr>
        <w:t xml:space="preserve"> and </w:t>
      </w:r>
      <w:proofErr w:type="spellStart"/>
      <w:r>
        <w:rPr>
          <w:i/>
          <w:sz w:val="20"/>
        </w:rPr>
        <w:t>transoid</w:t>
      </w:r>
      <w:proofErr w:type="spellEnd"/>
      <w:r w:rsidR="00BF1E90">
        <w:rPr>
          <w:i/>
          <w:sz w:val="20"/>
        </w:rPr>
        <w:t xml:space="preserve"> </w:t>
      </w:r>
      <w:r>
        <w:rPr>
          <w:sz w:val="20"/>
        </w:rPr>
        <w:t xml:space="preserve">position relative to the </w:t>
      </w:r>
      <w:proofErr w:type="spellStart"/>
      <w:r>
        <w:rPr>
          <w:sz w:val="20"/>
        </w:rPr>
        <w:t>thiono</w:t>
      </w:r>
      <w:proofErr w:type="spellEnd"/>
      <w:r>
        <w:rPr>
          <w:sz w:val="20"/>
        </w:rPr>
        <w:t xml:space="preserve"> N2―C8 and N1―C8 bonds. The phenyl and phenanthroline rings are twisted relative to the central thiourea fragment with dihedral angles of 29.46(12)˚ and 74.06(8)˚, respectively. The phenyl and phenanthroline rings are almost perpendicular to each other with dihedral angle of 83.15(10)˚.</w:t>
      </w:r>
    </w:p>
    <w:p w14:paraId="3FBA1B36" w14:textId="77777777" w:rsidR="000D33D1" w:rsidRDefault="000D33D1" w:rsidP="000D33D1">
      <w:pPr>
        <w:jc w:val="both"/>
        <w:rPr>
          <w:sz w:val="20"/>
        </w:rPr>
      </w:pPr>
    </w:p>
    <w:p w14:paraId="61B2CE77" w14:textId="77777777" w:rsidR="000D33D1" w:rsidRDefault="000D33D1" w:rsidP="000D33D1">
      <w:pPr>
        <w:jc w:val="both"/>
        <w:rPr>
          <w:sz w:val="20"/>
        </w:rPr>
      </w:pPr>
      <w:r w:rsidRPr="00842FD6">
        <w:rPr>
          <w:sz w:val="20"/>
        </w:rPr>
        <w:t>Th</w:t>
      </w:r>
      <w:r w:rsidR="000C7971" w:rsidRPr="00842FD6">
        <w:rPr>
          <w:sz w:val="20"/>
        </w:rPr>
        <w:t>e S1</w:t>
      </w:r>
      <w:r w:rsidR="000C7971" w:rsidRPr="00842FD6">
        <w:rPr>
          <w:rFonts w:ascii="Calibri" w:hAnsi="Calibri" w:cs="Calibri"/>
          <w:sz w:val="20"/>
        </w:rPr>
        <w:t>—</w:t>
      </w:r>
      <w:r w:rsidR="000C7971" w:rsidRPr="00842FD6">
        <w:rPr>
          <w:sz w:val="20"/>
        </w:rPr>
        <w:t>C8 and O1</w:t>
      </w:r>
      <w:r w:rsidR="000C7971" w:rsidRPr="00842FD6">
        <w:rPr>
          <w:rFonts w:ascii="Calibri" w:hAnsi="Calibri" w:cs="Calibri"/>
          <w:sz w:val="20"/>
        </w:rPr>
        <w:t>—</w:t>
      </w:r>
      <w:r w:rsidRPr="00842FD6">
        <w:rPr>
          <w:sz w:val="20"/>
        </w:rPr>
        <w:t xml:space="preserve">C7 in the compound showed a typical double bond character with bond lengths of 1.651(2) and 1.222(3) Ǻ </w:t>
      </w:r>
      <w:r w:rsidR="00842FD6" w:rsidRPr="00842FD6">
        <w:rPr>
          <w:sz w:val="20"/>
        </w:rPr>
        <w:t xml:space="preserve">respectively, </w:t>
      </w:r>
      <w:r w:rsidRPr="00842FD6">
        <w:rPr>
          <w:sz w:val="20"/>
        </w:rPr>
        <w:t xml:space="preserve">and </w:t>
      </w:r>
      <w:r w:rsidR="00842FD6" w:rsidRPr="00842FD6">
        <w:rPr>
          <w:sz w:val="20"/>
        </w:rPr>
        <w:t xml:space="preserve">are </w:t>
      </w:r>
      <w:r w:rsidRPr="00842FD6">
        <w:rPr>
          <w:sz w:val="20"/>
        </w:rPr>
        <w:t>comparable to other thiourea derivativ</w:t>
      </w:r>
      <w:r w:rsidR="00842FD6" w:rsidRPr="00842FD6">
        <w:rPr>
          <w:sz w:val="20"/>
        </w:rPr>
        <w:t xml:space="preserve">es [17,18]. All </w:t>
      </w:r>
      <w:r w:rsidR="00662DD4" w:rsidRPr="00842FD6">
        <w:rPr>
          <w:sz w:val="20"/>
        </w:rPr>
        <w:t>C-</w:t>
      </w:r>
      <w:r w:rsidR="00842FD6" w:rsidRPr="00842FD6">
        <w:rPr>
          <w:sz w:val="20"/>
        </w:rPr>
        <w:t xml:space="preserve">N </w:t>
      </w:r>
      <w:r w:rsidR="00662DD4" w:rsidRPr="00842FD6">
        <w:rPr>
          <w:sz w:val="20"/>
        </w:rPr>
        <w:t>bonds (N2</w:t>
      </w:r>
      <w:r w:rsidR="008870AF" w:rsidRPr="00842FD6">
        <w:rPr>
          <w:rFonts w:ascii="Calibri" w:hAnsi="Calibri" w:cs="Calibri"/>
          <w:sz w:val="20"/>
        </w:rPr>
        <w:t>—</w:t>
      </w:r>
      <w:r w:rsidR="008870AF" w:rsidRPr="00842FD6">
        <w:rPr>
          <w:sz w:val="20"/>
        </w:rPr>
        <w:t>C7, N2</w:t>
      </w:r>
      <w:r w:rsidR="008870AF" w:rsidRPr="00842FD6">
        <w:rPr>
          <w:rFonts w:ascii="Calibri" w:hAnsi="Calibri" w:cs="Calibri"/>
          <w:sz w:val="20"/>
        </w:rPr>
        <w:t>—</w:t>
      </w:r>
      <w:r w:rsidR="008870AF" w:rsidRPr="00842FD6">
        <w:rPr>
          <w:sz w:val="20"/>
        </w:rPr>
        <w:t>C8, N1</w:t>
      </w:r>
      <w:r w:rsidR="008870AF" w:rsidRPr="00842FD6">
        <w:rPr>
          <w:rFonts w:ascii="Calibri" w:hAnsi="Calibri" w:cs="Calibri"/>
          <w:sz w:val="20"/>
        </w:rPr>
        <w:t>—</w:t>
      </w:r>
      <w:r w:rsidR="008870AF" w:rsidRPr="00842FD6">
        <w:rPr>
          <w:sz w:val="20"/>
        </w:rPr>
        <w:t>C8 and N2</w:t>
      </w:r>
      <w:r w:rsidR="008870AF" w:rsidRPr="00842FD6">
        <w:rPr>
          <w:rFonts w:ascii="Calibri" w:hAnsi="Calibri" w:cs="Calibri"/>
          <w:sz w:val="20"/>
        </w:rPr>
        <w:t>—</w:t>
      </w:r>
      <w:r w:rsidR="00842FD6" w:rsidRPr="00842FD6">
        <w:rPr>
          <w:sz w:val="20"/>
        </w:rPr>
        <w:t>C14) in</w:t>
      </w:r>
      <w:r w:rsidRPr="00842FD6">
        <w:rPr>
          <w:sz w:val="20"/>
        </w:rPr>
        <w:t xml:space="preserve"> the thiourea fragments were in the range of 1.431(3) to 1.329(3) Ǻ, </w:t>
      </w:r>
      <w:r w:rsidR="00842FD6" w:rsidRPr="00842FD6">
        <w:rPr>
          <w:sz w:val="20"/>
        </w:rPr>
        <w:t xml:space="preserve">which are </w:t>
      </w:r>
      <w:r w:rsidRPr="00842FD6">
        <w:rPr>
          <w:sz w:val="20"/>
        </w:rPr>
        <w:t>an intermediate distance between those e</w:t>
      </w:r>
      <w:r w:rsidR="000C7971" w:rsidRPr="00842FD6">
        <w:rPr>
          <w:sz w:val="20"/>
        </w:rPr>
        <w:t>xpected for single and double C</w:t>
      </w:r>
      <w:r w:rsidRPr="00842FD6">
        <w:rPr>
          <w:sz w:val="20"/>
        </w:rPr>
        <w:t>N bonds (1.47 and 1.27 Ǻ, respectively). Among thes</w:t>
      </w:r>
      <w:r w:rsidR="000C7971" w:rsidRPr="00842FD6">
        <w:rPr>
          <w:sz w:val="20"/>
        </w:rPr>
        <w:t>e C</w:t>
      </w:r>
      <w:r w:rsidR="008870AF" w:rsidRPr="00842FD6">
        <w:rPr>
          <w:sz w:val="20"/>
        </w:rPr>
        <w:t>N bonds, we noticed that N2</w:t>
      </w:r>
      <w:r w:rsidR="008870AF" w:rsidRPr="00842FD6">
        <w:rPr>
          <w:rFonts w:ascii="Calibri" w:hAnsi="Calibri" w:cs="Calibri"/>
          <w:sz w:val="20"/>
        </w:rPr>
        <w:t>—</w:t>
      </w:r>
      <w:r w:rsidRPr="00842FD6">
        <w:rPr>
          <w:sz w:val="20"/>
        </w:rPr>
        <w:t>C14 was the longest bond, which indicated</w:t>
      </w:r>
      <w:r w:rsidR="00842FD6" w:rsidRPr="00842FD6">
        <w:rPr>
          <w:sz w:val="20"/>
        </w:rPr>
        <w:t xml:space="preserve"> a</w:t>
      </w:r>
      <w:r w:rsidRPr="00842FD6">
        <w:rPr>
          <w:sz w:val="20"/>
        </w:rPr>
        <w:t xml:space="preserve"> C</w:t>
      </w:r>
      <w:r w:rsidRPr="00842FD6">
        <w:rPr>
          <w:sz w:val="20"/>
          <w:vertAlign w:val="subscript"/>
        </w:rPr>
        <w:t>sp</w:t>
      </w:r>
      <w:r w:rsidRPr="00842FD6">
        <w:rPr>
          <w:sz w:val="20"/>
          <w:vertAlign w:val="superscript"/>
        </w:rPr>
        <w:t>2</w:t>
      </w:r>
      <w:r w:rsidRPr="00842FD6">
        <w:rPr>
          <w:sz w:val="20"/>
        </w:rPr>
        <w:t>-N</w:t>
      </w:r>
      <w:r w:rsidRPr="00842FD6">
        <w:rPr>
          <w:sz w:val="20"/>
          <w:vertAlign w:val="subscript"/>
        </w:rPr>
        <w:t>sp</w:t>
      </w:r>
      <w:r w:rsidRPr="00842FD6">
        <w:rPr>
          <w:sz w:val="20"/>
          <w:vertAlign w:val="superscript"/>
        </w:rPr>
        <w:t>2</w:t>
      </w:r>
      <w:r w:rsidRPr="00842FD6">
        <w:rPr>
          <w:sz w:val="20"/>
        </w:rPr>
        <w:t xml:space="preserve"> single bond w</w:t>
      </w:r>
      <w:r w:rsidR="008870AF" w:rsidRPr="00842FD6">
        <w:rPr>
          <w:sz w:val="20"/>
        </w:rPr>
        <w:t>hile N1</w:t>
      </w:r>
      <w:r w:rsidR="008870AF" w:rsidRPr="00842FD6">
        <w:rPr>
          <w:rFonts w:ascii="Calibri" w:hAnsi="Calibri" w:cs="Calibri"/>
          <w:sz w:val="20"/>
        </w:rPr>
        <w:t>—</w:t>
      </w:r>
      <w:r w:rsidRPr="00842FD6">
        <w:rPr>
          <w:sz w:val="20"/>
        </w:rPr>
        <w:t>C8 bond was the shortest bond with more double bond character.</w:t>
      </w:r>
      <w:r>
        <w:rPr>
          <w:sz w:val="20"/>
        </w:rPr>
        <w:t xml:space="preserve"> </w:t>
      </w:r>
    </w:p>
    <w:p w14:paraId="23A7A1FE" w14:textId="77777777" w:rsidR="000D33D1" w:rsidRDefault="000D33D1" w:rsidP="000D33D1">
      <w:pPr>
        <w:jc w:val="both"/>
        <w:rPr>
          <w:sz w:val="20"/>
        </w:rPr>
      </w:pPr>
    </w:p>
    <w:p w14:paraId="674FD34B" w14:textId="77777777" w:rsidR="000C7971" w:rsidRDefault="000D33D1" w:rsidP="000C7971">
      <w:pPr>
        <w:widowControl/>
        <w:suppressAutoHyphens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In the crystal structure of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-BT compound, there was an intramolecular hydrogen bond, N1―H1A···O1 resulting in the formation of a pseudo six-membered ring (N1/H1A/O1/C7/N</w:t>
      </w:r>
      <w:r w:rsidR="00842FD6">
        <w:rPr>
          <w:sz w:val="20"/>
        </w:rPr>
        <w:t>2/C8) in the molecule</w:t>
      </w:r>
      <w:r>
        <w:rPr>
          <w:sz w:val="20"/>
        </w:rPr>
        <w:t xml:space="preserve">. The present of the intramolecular hydrogen bond may contributed to the shift in the infrared signal of the C=O group and to a lesser extend to the 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H and </w:t>
      </w:r>
      <w:r>
        <w:rPr>
          <w:sz w:val="20"/>
          <w:vertAlign w:val="superscript"/>
        </w:rPr>
        <w:t>13</w:t>
      </w:r>
      <w:r>
        <w:rPr>
          <w:sz w:val="20"/>
        </w:rPr>
        <w:t>C signals of the compounds since the spectrum were collected in a solution phase.</w:t>
      </w:r>
    </w:p>
    <w:p w14:paraId="7C69CCB1" w14:textId="77777777" w:rsidR="00101D82" w:rsidRDefault="00101D82" w:rsidP="000C7971">
      <w:pPr>
        <w:widowControl/>
        <w:suppressAutoHyphens w:val="0"/>
        <w:autoSpaceDE w:val="0"/>
        <w:autoSpaceDN w:val="0"/>
        <w:adjustRightInd w:val="0"/>
        <w:jc w:val="both"/>
        <w:rPr>
          <w:sz w:val="20"/>
        </w:rPr>
      </w:pPr>
    </w:p>
    <w:p w14:paraId="01DEAA73" w14:textId="11474B2D" w:rsidR="000D33D1" w:rsidRDefault="00127C9D" w:rsidP="007B36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sz w:val="20"/>
        </w:rPr>
      </w:pPr>
      <w:r>
        <w:rPr>
          <w:b/>
          <w:sz w:val="20"/>
        </w:rPr>
        <w:t>Infrared s</w:t>
      </w:r>
      <w:r w:rsidR="000D33D1">
        <w:rPr>
          <w:b/>
          <w:sz w:val="20"/>
        </w:rPr>
        <w:t xml:space="preserve">pectra </w:t>
      </w:r>
    </w:p>
    <w:p w14:paraId="563DB2E7" w14:textId="77777777" w:rsidR="000D33D1" w:rsidRDefault="000D33D1" w:rsidP="000D33D1">
      <w:pPr>
        <w:jc w:val="both"/>
        <w:rPr>
          <w:sz w:val="20"/>
        </w:rPr>
      </w:pPr>
      <w:r>
        <w:rPr>
          <w:sz w:val="20"/>
        </w:rPr>
        <w:t>The inf</w:t>
      </w:r>
      <w:r w:rsidR="00BC5967">
        <w:rPr>
          <w:sz w:val="20"/>
        </w:rPr>
        <w:t xml:space="preserve">rared spectrum of </w:t>
      </w:r>
      <w:proofErr w:type="spellStart"/>
      <w:r w:rsidR="00BC5967">
        <w:rPr>
          <w:sz w:val="20"/>
        </w:rPr>
        <w:t>phen</w:t>
      </w:r>
      <w:proofErr w:type="spellEnd"/>
      <w:r w:rsidR="00BC5967">
        <w:rPr>
          <w:sz w:val="20"/>
        </w:rPr>
        <w:t xml:space="preserve">-BT </w:t>
      </w:r>
      <w:r w:rsidR="007E2BCC">
        <w:rPr>
          <w:sz w:val="20"/>
        </w:rPr>
        <w:t>is</w:t>
      </w:r>
      <w:r w:rsidR="00B87BC0">
        <w:rPr>
          <w:sz w:val="20"/>
        </w:rPr>
        <w:t xml:space="preserve"> shown in Figure 3 and </w:t>
      </w:r>
      <w:r w:rsidR="00291BAD">
        <w:rPr>
          <w:sz w:val="20"/>
        </w:rPr>
        <w:t xml:space="preserve">the characteristic </w:t>
      </w:r>
      <w:r>
        <w:rPr>
          <w:sz w:val="20"/>
        </w:rPr>
        <w:t xml:space="preserve">functional </w:t>
      </w:r>
      <w:r w:rsidR="008870AF">
        <w:rPr>
          <w:sz w:val="20"/>
        </w:rPr>
        <w:t>groups are</w:t>
      </w:r>
      <w:r w:rsidR="00BC5967">
        <w:rPr>
          <w:sz w:val="20"/>
        </w:rPr>
        <w:t xml:space="preserve"> </w:t>
      </w:r>
      <w:r>
        <w:rPr>
          <w:sz w:val="20"/>
        </w:rPr>
        <w:t>listed in Table 3. Generally, the IR spectrum of 1,10-phenanthroline moiety shows strong bands in the 1400-1650 cm</w:t>
      </w:r>
      <w:r>
        <w:rPr>
          <w:sz w:val="20"/>
          <w:vertAlign w:val="superscript"/>
        </w:rPr>
        <w:t>-1</w:t>
      </w:r>
      <w:r>
        <w:rPr>
          <w:sz w:val="20"/>
        </w:rPr>
        <w:t xml:space="preserve"> regions [19]. A band at around 1420 cm</w:t>
      </w:r>
      <w:r>
        <w:rPr>
          <w:sz w:val="20"/>
          <w:vertAlign w:val="superscript"/>
        </w:rPr>
        <w:t>-1</w:t>
      </w:r>
      <w:r>
        <w:rPr>
          <w:sz w:val="20"/>
        </w:rPr>
        <w:t xml:space="preserve"> exhibits the stretching frequency of ν(C-</w:t>
      </w:r>
      <w:proofErr w:type="spellStart"/>
      <w:r>
        <w:rPr>
          <w:sz w:val="20"/>
        </w:rPr>
        <w:t>N</w:t>
      </w:r>
      <w:r>
        <w:rPr>
          <w:sz w:val="20"/>
          <w:vertAlign w:val="subscript"/>
        </w:rPr>
        <w:t>phen</w:t>
      </w:r>
      <w:proofErr w:type="spellEnd"/>
      <w:r>
        <w:rPr>
          <w:sz w:val="20"/>
        </w:rPr>
        <w:t xml:space="preserve">), which indicates a highly delocalized electronic distribution in the thiourea moiety. </w:t>
      </w:r>
    </w:p>
    <w:p w14:paraId="18051972" w14:textId="77777777" w:rsidR="007E2BCC" w:rsidRDefault="007E2BCC" w:rsidP="000D33D1">
      <w:pPr>
        <w:jc w:val="both"/>
        <w:rPr>
          <w:sz w:val="20"/>
        </w:rPr>
      </w:pPr>
    </w:p>
    <w:p w14:paraId="16ADE682" w14:textId="77777777" w:rsidR="00B87BC0" w:rsidRDefault="000C0944" w:rsidP="0091438F">
      <w:pPr>
        <w:spacing w:after="240"/>
        <w:jc w:val="center"/>
        <w:rPr>
          <w:sz w:val="20"/>
        </w:rPr>
      </w:pPr>
      <w:r w:rsidRPr="000C0944">
        <w:rPr>
          <w:noProof/>
          <w:lang w:val="en-US" w:eastAsia="ko-KR"/>
        </w:rPr>
        <w:drawing>
          <wp:inline distT="0" distB="0" distL="0" distR="0" wp14:anchorId="329965CB" wp14:editId="37CEB4FF">
            <wp:extent cx="4318541" cy="3185160"/>
            <wp:effectExtent l="19050" t="19050" r="25400" b="152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371" cy="318577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70D6A1" w14:textId="77777777" w:rsidR="000D33D1" w:rsidRDefault="00B87BC0" w:rsidP="007E2BCC">
      <w:pPr>
        <w:jc w:val="center"/>
        <w:outlineLvl w:val="0"/>
        <w:rPr>
          <w:sz w:val="20"/>
        </w:rPr>
      </w:pPr>
      <w:r w:rsidRPr="00842FD6">
        <w:rPr>
          <w:sz w:val="20"/>
        </w:rPr>
        <w:t xml:space="preserve">Figure 3 The </w:t>
      </w:r>
      <w:proofErr w:type="spellStart"/>
      <w:r w:rsidRPr="00842FD6">
        <w:rPr>
          <w:sz w:val="20"/>
        </w:rPr>
        <w:t>infared</w:t>
      </w:r>
      <w:proofErr w:type="spellEnd"/>
      <w:r w:rsidRPr="00842FD6">
        <w:rPr>
          <w:sz w:val="20"/>
        </w:rPr>
        <w:t xml:space="preserve"> spectrum of </w:t>
      </w:r>
      <w:proofErr w:type="spellStart"/>
      <w:r w:rsidRPr="00842FD6">
        <w:rPr>
          <w:sz w:val="20"/>
        </w:rPr>
        <w:t>phen</w:t>
      </w:r>
      <w:proofErr w:type="spellEnd"/>
      <w:r w:rsidRPr="00842FD6">
        <w:rPr>
          <w:sz w:val="20"/>
        </w:rPr>
        <w:t>-BT</w:t>
      </w:r>
    </w:p>
    <w:p w14:paraId="0BE6AA52" w14:textId="77777777" w:rsidR="007E2BCC" w:rsidRDefault="007E2BCC" w:rsidP="007E2BCC">
      <w:pPr>
        <w:jc w:val="center"/>
        <w:outlineLvl w:val="0"/>
        <w:rPr>
          <w:sz w:val="20"/>
        </w:rPr>
      </w:pPr>
    </w:p>
    <w:p w14:paraId="2B20B85F" w14:textId="4FFEFE4C" w:rsidR="000D33D1" w:rsidRDefault="00127C9D" w:rsidP="00127C9D">
      <w:pPr>
        <w:spacing w:after="240"/>
        <w:ind w:left="851" w:hanging="851"/>
        <w:jc w:val="both"/>
        <w:rPr>
          <w:sz w:val="20"/>
        </w:rPr>
      </w:pPr>
      <w:r>
        <w:rPr>
          <w:sz w:val="20"/>
        </w:rPr>
        <w:t xml:space="preserve">Table 3. </w:t>
      </w:r>
      <w:r w:rsidR="000D33D1">
        <w:rPr>
          <w:sz w:val="20"/>
        </w:rPr>
        <w:t xml:space="preserve">The stretching frequencies of characteristic functional groups for </w:t>
      </w:r>
      <w:proofErr w:type="spellStart"/>
      <w:r w:rsidR="000D33D1">
        <w:rPr>
          <w:sz w:val="20"/>
        </w:rPr>
        <w:t>phen</w:t>
      </w:r>
      <w:proofErr w:type="spellEnd"/>
      <w:r w:rsidR="000D33D1">
        <w:rPr>
          <w:sz w:val="20"/>
        </w:rPr>
        <w:t xml:space="preserve">-BT, </w:t>
      </w:r>
      <w:proofErr w:type="spellStart"/>
      <w:r w:rsidR="000D33D1">
        <w:rPr>
          <w:sz w:val="20"/>
        </w:rPr>
        <w:t>phen</w:t>
      </w:r>
      <w:proofErr w:type="spellEnd"/>
      <w:r w:rsidR="000D33D1">
        <w:rPr>
          <w:sz w:val="20"/>
        </w:rPr>
        <w:t>-</w:t>
      </w:r>
      <w:r w:rsidR="000D33D1">
        <w:rPr>
          <w:i/>
          <w:sz w:val="20"/>
        </w:rPr>
        <w:t>o</w:t>
      </w:r>
      <w:r w:rsidR="000D33D1">
        <w:rPr>
          <w:sz w:val="20"/>
        </w:rPr>
        <w:t>-</w:t>
      </w:r>
      <w:proofErr w:type="spellStart"/>
      <w:r w:rsidR="000D33D1">
        <w:rPr>
          <w:sz w:val="20"/>
        </w:rPr>
        <w:t>BrBT</w:t>
      </w:r>
      <w:proofErr w:type="spellEnd"/>
      <w:r w:rsidR="000D33D1">
        <w:rPr>
          <w:sz w:val="20"/>
        </w:rPr>
        <w:t xml:space="preserve">, </w:t>
      </w:r>
      <w:proofErr w:type="spellStart"/>
      <w:r w:rsidR="000D33D1">
        <w:rPr>
          <w:sz w:val="20"/>
        </w:rPr>
        <w:t>phen</w:t>
      </w:r>
      <w:proofErr w:type="spellEnd"/>
      <w:r w:rsidR="000D33D1">
        <w:rPr>
          <w:sz w:val="20"/>
        </w:rPr>
        <w:t>-</w:t>
      </w:r>
      <w:r w:rsidR="000D33D1">
        <w:rPr>
          <w:i/>
          <w:sz w:val="20"/>
        </w:rPr>
        <w:t>m</w:t>
      </w:r>
      <w:r w:rsidR="000D33D1">
        <w:rPr>
          <w:sz w:val="20"/>
        </w:rPr>
        <w:t>-</w:t>
      </w:r>
      <w:proofErr w:type="spellStart"/>
      <w:r w:rsidR="000D33D1">
        <w:rPr>
          <w:sz w:val="20"/>
        </w:rPr>
        <w:t>BrBT</w:t>
      </w:r>
      <w:proofErr w:type="spellEnd"/>
      <w:r w:rsidR="000D33D1">
        <w:rPr>
          <w:sz w:val="20"/>
        </w:rPr>
        <w:t xml:space="preserve"> and </w:t>
      </w:r>
      <w:proofErr w:type="spellStart"/>
      <w:r w:rsidR="000D33D1">
        <w:rPr>
          <w:sz w:val="20"/>
        </w:rPr>
        <w:t>phen</w:t>
      </w:r>
      <w:proofErr w:type="spellEnd"/>
      <w:r w:rsidR="000D33D1">
        <w:rPr>
          <w:sz w:val="20"/>
        </w:rPr>
        <w:t>-</w:t>
      </w:r>
      <w:r w:rsidR="000D33D1">
        <w:rPr>
          <w:i/>
          <w:sz w:val="20"/>
        </w:rPr>
        <w:t>p</w:t>
      </w:r>
      <w:r w:rsidR="000D33D1">
        <w:rPr>
          <w:sz w:val="20"/>
        </w:rPr>
        <w:t>-</w:t>
      </w:r>
      <w:proofErr w:type="spellStart"/>
      <w:r w:rsidR="000D33D1">
        <w:rPr>
          <w:sz w:val="20"/>
        </w:rPr>
        <w:t>BrBT</w:t>
      </w:r>
      <w:proofErr w:type="spellEnd"/>
      <w:r w:rsidR="000D33D1">
        <w:rPr>
          <w:sz w:val="20"/>
        </w:rPr>
        <w:t xml:space="preserve"> compounds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8"/>
        <w:gridCol w:w="738"/>
        <w:gridCol w:w="1069"/>
        <w:gridCol w:w="852"/>
        <w:gridCol w:w="808"/>
      </w:tblGrid>
      <w:tr w:rsidR="000D33D1" w14:paraId="68DD4546" w14:textId="77777777" w:rsidTr="000D5CDF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4DF146" w14:textId="77777777" w:rsidR="000D33D1" w:rsidRDefault="000D33D1" w:rsidP="000D5CD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Compound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DDF53" w14:textId="77777777" w:rsidR="000D33D1" w:rsidRDefault="000D33D1" w:rsidP="000D5CDF">
            <w:pPr>
              <w:jc w:val="center"/>
              <w:rPr>
                <w:b/>
                <w:bCs/>
                <w:sz w:val="20"/>
                <w:vertAlign w:val="superscript"/>
              </w:rPr>
            </w:pPr>
            <w:r>
              <w:rPr>
                <w:b/>
                <w:bCs/>
                <w:sz w:val="20"/>
              </w:rPr>
              <w:t>IR spectrum (cm</w:t>
            </w:r>
            <w:r>
              <w:rPr>
                <w:b/>
                <w:bCs/>
                <w:sz w:val="20"/>
                <w:vertAlign w:val="superscript"/>
              </w:rPr>
              <w:t>-1)</w:t>
            </w:r>
          </w:p>
        </w:tc>
      </w:tr>
      <w:tr w:rsidR="000D33D1" w14:paraId="1A9A9D25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76B45" w14:textId="77777777" w:rsidR="000D33D1" w:rsidRDefault="000D33D1" w:rsidP="000D5CD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9AEB91" w14:textId="77777777" w:rsidR="000D33D1" w:rsidRDefault="000D33D1" w:rsidP="000D5CD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v</w:t>
            </w:r>
            <w:r>
              <w:rPr>
                <w:b/>
                <w:bCs/>
                <w:sz w:val="20"/>
              </w:rPr>
              <w:t>(NH)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BE7AD" w14:textId="77777777" w:rsidR="000D33D1" w:rsidRDefault="000D33D1" w:rsidP="000D5CD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v</w:t>
            </w:r>
            <w:r>
              <w:rPr>
                <w:b/>
                <w:bCs/>
                <w:sz w:val="20"/>
              </w:rPr>
              <w:t>(C-</w:t>
            </w:r>
            <w:proofErr w:type="spellStart"/>
            <w:r>
              <w:rPr>
                <w:b/>
                <w:bCs/>
                <w:sz w:val="20"/>
              </w:rPr>
              <w:t>N</w:t>
            </w:r>
            <w:r>
              <w:rPr>
                <w:b/>
                <w:bCs/>
                <w:sz w:val="20"/>
                <w:vertAlign w:val="subscript"/>
              </w:rPr>
              <w:t>phen</w:t>
            </w:r>
            <w:proofErr w:type="spellEnd"/>
            <w:r>
              <w:rPr>
                <w:b/>
                <w:bCs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03B510" w14:textId="77777777" w:rsidR="000D33D1" w:rsidRDefault="000D33D1" w:rsidP="000D5CD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v</w:t>
            </w:r>
            <w:r>
              <w:rPr>
                <w:b/>
                <w:bCs/>
                <w:sz w:val="20"/>
              </w:rPr>
              <w:t>(C=O)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5D8CB" w14:textId="77777777" w:rsidR="000D33D1" w:rsidRDefault="000D33D1" w:rsidP="000D5CD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v</w:t>
            </w:r>
            <w:r>
              <w:rPr>
                <w:b/>
                <w:bCs/>
                <w:sz w:val="20"/>
              </w:rPr>
              <w:t>(C=S)</w:t>
            </w:r>
          </w:p>
        </w:tc>
      </w:tr>
      <w:tr w:rsidR="000D33D1" w14:paraId="57D428D4" w14:textId="77777777" w:rsidTr="000D5CDF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8B4D2A" w14:textId="77777777" w:rsidR="000D33D1" w:rsidRDefault="000D33D1" w:rsidP="000D5CD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phen</w:t>
            </w:r>
            <w:proofErr w:type="spellEnd"/>
            <w:r>
              <w:rPr>
                <w:sz w:val="20"/>
              </w:rPr>
              <w:t>-BT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1C0AFD" w14:textId="77777777" w:rsidR="000D33D1" w:rsidRDefault="000D33D1" w:rsidP="000D5CDF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3332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DE77BB" w14:textId="77777777" w:rsidR="000D33D1" w:rsidRDefault="000D33D1" w:rsidP="000D5CDF">
            <w:pPr>
              <w:pStyle w:val="NoSpacing"/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A42962" w14:textId="77777777" w:rsidR="000D33D1" w:rsidRDefault="000D33D1" w:rsidP="000D5CDF">
            <w:pPr>
              <w:pStyle w:val="NoSpacing"/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D47689" w14:textId="77777777" w:rsidR="000D33D1" w:rsidRDefault="000D33D1" w:rsidP="000D5CDF">
            <w:pPr>
              <w:pStyle w:val="NoSpacing"/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1254</w:t>
            </w:r>
          </w:p>
        </w:tc>
      </w:tr>
      <w:tr w:rsidR="000D33D1" w14:paraId="05DC4DB5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2F3CAA" w14:textId="77777777" w:rsidR="000D33D1" w:rsidRDefault="000D33D1" w:rsidP="000D5CD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phen</w:t>
            </w:r>
            <w:proofErr w:type="spellEnd"/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o</w:t>
            </w: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BrBT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6EB9A" w14:textId="77777777" w:rsidR="000D33D1" w:rsidRDefault="000D33D1" w:rsidP="000D5CDF">
            <w:pPr>
              <w:pStyle w:val="NoSpacing"/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3513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91C02" w14:textId="77777777" w:rsidR="000D33D1" w:rsidRDefault="000D33D1" w:rsidP="000D5CDF">
            <w:pPr>
              <w:pStyle w:val="NoSpacing"/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44C62" w14:textId="77777777" w:rsidR="000D33D1" w:rsidRDefault="000D33D1" w:rsidP="000D5CDF">
            <w:pPr>
              <w:pStyle w:val="NoSpacing"/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33104" w14:textId="77777777" w:rsidR="000D33D1" w:rsidRDefault="000D33D1" w:rsidP="000D5CDF">
            <w:pPr>
              <w:pStyle w:val="NoSpacing"/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</w:t>
            </w:r>
          </w:p>
        </w:tc>
      </w:tr>
      <w:tr w:rsidR="000D33D1" w14:paraId="0470C171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9DD7EA" w14:textId="77777777" w:rsidR="000D33D1" w:rsidRDefault="000D33D1" w:rsidP="000D5CD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phen</w:t>
            </w:r>
            <w:proofErr w:type="spellEnd"/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m</w:t>
            </w: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BrBT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130EF" w14:textId="77777777" w:rsidR="000D33D1" w:rsidRDefault="000D33D1" w:rsidP="000D5CDF">
            <w:pPr>
              <w:pStyle w:val="NoSpacing"/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EFD4B" w14:textId="77777777" w:rsidR="000D33D1" w:rsidRDefault="000D33D1" w:rsidP="000D5CDF">
            <w:pPr>
              <w:pStyle w:val="NoSpacing"/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7F020" w14:textId="77777777" w:rsidR="000D33D1" w:rsidRDefault="000D33D1" w:rsidP="000D5CDF">
            <w:pPr>
              <w:pStyle w:val="NoSpacing"/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3D936" w14:textId="77777777" w:rsidR="000D33D1" w:rsidRDefault="000D33D1" w:rsidP="000D5CDF">
            <w:pPr>
              <w:pStyle w:val="NoSpacing"/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1251</w:t>
            </w:r>
          </w:p>
        </w:tc>
      </w:tr>
      <w:tr w:rsidR="000D33D1" w14:paraId="6308CFBA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B9B0D6" w14:textId="77777777" w:rsidR="000D33D1" w:rsidRDefault="000D33D1" w:rsidP="000D5CD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phen</w:t>
            </w:r>
            <w:proofErr w:type="spellEnd"/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p</w:t>
            </w: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BrBT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C20911" w14:textId="77777777" w:rsidR="000D33D1" w:rsidRDefault="000D33D1" w:rsidP="000D5CDF">
            <w:pPr>
              <w:pStyle w:val="NoSpacing"/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E28673" w14:textId="77777777" w:rsidR="000D33D1" w:rsidRDefault="000D33D1" w:rsidP="000D5CDF">
            <w:pPr>
              <w:pStyle w:val="NoSpacing"/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4CC93C" w14:textId="77777777" w:rsidR="000D33D1" w:rsidRDefault="000D33D1" w:rsidP="000D5CDF">
            <w:pPr>
              <w:pStyle w:val="NoSpacing"/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D0EC5F" w14:textId="77777777" w:rsidR="000D33D1" w:rsidRDefault="000D33D1" w:rsidP="000D5CDF">
            <w:pPr>
              <w:pStyle w:val="NoSpacing"/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</w:t>
            </w:r>
          </w:p>
        </w:tc>
      </w:tr>
    </w:tbl>
    <w:p w14:paraId="6415FCE4" w14:textId="292A1F49" w:rsidR="000D33D1" w:rsidRDefault="00127C9D" w:rsidP="000D33D1">
      <w:pPr>
        <w:jc w:val="center"/>
        <w:rPr>
          <w:sz w:val="20"/>
        </w:rPr>
      </w:pPr>
      <w:r>
        <w:rPr>
          <w:sz w:val="20"/>
        </w:rPr>
        <w:t xml:space="preserve"> </w:t>
      </w:r>
    </w:p>
    <w:p w14:paraId="3A93AD5E" w14:textId="77777777" w:rsidR="000D33D1" w:rsidRDefault="000D33D1" w:rsidP="000D33D1">
      <w:pPr>
        <w:jc w:val="both"/>
        <w:rPr>
          <w:sz w:val="20"/>
        </w:rPr>
      </w:pPr>
      <w:r>
        <w:rPr>
          <w:sz w:val="20"/>
        </w:rPr>
        <w:lastRenderedPageBreak/>
        <w:t xml:space="preserve">It is important to note the disappearance of </w:t>
      </w:r>
      <w:r>
        <w:rPr>
          <w:i/>
          <w:sz w:val="20"/>
        </w:rPr>
        <w:t>ν</w:t>
      </w:r>
      <w:r>
        <w:rPr>
          <w:sz w:val="20"/>
        </w:rPr>
        <w:t>(NH</w:t>
      </w:r>
      <w:r>
        <w:rPr>
          <w:sz w:val="20"/>
          <w:vertAlign w:val="subscript"/>
        </w:rPr>
        <w:t>2</w:t>
      </w:r>
      <w:r>
        <w:rPr>
          <w:sz w:val="20"/>
        </w:rPr>
        <w:t xml:space="preserve">) stretching frequency of the amine group and the appearance of </w:t>
      </w:r>
      <w:r>
        <w:rPr>
          <w:i/>
          <w:sz w:val="20"/>
        </w:rPr>
        <w:t>ν</w:t>
      </w:r>
      <w:r>
        <w:rPr>
          <w:sz w:val="20"/>
        </w:rPr>
        <w:t>(NH) stretching band at 3332, 3513, 3513 and 3596 cm</w:t>
      </w:r>
      <w:r>
        <w:rPr>
          <w:sz w:val="20"/>
          <w:vertAlign w:val="superscript"/>
        </w:rPr>
        <w:t>-1</w:t>
      </w:r>
      <w:r>
        <w:rPr>
          <w:sz w:val="20"/>
        </w:rPr>
        <w:t xml:space="preserve"> in the spectra of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 xml:space="preserve">-BT,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o-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m-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p-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, respectively. The later band is an important indicator for the formation of the </w:t>
      </w:r>
      <w:r>
        <w:rPr>
          <w:i/>
          <w:sz w:val="20"/>
        </w:rPr>
        <w:t>N</w:t>
      </w:r>
      <w:r>
        <w:rPr>
          <w:sz w:val="20"/>
        </w:rPr>
        <w:t>-</w:t>
      </w:r>
      <w:proofErr w:type="spellStart"/>
      <w:r>
        <w:rPr>
          <w:sz w:val="20"/>
        </w:rPr>
        <w:t>bromobenzoyl</w:t>
      </w:r>
      <w:proofErr w:type="spellEnd"/>
      <w:r>
        <w:rPr>
          <w:sz w:val="20"/>
        </w:rPr>
        <w:t>-</w:t>
      </w:r>
      <w:r>
        <w:rPr>
          <w:i/>
          <w:sz w:val="20"/>
        </w:rPr>
        <w:t>N</w:t>
      </w:r>
      <w:r>
        <w:rPr>
          <w:sz w:val="20"/>
        </w:rPr>
        <w:t>'-(1,10-phenanthrolin-5-yl)thiourea molecules. In addition, bands at 3521-3599 cm</w:t>
      </w:r>
      <w:r>
        <w:rPr>
          <w:sz w:val="20"/>
          <w:vertAlign w:val="superscript"/>
        </w:rPr>
        <w:t xml:space="preserve">-1 </w:t>
      </w:r>
      <w:r>
        <w:rPr>
          <w:sz w:val="20"/>
        </w:rPr>
        <w:t xml:space="preserve">regions indicate the asymmetric and symmetric vibrations frequencies for (N-H) of the secondary </w:t>
      </w:r>
      <w:proofErr w:type="spellStart"/>
      <w:r>
        <w:rPr>
          <w:sz w:val="20"/>
        </w:rPr>
        <w:t>thioamide</w:t>
      </w:r>
      <w:proofErr w:type="spellEnd"/>
      <w:r>
        <w:rPr>
          <w:sz w:val="20"/>
        </w:rPr>
        <w:t xml:space="preserve"> group.</w:t>
      </w:r>
    </w:p>
    <w:p w14:paraId="4E6EB043" w14:textId="77777777" w:rsidR="000D33D1" w:rsidRDefault="000D33D1" w:rsidP="000D33D1">
      <w:pPr>
        <w:jc w:val="both"/>
        <w:rPr>
          <w:sz w:val="20"/>
        </w:rPr>
      </w:pPr>
    </w:p>
    <w:p w14:paraId="076CCE43" w14:textId="77777777" w:rsidR="000D33D1" w:rsidRDefault="000D33D1" w:rsidP="000D33D1">
      <w:pPr>
        <w:jc w:val="both"/>
        <w:rPr>
          <w:sz w:val="20"/>
        </w:rPr>
      </w:pPr>
      <w:r>
        <w:rPr>
          <w:sz w:val="20"/>
        </w:rPr>
        <w:t>A strong band at 1672-1700 cm</w:t>
      </w:r>
      <w:r>
        <w:rPr>
          <w:sz w:val="20"/>
          <w:vertAlign w:val="superscript"/>
        </w:rPr>
        <w:t xml:space="preserve">-1 </w:t>
      </w:r>
      <w:r>
        <w:rPr>
          <w:sz w:val="20"/>
        </w:rPr>
        <w:t>was ascribed to the stretching vibration of the C=O group. The wavelength for the C=O band decreases by &gt;20 cm</w:t>
      </w:r>
      <w:r>
        <w:rPr>
          <w:sz w:val="20"/>
          <w:vertAlign w:val="superscript"/>
        </w:rPr>
        <w:t>-1</w:t>
      </w:r>
      <w:r>
        <w:rPr>
          <w:sz w:val="20"/>
        </w:rPr>
        <w:t xml:space="preserve"> due to a more delocalised electronic distribution across the structural geometry and the presence of an intramolecular hydrogen bonding between the O atom of the C=O group with N-H as suggested by the X-ray crystal structure [20]. Furthermore, </w:t>
      </w:r>
      <w:r>
        <w:rPr>
          <w:rFonts w:eastAsia="Arial Unicode MS"/>
          <w:sz w:val="20"/>
          <w:shd w:val="clear" w:color="auto" w:fill="FFFFFF"/>
        </w:rPr>
        <w:t xml:space="preserve">the presence of </w:t>
      </w:r>
      <w:proofErr w:type="spellStart"/>
      <w:r>
        <w:rPr>
          <w:rFonts w:eastAsia="Arial Unicode MS"/>
          <w:sz w:val="20"/>
          <w:shd w:val="clear" w:color="auto" w:fill="FFFFFF"/>
        </w:rPr>
        <w:t>bromo</w:t>
      </w:r>
      <w:proofErr w:type="spellEnd"/>
      <w:r>
        <w:rPr>
          <w:rFonts w:eastAsia="Arial Unicode MS"/>
          <w:sz w:val="20"/>
          <w:shd w:val="clear" w:color="auto" w:fill="FFFFFF"/>
        </w:rPr>
        <w:t xml:space="preserve"> atom as an electron-withdrawing group at the benzoyl moiety has weakened the C=O bond. Halogen atom with high electronegativity such as bromine is capable of reducing the electron density of the benzene ring and hence, has indirectly affected the neighbouring C=O group.</w:t>
      </w:r>
    </w:p>
    <w:p w14:paraId="7431A499" w14:textId="77777777" w:rsidR="000D33D1" w:rsidRDefault="000D33D1" w:rsidP="000D33D1">
      <w:pPr>
        <w:jc w:val="both"/>
        <w:rPr>
          <w:sz w:val="20"/>
        </w:rPr>
      </w:pPr>
    </w:p>
    <w:p w14:paraId="2F846DA1" w14:textId="77270230" w:rsidR="000D33D1" w:rsidRDefault="00127C9D" w:rsidP="007B3641">
      <w:pPr>
        <w:outlineLvl w:val="0"/>
        <w:rPr>
          <w:sz w:val="20"/>
        </w:rPr>
      </w:pPr>
      <w:r>
        <w:rPr>
          <w:b/>
          <w:sz w:val="20"/>
        </w:rPr>
        <w:t>Ultraviolet-visible s</w:t>
      </w:r>
      <w:r w:rsidR="000D33D1">
        <w:rPr>
          <w:b/>
          <w:sz w:val="20"/>
        </w:rPr>
        <w:t>pectra</w:t>
      </w:r>
    </w:p>
    <w:p w14:paraId="066E90A2" w14:textId="77777777" w:rsidR="000D33D1" w:rsidRDefault="000D33D1" w:rsidP="000D33D1">
      <w:pPr>
        <w:jc w:val="both"/>
        <w:rPr>
          <w:sz w:val="20"/>
        </w:rPr>
      </w:pPr>
      <w:r>
        <w:rPr>
          <w:sz w:val="20"/>
        </w:rPr>
        <w:t xml:space="preserve">The UV absorption spectra of the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 xml:space="preserve">-BT,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o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m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p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 w:rsidR="00B87BC0">
        <w:rPr>
          <w:sz w:val="20"/>
        </w:rPr>
        <w:t xml:space="preserve"> compounds are shown in Figure 4</w:t>
      </w:r>
      <w:r>
        <w:rPr>
          <w:sz w:val="20"/>
        </w:rPr>
        <w:t xml:space="preserve"> and the data is collected in Table 4. The ligands display two strong absorption bands in the ultra-violent region with absorption maxima at 231 (</w:t>
      </w:r>
      <w:r>
        <w:rPr>
          <w:rFonts w:asciiTheme="minorEastAsia" w:eastAsiaTheme="minorEastAsia" w:hAnsiTheme="minorEastAsia" w:cstheme="minorEastAsia" w:hint="eastAsia"/>
          <w:sz w:val="20"/>
          <w:lang w:val="ms-MY" w:eastAsia="zh-CN"/>
        </w:rPr>
        <w:t>ε</w:t>
      </w:r>
      <w:r>
        <w:rPr>
          <w:rFonts w:eastAsiaTheme="minorEastAsia"/>
          <w:sz w:val="20"/>
          <w:lang w:val="ms-MY" w:eastAsia="zh-CN"/>
        </w:rPr>
        <w:t xml:space="preserve">= </w:t>
      </w:r>
      <w:r>
        <w:rPr>
          <w:sz w:val="20"/>
        </w:rPr>
        <w:t>54,795</w:t>
      </w:r>
      <w:r>
        <w:rPr>
          <w:rFonts w:eastAsiaTheme="minorEastAsia"/>
          <w:sz w:val="20"/>
          <w:lang w:val="ms-MY" w:eastAsia="zh-CN"/>
        </w:rPr>
        <w:t>-</w:t>
      </w:r>
      <w:r>
        <w:rPr>
          <w:sz w:val="20"/>
        </w:rPr>
        <w:t xml:space="preserve">61,870 </w:t>
      </w:r>
      <w:r>
        <w:rPr>
          <w:rFonts w:eastAsiaTheme="minorEastAsia"/>
          <w:sz w:val="20"/>
          <w:lang w:val="ms-MY" w:eastAsia="zh-CN"/>
        </w:rPr>
        <w:t>Lmol</w:t>
      </w:r>
      <w:r>
        <w:rPr>
          <w:rFonts w:eastAsiaTheme="minorEastAsia"/>
          <w:sz w:val="20"/>
          <w:vertAlign w:val="superscript"/>
          <w:lang w:val="ms-MY" w:eastAsia="zh-CN"/>
        </w:rPr>
        <w:t>-1</w:t>
      </w:r>
      <w:r>
        <w:rPr>
          <w:rFonts w:eastAsiaTheme="minorEastAsia"/>
          <w:sz w:val="20"/>
          <w:lang w:val="ms-MY" w:eastAsia="zh-CN"/>
        </w:rPr>
        <w:t>cm</w:t>
      </w:r>
      <w:r>
        <w:rPr>
          <w:rFonts w:eastAsiaTheme="minorEastAsia"/>
          <w:sz w:val="20"/>
          <w:vertAlign w:val="superscript"/>
          <w:lang w:val="ms-MY" w:eastAsia="zh-CN"/>
        </w:rPr>
        <w:t>-1</w:t>
      </w:r>
      <w:r>
        <w:rPr>
          <w:rFonts w:eastAsiaTheme="minorEastAsia"/>
          <w:sz w:val="20"/>
          <w:lang w:val="ms-MY" w:eastAsia="zh-CN"/>
        </w:rPr>
        <w:t xml:space="preserve">) </w:t>
      </w:r>
      <w:proofErr w:type="spellStart"/>
      <w:r>
        <w:rPr>
          <w:rFonts w:eastAsiaTheme="minorEastAsia"/>
          <w:sz w:val="20"/>
          <w:lang w:val="ms-MY" w:eastAsia="zh-CN"/>
        </w:rPr>
        <w:t>and</w:t>
      </w:r>
      <w:proofErr w:type="spellEnd"/>
      <w:r>
        <w:rPr>
          <w:rFonts w:eastAsiaTheme="minorEastAsia"/>
          <w:sz w:val="20"/>
          <w:lang w:val="ms-MY" w:eastAsia="zh-CN"/>
        </w:rPr>
        <w:t xml:space="preserve"> 269-270 </w:t>
      </w:r>
      <w:proofErr w:type="spellStart"/>
      <w:r>
        <w:rPr>
          <w:rFonts w:eastAsiaTheme="minorEastAsia"/>
          <w:sz w:val="20"/>
          <w:lang w:val="ms-MY" w:eastAsia="zh-CN"/>
        </w:rPr>
        <w:t>nm</w:t>
      </w:r>
      <w:proofErr w:type="spellEnd"/>
      <w:r>
        <w:rPr>
          <w:rFonts w:eastAsiaTheme="minorEastAsia"/>
          <w:sz w:val="20"/>
          <w:lang w:val="ms-MY" w:eastAsia="zh-CN"/>
        </w:rPr>
        <w:t xml:space="preserve"> (</w:t>
      </w:r>
      <w:r>
        <w:rPr>
          <w:rFonts w:eastAsiaTheme="minorEastAsia" w:hint="eastAsia"/>
          <w:sz w:val="20"/>
          <w:lang w:val="ms-MY" w:eastAsia="zh-CN"/>
        </w:rPr>
        <w:t>ε</w:t>
      </w:r>
      <w:r>
        <w:rPr>
          <w:rFonts w:eastAsiaTheme="minorEastAsia"/>
          <w:sz w:val="20"/>
          <w:lang w:val="ms-MY" w:eastAsia="zh-CN"/>
        </w:rPr>
        <w:t xml:space="preserve">= </w:t>
      </w:r>
      <w:r>
        <w:rPr>
          <w:sz w:val="20"/>
        </w:rPr>
        <w:t>36,711</w:t>
      </w:r>
      <w:r>
        <w:rPr>
          <w:rFonts w:eastAsiaTheme="minorEastAsia"/>
          <w:sz w:val="20"/>
          <w:lang w:val="ms-MY" w:eastAsia="zh-CN"/>
        </w:rPr>
        <w:t>-</w:t>
      </w:r>
      <w:r>
        <w:rPr>
          <w:sz w:val="20"/>
        </w:rPr>
        <w:t xml:space="preserve">57,513 </w:t>
      </w:r>
      <w:r>
        <w:rPr>
          <w:rFonts w:eastAsiaTheme="minorEastAsia"/>
          <w:sz w:val="20"/>
          <w:lang w:val="ms-MY" w:eastAsia="zh-CN"/>
        </w:rPr>
        <w:t>Lmol</w:t>
      </w:r>
      <w:r>
        <w:rPr>
          <w:rFonts w:eastAsiaTheme="minorEastAsia"/>
          <w:sz w:val="20"/>
          <w:vertAlign w:val="superscript"/>
          <w:lang w:val="ms-MY" w:eastAsia="zh-CN"/>
        </w:rPr>
        <w:t>-1</w:t>
      </w:r>
      <w:r>
        <w:rPr>
          <w:rFonts w:eastAsiaTheme="minorEastAsia"/>
          <w:sz w:val="20"/>
          <w:lang w:val="ms-MY" w:eastAsia="zh-CN"/>
        </w:rPr>
        <w:t>cm</w:t>
      </w:r>
      <w:r>
        <w:rPr>
          <w:rFonts w:eastAsiaTheme="minorEastAsia"/>
          <w:sz w:val="20"/>
          <w:vertAlign w:val="superscript"/>
          <w:lang w:val="ms-MY" w:eastAsia="zh-CN"/>
        </w:rPr>
        <w:t>-1</w:t>
      </w:r>
      <w:r>
        <w:rPr>
          <w:rFonts w:eastAsiaTheme="minorEastAsia"/>
          <w:sz w:val="20"/>
          <w:lang w:val="ms-MY" w:eastAsia="zh-CN"/>
        </w:rPr>
        <w:t xml:space="preserve">) </w:t>
      </w:r>
      <w:proofErr w:type="spellStart"/>
      <w:r>
        <w:rPr>
          <w:rFonts w:eastAsiaTheme="minorEastAsia"/>
          <w:sz w:val="20"/>
          <w:lang w:val="ms-MY" w:eastAsia="zh-CN"/>
        </w:rPr>
        <w:t>that</w:t>
      </w:r>
      <w:proofErr w:type="spellEnd"/>
      <w:r>
        <w:rPr>
          <w:rFonts w:eastAsiaTheme="minorEastAsia"/>
          <w:sz w:val="20"/>
          <w:lang w:val="ms-MY" w:eastAsia="zh-CN"/>
        </w:rPr>
        <w:t xml:space="preserve"> can </w:t>
      </w:r>
      <w:proofErr w:type="spellStart"/>
      <w:r>
        <w:rPr>
          <w:rFonts w:eastAsiaTheme="minorEastAsia"/>
          <w:sz w:val="20"/>
          <w:lang w:val="ms-MY" w:eastAsia="zh-CN"/>
        </w:rPr>
        <w:t>be</w:t>
      </w:r>
      <w:proofErr w:type="spellEnd"/>
      <w:r>
        <w:rPr>
          <w:rFonts w:eastAsiaTheme="minorEastAsia"/>
          <w:sz w:val="20"/>
          <w:lang w:val="ms-MY" w:eastAsia="zh-CN"/>
        </w:rPr>
        <w:t xml:space="preserve"> </w:t>
      </w:r>
      <w:proofErr w:type="spellStart"/>
      <w:r>
        <w:rPr>
          <w:rFonts w:eastAsiaTheme="minorEastAsia"/>
          <w:sz w:val="20"/>
          <w:lang w:val="ms-MY" w:eastAsia="zh-CN"/>
        </w:rPr>
        <w:t>attributed</w:t>
      </w:r>
      <w:proofErr w:type="spellEnd"/>
      <w:r>
        <w:rPr>
          <w:rFonts w:eastAsiaTheme="minorEastAsia"/>
          <w:sz w:val="20"/>
          <w:lang w:val="ms-MY"/>
        </w:rPr>
        <w:t xml:space="preserve"> </w:t>
      </w:r>
      <w:proofErr w:type="spellStart"/>
      <w:r>
        <w:rPr>
          <w:rFonts w:eastAsiaTheme="minorEastAsia"/>
          <w:sz w:val="20"/>
          <w:lang w:val="ms-MY"/>
        </w:rPr>
        <w:t>to</w:t>
      </w:r>
      <w:proofErr w:type="spellEnd"/>
      <w:r>
        <w:rPr>
          <w:rFonts w:eastAsiaTheme="minorEastAsia"/>
          <w:sz w:val="20"/>
          <w:lang w:val="ms-MY"/>
        </w:rPr>
        <w:t xml:space="preserve"> </w:t>
      </w:r>
      <w:proofErr w:type="spellStart"/>
      <w:r>
        <w:rPr>
          <w:rFonts w:eastAsiaTheme="minorEastAsia"/>
          <w:sz w:val="20"/>
          <w:lang w:val="ms-MY"/>
        </w:rPr>
        <w:t>the</w:t>
      </w:r>
      <w:proofErr w:type="spellEnd"/>
      <w:r>
        <w:rPr>
          <w:rFonts w:eastAsiaTheme="minorEastAsia"/>
          <w:sz w:val="20"/>
          <w:lang w:val="ms-MY"/>
        </w:rPr>
        <w:t xml:space="preserve"> </w:t>
      </w:r>
      <w:r>
        <w:rPr>
          <w:sz w:val="20"/>
        </w:rPr>
        <w:t>π→π* ligand-centred (LC) transitions.</w:t>
      </w:r>
    </w:p>
    <w:p w14:paraId="5AAF53D8" w14:textId="77777777" w:rsidR="000D33D1" w:rsidRDefault="000D33D1" w:rsidP="000D33D1">
      <w:pPr>
        <w:jc w:val="both"/>
        <w:rPr>
          <w:sz w:val="20"/>
        </w:rPr>
      </w:pPr>
    </w:p>
    <w:p w14:paraId="133059C4" w14:textId="77777777" w:rsidR="000D33D1" w:rsidRDefault="000C0944" w:rsidP="000D33D1">
      <w:pPr>
        <w:jc w:val="center"/>
        <w:rPr>
          <w:sz w:val="20"/>
        </w:rPr>
      </w:pPr>
      <w:r w:rsidRPr="000C0944">
        <w:rPr>
          <w:noProof/>
          <w:lang w:val="en-US" w:eastAsia="ko-KR"/>
        </w:rPr>
        <w:drawing>
          <wp:inline distT="0" distB="0" distL="0" distR="0" wp14:anchorId="39A4FAFA" wp14:editId="4A3D547E">
            <wp:extent cx="4318195" cy="2745957"/>
            <wp:effectExtent l="19050" t="19050" r="25400" b="1651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195" cy="27459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F074F1" w14:textId="59CD6010" w:rsidR="000D33D1" w:rsidRDefault="00B87BC0" w:rsidP="00127C9D">
      <w:pPr>
        <w:spacing w:before="240"/>
        <w:ind w:left="851" w:hanging="851"/>
        <w:jc w:val="both"/>
        <w:rPr>
          <w:sz w:val="20"/>
        </w:rPr>
      </w:pPr>
      <w:r>
        <w:rPr>
          <w:sz w:val="20"/>
        </w:rPr>
        <w:t>Figure 4</w:t>
      </w:r>
      <w:r w:rsidR="00127C9D">
        <w:rPr>
          <w:sz w:val="20"/>
        </w:rPr>
        <w:t xml:space="preserve">. </w:t>
      </w:r>
      <w:r w:rsidR="000D33D1">
        <w:rPr>
          <w:sz w:val="20"/>
        </w:rPr>
        <w:t xml:space="preserve">The electronic absorption spectra of </w:t>
      </w:r>
      <w:r w:rsidR="000D33D1">
        <w:rPr>
          <w:i/>
          <w:sz w:val="20"/>
        </w:rPr>
        <w:t>N</w:t>
      </w:r>
      <w:r w:rsidR="000D33D1">
        <w:rPr>
          <w:sz w:val="20"/>
        </w:rPr>
        <w:t>-</w:t>
      </w:r>
      <w:proofErr w:type="spellStart"/>
      <w:r w:rsidR="000D33D1">
        <w:rPr>
          <w:sz w:val="20"/>
        </w:rPr>
        <w:t>bromobenzoyl</w:t>
      </w:r>
      <w:proofErr w:type="spellEnd"/>
      <w:r w:rsidR="000D33D1">
        <w:rPr>
          <w:sz w:val="20"/>
        </w:rPr>
        <w:t>-</w:t>
      </w:r>
      <w:r w:rsidR="000D33D1">
        <w:rPr>
          <w:i/>
          <w:sz w:val="20"/>
        </w:rPr>
        <w:t>N</w:t>
      </w:r>
      <w:r w:rsidR="00C91316">
        <w:rPr>
          <w:sz w:val="20"/>
        </w:rPr>
        <w:t>'-(1,10-phenanthrolin-5-yl)</w:t>
      </w:r>
      <w:r w:rsidR="000D33D1">
        <w:rPr>
          <w:sz w:val="20"/>
        </w:rPr>
        <w:t xml:space="preserve">thiourea derivatives in acetonitrile </w:t>
      </w:r>
    </w:p>
    <w:p w14:paraId="63C318FE" w14:textId="77777777" w:rsidR="000D33D1" w:rsidRDefault="000D33D1" w:rsidP="000D33D1">
      <w:pPr>
        <w:jc w:val="center"/>
        <w:rPr>
          <w:sz w:val="20"/>
        </w:rPr>
      </w:pPr>
    </w:p>
    <w:p w14:paraId="4EA2A123" w14:textId="77777777" w:rsidR="000D33D1" w:rsidRPr="00555106" w:rsidRDefault="000D33D1" w:rsidP="000D33D1">
      <w:pPr>
        <w:jc w:val="both"/>
        <w:rPr>
          <w:sz w:val="20"/>
        </w:rPr>
      </w:pPr>
      <w:r w:rsidRPr="00555106">
        <w:rPr>
          <w:sz w:val="20"/>
        </w:rPr>
        <w:t xml:space="preserve">The intensity of </w:t>
      </w:r>
      <w:proofErr w:type="spellStart"/>
      <w:r w:rsidRPr="00555106">
        <w:rPr>
          <w:sz w:val="20"/>
        </w:rPr>
        <w:t>phen</w:t>
      </w:r>
      <w:proofErr w:type="spellEnd"/>
      <w:r w:rsidRPr="00555106">
        <w:rPr>
          <w:sz w:val="20"/>
        </w:rPr>
        <w:t>-</w:t>
      </w:r>
      <w:r w:rsidRPr="00555106">
        <w:rPr>
          <w:i/>
          <w:iCs/>
          <w:sz w:val="20"/>
        </w:rPr>
        <w:t>p</w:t>
      </w:r>
      <w:r w:rsidRPr="00555106">
        <w:rPr>
          <w:sz w:val="20"/>
        </w:rPr>
        <w:t>-</w:t>
      </w:r>
      <w:proofErr w:type="spellStart"/>
      <w:r w:rsidRPr="00555106">
        <w:rPr>
          <w:sz w:val="20"/>
        </w:rPr>
        <w:t>BrBT</w:t>
      </w:r>
      <w:proofErr w:type="spellEnd"/>
      <w:r w:rsidRPr="00555106">
        <w:rPr>
          <w:sz w:val="20"/>
        </w:rPr>
        <w:t xml:space="preserve"> absorption band appears th</w:t>
      </w:r>
      <w:r>
        <w:rPr>
          <w:sz w:val="20"/>
        </w:rPr>
        <w:t xml:space="preserve">e highest compared to </w:t>
      </w:r>
      <w:proofErr w:type="spellStart"/>
      <w:r w:rsidRPr="00555106">
        <w:rPr>
          <w:sz w:val="20"/>
        </w:rPr>
        <w:t>phen</w:t>
      </w:r>
      <w:proofErr w:type="spellEnd"/>
      <w:r w:rsidRPr="00555106">
        <w:rPr>
          <w:sz w:val="20"/>
        </w:rPr>
        <w:t>-</w:t>
      </w:r>
      <w:r w:rsidRPr="00555106">
        <w:rPr>
          <w:i/>
          <w:iCs/>
          <w:sz w:val="20"/>
        </w:rPr>
        <w:t>m</w:t>
      </w:r>
      <w:r w:rsidRPr="00555106">
        <w:rPr>
          <w:sz w:val="20"/>
        </w:rPr>
        <w:t>-</w:t>
      </w:r>
      <w:proofErr w:type="spellStart"/>
      <w:r w:rsidRPr="00555106">
        <w:rPr>
          <w:sz w:val="20"/>
        </w:rPr>
        <w:t>BrBT</w:t>
      </w:r>
      <w:proofErr w:type="spellEnd"/>
      <w:r w:rsidRPr="00555106">
        <w:rPr>
          <w:sz w:val="20"/>
        </w:rPr>
        <w:t xml:space="preserve"> and </w:t>
      </w:r>
      <w:proofErr w:type="spellStart"/>
      <w:r w:rsidRPr="00555106">
        <w:rPr>
          <w:sz w:val="20"/>
        </w:rPr>
        <w:t>phen</w:t>
      </w:r>
      <w:proofErr w:type="spellEnd"/>
      <w:r w:rsidRPr="00555106">
        <w:rPr>
          <w:sz w:val="20"/>
        </w:rPr>
        <w:t>-</w:t>
      </w:r>
      <w:r w:rsidRPr="00555106">
        <w:rPr>
          <w:i/>
          <w:iCs/>
          <w:sz w:val="20"/>
        </w:rPr>
        <w:t>o</w:t>
      </w:r>
      <w:r w:rsidRPr="00555106">
        <w:rPr>
          <w:sz w:val="20"/>
        </w:rPr>
        <w:t>-</w:t>
      </w:r>
      <w:proofErr w:type="spellStart"/>
      <w:r w:rsidRPr="00555106">
        <w:rPr>
          <w:sz w:val="20"/>
        </w:rPr>
        <w:t>BrBT</w:t>
      </w:r>
      <w:proofErr w:type="spellEnd"/>
      <w:r w:rsidRPr="00555106">
        <w:rPr>
          <w:sz w:val="20"/>
        </w:rPr>
        <w:t xml:space="preserve">. In addition, there is no significant change in the energy of the electronic absorption bands compared with the substituted </w:t>
      </w:r>
      <w:proofErr w:type="spellStart"/>
      <w:r w:rsidRPr="00555106">
        <w:rPr>
          <w:sz w:val="20"/>
        </w:rPr>
        <w:t>phen</w:t>
      </w:r>
      <w:proofErr w:type="spellEnd"/>
      <w:r w:rsidRPr="00555106">
        <w:rPr>
          <w:sz w:val="20"/>
        </w:rPr>
        <w:t xml:space="preserve">-BT. However, the </w:t>
      </w:r>
      <w:proofErr w:type="spellStart"/>
      <w:r w:rsidRPr="00555106">
        <w:rPr>
          <w:sz w:val="20"/>
        </w:rPr>
        <w:t>bromo</w:t>
      </w:r>
      <w:proofErr w:type="spellEnd"/>
      <w:r w:rsidRPr="00555106">
        <w:rPr>
          <w:sz w:val="20"/>
        </w:rPr>
        <w:t xml:space="preserve">-substituent in the </w:t>
      </w:r>
      <w:proofErr w:type="spellStart"/>
      <w:r w:rsidRPr="00555106">
        <w:rPr>
          <w:sz w:val="20"/>
        </w:rPr>
        <w:t>phen</w:t>
      </w:r>
      <w:proofErr w:type="spellEnd"/>
      <w:r w:rsidRPr="00555106">
        <w:rPr>
          <w:sz w:val="20"/>
        </w:rPr>
        <w:t>-</w:t>
      </w:r>
      <w:r w:rsidRPr="00555106">
        <w:rPr>
          <w:i/>
          <w:iCs/>
          <w:sz w:val="20"/>
        </w:rPr>
        <w:t>o-</w:t>
      </w:r>
      <w:proofErr w:type="spellStart"/>
      <w:r w:rsidRPr="00555106">
        <w:rPr>
          <w:sz w:val="20"/>
        </w:rPr>
        <w:t>BrBT</w:t>
      </w:r>
      <w:proofErr w:type="spellEnd"/>
      <w:r w:rsidRPr="00555106">
        <w:rPr>
          <w:sz w:val="20"/>
        </w:rPr>
        <w:t xml:space="preserve"> molecule has a restricted structural conformation and appeared to impede the electron transfer slightly for the higher energy transitions. </w:t>
      </w:r>
    </w:p>
    <w:p w14:paraId="500CA5E3" w14:textId="77777777" w:rsidR="00662DD4" w:rsidRDefault="00662DD4" w:rsidP="000D33D1">
      <w:pPr>
        <w:rPr>
          <w:sz w:val="20"/>
        </w:rPr>
      </w:pPr>
    </w:p>
    <w:p w14:paraId="1044DE11" w14:textId="05EDC614" w:rsidR="000D33D1" w:rsidRDefault="00127C9D" w:rsidP="000D33D1">
      <w:pPr>
        <w:spacing w:after="240"/>
        <w:jc w:val="center"/>
        <w:rPr>
          <w:sz w:val="20"/>
        </w:rPr>
      </w:pPr>
      <w:r>
        <w:rPr>
          <w:sz w:val="20"/>
        </w:rPr>
        <w:t xml:space="preserve">Table 4. </w:t>
      </w:r>
      <w:r w:rsidR="000D33D1">
        <w:rPr>
          <w:sz w:val="20"/>
        </w:rPr>
        <w:t xml:space="preserve">Molar absorptivity and </w:t>
      </w:r>
      <w:proofErr w:type="spellStart"/>
      <w:r w:rsidR="000D33D1">
        <w:rPr>
          <w:sz w:val="20"/>
        </w:rPr>
        <w:t>λ</w:t>
      </w:r>
      <w:r w:rsidR="000D33D1">
        <w:rPr>
          <w:sz w:val="20"/>
          <w:vertAlign w:val="subscript"/>
        </w:rPr>
        <w:t>max</w:t>
      </w:r>
      <w:r w:rsidR="000D33D1">
        <w:rPr>
          <w:sz w:val="20"/>
        </w:rPr>
        <w:t>of</w:t>
      </w:r>
      <w:proofErr w:type="spellEnd"/>
      <w:r w:rsidR="000D33D1">
        <w:rPr>
          <w:sz w:val="20"/>
        </w:rPr>
        <w:t xml:space="preserve"> </w:t>
      </w:r>
      <w:proofErr w:type="spellStart"/>
      <w:r w:rsidR="000D33D1">
        <w:rPr>
          <w:sz w:val="20"/>
        </w:rPr>
        <w:t>phen</w:t>
      </w:r>
      <w:proofErr w:type="spellEnd"/>
      <w:r w:rsidR="000D33D1">
        <w:rPr>
          <w:sz w:val="20"/>
        </w:rPr>
        <w:t xml:space="preserve">-BT, </w:t>
      </w:r>
      <w:proofErr w:type="spellStart"/>
      <w:r w:rsidR="000D33D1">
        <w:rPr>
          <w:sz w:val="20"/>
        </w:rPr>
        <w:t>phen</w:t>
      </w:r>
      <w:proofErr w:type="spellEnd"/>
      <w:r w:rsidR="000D33D1">
        <w:rPr>
          <w:sz w:val="20"/>
        </w:rPr>
        <w:t>-</w:t>
      </w:r>
      <w:r w:rsidR="000D33D1">
        <w:rPr>
          <w:i/>
          <w:sz w:val="20"/>
        </w:rPr>
        <w:t>o</w:t>
      </w:r>
      <w:r w:rsidR="000D33D1">
        <w:rPr>
          <w:sz w:val="20"/>
        </w:rPr>
        <w:t>-</w:t>
      </w:r>
      <w:proofErr w:type="spellStart"/>
      <w:r w:rsidR="000D33D1">
        <w:rPr>
          <w:sz w:val="20"/>
        </w:rPr>
        <w:t>BrBT</w:t>
      </w:r>
      <w:proofErr w:type="spellEnd"/>
      <w:r w:rsidR="000D33D1">
        <w:rPr>
          <w:sz w:val="20"/>
        </w:rPr>
        <w:t xml:space="preserve">, </w:t>
      </w:r>
      <w:proofErr w:type="spellStart"/>
      <w:r w:rsidR="000D33D1">
        <w:rPr>
          <w:sz w:val="20"/>
        </w:rPr>
        <w:t>phen</w:t>
      </w:r>
      <w:proofErr w:type="spellEnd"/>
      <w:r w:rsidR="000D33D1">
        <w:rPr>
          <w:sz w:val="20"/>
        </w:rPr>
        <w:t>-</w:t>
      </w:r>
      <w:r w:rsidR="000D33D1">
        <w:rPr>
          <w:i/>
          <w:sz w:val="20"/>
        </w:rPr>
        <w:t>m</w:t>
      </w:r>
      <w:r w:rsidR="000D33D1">
        <w:rPr>
          <w:sz w:val="20"/>
        </w:rPr>
        <w:t>-</w:t>
      </w:r>
      <w:proofErr w:type="spellStart"/>
      <w:r w:rsidR="000D33D1">
        <w:rPr>
          <w:sz w:val="20"/>
        </w:rPr>
        <w:t>BrBT</w:t>
      </w:r>
      <w:proofErr w:type="spellEnd"/>
      <w:r w:rsidR="000D33D1">
        <w:rPr>
          <w:sz w:val="20"/>
        </w:rPr>
        <w:t xml:space="preserve"> and </w:t>
      </w:r>
      <w:proofErr w:type="spellStart"/>
      <w:r w:rsidR="000D33D1">
        <w:rPr>
          <w:sz w:val="20"/>
        </w:rPr>
        <w:t>phen</w:t>
      </w:r>
      <w:proofErr w:type="spellEnd"/>
      <w:r w:rsidR="000D33D1">
        <w:rPr>
          <w:sz w:val="20"/>
        </w:rPr>
        <w:t>-</w:t>
      </w:r>
      <w:r w:rsidR="000D33D1">
        <w:rPr>
          <w:i/>
          <w:sz w:val="20"/>
        </w:rPr>
        <w:t>p</w:t>
      </w:r>
      <w:r w:rsidR="000D33D1">
        <w:rPr>
          <w:sz w:val="20"/>
        </w:rPr>
        <w:t>-</w:t>
      </w:r>
      <w:proofErr w:type="spellStart"/>
      <w:r w:rsidR="000D33D1">
        <w:rPr>
          <w:sz w:val="20"/>
        </w:rPr>
        <w:t>BrBT</w:t>
      </w:r>
      <w:proofErr w:type="spellEnd"/>
      <w:r w:rsidR="000D33D1">
        <w:rPr>
          <w:sz w:val="20"/>
        </w:rPr>
        <w:t xml:space="preserve"> compounds</w:t>
      </w:r>
    </w:p>
    <w:tbl>
      <w:tblPr>
        <w:tblW w:w="4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2930"/>
      </w:tblGrid>
      <w:tr w:rsidR="000D33D1" w14:paraId="787DF011" w14:textId="77777777" w:rsidTr="00127C9D">
        <w:trPr>
          <w:trHeight w:val="313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07FB88" w14:textId="77777777" w:rsidR="000D33D1" w:rsidRDefault="000D33D1" w:rsidP="000D5CDF">
            <w:pPr>
              <w:pStyle w:val="NoSpacing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Compound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96393" w14:textId="77777777" w:rsidR="000D33D1" w:rsidRDefault="000D33D1" w:rsidP="000D5CDF">
            <w:pPr>
              <w:pStyle w:val="NoSpacing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UV-Vis (CH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D33D1" w14:paraId="2BC1CF0E" w14:textId="77777777" w:rsidTr="00127C9D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FAB26" w14:textId="77777777" w:rsidR="000D33D1" w:rsidRDefault="000D33D1" w:rsidP="000D5C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s-M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0584BA" w14:textId="77777777" w:rsidR="000D33D1" w:rsidRDefault="000D33D1" w:rsidP="000D5CDF">
            <w:pPr>
              <w:pStyle w:val="NoSpacing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ms-MY"/>
              </w:rPr>
              <w:sym w:font="Symbol" w:char="F06C"/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ms-MY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ms-MY"/>
              </w:rPr>
              <w:t>nm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ms-MY"/>
              </w:rPr>
              <w:t xml:space="preserve">) /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ms-MY"/>
              </w:rPr>
              <w:sym w:font="Symbol" w:char="F065"/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ms-MY"/>
              </w:rPr>
              <w:t>(</w:t>
            </w:r>
            <w:r>
              <w:rPr>
                <w:rFonts w:ascii="Times New Roman" w:eastAsia="csr10" w:hAnsi="Times New Roman" w:cs="Times New Roman"/>
                <w:b/>
                <w:sz w:val="20"/>
                <w:szCs w:val="20"/>
                <w:lang w:val="ms-MY"/>
              </w:rPr>
              <w:t>Lmol</w:t>
            </w:r>
            <w:r>
              <w:rPr>
                <w:rFonts w:ascii="Times New Roman" w:eastAsia="csr10" w:hAnsi="Times New Roman" w:cs="Times New Roman"/>
                <w:b/>
                <w:sz w:val="20"/>
                <w:szCs w:val="20"/>
                <w:vertAlign w:val="superscript"/>
                <w:lang w:val="ms-MY"/>
              </w:rPr>
              <w:t>-1</w:t>
            </w:r>
            <w:r>
              <w:rPr>
                <w:rFonts w:ascii="Times New Roman" w:eastAsia="csr10" w:hAnsi="Times New Roman" w:cs="Times New Roman"/>
                <w:b/>
                <w:sz w:val="20"/>
                <w:szCs w:val="20"/>
                <w:lang w:val="ms-MY"/>
              </w:rPr>
              <w:t>cm</w:t>
            </w:r>
            <w:r>
              <w:rPr>
                <w:rFonts w:ascii="Times New Roman" w:eastAsia="csr10" w:hAnsi="Times New Roman" w:cs="Times New Roman"/>
                <w:b/>
                <w:sz w:val="20"/>
                <w:szCs w:val="20"/>
                <w:vertAlign w:val="superscript"/>
                <w:lang w:val="ms-MY"/>
              </w:rPr>
              <w:t>-1</w:t>
            </w:r>
            <w:r>
              <w:rPr>
                <w:rFonts w:ascii="Times New Roman" w:eastAsia="csr10" w:hAnsi="Times New Roman" w:cs="Times New Roman"/>
                <w:b/>
                <w:sz w:val="20"/>
                <w:szCs w:val="20"/>
                <w:lang w:val="ms-MY"/>
              </w:rPr>
              <w:t>)</w:t>
            </w:r>
          </w:p>
        </w:tc>
      </w:tr>
      <w:tr w:rsidR="000D33D1" w14:paraId="22D351B2" w14:textId="77777777" w:rsidTr="00127C9D">
        <w:trPr>
          <w:trHeight w:val="29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310CC0" w14:textId="77777777" w:rsidR="000D33D1" w:rsidRDefault="000D33D1" w:rsidP="000D5CDF">
            <w:pPr>
              <w:pStyle w:val="NoSpacing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-BT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C2F23A" w14:textId="77777777" w:rsidR="000D33D1" w:rsidRDefault="000D33D1" w:rsidP="000D5C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s-MY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ms-MY"/>
              </w:rPr>
              <w:t>270 (57,513), 231 (</w:t>
            </w:r>
            <w:r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61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ms-MY"/>
              </w:rPr>
              <w:t>,870</w:t>
            </w:r>
            <w:r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)</w:t>
            </w:r>
          </w:p>
        </w:tc>
      </w:tr>
      <w:tr w:rsidR="000D33D1" w14:paraId="71944CD9" w14:textId="77777777" w:rsidTr="00127C9D">
        <w:trPr>
          <w:trHeight w:val="2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F1DD1A" w14:textId="77777777" w:rsidR="000D33D1" w:rsidRDefault="000D33D1" w:rsidP="000D5CDF">
            <w:pPr>
              <w:pStyle w:val="NoSpacing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BrBT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BBF435" w14:textId="77777777" w:rsidR="000D33D1" w:rsidRDefault="000D33D1" w:rsidP="000D5C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269 (39,828), 231 (54</w:t>
            </w:r>
            <w:r>
              <w:rPr>
                <w:rFonts w:ascii="Times New Roman" w:eastAsia="csr10" w:hAnsi="Times New Roman" w:cs="Times New Roman"/>
                <w:sz w:val="20"/>
                <w:szCs w:val="20"/>
                <w:lang w:val="ms-MY"/>
              </w:rPr>
              <w:t>,795</w:t>
            </w:r>
            <w:r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)</w:t>
            </w:r>
          </w:p>
        </w:tc>
      </w:tr>
      <w:tr w:rsidR="000D33D1" w14:paraId="526DDA46" w14:textId="77777777" w:rsidTr="00127C9D">
        <w:trPr>
          <w:trHeight w:val="29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55187E" w14:textId="77777777" w:rsidR="000D33D1" w:rsidRDefault="000D33D1" w:rsidP="000D5CDF">
            <w:pPr>
              <w:pStyle w:val="NoSpacing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BrBT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9976C3" w14:textId="77777777" w:rsidR="000D33D1" w:rsidRDefault="000D33D1" w:rsidP="000D5C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269 (36,711), 231 (57,405)</w:t>
            </w:r>
          </w:p>
        </w:tc>
      </w:tr>
      <w:tr w:rsidR="000D33D1" w14:paraId="03A33260" w14:textId="77777777" w:rsidTr="00127C9D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5B9B8D" w14:textId="77777777" w:rsidR="000D33D1" w:rsidRDefault="000D33D1" w:rsidP="000D5CDF">
            <w:pPr>
              <w:pStyle w:val="NoSpacing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BrBT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6B4E2E" w14:textId="77777777" w:rsidR="000D33D1" w:rsidRDefault="000D33D1" w:rsidP="000D5C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csr10" w:hAnsi="Times New Roman" w:cs="Times New Roman"/>
                <w:sz w:val="20"/>
                <w:szCs w:val="20"/>
                <w:lang w:val="ms-MY"/>
              </w:rPr>
              <w:t>270 (</w:t>
            </w:r>
            <w:r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56</w:t>
            </w:r>
            <w:r>
              <w:rPr>
                <w:rFonts w:ascii="Times New Roman" w:eastAsia="csr10" w:hAnsi="Times New Roman" w:cs="Times New Roman"/>
                <w:sz w:val="20"/>
                <w:szCs w:val="20"/>
                <w:lang w:val="ms-MY"/>
              </w:rPr>
              <w:t>,517) , 231 (59,724</w:t>
            </w:r>
            <w:r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)</w:t>
            </w:r>
          </w:p>
        </w:tc>
      </w:tr>
    </w:tbl>
    <w:p w14:paraId="26D0436D" w14:textId="77777777" w:rsidR="000D33D1" w:rsidRDefault="000D33D1" w:rsidP="000D33D1">
      <w:pPr>
        <w:jc w:val="both"/>
        <w:rPr>
          <w:b/>
          <w:sz w:val="20"/>
        </w:rPr>
      </w:pPr>
    </w:p>
    <w:p w14:paraId="486C3B15" w14:textId="77777777" w:rsidR="00127C9D" w:rsidRDefault="00127C9D" w:rsidP="007B3641">
      <w:pPr>
        <w:jc w:val="both"/>
        <w:outlineLvl w:val="0"/>
        <w:rPr>
          <w:b/>
          <w:sz w:val="20"/>
        </w:rPr>
      </w:pPr>
    </w:p>
    <w:p w14:paraId="1EB76911" w14:textId="4FBF3E4E" w:rsidR="000D33D1" w:rsidRDefault="006130F1" w:rsidP="007B3641">
      <w:pPr>
        <w:jc w:val="both"/>
        <w:outlineLvl w:val="0"/>
        <w:rPr>
          <w:b/>
          <w:sz w:val="20"/>
        </w:rPr>
      </w:pPr>
      <w:r>
        <w:rPr>
          <w:b/>
          <w:sz w:val="20"/>
        </w:rPr>
        <w:lastRenderedPageBreak/>
        <w:t xml:space="preserve">Nuclear </w:t>
      </w:r>
      <w:r w:rsidR="00127C9D">
        <w:rPr>
          <w:b/>
          <w:sz w:val="20"/>
        </w:rPr>
        <w:t xml:space="preserve">magnetic resonance spectroscopy </w:t>
      </w:r>
    </w:p>
    <w:p w14:paraId="7D467B0D" w14:textId="0ED4F1FE" w:rsidR="000D33D1" w:rsidRDefault="000D33D1" w:rsidP="000D33D1">
      <w:pPr>
        <w:jc w:val="both"/>
        <w:rPr>
          <w:sz w:val="20"/>
        </w:rPr>
      </w:pPr>
      <w:r>
        <w:rPr>
          <w:sz w:val="20"/>
        </w:rPr>
        <w:t>The structures of all compounds with the atomic number</w:t>
      </w:r>
      <w:r w:rsidR="00B87BC0">
        <w:rPr>
          <w:sz w:val="20"/>
        </w:rPr>
        <w:t>ing scheme are shown in Figure 5</w:t>
      </w:r>
      <w:r>
        <w:rPr>
          <w:sz w:val="20"/>
        </w:rPr>
        <w:t>. The data are compiled in Table 5 and Table 6</w:t>
      </w:r>
      <w:r w:rsidR="00127C9D">
        <w:rPr>
          <w:sz w:val="20"/>
        </w:rPr>
        <w:t>, respectively</w:t>
      </w:r>
      <w:r>
        <w:rPr>
          <w:sz w:val="20"/>
        </w:rPr>
        <w:t>. In accordance with the IR spectra, the chemical shift of H(N</w:t>
      </w:r>
      <w:r>
        <w:rPr>
          <w:sz w:val="20"/>
          <w:vertAlign w:val="subscript"/>
        </w:rPr>
        <w:t>1</w:t>
      </w:r>
      <w:r>
        <w:rPr>
          <w:sz w:val="20"/>
        </w:rPr>
        <w:t xml:space="preserve">) were observed at 12.36, 12.49 and 12.53 ppm for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o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m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p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, respectively. The signal for the amine proton </w:t>
      </w:r>
      <w:proofErr w:type="spellStart"/>
      <w:r>
        <w:rPr>
          <w:sz w:val="20"/>
        </w:rPr>
        <w:t>δH</w:t>
      </w:r>
      <w:proofErr w:type="spellEnd"/>
      <w:r>
        <w:rPr>
          <w:sz w:val="20"/>
        </w:rPr>
        <w:t>(N</w:t>
      </w:r>
      <w:r>
        <w:rPr>
          <w:sz w:val="20"/>
          <w:vertAlign w:val="subscript"/>
        </w:rPr>
        <w:t>1</w:t>
      </w:r>
      <w:r>
        <w:rPr>
          <w:sz w:val="20"/>
        </w:rPr>
        <w:t xml:space="preserve">) appears as the most </w:t>
      </w:r>
      <w:proofErr w:type="spellStart"/>
      <w:r>
        <w:rPr>
          <w:sz w:val="20"/>
        </w:rPr>
        <w:t>deshielded</w:t>
      </w:r>
      <w:proofErr w:type="spellEnd"/>
      <w:r>
        <w:rPr>
          <w:sz w:val="20"/>
        </w:rPr>
        <w:t xml:space="preserve"> proton signals since the proton was influenced by two electronegative groups (C=O and C=S) in the proximate distances. The signals of </w:t>
      </w:r>
      <w:proofErr w:type="spellStart"/>
      <w:r>
        <w:rPr>
          <w:sz w:val="20"/>
        </w:rPr>
        <w:t>δH</w:t>
      </w:r>
      <w:proofErr w:type="spellEnd"/>
      <w:r>
        <w:rPr>
          <w:sz w:val="20"/>
        </w:rPr>
        <w:t>(N</w:t>
      </w:r>
      <w:r>
        <w:rPr>
          <w:sz w:val="20"/>
          <w:vertAlign w:val="subscript"/>
        </w:rPr>
        <w:t>2</w:t>
      </w:r>
      <w:r>
        <w:rPr>
          <w:sz w:val="20"/>
        </w:rPr>
        <w:t xml:space="preserve">) were slightly shielded and were observed in the downfield region at 12.26, 12.01 and 11.97 ppm for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o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m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p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>, respectively. The signals for the phenanthroline protons were observed in the downfield region at δ=7.46-9.15 ppm.</w:t>
      </w:r>
    </w:p>
    <w:p w14:paraId="13EBA5AD" w14:textId="77777777" w:rsidR="000D33D1" w:rsidRDefault="000D33D1" w:rsidP="000D33D1">
      <w:pPr>
        <w:jc w:val="both"/>
        <w:rPr>
          <w:sz w:val="20"/>
        </w:rPr>
      </w:pPr>
    </w:p>
    <w:p w14:paraId="523F8C61" w14:textId="77777777" w:rsidR="000D33D1" w:rsidRDefault="000D33D1" w:rsidP="000D33D1">
      <w:pPr>
        <w:jc w:val="both"/>
        <w:rPr>
          <w:sz w:val="20"/>
        </w:rPr>
      </w:pPr>
      <w:r>
        <w:rPr>
          <w:sz w:val="20"/>
        </w:rPr>
        <w:t xml:space="preserve">As for the </w:t>
      </w:r>
      <w:r>
        <w:rPr>
          <w:sz w:val="20"/>
          <w:vertAlign w:val="superscript"/>
        </w:rPr>
        <w:t>13</w:t>
      </w:r>
      <w:r>
        <w:rPr>
          <w:sz w:val="20"/>
        </w:rPr>
        <w:t xml:space="preserve">C NMR spectra, the most downfield signals were attributed to the resonances of C=S and C=O groups. The carbon atoms of the thiocarbonyl group appeared at 182.04, 182.39 and 182.04 ppm for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o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m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p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, respectively. The results revealed that the C=S signal was shifted downfield compared to that of C=O (167.39-169.08 ppm), which is partly due to the resonance effects of the CO and -NH- groups. These features and chemical shifts of the 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H and </w:t>
      </w:r>
      <w:r>
        <w:rPr>
          <w:sz w:val="20"/>
          <w:vertAlign w:val="superscript"/>
        </w:rPr>
        <w:t>13</w:t>
      </w:r>
      <w:r>
        <w:rPr>
          <w:sz w:val="20"/>
        </w:rPr>
        <w:t>C NMR spectra are in agreement with the crystal structure of</w:t>
      </w:r>
      <w:r w:rsidR="00101D82">
        <w:rPr>
          <w:sz w:val="20"/>
        </w:rPr>
        <w:t xml:space="preserve"> </w:t>
      </w:r>
      <w:proofErr w:type="spellStart"/>
      <w:r w:rsidR="00B87BC0">
        <w:rPr>
          <w:sz w:val="20"/>
        </w:rPr>
        <w:t>phen</w:t>
      </w:r>
      <w:proofErr w:type="spellEnd"/>
      <w:r w:rsidR="00B87BC0">
        <w:rPr>
          <w:sz w:val="20"/>
        </w:rPr>
        <w:t>-BT as depicted in Figure 5</w:t>
      </w:r>
      <w:r>
        <w:rPr>
          <w:sz w:val="20"/>
        </w:rPr>
        <w:t>.</w:t>
      </w:r>
    </w:p>
    <w:p w14:paraId="6AF9375B" w14:textId="77777777" w:rsidR="00662DD4" w:rsidRDefault="00662DD4" w:rsidP="000D33D1">
      <w:pPr>
        <w:jc w:val="both"/>
        <w:rPr>
          <w:sz w:val="20"/>
        </w:rPr>
      </w:pPr>
    </w:p>
    <w:p w14:paraId="75CDA141" w14:textId="581B5F9B" w:rsidR="000D33D1" w:rsidRDefault="00127C9D" w:rsidP="000D33D1">
      <w:pPr>
        <w:jc w:val="center"/>
        <w:rPr>
          <w:sz w:val="20"/>
        </w:rPr>
      </w:pPr>
      <w:r>
        <w:object w:dxaOrig="9019" w:dyaOrig="5855" w14:anchorId="0922822D">
          <v:shape id="_x0000_i1026" type="#_x0000_t75" style="width:366.6pt;height:240pt" o:ole="">
            <v:imagedata r:id="rId15" o:title=""/>
          </v:shape>
          <o:OLEObject Type="Embed" ProgID="ChemDraw.Document.6.0" ShapeID="_x0000_i1026" DrawAspect="Content" ObjectID="_1543677667" r:id="rId16"/>
        </w:object>
      </w:r>
    </w:p>
    <w:p w14:paraId="6CB03CE9" w14:textId="7058D0DA" w:rsidR="000D33D1" w:rsidRDefault="00B87BC0" w:rsidP="00127C9D">
      <w:pPr>
        <w:spacing w:before="240"/>
        <w:ind w:left="851" w:hanging="851"/>
        <w:jc w:val="both"/>
        <w:rPr>
          <w:sz w:val="20"/>
        </w:rPr>
      </w:pPr>
      <w:r>
        <w:rPr>
          <w:sz w:val="20"/>
        </w:rPr>
        <w:t>Figure 5</w:t>
      </w:r>
      <w:r w:rsidR="00127C9D">
        <w:rPr>
          <w:sz w:val="20"/>
        </w:rPr>
        <w:t xml:space="preserve">. </w:t>
      </w:r>
      <w:r w:rsidR="000D33D1">
        <w:rPr>
          <w:sz w:val="20"/>
        </w:rPr>
        <w:t xml:space="preserve">The structure of </w:t>
      </w:r>
      <w:r w:rsidR="000D33D1">
        <w:rPr>
          <w:i/>
          <w:sz w:val="20"/>
        </w:rPr>
        <w:t>N</w:t>
      </w:r>
      <w:r w:rsidR="000D33D1">
        <w:rPr>
          <w:sz w:val="20"/>
        </w:rPr>
        <w:t>-(</w:t>
      </w:r>
      <w:proofErr w:type="spellStart"/>
      <w:r w:rsidR="000D33D1">
        <w:rPr>
          <w:sz w:val="20"/>
        </w:rPr>
        <w:t>bromobenzoyl</w:t>
      </w:r>
      <w:proofErr w:type="spellEnd"/>
      <w:r w:rsidR="000D33D1">
        <w:rPr>
          <w:sz w:val="20"/>
        </w:rPr>
        <w:t>)-</w:t>
      </w:r>
      <w:r w:rsidR="000D33D1">
        <w:rPr>
          <w:i/>
          <w:sz w:val="20"/>
        </w:rPr>
        <w:t>N</w:t>
      </w:r>
      <w:r w:rsidR="000D33D1">
        <w:rPr>
          <w:sz w:val="20"/>
        </w:rPr>
        <w:t>'-(1,10</w:t>
      </w:r>
      <w:r w:rsidR="00C91316">
        <w:rPr>
          <w:sz w:val="20"/>
        </w:rPr>
        <w:t>-phenanthrolin-5-yl)</w:t>
      </w:r>
      <w:r w:rsidR="000D33D1">
        <w:rPr>
          <w:sz w:val="20"/>
        </w:rPr>
        <w:t>thiourea derivatives with the atomic numbering scheme for NMR structure elucidation</w:t>
      </w:r>
    </w:p>
    <w:p w14:paraId="401DB20D" w14:textId="77777777" w:rsidR="000D33D1" w:rsidRDefault="000D33D1" w:rsidP="000D33D1">
      <w:pPr>
        <w:widowControl/>
        <w:suppressAutoHyphens w:val="0"/>
        <w:jc w:val="center"/>
        <w:rPr>
          <w:sz w:val="20"/>
          <w:lang w:val="ms-MY"/>
        </w:rPr>
      </w:pPr>
    </w:p>
    <w:p w14:paraId="4E447CDB" w14:textId="77777777" w:rsidR="00CA0ABE" w:rsidRDefault="00CA0ABE" w:rsidP="000D33D1">
      <w:pPr>
        <w:widowControl/>
        <w:suppressAutoHyphens w:val="0"/>
        <w:jc w:val="center"/>
        <w:rPr>
          <w:sz w:val="20"/>
          <w:lang w:val="ms-MY"/>
        </w:rPr>
        <w:sectPr w:rsidR="00CA0ABE" w:rsidSect="005948CE">
          <w:type w:val="continuous"/>
          <w:pgSz w:w="11906" w:h="16838" w:code="9"/>
          <w:pgMar w:top="1440" w:right="1440" w:bottom="1440" w:left="1440" w:header="288" w:footer="1138" w:gutter="0"/>
          <w:cols w:space="720"/>
        </w:sectPr>
      </w:pPr>
    </w:p>
    <w:p w14:paraId="3476B91F" w14:textId="69ECE74D" w:rsidR="000D33D1" w:rsidRDefault="000D33D1" w:rsidP="000D33D1">
      <w:pPr>
        <w:autoSpaceDE w:val="0"/>
        <w:autoSpaceDN w:val="0"/>
        <w:adjustRightInd w:val="0"/>
        <w:spacing w:after="240"/>
        <w:jc w:val="center"/>
        <w:rPr>
          <w:sz w:val="20"/>
        </w:rPr>
      </w:pPr>
      <w:proofErr w:type="spellStart"/>
      <w:r>
        <w:rPr>
          <w:sz w:val="20"/>
          <w:lang w:val="ms-MY"/>
        </w:rPr>
        <w:t>Table</w:t>
      </w:r>
      <w:proofErr w:type="spellEnd"/>
      <w:r>
        <w:rPr>
          <w:sz w:val="20"/>
          <w:lang w:val="ms-MY"/>
        </w:rPr>
        <w:t xml:space="preserve"> 5</w:t>
      </w:r>
      <w:r w:rsidR="00127C9D">
        <w:rPr>
          <w:sz w:val="20"/>
          <w:lang w:val="ms-MY"/>
        </w:rPr>
        <w:t xml:space="preserve">. </w:t>
      </w:r>
      <w:proofErr w:type="spellStart"/>
      <w:r>
        <w:rPr>
          <w:sz w:val="20"/>
          <w:lang w:val="ms-MY"/>
        </w:rPr>
        <w:t>The</w:t>
      </w:r>
      <w:proofErr w:type="spellEnd"/>
      <w:r>
        <w:rPr>
          <w:sz w:val="20"/>
          <w:lang w:val="ms-MY"/>
        </w:rPr>
        <w:t xml:space="preserve"> </w:t>
      </w:r>
      <w:r>
        <w:rPr>
          <w:sz w:val="20"/>
          <w:vertAlign w:val="superscript"/>
          <w:lang w:val="ms-MY"/>
        </w:rPr>
        <w:t>1</w:t>
      </w:r>
      <w:r>
        <w:rPr>
          <w:sz w:val="20"/>
          <w:lang w:val="ms-MY"/>
        </w:rPr>
        <w:t xml:space="preserve">H NMR </w:t>
      </w:r>
      <w:proofErr w:type="spellStart"/>
      <w:r>
        <w:rPr>
          <w:sz w:val="20"/>
          <w:lang w:val="ms-MY"/>
        </w:rPr>
        <w:t>signals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of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the</w:t>
      </w:r>
      <w:proofErr w:type="spellEnd"/>
      <w:r>
        <w:rPr>
          <w:sz w:val="20"/>
          <w:lang w:val="ms-MY"/>
        </w:rPr>
        <w:t xml:space="preserve"> </w:t>
      </w:r>
      <w:r>
        <w:rPr>
          <w:i/>
          <w:sz w:val="20"/>
        </w:rPr>
        <w:t>N</w:t>
      </w:r>
      <w:r>
        <w:rPr>
          <w:sz w:val="20"/>
        </w:rPr>
        <w:t>-(</w:t>
      </w:r>
      <w:proofErr w:type="spellStart"/>
      <w:r>
        <w:rPr>
          <w:sz w:val="20"/>
        </w:rPr>
        <w:t>bromobenzoyl</w:t>
      </w:r>
      <w:proofErr w:type="spellEnd"/>
      <w:r>
        <w:rPr>
          <w:sz w:val="20"/>
        </w:rPr>
        <w:t>)-</w:t>
      </w:r>
      <w:r>
        <w:rPr>
          <w:i/>
          <w:sz w:val="20"/>
        </w:rPr>
        <w:t>N</w:t>
      </w:r>
      <w:r>
        <w:rPr>
          <w:sz w:val="20"/>
        </w:rPr>
        <w:t>'-(1,10-phenanthrolin-5-yl)thiourea derivatives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8"/>
        <w:gridCol w:w="1760"/>
        <w:gridCol w:w="1892"/>
        <w:gridCol w:w="1708"/>
        <w:gridCol w:w="1744"/>
      </w:tblGrid>
      <w:tr w:rsidR="000D33D1" w:rsidRPr="009F1EA0" w14:paraId="58B3B541" w14:textId="77777777" w:rsidTr="000D5CDF">
        <w:trPr>
          <w:jc w:val="center"/>
        </w:trPr>
        <w:tc>
          <w:tcPr>
            <w:tcW w:w="0" w:type="auto"/>
            <w:vMerge w:val="restart"/>
            <w:tcBorders>
              <w:left w:val="nil"/>
              <w:bottom w:val="nil"/>
              <w:right w:val="nil"/>
            </w:tcBorders>
          </w:tcPr>
          <w:p w14:paraId="49A8B2C0" w14:textId="77777777" w:rsidR="000D33D1" w:rsidRPr="009F1EA0" w:rsidRDefault="000D33D1" w:rsidP="000D5CDF">
            <w:pPr>
              <w:pStyle w:val="AEuroAbstract"/>
              <w:spacing w:before="0"/>
              <w:jc w:val="center"/>
              <w:rPr>
                <w:b/>
                <w:sz w:val="20"/>
              </w:rPr>
            </w:pPr>
            <w:r w:rsidRPr="009F1EA0">
              <w:rPr>
                <w:b/>
                <w:sz w:val="20"/>
              </w:rPr>
              <w:t xml:space="preserve">Proton </w:t>
            </w:r>
          </w:p>
        </w:tc>
        <w:tc>
          <w:tcPr>
            <w:tcW w:w="0" w:type="auto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7DE5D71" w14:textId="77777777" w:rsidR="000D33D1" w:rsidRPr="009F1EA0" w:rsidRDefault="000D33D1" w:rsidP="000D5CDF">
            <w:pPr>
              <w:pStyle w:val="AEuroAbstract"/>
              <w:spacing w:before="0"/>
              <w:jc w:val="center"/>
              <w:rPr>
                <w:b/>
                <w:sz w:val="20"/>
              </w:rPr>
            </w:pPr>
            <w:r w:rsidRPr="009F1EA0">
              <w:rPr>
                <w:b/>
                <w:sz w:val="20"/>
              </w:rPr>
              <w:t xml:space="preserve"> δ, ppm (coupling patterns, </w:t>
            </w:r>
            <w:r w:rsidRPr="009F1EA0">
              <w:rPr>
                <w:b/>
                <w:i/>
                <w:sz w:val="20"/>
              </w:rPr>
              <w:t>J-coupling</w:t>
            </w:r>
            <w:r w:rsidRPr="009F1EA0">
              <w:rPr>
                <w:b/>
                <w:sz w:val="20"/>
              </w:rPr>
              <w:t>, proton)</w:t>
            </w:r>
          </w:p>
        </w:tc>
      </w:tr>
      <w:tr w:rsidR="000D33D1" w:rsidRPr="009F1EA0" w14:paraId="44D5BE91" w14:textId="77777777" w:rsidTr="000D5CDF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D6C76" w14:textId="77777777" w:rsidR="000D33D1" w:rsidRPr="009F1EA0" w:rsidRDefault="000D33D1" w:rsidP="000D5CDF">
            <w:pPr>
              <w:pStyle w:val="AEuroAbstract"/>
              <w:spacing w:before="0"/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6A949" w14:textId="77777777" w:rsidR="000D33D1" w:rsidRPr="009F1EA0" w:rsidRDefault="000D33D1" w:rsidP="000D5CDF">
            <w:pPr>
              <w:pStyle w:val="AEuroAbstract"/>
              <w:spacing w:before="0"/>
              <w:jc w:val="center"/>
              <w:rPr>
                <w:b/>
                <w:sz w:val="20"/>
              </w:rPr>
            </w:pPr>
            <w:proofErr w:type="spellStart"/>
            <w:r w:rsidRPr="009F1EA0">
              <w:rPr>
                <w:b/>
                <w:sz w:val="20"/>
              </w:rPr>
              <w:t>Phen</w:t>
            </w:r>
            <w:proofErr w:type="spellEnd"/>
            <w:r w:rsidRPr="009F1EA0">
              <w:rPr>
                <w:b/>
                <w:sz w:val="20"/>
              </w:rPr>
              <w:t>-BT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914C2" w14:textId="77777777" w:rsidR="000D33D1" w:rsidRPr="009F1EA0" w:rsidRDefault="000D33D1" w:rsidP="000D5CDF">
            <w:pPr>
              <w:pStyle w:val="AEuroAbstract"/>
              <w:spacing w:before="0"/>
              <w:jc w:val="center"/>
              <w:rPr>
                <w:b/>
                <w:sz w:val="20"/>
              </w:rPr>
            </w:pPr>
            <w:proofErr w:type="spellStart"/>
            <w:r w:rsidRPr="009F1EA0">
              <w:rPr>
                <w:b/>
                <w:sz w:val="20"/>
              </w:rPr>
              <w:t>Phen</w:t>
            </w:r>
            <w:proofErr w:type="spellEnd"/>
            <w:r w:rsidRPr="009F1EA0">
              <w:rPr>
                <w:b/>
                <w:sz w:val="20"/>
              </w:rPr>
              <w:t>-</w:t>
            </w:r>
            <w:r w:rsidRPr="009F1EA0">
              <w:rPr>
                <w:b/>
                <w:i/>
                <w:sz w:val="20"/>
              </w:rPr>
              <w:t>o</w:t>
            </w:r>
            <w:r w:rsidRPr="009F1EA0">
              <w:rPr>
                <w:b/>
                <w:sz w:val="20"/>
              </w:rPr>
              <w:t>-</w:t>
            </w:r>
            <w:proofErr w:type="spellStart"/>
            <w:r w:rsidRPr="009F1EA0">
              <w:rPr>
                <w:b/>
                <w:sz w:val="20"/>
              </w:rPr>
              <w:t>BrBT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E4782" w14:textId="77777777" w:rsidR="000D33D1" w:rsidRPr="009F1EA0" w:rsidRDefault="000D33D1" w:rsidP="000D5CDF">
            <w:pPr>
              <w:pStyle w:val="AEuroAbstract"/>
              <w:spacing w:before="0"/>
              <w:jc w:val="center"/>
              <w:rPr>
                <w:b/>
                <w:sz w:val="20"/>
              </w:rPr>
            </w:pPr>
            <w:proofErr w:type="spellStart"/>
            <w:r w:rsidRPr="009F1EA0">
              <w:rPr>
                <w:b/>
                <w:sz w:val="20"/>
              </w:rPr>
              <w:t>Phen</w:t>
            </w:r>
            <w:proofErr w:type="spellEnd"/>
            <w:r w:rsidRPr="009F1EA0">
              <w:rPr>
                <w:b/>
                <w:sz w:val="20"/>
              </w:rPr>
              <w:t>-</w:t>
            </w:r>
            <w:r w:rsidRPr="009F1EA0">
              <w:rPr>
                <w:b/>
                <w:i/>
                <w:sz w:val="20"/>
              </w:rPr>
              <w:t>m</w:t>
            </w:r>
            <w:r w:rsidRPr="009F1EA0">
              <w:rPr>
                <w:b/>
                <w:sz w:val="20"/>
              </w:rPr>
              <w:t>-</w:t>
            </w:r>
            <w:proofErr w:type="spellStart"/>
            <w:r w:rsidRPr="009F1EA0">
              <w:rPr>
                <w:b/>
                <w:sz w:val="20"/>
              </w:rPr>
              <w:t>BrBT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A0D1B" w14:textId="77777777" w:rsidR="000D33D1" w:rsidRPr="009F1EA0" w:rsidRDefault="000D33D1" w:rsidP="000D5CDF">
            <w:pPr>
              <w:pStyle w:val="AEuroAbstract"/>
              <w:spacing w:before="0"/>
              <w:jc w:val="center"/>
              <w:rPr>
                <w:b/>
                <w:sz w:val="20"/>
              </w:rPr>
            </w:pPr>
            <w:proofErr w:type="spellStart"/>
            <w:r w:rsidRPr="009F1EA0">
              <w:rPr>
                <w:b/>
                <w:sz w:val="20"/>
              </w:rPr>
              <w:t>Phen</w:t>
            </w:r>
            <w:proofErr w:type="spellEnd"/>
            <w:r w:rsidRPr="009F1EA0">
              <w:rPr>
                <w:b/>
                <w:sz w:val="20"/>
              </w:rPr>
              <w:t>-</w:t>
            </w:r>
            <w:r w:rsidRPr="009F1EA0">
              <w:rPr>
                <w:b/>
                <w:i/>
                <w:sz w:val="20"/>
              </w:rPr>
              <w:t>p</w:t>
            </w:r>
            <w:r w:rsidRPr="009F1EA0">
              <w:rPr>
                <w:b/>
                <w:sz w:val="20"/>
              </w:rPr>
              <w:t>-</w:t>
            </w:r>
            <w:proofErr w:type="spellStart"/>
            <w:r w:rsidRPr="009F1EA0">
              <w:rPr>
                <w:b/>
                <w:sz w:val="20"/>
              </w:rPr>
              <w:t>BrBT</w:t>
            </w:r>
            <w:proofErr w:type="spellEnd"/>
          </w:p>
        </w:tc>
      </w:tr>
      <w:tr w:rsidR="000D33D1" w:rsidRPr="009F1EA0" w14:paraId="7A5C2841" w14:textId="77777777" w:rsidTr="000D5CDF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56FCA0E2" w14:textId="77777777" w:rsidR="000D33D1" w:rsidRPr="00D6017D" w:rsidRDefault="00662DD4" w:rsidP="000D5CDF">
            <w:pPr>
              <w:jc w:val="center"/>
              <w:rPr>
                <w:bCs/>
                <w:sz w:val="20"/>
                <w:lang w:val="ms-MY"/>
              </w:rPr>
            </w:pPr>
            <w:proofErr w:type="spellStart"/>
            <w:r w:rsidRPr="00D6017D">
              <w:rPr>
                <w:bCs/>
                <w:sz w:val="20"/>
                <w:lang w:val="ms-MY"/>
              </w:rPr>
              <w:t>HNa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34B4E0A2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12.63 (</w:t>
            </w:r>
            <w:proofErr w:type="spellStart"/>
            <w:r w:rsidRPr="009F1EA0">
              <w:rPr>
                <w:sz w:val="20"/>
              </w:rPr>
              <w:t>s,H</w:t>
            </w:r>
            <w:proofErr w:type="spellEnd"/>
            <w:r w:rsidRPr="009F1EA0">
              <w:rPr>
                <w:sz w:val="20"/>
              </w:rPr>
              <w:t>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1A1A7B39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12.36 (s, H)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04F6016B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12.49 (s,1H)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6CA112D3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12.53 (s,1H)</w:t>
            </w:r>
          </w:p>
        </w:tc>
      </w:tr>
      <w:tr w:rsidR="000D33D1" w:rsidRPr="009F1EA0" w14:paraId="342FEE8B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812C57" w14:textId="77777777" w:rsidR="000D33D1" w:rsidRPr="00D6017D" w:rsidRDefault="00662DD4" w:rsidP="000D5CDF">
            <w:pPr>
              <w:jc w:val="center"/>
              <w:rPr>
                <w:bCs/>
                <w:sz w:val="20"/>
                <w:lang w:val="ms-MY"/>
              </w:rPr>
            </w:pPr>
            <w:proofErr w:type="spellStart"/>
            <w:r w:rsidRPr="00D6017D">
              <w:rPr>
                <w:bCs/>
                <w:sz w:val="20"/>
                <w:lang w:val="ms-MY"/>
              </w:rPr>
              <w:t>HNb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8EE0A5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11.88 (s,1H)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4CE803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12.26 (s,1H)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6DC5A1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12.49 (s,1H)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43AC25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12.53 (s,1H)</w:t>
            </w:r>
          </w:p>
        </w:tc>
      </w:tr>
      <w:tr w:rsidR="000D33D1" w:rsidRPr="009F1EA0" w14:paraId="2F4B639E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DF21F0" w14:textId="77777777" w:rsidR="000D33D1" w:rsidRPr="00D6017D" w:rsidRDefault="000D33D1" w:rsidP="000D5CDF">
            <w:pPr>
              <w:jc w:val="center"/>
              <w:rPr>
                <w:bCs/>
                <w:sz w:val="20"/>
                <w:lang w:val="ms-MY"/>
              </w:rPr>
            </w:pPr>
            <w:r w:rsidRPr="00D6017D">
              <w:rPr>
                <w:bCs/>
                <w:sz w:val="20"/>
                <w:lang w:val="ms-MY"/>
              </w:rPr>
              <w:t xml:space="preserve">H9, H16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25CD0D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12.53 (s,1H)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3855E6" w14:textId="77777777" w:rsidR="000D33D1" w:rsidRPr="009F1EA0" w:rsidRDefault="000D33D1" w:rsidP="000D5CDF">
            <w:pPr>
              <w:jc w:val="center"/>
              <w:outlineLvl w:val="8"/>
              <w:rPr>
                <w:b/>
                <w:i/>
                <w:sz w:val="20"/>
              </w:rPr>
            </w:pPr>
            <w:r w:rsidRPr="009F1EA0">
              <w:rPr>
                <w:sz w:val="20"/>
              </w:rPr>
              <w:t>9.14 (m,</w:t>
            </w:r>
            <w:r w:rsidR="00842FD6">
              <w:rPr>
                <w:sz w:val="20"/>
              </w:rPr>
              <w:t xml:space="preserve"> </w:t>
            </w:r>
            <w:r w:rsidRPr="009F1EA0">
              <w:rPr>
                <w:sz w:val="20"/>
              </w:rPr>
              <w:t>J</w:t>
            </w:r>
            <w:r w:rsidRPr="009F1EA0">
              <w:rPr>
                <w:sz w:val="20"/>
                <w:vertAlign w:val="subscript"/>
              </w:rPr>
              <w:t>1</w:t>
            </w:r>
            <w:r w:rsidRPr="009F1EA0">
              <w:rPr>
                <w:sz w:val="20"/>
              </w:rPr>
              <w:t>=3.9 Hz, J</w:t>
            </w:r>
            <w:r w:rsidRPr="009F1EA0">
              <w:rPr>
                <w:sz w:val="20"/>
                <w:vertAlign w:val="subscript"/>
              </w:rPr>
              <w:t>2</w:t>
            </w:r>
            <w:r w:rsidRPr="009F1EA0">
              <w:rPr>
                <w:sz w:val="20"/>
              </w:rPr>
              <w:t>=1.6 Hz,2H)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441ACB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9.13 (t, J= 4.2 Hz,2H)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C4A71A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9.13 (t, J</w:t>
            </w:r>
            <w:r w:rsidRPr="009F1EA0">
              <w:rPr>
                <w:sz w:val="20"/>
                <w:vertAlign w:val="subscript"/>
              </w:rPr>
              <w:t>1</w:t>
            </w:r>
            <w:r w:rsidRPr="009F1EA0">
              <w:rPr>
                <w:sz w:val="20"/>
              </w:rPr>
              <w:t>= 4.9 Hz,2H)</w:t>
            </w:r>
          </w:p>
        </w:tc>
      </w:tr>
      <w:tr w:rsidR="000D33D1" w:rsidRPr="009F1EA0" w14:paraId="2A41EBA1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396FB3" w14:textId="77777777" w:rsidR="000D33D1" w:rsidRPr="00D6017D" w:rsidRDefault="000D33D1" w:rsidP="000D5CDF">
            <w:pPr>
              <w:jc w:val="center"/>
              <w:rPr>
                <w:bCs/>
                <w:sz w:val="20"/>
                <w:lang w:val="ms-MY"/>
              </w:rPr>
            </w:pPr>
            <w:r w:rsidRPr="00D6017D">
              <w:rPr>
                <w:bCs/>
                <w:sz w:val="20"/>
                <w:lang w:val="ms-MY"/>
              </w:rPr>
              <w:t>H12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7F14ED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8.20 (s,1H)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5274FC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8.18 (s,1H)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5E9375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>
              <w:rPr>
                <w:sz w:val="20"/>
              </w:rPr>
              <w:t xml:space="preserve">8.25 </w:t>
            </w:r>
            <w:r w:rsidRPr="009F1EA0">
              <w:rPr>
                <w:sz w:val="20"/>
              </w:rPr>
              <w:t>(s,1H)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4BB3EA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8.16 (s,1H)</w:t>
            </w:r>
          </w:p>
        </w:tc>
      </w:tr>
      <w:tr w:rsidR="000D33D1" w:rsidRPr="009F1EA0" w14:paraId="0AC6A99F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F94E3D" w14:textId="77777777" w:rsidR="000D33D1" w:rsidRPr="00D6017D" w:rsidRDefault="000D33D1" w:rsidP="000D5CDF">
            <w:pPr>
              <w:jc w:val="center"/>
              <w:rPr>
                <w:bCs/>
                <w:sz w:val="20"/>
                <w:lang w:val="ms-MY"/>
              </w:rPr>
            </w:pPr>
            <w:r w:rsidRPr="00D6017D">
              <w:rPr>
                <w:bCs/>
                <w:sz w:val="20"/>
                <w:lang w:val="ms-MY"/>
              </w:rPr>
              <w:t>H10, H15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3B5054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8.08 (m, J</w:t>
            </w:r>
            <w:r w:rsidRPr="009F1EA0">
              <w:rPr>
                <w:sz w:val="20"/>
                <w:vertAlign w:val="subscript"/>
              </w:rPr>
              <w:t>1</w:t>
            </w:r>
            <w:r w:rsidRPr="009F1EA0">
              <w:rPr>
                <w:sz w:val="20"/>
              </w:rPr>
              <w:t>= 7.6 Hz, 2H)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857C03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7.83 (m, J</w:t>
            </w:r>
            <w:r w:rsidRPr="009F1EA0">
              <w:rPr>
                <w:sz w:val="20"/>
                <w:vertAlign w:val="subscript"/>
              </w:rPr>
              <w:t>1</w:t>
            </w:r>
            <w:r w:rsidRPr="009F1EA0">
              <w:rPr>
                <w:sz w:val="20"/>
              </w:rPr>
              <w:t>= 19.9 Hz, J</w:t>
            </w:r>
            <w:r w:rsidRPr="009F1EA0">
              <w:rPr>
                <w:sz w:val="20"/>
                <w:vertAlign w:val="subscript"/>
              </w:rPr>
              <w:t>2</w:t>
            </w:r>
            <w:r w:rsidRPr="009F1EA0">
              <w:rPr>
                <w:sz w:val="20"/>
              </w:rPr>
              <w:t>= 4.1 Hz, 2H)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F33C3C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7.82 (m, J</w:t>
            </w:r>
            <w:r w:rsidRPr="009F1EA0">
              <w:rPr>
                <w:sz w:val="20"/>
                <w:vertAlign w:val="subscript"/>
              </w:rPr>
              <w:t>1</w:t>
            </w:r>
            <w:r w:rsidRPr="009F1EA0">
              <w:rPr>
                <w:sz w:val="20"/>
              </w:rPr>
              <w:t>= 8.4, J</w:t>
            </w:r>
            <w:r w:rsidRPr="009F1EA0">
              <w:rPr>
                <w:sz w:val="20"/>
                <w:vertAlign w:val="subscript"/>
              </w:rPr>
              <w:t>2</w:t>
            </w:r>
            <w:r w:rsidRPr="009F1EA0">
              <w:rPr>
                <w:sz w:val="20"/>
              </w:rPr>
              <w:t>= 4.3 Hz, 2H)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5A85AA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7.99 (m, J</w:t>
            </w:r>
            <w:r w:rsidRPr="009F1EA0">
              <w:rPr>
                <w:sz w:val="20"/>
                <w:vertAlign w:val="subscript"/>
              </w:rPr>
              <w:t>1</w:t>
            </w:r>
            <w:r w:rsidRPr="009F1EA0">
              <w:rPr>
                <w:sz w:val="20"/>
              </w:rPr>
              <w:t>= 8.1 Hz, 2H)</w:t>
            </w:r>
          </w:p>
        </w:tc>
      </w:tr>
      <w:tr w:rsidR="000D33D1" w:rsidRPr="009F1EA0" w14:paraId="18985F2E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6601AC" w14:textId="77777777" w:rsidR="000D33D1" w:rsidRPr="00D6017D" w:rsidRDefault="000D33D1" w:rsidP="000D5CDF">
            <w:pPr>
              <w:jc w:val="center"/>
              <w:rPr>
                <w:bCs/>
                <w:sz w:val="20"/>
                <w:lang w:val="ms-MY"/>
              </w:rPr>
            </w:pPr>
            <w:r w:rsidRPr="00D6017D">
              <w:rPr>
                <w:bCs/>
                <w:sz w:val="20"/>
                <w:lang w:val="ms-MY"/>
              </w:rPr>
              <w:t>H11, H14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5ACCD9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8.52</w:t>
            </w:r>
          </w:p>
          <w:p w14:paraId="1C715E81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(</w:t>
            </w:r>
            <w:proofErr w:type="spellStart"/>
            <w:r w:rsidRPr="009F1EA0">
              <w:rPr>
                <w:sz w:val="20"/>
              </w:rPr>
              <w:t>dd</w:t>
            </w:r>
            <w:proofErr w:type="spellEnd"/>
            <w:r w:rsidRPr="009F1EA0">
              <w:rPr>
                <w:sz w:val="20"/>
              </w:rPr>
              <w:t>, J</w:t>
            </w:r>
            <w:r w:rsidRPr="009F1EA0">
              <w:rPr>
                <w:sz w:val="20"/>
                <w:vertAlign w:val="subscript"/>
              </w:rPr>
              <w:t>1</w:t>
            </w:r>
            <w:r w:rsidRPr="009F1EA0">
              <w:rPr>
                <w:sz w:val="20"/>
              </w:rPr>
              <w:t>= 18.7 Hz, J</w:t>
            </w:r>
            <w:r w:rsidRPr="009F1EA0">
              <w:rPr>
                <w:sz w:val="20"/>
                <w:vertAlign w:val="subscript"/>
              </w:rPr>
              <w:t>2</w:t>
            </w:r>
            <w:r w:rsidRPr="009F1EA0">
              <w:rPr>
                <w:sz w:val="20"/>
              </w:rPr>
              <w:t>= 8.2 Hz, 2H)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4331C9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8.55</w:t>
            </w:r>
          </w:p>
          <w:p w14:paraId="60D9CB54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(</w:t>
            </w:r>
            <w:proofErr w:type="spellStart"/>
            <w:r w:rsidRPr="009F1EA0">
              <w:rPr>
                <w:sz w:val="20"/>
              </w:rPr>
              <w:t>dd</w:t>
            </w:r>
            <w:proofErr w:type="spellEnd"/>
            <w:r w:rsidRPr="009F1EA0">
              <w:rPr>
                <w:sz w:val="20"/>
              </w:rPr>
              <w:t>, J</w:t>
            </w:r>
            <w:r w:rsidRPr="009F1EA0">
              <w:rPr>
                <w:sz w:val="20"/>
                <w:vertAlign w:val="subscript"/>
              </w:rPr>
              <w:t>1</w:t>
            </w:r>
            <w:r w:rsidRPr="009F1EA0">
              <w:rPr>
                <w:sz w:val="20"/>
              </w:rPr>
              <w:t>= 8.1 Hz, J</w:t>
            </w:r>
            <w:r w:rsidRPr="009F1EA0">
              <w:rPr>
                <w:sz w:val="20"/>
                <w:vertAlign w:val="subscript"/>
              </w:rPr>
              <w:t>2</w:t>
            </w:r>
            <w:r w:rsidRPr="009F1EA0">
              <w:rPr>
                <w:sz w:val="20"/>
              </w:rPr>
              <w:t>= 1.5 Hz, 1H)</w:t>
            </w:r>
          </w:p>
          <w:p w14:paraId="1E5A3128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8.43</w:t>
            </w:r>
          </w:p>
          <w:p w14:paraId="051C84A1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(</w:t>
            </w:r>
            <w:proofErr w:type="spellStart"/>
            <w:r w:rsidRPr="009F1EA0">
              <w:rPr>
                <w:sz w:val="20"/>
              </w:rPr>
              <w:t>dd</w:t>
            </w:r>
            <w:proofErr w:type="spellEnd"/>
            <w:r w:rsidRPr="009F1EA0">
              <w:rPr>
                <w:sz w:val="20"/>
              </w:rPr>
              <w:t>,</w:t>
            </w:r>
            <w:r w:rsidR="00842FD6">
              <w:rPr>
                <w:sz w:val="20"/>
              </w:rPr>
              <w:t xml:space="preserve"> </w:t>
            </w:r>
            <w:r w:rsidRPr="009F1EA0">
              <w:rPr>
                <w:sz w:val="20"/>
              </w:rPr>
              <w:t>J1= 8.2 Hz, J2= 1.3 Hz, 1H)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18D7B3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8.54</w:t>
            </w:r>
          </w:p>
          <w:p w14:paraId="7E17C53E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(d, J</w:t>
            </w:r>
            <w:r w:rsidRPr="009F1EA0">
              <w:rPr>
                <w:sz w:val="20"/>
                <w:vertAlign w:val="subscript"/>
              </w:rPr>
              <w:t>1</w:t>
            </w:r>
            <w:r w:rsidRPr="009F1EA0">
              <w:rPr>
                <w:sz w:val="20"/>
              </w:rPr>
              <w:t>= 8.1 Hz,1H)</w:t>
            </w:r>
          </w:p>
          <w:p w14:paraId="70F6C5D8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</w:p>
          <w:p w14:paraId="4610E615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8.49</w:t>
            </w:r>
          </w:p>
          <w:p w14:paraId="11577BCA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(d, J</w:t>
            </w:r>
            <w:r w:rsidRPr="009F1EA0">
              <w:rPr>
                <w:sz w:val="20"/>
                <w:vertAlign w:val="subscript"/>
              </w:rPr>
              <w:t>1</w:t>
            </w:r>
            <w:r w:rsidRPr="009F1EA0">
              <w:rPr>
                <w:sz w:val="20"/>
              </w:rPr>
              <w:t>= 8.4 Hz,1H)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34A4C9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8.53</w:t>
            </w:r>
          </w:p>
          <w:p w14:paraId="52A299E5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(d, J= 8.1 Hz,1H)</w:t>
            </w:r>
          </w:p>
          <w:p w14:paraId="42F6CF17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8.48</w:t>
            </w:r>
          </w:p>
          <w:p w14:paraId="11738A96" w14:textId="77777777" w:rsidR="000D33D1" w:rsidRPr="009F1EA0" w:rsidRDefault="000D33D1" w:rsidP="000D5CDF">
            <w:pPr>
              <w:jc w:val="center"/>
              <w:outlineLvl w:val="6"/>
              <w:rPr>
                <w:sz w:val="20"/>
              </w:rPr>
            </w:pPr>
            <w:r w:rsidRPr="009F1EA0">
              <w:rPr>
                <w:sz w:val="20"/>
              </w:rPr>
              <w:t>(d, J1= 8.4 Hz,1H)</w:t>
            </w:r>
          </w:p>
        </w:tc>
      </w:tr>
      <w:tr w:rsidR="000D33D1" w:rsidRPr="009F1EA0" w14:paraId="78E8802A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8883484" w14:textId="77777777" w:rsidR="000D33D1" w:rsidRPr="00D6017D" w:rsidRDefault="000D33D1" w:rsidP="000D5CDF">
            <w:pPr>
              <w:jc w:val="center"/>
              <w:rPr>
                <w:bCs/>
                <w:sz w:val="20"/>
              </w:rPr>
            </w:pPr>
            <w:r w:rsidRPr="00D6017D">
              <w:rPr>
                <w:bCs/>
                <w:sz w:val="20"/>
              </w:rPr>
              <w:t xml:space="preserve">Phenyl ring </w:t>
            </w:r>
            <w:r w:rsidRPr="00D6017D">
              <w:rPr>
                <w:bCs/>
                <w:sz w:val="20"/>
              </w:rPr>
              <w:lastRenderedPageBreak/>
              <w:t>(H2,H3,H4,H5,H6)</w:t>
            </w:r>
          </w:p>
          <w:p w14:paraId="0C536667" w14:textId="77777777" w:rsidR="000D33D1" w:rsidRPr="00D6017D" w:rsidRDefault="000D33D1" w:rsidP="000D5CDF">
            <w:pPr>
              <w:jc w:val="center"/>
              <w:rPr>
                <w:bCs/>
                <w:sz w:val="20"/>
                <w:lang w:val="ms-MY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68C249A" w14:textId="77777777" w:rsidR="000D33D1" w:rsidRPr="007B3641" w:rsidRDefault="000D33D1" w:rsidP="000D5CDF">
            <w:pPr>
              <w:jc w:val="center"/>
              <w:outlineLvl w:val="8"/>
              <w:rPr>
                <w:sz w:val="20"/>
                <w:lang w:val="ms-MY"/>
              </w:rPr>
            </w:pPr>
            <w:r w:rsidRPr="007B3641">
              <w:rPr>
                <w:sz w:val="20"/>
                <w:lang w:val="ms-MY"/>
              </w:rPr>
              <w:lastRenderedPageBreak/>
              <w:t>7.87-7.78</w:t>
            </w:r>
          </w:p>
          <w:p w14:paraId="79652812" w14:textId="77777777" w:rsidR="000D33D1" w:rsidRPr="007B3641" w:rsidRDefault="000D33D1" w:rsidP="000D5CDF">
            <w:pPr>
              <w:jc w:val="center"/>
              <w:outlineLvl w:val="8"/>
              <w:rPr>
                <w:sz w:val="20"/>
                <w:vertAlign w:val="subscript"/>
                <w:lang w:val="ms-MY"/>
              </w:rPr>
            </w:pPr>
            <w:r w:rsidRPr="007B3641">
              <w:rPr>
                <w:sz w:val="20"/>
                <w:lang w:val="ms-MY"/>
              </w:rPr>
              <w:lastRenderedPageBreak/>
              <w:t>(m, 2H)/</w:t>
            </w:r>
            <w:r w:rsidRPr="009F1EA0">
              <w:rPr>
                <w:sz w:val="20"/>
              </w:rPr>
              <w:t>δ</w:t>
            </w:r>
            <w:r w:rsidRPr="007B3641">
              <w:rPr>
                <w:sz w:val="20"/>
                <w:vertAlign w:val="subscript"/>
                <w:lang w:val="ms-MY"/>
              </w:rPr>
              <w:t>H2&amp;H6</w:t>
            </w:r>
          </w:p>
          <w:p w14:paraId="38BF2BC2" w14:textId="77777777" w:rsidR="000D33D1" w:rsidRPr="007B3641" w:rsidRDefault="000D33D1" w:rsidP="000D5CDF">
            <w:pPr>
              <w:jc w:val="center"/>
              <w:outlineLvl w:val="8"/>
              <w:rPr>
                <w:sz w:val="20"/>
                <w:vertAlign w:val="subscript"/>
                <w:lang w:val="ms-MY"/>
              </w:rPr>
            </w:pPr>
            <w:r w:rsidRPr="007B3641">
              <w:rPr>
                <w:sz w:val="20"/>
                <w:lang w:val="ms-MY"/>
              </w:rPr>
              <w:t>7.70(t, J</w:t>
            </w:r>
            <w:r w:rsidRPr="007B3641">
              <w:rPr>
                <w:sz w:val="20"/>
                <w:vertAlign w:val="subscript"/>
                <w:lang w:val="ms-MY"/>
              </w:rPr>
              <w:t>1</w:t>
            </w:r>
            <w:r w:rsidRPr="007B3641">
              <w:rPr>
                <w:sz w:val="20"/>
                <w:lang w:val="ms-MY"/>
              </w:rPr>
              <w:t xml:space="preserve">= 7.3 </w:t>
            </w:r>
            <w:proofErr w:type="spellStart"/>
            <w:r w:rsidRPr="007B3641">
              <w:rPr>
                <w:sz w:val="20"/>
                <w:lang w:val="ms-MY"/>
              </w:rPr>
              <w:t>Hz</w:t>
            </w:r>
            <w:proofErr w:type="spellEnd"/>
            <w:r w:rsidRPr="007B3641">
              <w:rPr>
                <w:sz w:val="20"/>
                <w:lang w:val="ms-MY"/>
              </w:rPr>
              <w:t>, 1H)/</w:t>
            </w:r>
            <w:r w:rsidRPr="009F1EA0">
              <w:rPr>
                <w:sz w:val="20"/>
              </w:rPr>
              <w:t>δ</w:t>
            </w:r>
            <w:r w:rsidRPr="007B3641">
              <w:rPr>
                <w:sz w:val="20"/>
                <w:vertAlign w:val="subscript"/>
                <w:lang w:val="ms-MY"/>
              </w:rPr>
              <w:t>H4</w:t>
            </w:r>
          </w:p>
          <w:p w14:paraId="18FE76A3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7.59</w:t>
            </w:r>
          </w:p>
          <w:p w14:paraId="751A17CA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(t, J</w:t>
            </w:r>
            <w:r w:rsidRPr="009F1EA0">
              <w:rPr>
                <w:sz w:val="20"/>
                <w:vertAlign w:val="subscript"/>
              </w:rPr>
              <w:t>1</w:t>
            </w:r>
            <w:r w:rsidRPr="009F1EA0">
              <w:rPr>
                <w:sz w:val="20"/>
              </w:rPr>
              <w:t>= 7.7 Hz, 2H)/δ</w:t>
            </w:r>
            <w:r w:rsidRPr="009F1EA0">
              <w:rPr>
                <w:sz w:val="20"/>
                <w:vertAlign w:val="subscript"/>
              </w:rPr>
              <w:t>H3&amp;H5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50F92A7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lastRenderedPageBreak/>
              <w:t>7.76</w:t>
            </w:r>
          </w:p>
          <w:p w14:paraId="4179C44B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lastRenderedPageBreak/>
              <w:t>(d, J1=8.1 Hz, 1H)/δ</w:t>
            </w:r>
            <w:r w:rsidRPr="009F1EA0">
              <w:rPr>
                <w:sz w:val="20"/>
                <w:vertAlign w:val="subscript"/>
              </w:rPr>
              <w:t>H2</w:t>
            </w:r>
          </w:p>
          <w:p w14:paraId="776C50DA" w14:textId="77777777" w:rsidR="000D33D1" w:rsidRPr="009F1EA0" w:rsidRDefault="000D33D1" w:rsidP="000D5CDF">
            <w:pPr>
              <w:jc w:val="center"/>
              <w:outlineLvl w:val="6"/>
              <w:rPr>
                <w:sz w:val="20"/>
              </w:rPr>
            </w:pPr>
            <w:r w:rsidRPr="009F1EA0">
              <w:rPr>
                <w:sz w:val="20"/>
              </w:rPr>
              <w:t xml:space="preserve">7.71 </w:t>
            </w:r>
          </w:p>
          <w:p w14:paraId="1166B2B6" w14:textId="77777777" w:rsidR="000D33D1" w:rsidRPr="009F1EA0" w:rsidRDefault="000D33D1" w:rsidP="000D5CDF">
            <w:pPr>
              <w:jc w:val="center"/>
              <w:outlineLvl w:val="6"/>
              <w:rPr>
                <w:sz w:val="20"/>
              </w:rPr>
            </w:pPr>
            <w:r w:rsidRPr="009F1EA0">
              <w:rPr>
                <w:sz w:val="20"/>
              </w:rPr>
              <w:t>(d, J1= 6.2 Hz, 1H)/δ</w:t>
            </w:r>
            <w:r w:rsidRPr="009F1EA0">
              <w:rPr>
                <w:sz w:val="20"/>
                <w:vertAlign w:val="subscript"/>
              </w:rPr>
              <w:t>H6</w:t>
            </w:r>
          </w:p>
          <w:p w14:paraId="2BE298CE" w14:textId="77777777" w:rsidR="000D33D1" w:rsidRPr="009F1EA0" w:rsidRDefault="000D33D1" w:rsidP="000D5CDF">
            <w:pPr>
              <w:jc w:val="center"/>
              <w:outlineLvl w:val="8"/>
              <w:rPr>
                <w:b/>
                <w:i/>
                <w:sz w:val="20"/>
              </w:rPr>
            </w:pPr>
            <w:r w:rsidRPr="009F1EA0">
              <w:rPr>
                <w:sz w:val="20"/>
              </w:rPr>
              <w:t xml:space="preserve">7.58-7.45 </w:t>
            </w:r>
          </w:p>
          <w:p w14:paraId="2F0CE284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(m, 2H)/δ</w:t>
            </w:r>
            <w:r w:rsidRPr="009F1EA0">
              <w:rPr>
                <w:sz w:val="20"/>
                <w:vertAlign w:val="subscript"/>
              </w:rPr>
              <w:t>H4&amp;H5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C5AA6F7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lastRenderedPageBreak/>
              <w:t xml:space="preserve">8.16 </w:t>
            </w:r>
          </w:p>
          <w:p w14:paraId="5CC4105E" w14:textId="77777777" w:rsidR="000D33D1" w:rsidRPr="00E7717A" w:rsidRDefault="000D33D1" w:rsidP="000D5CDF">
            <w:pPr>
              <w:jc w:val="center"/>
              <w:outlineLvl w:val="8"/>
              <w:rPr>
                <w:sz w:val="20"/>
                <w:vertAlign w:val="subscript"/>
              </w:rPr>
            </w:pPr>
            <w:r w:rsidRPr="009F1EA0">
              <w:rPr>
                <w:sz w:val="20"/>
              </w:rPr>
              <w:lastRenderedPageBreak/>
              <w:t>(s,1H)/δ</w:t>
            </w:r>
            <w:r w:rsidRPr="009F1EA0">
              <w:rPr>
                <w:sz w:val="20"/>
                <w:vertAlign w:val="subscript"/>
              </w:rPr>
              <w:t>H2</w:t>
            </w:r>
          </w:p>
          <w:p w14:paraId="68B4E0A7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 xml:space="preserve">8.16 </w:t>
            </w:r>
          </w:p>
          <w:p w14:paraId="7E1B6631" w14:textId="77777777" w:rsidR="000D33D1" w:rsidRPr="00E7717A" w:rsidRDefault="000D33D1" w:rsidP="000D5CDF">
            <w:pPr>
              <w:jc w:val="center"/>
              <w:outlineLvl w:val="8"/>
              <w:rPr>
                <w:sz w:val="20"/>
                <w:vertAlign w:val="subscript"/>
              </w:rPr>
            </w:pPr>
            <w:r w:rsidRPr="009F1EA0">
              <w:rPr>
                <w:sz w:val="20"/>
              </w:rPr>
              <w:t>(s,1H)/δ</w:t>
            </w:r>
            <w:r w:rsidRPr="009F1EA0">
              <w:rPr>
                <w:sz w:val="20"/>
                <w:vertAlign w:val="subscript"/>
              </w:rPr>
              <w:t>H2</w:t>
            </w:r>
          </w:p>
          <w:p w14:paraId="7C2C6BD8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>7.54</w:t>
            </w:r>
          </w:p>
          <w:p w14:paraId="4F323C06" w14:textId="77777777" w:rsidR="000D33D1" w:rsidRPr="00E7717A" w:rsidRDefault="000D33D1" w:rsidP="000D5CDF">
            <w:pPr>
              <w:jc w:val="center"/>
              <w:outlineLvl w:val="8"/>
              <w:rPr>
                <w:sz w:val="20"/>
                <w:vertAlign w:val="subscript"/>
              </w:rPr>
            </w:pPr>
            <w:r w:rsidRPr="009F1EA0">
              <w:rPr>
                <w:sz w:val="20"/>
              </w:rPr>
              <w:t>(t, J</w:t>
            </w:r>
            <w:r w:rsidRPr="009F1EA0">
              <w:rPr>
                <w:sz w:val="20"/>
                <w:vertAlign w:val="subscript"/>
              </w:rPr>
              <w:t>1</w:t>
            </w:r>
            <w:r w:rsidRPr="009F1EA0">
              <w:rPr>
                <w:sz w:val="20"/>
              </w:rPr>
              <w:t>= 7.9Hz, 1H)/δ</w:t>
            </w:r>
            <w:r w:rsidRPr="009F1EA0">
              <w:rPr>
                <w:sz w:val="20"/>
                <w:vertAlign w:val="subscript"/>
              </w:rPr>
              <w:t>H5</w:t>
            </w:r>
          </w:p>
          <w:p w14:paraId="55358413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t xml:space="preserve">7.88 </w:t>
            </w:r>
          </w:p>
          <w:p w14:paraId="0118BB33" w14:textId="77777777" w:rsidR="000D33D1" w:rsidRPr="00E7717A" w:rsidRDefault="000D33D1" w:rsidP="000D5CDF">
            <w:pPr>
              <w:jc w:val="center"/>
              <w:outlineLvl w:val="8"/>
              <w:rPr>
                <w:sz w:val="20"/>
                <w:vertAlign w:val="subscript"/>
              </w:rPr>
            </w:pPr>
            <w:r w:rsidRPr="009F1EA0">
              <w:rPr>
                <w:sz w:val="20"/>
              </w:rPr>
              <w:t>(d, J</w:t>
            </w:r>
            <w:r w:rsidRPr="009F1EA0">
              <w:rPr>
                <w:sz w:val="20"/>
                <w:vertAlign w:val="subscript"/>
              </w:rPr>
              <w:t>1</w:t>
            </w:r>
            <w:r w:rsidRPr="009F1EA0">
              <w:rPr>
                <w:sz w:val="20"/>
              </w:rPr>
              <w:t>= 8.1 Hz, 1H) δ</w:t>
            </w:r>
            <w:r w:rsidRPr="009F1EA0">
              <w:rPr>
                <w:sz w:val="20"/>
                <w:vertAlign w:val="subscript"/>
              </w:rPr>
              <w:t>H4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CD25564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lastRenderedPageBreak/>
              <w:t>7.85-7.77</w:t>
            </w:r>
          </w:p>
          <w:p w14:paraId="1C22AA35" w14:textId="77777777" w:rsidR="000D33D1" w:rsidRPr="009F1EA0" w:rsidRDefault="000D33D1" w:rsidP="000D5CDF">
            <w:pPr>
              <w:jc w:val="center"/>
              <w:outlineLvl w:val="8"/>
              <w:rPr>
                <w:sz w:val="20"/>
              </w:rPr>
            </w:pPr>
            <w:r w:rsidRPr="009F1EA0">
              <w:rPr>
                <w:sz w:val="20"/>
              </w:rPr>
              <w:lastRenderedPageBreak/>
              <w:t>(m, 4H)/δ</w:t>
            </w:r>
            <w:r w:rsidRPr="009F1EA0">
              <w:rPr>
                <w:sz w:val="20"/>
                <w:vertAlign w:val="subscript"/>
              </w:rPr>
              <w:t>H2,H3,H5&amp;H6</w:t>
            </w:r>
          </w:p>
        </w:tc>
      </w:tr>
    </w:tbl>
    <w:p w14:paraId="0A89C9B4" w14:textId="77777777" w:rsidR="000D33D1" w:rsidRPr="00D6017D" w:rsidRDefault="000D33D1" w:rsidP="00D6017D">
      <w:pPr>
        <w:autoSpaceDE w:val="0"/>
        <w:autoSpaceDN w:val="0"/>
        <w:adjustRightInd w:val="0"/>
        <w:rPr>
          <w:sz w:val="18"/>
          <w:szCs w:val="18"/>
          <w:lang w:val="ms-MY"/>
        </w:rPr>
      </w:pPr>
      <w:r w:rsidRPr="00D6017D">
        <w:rPr>
          <w:sz w:val="18"/>
          <w:szCs w:val="18"/>
          <w:lang w:val="ms-MY"/>
        </w:rPr>
        <w:lastRenderedPageBreak/>
        <w:t xml:space="preserve">s: singlet; d: </w:t>
      </w:r>
      <w:proofErr w:type="spellStart"/>
      <w:r w:rsidRPr="00D6017D">
        <w:rPr>
          <w:sz w:val="18"/>
          <w:szCs w:val="18"/>
          <w:lang w:val="ms-MY"/>
        </w:rPr>
        <w:t>doublet</w:t>
      </w:r>
      <w:proofErr w:type="spellEnd"/>
      <w:r w:rsidRPr="00D6017D">
        <w:rPr>
          <w:sz w:val="18"/>
          <w:szCs w:val="18"/>
          <w:lang w:val="ms-MY"/>
        </w:rPr>
        <w:t xml:space="preserve">; t: </w:t>
      </w:r>
      <w:proofErr w:type="spellStart"/>
      <w:r w:rsidRPr="00D6017D">
        <w:rPr>
          <w:sz w:val="18"/>
          <w:szCs w:val="18"/>
          <w:lang w:val="ms-MY"/>
        </w:rPr>
        <w:t>triplet</w:t>
      </w:r>
      <w:proofErr w:type="spellEnd"/>
      <w:r w:rsidRPr="00D6017D">
        <w:rPr>
          <w:sz w:val="18"/>
          <w:szCs w:val="18"/>
          <w:lang w:val="ms-MY"/>
        </w:rPr>
        <w:t xml:space="preserve">; m: </w:t>
      </w:r>
      <w:proofErr w:type="spellStart"/>
      <w:r w:rsidRPr="00D6017D">
        <w:rPr>
          <w:sz w:val="18"/>
          <w:szCs w:val="18"/>
          <w:lang w:val="ms-MY"/>
        </w:rPr>
        <w:t>multiplet</w:t>
      </w:r>
      <w:proofErr w:type="spellEnd"/>
    </w:p>
    <w:p w14:paraId="630BB29D" w14:textId="77777777" w:rsidR="000D33D1" w:rsidRDefault="000D33D1" w:rsidP="00B87BC0">
      <w:pPr>
        <w:autoSpaceDE w:val="0"/>
        <w:autoSpaceDN w:val="0"/>
        <w:adjustRightInd w:val="0"/>
        <w:rPr>
          <w:sz w:val="20"/>
          <w:lang w:val="ms-MY"/>
        </w:rPr>
      </w:pPr>
    </w:p>
    <w:p w14:paraId="52D02207" w14:textId="29634B1F" w:rsidR="000D33D1" w:rsidRDefault="00D6017D" w:rsidP="000D33D1">
      <w:pPr>
        <w:autoSpaceDE w:val="0"/>
        <w:autoSpaceDN w:val="0"/>
        <w:adjustRightInd w:val="0"/>
        <w:spacing w:after="240"/>
        <w:jc w:val="center"/>
        <w:rPr>
          <w:sz w:val="20"/>
        </w:rPr>
      </w:pPr>
      <w:proofErr w:type="spellStart"/>
      <w:r>
        <w:rPr>
          <w:sz w:val="20"/>
          <w:lang w:val="ms-MY"/>
        </w:rPr>
        <w:t>Table</w:t>
      </w:r>
      <w:proofErr w:type="spellEnd"/>
      <w:r>
        <w:rPr>
          <w:sz w:val="20"/>
          <w:lang w:val="ms-MY"/>
        </w:rPr>
        <w:t xml:space="preserve"> 6. </w:t>
      </w:r>
      <w:r w:rsidR="000D33D1">
        <w:rPr>
          <w:sz w:val="20"/>
          <w:lang w:val="ms-MY"/>
        </w:rPr>
        <w:t>The</w:t>
      </w:r>
      <w:r w:rsidR="000D33D1">
        <w:rPr>
          <w:sz w:val="20"/>
          <w:vertAlign w:val="superscript"/>
          <w:lang w:val="ms-MY"/>
        </w:rPr>
        <w:t>13</w:t>
      </w:r>
      <w:r w:rsidR="000D33D1">
        <w:rPr>
          <w:sz w:val="20"/>
          <w:lang w:val="ms-MY"/>
        </w:rPr>
        <w:t xml:space="preserve">C NMR </w:t>
      </w:r>
      <w:proofErr w:type="spellStart"/>
      <w:r w:rsidR="000D33D1">
        <w:rPr>
          <w:sz w:val="20"/>
          <w:lang w:val="ms-MY"/>
        </w:rPr>
        <w:t>signals</w:t>
      </w:r>
      <w:proofErr w:type="spellEnd"/>
      <w:r w:rsidR="000D33D1">
        <w:rPr>
          <w:sz w:val="20"/>
          <w:lang w:val="ms-MY"/>
        </w:rPr>
        <w:t xml:space="preserve"> </w:t>
      </w:r>
      <w:proofErr w:type="spellStart"/>
      <w:r w:rsidR="000D33D1">
        <w:rPr>
          <w:sz w:val="20"/>
          <w:lang w:val="ms-MY"/>
        </w:rPr>
        <w:t>of</w:t>
      </w:r>
      <w:proofErr w:type="spellEnd"/>
      <w:r w:rsidR="000D33D1">
        <w:rPr>
          <w:sz w:val="20"/>
          <w:lang w:val="ms-MY"/>
        </w:rPr>
        <w:t xml:space="preserve"> </w:t>
      </w:r>
      <w:proofErr w:type="spellStart"/>
      <w:r w:rsidR="000D33D1">
        <w:rPr>
          <w:sz w:val="20"/>
          <w:lang w:val="ms-MY"/>
        </w:rPr>
        <w:t>the</w:t>
      </w:r>
      <w:proofErr w:type="spellEnd"/>
      <w:r w:rsidR="000D33D1">
        <w:rPr>
          <w:sz w:val="20"/>
          <w:lang w:val="ms-MY"/>
        </w:rPr>
        <w:t xml:space="preserve"> </w:t>
      </w:r>
      <w:r w:rsidR="000D33D1">
        <w:rPr>
          <w:i/>
          <w:sz w:val="20"/>
        </w:rPr>
        <w:t>N</w:t>
      </w:r>
      <w:r w:rsidR="000D33D1">
        <w:rPr>
          <w:sz w:val="20"/>
        </w:rPr>
        <w:t>-(</w:t>
      </w:r>
      <w:proofErr w:type="spellStart"/>
      <w:r w:rsidR="000D33D1">
        <w:rPr>
          <w:sz w:val="20"/>
        </w:rPr>
        <w:t>bromobenzoyl</w:t>
      </w:r>
      <w:proofErr w:type="spellEnd"/>
      <w:r w:rsidR="000D33D1">
        <w:rPr>
          <w:sz w:val="20"/>
        </w:rPr>
        <w:t>)-</w:t>
      </w:r>
      <w:r w:rsidR="000D33D1">
        <w:rPr>
          <w:i/>
          <w:sz w:val="20"/>
        </w:rPr>
        <w:t>N</w:t>
      </w:r>
      <w:r w:rsidR="000D33D1">
        <w:rPr>
          <w:sz w:val="20"/>
        </w:rPr>
        <w:t>'-(1,10-phenanthrolin-5-yl)thiourea derivatives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3"/>
        <w:gridCol w:w="983"/>
        <w:gridCol w:w="1372"/>
        <w:gridCol w:w="1428"/>
        <w:gridCol w:w="1372"/>
      </w:tblGrid>
      <w:tr w:rsidR="000D33D1" w14:paraId="6E7940A1" w14:textId="77777777" w:rsidTr="000D5CDF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15B63D17" w14:textId="77777777" w:rsidR="000D33D1" w:rsidRPr="009F1EA0" w:rsidRDefault="000D33D1" w:rsidP="000D5CDF">
            <w:pPr>
              <w:pStyle w:val="AEuroAbstract"/>
              <w:spacing w:befor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Carbon</w:t>
            </w:r>
          </w:p>
        </w:tc>
        <w:tc>
          <w:tcPr>
            <w:tcW w:w="0" w:type="auto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B5246F8" w14:textId="77777777" w:rsidR="000D33D1" w:rsidRDefault="000D33D1" w:rsidP="000D5CDF">
            <w:pPr>
              <w:jc w:val="center"/>
              <w:rPr>
                <w:szCs w:val="24"/>
              </w:rPr>
            </w:pPr>
            <w:r w:rsidRPr="009F1EA0">
              <w:rPr>
                <w:b/>
                <w:sz w:val="20"/>
              </w:rPr>
              <w:t>δ, ppm</w:t>
            </w:r>
          </w:p>
        </w:tc>
      </w:tr>
      <w:tr w:rsidR="000D33D1" w14:paraId="48A35233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14498" w14:textId="77777777" w:rsidR="000D33D1" w:rsidRDefault="000D33D1" w:rsidP="000D5CDF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4877" w14:textId="77777777" w:rsidR="000D33D1" w:rsidRDefault="000D33D1" w:rsidP="000D5CDF">
            <w:pPr>
              <w:jc w:val="center"/>
              <w:rPr>
                <w:szCs w:val="24"/>
              </w:rPr>
            </w:pPr>
            <w:proofErr w:type="spellStart"/>
            <w:r w:rsidRPr="009F1EA0">
              <w:rPr>
                <w:b/>
                <w:sz w:val="20"/>
              </w:rPr>
              <w:t>Phen</w:t>
            </w:r>
            <w:proofErr w:type="spellEnd"/>
            <w:r w:rsidRPr="009F1EA0">
              <w:rPr>
                <w:b/>
                <w:sz w:val="20"/>
              </w:rPr>
              <w:t>-BT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607DA" w14:textId="77777777" w:rsidR="000D33D1" w:rsidRDefault="000D33D1" w:rsidP="000D5CDF">
            <w:pPr>
              <w:jc w:val="center"/>
              <w:rPr>
                <w:szCs w:val="24"/>
              </w:rPr>
            </w:pPr>
            <w:proofErr w:type="spellStart"/>
            <w:r w:rsidRPr="009F1EA0">
              <w:rPr>
                <w:b/>
                <w:sz w:val="20"/>
              </w:rPr>
              <w:t>Phen</w:t>
            </w:r>
            <w:proofErr w:type="spellEnd"/>
            <w:r w:rsidRPr="009F1EA0">
              <w:rPr>
                <w:b/>
                <w:sz w:val="20"/>
              </w:rPr>
              <w:t>-</w:t>
            </w:r>
            <w:r w:rsidRPr="009F1EA0">
              <w:rPr>
                <w:b/>
                <w:i/>
                <w:sz w:val="20"/>
              </w:rPr>
              <w:t>o</w:t>
            </w:r>
            <w:r w:rsidRPr="009F1EA0">
              <w:rPr>
                <w:b/>
                <w:sz w:val="20"/>
              </w:rPr>
              <w:t>-</w:t>
            </w:r>
            <w:proofErr w:type="spellStart"/>
            <w:r w:rsidRPr="009F1EA0">
              <w:rPr>
                <w:b/>
                <w:sz w:val="20"/>
              </w:rPr>
              <w:t>BrBT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7EB2B" w14:textId="77777777" w:rsidR="000D33D1" w:rsidRDefault="000D33D1" w:rsidP="000D5CDF">
            <w:pPr>
              <w:jc w:val="center"/>
              <w:rPr>
                <w:szCs w:val="24"/>
              </w:rPr>
            </w:pPr>
            <w:proofErr w:type="spellStart"/>
            <w:r w:rsidRPr="009F1EA0">
              <w:rPr>
                <w:b/>
                <w:sz w:val="20"/>
              </w:rPr>
              <w:t>Phen</w:t>
            </w:r>
            <w:proofErr w:type="spellEnd"/>
            <w:r w:rsidRPr="009F1EA0">
              <w:rPr>
                <w:b/>
                <w:sz w:val="20"/>
              </w:rPr>
              <w:t>-</w:t>
            </w:r>
            <w:r>
              <w:rPr>
                <w:b/>
                <w:i/>
                <w:sz w:val="20"/>
              </w:rPr>
              <w:t>m</w:t>
            </w:r>
            <w:r w:rsidRPr="009F1EA0">
              <w:rPr>
                <w:b/>
                <w:sz w:val="20"/>
              </w:rPr>
              <w:t>-</w:t>
            </w:r>
            <w:proofErr w:type="spellStart"/>
            <w:r w:rsidRPr="009F1EA0">
              <w:rPr>
                <w:b/>
                <w:sz w:val="20"/>
              </w:rPr>
              <w:t>BrBT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5BA92" w14:textId="77777777" w:rsidR="000D33D1" w:rsidRDefault="000D33D1" w:rsidP="000D5CDF">
            <w:pPr>
              <w:jc w:val="center"/>
              <w:rPr>
                <w:szCs w:val="24"/>
              </w:rPr>
            </w:pPr>
            <w:proofErr w:type="spellStart"/>
            <w:r w:rsidRPr="009F1EA0">
              <w:rPr>
                <w:b/>
                <w:sz w:val="20"/>
              </w:rPr>
              <w:t>Phen</w:t>
            </w:r>
            <w:proofErr w:type="spellEnd"/>
            <w:r w:rsidRPr="009F1EA0">
              <w:rPr>
                <w:b/>
                <w:sz w:val="20"/>
              </w:rPr>
              <w:t>-</w:t>
            </w:r>
            <w:r>
              <w:rPr>
                <w:b/>
                <w:i/>
                <w:sz w:val="20"/>
              </w:rPr>
              <w:t>p</w:t>
            </w:r>
            <w:r w:rsidRPr="009F1EA0">
              <w:rPr>
                <w:b/>
                <w:sz w:val="20"/>
              </w:rPr>
              <w:t>-</w:t>
            </w:r>
            <w:proofErr w:type="spellStart"/>
            <w:r w:rsidRPr="009F1EA0">
              <w:rPr>
                <w:b/>
                <w:sz w:val="20"/>
              </w:rPr>
              <w:t>BrBT</w:t>
            </w:r>
            <w:proofErr w:type="spellEnd"/>
          </w:p>
        </w:tc>
      </w:tr>
      <w:tr w:rsidR="000D33D1" w14:paraId="51E2A52F" w14:textId="77777777" w:rsidTr="000D5CDF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3C953C3B" w14:textId="77777777" w:rsidR="000D33D1" w:rsidRPr="00D6017D" w:rsidRDefault="000D33D1" w:rsidP="000D5CDF">
            <w:pPr>
              <w:jc w:val="center"/>
              <w:outlineLvl w:val="8"/>
              <w:rPr>
                <w:bCs/>
                <w:sz w:val="20"/>
              </w:rPr>
            </w:pPr>
            <w:r w:rsidRPr="00D6017D">
              <w:rPr>
                <w:bCs/>
                <w:sz w:val="20"/>
              </w:rPr>
              <w:t>C=S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443464C5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182.49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90AC265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182.04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1CD05497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182.39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F49EBA9" w14:textId="77777777" w:rsidR="000D33D1" w:rsidRPr="00DE78AB" w:rsidRDefault="000D33D1" w:rsidP="000D5CDF">
            <w:pPr>
              <w:jc w:val="center"/>
              <w:outlineLvl w:val="6"/>
              <w:rPr>
                <w:sz w:val="20"/>
              </w:rPr>
            </w:pPr>
            <w:r w:rsidRPr="00DE78AB">
              <w:rPr>
                <w:sz w:val="20"/>
              </w:rPr>
              <w:t>182.43</w:t>
            </w:r>
          </w:p>
        </w:tc>
      </w:tr>
      <w:tr w:rsidR="000D33D1" w14:paraId="08A60DF3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E7E066" w14:textId="77777777" w:rsidR="000D33D1" w:rsidRPr="00D6017D" w:rsidRDefault="000D33D1" w:rsidP="000D5CDF">
            <w:pPr>
              <w:jc w:val="center"/>
              <w:outlineLvl w:val="8"/>
              <w:rPr>
                <w:bCs/>
                <w:sz w:val="20"/>
              </w:rPr>
            </w:pPr>
            <w:r w:rsidRPr="00D6017D">
              <w:rPr>
                <w:bCs/>
                <w:sz w:val="20"/>
              </w:rPr>
              <w:t>C=O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98B194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168.75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E12C72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169.08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72D54E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167.39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6DB42E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167.98</w:t>
            </w:r>
          </w:p>
        </w:tc>
      </w:tr>
      <w:tr w:rsidR="000D33D1" w14:paraId="4E22B10E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71D075" w14:textId="77777777" w:rsidR="000D33D1" w:rsidRPr="00D6017D" w:rsidRDefault="000D33D1" w:rsidP="000D5CDF">
            <w:pPr>
              <w:jc w:val="center"/>
              <w:outlineLvl w:val="8"/>
              <w:rPr>
                <w:bCs/>
                <w:sz w:val="20"/>
              </w:rPr>
            </w:pPr>
            <w:r w:rsidRPr="00D6017D">
              <w:rPr>
                <w:bCs/>
                <w:sz w:val="20"/>
              </w:rPr>
              <w:t>C9, C16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5706A6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132.97</w:t>
            </w:r>
          </w:p>
          <w:p w14:paraId="57A6E898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35E457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146.42</w:t>
            </w:r>
          </w:p>
          <w:p w14:paraId="63859E44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145.43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158D8B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146.38</w:t>
            </w:r>
          </w:p>
          <w:p w14:paraId="0DE3C41F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145.36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E79CB2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146.45</w:t>
            </w:r>
          </w:p>
          <w:p w14:paraId="517344C9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145.43</w:t>
            </w:r>
          </w:p>
        </w:tc>
      </w:tr>
      <w:tr w:rsidR="000D33D1" w14:paraId="5C253E5E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EF3E5A" w14:textId="77777777" w:rsidR="000D33D1" w:rsidRPr="00D6017D" w:rsidRDefault="000D33D1" w:rsidP="000D5CDF">
            <w:pPr>
              <w:jc w:val="center"/>
              <w:outlineLvl w:val="8"/>
              <w:rPr>
                <w:bCs/>
                <w:sz w:val="20"/>
              </w:rPr>
            </w:pPr>
            <w:r w:rsidRPr="00D6017D">
              <w:rPr>
                <w:bCs/>
                <w:sz w:val="20"/>
              </w:rPr>
              <w:t>C10, C15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37DB7D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EC0740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128.34</w:t>
            </w:r>
          </w:p>
          <w:p w14:paraId="7ADF0EF8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4E2F83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128.46</w:t>
            </w:r>
          </w:p>
          <w:p w14:paraId="04819254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D75CE8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125.43</w:t>
            </w:r>
          </w:p>
          <w:p w14:paraId="5614198E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126.23</w:t>
            </w:r>
          </w:p>
        </w:tc>
      </w:tr>
      <w:tr w:rsidR="000D33D1" w14:paraId="00E67944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D67790" w14:textId="77777777" w:rsidR="000D33D1" w:rsidRPr="00D6017D" w:rsidRDefault="000D33D1" w:rsidP="000D5CDF">
            <w:pPr>
              <w:jc w:val="center"/>
              <w:outlineLvl w:val="8"/>
              <w:rPr>
                <w:bCs/>
                <w:sz w:val="20"/>
              </w:rPr>
            </w:pPr>
            <w:r w:rsidRPr="00D6017D">
              <w:rPr>
                <w:bCs/>
                <w:sz w:val="20"/>
              </w:rPr>
              <w:t>C11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B599DF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DCA93A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54C5CD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351800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132.60</w:t>
            </w:r>
          </w:p>
        </w:tc>
      </w:tr>
      <w:tr w:rsidR="000D33D1" w14:paraId="70580FCC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C6E133" w14:textId="77777777" w:rsidR="000D33D1" w:rsidRPr="00D6017D" w:rsidRDefault="000D33D1" w:rsidP="000D5CDF">
            <w:pPr>
              <w:jc w:val="center"/>
              <w:outlineLvl w:val="8"/>
              <w:rPr>
                <w:bCs/>
                <w:sz w:val="20"/>
              </w:rPr>
            </w:pPr>
            <w:r w:rsidRPr="00D6017D">
              <w:rPr>
                <w:bCs/>
                <w:sz w:val="20"/>
              </w:rPr>
              <w:t>C12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BA1D8B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0C55CC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442B61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4111E4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127.72</w:t>
            </w:r>
          </w:p>
        </w:tc>
      </w:tr>
      <w:tr w:rsidR="000D33D1" w14:paraId="1E8C8B13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62F93F" w14:textId="77777777" w:rsidR="000D33D1" w:rsidRPr="00D6017D" w:rsidRDefault="000D33D1" w:rsidP="000D5CDF">
            <w:pPr>
              <w:jc w:val="center"/>
              <w:outlineLvl w:val="8"/>
              <w:rPr>
                <w:bCs/>
                <w:sz w:val="20"/>
              </w:rPr>
            </w:pPr>
            <w:r w:rsidRPr="00D6017D">
              <w:rPr>
                <w:bCs/>
                <w:sz w:val="20"/>
              </w:rPr>
              <w:t>C14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00D4B4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ECF01C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C4192C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066CE5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131.46</w:t>
            </w:r>
          </w:p>
        </w:tc>
      </w:tr>
      <w:tr w:rsidR="000D33D1" w14:paraId="36406113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C01160" w14:textId="77777777" w:rsidR="000D33D1" w:rsidRPr="00D6017D" w:rsidRDefault="000D33D1" w:rsidP="000D5CDF">
            <w:pPr>
              <w:jc w:val="center"/>
              <w:outlineLvl w:val="8"/>
              <w:rPr>
                <w:bCs/>
                <w:sz w:val="20"/>
              </w:rPr>
            </w:pPr>
            <w:r w:rsidRPr="00D6017D">
              <w:rPr>
                <w:bCs/>
                <w:sz w:val="20"/>
              </w:rPr>
              <w:t>C17, C20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674F91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150.54</w:t>
            </w:r>
          </w:p>
          <w:p w14:paraId="1D64304A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150.48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9D4CB8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150.90</w:t>
            </w:r>
          </w:p>
          <w:p w14:paraId="5894ED68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150.66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64A252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150.87</w:t>
            </w:r>
          </w:p>
          <w:p w14:paraId="03B40114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150.66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9A1536" w14:textId="77777777" w:rsidR="000D33D1" w:rsidRPr="00DE78AB" w:rsidRDefault="000D33D1" w:rsidP="000D5CDF">
            <w:pPr>
              <w:jc w:val="center"/>
              <w:outlineLvl w:val="6"/>
              <w:rPr>
                <w:sz w:val="20"/>
              </w:rPr>
            </w:pPr>
            <w:r w:rsidRPr="00DE78AB">
              <w:rPr>
                <w:sz w:val="20"/>
              </w:rPr>
              <w:t>150.88</w:t>
            </w:r>
          </w:p>
          <w:p w14:paraId="512C9441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150.66</w:t>
            </w:r>
          </w:p>
        </w:tc>
      </w:tr>
      <w:tr w:rsidR="000D33D1" w14:paraId="5AD21B9E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D8D91D" w14:textId="77777777" w:rsidR="000D33D1" w:rsidRPr="00D6017D" w:rsidRDefault="000D33D1" w:rsidP="000D5CDF">
            <w:pPr>
              <w:jc w:val="center"/>
              <w:outlineLvl w:val="8"/>
              <w:rPr>
                <w:bCs/>
                <w:sz w:val="20"/>
              </w:rPr>
            </w:pPr>
            <w:r w:rsidRPr="00D6017D">
              <w:rPr>
                <w:bCs/>
                <w:sz w:val="20"/>
              </w:rPr>
              <w:t>C18, C19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0E04C1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129.33</w:t>
            </w:r>
          </w:p>
          <w:p w14:paraId="74D92412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49BD13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132.76</w:t>
            </w:r>
          </w:p>
          <w:p w14:paraId="2CE76988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C841E6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94F6EF" w14:textId="77777777" w:rsidR="000D33D1" w:rsidRPr="00DE78AB" w:rsidRDefault="000D33D1" w:rsidP="000D5CDF">
            <w:pPr>
              <w:jc w:val="center"/>
              <w:outlineLvl w:val="6"/>
              <w:rPr>
                <w:sz w:val="20"/>
              </w:rPr>
            </w:pPr>
            <w:r w:rsidRPr="00DE78AB">
              <w:rPr>
                <w:sz w:val="20"/>
              </w:rPr>
              <w:t>128.32</w:t>
            </w:r>
          </w:p>
        </w:tc>
      </w:tr>
      <w:tr w:rsidR="000D33D1" w14:paraId="5EC5ED45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7A72B6" w14:textId="77777777" w:rsidR="000D33D1" w:rsidRPr="00D6017D" w:rsidRDefault="000D33D1" w:rsidP="000D5CDF">
            <w:pPr>
              <w:jc w:val="center"/>
              <w:outlineLvl w:val="8"/>
              <w:rPr>
                <w:bCs/>
                <w:sz w:val="20"/>
              </w:rPr>
            </w:pPr>
            <w:r w:rsidRPr="00D6017D">
              <w:rPr>
                <w:bCs/>
                <w:sz w:val="20"/>
              </w:rPr>
              <w:t>C1, C13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8F82AF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133.85</w:t>
            </w:r>
          </w:p>
          <w:p w14:paraId="11957A39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7E9FEB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137.12</w:t>
            </w:r>
          </w:p>
          <w:p w14:paraId="4AC9D196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7A51D1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125.05</w:t>
            </w:r>
          </w:p>
          <w:p w14:paraId="5EA18F19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FB998E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132.08</w:t>
            </w:r>
          </w:p>
          <w:p w14:paraId="2D3ED6DF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132.00</w:t>
            </w:r>
          </w:p>
        </w:tc>
      </w:tr>
      <w:tr w:rsidR="000D33D1" w14:paraId="0B644334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2C5C1C" w14:textId="77777777" w:rsidR="000D33D1" w:rsidRPr="00D6017D" w:rsidRDefault="000D33D1" w:rsidP="000D5CDF">
            <w:pPr>
              <w:jc w:val="center"/>
              <w:outlineLvl w:val="8"/>
              <w:rPr>
                <w:bCs/>
                <w:sz w:val="20"/>
              </w:rPr>
            </w:pPr>
            <w:r w:rsidRPr="00D6017D">
              <w:rPr>
                <w:bCs/>
                <w:sz w:val="20"/>
              </w:rPr>
              <w:t>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D69B87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195F76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700E67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E56BC5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123.84</w:t>
            </w:r>
          </w:p>
        </w:tc>
      </w:tr>
      <w:tr w:rsidR="000D33D1" w14:paraId="4C89C14A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72E52E" w14:textId="77777777" w:rsidR="000D33D1" w:rsidRPr="00D6017D" w:rsidRDefault="000D33D1" w:rsidP="000D5CDF">
            <w:pPr>
              <w:jc w:val="center"/>
              <w:outlineLvl w:val="8"/>
              <w:rPr>
                <w:bCs/>
                <w:sz w:val="20"/>
              </w:rPr>
            </w:pPr>
            <w:r w:rsidRPr="00D6017D">
              <w:rPr>
                <w:bCs/>
                <w:sz w:val="20"/>
              </w:rPr>
              <w:t>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CECD88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AFC09D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7CF139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3ED54C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124.19</w:t>
            </w:r>
          </w:p>
        </w:tc>
      </w:tr>
      <w:tr w:rsidR="000D33D1" w14:paraId="7C70F94C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C91750" w14:textId="77777777" w:rsidR="000D33D1" w:rsidRPr="00D6017D" w:rsidRDefault="000D33D1" w:rsidP="000D5CDF">
            <w:pPr>
              <w:jc w:val="center"/>
              <w:outlineLvl w:val="8"/>
              <w:rPr>
                <w:bCs/>
                <w:sz w:val="20"/>
              </w:rPr>
            </w:pPr>
            <w:r w:rsidRPr="00D6017D">
              <w:rPr>
                <w:bCs/>
                <w:sz w:val="20"/>
              </w:rPr>
              <w:t>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903353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0DDA22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76222B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09A0F7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133.75</w:t>
            </w:r>
          </w:p>
        </w:tc>
      </w:tr>
      <w:tr w:rsidR="000D33D1" w14:paraId="54BE7A11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18C316" w14:textId="77777777" w:rsidR="000D33D1" w:rsidRPr="00D6017D" w:rsidRDefault="000D33D1" w:rsidP="000D5CDF">
            <w:pPr>
              <w:jc w:val="center"/>
              <w:outlineLvl w:val="8"/>
              <w:rPr>
                <w:bCs/>
                <w:sz w:val="20"/>
              </w:rPr>
            </w:pPr>
            <w:r w:rsidRPr="00D6017D">
              <w:rPr>
                <w:bCs/>
                <w:sz w:val="20"/>
              </w:rPr>
              <w:t>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00DAD0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D743C4" w14:textId="77777777" w:rsidR="000D33D1" w:rsidRPr="00DE78AB" w:rsidRDefault="000D33D1" w:rsidP="000D5CDF">
            <w:pPr>
              <w:jc w:val="center"/>
              <w:outlineLvl w:val="6"/>
              <w:rPr>
                <w:sz w:val="20"/>
              </w:rPr>
            </w:pPr>
            <w:r w:rsidRPr="00DE78AB">
              <w:rPr>
                <w:sz w:val="20"/>
              </w:rPr>
              <w:t>123.88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4F86C0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131.23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F157B4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123.19</w:t>
            </w:r>
          </w:p>
        </w:tc>
      </w:tr>
      <w:tr w:rsidR="000D33D1" w14:paraId="48010823" w14:textId="77777777" w:rsidTr="000D5CDF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A5DCAAC" w14:textId="77777777" w:rsidR="000D33D1" w:rsidRPr="00D6017D" w:rsidRDefault="000D33D1" w:rsidP="000D5CDF">
            <w:pPr>
              <w:jc w:val="center"/>
              <w:outlineLvl w:val="8"/>
              <w:rPr>
                <w:bCs/>
                <w:sz w:val="20"/>
              </w:rPr>
            </w:pPr>
            <w:r w:rsidRPr="00D6017D">
              <w:rPr>
                <w:bCs/>
                <w:sz w:val="20"/>
              </w:rPr>
              <w:t>C6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B3502EC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124.01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BBDFACA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119.44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24AF650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122.07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0D860A9" w14:textId="77777777" w:rsidR="000D33D1" w:rsidRPr="00DE78AB" w:rsidRDefault="000D33D1" w:rsidP="000D5CDF">
            <w:pPr>
              <w:jc w:val="center"/>
              <w:outlineLvl w:val="8"/>
              <w:rPr>
                <w:sz w:val="20"/>
              </w:rPr>
            </w:pPr>
            <w:r w:rsidRPr="00DE78AB">
              <w:rPr>
                <w:sz w:val="20"/>
              </w:rPr>
              <w:t>123.84</w:t>
            </w:r>
          </w:p>
        </w:tc>
      </w:tr>
    </w:tbl>
    <w:p w14:paraId="6AA21143" w14:textId="77777777" w:rsidR="000D33D1" w:rsidRPr="00B85BF2" w:rsidRDefault="000D33D1" w:rsidP="000D33D1">
      <w:pPr>
        <w:autoSpaceDE w:val="0"/>
        <w:autoSpaceDN w:val="0"/>
        <w:adjustRightInd w:val="0"/>
        <w:jc w:val="center"/>
        <w:rPr>
          <w:sz w:val="20"/>
        </w:rPr>
      </w:pPr>
    </w:p>
    <w:p w14:paraId="667D1C6B" w14:textId="483659D5" w:rsidR="000D33D1" w:rsidRDefault="000D33D1" w:rsidP="007B3641">
      <w:pPr>
        <w:jc w:val="both"/>
        <w:outlineLvl w:val="0"/>
        <w:rPr>
          <w:b/>
          <w:sz w:val="20"/>
        </w:rPr>
      </w:pPr>
      <w:r>
        <w:rPr>
          <w:b/>
          <w:sz w:val="20"/>
        </w:rPr>
        <w:t xml:space="preserve">Cyclic </w:t>
      </w:r>
      <w:r w:rsidR="00D6017D">
        <w:rPr>
          <w:b/>
          <w:sz w:val="20"/>
        </w:rPr>
        <w:t>v</w:t>
      </w:r>
      <w:r>
        <w:rPr>
          <w:b/>
          <w:sz w:val="20"/>
        </w:rPr>
        <w:t>oltammetry</w:t>
      </w:r>
    </w:p>
    <w:p w14:paraId="68B80FFB" w14:textId="77777777" w:rsidR="00662DD4" w:rsidRDefault="000D33D1" w:rsidP="000D33D1">
      <w:pPr>
        <w:jc w:val="both"/>
        <w:rPr>
          <w:sz w:val="20"/>
          <w:lang w:val="ms-MY"/>
        </w:rPr>
      </w:pPr>
      <w:r>
        <w:rPr>
          <w:sz w:val="20"/>
        </w:rPr>
        <w:t xml:space="preserve">Cyclic voltammetry is an important technique in electrochemistry analysis because it provides useful information on electron transfer process. </w:t>
      </w:r>
      <w:proofErr w:type="spellStart"/>
      <w:r>
        <w:rPr>
          <w:sz w:val="20"/>
          <w:lang w:val="ms-MY"/>
        </w:rPr>
        <w:t>The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electrochemical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cell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consist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of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three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electrodes</w:t>
      </w:r>
      <w:proofErr w:type="spellEnd"/>
      <w:r>
        <w:rPr>
          <w:sz w:val="20"/>
          <w:lang w:val="ms-MY"/>
        </w:rPr>
        <w:t xml:space="preserve"> - a platinum </w:t>
      </w:r>
      <w:proofErr w:type="spellStart"/>
      <w:r>
        <w:rPr>
          <w:sz w:val="20"/>
          <w:lang w:val="ms-MY"/>
        </w:rPr>
        <w:t>disk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working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electrode</w:t>
      </w:r>
      <w:proofErr w:type="spellEnd"/>
      <w:r>
        <w:rPr>
          <w:sz w:val="20"/>
          <w:lang w:val="ms-MY"/>
        </w:rPr>
        <w:t xml:space="preserve"> (2 mm, diameter), </w:t>
      </w:r>
      <w:proofErr w:type="spellStart"/>
      <w:r>
        <w:rPr>
          <w:sz w:val="20"/>
          <w:lang w:val="ms-MY"/>
        </w:rPr>
        <w:t>Ag</w:t>
      </w:r>
      <w:proofErr w:type="spellEnd"/>
      <w:r>
        <w:rPr>
          <w:sz w:val="20"/>
          <w:lang w:val="ms-MY"/>
        </w:rPr>
        <w:t>/</w:t>
      </w:r>
      <w:proofErr w:type="spellStart"/>
      <w:r>
        <w:rPr>
          <w:sz w:val="20"/>
          <w:lang w:val="ms-MY"/>
        </w:rPr>
        <w:t>Ag</w:t>
      </w:r>
      <w:proofErr w:type="spellEnd"/>
      <w:r>
        <w:rPr>
          <w:sz w:val="20"/>
          <w:vertAlign w:val="superscript"/>
          <w:lang w:val="ms-MY"/>
        </w:rPr>
        <w:t>+</w:t>
      </w:r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reference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electrode</w:t>
      </w:r>
      <w:proofErr w:type="spellEnd"/>
      <w:r>
        <w:rPr>
          <w:sz w:val="20"/>
          <w:lang w:val="ms-MY"/>
        </w:rPr>
        <w:t xml:space="preserve"> (0.01 M AgNO</w:t>
      </w:r>
      <w:r>
        <w:rPr>
          <w:sz w:val="20"/>
          <w:vertAlign w:val="subscript"/>
          <w:lang w:val="ms-MY"/>
        </w:rPr>
        <w:t>3</w:t>
      </w:r>
      <w:r>
        <w:rPr>
          <w:sz w:val="20"/>
          <w:lang w:val="ms-MY"/>
        </w:rPr>
        <w:t xml:space="preserve">; 0.1 M </w:t>
      </w:r>
      <w:proofErr w:type="spellStart"/>
      <w:r>
        <w:rPr>
          <w:sz w:val="20"/>
          <w:lang w:val="ms-MY"/>
        </w:rPr>
        <w:t>tetrabutylammonium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perchlorate</w:t>
      </w:r>
      <w:proofErr w:type="spellEnd"/>
      <w:r>
        <w:rPr>
          <w:sz w:val="20"/>
          <w:lang w:val="ms-MY"/>
        </w:rPr>
        <w:t xml:space="preserve"> in CH</w:t>
      </w:r>
      <w:r>
        <w:rPr>
          <w:sz w:val="20"/>
          <w:vertAlign w:val="subscript"/>
          <w:lang w:val="ms-MY"/>
        </w:rPr>
        <w:t>2</w:t>
      </w:r>
      <w:r>
        <w:rPr>
          <w:sz w:val="20"/>
          <w:lang w:val="ms-MY"/>
        </w:rPr>
        <w:t>Cl</w:t>
      </w:r>
      <w:r>
        <w:rPr>
          <w:sz w:val="20"/>
          <w:vertAlign w:val="subscript"/>
          <w:lang w:val="ms-MY"/>
        </w:rPr>
        <w:t>2</w:t>
      </w:r>
      <w:r>
        <w:rPr>
          <w:sz w:val="20"/>
          <w:lang w:val="ms-MY"/>
        </w:rPr>
        <w:t xml:space="preserve">) </w:t>
      </w:r>
      <w:proofErr w:type="spellStart"/>
      <w:r>
        <w:rPr>
          <w:sz w:val="20"/>
          <w:lang w:val="ms-MY"/>
        </w:rPr>
        <w:t>and</w:t>
      </w:r>
      <w:proofErr w:type="spellEnd"/>
      <w:r>
        <w:rPr>
          <w:sz w:val="20"/>
          <w:lang w:val="ms-MY"/>
        </w:rPr>
        <w:t xml:space="preserve"> a platinum </w:t>
      </w:r>
      <w:proofErr w:type="spellStart"/>
      <w:r>
        <w:rPr>
          <w:sz w:val="20"/>
          <w:lang w:val="ms-MY"/>
        </w:rPr>
        <w:t>counter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electrode</w:t>
      </w:r>
      <w:proofErr w:type="spellEnd"/>
      <w:r>
        <w:rPr>
          <w:sz w:val="20"/>
          <w:lang w:val="ms-MY"/>
        </w:rPr>
        <w:t xml:space="preserve">.  </w:t>
      </w:r>
      <w:proofErr w:type="spellStart"/>
      <w:r>
        <w:rPr>
          <w:sz w:val="20"/>
          <w:lang w:val="ms-MY"/>
        </w:rPr>
        <w:t>The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potentials</w:t>
      </w:r>
      <w:proofErr w:type="spellEnd"/>
      <w:r>
        <w:rPr>
          <w:sz w:val="20"/>
          <w:lang w:val="ms-MY"/>
        </w:rPr>
        <w:t xml:space="preserve"> (1 </w:t>
      </w:r>
      <w:proofErr w:type="spellStart"/>
      <w:r>
        <w:rPr>
          <w:sz w:val="20"/>
          <w:lang w:val="ms-MY"/>
        </w:rPr>
        <w:t>mM</w:t>
      </w:r>
      <w:proofErr w:type="spellEnd"/>
      <w:r>
        <w:rPr>
          <w:sz w:val="20"/>
          <w:lang w:val="ms-MY"/>
        </w:rPr>
        <w:t xml:space="preserve">) </w:t>
      </w:r>
      <w:proofErr w:type="spellStart"/>
      <w:r>
        <w:rPr>
          <w:sz w:val="20"/>
          <w:lang w:val="ms-MY"/>
        </w:rPr>
        <w:t>were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recorded</w:t>
      </w:r>
      <w:proofErr w:type="spellEnd"/>
      <w:r>
        <w:rPr>
          <w:sz w:val="20"/>
          <w:lang w:val="ms-MY"/>
        </w:rPr>
        <w:t xml:space="preserve"> in CH</w:t>
      </w:r>
      <w:r>
        <w:rPr>
          <w:sz w:val="20"/>
          <w:vertAlign w:val="subscript"/>
          <w:lang w:val="ms-MY"/>
        </w:rPr>
        <w:t>2</w:t>
      </w:r>
      <w:r>
        <w:rPr>
          <w:sz w:val="20"/>
          <w:lang w:val="ms-MY"/>
        </w:rPr>
        <w:t>Cl</w:t>
      </w:r>
      <w:r>
        <w:rPr>
          <w:sz w:val="20"/>
          <w:vertAlign w:val="subscript"/>
          <w:lang w:val="ms-MY"/>
        </w:rPr>
        <w:t xml:space="preserve">2 </w:t>
      </w:r>
      <w:proofErr w:type="spellStart"/>
      <w:r>
        <w:rPr>
          <w:sz w:val="20"/>
          <w:lang w:val="ms-MY"/>
        </w:rPr>
        <w:t>with</w:t>
      </w:r>
      <w:proofErr w:type="spellEnd"/>
      <w:r>
        <w:rPr>
          <w:sz w:val="20"/>
          <w:lang w:val="ms-MY"/>
        </w:rPr>
        <w:t xml:space="preserve"> 0</w:t>
      </w:r>
      <w:r>
        <w:rPr>
          <w:rFonts w:eastAsia="SimSun"/>
          <w:sz w:val="20"/>
          <w:lang w:val="ms-MY"/>
        </w:rPr>
        <w:t>.1 M [(</w:t>
      </w:r>
      <w:r>
        <w:rPr>
          <w:rFonts w:eastAsia="SimSun"/>
          <w:i/>
          <w:sz w:val="20"/>
          <w:lang w:val="ms-MY"/>
        </w:rPr>
        <w:t>n</w:t>
      </w:r>
      <w:r>
        <w:rPr>
          <w:rFonts w:eastAsia="SimSun"/>
          <w:sz w:val="20"/>
          <w:lang w:val="ms-MY"/>
        </w:rPr>
        <w:t>-C</w:t>
      </w:r>
      <w:r>
        <w:rPr>
          <w:rFonts w:eastAsia="SimSun"/>
          <w:sz w:val="20"/>
          <w:vertAlign w:val="subscript"/>
          <w:lang w:val="ms-MY"/>
        </w:rPr>
        <w:t>4</w:t>
      </w:r>
      <w:r>
        <w:rPr>
          <w:rFonts w:eastAsia="SimSun"/>
          <w:sz w:val="20"/>
          <w:lang w:val="ms-MY"/>
        </w:rPr>
        <w:t>H</w:t>
      </w:r>
      <w:r>
        <w:rPr>
          <w:rFonts w:eastAsia="SimSun"/>
          <w:sz w:val="20"/>
          <w:vertAlign w:val="subscript"/>
          <w:lang w:val="ms-MY"/>
        </w:rPr>
        <w:t>9</w:t>
      </w:r>
      <w:r>
        <w:rPr>
          <w:rFonts w:eastAsia="SimSun"/>
          <w:sz w:val="20"/>
          <w:lang w:val="ms-MY"/>
        </w:rPr>
        <w:t>)</w:t>
      </w:r>
      <w:r>
        <w:rPr>
          <w:rFonts w:eastAsia="SimSun"/>
          <w:sz w:val="20"/>
          <w:vertAlign w:val="subscript"/>
          <w:lang w:val="ms-MY"/>
        </w:rPr>
        <w:t>4</w:t>
      </w:r>
      <w:r>
        <w:rPr>
          <w:rFonts w:eastAsia="SimSun"/>
          <w:sz w:val="20"/>
          <w:lang w:val="ms-MY"/>
        </w:rPr>
        <w:t>N]PF</w:t>
      </w:r>
      <w:r>
        <w:rPr>
          <w:rFonts w:eastAsia="SimSun"/>
          <w:sz w:val="20"/>
          <w:vertAlign w:val="subscript"/>
          <w:lang w:val="ms-MY"/>
        </w:rPr>
        <w:t>6</w:t>
      </w:r>
      <w:r>
        <w:rPr>
          <w:sz w:val="20"/>
          <w:lang w:val="ms-MY"/>
        </w:rPr>
        <w:t xml:space="preserve">. </w:t>
      </w:r>
      <w:proofErr w:type="spellStart"/>
      <w:r>
        <w:rPr>
          <w:sz w:val="20"/>
          <w:lang w:val="ms-MY"/>
        </w:rPr>
        <w:t>All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compounds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exhibit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an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irreversible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oxidation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and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reduction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redox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couples</w:t>
      </w:r>
      <w:proofErr w:type="spellEnd"/>
      <w:r>
        <w:rPr>
          <w:sz w:val="20"/>
          <w:lang w:val="ms-MY"/>
        </w:rPr>
        <w:t xml:space="preserve">. </w:t>
      </w:r>
      <w:proofErr w:type="spellStart"/>
      <w:r>
        <w:rPr>
          <w:sz w:val="20"/>
          <w:lang w:val="ms-MY"/>
        </w:rPr>
        <w:t>The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redox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potentials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are</w:t>
      </w:r>
      <w:proofErr w:type="spellEnd"/>
      <w:r>
        <w:rPr>
          <w:sz w:val="20"/>
          <w:lang w:val="ms-MY"/>
        </w:rPr>
        <w:t xml:space="preserve"> </w:t>
      </w:r>
      <w:proofErr w:type="spellStart"/>
      <w:r>
        <w:rPr>
          <w:sz w:val="20"/>
          <w:lang w:val="ms-MY"/>
        </w:rPr>
        <w:t>listed</w:t>
      </w:r>
      <w:proofErr w:type="spellEnd"/>
      <w:r>
        <w:rPr>
          <w:sz w:val="20"/>
          <w:lang w:val="ms-MY"/>
        </w:rPr>
        <w:t xml:space="preserve"> in </w:t>
      </w:r>
      <w:proofErr w:type="spellStart"/>
      <w:r>
        <w:rPr>
          <w:sz w:val="20"/>
          <w:lang w:val="ms-MY"/>
        </w:rPr>
        <w:t>Table</w:t>
      </w:r>
      <w:proofErr w:type="spellEnd"/>
      <w:r>
        <w:rPr>
          <w:sz w:val="20"/>
          <w:lang w:val="ms-MY"/>
        </w:rPr>
        <w:t xml:space="preserve"> 7.</w:t>
      </w:r>
    </w:p>
    <w:p w14:paraId="784A0B96" w14:textId="77777777" w:rsidR="000D33D1" w:rsidRDefault="000D33D1" w:rsidP="000D33D1">
      <w:pPr>
        <w:jc w:val="both"/>
        <w:rPr>
          <w:sz w:val="20"/>
          <w:lang w:val="ms-MY"/>
        </w:rPr>
      </w:pPr>
    </w:p>
    <w:p w14:paraId="4BAB7FEA" w14:textId="599C7434" w:rsidR="000D33D1" w:rsidRDefault="00B87BC0" w:rsidP="00D6017D">
      <w:pPr>
        <w:spacing w:after="240"/>
        <w:ind w:left="709" w:hanging="709"/>
        <w:jc w:val="both"/>
        <w:rPr>
          <w:bCs/>
          <w:sz w:val="20"/>
        </w:rPr>
      </w:pPr>
      <w:r>
        <w:rPr>
          <w:bCs/>
          <w:sz w:val="20"/>
        </w:rPr>
        <w:t>Table 7</w:t>
      </w:r>
      <w:r w:rsidR="00D6017D">
        <w:rPr>
          <w:bCs/>
          <w:sz w:val="20"/>
        </w:rPr>
        <w:t xml:space="preserve">. </w:t>
      </w:r>
      <w:r w:rsidR="000D33D1">
        <w:rPr>
          <w:bCs/>
          <w:sz w:val="20"/>
        </w:rPr>
        <w:t xml:space="preserve">The redox potentials </w:t>
      </w:r>
      <w:proofErr w:type="spellStart"/>
      <w:r w:rsidR="000D33D1">
        <w:rPr>
          <w:sz w:val="20"/>
          <w:lang w:val="ms-MY"/>
        </w:rPr>
        <w:t>for</w:t>
      </w:r>
      <w:proofErr w:type="spellEnd"/>
      <w:r w:rsidR="000D33D1">
        <w:rPr>
          <w:sz w:val="20"/>
          <w:lang w:val="ms-MY"/>
        </w:rPr>
        <w:t xml:space="preserve"> </w:t>
      </w:r>
      <w:proofErr w:type="spellStart"/>
      <w:r w:rsidR="000D33D1">
        <w:rPr>
          <w:sz w:val="20"/>
          <w:lang w:val="ms-MY"/>
        </w:rPr>
        <w:t>oxidation</w:t>
      </w:r>
      <w:proofErr w:type="spellEnd"/>
      <w:r w:rsidR="000D33D1">
        <w:rPr>
          <w:sz w:val="20"/>
          <w:lang w:val="ms-MY"/>
        </w:rPr>
        <w:t xml:space="preserve"> </w:t>
      </w:r>
      <w:proofErr w:type="spellStart"/>
      <w:r w:rsidR="000D33D1">
        <w:rPr>
          <w:sz w:val="20"/>
          <w:lang w:val="ms-MY"/>
        </w:rPr>
        <w:t>and</w:t>
      </w:r>
      <w:proofErr w:type="spellEnd"/>
      <w:r w:rsidR="000D33D1">
        <w:rPr>
          <w:sz w:val="20"/>
          <w:lang w:val="ms-MY"/>
        </w:rPr>
        <w:t xml:space="preserve"> </w:t>
      </w:r>
      <w:proofErr w:type="spellStart"/>
      <w:r w:rsidR="000D33D1">
        <w:rPr>
          <w:sz w:val="20"/>
          <w:lang w:val="ms-MY"/>
        </w:rPr>
        <w:t>reduction</w:t>
      </w:r>
      <w:proofErr w:type="spellEnd"/>
      <w:r w:rsidR="000D33D1">
        <w:rPr>
          <w:sz w:val="20"/>
          <w:lang w:val="ms-MY"/>
        </w:rPr>
        <w:t xml:space="preserve"> </w:t>
      </w:r>
      <w:proofErr w:type="spellStart"/>
      <w:r w:rsidR="000D33D1">
        <w:rPr>
          <w:sz w:val="20"/>
          <w:lang w:val="ms-MY"/>
        </w:rPr>
        <w:t>processes</w:t>
      </w:r>
      <w:proofErr w:type="spellEnd"/>
      <w:r w:rsidR="000D33D1">
        <w:rPr>
          <w:sz w:val="20"/>
          <w:lang w:val="ms-MY"/>
        </w:rPr>
        <w:t xml:space="preserve"> </w:t>
      </w:r>
      <w:r w:rsidR="000D33D1">
        <w:rPr>
          <w:bCs/>
          <w:sz w:val="20"/>
        </w:rPr>
        <w:t xml:space="preserve">of </w:t>
      </w:r>
      <w:proofErr w:type="spellStart"/>
      <w:r w:rsidR="000D33D1">
        <w:rPr>
          <w:sz w:val="20"/>
        </w:rPr>
        <w:t>phen</w:t>
      </w:r>
      <w:proofErr w:type="spellEnd"/>
      <w:r w:rsidR="000D33D1">
        <w:rPr>
          <w:sz w:val="20"/>
        </w:rPr>
        <w:t xml:space="preserve">-BT, </w:t>
      </w:r>
      <w:proofErr w:type="spellStart"/>
      <w:r w:rsidR="000D33D1">
        <w:rPr>
          <w:sz w:val="20"/>
        </w:rPr>
        <w:t>phen</w:t>
      </w:r>
      <w:proofErr w:type="spellEnd"/>
      <w:r w:rsidR="000D33D1">
        <w:rPr>
          <w:sz w:val="20"/>
        </w:rPr>
        <w:t>-</w:t>
      </w:r>
      <w:r w:rsidR="000D33D1">
        <w:rPr>
          <w:i/>
          <w:sz w:val="20"/>
        </w:rPr>
        <w:t>o</w:t>
      </w:r>
      <w:r w:rsidR="000D33D1">
        <w:rPr>
          <w:sz w:val="20"/>
        </w:rPr>
        <w:t>-</w:t>
      </w:r>
      <w:proofErr w:type="spellStart"/>
      <w:r w:rsidR="000D33D1">
        <w:rPr>
          <w:sz w:val="20"/>
        </w:rPr>
        <w:t>BrBT</w:t>
      </w:r>
      <w:proofErr w:type="spellEnd"/>
      <w:r w:rsidR="000D33D1">
        <w:rPr>
          <w:sz w:val="20"/>
        </w:rPr>
        <w:t xml:space="preserve">, </w:t>
      </w:r>
      <w:proofErr w:type="spellStart"/>
      <w:r w:rsidR="000D33D1">
        <w:rPr>
          <w:sz w:val="20"/>
        </w:rPr>
        <w:t>phen</w:t>
      </w:r>
      <w:proofErr w:type="spellEnd"/>
      <w:r w:rsidR="000D33D1">
        <w:rPr>
          <w:sz w:val="20"/>
        </w:rPr>
        <w:t>-</w:t>
      </w:r>
      <w:r w:rsidR="000D33D1">
        <w:rPr>
          <w:i/>
          <w:sz w:val="20"/>
        </w:rPr>
        <w:t>m</w:t>
      </w:r>
      <w:r w:rsidR="000D33D1">
        <w:rPr>
          <w:sz w:val="20"/>
        </w:rPr>
        <w:t>-</w:t>
      </w:r>
      <w:proofErr w:type="spellStart"/>
      <w:r w:rsidR="000D33D1">
        <w:rPr>
          <w:sz w:val="20"/>
        </w:rPr>
        <w:t>BrBT</w:t>
      </w:r>
      <w:proofErr w:type="spellEnd"/>
      <w:r w:rsidR="000D33D1">
        <w:rPr>
          <w:sz w:val="20"/>
        </w:rPr>
        <w:t xml:space="preserve"> and </w:t>
      </w:r>
      <w:proofErr w:type="spellStart"/>
      <w:r w:rsidR="000D33D1">
        <w:rPr>
          <w:sz w:val="20"/>
        </w:rPr>
        <w:t>phen</w:t>
      </w:r>
      <w:proofErr w:type="spellEnd"/>
      <w:r w:rsidR="000D33D1">
        <w:rPr>
          <w:sz w:val="20"/>
        </w:rPr>
        <w:t>-</w:t>
      </w:r>
      <w:r w:rsidR="000D33D1">
        <w:rPr>
          <w:i/>
          <w:sz w:val="20"/>
        </w:rPr>
        <w:t>p</w:t>
      </w:r>
      <w:r w:rsidR="000D33D1">
        <w:rPr>
          <w:sz w:val="20"/>
        </w:rPr>
        <w:t>-</w:t>
      </w:r>
      <w:proofErr w:type="spellStart"/>
      <w:r w:rsidR="000D33D1">
        <w:rPr>
          <w:sz w:val="20"/>
        </w:rPr>
        <w:t>BrBT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70"/>
        <w:gridCol w:w="2132"/>
        <w:gridCol w:w="2098"/>
      </w:tblGrid>
      <w:tr w:rsidR="000D33D1" w14:paraId="5B9A80B0" w14:textId="77777777" w:rsidTr="00662DD4">
        <w:trPr>
          <w:jc w:val="center"/>
        </w:trPr>
        <w:tc>
          <w:tcPr>
            <w:tcW w:w="20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5708C1" w14:textId="77777777" w:rsidR="000D33D1" w:rsidRDefault="000D33D1" w:rsidP="000D5CD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Compound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7984C" w14:textId="77777777" w:rsidR="000D33D1" w:rsidRDefault="000D33D1" w:rsidP="000D5CDF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Irreversible processes  </w:t>
            </w:r>
          </w:p>
        </w:tc>
      </w:tr>
      <w:tr w:rsidR="000D33D1" w14:paraId="20CDA7F0" w14:textId="77777777" w:rsidTr="00662D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47BB0D" w14:textId="77777777" w:rsidR="000D33D1" w:rsidRDefault="000D33D1" w:rsidP="000D5CDF">
            <w:pPr>
              <w:widowControl/>
              <w:suppressAutoHyphens w:val="0"/>
              <w:rPr>
                <w:b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DFB6C4" w14:textId="77777777" w:rsidR="000D33D1" w:rsidRDefault="000D33D1" w:rsidP="000D5CDF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lang w:val="en-US"/>
              </w:rPr>
              <w:t>E</w:t>
            </w:r>
            <w:r>
              <w:rPr>
                <w:b/>
                <w:sz w:val="20"/>
                <w:vertAlign w:val="subscript"/>
                <w:lang w:val="en-US"/>
              </w:rPr>
              <w:t>p</w:t>
            </w:r>
            <w:r>
              <w:rPr>
                <w:b/>
                <w:sz w:val="20"/>
                <w:vertAlign w:val="superscript"/>
                <w:lang w:val="en-US"/>
              </w:rPr>
              <w:t>ox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735D42" w14:textId="77777777" w:rsidR="000D33D1" w:rsidRDefault="000D33D1" w:rsidP="000D5CDF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lang w:val="en-US"/>
              </w:rPr>
              <w:t>E</w:t>
            </w:r>
            <w:r>
              <w:rPr>
                <w:b/>
                <w:sz w:val="20"/>
                <w:vertAlign w:val="subscript"/>
                <w:lang w:val="en-US"/>
              </w:rPr>
              <w:t>p</w:t>
            </w:r>
            <w:r>
              <w:rPr>
                <w:b/>
                <w:sz w:val="20"/>
                <w:vertAlign w:val="superscript"/>
                <w:lang w:val="en-US"/>
              </w:rPr>
              <w:t>red</w:t>
            </w:r>
            <w:proofErr w:type="spellEnd"/>
          </w:p>
        </w:tc>
      </w:tr>
      <w:tr w:rsidR="000D33D1" w14:paraId="68FD9FA0" w14:textId="77777777" w:rsidTr="00662DD4">
        <w:trPr>
          <w:jc w:val="center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B05884" w14:textId="77777777" w:rsidR="000D33D1" w:rsidRDefault="000D33D1" w:rsidP="000D5CD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Phen</w:t>
            </w:r>
            <w:proofErr w:type="spellEnd"/>
            <w:r>
              <w:rPr>
                <w:sz w:val="20"/>
              </w:rPr>
              <w:t>-BT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406783" w14:textId="77777777" w:rsidR="000D33D1" w:rsidRDefault="000D33D1" w:rsidP="000D5CD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+1.68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D00933" w14:textId="77777777" w:rsidR="000D33D1" w:rsidRDefault="000D33D1" w:rsidP="000D5CD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-1.43</w:t>
            </w:r>
          </w:p>
        </w:tc>
      </w:tr>
      <w:tr w:rsidR="000D33D1" w14:paraId="022A556F" w14:textId="77777777" w:rsidTr="00662DD4"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19C82" w14:textId="77777777" w:rsidR="000D33D1" w:rsidRDefault="000D33D1" w:rsidP="000D5CD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Phen</w:t>
            </w:r>
            <w:proofErr w:type="spellEnd"/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o</w:t>
            </w: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BrBT</w:t>
            </w:r>
            <w:proofErr w:type="spellEnd"/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E09D5" w14:textId="77777777" w:rsidR="000D33D1" w:rsidRDefault="000D33D1" w:rsidP="000D5C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+1.70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C0BB7" w14:textId="77777777" w:rsidR="000D33D1" w:rsidRDefault="000D33D1" w:rsidP="000D5C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-1.50</w:t>
            </w:r>
          </w:p>
        </w:tc>
      </w:tr>
      <w:tr w:rsidR="000D33D1" w14:paraId="051ADDAF" w14:textId="77777777" w:rsidTr="00662DD4"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C30CF" w14:textId="77777777" w:rsidR="000D33D1" w:rsidRDefault="000D33D1" w:rsidP="000D5CD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Phen</w:t>
            </w:r>
            <w:proofErr w:type="spellEnd"/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m</w:t>
            </w: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BrBT</w:t>
            </w:r>
            <w:proofErr w:type="spellEnd"/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9327F" w14:textId="77777777" w:rsidR="000D33D1" w:rsidRDefault="000D33D1" w:rsidP="000D5CD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+1.42 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2EC96" w14:textId="77777777" w:rsidR="000D33D1" w:rsidRDefault="000D33D1" w:rsidP="000D5C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-1.60</w:t>
            </w:r>
          </w:p>
        </w:tc>
      </w:tr>
      <w:tr w:rsidR="000D33D1" w14:paraId="5B690198" w14:textId="77777777" w:rsidTr="00662DD4">
        <w:trPr>
          <w:jc w:val="center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B735F9" w14:textId="77777777" w:rsidR="000D33D1" w:rsidRDefault="000D33D1" w:rsidP="000D5CD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Phen</w:t>
            </w:r>
            <w:proofErr w:type="spellEnd"/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p</w:t>
            </w: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BrBT</w:t>
            </w:r>
            <w:proofErr w:type="spellEnd"/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9E8285" w14:textId="77777777" w:rsidR="000D33D1" w:rsidRDefault="000D33D1" w:rsidP="000D5C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+1.60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022C44" w14:textId="77777777" w:rsidR="000D33D1" w:rsidRDefault="000D33D1" w:rsidP="000D5C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-1.21</w:t>
            </w:r>
          </w:p>
        </w:tc>
      </w:tr>
    </w:tbl>
    <w:p w14:paraId="666F1CB4" w14:textId="77777777" w:rsidR="000D33D1" w:rsidRDefault="000D33D1" w:rsidP="000D33D1">
      <w:pPr>
        <w:jc w:val="both"/>
        <w:rPr>
          <w:b/>
          <w:sz w:val="20"/>
        </w:rPr>
      </w:pPr>
    </w:p>
    <w:p w14:paraId="4FAD023A" w14:textId="77777777" w:rsidR="000D33D1" w:rsidRDefault="000D33D1" w:rsidP="000D33D1">
      <w:pPr>
        <w:jc w:val="both"/>
        <w:rPr>
          <w:sz w:val="20"/>
          <w:lang w:val="en-MY"/>
        </w:rPr>
      </w:pPr>
      <w:r>
        <w:rPr>
          <w:sz w:val="20"/>
        </w:rPr>
        <w:t>All derivatives showed irreversible redox potentials at (1.42 – 1.70) V and –(1.21 – 1.60) V for oxidation and reduction processes, respectively. Bromine atom has</w:t>
      </w:r>
      <w:r>
        <w:rPr>
          <w:sz w:val="20"/>
          <w:lang w:val="en-MY"/>
        </w:rPr>
        <w:t xml:space="preserve"> an overall destabilizing influence on the phenyl ring with the </w:t>
      </w:r>
      <w:r>
        <w:rPr>
          <w:i/>
          <w:sz w:val="20"/>
          <w:lang w:val="en-MY"/>
        </w:rPr>
        <w:t>o-</w:t>
      </w:r>
      <w:r>
        <w:rPr>
          <w:sz w:val="20"/>
          <w:lang w:val="en-MY"/>
        </w:rPr>
        <w:t xml:space="preserve"> and </w:t>
      </w:r>
      <w:r>
        <w:rPr>
          <w:i/>
          <w:sz w:val="20"/>
          <w:lang w:val="en-MY"/>
        </w:rPr>
        <w:t>p</w:t>
      </w:r>
      <w:r>
        <w:rPr>
          <w:sz w:val="20"/>
          <w:lang w:val="en-MY"/>
        </w:rPr>
        <w:t>-</w:t>
      </w:r>
      <w:proofErr w:type="spellStart"/>
      <w:r>
        <w:rPr>
          <w:sz w:val="20"/>
          <w:lang w:val="en-MY"/>
        </w:rPr>
        <w:t>bromo</w:t>
      </w:r>
      <w:proofErr w:type="spellEnd"/>
      <w:r>
        <w:rPr>
          <w:sz w:val="20"/>
          <w:lang w:val="en-MY"/>
        </w:rPr>
        <w:t xml:space="preserve"> substituents exert higher stabilization to the phenyl ring. Thus,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m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 was relatively easier to be oxidized compared with the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o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p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 derivatives. Likewise,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o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p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 derivatives would be much easier to be reduced, i.e. accept electron. However, only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p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 derivative behaves as expected. Other factors such as solvent interactions might influence the redox </w:t>
      </w:r>
      <w:r>
        <w:rPr>
          <w:sz w:val="20"/>
        </w:rPr>
        <w:lastRenderedPageBreak/>
        <w:t xml:space="preserve">behaviours of the molecules.  </w:t>
      </w:r>
    </w:p>
    <w:p w14:paraId="3B3B46EF" w14:textId="77777777" w:rsidR="000D33D1" w:rsidRDefault="000D33D1" w:rsidP="000D33D1">
      <w:pPr>
        <w:jc w:val="both"/>
        <w:rPr>
          <w:b/>
          <w:sz w:val="20"/>
        </w:rPr>
      </w:pPr>
    </w:p>
    <w:p w14:paraId="6C1D0CD2" w14:textId="5453AFBE" w:rsidR="000D33D1" w:rsidRDefault="00D6017D" w:rsidP="007B3641">
      <w:pPr>
        <w:jc w:val="both"/>
        <w:outlineLvl w:val="0"/>
        <w:rPr>
          <w:b/>
          <w:sz w:val="20"/>
        </w:rPr>
      </w:pPr>
      <w:r>
        <w:rPr>
          <w:b/>
          <w:sz w:val="20"/>
        </w:rPr>
        <w:t>Luminescence p</w:t>
      </w:r>
      <w:r w:rsidR="000D33D1">
        <w:rPr>
          <w:b/>
          <w:sz w:val="20"/>
        </w:rPr>
        <w:t xml:space="preserve">roperties </w:t>
      </w:r>
    </w:p>
    <w:p w14:paraId="3181D7DD" w14:textId="77777777" w:rsidR="000D33D1" w:rsidRDefault="000D33D1" w:rsidP="000D33D1">
      <w:pPr>
        <w:pStyle w:val="Thirdlevelheading"/>
        <w:widowControl w:val="0"/>
        <w:tabs>
          <w:tab w:val="left" w:pos="284"/>
        </w:tabs>
        <w:spacing w:line="240" w:lineRule="auto"/>
        <w:rPr>
          <w:rFonts w:asciiTheme="majorBidi" w:eastAsia="Arial Unicode MS" w:hAnsiTheme="majorBidi" w:cstheme="majorBidi"/>
          <w:i w:val="0"/>
          <w:shd w:val="clear" w:color="auto" w:fill="FFFFFF"/>
        </w:rPr>
      </w:pPr>
      <w:r w:rsidRPr="00555106">
        <w:rPr>
          <w:rFonts w:asciiTheme="majorBidi" w:hAnsiTheme="majorBidi" w:cstheme="majorBidi"/>
          <w:i w:val="0"/>
        </w:rPr>
        <w:t>The concentration of the compounds is 9 x 10</w:t>
      </w:r>
      <w:r w:rsidRPr="00555106">
        <w:rPr>
          <w:rFonts w:asciiTheme="majorBidi" w:hAnsiTheme="majorBidi" w:cstheme="majorBidi"/>
          <w:i w:val="0"/>
          <w:vertAlign w:val="superscript"/>
        </w:rPr>
        <w:t>-6</w:t>
      </w:r>
      <w:r w:rsidR="00C91316">
        <w:rPr>
          <w:rFonts w:asciiTheme="majorBidi" w:hAnsiTheme="majorBidi" w:cstheme="majorBidi"/>
          <w:i w:val="0"/>
          <w:vertAlign w:val="superscript"/>
        </w:rPr>
        <w:t xml:space="preserve"> </w:t>
      </w:r>
      <w:proofErr w:type="spellStart"/>
      <w:r w:rsidRPr="00555106">
        <w:rPr>
          <w:rFonts w:asciiTheme="majorBidi" w:hAnsiTheme="majorBidi" w:cstheme="majorBidi"/>
          <w:i w:val="0"/>
        </w:rPr>
        <w:t>mol</w:t>
      </w:r>
      <w:proofErr w:type="spellEnd"/>
      <w:r w:rsidRPr="00555106">
        <w:rPr>
          <w:rFonts w:asciiTheme="majorBidi" w:hAnsiTheme="majorBidi" w:cstheme="majorBidi"/>
          <w:i w:val="0"/>
        </w:rPr>
        <w:t xml:space="preserve"> dm</w:t>
      </w:r>
      <w:r w:rsidRPr="00555106">
        <w:rPr>
          <w:rFonts w:asciiTheme="majorBidi" w:hAnsiTheme="majorBidi" w:cstheme="majorBidi"/>
          <w:i w:val="0"/>
          <w:vertAlign w:val="superscript"/>
        </w:rPr>
        <w:t>-3</w:t>
      </w:r>
      <w:r w:rsidRPr="00555106">
        <w:rPr>
          <w:rFonts w:asciiTheme="majorBidi" w:hAnsiTheme="majorBidi" w:cstheme="majorBidi"/>
          <w:i w:val="0"/>
        </w:rPr>
        <w:t xml:space="preserve"> and t</w:t>
      </w:r>
      <w:r w:rsidRPr="00555106">
        <w:rPr>
          <w:rFonts w:asciiTheme="majorBidi" w:eastAsia="Arial Unicode MS" w:hAnsiTheme="majorBidi" w:cstheme="majorBidi"/>
          <w:i w:val="0"/>
          <w:shd w:val="clear" w:color="auto" w:fill="FFFFFF"/>
        </w:rPr>
        <w:t xml:space="preserve">he luminescence quantum yields were calculated by using 2-aminopyridine ligand as a standard with </w:t>
      </w:r>
      <w:proofErr w:type="spellStart"/>
      <w:r>
        <w:rPr>
          <w:rFonts w:ascii="Calibri" w:eastAsia="Arial Unicode MS" w:hAnsi="Calibri" w:cs="Calibri"/>
          <w:i w:val="0"/>
          <w:shd w:val="clear" w:color="auto" w:fill="FFFFFF"/>
        </w:rPr>
        <w:t>ϕ</w:t>
      </w:r>
      <w:r w:rsidRPr="00555106">
        <w:rPr>
          <w:rFonts w:asciiTheme="majorBidi" w:eastAsia="Arial Unicode MS" w:hAnsiTheme="majorBidi" w:cstheme="majorBidi"/>
          <w:i w:val="0"/>
          <w:shd w:val="clear" w:color="auto" w:fill="FFFFFF"/>
          <w:vertAlign w:val="subscript"/>
        </w:rPr>
        <w:t>std</w:t>
      </w:r>
      <w:proofErr w:type="spellEnd"/>
      <w:r w:rsidRPr="00555106">
        <w:rPr>
          <w:rFonts w:asciiTheme="majorBidi" w:eastAsia="Arial Unicode MS" w:hAnsiTheme="majorBidi" w:cstheme="majorBidi"/>
          <w:i w:val="0"/>
          <w:shd w:val="clear" w:color="auto" w:fill="FFFFFF"/>
        </w:rPr>
        <w:t>= 0.37 in CH</w:t>
      </w:r>
      <w:r w:rsidRPr="00555106">
        <w:rPr>
          <w:rFonts w:asciiTheme="majorBidi" w:eastAsia="Arial Unicode MS" w:hAnsiTheme="majorBidi" w:cstheme="majorBidi"/>
          <w:i w:val="0"/>
          <w:shd w:val="clear" w:color="auto" w:fill="FFFFFF"/>
          <w:vertAlign w:val="subscript"/>
        </w:rPr>
        <w:t>3</w:t>
      </w:r>
      <w:r w:rsidRPr="00555106">
        <w:rPr>
          <w:rFonts w:asciiTheme="majorBidi" w:eastAsia="Arial Unicode MS" w:hAnsiTheme="majorBidi" w:cstheme="majorBidi"/>
          <w:i w:val="0"/>
          <w:shd w:val="clear" w:color="auto" w:fill="FFFFFF"/>
        </w:rPr>
        <w:t>CH</w:t>
      </w:r>
      <w:r w:rsidRPr="00555106">
        <w:rPr>
          <w:rFonts w:asciiTheme="majorBidi" w:eastAsia="Arial Unicode MS" w:hAnsiTheme="majorBidi" w:cstheme="majorBidi"/>
          <w:i w:val="0"/>
          <w:shd w:val="clear" w:color="auto" w:fill="FFFFFF"/>
          <w:vertAlign w:val="subscript"/>
        </w:rPr>
        <w:t>2</w:t>
      </w:r>
      <w:r w:rsidR="00B87BC0">
        <w:rPr>
          <w:rFonts w:asciiTheme="majorBidi" w:eastAsia="Arial Unicode MS" w:hAnsiTheme="majorBidi" w:cstheme="majorBidi"/>
          <w:i w:val="0"/>
          <w:shd w:val="clear" w:color="auto" w:fill="FFFFFF"/>
        </w:rPr>
        <w:t>OH [19]. Figure 6</w:t>
      </w:r>
      <w:r w:rsidRPr="00555106">
        <w:rPr>
          <w:rFonts w:asciiTheme="majorBidi" w:eastAsia="Arial Unicode MS" w:hAnsiTheme="majorBidi" w:cstheme="majorBidi"/>
          <w:i w:val="0"/>
          <w:shd w:val="clear" w:color="auto" w:fill="FFFFFF"/>
        </w:rPr>
        <w:t xml:space="preserve"> shows the emission spectra of the compounds. The excitation wavelength (</w:t>
      </w:r>
      <w:proofErr w:type="spellStart"/>
      <w:r w:rsidRPr="00555106">
        <w:rPr>
          <w:rFonts w:asciiTheme="majorBidi" w:eastAsia="Arial Unicode MS" w:hAnsiTheme="majorBidi" w:cstheme="majorBidi"/>
          <w:i w:val="0"/>
          <w:shd w:val="clear" w:color="auto" w:fill="FFFFFF"/>
          <w:vertAlign w:val="subscript"/>
        </w:rPr>
        <w:t>λex</w:t>
      </w:r>
      <w:proofErr w:type="spellEnd"/>
      <w:r w:rsidRPr="00555106">
        <w:rPr>
          <w:rFonts w:asciiTheme="majorBidi" w:eastAsia="Arial Unicode MS" w:hAnsiTheme="majorBidi" w:cstheme="majorBidi"/>
          <w:i w:val="0"/>
          <w:shd w:val="clear" w:color="auto" w:fill="FFFFFF"/>
        </w:rPr>
        <w:t>) for each sample was selected according to their absorption wavelength (</w:t>
      </w:r>
      <w:proofErr w:type="spellStart"/>
      <w:r w:rsidRPr="00555106">
        <w:rPr>
          <w:rFonts w:asciiTheme="majorBidi" w:eastAsia="Arial Unicode MS" w:hAnsiTheme="majorBidi" w:cstheme="majorBidi"/>
          <w:i w:val="0"/>
          <w:shd w:val="clear" w:color="auto" w:fill="FFFFFF"/>
        </w:rPr>
        <w:t>λ</w:t>
      </w:r>
      <w:r w:rsidRPr="00555106">
        <w:rPr>
          <w:rFonts w:asciiTheme="majorBidi" w:eastAsia="Arial Unicode MS" w:hAnsiTheme="majorBidi" w:cstheme="majorBidi"/>
          <w:i w:val="0"/>
          <w:shd w:val="clear" w:color="auto" w:fill="FFFFFF"/>
          <w:vertAlign w:val="subscript"/>
        </w:rPr>
        <w:t>max</w:t>
      </w:r>
      <w:proofErr w:type="spellEnd"/>
      <w:r w:rsidRPr="00555106">
        <w:rPr>
          <w:rFonts w:asciiTheme="majorBidi" w:eastAsia="Arial Unicode MS" w:hAnsiTheme="majorBidi" w:cstheme="majorBidi"/>
          <w:i w:val="0"/>
          <w:shd w:val="clear" w:color="auto" w:fill="FFFFFF"/>
        </w:rPr>
        <w:t>)</w:t>
      </w:r>
      <w:r>
        <w:rPr>
          <w:rFonts w:asciiTheme="majorBidi" w:eastAsia="Arial Unicode MS" w:hAnsiTheme="majorBidi" w:cstheme="majorBidi"/>
          <w:i w:val="0"/>
          <w:shd w:val="clear" w:color="auto" w:fill="FFFFFF"/>
        </w:rPr>
        <w:t xml:space="preserve"> and listed in Table 8</w:t>
      </w:r>
      <w:r w:rsidRPr="00555106">
        <w:rPr>
          <w:rFonts w:asciiTheme="majorBidi" w:eastAsia="Arial Unicode MS" w:hAnsiTheme="majorBidi" w:cstheme="majorBidi"/>
          <w:i w:val="0"/>
          <w:shd w:val="clear" w:color="auto" w:fill="FFFFFF"/>
        </w:rPr>
        <w:t xml:space="preserve">. </w:t>
      </w:r>
      <w:proofErr w:type="spellStart"/>
      <w:r w:rsidRPr="00555106">
        <w:rPr>
          <w:rFonts w:asciiTheme="majorBidi" w:eastAsia="Arial Unicode MS" w:hAnsiTheme="majorBidi" w:cstheme="majorBidi"/>
          <w:i w:val="0"/>
          <w:shd w:val="clear" w:color="auto" w:fill="FFFFFF"/>
        </w:rPr>
        <w:t>Phen</w:t>
      </w:r>
      <w:proofErr w:type="spellEnd"/>
      <w:r w:rsidRPr="00555106">
        <w:rPr>
          <w:rFonts w:asciiTheme="majorBidi" w:eastAsia="Arial Unicode MS" w:hAnsiTheme="majorBidi" w:cstheme="majorBidi"/>
          <w:i w:val="0"/>
          <w:shd w:val="clear" w:color="auto" w:fill="FFFFFF"/>
        </w:rPr>
        <w:t>-</w:t>
      </w:r>
      <w:r w:rsidRPr="00555106">
        <w:rPr>
          <w:rFonts w:asciiTheme="majorBidi" w:eastAsia="Arial Unicode MS" w:hAnsiTheme="majorBidi" w:cstheme="majorBidi"/>
          <w:iCs/>
          <w:shd w:val="clear" w:color="auto" w:fill="FFFFFF"/>
        </w:rPr>
        <w:t>m-</w:t>
      </w:r>
      <w:proofErr w:type="spellStart"/>
      <w:r w:rsidRPr="00555106">
        <w:rPr>
          <w:rFonts w:asciiTheme="majorBidi" w:eastAsia="Arial Unicode MS" w:hAnsiTheme="majorBidi" w:cstheme="majorBidi"/>
          <w:i w:val="0"/>
          <w:shd w:val="clear" w:color="auto" w:fill="FFFFFF"/>
        </w:rPr>
        <w:t>BrBT</w:t>
      </w:r>
      <w:proofErr w:type="spellEnd"/>
      <w:r w:rsidRPr="00555106">
        <w:rPr>
          <w:rFonts w:asciiTheme="majorBidi" w:eastAsia="Arial Unicode MS" w:hAnsiTheme="majorBidi" w:cstheme="majorBidi"/>
          <w:i w:val="0"/>
          <w:shd w:val="clear" w:color="auto" w:fill="FFFFFF"/>
        </w:rPr>
        <w:t>, shows a relatively high fluorescence quantum yield (</w:t>
      </w:r>
      <w:proofErr w:type="spellStart"/>
      <w:r>
        <w:rPr>
          <w:rFonts w:ascii="Calibri" w:eastAsia="Arial Unicode MS" w:hAnsi="Calibri" w:cs="Calibri"/>
          <w:i w:val="0"/>
          <w:shd w:val="clear" w:color="auto" w:fill="FFFFFF"/>
        </w:rPr>
        <w:t>ϕ</w:t>
      </w:r>
      <w:r>
        <w:rPr>
          <w:rFonts w:asciiTheme="majorBidi" w:eastAsia="Arial Unicode MS" w:hAnsiTheme="majorBidi" w:cstheme="majorBidi"/>
          <w:i w:val="0"/>
          <w:shd w:val="clear" w:color="auto" w:fill="FFFFFF"/>
          <w:vertAlign w:val="subscript"/>
        </w:rPr>
        <w:t>s</w:t>
      </w:r>
      <w:proofErr w:type="spellEnd"/>
      <w:r w:rsidRPr="00555106">
        <w:rPr>
          <w:rFonts w:asciiTheme="majorBidi" w:eastAsia="Arial Unicode MS" w:hAnsiTheme="majorBidi" w:cstheme="majorBidi"/>
          <w:i w:val="0"/>
          <w:shd w:val="clear" w:color="auto" w:fill="FFFFFF"/>
        </w:rPr>
        <w:t xml:space="preserve"> = 5.40 x 10</w:t>
      </w:r>
      <w:r w:rsidRPr="00555106">
        <w:rPr>
          <w:rFonts w:asciiTheme="majorBidi" w:eastAsia="Arial Unicode MS" w:hAnsiTheme="majorBidi" w:cstheme="majorBidi"/>
          <w:i w:val="0"/>
          <w:shd w:val="clear" w:color="auto" w:fill="FFFFFF"/>
          <w:vertAlign w:val="superscript"/>
        </w:rPr>
        <w:t>-2</w:t>
      </w:r>
      <w:r w:rsidRPr="00555106">
        <w:rPr>
          <w:rFonts w:asciiTheme="majorBidi" w:eastAsia="Arial Unicode MS" w:hAnsiTheme="majorBidi" w:cstheme="majorBidi"/>
          <w:i w:val="0"/>
          <w:shd w:val="clear" w:color="auto" w:fill="FFFFFF"/>
        </w:rPr>
        <w:t xml:space="preserve"> s) compared with that of </w:t>
      </w:r>
      <w:r w:rsidRPr="00555106">
        <w:rPr>
          <w:rFonts w:asciiTheme="majorBidi" w:eastAsia="Arial Unicode MS" w:hAnsiTheme="majorBidi" w:cstheme="majorBidi"/>
          <w:iCs/>
          <w:shd w:val="clear" w:color="auto" w:fill="FFFFFF"/>
        </w:rPr>
        <w:t>para</w:t>
      </w:r>
      <w:r w:rsidRPr="00555106">
        <w:rPr>
          <w:rFonts w:asciiTheme="majorBidi" w:eastAsia="Arial Unicode MS" w:hAnsiTheme="majorBidi" w:cstheme="majorBidi"/>
          <w:i w:val="0"/>
          <w:shd w:val="clear" w:color="auto" w:fill="FFFFFF"/>
        </w:rPr>
        <w:t xml:space="preserve"> and </w:t>
      </w:r>
      <w:r w:rsidRPr="00555106">
        <w:rPr>
          <w:rFonts w:asciiTheme="majorBidi" w:eastAsia="Arial Unicode MS" w:hAnsiTheme="majorBidi" w:cstheme="majorBidi"/>
          <w:iCs/>
          <w:shd w:val="clear" w:color="auto" w:fill="FFFFFF"/>
        </w:rPr>
        <w:t xml:space="preserve">ortho </w:t>
      </w:r>
      <w:r w:rsidRPr="00555106">
        <w:rPr>
          <w:rFonts w:asciiTheme="majorBidi" w:eastAsia="Arial Unicode MS" w:hAnsiTheme="majorBidi" w:cstheme="majorBidi"/>
          <w:i w:val="0"/>
          <w:shd w:val="clear" w:color="auto" w:fill="FFFFFF"/>
        </w:rPr>
        <w:t>substituted analogues.</w:t>
      </w:r>
    </w:p>
    <w:p w14:paraId="5D4311A0" w14:textId="77777777" w:rsidR="000D33D1" w:rsidRDefault="000D33D1" w:rsidP="000D33D1">
      <w:pPr>
        <w:pStyle w:val="Thirdlevelheading"/>
        <w:widowControl w:val="0"/>
        <w:tabs>
          <w:tab w:val="left" w:pos="284"/>
        </w:tabs>
        <w:spacing w:line="240" w:lineRule="auto"/>
        <w:rPr>
          <w:rFonts w:asciiTheme="majorBidi" w:eastAsia="Arial Unicode MS" w:hAnsiTheme="majorBidi" w:cstheme="majorBidi"/>
          <w:i w:val="0"/>
          <w:shd w:val="clear" w:color="auto" w:fill="FFFFFF"/>
        </w:rPr>
      </w:pPr>
    </w:p>
    <w:p w14:paraId="2B15861B" w14:textId="77777777" w:rsidR="000D33D1" w:rsidRDefault="000C0944" w:rsidP="000D33D1">
      <w:pPr>
        <w:jc w:val="center"/>
        <w:rPr>
          <w:sz w:val="20"/>
        </w:rPr>
      </w:pPr>
      <w:r w:rsidRPr="000C0944">
        <w:rPr>
          <w:noProof/>
          <w:lang w:val="en-US" w:eastAsia="ko-KR"/>
        </w:rPr>
        <w:drawing>
          <wp:inline distT="0" distB="0" distL="0" distR="0" wp14:anchorId="0BE89B31" wp14:editId="7AD4A386">
            <wp:extent cx="3979545" cy="2957973"/>
            <wp:effectExtent l="19050" t="19050" r="20955" b="139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382" cy="29593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C689D4" w14:textId="75F46956" w:rsidR="00B87BC0" w:rsidRDefault="00B87BC0" w:rsidP="007B3641">
      <w:pPr>
        <w:spacing w:before="240"/>
        <w:jc w:val="center"/>
        <w:outlineLvl w:val="0"/>
        <w:rPr>
          <w:sz w:val="20"/>
          <w:vertAlign w:val="subscript"/>
        </w:rPr>
      </w:pPr>
      <w:r>
        <w:rPr>
          <w:sz w:val="20"/>
        </w:rPr>
        <w:t>Figure 6</w:t>
      </w:r>
      <w:r w:rsidR="00D6017D">
        <w:rPr>
          <w:sz w:val="20"/>
        </w:rPr>
        <w:t xml:space="preserve">. </w:t>
      </w:r>
      <w:r w:rsidR="000D33D1">
        <w:rPr>
          <w:sz w:val="20"/>
        </w:rPr>
        <w:t xml:space="preserve">The steady-state fluorescence spectra of Br-substituted </w:t>
      </w:r>
      <w:proofErr w:type="spellStart"/>
      <w:r w:rsidR="000D33D1">
        <w:rPr>
          <w:sz w:val="20"/>
        </w:rPr>
        <w:t>Phen</w:t>
      </w:r>
      <w:proofErr w:type="spellEnd"/>
      <w:r w:rsidR="000D33D1">
        <w:rPr>
          <w:sz w:val="20"/>
        </w:rPr>
        <w:t>-BT compounds measured in CH</w:t>
      </w:r>
      <w:r w:rsidR="000D33D1">
        <w:rPr>
          <w:sz w:val="20"/>
          <w:vertAlign w:val="subscript"/>
        </w:rPr>
        <w:t>2</w:t>
      </w:r>
      <w:r w:rsidR="000D33D1">
        <w:rPr>
          <w:sz w:val="20"/>
        </w:rPr>
        <w:t>Cl</w:t>
      </w:r>
      <w:r w:rsidR="000D33D1">
        <w:rPr>
          <w:sz w:val="20"/>
          <w:vertAlign w:val="subscript"/>
        </w:rPr>
        <w:t>2</w:t>
      </w:r>
    </w:p>
    <w:p w14:paraId="22A289EC" w14:textId="0E190D30" w:rsidR="00B87BC0" w:rsidRDefault="00B87BC0" w:rsidP="00B87BC0">
      <w:pPr>
        <w:jc w:val="center"/>
        <w:rPr>
          <w:sz w:val="20"/>
          <w:vertAlign w:val="subscript"/>
        </w:rPr>
      </w:pPr>
    </w:p>
    <w:p w14:paraId="283E0EEA" w14:textId="556A30F1" w:rsidR="00D6017D" w:rsidRDefault="00D6017D" w:rsidP="00D6017D">
      <w:pPr>
        <w:widowControl/>
        <w:suppressAutoHyphens w:val="0"/>
        <w:spacing w:after="200" w:line="276" w:lineRule="auto"/>
        <w:jc w:val="center"/>
        <w:rPr>
          <w:sz w:val="20"/>
          <w:lang w:val="ms-MY"/>
        </w:rPr>
      </w:pPr>
      <w:r>
        <w:rPr>
          <w:sz w:val="20"/>
        </w:rPr>
        <w:t xml:space="preserve">Table 8. The emission spectra, </w:t>
      </w:r>
      <w:proofErr w:type="spellStart"/>
      <w:r>
        <w:rPr>
          <w:sz w:val="20"/>
        </w:rPr>
        <w:t>λ</w:t>
      </w:r>
      <w:r>
        <w:rPr>
          <w:sz w:val="20"/>
          <w:vertAlign w:val="subscript"/>
        </w:rPr>
        <w:t>em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 xml:space="preserve">-BT,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o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m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p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 compounds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5"/>
        <w:gridCol w:w="1491"/>
        <w:gridCol w:w="1500"/>
        <w:gridCol w:w="1632"/>
      </w:tblGrid>
      <w:tr w:rsidR="00D6017D" w14:paraId="4502877A" w14:textId="77777777" w:rsidTr="00BB21B4">
        <w:trPr>
          <w:jc w:val="center"/>
        </w:trPr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CEF468" w14:textId="77777777" w:rsidR="00D6017D" w:rsidRDefault="00D6017D" w:rsidP="00BB21B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Ligands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832BF8" w14:textId="77777777" w:rsidR="00D6017D" w:rsidRDefault="00D6017D" w:rsidP="00BB21B4">
            <w:pPr>
              <w:jc w:val="center"/>
              <w:rPr>
                <w:b/>
                <w:sz w:val="20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>λ</m:t>
              </m:r>
            </m:oMath>
            <w:r>
              <w:rPr>
                <w:b/>
                <w:sz w:val="20"/>
                <w:vertAlign w:val="subscript"/>
              </w:rPr>
              <w:t>ex</w:t>
            </w:r>
            <w:r>
              <w:rPr>
                <w:b/>
                <w:sz w:val="20"/>
              </w:rPr>
              <w:t xml:space="preserve"> (nm)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3AC267" w14:textId="77777777" w:rsidR="00D6017D" w:rsidRDefault="00D6017D" w:rsidP="00BB21B4">
            <w:pPr>
              <w:jc w:val="center"/>
              <w:rPr>
                <w:b/>
                <w:sz w:val="20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>λ</m:t>
              </m:r>
            </m:oMath>
            <w:r>
              <w:rPr>
                <w:b/>
                <w:sz w:val="20"/>
                <w:vertAlign w:val="subscript"/>
              </w:rPr>
              <w:t>em</w:t>
            </w:r>
            <w:r>
              <w:rPr>
                <w:b/>
                <w:sz w:val="20"/>
              </w:rPr>
              <w:t xml:space="preserve"> (nm)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40C640" w14:textId="77777777" w:rsidR="00D6017D" w:rsidRDefault="00D6017D" w:rsidP="00BB21B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Quantum Yield, </w:t>
            </w:r>
            <m:oMath>
              <m:r>
                <w:rPr>
                  <w:rFonts w:ascii="Cambria Math" w:eastAsia="Arial Unicode MS" w:hAnsi="Cambria Math"/>
                  <w:sz w:val="20"/>
                  <w:shd w:val="clear" w:color="auto" w:fill="FFFFFF"/>
                </w:rPr>
                <m:t>φ</m:t>
              </m:r>
            </m:oMath>
            <w:r>
              <w:rPr>
                <w:b/>
                <w:bCs/>
                <w:i/>
                <w:iCs/>
                <w:sz w:val="20"/>
                <w:vertAlign w:val="subscript"/>
              </w:rPr>
              <w:t>s</w:t>
            </w:r>
            <w:r>
              <w:rPr>
                <w:b/>
                <w:sz w:val="20"/>
              </w:rPr>
              <w:t xml:space="preserve"> in CH</w:t>
            </w:r>
            <w:r>
              <w:rPr>
                <w:b/>
                <w:sz w:val="20"/>
                <w:vertAlign w:val="subscript"/>
              </w:rPr>
              <w:t>2</w:t>
            </w:r>
            <w:r>
              <w:rPr>
                <w:b/>
                <w:sz w:val="20"/>
              </w:rPr>
              <w:t>Cl</w:t>
            </w:r>
            <w:r>
              <w:rPr>
                <w:b/>
                <w:sz w:val="20"/>
                <w:vertAlign w:val="subscript"/>
              </w:rPr>
              <w:t>2</w:t>
            </w:r>
          </w:p>
        </w:tc>
      </w:tr>
      <w:tr w:rsidR="00D6017D" w14:paraId="73956E9B" w14:textId="77777777" w:rsidTr="00BB21B4">
        <w:trPr>
          <w:jc w:val="center"/>
        </w:trPr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142179" w14:textId="77777777" w:rsidR="00D6017D" w:rsidRDefault="00D6017D" w:rsidP="00BB21B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Phen</w:t>
            </w:r>
            <w:proofErr w:type="spellEnd"/>
            <w:r>
              <w:rPr>
                <w:sz w:val="20"/>
              </w:rPr>
              <w:t>-BT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54E3BD" w14:textId="77777777" w:rsidR="00D6017D" w:rsidRDefault="00D6017D" w:rsidP="00BB21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B1C01F" w14:textId="77777777" w:rsidR="00D6017D" w:rsidRDefault="00D6017D" w:rsidP="00BB21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2445C4" w14:textId="77777777" w:rsidR="00D6017D" w:rsidRDefault="00D6017D" w:rsidP="00BB21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7.27 x 10</w:t>
            </w:r>
            <w:r>
              <w:rPr>
                <w:sz w:val="20"/>
                <w:vertAlign w:val="superscript"/>
              </w:rPr>
              <w:t>-2</w:t>
            </w:r>
          </w:p>
        </w:tc>
      </w:tr>
      <w:tr w:rsidR="00D6017D" w14:paraId="2C4E06EC" w14:textId="77777777" w:rsidTr="00BB21B4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11AA2" w14:textId="77777777" w:rsidR="00D6017D" w:rsidRDefault="00D6017D" w:rsidP="00BB21B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Phen</w:t>
            </w:r>
            <w:proofErr w:type="spellEnd"/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o</w:t>
            </w: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BrBT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78919" w14:textId="77777777" w:rsidR="00D6017D" w:rsidRDefault="00D6017D" w:rsidP="00BB21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37286" w14:textId="77777777" w:rsidR="00D6017D" w:rsidRDefault="00D6017D" w:rsidP="00BB21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D74FD" w14:textId="77777777" w:rsidR="00D6017D" w:rsidRDefault="00D6017D" w:rsidP="00BB21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5.61 x 10</w:t>
            </w:r>
            <w:r>
              <w:rPr>
                <w:sz w:val="20"/>
                <w:vertAlign w:val="superscript"/>
              </w:rPr>
              <w:t>-3</w:t>
            </w:r>
          </w:p>
        </w:tc>
      </w:tr>
      <w:tr w:rsidR="00D6017D" w14:paraId="08FCF214" w14:textId="77777777" w:rsidTr="00BB21B4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C4CB2" w14:textId="77777777" w:rsidR="00D6017D" w:rsidRDefault="00D6017D" w:rsidP="00BB21B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Phen</w:t>
            </w:r>
            <w:proofErr w:type="spellEnd"/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m</w:t>
            </w: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BrBT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73502" w14:textId="77777777" w:rsidR="00D6017D" w:rsidRDefault="00D6017D" w:rsidP="00BB21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98097" w14:textId="77777777" w:rsidR="00D6017D" w:rsidRDefault="00D6017D" w:rsidP="00BB21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70C3A" w14:textId="77777777" w:rsidR="00D6017D" w:rsidRDefault="00D6017D" w:rsidP="00BB21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5.40 x 10</w:t>
            </w:r>
            <w:r>
              <w:rPr>
                <w:sz w:val="20"/>
                <w:vertAlign w:val="superscript"/>
              </w:rPr>
              <w:t>-2</w:t>
            </w:r>
          </w:p>
        </w:tc>
      </w:tr>
      <w:tr w:rsidR="00D6017D" w14:paraId="04809B8E" w14:textId="77777777" w:rsidTr="00BB21B4">
        <w:trPr>
          <w:jc w:val="center"/>
        </w:trPr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DF970B" w14:textId="77777777" w:rsidR="00D6017D" w:rsidRDefault="00D6017D" w:rsidP="00BB21B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Phen</w:t>
            </w:r>
            <w:proofErr w:type="spellEnd"/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p</w:t>
            </w: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BrBT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B28087" w14:textId="77777777" w:rsidR="00D6017D" w:rsidRDefault="00D6017D" w:rsidP="00BB21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F97483" w14:textId="77777777" w:rsidR="00D6017D" w:rsidRDefault="00D6017D" w:rsidP="00BB21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F7ABA5" w14:textId="77777777" w:rsidR="00D6017D" w:rsidRDefault="00D6017D" w:rsidP="00BB21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2.29 x 10</w:t>
            </w:r>
            <w:r>
              <w:rPr>
                <w:sz w:val="20"/>
                <w:vertAlign w:val="superscript"/>
              </w:rPr>
              <w:t>-2</w:t>
            </w:r>
          </w:p>
        </w:tc>
      </w:tr>
    </w:tbl>
    <w:p w14:paraId="721B9C0A" w14:textId="06E0932F" w:rsidR="00D6017D" w:rsidRPr="00B85BF2" w:rsidRDefault="00D6017D" w:rsidP="00D6017D">
      <w:pPr>
        <w:rPr>
          <w:sz w:val="20"/>
          <w:vertAlign w:val="subscript"/>
        </w:rPr>
      </w:pPr>
    </w:p>
    <w:p w14:paraId="5091D89B" w14:textId="77777777" w:rsidR="000D33D1" w:rsidRDefault="000D33D1" w:rsidP="007B3641">
      <w:pPr>
        <w:pStyle w:val="AEuroAbstract"/>
        <w:tabs>
          <w:tab w:val="left" w:pos="567"/>
        </w:tabs>
        <w:spacing w:before="0"/>
        <w:jc w:val="center"/>
        <w:outlineLvl w:val="0"/>
        <w:rPr>
          <w:b/>
          <w:sz w:val="20"/>
        </w:rPr>
      </w:pPr>
      <w:r>
        <w:rPr>
          <w:b/>
          <w:sz w:val="20"/>
        </w:rPr>
        <w:t>Conclusion</w:t>
      </w:r>
    </w:p>
    <w:p w14:paraId="062FA328" w14:textId="77777777" w:rsidR="000D33D1" w:rsidRDefault="000D33D1" w:rsidP="000D33D1">
      <w:pPr>
        <w:pStyle w:val="AEuroAbstract"/>
        <w:spacing w:before="0"/>
        <w:rPr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o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m</w:t>
      </w:r>
      <w:r>
        <w:rPr>
          <w:sz w:val="20"/>
        </w:rPr>
        <w:t>-</w:t>
      </w:r>
      <w:proofErr w:type="spellStart"/>
      <w:r>
        <w:rPr>
          <w:sz w:val="20"/>
        </w:rPr>
        <w:t>BrBTand</w:t>
      </w:r>
      <w:proofErr w:type="spellEnd"/>
      <w:r w:rsidR="00C91316">
        <w:rPr>
          <w:sz w:val="20"/>
        </w:rPr>
        <w:t xml:space="preserve">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p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 compounds were successfully synthesized and characterized by analytical and spectroscopic techniques. The molecular structural properties are in agreement with the previously reported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 xml:space="preserve">-BT crystal structure. The </w:t>
      </w:r>
      <w:proofErr w:type="spellStart"/>
      <w:r>
        <w:rPr>
          <w:sz w:val="20"/>
        </w:rPr>
        <w:t>bromo</w:t>
      </w:r>
      <w:proofErr w:type="spellEnd"/>
      <w:r>
        <w:rPr>
          <w:sz w:val="20"/>
        </w:rPr>
        <w:t xml:space="preserve"> atom at the </w:t>
      </w:r>
      <w:proofErr w:type="spellStart"/>
      <w:r>
        <w:rPr>
          <w:i/>
          <w:sz w:val="20"/>
        </w:rPr>
        <w:t>orto</w:t>
      </w:r>
      <w:proofErr w:type="spellEnd"/>
      <w:r>
        <w:rPr>
          <w:sz w:val="20"/>
        </w:rPr>
        <w:t xml:space="preserve">, </w:t>
      </w:r>
      <w:r>
        <w:rPr>
          <w:i/>
          <w:sz w:val="20"/>
        </w:rPr>
        <w:t>meta</w:t>
      </w:r>
      <w:r>
        <w:rPr>
          <w:sz w:val="20"/>
        </w:rPr>
        <w:t xml:space="preserve"> and </w:t>
      </w:r>
      <w:r>
        <w:rPr>
          <w:i/>
          <w:sz w:val="20"/>
        </w:rPr>
        <w:t>para</w:t>
      </w:r>
      <w:r>
        <w:rPr>
          <w:sz w:val="20"/>
        </w:rPr>
        <w:t xml:space="preserve"> positions of the phenyl ring in the benzoyl moiety has weakened the C=O bond by reducing the electron density of the phenyl ring. In addition, the </w:t>
      </w:r>
      <w:r>
        <w:rPr>
          <w:sz w:val="20"/>
          <w:lang w:val="en-GB"/>
        </w:rPr>
        <w:t xml:space="preserve">luminescence quantum yield appears to the affected by the Br substituent with the </w:t>
      </w:r>
      <w:proofErr w:type="spellStart"/>
      <w:r>
        <w:rPr>
          <w:sz w:val="20"/>
        </w:rPr>
        <w:t>phen</w:t>
      </w:r>
      <w:proofErr w:type="spellEnd"/>
      <w:r>
        <w:rPr>
          <w:sz w:val="20"/>
        </w:rPr>
        <w:t>-</w:t>
      </w:r>
      <w:r>
        <w:rPr>
          <w:i/>
          <w:sz w:val="20"/>
        </w:rPr>
        <w:t>m</w:t>
      </w:r>
      <w:r>
        <w:rPr>
          <w:sz w:val="20"/>
        </w:rPr>
        <w:t>-</w:t>
      </w:r>
      <w:proofErr w:type="spellStart"/>
      <w:r>
        <w:rPr>
          <w:sz w:val="20"/>
        </w:rPr>
        <w:t>BrBT</w:t>
      </w:r>
      <w:proofErr w:type="spellEnd"/>
      <w:r>
        <w:rPr>
          <w:sz w:val="20"/>
        </w:rPr>
        <w:t xml:space="preserve"> derivative</w:t>
      </w:r>
      <w:r>
        <w:rPr>
          <w:sz w:val="20"/>
          <w:lang w:val="en-GB"/>
        </w:rPr>
        <w:t xml:space="preserve"> showing the highest quantum yield. </w:t>
      </w:r>
    </w:p>
    <w:p w14:paraId="6C92D7C5" w14:textId="77777777" w:rsidR="000D33D1" w:rsidRDefault="000D33D1" w:rsidP="000D33D1">
      <w:pPr>
        <w:pStyle w:val="AEuroAbstract"/>
        <w:spacing w:before="0"/>
        <w:rPr>
          <w:sz w:val="20"/>
        </w:rPr>
      </w:pPr>
    </w:p>
    <w:p w14:paraId="586CA124" w14:textId="77777777" w:rsidR="000D33D1" w:rsidRDefault="000D33D1" w:rsidP="007B3641">
      <w:pPr>
        <w:pStyle w:val="AEuroAbstract"/>
        <w:spacing w:before="0"/>
        <w:jc w:val="center"/>
        <w:outlineLvl w:val="0"/>
        <w:rPr>
          <w:b/>
          <w:sz w:val="20"/>
        </w:rPr>
      </w:pPr>
      <w:r>
        <w:rPr>
          <w:b/>
          <w:sz w:val="20"/>
        </w:rPr>
        <w:t>Acknowledgements</w:t>
      </w:r>
    </w:p>
    <w:p w14:paraId="5A6ED697" w14:textId="77777777" w:rsidR="00842FD6" w:rsidRDefault="00842FD6" w:rsidP="00842FD6">
      <w:pPr>
        <w:pStyle w:val="AEuroAbstract"/>
        <w:spacing w:before="0"/>
        <w:rPr>
          <w:sz w:val="20"/>
        </w:rPr>
      </w:pPr>
      <w:r w:rsidRPr="00B816A6">
        <w:rPr>
          <w:sz w:val="20"/>
          <w:lang w:val="en-GB"/>
        </w:rPr>
        <w:t xml:space="preserve">This work has been partly supported by </w:t>
      </w:r>
      <w:r>
        <w:rPr>
          <w:sz w:val="20"/>
        </w:rPr>
        <w:t xml:space="preserve">the </w:t>
      </w:r>
      <w:r w:rsidRPr="00B816A6">
        <w:rPr>
          <w:sz w:val="20"/>
          <w:lang w:val="en-GB"/>
        </w:rPr>
        <w:t xml:space="preserve">Ministry of Science Technology </w:t>
      </w:r>
      <w:r>
        <w:rPr>
          <w:sz w:val="20"/>
          <w:lang w:val="en-GB"/>
        </w:rPr>
        <w:t>and Innovation under the Science Fund scheme (</w:t>
      </w:r>
      <w:r w:rsidRPr="00B816A6">
        <w:rPr>
          <w:sz w:val="20"/>
          <w:lang w:val="en-GB"/>
        </w:rPr>
        <w:t>06-01-02-SF1001</w:t>
      </w:r>
      <w:r>
        <w:rPr>
          <w:sz w:val="20"/>
          <w:lang w:val="en-GB"/>
        </w:rPr>
        <w:t xml:space="preserve">) </w:t>
      </w:r>
      <w:r w:rsidRPr="00B816A6">
        <w:rPr>
          <w:sz w:val="20"/>
          <w:lang w:val="en-GB"/>
        </w:rPr>
        <w:t xml:space="preserve">and Ministry of Higher Education </w:t>
      </w:r>
      <w:r>
        <w:rPr>
          <w:sz w:val="20"/>
          <w:lang w:val="en-GB"/>
        </w:rPr>
        <w:t xml:space="preserve">with </w:t>
      </w:r>
      <w:proofErr w:type="spellStart"/>
      <w:r w:rsidRPr="006B4699">
        <w:rPr>
          <w:i/>
          <w:sz w:val="20"/>
          <w:lang w:val="en-GB"/>
        </w:rPr>
        <w:t>MyMaster</w:t>
      </w:r>
      <w:proofErr w:type="spellEnd"/>
      <w:r>
        <w:rPr>
          <w:sz w:val="20"/>
          <w:lang w:val="en-GB"/>
        </w:rPr>
        <w:t xml:space="preserve"> support for RS and an exploratory research grant</w:t>
      </w:r>
      <w:r w:rsidRPr="00B816A6">
        <w:rPr>
          <w:sz w:val="20"/>
          <w:lang w:val="en-GB"/>
        </w:rPr>
        <w:t xml:space="preserve"> </w:t>
      </w:r>
      <w:r>
        <w:rPr>
          <w:sz w:val="20"/>
          <w:lang w:val="en-GB"/>
        </w:rPr>
        <w:t>(</w:t>
      </w:r>
      <w:r w:rsidRPr="00B816A6">
        <w:rPr>
          <w:sz w:val="20"/>
          <w:lang w:val="en-GB"/>
        </w:rPr>
        <w:t>ERGS/1/2013/TK07/UKM/02/2</w:t>
      </w:r>
      <w:r>
        <w:rPr>
          <w:sz w:val="20"/>
          <w:lang w:val="en-GB"/>
        </w:rPr>
        <w:t>).</w:t>
      </w:r>
    </w:p>
    <w:p w14:paraId="692B4A00" w14:textId="77777777" w:rsidR="000D33D1" w:rsidRPr="00B85BF2" w:rsidRDefault="000D33D1" w:rsidP="000D33D1">
      <w:pPr>
        <w:pStyle w:val="AEuroAbstract"/>
        <w:spacing w:before="0"/>
        <w:rPr>
          <w:sz w:val="20"/>
        </w:rPr>
      </w:pPr>
    </w:p>
    <w:p w14:paraId="3CC2D876" w14:textId="77777777" w:rsidR="000D33D1" w:rsidRPr="00D6017D" w:rsidRDefault="000D33D1" w:rsidP="007B3641">
      <w:pPr>
        <w:pStyle w:val="AEuroAbstract"/>
        <w:spacing w:before="0"/>
        <w:jc w:val="center"/>
        <w:outlineLvl w:val="0"/>
        <w:rPr>
          <w:b/>
          <w:sz w:val="20"/>
        </w:rPr>
      </w:pPr>
      <w:r w:rsidRPr="00D6017D">
        <w:rPr>
          <w:b/>
          <w:sz w:val="20"/>
        </w:rPr>
        <w:t>References</w:t>
      </w:r>
    </w:p>
    <w:p w14:paraId="0BFE6D80" w14:textId="77777777" w:rsidR="00BB21B4" w:rsidRDefault="000D33D1" w:rsidP="00BB21B4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proofErr w:type="spellStart"/>
      <w:r w:rsidRPr="00D6017D">
        <w:rPr>
          <w:sz w:val="20"/>
        </w:rPr>
        <w:t>Sammes</w:t>
      </w:r>
      <w:proofErr w:type="spellEnd"/>
      <w:r w:rsidRPr="00D6017D">
        <w:rPr>
          <w:sz w:val="20"/>
        </w:rPr>
        <w:t xml:space="preserve">, P. G and </w:t>
      </w:r>
      <w:proofErr w:type="spellStart"/>
      <w:r w:rsidRPr="00D6017D">
        <w:rPr>
          <w:sz w:val="20"/>
        </w:rPr>
        <w:t>Yahioglu</w:t>
      </w:r>
      <w:proofErr w:type="spellEnd"/>
      <w:r w:rsidRPr="00D6017D">
        <w:rPr>
          <w:sz w:val="20"/>
        </w:rPr>
        <w:t xml:space="preserve">, G. (1994). 1,10-phenanthroline: a versatile ligand. </w:t>
      </w:r>
      <w:r w:rsidRPr="00D6017D">
        <w:rPr>
          <w:i/>
          <w:sz w:val="20"/>
        </w:rPr>
        <w:t>Journ</w:t>
      </w:r>
      <w:r w:rsidR="00D6017D">
        <w:rPr>
          <w:i/>
          <w:sz w:val="20"/>
        </w:rPr>
        <w:t xml:space="preserve">al of Chemical Society Reviews, </w:t>
      </w:r>
      <w:r w:rsidRPr="00D6017D">
        <w:rPr>
          <w:sz w:val="20"/>
        </w:rPr>
        <w:t>23: 327</w:t>
      </w:r>
      <w:r w:rsidR="00D6017D">
        <w:rPr>
          <w:sz w:val="20"/>
        </w:rPr>
        <w:t xml:space="preserve"> – </w:t>
      </w:r>
      <w:r w:rsidRPr="00D6017D">
        <w:rPr>
          <w:sz w:val="20"/>
        </w:rPr>
        <w:t>334.</w:t>
      </w:r>
    </w:p>
    <w:p w14:paraId="12EBFB1B" w14:textId="77777777" w:rsidR="00BB21B4" w:rsidRDefault="000D33D1" w:rsidP="00BB21B4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r w:rsidRPr="00BB21B4">
        <w:rPr>
          <w:sz w:val="20"/>
        </w:rPr>
        <w:t xml:space="preserve">Shen. Y. and Sullivan, B. P. (1995). A versatile preparative route to 5-substituted-1,10-phenanthroline ligands via 1,10-phenanthroline 5,6-epoxide. </w:t>
      </w:r>
      <w:r w:rsidRPr="00BB21B4">
        <w:rPr>
          <w:i/>
          <w:sz w:val="20"/>
        </w:rPr>
        <w:t>Inorganic Chemistry</w:t>
      </w:r>
      <w:r w:rsidR="00D6017D" w:rsidRPr="00BB21B4">
        <w:rPr>
          <w:sz w:val="20"/>
        </w:rPr>
        <w:t xml:space="preserve">, </w:t>
      </w:r>
      <w:r w:rsidRPr="00BB21B4">
        <w:rPr>
          <w:sz w:val="20"/>
        </w:rPr>
        <w:t>34: 6235</w:t>
      </w:r>
      <w:r w:rsidR="00D6017D" w:rsidRPr="00BB21B4">
        <w:rPr>
          <w:sz w:val="20"/>
        </w:rPr>
        <w:t xml:space="preserve"> – </w:t>
      </w:r>
      <w:r w:rsidRPr="00BB21B4">
        <w:rPr>
          <w:sz w:val="20"/>
        </w:rPr>
        <w:t>6236.</w:t>
      </w:r>
    </w:p>
    <w:p w14:paraId="1C53B3F2" w14:textId="77777777" w:rsidR="00BB21B4" w:rsidRDefault="00BB21B4" w:rsidP="00BB21B4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proofErr w:type="spellStart"/>
      <w:r w:rsidRPr="00BB21B4">
        <w:rPr>
          <w:sz w:val="20"/>
        </w:rPr>
        <w:lastRenderedPageBreak/>
        <w:t>Ramı́rez-Silva</w:t>
      </w:r>
      <w:proofErr w:type="spellEnd"/>
      <w:r w:rsidRPr="00BB21B4">
        <w:rPr>
          <w:sz w:val="20"/>
        </w:rPr>
        <w:t>, M. T., Gómez-Hernández, M., de Lourdes Pacheco-Hernán</w:t>
      </w:r>
      <w:r>
        <w:rPr>
          <w:sz w:val="20"/>
        </w:rPr>
        <w:t xml:space="preserve">dez, M., Rojas-Hernández, A. and </w:t>
      </w:r>
      <w:r w:rsidRPr="00BB21B4">
        <w:rPr>
          <w:sz w:val="20"/>
        </w:rPr>
        <w:t xml:space="preserve">Galicia, L. (2004). Spectroscopy study of 5-amino-1, 10-phenanthroline. </w:t>
      </w:r>
      <w:proofErr w:type="spellStart"/>
      <w:r w:rsidRPr="00BB21B4">
        <w:rPr>
          <w:i/>
          <w:iCs/>
          <w:sz w:val="20"/>
        </w:rPr>
        <w:t>Spectrochimica</w:t>
      </w:r>
      <w:proofErr w:type="spellEnd"/>
      <w:r w:rsidRPr="00BB21B4">
        <w:rPr>
          <w:i/>
          <w:iCs/>
          <w:sz w:val="20"/>
        </w:rPr>
        <w:t xml:space="preserve"> Acta Part A: Molecular and Biomolecular Spectroscopy</w:t>
      </w:r>
      <w:r>
        <w:rPr>
          <w:sz w:val="20"/>
        </w:rPr>
        <w:t xml:space="preserve">, 60(4): </w:t>
      </w:r>
      <w:r w:rsidRPr="00BB21B4">
        <w:rPr>
          <w:sz w:val="20"/>
        </w:rPr>
        <w:t>781</w:t>
      </w:r>
      <w:r>
        <w:rPr>
          <w:sz w:val="20"/>
        </w:rPr>
        <w:t xml:space="preserve"> – </w:t>
      </w:r>
      <w:r w:rsidRPr="00BB21B4">
        <w:rPr>
          <w:sz w:val="20"/>
        </w:rPr>
        <w:t>789.</w:t>
      </w:r>
    </w:p>
    <w:p w14:paraId="10BA7340" w14:textId="77777777" w:rsidR="00BB21B4" w:rsidRDefault="000D33D1" w:rsidP="00BB21B4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proofErr w:type="spellStart"/>
      <w:r w:rsidRPr="00BB21B4">
        <w:rPr>
          <w:sz w:val="20"/>
        </w:rPr>
        <w:t>Kodomari</w:t>
      </w:r>
      <w:proofErr w:type="spellEnd"/>
      <w:r w:rsidRPr="00BB21B4">
        <w:rPr>
          <w:sz w:val="20"/>
        </w:rPr>
        <w:t xml:space="preserve">, M., Suzuki, M., </w:t>
      </w:r>
      <w:proofErr w:type="spellStart"/>
      <w:r w:rsidRPr="00BB21B4">
        <w:rPr>
          <w:sz w:val="20"/>
        </w:rPr>
        <w:t>Tanigawa</w:t>
      </w:r>
      <w:proofErr w:type="spellEnd"/>
      <w:r w:rsidRPr="00BB21B4">
        <w:rPr>
          <w:sz w:val="20"/>
        </w:rPr>
        <w:t xml:space="preserve">, K. and Aoyama, T. (2005). A convenient and efficient method for the synthesis of mono- and </w:t>
      </w:r>
      <w:r w:rsidRPr="00BB21B4">
        <w:rPr>
          <w:i/>
          <w:sz w:val="20"/>
        </w:rPr>
        <w:t>N</w:t>
      </w:r>
      <w:r w:rsidRPr="00BB21B4">
        <w:rPr>
          <w:sz w:val="20"/>
        </w:rPr>
        <w:t>,</w:t>
      </w:r>
      <w:r w:rsidRPr="00BB21B4">
        <w:rPr>
          <w:i/>
          <w:sz w:val="20"/>
        </w:rPr>
        <w:t>N</w:t>
      </w:r>
      <w:r w:rsidRPr="00BB21B4">
        <w:rPr>
          <w:sz w:val="20"/>
        </w:rPr>
        <w:t>-</w:t>
      </w:r>
      <w:proofErr w:type="spellStart"/>
      <w:r w:rsidRPr="00BB21B4">
        <w:rPr>
          <w:sz w:val="20"/>
        </w:rPr>
        <w:t>disubstituted</w:t>
      </w:r>
      <w:proofErr w:type="spellEnd"/>
      <w:r w:rsidRPr="00BB21B4">
        <w:rPr>
          <w:sz w:val="20"/>
        </w:rPr>
        <w:t xml:space="preserve"> thioureas. </w:t>
      </w:r>
      <w:r w:rsidRPr="00BB21B4">
        <w:rPr>
          <w:i/>
          <w:sz w:val="20"/>
        </w:rPr>
        <w:t>Tetrahedron Letters</w:t>
      </w:r>
      <w:r w:rsidR="00D6017D" w:rsidRPr="00BB21B4">
        <w:rPr>
          <w:sz w:val="20"/>
        </w:rPr>
        <w:t xml:space="preserve">, 46: </w:t>
      </w:r>
      <w:r w:rsidRPr="00BB21B4">
        <w:rPr>
          <w:sz w:val="20"/>
        </w:rPr>
        <w:t>5841</w:t>
      </w:r>
      <w:r w:rsidR="00D6017D" w:rsidRPr="00BB21B4">
        <w:rPr>
          <w:sz w:val="20"/>
        </w:rPr>
        <w:t xml:space="preserve"> – </w:t>
      </w:r>
      <w:r w:rsidRPr="00BB21B4">
        <w:rPr>
          <w:sz w:val="20"/>
        </w:rPr>
        <w:t xml:space="preserve">5843. </w:t>
      </w:r>
    </w:p>
    <w:p w14:paraId="5FDA9BD3" w14:textId="77777777" w:rsidR="00BB21B4" w:rsidRDefault="000D33D1" w:rsidP="00BB21B4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proofErr w:type="spellStart"/>
      <w:r w:rsidRPr="00BB21B4">
        <w:rPr>
          <w:sz w:val="20"/>
        </w:rPr>
        <w:t>Alkherraz</w:t>
      </w:r>
      <w:proofErr w:type="spellEnd"/>
      <w:r w:rsidRPr="00BB21B4">
        <w:rPr>
          <w:sz w:val="20"/>
        </w:rPr>
        <w:t xml:space="preserve">, A. M, </w:t>
      </w:r>
      <w:proofErr w:type="spellStart"/>
      <w:r w:rsidRPr="00BB21B4">
        <w:rPr>
          <w:sz w:val="20"/>
        </w:rPr>
        <w:t>Lusta</w:t>
      </w:r>
      <w:proofErr w:type="spellEnd"/>
      <w:r w:rsidRPr="00BB21B4">
        <w:rPr>
          <w:sz w:val="20"/>
        </w:rPr>
        <w:t xml:space="preserve">, Z. I. and </w:t>
      </w:r>
      <w:proofErr w:type="spellStart"/>
      <w:r w:rsidRPr="00BB21B4">
        <w:rPr>
          <w:sz w:val="20"/>
        </w:rPr>
        <w:t>Zubi</w:t>
      </w:r>
      <w:proofErr w:type="spellEnd"/>
      <w:r w:rsidRPr="00BB21B4">
        <w:rPr>
          <w:sz w:val="20"/>
        </w:rPr>
        <w:t xml:space="preserve">, A. E. (2014). Synthesis and use of thiourea derivative(1-phenyl-3-benzoyl-2-thiourea) for extraction of cadmium ion. </w:t>
      </w:r>
      <w:r w:rsidRPr="00BB21B4">
        <w:rPr>
          <w:i/>
          <w:sz w:val="20"/>
        </w:rPr>
        <w:t>International Journal of Chemical, Ma</w:t>
      </w:r>
      <w:r w:rsidR="0086767B" w:rsidRPr="00BB21B4">
        <w:rPr>
          <w:i/>
          <w:sz w:val="20"/>
        </w:rPr>
        <w:t xml:space="preserve">terials Science and Engineering, </w:t>
      </w:r>
      <w:r w:rsidRPr="00BB21B4">
        <w:rPr>
          <w:sz w:val="20"/>
        </w:rPr>
        <w:t>8(2): 15</w:t>
      </w:r>
      <w:r w:rsidR="0086767B" w:rsidRPr="00BB21B4">
        <w:rPr>
          <w:sz w:val="20"/>
        </w:rPr>
        <w:t xml:space="preserve"> – </w:t>
      </w:r>
      <w:r w:rsidRPr="00BB21B4">
        <w:rPr>
          <w:sz w:val="20"/>
        </w:rPr>
        <w:t xml:space="preserve">17. </w:t>
      </w:r>
    </w:p>
    <w:p w14:paraId="1206BEB9" w14:textId="77777777" w:rsidR="00BB21B4" w:rsidRDefault="000D33D1" w:rsidP="00BB21B4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r w:rsidRPr="00BB21B4">
        <w:rPr>
          <w:sz w:val="20"/>
        </w:rPr>
        <w:t xml:space="preserve">Ren, J. S., </w:t>
      </w:r>
      <w:proofErr w:type="spellStart"/>
      <w:r w:rsidRPr="00BB21B4">
        <w:rPr>
          <w:sz w:val="20"/>
        </w:rPr>
        <w:t>Diprose</w:t>
      </w:r>
      <w:proofErr w:type="spellEnd"/>
      <w:r w:rsidRPr="00BB21B4">
        <w:rPr>
          <w:sz w:val="20"/>
        </w:rPr>
        <w:t xml:space="preserve">, J., Warren, J., </w:t>
      </w:r>
      <w:proofErr w:type="spellStart"/>
      <w:r w:rsidRPr="00BB21B4">
        <w:rPr>
          <w:sz w:val="20"/>
        </w:rPr>
        <w:t>Esnouf</w:t>
      </w:r>
      <w:proofErr w:type="spellEnd"/>
      <w:r w:rsidRPr="00BB21B4">
        <w:rPr>
          <w:sz w:val="20"/>
        </w:rPr>
        <w:t xml:space="preserve">, R. M., Bird, L. E., </w:t>
      </w:r>
      <w:proofErr w:type="spellStart"/>
      <w:r w:rsidRPr="00BB21B4">
        <w:rPr>
          <w:sz w:val="20"/>
        </w:rPr>
        <w:t>Ikemizu</w:t>
      </w:r>
      <w:proofErr w:type="spellEnd"/>
      <w:r w:rsidRPr="00BB21B4">
        <w:rPr>
          <w:sz w:val="20"/>
        </w:rPr>
        <w:t xml:space="preserve">, S., Slater, M., Milton, J., </w:t>
      </w:r>
      <w:proofErr w:type="spellStart"/>
      <w:r w:rsidRPr="00BB21B4">
        <w:rPr>
          <w:sz w:val="20"/>
        </w:rPr>
        <w:t>Balzarini</w:t>
      </w:r>
      <w:proofErr w:type="spellEnd"/>
      <w:r w:rsidRPr="00BB21B4">
        <w:rPr>
          <w:sz w:val="20"/>
        </w:rPr>
        <w:t xml:space="preserve">, J., Stuart, D. L., and Stammers, D. K. (2000). </w:t>
      </w:r>
      <w:proofErr w:type="spellStart"/>
      <w:r w:rsidRPr="00BB21B4">
        <w:rPr>
          <w:sz w:val="20"/>
        </w:rPr>
        <w:t>Phenylethylthiazolythiourea</w:t>
      </w:r>
      <w:proofErr w:type="spellEnd"/>
      <w:r w:rsidRPr="00BB21B4">
        <w:rPr>
          <w:sz w:val="20"/>
        </w:rPr>
        <w:t xml:space="preserve"> (PETT) non-nucleoside inhibitors of HIV-1 and HIV-2 reverse </w:t>
      </w:r>
      <w:proofErr w:type="spellStart"/>
      <w:r w:rsidRPr="00BB21B4">
        <w:rPr>
          <w:sz w:val="20"/>
        </w:rPr>
        <w:t>transcriptases</w:t>
      </w:r>
      <w:proofErr w:type="spellEnd"/>
      <w:r w:rsidRPr="00BB21B4">
        <w:rPr>
          <w:sz w:val="20"/>
        </w:rPr>
        <w:t xml:space="preserve">. Structural and biochemical analyses. </w:t>
      </w:r>
      <w:r w:rsidR="00170806" w:rsidRPr="00BB21B4">
        <w:rPr>
          <w:i/>
          <w:sz w:val="20"/>
        </w:rPr>
        <w:t>Journal of Biological Chemistry,</w:t>
      </w:r>
      <w:r w:rsidRPr="00BB21B4">
        <w:rPr>
          <w:sz w:val="20"/>
        </w:rPr>
        <w:t xml:space="preserve"> 275(8): 5633</w:t>
      </w:r>
      <w:r w:rsidR="00170806" w:rsidRPr="00BB21B4">
        <w:rPr>
          <w:sz w:val="20"/>
        </w:rPr>
        <w:t xml:space="preserve"> – </w:t>
      </w:r>
      <w:r w:rsidRPr="00BB21B4">
        <w:rPr>
          <w:sz w:val="20"/>
        </w:rPr>
        <w:t>5639.</w:t>
      </w:r>
    </w:p>
    <w:p w14:paraId="43C041D9" w14:textId="77777777" w:rsidR="00BB21B4" w:rsidRDefault="00170806" w:rsidP="00BB21B4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proofErr w:type="spellStart"/>
      <w:r w:rsidRPr="00BB21B4">
        <w:rPr>
          <w:sz w:val="20"/>
        </w:rPr>
        <w:t>Katritzky</w:t>
      </w:r>
      <w:proofErr w:type="spellEnd"/>
      <w:r w:rsidRPr="00BB21B4">
        <w:rPr>
          <w:sz w:val="20"/>
        </w:rPr>
        <w:t xml:space="preserve">, A. R., Li, J. and </w:t>
      </w:r>
      <w:r w:rsidR="000D33D1" w:rsidRPr="00BB21B4">
        <w:rPr>
          <w:sz w:val="20"/>
        </w:rPr>
        <w:t xml:space="preserve">Gordeev, M. F. (1993). New synthetic routes to furans and dihydrofurans from 1-propargylbenzotriazole. </w:t>
      </w:r>
      <w:r w:rsidRPr="00BB21B4">
        <w:rPr>
          <w:i/>
          <w:sz w:val="20"/>
        </w:rPr>
        <w:t>Journal of Organic Chemistry,</w:t>
      </w:r>
      <w:r w:rsidR="000D33D1" w:rsidRPr="00BB21B4">
        <w:rPr>
          <w:sz w:val="20"/>
        </w:rPr>
        <w:t xml:space="preserve"> 58(11): 3038</w:t>
      </w:r>
      <w:r w:rsidRPr="00BB21B4">
        <w:rPr>
          <w:sz w:val="20"/>
        </w:rPr>
        <w:t xml:space="preserve"> – </w:t>
      </w:r>
      <w:r w:rsidR="000D33D1" w:rsidRPr="00BB21B4">
        <w:rPr>
          <w:sz w:val="20"/>
        </w:rPr>
        <w:t>3041.</w:t>
      </w:r>
    </w:p>
    <w:p w14:paraId="3A9E80FD" w14:textId="77777777" w:rsidR="00BB21B4" w:rsidRDefault="000D33D1" w:rsidP="00BB21B4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r w:rsidRPr="00BB21B4">
        <w:rPr>
          <w:sz w:val="20"/>
        </w:rPr>
        <w:t xml:space="preserve">Koch, K. R. (2001). New chemistry with old ligands: </w:t>
      </w:r>
      <w:r w:rsidRPr="00BB21B4">
        <w:rPr>
          <w:i/>
          <w:sz w:val="20"/>
        </w:rPr>
        <w:t>N</w:t>
      </w:r>
      <w:r w:rsidRPr="00BB21B4">
        <w:rPr>
          <w:sz w:val="20"/>
        </w:rPr>
        <w:t xml:space="preserve">-alkyl- and </w:t>
      </w:r>
      <w:r w:rsidRPr="00BB21B4">
        <w:rPr>
          <w:i/>
          <w:sz w:val="20"/>
        </w:rPr>
        <w:t>N</w:t>
      </w:r>
      <w:r w:rsidRPr="00BB21B4">
        <w:rPr>
          <w:sz w:val="20"/>
        </w:rPr>
        <w:t>,</w:t>
      </w:r>
      <w:r w:rsidRPr="00BB21B4">
        <w:rPr>
          <w:i/>
          <w:sz w:val="20"/>
        </w:rPr>
        <w:t>N</w:t>
      </w:r>
      <w:r w:rsidRPr="00BB21B4">
        <w:rPr>
          <w:sz w:val="20"/>
        </w:rPr>
        <w:t>-</w:t>
      </w:r>
      <w:proofErr w:type="spellStart"/>
      <w:r w:rsidRPr="00BB21B4">
        <w:rPr>
          <w:sz w:val="20"/>
        </w:rPr>
        <w:t>dialkyl</w:t>
      </w:r>
      <w:proofErr w:type="spellEnd"/>
      <w:r w:rsidRPr="00BB21B4">
        <w:rPr>
          <w:sz w:val="20"/>
        </w:rPr>
        <w:t>-</w:t>
      </w:r>
      <w:r w:rsidRPr="00BB21B4">
        <w:rPr>
          <w:i/>
          <w:sz w:val="20"/>
        </w:rPr>
        <w:t>N</w:t>
      </w:r>
      <w:r w:rsidRPr="00BB21B4">
        <w:rPr>
          <w:sz w:val="20"/>
        </w:rPr>
        <w:t>'-acyl(</w:t>
      </w:r>
      <w:proofErr w:type="spellStart"/>
      <w:r w:rsidRPr="00BB21B4">
        <w:rPr>
          <w:sz w:val="20"/>
        </w:rPr>
        <w:t>aroyl</w:t>
      </w:r>
      <w:proofErr w:type="spellEnd"/>
      <w:r w:rsidRPr="00BB21B4">
        <w:rPr>
          <w:sz w:val="20"/>
        </w:rPr>
        <w:t xml:space="preserve">)thioureas in co-ordination, analytical and process chemistry of the platinum group metals. </w:t>
      </w:r>
      <w:r w:rsidR="00101D82" w:rsidRPr="00BB21B4">
        <w:rPr>
          <w:i/>
          <w:sz w:val="20"/>
        </w:rPr>
        <w:t xml:space="preserve">Coordination </w:t>
      </w:r>
      <w:r w:rsidRPr="00BB21B4">
        <w:rPr>
          <w:i/>
          <w:sz w:val="20"/>
        </w:rPr>
        <w:t>Chemistry Reviews</w:t>
      </w:r>
      <w:r w:rsidR="00170806" w:rsidRPr="00BB21B4">
        <w:rPr>
          <w:sz w:val="20"/>
        </w:rPr>
        <w:t xml:space="preserve">, </w:t>
      </w:r>
      <w:r w:rsidRPr="00BB21B4">
        <w:rPr>
          <w:sz w:val="20"/>
        </w:rPr>
        <w:t>216: 473</w:t>
      </w:r>
      <w:r w:rsidR="00170806" w:rsidRPr="00BB21B4">
        <w:rPr>
          <w:sz w:val="20"/>
        </w:rPr>
        <w:t xml:space="preserve"> – </w:t>
      </w:r>
      <w:r w:rsidRPr="00BB21B4">
        <w:rPr>
          <w:sz w:val="20"/>
        </w:rPr>
        <w:t>488.</w:t>
      </w:r>
    </w:p>
    <w:p w14:paraId="06395593" w14:textId="77777777" w:rsidR="00BB21B4" w:rsidRDefault="000D33D1" w:rsidP="00BB21B4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r w:rsidRPr="00BB21B4">
        <w:rPr>
          <w:sz w:val="20"/>
        </w:rPr>
        <w:t>Sun, C. W. and Zhang, X. D. (2007). Synthesis and crystal structure of S-(+)-</w:t>
      </w:r>
      <w:r w:rsidRPr="00BB21B4">
        <w:rPr>
          <w:i/>
          <w:sz w:val="20"/>
        </w:rPr>
        <w:t>N</w:t>
      </w:r>
      <w:r w:rsidRPr="00BB21B4">
        <w:rPr>
          <w:sz w:val="20"/>
        </w:rPr>
        <w:t>'-tertbutylaminocarbonyl-</w:t>
      </w:r>
      <w:r w:rsidRPr="00BB21B4">
        <w:rPr>
          <w:i/>
          <w:sz w:val="20"/>
        </w:rPr>
        <w:t>N</w:t>
      </w:r>
      <w:r w:rsidRPr="00BB21B4">
        <w:rPr>
          <w:sz w:val="20"/>
        </w:rPr>
        <w:t xml:space="preserve">-[3-methyl-2-(4-chlorophenyl)butyryl]thiourea. </w:t>
      </w:r>
      <w:r w:rsidRPr="00BB21B4">
        <w:rPr>
          <w:i/>
          <w:sz w:val="20"/>
        </w:rPr>
        <w:t>Chinese Journal of St</w:t>
      </w:r>
      <w:r w:rsidR="00170806" w:rsidRPr="00BB21B4">
        <w:rPr>
          <w:i/>
          <w:sz w:val="20"/>
        </w:rPr>
        <w:t xml:space="preserve">ructural Chemistry, </w:t>
      </w:r>
      <w:r w:rsidRPr="00BB21B4">
        <w:rPr>
          <w:sz w:val="20"/>
        </w:rPr>
        <w:t>26(2): 153</w:t>
      </w:r>
      <w:r w:rsidR="00170806" w:rsidRPr="00BB21B4">
        <w:rPr>
          <w:sz w:val="20"/>
        </w:rPr>
        <w:t xml:space="preserve"> – </w:t>
      </w:r>
      <w:r w:rsidRPr="00BB21B4">
        <w:rPr>
          <w:sz w:val="20"/>
        </w:rPr>
        <w:t>156.</w:t>
      </w:r>
    </w:p>
    <w:p w14:paraId="26D3566A" w14:textId="77777777" w:rsidR="00BB21B4" w:rsidRDefault="000D33D1" w:rsidP="00BB21B4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r w:rsidRPr="00BB21B4">
        <w:rPr>
          <w:sz w:val="20"/>
        </w:rPr>
        <w:t xml:space="preserve">Saeed. A. </w:t>
      </w:r>
      <w:proofErr w:type="spellStart"/>
      <w:r w:rsidRPr="00BB21B4">
        <w:rPr>
          <w:sz w:val="20"/>
        </w:rPr>
        <w:t>Khera</w:t>
      </w:r>
      <w:proofErr w:type="spellEnd"/>
      <w:r w:rsidRPr="00BB21B4">
        <w:rPr>
          <w:sz w:val="20"/>
        </w:rPr>
        <w:t xml:space="preserve">, A. Abbas. N. Latif, M. </w:t>
      </w:r>
      <w:proofErr w:type="spellStart"/>
      <w:r w:rsidRPr="00BB21B4">
        <w:rPr>
          <w:sz w:val="20"/>
        </w:rPr>
        <w:t>Sajid</w:t>
      </w:r>
      <w:proofErr w:type="spellEnd"/>
      <w:r w:rsidRPr="00BB21B4">
        <w:rPr>
          <w:sz w:val="20"/>
        </w:rPr>
        <w:t xml:space="preserve">, I. and </w:t>
      </w:r>
      <w:proofErr w:type="spellStart"/>
      <w:r w:rsidRPr="00BB21B4">
        <w:rPr>
          <w:sz w:val="20"/>
        </w:rPr>
        <w:t>Florke</w:t>
      </w:r>
      <w:proofErr w:type="spellEnd"/>
      <w:r w:rsidRPr="00BB21B4">
        <w:rPr>
          <w:sz w:val="20"/>
        </w:rPr>
        <w:t xml:space="preserve">, U. (2010). Synthesis, characterization, crystal structures, and antibacterial activity of some new 1-(3,4,5-trimethoxybenzoyl)-3-arylthioureas. </w:t>
      </w:r>
      <w:r w:rsidRPr="00BB21B4">
        <w:rPr>
          <w:i/>
          <w:sz w:val="20"/>
        </w:rPr>
        <w:t>Turkish Journal of Chemistry</w:t>
      </w:r>
      <w:r w:rsidR="00170806" w:rsidRPr="00BB21B4">
        <w:rPr>
          <w:sz w:val="20"/>
        </w:rPr>
        <w:t xml:space="preserve">, </w:t>
      </w:r>
      <w:r w:rsidRPr="00BB21B4">
        <w:rPr>
          <w:sz w:val="20"/>
        </w:rPr>
        <w:t>34(3): 335</w:t>
      </w:r>
      <w:r w:rsidR="00170806" w:rsidRPr="00BB21B4">
        <w:rPr>
          <w:sz w:val="20"/>
        </w:rPr>
        <w:t xml:space="preserve"> – </w:t>
      </w:r>
      <w:r w:rsidRPr="00BB21B4">
        <w:rPr>
          <w:sz w:val="20"/>
        </w:rPr>
        <w:t xml:space="preserve">345. </w:t>
      </w:r>
    </w:p>
    <w:p w14:paraId="7505CCA4" w14:textId="77777777" w:rsidR="00BB21B4" w:rsidRDefault="000D33D1" w:rsidP="00BB21B4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r w:rsidRPr="00BB21B4">
        <w:rPr>
          <w:sz w:val="20"/>
        </w:rPr>
        <w:t>Saeed, S.</w:t>
      </w:r>
      <w:r w:rsidR="00BB21B4">
        <w:rPr>
          <w:sz w:val="20"/>
        </w:rPr>
        <w:t>,</w:t>
      </w:r>
      <w:r w:rsidRPr="00BB21B4">
        <w:rPr>
          <w:sz w:val="20"/>
        </w:rPr>
        <w:t xml:space="preserve"> Rashid, N., Ali, M. and Hussain, R. (2010). Synthesis, characterization and antibacterial activity of nickel(III) and copper(II) complexes of N-(alkyl(aryl)</w:t>
      </w:r>
      <w:proofErr w:type="spellStart"/>
      <w:r w:rsidRPr="00BB21B4">
        <w:rPr>
          <w:sz w:val="20"/>
        </w:rPr>
        <w:t>carbamothioyl</w:t>
      </w:r>
      <w:proofErr w:type="spellEnd"/>
      <w:r w:rsidRPr="00BB21B4">
        <w:rPr>
          <w:sz w:val="20"/>
        </w:rPr>
        <w:t xml:space="preserve">)-4-nitrobenzamide. </w:t>
      </w:r>
      <w:r w:rsidRPr="00BB21B4">
        <w:rPr>
          <w:i/>
          <w:sz w:val="20"/>
        </w:rPr>
        <w:t>European Journal of Chemistry</w:t>
      </w:r>
      <w:r w:rsidR="00170806" w:rsidRPr="00BB21B4">
        <w:rPr>
          <w:sz w:val="20"/>
        </w:rPr>
        <w:t xml:space="preserve">, </w:t>
      </w:r>
      <w:r w:rsidRPr="00BB21B4">
        <w:rPr>
          <w:sz w:val="20"/>
        </w:rPr>
        <w:t>1(3): 200</w:t>
      </w:r>
      <w:r w:rsidR="00170806" w:rsidRPr="00BB21B4">
        <w:rPr>
          <w:sz w:val="20"/>
        </w:rPr>
        <w:t xml:space="preserve"> – </w:t>
      </w:r>
      <w:r w:rsidRPr="00BB21B4">
        <w:rPr>
          <w:sz w:val="20"/>
        </w:rPr>
        <w:t xml:space="preserve">205. </w:t>
      </w:r>
    </w:p>
    <w:p w14:paraId="5AC43388" w14:textId="77777777" w:rsidR="00BB21B4" w:rsidRDefault="000D33D1" w:rsidP="00BB21B4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proofErr w:type="spellStart"/>
      <w:r w:rsidRPr="00BB21B4">
        <w:rPr>
          <w:sz w:val="20"/>
        </w:rPr>
        <w:t>Eweis</w:t>
      </w:r>
      <w:proofErr w:type="spellEnd"/>
      <w:r w:rsidRPr="00BB21B4">
        <w:rPr>
          <w:sz w:val="20"/>
        </w:rPr>
        <w:t xml:space="preserve">, M., </w:t>
      </w:r>
      <w:proofErr w:type="spellStart"/>
      <w:r w:rsidRPr="00BB21B4">
        <w:rPr>
          <w:sz w:val="20"/>
        </w:rPr>
        <w:t>Elkholy</w:t>
      </w:r>
      <w:proofErr w:type="spellEnd"/>
      <w:r w:rsidRPr="00BB21B4">
        <w:rPr>
          <w:sz w:val="20"/>
        </w:rPr>
        <w:t xml:space="preserve">, S. S. and </w:t>
      </w:r>
      <w:proofErr w:type="spellStart"/>
      <w:r w:rsidRPr="00BB21B4">
        <w:rPr>
          <w:sz w:val="20"/>
        </w:rPr>
        <w:t>Elsabee</w:t>
      </w:r>
      <w:proofErr w:type="spellEnd"/>
      <w:r w:rsidRPr="00BB21B4">
        <w:rPr>
          <w:sz w:val="20"/>
        </w:rPr>
        <w:t xml:space="preserve">, M. Z. (2006). Antifungal efficacy of chitosan and its thiourea derivatives upon the growth of some sugar-beet pathogens. </w:t>
      </w:r>
      <w:r w:rsidRPr="00BB21B4">
        <w:rPr>
          <w:i/>
          <w:sz w:val="20"/>
        </w:rPr>
        <w:t>International Journal of Biological Macromolecules</w:t>
      </w:r>
      <w:r w:rsidR="00170806" w:rsidRPr="00BB21B4">
        <w:rPr>
          <w:sz w:val="20"/>
        </w:rPr>
        <w:t xml:space="preserve">, </w:t>
      </w:r>
      <w:r w:rsidRPr="00BB21B4">
        <w:rPr>
          <w:sz w:val="20"/>
        </w:rPr>
        <w:t>3</w:t>
      </w:r>
      <w:r w:rsidR="00170806" w:rsidRPr="00BB21B4">
        <w:rPr>
          <w:sz w:val="20"/>
        </w:rPr>
        <w:t>8(1):</w:t>
      </w:r>
      <w:r w:rsidRPr="00BB21B4">
        <w:rPr>
          <w:sz w:val="20"/>
        </w:rPr>
        <w:t xml:space="preserve"> 1</w:t>
      </w:r>
      <w:r w:rsidR="00170806" w:rsidRPr="00BB21B4">
        <w:rPr>
          <w:sz w:val="20"/>
        </w:rPr>
        <w:t xml:space="preserve"> – </w:t>
      </w:r>
      <w:r w:rsidRPr="00BB21B4">
        <w:rPr>
          <w:sz w:val="20"/>
        </w:rPr>
        <w:t xml:space="preserve">8. </w:t>
      </w:r>
    </w:p>
    <w:p w14:paraId="08729A47" w14:textId="77777777" w:rsidR="00BB21B4" w:rsidRDefault="000D33D1" w:rsidP="00BB21B4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proofErr w:type="spellStart"/>
      <w:r w:rsidRPr="00BB21B4">
        <w:rPr>
          <w:sz w:val="20"/>
        </w:rPr>
        <w:t>Soung</w:t>
      </w:r>
      <w:proofErr w:type="spellEnd"/>
      <w:r w:rsidRPr="00BB21B4">
        <w:rPr>
          <w:sz w:val="20"/>
        </w:rPr>
        <w:t xml:space="preserve">, M. G., Park, K. Y., Song, J. H. and Sung, N. D. (2008). Herbicidal activity and molecular similarity of 1-(4-chloro-2-fluoro-5-propargyloxyphenyl)-3-thiourea derivatives. </w:t>
      </w:r>
      <w:r w:rsidRPr="00BB21B4">
        <w:rPr>
          <w:i/>
          <w:sz w:val="20"/>
        </w:rPr>
        <w:t>Journal of the Korean Society for Applied Biological Chemistry</w:t>
      </w:r>
      <w:r w:rsidR="00170806" w:rsidRPr="00BB21B4">
        <w:rPr>
          <w:sz w:val="20"/>
        </w:rPr>
        <w:t xml:space="preserve">, </w:t>
      </w:r>
      <w:r w:rsidRPr="00BB21B4">
        <w:rPr>
          <w:sz w:val="20"/>
        </w:rPr>
        <w:t>51(3): 219</w:t>
      </w:r>
      <w:r w:rsidR="00170806" w:rsidRPr="00BB21B4">
        <w:rPr>
          <w:sz w:val="20"/>
        </w:rPr>
        <w:t xml:space="preserve"> – </w:t>
      </w:r>
      <w:r w:rsidRPr="00BB21B4">
        <w:rPr>
          <w:sz w:val="20"/>
        </w:rPr>
        <w:t>222.</w:t>
      </w:r>
    </w:p>
    <w:p w14:paraId="2E7B72AE" w14:textId="77777777" w:rsidR="00BB21B4" w:rsidRDefault="000D33D1" w:rsidP="00BB21B4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r w:rsidRPr="00BB21B4">
        <w:rPr>
          <w:sz w:val="20"/>
        </w:rPr>
        <w:t xml:space="preserve">Das, D. K. and </w:t>
      </w:r>
      <w:proofErr w:type="spellStart"/>
      <w:r w:rsidRPr="00BB21B4">
        <w:rPr>
          <w:sz w:val="20"/>
        </w:rPr>
        <w:t>Fres</w:t>
      </w:r>
      <w:proofErr w:type="spellEnd"/>
      <w:r w:rsidRPr="00BB21B4">
        <w:rPr>
          <w:sz w:val="20"/>
        </w:rPr>
        <w:t>. J. (1984). N-α-(5-bromopyridyl)-</w:t>
      </w:r>
      <w:r w:rsidRPr="00BB21B4">
        <w:rPr>
          <w:i/>
          <w:sz w:val="20"/>
        </w:rPr>
        <w:t>N</w:t>
      </w:r>
      <w:r w:rsidRPr="00BB21B4">
        <w:rPr>
          <w:sz w:val="20"/>
        </w:rPr>
        <w:t>'-benzoyl thiourea (</w:t>
      </w:r>
      <w:proofErr w:type="spellStart"/>
      <w:r w:rsidRPr="00BB21B4">
        <w:rPr>
          <w:sz w:val="20"/>
        </w:rPr>
        <w:t>BrPBT</w:t>
      </w:r>
      <w:proofErr w:type="spellEnd"/>
      <w:r w:rsidRPr="00BB21B4">
        <w:rPr>
          <w:sz w:val="20"/>
        </w:rPr>
        <w:t xml:space="preserve">) as a new chelating agent for the spectrophotometric determination of rhodium(III). </w:t>
      </w:r>
      <w:r w:rsidRPr="00BB21B4">
        <w:rPr>
          <w:i/>
          <w:iCs/>
          <w:sz w:val="20"/>
        </w:rPr>
        <w:t>Fresenius Journal of Analytical Chemistry</w:t>
      </w:r>
      <w:r w:rsidR="00170806" w:rsidRPr="00BB21B4">
        <w:rPr>
          <w:sz w:val="20"/>
        </w:rPr>
        <w:t xml:space="preserve">, </w:t>
      </w:r>
      <w:r w:rsidRPr="00BB21B4">
        <w:rPr>
          <w:sz w:val="20"/>
        </w:rPr>
        <w:t>318(8): 612.</w:t>
      </w:r>
    </w:p>
    <w:p w14:paraId="40131036" w14:textId="77777777" w:rsidR="00BB21B4" w:rsidRDefault="000D33D1" w:rsidP="00BB21B4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proofErr w:type="spellStart"/>
      <w:r w:rsidRPr="00BB21B4">
        <w:rPr>
          <w:sz w:val="20"/>
        </w:rPr>
        <w:t>Shome</w:t>
      </w:r>
      <w:proofErr w:type="spellEnd"/>
      <w:r w:rsidRPr="00BB21B4">
        <w:rPr>
          <w:sz w:val="20"/>
        </w:rPr>
        <w:t xml:space="preserve">, S. C. Mazumdar, M., and </w:t>
      </w:r>
      <w:proofErr w:type="spellStart"/>
      <w:r w:rsidRPr="00BB21B4">
        <w:rPr>
          <w:sz w:val="20"/>
        </w:rPr>
        <w:t>Haldar</w:t>
      </w:r>
      <w:proofErr w:type="spellEnd"/>
      <w:r w:rsidRPr="00BB21B4">
        <w:rPr>
          <w:sz w:val="20"/>
        </w:rPr>
        <w:t xml:space="preserve">, P. K. (1980). </w:t>
      </w:r>
      <w:r w:rsidRPr="00BB21B4">
        <w:rPr>
          <w:i/>
          <w:sz w:val="20"/>
        </w:rPr>
        <w:t>N</w:t>
      </w:r>
      <w:r w:rsidRPr="00BB21B4">
        <w:rPr>
          <w:sz w:val="20"/>
        </w:rPr>
        <w:t>-Alpha-pyridyl-</w:t>
      </w:r>
      <w:r w:rsidRPr="00BB21B4">
        <w:rPr>
          <w:i/>
          <w:sz w:val="20"/>
        </w:rPr>
        <w:t>N</w:t>
      </w:r>
      <w:r w:rsidRPr="00BB21B4">
        <w:rPr>
          <w:sz w:val="20"/>
        </w:rPr>
        <w:t>'-</w:t>
      </w:r>
      <w:proofErr w:type="spellStart"/>
      <w:r w:rsidRPr="00BB21B4">
        <w:rPr>
          <w:sz w:val="20"/>
        </w:rPr>
        <w:t>benzoylthiourea</w:t>
      </w:r>
      <w:proofErr w:type="spellEnd"/>
      <w:r w:rsidRPr="00BB21B4">
        <w:rPr>
          <w:sz w:val="20"/>
        </w:rPr>
        <w:t xml:space="preserve"> as a chelating agent for the determination of iridium. </w:t>
      </w:r>
      <w:r w:rsidRPr="00BB21B4">
        <w:rPr>
          <w:i/>
          <w:iCs/>
          <w:sz w:val="20"/>
        </w:rPr>
        <w:t>Journal of the Indian Chemical Society</w:t>
      </w:r>
      <w:r w:rsidR="00170806" w:rsidRPr="00BB21B4">
        <w:rPr>
          <w:sz w:val="20"/>
        </w:rPr>
        <w:t xml:space="preserve">, </w:t>
      </w:r>
      <w:r w:rsidRPr="00BB21B4">
        <w:rPr>
          <w:sz w:val="20"/>
        </w:rPr>
        <w:t>57(2): 139</w:t>
      </w:r>
      <w:r w:rsidR="00170806" w:rsidRPr="00BB21B4">
        <w:rPr>
          <w:sz w:val="20"/>
        </w:rPr>
        <w:t xml:space="preserve"> – </w:t>
      </w:r>
      <w:r w:rsidRPr="00BB21B4">
        <w:rPr>
          <w:sz w:val="20"/>
        </w:rPr>
        <w:t>141.</w:t>
      </w:r>
    </w:p>
    <w:p w14:paraId="522A4812" w14:textId="77777777" w:rsidR="00BB21B4" w:rsidRDefault="000D33D1" w:rsidP="00BB21B4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r w:rsidRPr="00BB21B4">
        <w:rPr>
          <w:sz w:val="20"/>
        </w:rPr>
        <w:t xml:space="preserve">Mat Rashid, F. L., Lee, Y. H., </w:t>
      </w:r>
      <w:proofErr w:type="spellStart"/>
      <w:r w:rsidRPr="00BB21B4">
        <w:rPr>
          <w:sz w:val="20"/>
        </w:rPr>
        <w:t>Daran</w:t>
      </w:r>
      <w:proofErr w:type="spellEnd"/>
      <w:r w:rsidRPr="00BB21B4">
        <w:rPr>
          <w:sz w:val="20"/>
        </w:rPr>
        <w:t xml:space="preserve">, J. C. and </w:t>
      </w:r>
      <w:proofErr w:type="spellStart"/>
      <w:r w:rsidRPr="00BB21B4">
        <w:rPr>
          <w:sz w:val="20"/>
        </w:rPr>
        <w:t>Kassim</w:t>
      </w:r>
      <w:proofErr w:type="spellEnd"/>
      <w:r w:rsidRPr="00BB21B4">
        <w:rPr>
          <w:sz w:val="20"/>
        </w:rPr>
        <w:t xml:space="preserve">, M. B. (2011). </w:t>
      </w:r>
      <w:r w:rsidRPr="00BB21B4">
        <w:rPr>
          <w:i/>
          <w:sz w:val="20"/>
        </w:rPr>
        <w:t>N</w:t>
      </w:r>
      <w:r w:rsidRPr="00BB21B4">
        <w:rPr>
          <w:sz w:val="20"/>
        </w:rPr>
        <w:t>-Benzoyl-</w:t>
      </w:r>
      <w:r w:rsidRPr="00BB21B4">
        <w:rPr>
          <w:i/>
          <w:sz w:val="20"/>
        </w:rPr>
        <w:t>N</w:t>
      </w:r>
      <w:r w:rsidRPr="00BB21B4">
        <w:rPr>
          <w:sz w:val="20"/>
        </w:rPr>
        <w:t xml:space="preserve">'-(1,10-phenanthrolin-5-yl)thiourea dichloromethane </w:t>
      </w:r>
      <w:proofErr w:type="spellStart"/>
      <w:r w:rsidRPr="00BB21B4">
        <w:rPr>
          <w:sz w:val="20"/>
        </w:rPr>
        <w:t>hemisolvate</w:t>
      </w:r>
      <w:proofErr w:type="spellEnd"/>
      <w:r w:rsidRPr="00BB21B4">
        <w:rPr>
          <w:sz w:val="20"/>
        </w:rPr>
        <w:t xml:space="preserve"> monohydrate.  </w:t>
      </w:r>
      <w:r w:rsidR="00170806" w:rsidRPr="00BB21B4">
        <w:rPr>
          <w:i/>
          <w:sz w:val="20"/>
        </w:rPr>
        <w:t xml:space="preserve">Acta </w:t>
      </w:r>
      <w:proofErr w:type="spellStart"/>
      <w:r w:rsidR="00170806" w:rsidRPr="00BB21B4">
        <w:rPr>
          <w:i/>
          <w:sz w:val="20"/>
        </w:rPr>
        <w:t>Crystallographica</w:t>
      </w:r>
      <w:proofErr w:type="spellEnd"/>
      <w:r w:rsidR="00170806" w:rsidRPr="00BB21B4">
        <w:rPr>
          <w:i/>
          <w:sz w:val="20"/>
        </w:rPr>
        <w:t xml:space="preserve">, </w:t>
      </w:r>
      <w:r w:rsidRPr="00BB21B4">
        <w:rPr>
          <w:sz w:val="20"/>
        </w:rPr>
        <w:t>E67: 1397</w:t>
      </w:r>
      <w:r w:rsidR="00170806" w:rsidRPr="00BB21B4">
        <w:rPr>
          <w:sz w:val="20"/>
        </w:rPr>
        <w:t xml:space="preserve"> – </w:t>
      </w:r>
      <w:r w:rsidRPr="00BB21B4">
        <w:rPr>
          <w:sz w:val="20"/>
        </w:rPr>
        <w:t>1398.</w:t>
      </w:r>
    </w:p>
    <w:p w14:paraId="4346FB1D" w14:textId="77777777" w:rsidR="00BB21B4" w:rsidRDefault="000D33D1" w:rsidP="00BB21B4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r w:rsidRPr="00BB21B4">
        <w:rPr>
          <w:sz w:val="20"/>
        </w:rPr>
        <w:t>Al-</w:t>
      </w:r>
      <w:proofErr w:type="spellStart"/>
      <w:r w:rsidRPr="00BB21B4">
        <w:rPr>
          <w:sz w:val="20"/>
        </w:rPr>
        <w:t>abbasi</w:t>
      </w:r>
      <w:proofErr w:type="spellEnd"/>
      <w:r w:rsidRPr="00BB21B4">
        <w:rPr>
          <w:sz w:val="20"/>
        </w:rPr>
        <w:t xml:space="preserve">, A. A., Tan, S. S. and </w:t>
      </w:r>
      <w:proofErr w:type="spellStart"/>
      <w:r w:rsidRPr="00BB21B4">
        <w:rPr>
          <w:sz w:val="20"/>
        </w:rPr>
        <w:t>Kassim</w:t>
      </w:r>
      <w:proofErr w:type="spellEnd"/>
      <w:r w:rsidRPr="00BB21B4">
        <w:rPr>
          <w:sz w:val="20"/>
        </w:rPr>
        <w:t xml:space="preserve">, M. B. (2010). 1-benzoyl-3-(4-hydroxyphenyl)thiourea. </w:t>
      </w:r>
      <w:r w:rsidRPr="00BB21B4">
        <w:rPr>
          <w:i/>
          <w:sz w:val="20"/>
        </w:rPr>
        <w:t xml:space="preserve">Acta </w:t>
      </w:r>
      <w:proofErr w:type="spellStart"/>
      <w:r w:rsidRPr="00BB21B4">
        <w:rPr>
          <w:i/>
          <w:sz w:val="20"/>
        </w:rPr>
        <w:t>Crystallograp</w:t>
      </w:r>
      <w:r w:rsidR="00170806" w:rsidRPr="00BB21B4">
        <w:rPr>
          <w:i/>
          <w:sz w:val="20"/>
        </w:rPr>
        <w:t>hica</w:t>
      </w:r>
      <w:proofErr w:type="spellEnd"/>
      <w:r w:rsidR="00170806" w:rsidRPr="00BB21B4">
        <w:rPr>
          <w:i/>
          <w:sz w:val="20"/>
        </w:rPr>
        <w:t xml:space="preserve">, </w:t>
      </w:r>
      <w:r w:rsidRPr="00BB21B4">
        <w:rPr>
          <w:sz w:val="20"/>
        </w:rPr>
        <w:t>E66: 3181</w:t>
      </w:r>
      <w:r w:rsidR="00170806" w:rsidRPr="00BB21B4">
        <w:rPr>
          <w:sz w:val="20"/>
        </w:rPr>
        <w:t xml:space="preserve"> – </w:t>
      </w:r>
      <w:r w:rsidRPr="00BB21B4">
        <w:rPr>
          <w:sz w:val="20"/>
        </w:rPr>
        <w:t>3190.</w:t>
      </w:r>
    </w:p>
    <w:p w14:paraId="173E29A0" w14:textId="77777777" w:rsidR="00BB21B4" w:rsidRDefault="000D33D1" w:rsidP="00BB21B4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r w:rsidRPr="00BB21B4">
        <w:rPr>
          <w:sz w:val="20"/>
        </w:rPr>
        <w:t>Tan, S. S., Al-</w:t>
      </w:r>
      <w:proofErr w:type="spellStart"/>
      <w:r w:rsidRPr="00BB21B4">
        <w:rPr>
          <w:sz w:val="20"/>
        </w:rPr>
        <w:t>abbasi</w:t>
      </w:r>
      <w:proofErr w:type="spellEnd"/>
      <w:r w:rsidRPr="00BB21B4">
        <w:rPr>
          <w:sz w:val="20"/>
        </w:rPr>
        <w:t xml:space="preserve">, A. A., Mohamed Tahir, M. I. and </w:t>
      </w:r>
      <w:proofErr w:type="spellStart"/>
      <w:r w:rsidRPr="00BB21B4">
        <w:rPr>
          <w:sz w:val="20"/>
        </w:rPr>
        <w:t>Kassim</w:t>
      </w:r>
      <w:proofErr w:type="spellEnd"/>
      <w:r w:rsidRPr="00BB21B4">
        <w:rPr>
          <w:sz w:val="20"/>
        </w:rPr>
        <w:t xml:space="preserve">, M. B. (2014). Synthesis, structure and spectroscopic properties of cobalt(III) complexes with 1-benzoyl-(3,3-disubstituted)thiourea. </w:t>
      </w:r>
      <w:r w:rsidRPr="00BB21B4">
        <w:rPr>
          <w:i/>
          <w:sz w:val="20"/>
        </w:rPr>
        <w:t>Polyhedron</w:t>
      </w:r>
      <w:r w:rsidR="00170806" w:rsidRPr="00BB21B4">
        <w:rPr>
          <w:sz w:val="20"/>
        </w:rPr>
        <w:t>,</w:t>
      </w:r>
      <w:r w:rsidRPr="00BB21B4">
        <w:rPr>
          <w:sz w:val="20"/>
        </w:rPr>
        <w:t xml:space="preserve"> 68: 287</w:t>
      </w:r>
      <w:r w:rsidR="00170806" w:rsidRPr="00BB21B4">
        <w:rPr>
          <w:sz w:val="20"/>
        </w:rPr>
        <w:t xml:space="preserve"> – </w:t>
      </w:r>
      <w:r w:rsidRPr="00BB21B4">
        <w:rPr>
          <w:sz w:val="20"/>
        </w:rPr>
        <w:t>294.</w:t>
      </w:r>
    </w:p>
    <w:p w14:paraId="2A10CC67" w14:textId="1899E22E" w:rsidR="00BB21B4" w:rsidRPr="00BB5FED" w:rsidRDefault="000D33D1" w:rsidP="00BB5FED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proofErr w:type="spellStart"/>
      <w:r w:rsidRPr="00BB21B4">
        <w:rPr>
          <w:sz w:val="20"/>
        </w:rPr>
        <w:t>Shahroos</w:t>
      </w:r>
      <w:r w:rsidR="00BB21B4">
        <w:rPr>
          <w:sz w:val="20"/>
        </w:rPr>
        <w:t>vand</w:t>
      </w:r>
      <w:proofErr w:type="spellEnd"/>
      <w:r w:rsidR="00BB21B4">
        <w:rPr>
          <w:sz w:val="20"/>
        </w:rPr>
        <w:t xml:space="preserve">, H., </w:t>
      </w:r>
      <w:proofErr w:type="spellStart"/>
      <w:r w:rsidR="00BB21B4">
        <w:rPr>
          <w:sz w:val="20"/>
        </w:rPr>
        <w:t>Abbasi</w:t>
      </w:r>
      <w:proofErr w:type="spellEnd"/>
      <w:r w:rsidR="00BB21B4">
        <w:rPr>
          <w:sz w:val="20"/>
        </w:rPr>
        <w:t xml:space="preserve">, P. </w:t>
      </w:r>
      <w:proofErr w:type="spellStart"/>
      <w:r w:rsidR="00BB21B4">
        <w:rPr>
          <w:sz w:val="20"/>
        </w:rPr>
        <w:t>Notash</w:t>
      </w:r>
      <w:proofErr w:type="spellEnd"/>
      <w:r w:rsidR="00BB21B4">
        <w:rPr>
          <w:sz w:val="20"/>
        </w:rPr>
        <w:t>, B.</w:t>
      </w:r>
      <w:r w:rsidRPr="00BB21B4">
        <w:rPr>
          <w:sz w:val="20"/>
        </w:rPr>
        <w:t xml:space="preserve"> and Na</w:t>
      </w:r>
      <w:r w:rsidR="00170806" w:rsidRPr="00BB21B4">
        <w:rPr>
          <w:sz w:val="20"/>
        </w:rPr>
        <w:t>jafi, L. (2013). Separation of f</w:t>
      </w:r>
      <w:r w:rsidRPr="00BB21B4">
        <w:rPr>
          <w:sz w:val="20"/>
        </w:rPr>
        <w:t xml:space="preserve">unctionalized 5,6-disubstituted-1,10-phenanthroline for dye-sensitized solar cell applications. </w:t>
      </w:r>
      <w:r w:rsidR="00170806" w:rsidRPr="00BB21B4">
        <w:rPr>
          <w:i/>
          <w:sz w:val="20"/>
        </w:rPr>
        <w:t xml:space="preserve">Journal of Chemistry, </w:t>
      </w:r>
      <w:r w:rsidR="00BB5FED">
        <w:rPr>
          <w:sz w:val="20"/>
        </w:rPr>
        <w:t xml:space="preserve">2013: 1 – </w:t>
      </w:r>
      <w:bookmarkStart w:id="0" w:name="_GoBack"/>
      <w:bookmarkEnd w:id="0"/>
      <w:r w:rsidR="00BB5FED" w:rsidRPr="00BB5FED">
        <w:rPr>
          <w:sz w:val="20"/>
        </w:rPr>
        <w:t>8</w:t>
      </w:r>
      <w:r w:rsidRPr="00BB5FED">
        <w:rPr>
          <w:sz w:val="20"/>
        </w:rPr>
        <w:t xml:space="preserve">. </w:t>
      </w:r>
    </w:p>
    <w:p w14:paraId="102021B8" w14:textId="4F55CFC6" w:rsidR="000D33D1" w:rsidRPr="00BB21B4" w:rsidRDefault="000D33D1" w:rsidP="00BB21B4">
      <w:pPr>
        <w:pStyle w:val="AEuroAbstract"/>
        <w:numPr>
          <w:ilvl w:val="0"/>
          <w:numId w:val="5"/>
        </w:numPr>
        <w:spacing w:before="0"/>
        <w:ind w:hanging="720"/>
        <w:rPr>
          <w:sz w:val="20"/>
        </w:rPr>
      </w:pPr>
      <w:r w:rsidRPr="00BB21B4">
        <w:rPr>
          <w:sz w:val="20"/>
        </w:rPr>
        <w:t xml:space="preserve">Allen, F. H., Kennard, O., </w:t>
      </w:r>
      <w:proofErr w:type="spellStart"/>
      <w:r w:rsidRPr="00BB21B4">
        <w:rPr>
          <w:sz w:val="20"/>
        </w:rPr>
        <w:t>Waston</w:t>
      </w:r>
      <w:proofErr w:type="spellEnd"/>
      <w:r w:rsidRPr="00BB21B4">
        <w:rPr>
          <w:sz w:val="20"/>
        </w:rPr>
        <w:t xml:space="preserve">, D. G., </w:t>
      </w:r>
      <w:proofErr w:type="spellStart"/>
      <w:r w:rsidRPr="00BB21B4">
        <w:rPr>
          <w:sz w:val="20"/>
        </w:rPr>
        <w:t>Barmmer</w:t>
      </w:r>
      <w:proofErr w:type="spellEnd"/>
      <w:r w:rsidRPr="00BB21B4">
        <w:rPr>
          <w:sz w:val="20"/>
        </w:rPr>
        <w:t xml:space="preserve">, L., </w:t>
      </w:r>
      <w:proofErr w:type="spellStart"/>
      <w:r w:rsidRPr="00BB21B4">
        <w:rPr>
          <w:sz w:val="20"/>
        </w:rPr>
        <w:t>Orpen</w:t>
      </w:r>
      <w:proofErr w:type="spellEnd"/>
      <w:r w:rsidRPr="00BB21B4">
        <w:rPr>
          <w:sz w:val="20"/>
        </w:rPr>
        <w:t xml:space="preserve">, A. G. and Taylor, R. (1987). Tables of bond lengths determined by X-ray and neutron diffraction. Part 1. Bond lengths in organic compounds. </w:t>
      </w:r>
      <w:r w:rsidRPr="00BB21B4">
        <w:rPr>
          <w:i/>
          <w:sz w:val="20"/>
        </w:rPr>
        <w:t>Journal of Chemic</w:t>
      </w:r>
      <w:r w:rsidR="00BB21B4" w:rsidRPr="00BB21B4">
        <w:rPr>
          <w:i/>
          <w:sz w:val="20"/>
        </w:rPr>
        <w:t xml:space="preserve">al Society </w:t>
      </w:r>
      <w:r w:rsidR="00170806" w:rsidRPr="00BB21B4">
        <w:rPr>
          <w:i/>
          <w:sz w:val="20"/>
        </w:rPr>
        <w:t xml:space="preserve">Perkin Transactions, </w:t>
      </w:r>
      <w:r w:rsidRPr="00BB21B4">
        <w:rPr>
          <w:sz w:val="20"/>
        </w:rPr>
        <w:t>2: 1</w:t>
      </w:r>
      <w:r w:rsidR="00170806" w:rsidRPr="00BB21B4">
        <w:rPr>
          <w:sz w:val="20"/>
        </w:rPr>
        <w:t xml:space="preserve"> – </w:t>
      </w:r>
      <w:r w:rsidRPr="00BB21B4">
        <w:rPr>
          <w:sz w:val="20"/>
        </w:rPr>
        <w:t xml:space="preserve">19. </w:t>
      </w:r>
    </w:p>
    <w:p w14:paraId="3BBA56BA" w14:textId="77777777" w:rsidR="000D33D1" w:rsidRPr="00D6017D" w:rsidRDefault="000D33D1" w:rsidP="000D33D1">
      <w:pPr>
        <w:pStyle w:val="AEuroAbstract"/>
        <w:spacing w:before="0"/>
        <w:ind w:left="426" w:hanging="426"/>
        <w:rPr>
          <w:sz w:val="20"/>
        </w:rPr>
      </w:pPr>
    </w:p>
    <w:p w14:paraId="769DF0F6" w14:textId="77777777" w:rsidR="000D33D1" w:rsidRDefault="000D33D1" w:rsidP="000D33D1">
      <w:pPr>
        <w:pStyle w:val="AEuroAbstract"/>
        <w:spacing w:before="0"/>
        <w:ind w:left="426" w:hanging="426"/>
        <w:rPr>
          <w:sz w:val="20"/>
        </w:rPr>
      </w:pPr>
    </w:p>
    <w:p w14:paraId="243213F1" w14:textId="77777777" w:rsidR="000D33D1" w:rsidRDefault="000D33D1" w:rsidP="000D33D1">
      <w:pPr>
        <w:pStyle w:val="AEuroAbstract"/>
        <w:spacing w:before="0"/>
        <w:ind w:left="426" w:hanging="426"/>
        <w:rPr>
          <w:sz w:val="20"/>
        </w:rPr>
      </w:pPr>
    </w:p>
    <w:p w14:paraId="3033C0B8" w14:textId="77777777" w:rsidR="000D33D1" w:rsidRDefault="000D33D1" w:rsidP="000D33D1">
      <w:pPr>
        <w:pStyle w:val="AEuroAbstract"/>
        <w:spacing w:before="0"/>
        <w:ind w:left="426" w:hanging="426"/>
        <w:rPr>
          <w:sz w:val="20"/>
        </w:rPr>
      </w:pPr>
    </w:p>
    <w:p w14:paraId="4C752736" w14:textId="77777777" w:rsidR="000D33D1" w:rsidRDefault="000D33D1" w:rsidP="000D33D1">
      <w:pPr>
        <w:pStyle w:val="AEuroAbstract"/>
        <w:spacing w:before="0"/>
        <w:ind w:left="426" w:hanging="426"/>
        <w:rPr>
          <w:sz w:val="20"/>
        </w:rPr>
      </w:pPr>
    </w:p>
    <w:p w14:paraId="456E30B0" w14:textId="77777777" w:rsidR="000D33D1" w:rsidRDefault="000D33D1" w:rsidP="000D33D1">
      <w:pPr>
        <w:pStyle w:val="AEuroAbstract"/>
        <w:spacing w:before="0"/>
        <w:ind w:left="426" w:hanging="426"/>
        <w:rPr>
          <w:sz w:val="20"/>
        </w:rPr>
      </w:pPr>
    </w:p>
    <w:p w14:paraId="2F4EA342" w14:textId="77777777" w:rsidR="000D33D1" w:rsidRPr="00B85BF2" w:rsidRDefault="000D33D1" w:rsidP="000D33D1">
      <w:pPr>
        <w:pStyle w:val="Thirdlevelheading"/>
        <w:widowControl w:val="0"/>
        <w:tabs>
          <w:tab w:val="left" w:pos="284"/>
        </w:tabs>
        <w:spacing w:line="240" w:lineRule="auto"/>
        <w:rPr>
          <w:rFonts w:asciiTheme="majorBidi" w:eastAsia="Arial Unicode MS" w:hAnsiTheme="majorBidi" w:cstheme="majorBidi"/>
          <w:i w:val="0"/>
          <w:shd w:val="clear" w:color="auto" w:fill="FFFFFF"/>
        </w:rPr>
      </w:pPr>
    </w:p>
    <w:p w14:paraId="76D9F437" w14:textId="77777777" w:rsidR="000D33D1" w:rsidRDefault="000D33D1" w:rsidP="00D80F5B">
      <w:pPr>
        <w:pStyle w:val="Titleofthepaper"/>
        <w:tabs>
          <w:tab w:val="left" w:pos="8252"/>
        </w:tabs>
        <w:jc w:val="left"/>
        <w:rPr>
          <w:rFonts w:ascii="Times New Roman" w:hAnsi="Times New Roman"/>
          <w:b w:val="0"/>
          <w:sz w:val="18"/>
          <w:szCs w:val="18"/>
        </w:rPr>
      </w:pPr>
    </w:p>
    <w:p w14:paraId="227AC8A2" w14:textId="77777777" w:rsidR="00D80F5B" w:rsidRDefault="00D80F5B" w:rsidP="00D80F5B">
      <w:pPr>
        <w:pStyle w:val="Titleofthepaper"/>
        <w:tabs>
          <w:tab w:val="left" w:pos="8252"/>
        </w:tabs>
        <w:jc w:val="left"/>
        <w:rPr>
          <w:rFonts w:ascii="Times New Roman" w:hAnsi="Times New Roman"/>
          <w:b w:val="0"/>
          <w:sz w:val="18"/>
          <w:szCs w:val="18"/>
        </w:rPr>
      </w:pPr>
    </w:p>
    <w:p w14:paraId="5B6FC2FF" w14:textId="77777777" w:rsidR="00754703" w:rsidRDefault="00754703">
      <w:pPr>
        <w:widowControl/>
        <w:suppressAutoHyphens w:val="0"/>
        <w:spacing w:after="200" w:line="276" w:lineRule="auto"/>
        <w:rPr>
          <w:b/>
          <w:sz w:val="20"/>
        </w:rPr>
      </w:pPr>
    </w:p>
    <w:sectPr w:rsidR="00754703" w:rsidSect="005948CE">
      <w:type w:val="continuous"/>
      <w:pgSz w:w="11906" w:h="16838" w:code="9"/>
      <w:pgMar w:top="1440" w:right="1440" w:bottom="1440" w:left="1440" w:header="288" w:footer="113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sr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B7D1BCD"/>
    <w:multiLevelType w:val="hybridMultilevel"/>
    <w:tmpl w:val="5D807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87"/>
    <w:rsid w:val="00001BA2"/>
    <w:rsid w:val="00002FC6"/>
    <w:rsid w:val="00014A6B"/>
    <w:rsid w:val="0001562C"/>
    <w:rsid w:val="00017AB5"/>
    <w:rsid w:val="000200C8"/>
    <w:rsid w:val="00023E0C"/>
    <w:rsid w:val="00034073"/>
    <w:rsid w:val="00034923"/>
    <w:rsid w:val="000415D2"/>
    <w:rsid w:val="000421EC"/>
    <w:rsid w:val="00053A27"/>
    <w:rsid w:val="00055C00"/>
    <w:rsid w:val="00057842"/>
    <w:rsid w:val="00070181"/>
    <w:rsid w:val="00072B9B"/>
    <w:rsid w:val="00083982"/>
    <w:rsid w:val="000A1B88"/>
    <w:rsid w:val="000A2B9D"/>
    <w:rsid w:val="000A441C"/>
    <w:rsid w:val="000B0BA0"/>
    <w:rsid w:val="000C0944"/>
    <w:rsid w:val="000C5CBF"/>
    <w:rsid w:val="000C6BB5"/>
    <w:rsid w:val="000C7971"/>
    <w:rsid w:val="000D33D1"/>
    <w:rsid w:val="000D5CDF"/>
    <w:rsid w:val="000D71A2"/>
    <w:rsid w:val="000E2564"/>
    <w:rsid w:val="000E2E17"/>
    <w:rsid w:val="000E3F7A"/>
    <w:rsid w:val="000E56F5"/>
    <w:rsid w:val="000F0E43"/>
    <w:rsid w:val="000F6B1D"/>
    <w:rsid w:val="00101D82"/>
    <w:rsid w:val="00105D26"/>
    <w:rsid w:val="00106E15"/>
    <w:rsid w:val="00107AA2"/>
    <w:rsid w:val="001229E1"/>
    <w:rsid w:val="00123892"/>
    <w:rsid w:val="001266FB"/>
    <w:rsid w:val="00127C9D"/>
    <w:rsid w:val="00145967"/>
    <w:rsid w:val="0015776B"/>
    <w:rsid w:val="00164653"/>
    <w:rsid w:val="00170806"/>
    <w:rsid w:val="0017158D"/>
    <w:rsid w:val="001716BC"/>
    <w:rsid w:val="00172D25"/>
    <w:rsid w:val="001851E8"/>
    <w:rsid w:val="00187701"/>
    <w:rsid w:val="00195A52"/>
    <w:rsid w:val="001A403C"/>
    <w:rsid w:val="001B177A"/>
    <w:rsid w:val="001B7ECE"/>
    <w:rsid w:val="001C09C6"/>
    <w:rsid w:val="001C744B"/>
    <w:rsid w:val="001C754F"/>
    <w:rsid w:val="001D1295"/>
    <w:rsid w:val="001D7240"/>
    <w:rsid w:val="001D73BB"/>
    <w:rsid w:val="001D7DD6"/>
    <w:rsid w:val="001F1613"/>
    <w:rsid w:val="002021AA"/>
    <w:rsid w:val="00203AF5"/>
    <w:rsid w:val="00203EEF"/>
    <w:rsid w:val="002048C0"/>
    <w:rsid w:val="00206B13"/>
    <w:rsid w:val="00207DD2"/>
    <w:rsid w:val="0022296D"/>
    <w:rsid w:val="00232B03"/>
    <w:rsid w:val="00233692"/>
    <w:rsid w:val="00233CF7"/>
    <w:rsid w:val="00235854"/>
    <w:rsid w:val="0023767B"/>
    <w:rsid w:val="002415F4"/>
    <w:rsid w:val="002439B0"/>
    <w:rsid w:val="00247A33"/>
    <w:rsid w:val="00252D90"/>
    <w:rsid w:val="002530CA"/>
    <w:rsid w:val="00255DB5"/>
    <w:rsid w:val="00261CA2"/>
    <w:rsid w:val="002711B4"/>
    <w:rsid w:val="00272B9A"/>
    <w:rsid w:val="00272EA8"/>
    <w:rsid w:val="00274A12"/>
    <w:rsid w:val="00274F84"/>
    <w:rsid w:val="00277AB0"/>
    <w:rsid w:val="002878BE"/>
    <w:rsid w:val="00287F70"/>
    <w:rsid w:val="00291BAD"/>
    <w:rsid w:val="00292181"/>
    <w:rsid w:val="002A292A"/>
    <w:rsid w:val="002A6AF3"/>
    <w:rsid w:val="002B15B2"/>
    <w:rsid w:val="002B4CBA"/>
    <w:rsid w:val="002B5121"/>
    <w:rsid w:val="002D20DD"/>
    <w:rsid w:val="002D383E"/>
    <w:rsid w:val="002D4030"/>
    <w:rsid w:val="002D53DB"/>
    <w:rsid w:val="002E26E7"/>
    <w:rsid w:val="002E5099"/>
    <w:rsid w:val="00300815"/>
    <w:rsid w:val="00304107"/>
    <w:rsid w:val="00304D2B"/>
    <w:rsid w:val="00312D94"/>
    <w:rsid w:val="003162C1"/>
    <w:rsid w:val="00321550"/>
    <w:rsid w:val="0032158C"/>
    <w:rsid w:val="003222F9"/>
    <w:rsid w:val="00324DFE"/>
    <w:rsid w:val="00332CE9"/>
    <w:rsid w:val="00333915"/>
    <w:rsid w:val="00336805"/>
    <w:rsid w:val="003408E4"/>
    <w:rsid w:val="003443B4"/>
    <w:rsid w:val="0035231A"/>
    <w:rsid w:val="003529A4"/>
    <w:rsid w:val="00356BAB"/>
    <w:rsid w:val="00357405"/>
    <w:rsid w:val="00377AB3"/>
    <w:rsid w:val="003A1384"/>
    <w:rsid w:val="003A1A4C"/>
    <w:rsid w:val="003B105E"/>
    <w:rsid w:val="003B6670"/>
    <w:rsid w:val="003C6425"/>
    <w:rsid w:val="003D2BB9"/>
    <w:rsid w:val="003E057D"/>
    <w:rsid w:val="003E1C74"/>
    <w:rsid w:val="003E4B32"/>
    <w:rsid w:val="003E7BE6"/>
    <w:rsid w:val="003F6059"/>
    <w:rsid w:val="0040603B"/>
    <w:rsid w:val="00410EF2"/>
    <w:rsid w:val="00414864"/>
    <w:rsid w:val="00415261"/>
    <w:rsid w:val="00431413"/>
    <w:rsid w:val="0043207F"/>
    <w:rsid w:val="0043609B"/>
    <w:rsid w:val="004363E5"/>
    <w:rsid w:val="00445643"/>
    <w:rsid w:val="004516A8"/>
    <w:rsid w:val="00454D44"/>
    <w:rsid w:val="004561BC"/>
    <w:rsid w:val="004605ED"/>
    <w:rsid w:val="00463942"/>
    <w:rsid w:val="00472750"/>
    <w:rsid w:val="00477A07"/>
    <w:rsid w:val="00477B87"/>
    <w:rsid w:val="004805AA"/>
    <w:rsid w:val="0048181C"/>
    <w:rsid w:val="0048635F"/>
    <w:rsid w:val="0048708D"/>
    <w:rsid w:val="00487198"/>
    <w:rsid w:val="004A2B88"/>
    <w:rsid w:val="004A5620"/>
    <w:rsid w:val="004B10C8"/>
    <w:rsid w:val="004B3502"/>
    <w:rsid w:val="004B7E4B"/>
    <w:rsid w:val="004C5B7A"/>
    <w:rsid w:val="004C7592"/>
    <w:rsid w:val="004D0505"/>
    <w:rsid w:val="004D475D"/>
    <w:rsid w:val="004D4A9F"/>
    <w:rsid w:val="004F371D"/>
    <w:rsid w:val="004F435B"/>
    <w:rsid w:val="004F4595"/>
    <w:rsid w:val="00505A4A"/>
    <w:rsid w:val="00505C0B"/>
    <w:rsid w:val="005119A2"/>
    <w:rsid w:val="00511E36"/>
    <w:rsid w:val="00513B96"/>
    <w:rsid w:val="00516164"/>
    <w:rsid w:val="0053570E"/>
    <w:rsid w:val="0054131C"/>
    <w:rsid w:val="00555106"/>
    <w:rsid w:val="00555E2E"/>
    <w:rsid w:val="005560BD"/>
    <w:rsid w:val="00560AC6"/>
    <w:rsid w:val="00562CF5"/>
    <w:rsid w:val="005636BD"/>
    <w:rsid w:val="00565CAA"/>
    <w:rsid w:val="00567FAB"/>
    <w:rsid w:val="00570A06"/>
    <w:rsid w:val="00572ECC"/>
    <w:rsid w:val="00574669"/>
    <w:rsid w:val="00577375"/>
    <w:rsid w:val="00580AC5"/>
    <w:rsid w:val="0058244D"/>
    <w:rsid w:val="00582AE6"/>
    <w:rsid w:val="0058485F"/>
    <w:rsid w:val="00594185"/>
    <w:rsid w:val="005948CE"/>
    <w:rsid w:val="005A3698"/>
    <w:rsid w:val="005A3A76"/>
    <w:rsid w:val="005B02AD"/>
    <w:rsid w:val="005B02C3"/>
    <w:rsid w:val="005B06BA"/>
    <w:rsid w:val="005B41E4"/>
    <w:rsid w:val="005B55CD"/>
    <w:rsid w:val="005B63AC"/>
    <w:rsid w:val="005B66F3"/>
    <w:rsid w:val="005C4B42"/>
    <w:rsid w:val="005C5C60"/>
    <w:rsid w:val="005C7D66"/>
    <w:rsid w:val="005E046F"/>
    <w:rsid w:val="005E6674"/>
    <w:rsid w:val="005F1549"/>
    <w:rsid w:val="005F37B0"/>
    <w:rsid w:val="006023F6"/>
    <w:rsid w:val="00605CFC"/>
    <w:rsid w:val="00607935"/>
    <w:rsid w:val="006130F1"/>
    <w:rsid w:val="00627880"/>
    <w:rsid w:val="00631621"/>
    <w:rsid w:val="00631D03"/>
    <w:rsid w:val="00631D2B"/>
    <w:rsid w:val="00634107"/>
    <w:rsid w:val="00634638"/>
    <w:rsid w:val="006373C7"/>
    <w:rsid w:val="0064317D"/>
    <w:rsid w:val="00662DD4"/>
    <w:rsid w:val="00663328"/>
    <w:rsid w:val="00664FF4"/>
    <w:rsid w:val="0066553B"/>
    <w:rsid w:val="00666047"/>
    <w:rsid w:val="00674524"/>
    <w:rsid w:val="006750BE"/>
    <w:rsid w:val="00681978"/>
    <w:rsid w:val="006C0D34"/>
    <w:rsid w:val="006C4D1A"/>
    <w:rsid w:val="006C7C41"/>
    <w:rsid w:val="006C7FB5"/>
    <w:rsid w:val="006C7FE2"/>
    <w:rsid w:val="006D64EF"/>
    <w:rsid w:val="006E0044"/>
    <w:rsid w:val="006E649B"/>
    <w:rsid w:val="006F0E7F"/>
    <w:rsid w:val="006F304B"/>
    <w:rsid w:val="0070042D"/>
    <w:rsid w:val="007014F9"/>
    <w:rsid w:val="0070367A"/>
    <w:rsid w:val="00716723"/>
    <w:rsid w:val="00717423"/>
    <w:rsid w:val="0072319F"/>
    <w:rsid w:val="0074619A"/>
    <w:rsid w:val="007529CE"/>
    <w:rsid w:val="00752ADC"/>
    <w:rsid w:val="00754703"/>
    <w:rsid w:val="00764FA6"/>
    <w:rsid w:val="007703AE"/>
    <w:rsid w:val="00774D41"/>
    <w:rsid w:val="00775B04"/>
    <w:rsid w:val="00777FB8"/>
    <w:rsid w:val="00781F1B"/>
    <w:rsid w:val="007878D6"/>
    <w:rsid w:val="00791526"/>
    <w:rsid w:val="00792A7C"/>
    <w:rsid w:val="007947EC"/>
    <w:rsid w:val="00794DFB"/>
    <w:rsid w:val="007968CC"/>
    <w:rsid w:val="00797632"/>
    <w:rsid w:val="007A2E3E"/>
    <w:rsid w:val="007A753F"/>
    <w:rsid w:val="007B0570"/>
    <w:rsid w:val="007B3641"/>
    <w:rsid w:val="007B42C6"/>
    <w:rsid w:val="007C31A0"/>
    <w:rsid w:val="007C5C5C"/>
    <w:rsid w:val="007C779F"/>
    <w:rsid w:val="007D7E2C"/>
    <w:rsid w:val="007E0E27"/>
    <w:rsid w:val="007E2BCC"/>
    <w:rsid w:val="007E3246"/>
    <w:rsid w:val="007F13CA"/>
    <w:rsid w:val="007F2E74"/>
    <w:rsid w:val="007F41F4"/>
    <w:rsid w:val="007F6846"/>
    <w:rsid w:val="00800866"/>
    <w:rsid w:val="0080227B"/>
    <w:rsid w:val="00803F1E"/>
    <w:rsid w:val="0080476F"/>
    <w:rsid w:val="008104CC"/>
    <w:rsid w:val="0081290A"/>
    <w:rsid w:val="0081313F"/>
    <w:rsid w:val="0081432A"/>
    <w:rsid w:val="008145E4"/>
    <w:rsid w:val="00817902"/>
    <w:rsid w:val="00833482"/>
    <w:rsid w:val="00836FD0"/>
    <w:rsid w:val="00842FD6"/>
    <w:rsid w:val="008459C1"/>
    <w:rsid w:val="00846210"/>
    <w:rsid w:val="0085071D"/>
    <w:rsid w:val="00854918"/>
    <w:rsid w:val="008573E7"/>
    <w:rsid w:val="00860CE5"/>
    <w:rsid w:val="0086767B"/>
    <w:rsid w:val="00867C27"/>
    <w:rsid w:val="008860D5"/>
    <w:rsid w:val="00886744"/>
    <w:rsid w:val="008870AF"/>
    <w:rsid w:val="0089279A"/>
    <w:rsid w:val="008A589A"/>
    <w:rsid w:val="008B0D2F"/>
    <w:rsid w:val="008C52EB"/>
    <w:rsid w:val="008E6B77"/>
    <w:rsid w:val="008F05C0"/>
    <w:rsid w:val="009016CD"/>
    <w:rsid w:val="00901E7C"/>
    <w:rsid w:val="009034BA"/>
    <w:rsid w:val="0091121C"/>
    <w:rsid w:val="0091438F"/>
    <w:rsid w:val="00916DFB"/>
    <w:rsid w:val="0092315B"/>
    <w:rsid w:val="00924B8B"/>
    <w:rsid w:val="0092719B"/>
    <w:rsid w:val="009301EC"/>
    <w:rsid w:val="009357F6"/>
    <w:rsid w:val="009430BF"/>
    <w:rsid w:val="009557EB"/>
    <w:rsid w:val="009557EE"/>
    <w:rsid w:val="00961236"/>
    <w:rsid w:val="009647ED"/>
    <w:rsid w:val="00964AE5"/>
    <w:rsid w:val="00970C58"/>
    <w:rsid w:val="009737E5"/>
    <w:rsid w:val="00980C75"/>
    <w:rsid w:val="00981785"/>
    <w:rsid w:val="009916C6"/>
    <w:rsid w:val="00991830"/>
    <w:rsid w:val="00997157"/>
    <w:rsid w:val="009A1DDC"/>
    <w:rsid w:val="009B1937"/>
    <w:rsid w:val="009B5AEE"/>
    <w:rsid w:val="009D4EC9"/>
    <w:rsid w:val="009D5B78"/>
    <w:rsid w:val="009E21D7"/>
    <w:rsid w:val="009F28AA"/>
    <w:rsid w:val="00A03ACF"/>
    <w:rsid w:val="00A03D1B"/>
    <w:rsid w:val="00A11618"/>
    <w:rsid w:val="00A147DE"/>
    <w:rsid w:val="00A16F83"/>
    <w:rsid w:val="00A1730E"/>
    <w:rsid w:val="00A25EE1"/>
    <w:rsid w:val="00A26897"/>
    <w:rsid w:val="00A27746"/>
    <w:rsid w:val="00A376F0"/>
    <w:rsid w:val="00A4040C"/>
    <w:rsid w:val="00A43A1A"/>
    <w:rsid w:val="00A45A41"/>
    <w:rsid w:val="00A45CDC"/>
    <w:rsid w:val="00A46246"/>
    <w:rsid w:val="00A507FB"/>
    <w:rsid w:val="00A520B0"/>
    <w:rsid w:val="00A53C18"/>
    <w:rsid w:val="00A54D8C"/>
    <w:rsid w:val="00A611D6"/>
    <w:rsid w:val="00A71C0B"/>
    <w:rsid w:val="00A77B07"/>
    <w:rsid w:val="00A81458"/>
    <w:rsid w:val="00A90508"/>
    <w:rsid w:val="00A933D3"/>
    <w:rsid w:val="00A94480"/>
    <w:rsid w:val="00A96C7B"/>
    <w:rsid w:val="00AA2396"/>
    <w:rsid w:val="00AA3790"/>
    <w:rsid w:val="00AA41DC"/>
    <w:rsid w:val="00AA734B"/>
    <w:rsid w:val="00AB3D3A"/>
    <w:rsid w:val="00AB67F4"/>
    <w:rsid w:val="00AC3DB3"/>
    <w:rsid w:val="00AD1AC1"/>
    <w:rsid w:val="00AE4B30"/>
    <w:rsid w:val="00AE5F37"/>
    <w:rsid w:val="00AF66B5"/>
    <w:rsid w:val="00AF678E"/>
    <w:rsid w:val="00B004AF"/>
    <w:rsid w:val="00B00F9F"/>
    <w:rsid w:val="00B1179C"/>
    <w:rsid w:val="00B14852"/>
    <w:rsid w:val="00B20CE9"/>
    <w:rsid w:val="00B26E69"/>
    <w:rsid w:val="00B320D8"/>
    <w:rsid w:val="00B43F7B"/>
    <w:rsid w:val="00B479E7"/>
    <w:rsid w:val="00B5354E"/>
    <w:rsid w:val="00B549C4"/>
    <w:rsid w:val="00B54DDF"/>
    <w:rsid w:val="00B5541A"/>
    <w:rsid w:val="00B61EF3"/>
    <w:rsid w:val="00B620F9"/>
    <w:rsid w:val="00B73C76"/>
    <w:rsid w:val="00B74938"/>
    <w:rsid w:val="00B85633"/>
    <w:rsid w:val="00B85BF2"/>
    <w:rsid w:val="00B87BC0"/>
    <w:rsid w:val="00B92E33"/>
    <w:rsid w:val="00B93181"/>
    <w:rsid w:val="00B93316"/>
    <w:rsid w:val="00B943B1"/>
    <w:rsid w:val="00B94F34"/>
    <w:rsid w:val="00BA1E15"/>
    <w:rsid w:val="00BB21B4"/>
    <w:rsid w:val="00BB5FED"/>
    <w:rsid w:val="00BC0007"/>
    <w:rsid w:val="00BC4309"/>
    <w:rsid w:val="00BC4E03"/>
    <w:rsid w:val="00BC5967"/>
    <w:rsid w:val="00BC59DF"/>
    <w:rsid w:val="00BC5FFC"/>
    <w:rsid w:val="00BD1546"/>
    <w:rsid w:val="00BD2867"/>
    <w:rsid w:val="00BD5021"/>
    <w:rsid w:val="00BE15FA"/>
    <w:rsid w:val="00BE162F"/>
    <w:rsid w:val="00BE1A0E"/>
    <w:rsid w:val="00BE55F2"/>
    <w:rsid w:val="00BE7AC8"/>
    <w:rsid w:val="00BF1E90"/>
    <w:rsid w:val="00C025D2"/>
    <w:rsid w:val="00C06ACA"/>
    <w:rsid w:val="00C11548"/>
    <w:rsid w:val="00C15B7E"/>
    <w:rsid w:val="00C22F16"/>
    <w:rsid w:val="00C4387C"/>
    <w:rsid w:val="00C44FF0"/>
    <w:rsid w:val="00C62169"/>
    <w:rsid w:val="00C62FFC"/>
    <w:rsid w:val="00C65A64"/>
    <w:rsid w:val="00C66CF4"/>
    <w:rsid w:val="00C7716B"/>
    <w:rsid w:val="00C8105D"/>
    <w:rsid w:val="00C83F27"/>
    <w:rsid w:val="00C874DD"/>
    <w:rsid w:val="00C91316"/>
    <w:rsid w:val="00CA0ABE"/>
    <w:rsid w:val="00CA4DFC"/>
    <w:rsid w:val="00CB4933"/>
    <w:rsid w:val="00CB771F"/>
    <w:rsid w:val="00CB7BFD"/>
    <w:rsid w:val="00CC2665"/>
    <w:rsid w:val="00CC27AA"/>
    <w:rsid w:val="00CC3673"/>
    <w:rsid w:val="00CD33C6"/>
    <w:rsid w:val="00CE21AB"/>
    <w:rsid w:val="00D060FC"/>
    <w:rsid w:val="00D12AD5"/>
    <w:rsid w:val="00D14C84"/>
    <w:rsid w:val="00D15F4F"/>
    <w:rsid w:val="00D203E1"/>
    <w:rsid w:val="00D364E6"/>
    <w:rsid w:val="00D540CC"/>
    <w:rsid w:val="00D547C0"/>
    <w:rsid w:val="00D6017D"/>
    <w:rsid w:val="00D647BC"/>
    <w:rsid w:val="00D654B2"/>
    <w:rsid w:val="00D67AE8"/>
    <w:rsid w:val="00D70FCA"/>
    <w:rsid w:val="00D75434"/>
    <w:rsid w:val="00D77A5F"/>
    <w:rsid w:val="00D80F5B"/>
    <w:rsid w:val="00D853A0"/>
    <w:rsid w:val="00D8780B"/>
    <w:rsid w:val="00D95481"/>
    <w:rsid w:val="00D9550D"/>
    <w:rsid w:val="00DB53FF"/>
    <w:rsid w:val="00DB62D0"/>
    <w:rsid w:val="00DC22B8"/>
    <w:rsid w:val="00DD4E98"/>
    <w:rsid w:val="00DD5326"/>
    <w:rsid w:val="00DD56AC"/>
    <w:rsid w:val="00DD709F"/>
    <w:rsid w:val="00DE1436"/>
    <w:rsid w:val="00DF01DA"/>
    <w:rsid w:val="00DF2076"/>
    <w:rsid w:val="00DF4A8A"/>
    <w:rsid w:val="00DF54E8"/>
    <w:rsid w:val="00E03972"/>
    <w:rsid w:val="00E1066E"/>
    <w:rsid w:val="00E10D0F"/>
    <w:rsid w:val="00E31E6C"/>
    <w:rsid w:val="00E33D3A"/>
    <w:rsid w:val="00E4060E"/>
    <w:rsid w:val="00E4245A"/>
    <w:rsid w:val="00E5479F"/>
    <w:rsid w:val="00E56498"/>
    <w:rsid w:val="00E71D7E"/>
    <w:rsid w:val="00E72ADB"/>
    <w:rsid w:val="00E7717A"/>
    <w:rsid w:val="00E83C00"/>
    <w:rsid w:val="00E91D94"/>
    <w:rsid w:val="00E937A5"/>
    <w:rsid w:val="00E97291"/>
    <w:rsid w:val="00E97CAE"/>
    <w:rsid w:val="00EA1A3A"/>
    <w:rsid w:val="00EA3292"/>
    <w:rsid w:val="00EA5A6C"/>
    <w:rsid w:val="00EB5B09"/>
    <w:rsid w:val="00EB62F7"/>
    <w:rsid w:val="00EB684C"/>
    <w:rsid w:val="00ED15BA"/>
    <w:rsid w:val="00ED4F4E"/>
    <w:rsid w:val="00ED7FA1"/>
    <w:rsid w:val="00EE0ECD"/>
    <w:rsid w:val="00EF02E0"/>
    <w:rsid w:val="00EF0642"/>
    <w:rsid w:val="00EF13E0"/>
    <w:rsid w:val="00EF38DD"/>
    <w:rsid w:val="00EF4C12"/>
    <w:rsid w:val="00F006C0"/>
    <w:rsid w:val="00F02E85"/>
    <w:rsid w:val="00F0416B"/>
    <w:rsid w:val="00F138D7"/>
    <w:rsid w:val="00F1705C"/>
    <w:rsid w:val="00F21AF9"/>
    <w:rsid w:val="00F23BCB"/>
    <w:rsid w:val="00F2484D"/>
    <w:rsid w:val="00F253A9"/>
    <w:rsid w:val="00F26F7B"/>
    <w:rsid w:val="00F334D4"/>
    <w:rsid w:val="00F34891"/>
    <w:rsid w:val="00F360A7"/>
    <w:rsid w:val="00F42993"/>
    <w:rsid w:val="00F44339"/>
    <w:rsid w:val="00F4469E"/>
    <w:rsid w:val="00F50371"/>
    <w:rsid w:val="00F51B00"/>
    <w:rsid w:val="00F708C8"/>
    <w:rsid w:val="00F726CE"/>
    <w:rsid w:val="00F7472A"/>
    <w:rsid w:val="00F7503D"/>
    <w:rsid w:val="00F76BFF"/>
    <w:rsid w:val="00F80751"/>
    <w:rsid w:val="00FA049A"/>
    <w:rsid w:val="00FA465D"/>
    <w:rsid w:val="00FA4C80"/>
    <w:rsid w:val="00FA56BC"/>
    <w:rsid w:val="00FA75FD"/>
    <w:rsid w:val="00FB3E5F"/>
    <w:rsid w:val="00FB5D3A"/>
    <w:rsid w:val="00FB7ED3"/>
    <w:rsid w:val="00FC2BD5"/>
    <w:rsid w:val="00FC3B9B"/>
    <w:rsid w:val="00FC5084"/>
    <w:rsid w:val="00FC67C5"/>
    <w:rsid w:val="00FC75D5"/>
    <w:rsid w:val="00FC76D5"/>
    <w:rsid w:val="00FC7845"/>
    <w:rsid w:val="00FD335F"/>
    <w:rsid w:val="00FD7514"/>
    <w:rsid w:val="00FE4F9C"/>
    <w:rsid w:val="00FF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B0E1C7"/>
  <w15:docId w15:val="{EFFEED85-CD10-4043-894C-294A0C49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77B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477B87"/>
    <w:pPr>
      <w:keepNext/>
      <w:tabs>
        <w:tab w:val="left" w:pos="567"/>
      </w:tabs>
      <w:spacing w:after="180" w:line="280" w:lineRule="exact"/>
      <w:outlineLvl w:val="0"/>
    </w:pPr>
    <w:rPr>
      <w:b/>
      <w:kern w:val="2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77B87"/>
    <w:pPr>
      <w:keepNext/>
      <w:widowControl/>
      <w:spacing w:after="180" w:line="240" w:lineRule="exact"/>
      <w:outlineLvl w:val="1"/>
    </w:pPr>
    <w:rPr>
      <w:b/>
      <w:kern w:val="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77B87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77B87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7B87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7B87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77B87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77B87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77B87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B87"/>
    <w:rPr>
      <w:rFonts w:ascii="Times New Roman" w:eastAsia="Times New Roman" w:hAnsi="Times New Roman" w:cs="Times New Roman"/>
      <w:b/>
      <w:kern w:val="2"/>
      <w:sz w:val="28"/>
      <w:szCs w:val="20"/>
      <w:lang w:val="en-GB" w:eastAsia="ar-SA"/>
    </w:rPr>
  </w:style>
  <w:style w:type="character" w:customStyle="1" w:styleId="Heading2Char">
    <w:name w:val="Heading 2 Char"/>
    <w:basedOn w:val="DefaultParagraphFont"/>
    <w:link w:val="Heading2"/>
    <w:semiHidden/>
    <w:rsid w:val="00477B87"/>
    <w:rPr>
      <w:rFonts w:ascii="Times New Roman" w:eastAsia="Times New Roman" w:hAnsi="Times New Roman" w:cs="Times New Roman"/>
      <w:b/>
      <w:kern w:val="2"/>
      <w:sz w:val="24"/>
      <w:szCs w:val="20"/>
      <w:lang w:val="en-GB" w:eastAsia="ar-SA"/>
    </w:rPr>
  </w:style>
  <w:style w:type="character" w:customStyle="1" w:styleId="Heading3Char">
    <w:name w:val="Heading 3 Char"/>
    <w:basedOn w:val="DefaultParagraphFont"/>
    <w:link w:val="Heading3"/>
    <w:semiHidden/>
    <w:rsid w:val="00477B87"/>
    <w:rPr>
      <w:rFonts w:ascii="Arial" w:eastAsia="Times New Roman" w:hAnsi="Arial" w:cs="Times New Roman"/>
      <w:sz w:val="24"/>
      <w:szCs w:val="20"/>
      <w:lang w:val="en-GB" w:eastAsia="ar-SA"/>
    </w:rPr>
  </w:style>
  <w:style w:type="character" w:customStyle="1" w:styleId="Heading4Char">
    <w:name w:val="Heading 4 Char"/>
    <w:basedOn w:val="DefaultParagraphFont"/>
    <w:link w:val="Heading4"/>
    <w:semiHidden/>
    <w:rsid w:val="00477B87"/>
    <w:rPr>
      <w:rFonts w:ascii="Arial" w:eastAsia="Times New Roman" w:hAnsi="Arial" w:cs="Times New Roman"/>
      <w:b/>
      <w:sz w:val="24"/>
      <w:szCs w:val="20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477B87"/>
    <w:rPr>
      <w:rFonts w:ascii="Times New Roman" w:eastAsia="Times New Roman" w:hAnsi="Times New Roman" w:cs="Times New Roman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semiHidden/>
    <w:rsid w:val="00477B87"/>
    <w:rPr>
      <w:rFonts w:ascii="Times New Roman" w:eastAsia="Times New Roman" w:hAnsi="Times New Roman" w:cs="Times New Roman"/>
      <w:i/>
      <w:szCs w:val="20"/>
      <w:lang w:val="en-GB" w:eastAsia="ar-SA"/>
    </w:rPr>
  </w:style>
  <w:style w:type="character" w:customStyle="1" w:styleId="Heading7Char">
    <w:name w:val="Heading 7 Char"/>
    <w:basedOn w:val="DefaultParagraphFont"/>
    <w:link w:val="Heading7"/>
    <w:semiHidden/>
    <w:rsid w:val="00477B87"/>
    <w:rPr>
      <w:rFonts w:ascii="Arial" w:eastAsia="Times New Roman" w:hAnsi="Arial" w:cs="Times New Roman"/>
      <w:sz w:val="24"/>
      <w:szCs w:val="20"/>
      <w:lang w:val="en-GB" w:eastAsia="ar-SA"/>
    </w:rPr>
  </w:style>
  <w:style w:type="character" w:customStyle="1" w:styleId="Heading8Char">
    <w:name w:val="Heading 8 Char"/>
    <w:basedOn w:val="DefaultParagraphFont"/>
    <w:link w:val="Heading8"/>
    <w:semiHidden/>
    <w:rsid w:val="00477B87"/>
    <w:rPr>
      <w:rFonts w:ascii="Arial" w:eastAsia="Times New Roman" w:hAnsi="Arial" w:cs="Times New Roman"/>
      <w:i/>
      <w:sz w:val="24"/>
      <w:szCs w:val="20"/>
      <w:lang w:val="en-GB" w:eastAsia="ar-SA"/>
    </w:rPr>
  </w:style>
  <w:style w:type="character" w:customStyle="1" w:styleId="Heading9Char">
    <w:name w:val="Heading 9 Char"/>
    <w:basedOn w:val="DefaultParagraphFont"/>
    <w:link w:val="Heading9"/>
    <w:semiHidden/>
    <w:rsid w:val="00477B87"/>
    <w:rPr>
      <w:rFonts w:ascii="Arial" w:eastAsia="Times New Roman" w:hAnsi="Arial" w:cs="Times New Roman"/>
      <w:b/>
      <w:i/>
      <w:sz w:val="18"/>
      <w:szCs w:val="20"/>
      <w:lang w:val="en-GB" w:eastAsia="ar-SA"/>
    </w:rPr>
  </w:style>
  <w:style w:type="character" w:styleId="Hyperlink">
    <w:name w:val="Hyperlink"/>
    <w:semiHidden/>
    <w:unhideWhenUsed/>
    <w:rsid w:val="00477B87"/>
    <w:rPr>
      <w:rFonts w:ascii="Times New Roman" w:hAnsi="Times New Roman" w:cs="Times New Roman" w:hint="default"/>
      <w:strike w:val="0"/>
      <w:dstrike w:val="0"/>
      <w:color w:val="000000"/>
      <w:position w:val="0"/>
      <w:sz w:val="24"/>
      <w:u w:val="none"/>
      <w:effect w:val="none"/>
      <w:vertAlign w:val="baseline"/>
      <w:lang w:val="en-MY"/>
    </w:rPr>
  </w:style>
  <w:style w:type="paragraph" w:styleId="FootnoteText">
    <w:name w:val="footnote text"/>
    <w:basedOn w:val="Normal"/>
    <w:link w:val="FootnoteTextChar1"/>
    <w:semiHidden/>
    <w:unhideWhenUsed/>
    <w:rsid w:val="00477B87"/>
    <w:rPr>
      <w:sz w:val="20"/>
    </w:rPr>
  </w:style>
  <w:style w:type="character" w:customStyle="1" w:styleId="FootnoteTextChar1">
    <w:name w:val="Footnote Text Char1"/>
    <w:basedOn w:val="DefaultParagraphFont"/>
    <w:link w:val="FootnoteText"/>
    <w:semiHidden/>
    <w:locked/>
    <w:rsid w:val="00477B87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semiHidden/>
    <w:rsid w:val="00477B87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B87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B87"/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77B87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477B87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FooterChar">
    <w:name w:val="Footer Char"/>
    <w:basedOn w:val="DefaultParagraphFont"/>
    <w:link w:val="Footer"/>
    <w:semiHidden/>
    <w:rsid w:val="00477B87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Footer">
    <w:name w:val="footer"/>
    <w:basedOn w:val="Normal"/>
    <w:link w:val="FooterChar"/>
    <w:semiHidden/>
    <w:unhideWhenUsed/>
    <w:rsid w:val="00477B87"/>
    <w:pPr>
      <w:tabs>
        <w:tab w:val="center" w:pos="4419"/>
        <w:tab w:val="right" w:pos="8838"/>
      </w:tabs>
      <w:jc w:val="center"/>
    </w:pPr>
  </w:style>
  <w:style w:type="character" w:customStyle="1" w:styleId="EndnoteTextChar">
    <w:name w:val="Endnote Text Char"/>
    <w:basedOn w:val="DefaultParagraphFont"/>
    <w:link w:val="EndnoteText"/>
    <w:semiHidden/>
    <w:rsid w:val="00477B87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EndnoteText">
    <w:name w:val="endnote text"/>
    <w:basedOn w:val="Normal"/>
    <w:link w:val="EndnoteTextChar"/>
    <w:semiHidden/>
    <w:unhideWhenUsed/>
    <w:rsid w:val="00477B87"/>
    <w:pPr>
      <w:widowControl/>
    </w:pPr>
    <w:rPr>
      <w:sz w:val="20"/>
      <w:lang w:val="es-ES"/>
    </w:rPr>
  </w:style>
  <w:style w:type="paragraph" w:styleId="BodyText">
    <w:name w:val="Body Text"/>
    <w:basedOn w:val="Normal"/>
    <w:link w:val="BodyTextChar"/>
    <w:semiHidden/>
    <w:unhideWhenUsed/>
    <w:rsid w:val="00477B8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77B87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BodyText2Char">
    <w:name w:val="Body Text 2 Char"/>
    <w:basedOn w:val="DefaultParagraphFont"/>
    <w:link w:val="BodyText2"/>
    <w:semiHidden/>
    <w:rsid w:val="00477B87"/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styleId="BodyText2">
    <w:name w:val="Body Text 2"/>
    <w:basedOn w:val="Normal"/>
    <w:link w:val="BodyText2Char"/>
    <w:semiHidden/>
    <w:unhideWhenUsed/>
    <w:rsid w:val="00477B87"/>
    <w:pPr>
      <w:widowControl/>
    </w:pPr>
    <w:rPr>
      <w:lang w:val="es-ES"/>
    </w:rPr>
  </w:style>
  <w:style w:type="character" w:customStyle="1" w:styleId="BodyText3Char">
    <w:name w:val="Body Text 3 Char"/>
    <w:basedOn w:val="DefaultParagraphFont"/>
    <w:link w:val="BodyText3"/>
    <w:semiHidden/>
    <w:rsid w:val="00477B87"/>
    <w:rPr>
      <w:rFonts w:ascii="Arial" w:eastAsia="Times New Roman" w:hAnsi="Arial" w:cs="Times New Roman"/>
      <w:sz w:val="16"/>
      <w:szCs w:val="20"/>
      <w:lang w:val="en-GB" w:eastAsia="ar-SA"/>
    </w:rPr>
  </w:style>
  <w:style w:type="paragraph" w:styleId="BodyText3">
    <w:name w:val="Body Text 3"/>
    <w:basedOn w:val="Normal"/>
    <w:link w:val="BodyText3Char"/>
    <w:semiHidden/>
    <w:unhideWhenUsed/>
    <w:rsid w:val="00477B87"/>
    <w:pPr>
      <w:widowControl/>
      <w:overflowPunct w:val="0"/>
      <w:autoSpaceDE w:val="0"/>
      <w:jc w:val="center"/>
    </w:pPr>
    <w:rPr>
      <w:rFonts w:ascii="Arial" w:hAnsi="Arial"/>
      <w:sz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77B87"/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477B87"/>
    <w:pPr>
      <w:widowControl/>
      <w:ind w:firstLine="709"/>
    </w:pPr>
    <w:rPr>
      <w:lang w:val="es-E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7B87"/>
    <w:rPr>
      <w:rFonts w:ascii="Times New Roman" w:eastAsia="Times New Roman" w:hAnsi="Times New Roman" w:cs="Times New Roman"/>
      <w:b/>
      <w:sz w:val="24"/>
      <w:szCs w:val="20"/>
      <w:u w:val="single"/>
      <w:lang w:val="es-ES" w:eastAsia="ar-SA"/>
    </w:rPr>
  </w:style>
  <w:style w:type="paragraph" w:styleId="BodyTextIndent3">
    <w:name w:val="Body Text Indent 3"/>
    <w:basedOn w:val="Normal"/>
    <w:link w:val="BodyTextIndent3Char"/>
    <w:semiHidden/>
    <w:unhideWhenUsed/>
    <w:rsid w:val="00477B87"/>
    <w:pPr>
      <w:widowControl/>
      <w:ind w:firstLine="709"/>
    </w:pPr>
    <w:rPr>
      <w:b/>
      <w:u w:val="single"/>
      <w:lang w:val="es-ES"/>
    </w:rPr>
  </w:style>
  <w:style w:type="character" w:customStyle="1" w:styleId="DocumentMapChar">
    <w:name w:val="Document Map Char"/>
    <w:basedOn w:val="DefaultParagraphFont"/>
    <w:link w:val="DocumentMap"/>
    <w:semiHidden/>
    <w:rsid w:val="00477B87"/>
    <w:rPr>
      <w:rFonts w:ascii="Tahoma" w:eastAsia="Times New Roman" w:hAnsi="Tahoma" w:cs="Times New Roman"/>
      <w:sz w:val="24"/>
      <w:szCs w:val="20"/>
      <w:shd w:val="clear" w:color="auto" w:fill="000080"/>
      <w:lang w:val="es-ES_tradnl" w:eastAsia="ar-SA"/>
    </w:rPr>
  </w:style>
  <w:style w:type="paragraph" w:styleId="DocumentMap">
    <w:name w:val="Document Map"/>
    <w:basedOn w:val="Normal"/>
    <w:link w:val="DocumentMapChar"/>
    <w:semiHidden/>
    <w:unhideWhenUsed/>
    <w:rsid w:val="00477B87"/>
    <w:pPr>
      <w:shd w:val="clear" w:color="auto" w:fill="000080"/>
    </w:pPr>
    <w:rPr>
      <w:rFonts w:ascii="Tahoma" w:hAnsi="Tahoma"/>
      <w:lang w:val="es-ES_trad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B87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B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77B87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semiHidden/>
    <w:rsid w:val="00477B87"/>
    <w:rPr>
      <w:rFonts w:ascii="Tahoma" w:eastAsia="Times New Roman" w:hAnsi="Tahoma" w:cs="Times New Roman"/>
      <w:sz w:val="16"/>
      <w:szCs w:val="16"/>
      <w:lang w:val="es-ES_tradnl" w:eastAsia="ar-SA"/>
    </w:rPr>
  </w:style>
  <w:style w:type="paragraph" w:styleId="NoSpacing">
    <w:name w:val="No Spacing"/>
    <w:uiPriority w:val="1"/>
    <w:qFormat/>
    <w:rsid w:val="00477B87"/>
    <w:pPr>
      <w:spacing w:after="0" w:line="240" w:lineRule="auto"/>
    </w:pPr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477B87"/>
    <w:pPr>
      <w:widowControl/>
      <w:suppressAutoHyphens w:val="0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Heading">
    <w:name w:val="Heading"/>
    <w:basedOn w:val="Normal"/>
    <w:next w:val="BodyText"/>
    <w:rsid w:val="00477B8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dex">
    <w:name w:val="Index"/>
    <w:basedOn w:val="Normal"/>
    <w:rsid w:val="00477B87"/>
    <w:pPr>
      <w:suppressLineNumbers/>
    </w:pPr>
    <w:rPr>
      <w:rFonts w:cs="Mangal"/>
    </w:rPr>
  </w:style>
  <w:style w:type="paragraph" w:customStyle="1" w:styleId="AEuroNormal">
    <w:name w:val="AEuro.Normal"/>
    <w:rsid w:val="00477B87"/>
    <w:pPr>
      <w:suppressAutoHyphens/>
      <w:spacing w:after="0" w:line="240" w:lineRule="auto"/>
      <w:ind w:firstLine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EuroSection">
    <w:name w:val="AEuro.Section"/>
    <w:basedOn w:val="AEuroNormal"/>
    <w:rsid w:val="00477B87"/>
    <w:pPr>
      <w:keepNext/>
      <w:keepLines/>
      <w:tabs>
        <w:tab w:val="left" w:pos="-1701"/>
        <w:tab w:val="left" w:pos="360"/>
      </w:tabs>
      <w:spacing w:before="240" w:after="120"/>
      <w:ind w:firstLine="0"/>
      <w:jc w:val="left"/>
    </w:pPr>
    <w:rPr>
      <w:b/>
      <w:caps/>
      <w:spacing w:val="4"/>
    </w:rPr>
  </w:style>
  <w:style w:type="paragraph" w:customStyle="1" w:styleId="AEuroReferenceSectionTitle">
    <w:name w:val="AEuro.ReferenceSectionTitle"/>
    <w:basedOn w:val="AEuroSection"/>
    <w:rsid w:val="00477B87"/>
    <w:pPr>
      <w:tabs>
        <w:tab w:val="clear" w:pos="360"/>
      </w:tabs>
    </w:pPr>
  </w:style>
  <w:style w:type="paragraph" w:customStyle="1" w:styleId="AEuroSubSection">
    <w:name w:val="AEuro.SubSection"/>
    <w:basedOn w:val="AEuroNormal"/>
    <w:rsid w:val="00477B87"/>
    <w:pPr>
      <w:keepNext/>
      <w:keepLines/>
      <w:tabs>
        <w:tab w:val="num" w:pos="420"/>
        <w:tab w:val="left" w:pos="720"/>
      </w:tabs>
      <w:spacing w:before="240" w:after="120"/>
      <w:ind w:left="420" w:hanging="420"/>
      <w:jc w:val="left"/>
      <w:outlineLvl w:val="0"/>
    </w:pPr>
    <w:rPr>
      <w:b/>
      <w:spacing w:val="4"/>
    </w:rPr>
  </w:style>
  <w:style w:type="paragraph" w:customStyle="1" w:styleId="AEuroTitle">
    <w:name w:val="AEuro.Title"/>
    <w:basedOn w:val="AEuroNormal"/>
    <w:rsid w:val="00477B87"/>
    <w:pPr>
      <w:spacing w:after="240"/>
      <w:ind w:firstLine="0"/>
      <w:jc w:val="center"/>
    </w:pPr>
    <w:rPr>
      <w:b/>
      <w:caps/>
      <w:sz w:val="28"/>
    </w:rPr>
  </w:style>
  <w:style w:type="paragraph" w:customStyle="1" w:styleId="AEuroAfiliation">
    <w:name w:val="AEuro.Afiliation"/>
    <w:basedOn w:val="AEuroNormal"/>
    <w:rsid w:val="00477B87"/>
    <w:pPr>
      <w:tabs>
        <w:tab w:val="left" w:pos="142"/>
      </w:tabs>
      <w:ind w:firstLine="0"/>
      <w:jc w:val="center"/>
    </w:pPr>
    <w:rPr>
      <w:sz w:val="22"/>
    </w:rPr>
  </w:style>
  <w:style w:type="paragraph" w:customStyle="1" w:styleId="AEuroAbstract">
    <w:name w:val="AEuro.Abstract"/>
    <w:basedOn w:val="AEuroNormal"/>
    <w:rsid w:val="00477B87"/>
    <w:pPr>
      <w:spacing w:before="240"/>
      <w:ind w:firstLine="0"/>
    </w:pPr>
  </w:style>
  <w:style w:type="paragraph" w:customStyle="1" w:styleId="AEuroHeader1">
    <w:name w:val="AEuro.Header 1"/>
    <w:rsid w:val="00477B87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sz w:val="16"/>
      <w:szCs w:val="20"/>
      <w:lang w:eastAsia="ar-SA"/>
    </w:rPr>
  </w:style>
  <w:style w:type="paragraph" w:customStyle="1" w:styleId="AEuroHeader2">
    <w:name w:val="AEuro.Header 2"/>
    <w:basedOn w:val="AEuroHeader1"/>
    <w:rsid w:val="00477B87"/>
    <w:pPr>
      <w:pBdr>
        <w:bottom w:val="single" w:sz="4" w:space="1" w:color="000000"/>
      </w:pBdr>
      <w:ind w:right="-1"/>
      <w:jc w:val="center"/>
    </w:pPr>
    <w:rPr>
      <w:sz w:val="20"/>
    </w:rPr>
  </w:style>
  <w:style w:type="paragraph" w:customStyle="1" w:styleId="AEuroPageNumber">
    <w:name w:val="AEuro.PageNumber"/>
    <w:basedOn w:val="AEuroNormal"/>
    <w:rsid w:val="00477B87"/>
    <w:pPr>
      <w:jc w:val="center"/>
    </w:pPr>
  </w:style>
  <w:style w:type="paragraph" w:customStyle="1" w:styleId="AEuroReference">
    <w:name w:val="AEuro.Reference"/>
    <w:basedOn w:val="AEuroNormal"/>
    <w:rsid w:val="00477B87"/>
    <w:pPr>
      <w:tabs>
        <w:tab w:val="left" w:pos="426"/>
      </w:tabs>
      <w:ind w:left="425" w:hanging="425"/>
    </w:pPr>
    <w:rPr>
      <w:lang w:val="en-MY"/>
    </w:rPr>
  </w:style>
  <w:style w:type="paragraph" w:customStyle="1" w:styleId="AEuroEquation">
    <w:name w:val="AEuro.Equation"/>
    <w:basedOn w:val="AEuroNormal"/>
    <w:rsid w:val="00477B87"/>
    <w:pPr>
      <w:tabs>
        <w:tab w:val="center" w:pos="4536"/>
        <w:tab w:val="right" w:pos="9072"/>
      </w:tabs>
      <w:spacing w:before="120" w:after="120"/>
      <w:ind w:firstLine="0"/>
      <w:jc w:val="left"/>
    </w:pPr>
    <w:rPr>
      <w:lang w:val="en-MY"/>
    </w:rPr>
  </w:style>
  <w:style w:type="paragraph" w:customStyle="1" w:styleId="AEuroAuthors">
    <w:name w:val="AEuro.Authors"/>
    <w:basedOn w:val="AEuroNormal"/>
    <w:rsid w:val="00477B87"/>
    <w:pPr>
      <w:spacing w:after="240"/>
      <w:ind w:firstLine="0"/>
      <w:jc w:val="center"/>
    </w:pPr>
    <w:rPr>
      <w:b/>
    </w:rPr>
  </w:style>
  <w:style w:type="paragraph" w:customStyle="1" w:styleId="PaperTitleWCCM">
    <w:name w:val="Paper Title WCCM"/>
    <w:basedOn w:val="Normal"/>
    <w:rsid w:val="00477B87"/>
    <w:pPr>
      <w:widowControl/>
      <w:spacing w:after="240"/>
      <w:jc w:val="both"/>
    </w:pPr>
    <w:rPr>
      <w:b/>
      <w:caps/>
      <w:sz w:val="28"/>
      <w:lang w:val="en-US"/>
    </w:rPr>
  </w:style>
  <w:style w:type="paragraph" w:customStyle="1" w:styleId="AEuroCaptionTableandFigure">
    <w:name w:val="AEuro.CaptionTable and Figure"/>
    <w:basedOn w:val="AEuroNormal"/>
    <w:rsid w:val="00477B87"/>
    <w:pPr>
      <w:spacing w:before="120" w:after="240"/>
      <w:jc w:val="center"/>
    </w:pPr>
    <w:rPr>
      <w:sz w:val="20"/>
    </w:rPr>
  </w:style>
  <w:style w:type="paragraph" w:customStyle="1" w:styleId="Framecontents">
    <w:name w:val="Frame contents"/>
    <w:basedOn w:val="BodyText"/>
    <w:rsid w:val="00477B87"/>
  </w:style>
  <w:style w:type="paragraph" w:customStyle="1" w:styleId="Reference">
    <w:name w:val="Reference"/>
    <w:basedOn w:val="Normal"/>
    <w:rsid w:val="00477B87"/>
    <w:pPr>
      <w:tabs>
        <w:tab w:val="num" w:pos="432"/>
      </w:tabs>
      <w:spacing w:after="240"/>
      <w:ind w:left="432" w:hanging="432"/>
    </w:pPr>
  </w:style>
  <w:style w:type="paragraph" w:customStyle="1" w:styleId="HeaderAbs">
    <w:name w:val="Header (Abs."/>
    <w:basedOn w:val="Heading1"/>
    <w:rsid w:val="00477B87"/>
    <w:rPr>
      <w:lang w:val="en-US"/>
    </w:rPr>
  </w:style>
  <w:style w:type="paragraph" w:customStyle="1" w:styleId="AuthorAffilliation">
    <w:name w:val="Author Affilliation"/>
    <w:rsid w:val="00477B87"/>
    <w:pPr>
      <w:suppressAutoHyphens/>
      <w:spacing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itleofthepaper">
    <w:name w:val="Title of the paper"/>
    <w:rsid w:val="00477B87"/>
    <w:pPr>
      <w:suppressAutoHyphens/>
      <w:spacing w:after="0" w:line="240" w:lineRule="auto"/>
      <w:jc w:val="center"/>
    </w:pPr>
    <w:rPr>
      <w:rFonts w:ascii="Arial" w:eastAsia="Arial" w:hAnsi="Arial" w:cs="Times New Roman"/>
      <w:b/>
      <w:sz w:val="28"/>
      <w:szCs w:val="20"/>
      <w:lang w:eastAsia="ar-SA"/>
    </w:rPr>
  </w:style>
  <w:style w:type="paragraph" w:customStyle="1" w:styleId="Authorname">
    <w:name w:val="Author name"/>
    <w:rsid w:val="00477B87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paragraph" w:customStyle="1" w:styleId="Thirdlevelheading">
    <w:name w:val="Third level heading"/>
    <w:basedOn w:val="Normal"/>
    <w:rsid w:val="00477B87"/>
    <w:pPr>
      <w:widowControl/>
      <w:suppressAutoHyphens w:val="0"/>
      <w:spacing w:line="260" w:lineRule="exact"/>
      <w:jc w:val="both"/>
    </w:pPr>
    <w:rPr>
      <w:rFonts w:eastAsia="Times"/>
      <w:i/>
      <w:sz w:val="20"/>
      <w:lang w:val="en-US" w:eastAsia="ja-JP"/>
    </w:rPr>
  </w:style>
  <w:style w:type="character" w:customStyle="1" w:styleId="WW8Num1z0">
    <w:name w:val="WW8Num1z0"/>
    <w:rsid w:val="00477B87"/>
    <w:rPr>
      <w:rFonts w:ascii="Arial" w:eastAsia="Times New Roman" w:hAnsi="Arial" w:cs="Arial" w:hint="default"/>
      <w:sz w:val="24"/>
    </w:rPr>
  </w:style>
  <w:style w:type="character" w:customStyle="1" w:styleId="WW8Num1z1">
    <w:name w:val="WW8Num1z1"/>
    <w:rsid w:val="00477B87"/>
    <w:rPr>
      <w:rFonts w:ascii="Courier New" w:hAnsi="Courier New" w:cs="Courier New" w:hint="default"/>
    </w:rPr>
  </w:style>
  <w:style w:type="character" w:customStyle="1" w:styleId="WW8Num1z2">
    <w:name w:val="WW8Num1z2"/>
    <w:rsid w:val="00477B87"/>
    <w:rPr>
      <w:rFonts w:ascii="Wingdings" w:hAnsi="Wingdings" w:hint="default"/>
    </w:rPr>
  </w:style>
  <w:style w:type="character" w:customStyle="1" w:styleId="WW8Num1z3">
    <w:name w:val="WW8Num1z3"/>
    <w:rsid w:val="00477B87"/>
    <w:rPr>
      <w:rFonts w:ascii="Symbol" w:hAnsi="Symbol" w:hint="default"/>
    </w:rPr>
  </w:style>
  <w:style w:type="character" w:customStyle="1" w:styleId="WW8Num2z1">
    <w:name w:val="WW8Num2z1"/>
    <w:rsid w:val="00477B87"/>
    <w:rPr>
      <w:rFonts w:ascii="Arial" w:eastAsia="Times New Roman" w:hAnsi="Arial" w:cs="Arial" w:hint="default"/>
      <w:sz w:val="24"/>
    </w:rPr>
  </w:style>
  <w:style w:type="character" w:customStyle="1" w:styleId="WW8Num4z0">
    <w:name w:val="WW8Num4z0"/>
    <w:rsid w:val="00477B87"/>
    <w:rPr>
      <w:rFonts w:ascii="Symbol" w:hAnsi="Symbol" w:hint="default"/>
    </w:rPr>
  </w:style>
  <w:style w:type="character" w:customStyle="1" w:styleId="WW8Num5z0">
    <w:name w:val="WW8Num5z0"/>
    <w:rsid w:val="00477B87"/>
    <w:rPr>
      <w:rFonts w:ascii="Arial" w:eastAsia="Times New Roman" w:hAnsi="Arial" w:cs="Arial" w:hint="default"/>
      <w:sz w:val="24"/>
    </w:rPr>
  </w:style>
  <w:style w:type="character" w:customStyle="1" w:styleId="WW8Num5z1">
    <w:name w:val="WW8Num5z1"/>
    <w:rsid w:val="00477B87"/>
    <w:rPr>
      <w:rFonts w:ascii="Courier New" w:hAnsi="Courier New" w:cs="Courier New" w:hint="default"/>
    </w:rPr>
  </w:style>
  <w:style w:type="character" w:customStyle="1" w:styleId="WW8Num5z2">
    <w:name w:val="WW8Num5z2"/>
    <w:rsid w:val="00477B87"/>
    <w:rPr>
      <w:rFonts w:ascii="Wingdings" w:hAnsi="Wingdings" w:hint="default"/>
    </w:rPr>
  </w:style>
  <w:style w:type="character" w:customStyle="1" w:styleId="WW8Num5z3">
    <w:name w:val="WW8Num5z3"/>
    <w:rsid w:val="00477B87"/>
    <w:rPr>
      <w:rFonts w:ascii="Symbol" w:hAnsi="Symbol" w:hint="default"/>
    </w:rPr>
  </w:style>
  <w:style w:type="character" w:customStyle="1" w:styleId="WW8Num7z0">
    <w:name w:val="WW8Num7z0"/>
    <w:rsid w:val="00477B87"/>
    <w:rPr>
      <w:rFonts w:ascii="Arial" w:eastAsia="Times New Roman" w:hAnsi="Arial" w:cs="Arial" w:hint="default"/>
      <w:sz w:val="24"/>
    </w:rPr>
  </w:style>
  <w:style w:type="character" w:customStyle="1" w:styleId="WW8Num7z1">
    <w:name w:val="WW8Num7z1"/>
    <w:rsid w:val="00477B87"/>
    <w:rPr>
      <w:rFonts w:ascii="Courier New" w:hAnsi="Courier New" w:cs="Courier New" w:hint="default"/>
    </w:rPr>
  </w:style>
  <w:style w:type="character" w:customStyle="1" w:styleId="WW8Num7z2">
    <w:name w:val="WW8Num7z2"/>
    <w:rsid w:val="00477B87"/>
    <w:rPr>
      <w:rFonts w:ascii="Wingdings" w:hAnsi="Wingdings" w:hint="default"/>
    </w:rPr>
  </w:style>
  <w:style w:type="character" w:customStyle="1" w:styleId="WW8Num7z3">
    <w:name w:val="WW8Num7z3"/>
    <w:rsid w:val="00477B87"/>
    <w:rPr>
      <w:rFonts w:ascii="Symbol" w:hAnsi="Symbol" w:hint="default"/>
    </w:rPr>
  </w:style>
  <w:style w:type="character" w:customStyle="1" w:styleId="WW8Num8z0">
    <w:name w:val="WW8Num8z0"/>
    <w:rsid w:val="00477B87"/>
    <w:rPr>
      <w:rFonts w:ascii="Arial" w:eastAsia="Times New Roman" w:hAnsi="Arial" w:cs="Arial" w:hint="default"/>
      <w:sz w:val="24"/>
    </w:rPr>
  </w:style>
  <w:style w:type="character" w:customStyle="1" w:styleId="WW8Num8z1">
    <w:name w:val="WW8Num8z1"/>
    <w:rsid w:val="00477B87"/>
    <w:rPr>
      <w:rFonts w:ascii="Courier New" w:hAnsi="Courier New" w:cs="Courier New" w:hint="default"/>
    </w:rPr>
  </w:style>
  <w:style w:type="character" w:customStyle="1" w:styleId="WW8Num8z2">
    <w:name w:val="WW8Num8z2"/>
    <w:rsid w:val="00477B87"/>
    <w:rPr>
      <w:rFonts w:ascii="Wingdings" w:hAnsi="Wingdings" w:hint="default"/>
    </w:rPr>
  </w:style>
  <w:style w:type="character" w:customStyle="1" w:styleId="WW8Num8z3">
    <w:name w:val="WW8Num8z3"/>
    <w:rsid w:val="00477B87"/>
    <w:rPr>
      <w:rFonts w:ascii="Symbol" w:hAnsi="Symbol" w:hint="default"/>
    </w:rPr>
  </w:style>
  <w:style w:type="character" w:customStyle="1" w:styleId="WW8Num9z0">
    <w:name w:val="WW8Num9z0"/>
    <w:rsid w:val="00477B87"/>
    <w:rPr>
      <w:rFonts w:ascii="Symbol" w:hAnsi="Symbol" w:hint="default"/>
    </w:rPr>
  </w:style>
  <w:style w:type="character" w:customStyle="1" w:styleId="WW8Num9z1">
    <w:name w:val="WW8Num9z1"/>
    <w:rsid w:val="00477B87"/>
    <w:rPr>
      <w:rFonts w:ascii="Courier New" w:hAnsi="Courier New" w:cs="Courier New" w:hint="default"/>
    </w:rPr>
  </w:style>
  <w:style w:type="character" w:customStyle="1" w:styleId="WW8Num9z2">
    <w:name w:val="WW8Num9z2"/>
    <w:rsid w:val="00477B87"/>
    <w:rPr>
      <w:rFonts w:ascii="Wingdings" w:hAnsi="Wingdings" w:hint="default"/>
    </w:rPr>
  </w:style>
  <w:style w:type="character" w:customStyle="1" w:styleId="WW8Num11z0">
    <w:name w:val="WW8Num11z0"/>
    <w:rsid w:val="00477B87"/>
    <w:rPr>
      <w:rFonts w:ascii="Arial" w:eastAsia="Times New Roman" w:hAnsi="Arial" w:cs="Arial" w:hint="default"/>
      <w:sz w:val="24"/>
    </w:rPr>
  </w:style>
  <w:style w:type="character" w:customStyle="1" w:styleId="WW8Num11z1">
    <w:name w:val="WW8Num11z1"/>
    <w:rsid w:val="00477B87"/>
    <w:rPr>
      <w:rFonts w:ascii="Courier New" w:hAnsi="Courier New" w:cs="Courier New" w:hint="default"/>
    </w:rPr>
  </w:style>
  <w:style w:type="character" w:customStyle="1" w:styleId="WW8Num11z2">
    <w:name w:val="WW8Num11z2"/>
    <w:rsid w:val="00477B87"/>
    <w:rPr>
      <w:rFonts w:ascii="Wingdings" w:hAnsi="Wingdings" w:hint="default"/>
    </w:rPr>
  </w:style>
  <w:style w:type="character" w:customStyle="1" w:styleId="WW8Num11z3">
    <w:name w:val="WW8Num11z3"/>
    <w:rsid w:val="00477B87"/>
    <w:rPr>
      <w:rFonts w:ascii="Symbol" w:hAnsi="Symbol" w:hint="default"/>
    </w:rPr>
  </w:style>
  <w:style w:type="character" w:customStyle="1" w:styleId="FootnoteCharacters">
    <w:name w:val="Footnote Characters"/>
    <w:rsid w:val="00477B87"/>
    <w:rPr>
      <w:vertAlign w:val="superscript"/>
      <w:lang w:val="es-ES_tradnl"/>
    </w:rPr>
  </w:style>
  <w:style w:type="character" w:customStyle="1" w:styleId="EndnoteCharacters">
    <w:name w:val="Endnote Characters"/>
    <w:rsid w:val="00477B87"/>
    <w:rPr>
      <w:vertAlign w:val="superscript"/>
      <w:lang w:val="es-ES_tradnl"/>
    </w:rPr>
  </w:style>
  <w:style w:type="character" w:customStyle="1" w:styleId="apple-converted-space">
    <w:name w:val="apple-converted-space"/>
    <w:basedOn w:val="DefaultParagraphFont"/>
    <w:rsid w:val="00477B87"/>
  </w:style>
  <w:style w:type="table" w:styleId="TableGrid">
    <w:name w:val="Table Grid"/>
    <w:basedOn w:val="TableNormal"/>
    <w:uiPriority w:val="39"/>
    <w:rsid w:val="00477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51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microsoft.com/office/2007/relationships/hdphoto" Target="media/hdphoto4.wdp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microsoft.com/office/2007/relationships/hdphoto" Target="media/hdphoto2.wdp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4.jpeg"/><Relationship Id="rId5" Type="http://schemas.openxmlformats.org/officeDocument/2006/relationships/hyperlink" Target="mailto:mbkassim@ukm.edu.my" TargetMode="External"/><Relationship Id="rId15" Type="http://schemas.openxmlformats.org/officeDocument/2006/relationships/image" Target="media/image6.e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4240</Words>
  <Characters>24173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USER</cp:lastModifiedBy>
  <cp:revision>8</cp:revision>
  <cp:lastPrinted>2016-10-21T04:00:00Z</cp:lastPrinted>
  <dcterms:created xsi:type="dcterms:W3CDTF">2016-12-08T04:55:00Z</dcterms:created>
  <dcterms:modified xsi:type="dcterms:W3CDTF">2016-12-19T10:34:00Z</dcterms:modified>
</cp:coreProperties>
</file>