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8B" w:rsidRDefault="00EA638B" w:rsidP="00EA638B">
      <w:pPr>
        <w:pStyle w:val="papertitle"/>
        <w:spacing w:after="0"/>
        <w:jc w:val="left"/>
        <w:rPr>
          <w:rFonts w:eastAsia="MS Mincho"/>
          <w:sz w:val="24"/>
          <w:szCs w:val="24"/>
        </w:rPr>
      </w:pPr>
      <w:r>
        <w:rPr>
          <w:rFonts w:eastAsia="MS Mincho"/>
          <w:sz w:val="24"/>
          <w:szCs w:val="24"/>
        </w:rPr>
        <w:t>Malaysian Journal of Analytical Sciences Vol 21 No 1 (2017): 197 - 203</w:t>
      </w:r>
    </w:p>
    <w:p w:rsidR="00EA638B" w:rsidRDefault="00EA638B" w:rsidP="00EA638B">
      <w:pPr>
        <w:pStyle w:val="papertitle"/>
        <w:spacing w:after="0"/>
        <w:jc w:val="left"/>
        <w:rPr>
          <w:rFonts w:eastAsia="MS Mincho"/>
          <w:sz w:val="24"/>
          <w:szCs w:val="24"/>
        </w:rPr>
      </w:pPr>
    </w:p>
    <w:p w:rsidR="00EA638B" w:rsidRDefault="00EA638B" w:rsidP="00EA638B">
      <w:pPr>
        <w:pStyle w:val="papertitle"/>
        <w:spacing w:after="0"/>
        <w:jc w:val="left"/>
        <w:rPr>
          <w:rFonts w:eastAsia="MS Mincho"/>
          <w:sz w:val="24"/>
          <w:szCs w:val="24"/>
        </w:rPr>
      </w:pPr>
    </w:p>
    <w:p w:rsidR="00EA638B" w:rsidRPr="00EA638B" w:rsidRDefault="00EA638B" w:rsidP="00EA638B">
      <w:pPr>
        <w:pStyle w:val="papertitle"/>
        <w:spacing w:after="0"/>
        <w:jc w:val="left"/>
        <w:rPr>
          <w:rFonts w:eastAsia="MS Mincho"/>
          <w:sz w:val="24"/>
          <w:szCs w:val="24"/>
        </w:rPr>
      </w:pPr>
    </w:p>
    <w:p w:rsidR="00EA638B" w:rsidRPr="00922DC5" w:rsidRDefault="00EA638B" w:rsidP="00EA638B">
      <w:pPr>
        <w:pStyle w:val="papertitle"/>
        <w:spacing w:after="0"/>
        <w:rPr>
          <w:rFonts w:eastAsia="MS Mincho"/>
          <w:sz w:val="28"/>
          <w:szCs w:val="28"/>
        </w:rPr>
      </w:pPr>
      <w:r w:rsidRPr="00922DC5">
        <w:rPr>
          <w:rFonts w:eastAsia="MS Mincho"/>
          <w:sz w:val="28"/>
          <w:szCs w:val="28"/>
        </w:rPr>
        <w:t>PALM KERNEL SHELL-DERIVED BIOCHAR AND CATALYST</w:t>
      </w:r>
      <w:r>
        <w:rPr>
          <w:rFonts w:eastAsia="MS Mincho"/>
          <w:sz w:val="28"/>
          <w:szCs w:val="28"/>
        </w:rPr>
        <w:t xml:space="preserve"> </w:t>
      </w:r>
      <w:r w:rsidRPr="00922DC5">
        <w:rPr>
          <w:rFonts w:eastAsia="MS Mincho"/>
          <w:sz w:val="28"/>
          <w:szCs w:val="28"/>
        </w:rPr>
        <w:t>FOR BIODIESEL PRODUCTION</w:t>
      </w:r>
    </w:p>
    <w:p w:rsidR="00EA638B" w:rsidRPr="00922DC5" w:rsidRDefault="00EA638B" w:rsidP="00EA638B">
      <w:pPr>
        <w:spacing w:after="0" w:line="240" w:lineRule="auto"/>
        <w:jc w:val="center"/>
        <w:rPr>
          <w:rFonts w:ascii="Times New Roman" w:eastAsia="MS Mincho" w:hAnsi="Times New Roman"/>
          <w:sz w:val="24"/>
          <w:szCs w:val="24"/>
        </w:rPr>
      </w:pPr>
    </w:p>
    <w:p w:rsidR="00EA638B" w:rsidRPr="00922DC5" w:rsidRDefault="00EA638B" w:rsidP="00EA638B">
      <w:pPr>
        <w:spacing w:after="0" w:line="240" w:lineRule="auto"/>
        <w:jc w:val="center"/>
        <w:rPr>
          <w:rFonts w:ascii="Times New Roman" w:eastAsia="MS Mincho" w:hAnsi="Times New Roman"/>
          <w:sz w:val="24"/>
          <w:szCs w:val="24"/>
        </w:rPr>
      </w:pPr>
      <w:r w:rsidRPr="00922DC5">
        <w:rPr>
          <w:rFonts w:ascii="Times New Roman" w:eastAsia="MS Mincho" w:hAnsi="Times New Roman"/>
          <w:sz w:val="24"/>
          <w:szCs w:val="24"/>
        </w:rPr>
        <w:t>(Biochar dan Pemangkin Berasaskan Tempurung Kelapa Sawit</w:t>
      </w:r>
      <w:r>
        <w:rPr>
          <w:rFonts w:ascii="Times New Roman" w:eastAsia="MS Mincho" w:hAnsi="Times New Roman"/>
          <w:sz w:val="24"/>
          <w:szCs w:val="24"/>
        </w:rPr>
        <w:t xml:space="preserve"> </w:t>
      </w:r>
      <w:r w:rsidRPr="00922DC5">
        <w:rPr>
          <w:rFonts w:ascii="Times New Roman" w:eastAsia="MS Mincho" w:hAnsi="Times New Roman"/>
          <w:sz w:val="24"/>
          <w:szCs w:val="24"/>
        </w:rPr>
        <w:t>untuk Penghasilan Biodiesel)</w:t>
      </w:r>
    </w:p>
    <w:p w:rsidR="00EA638B" w:rsidRPr="00922DC5" w:rsidRDefault="00EA638B" w:rsidP="00EA638B">
      <w:pPr>
        <w:spacing w:after="0" w:line="240" w:lineRule="auto"/>
        <w:jc w:val="center"/>
        <w:rPr>
          <w:rFonts w:ascii="Times New Roman" w:eastAsia="MS Mincho" w:hAnsi="Times New Roman"/>
          <w:sz w:val="20"/>
          <w:szCs w:val="20"/>
        </w:rPr>
      </w:pPr>
    </w:p>
    <w:p w:rsidR="00EA638B" w:rsidRPr="00922DC5" w:rsidRDefault="00EA638B" w:rsidP="00EA638B">
      <w:pPr>
        <w:pStyle w:val="Author"/>
        <w:spacing w:before="0" w:after="0"/>
        <w:rPr>
          <w:rFonts w:eastAsia="MS Mincho"/>
          <w:sz w:val="20"/>
          <w:szCs w:val="20"/>
        </w:rPr>
      </w:pPr>
      <w:r w:rsidRPr="00922DC5">
        <w:rPr>
          <w:rFonts w:eastAsia="MS Mincho"/>
          <w:sz w:val="20"/>
          <w:szCs w:val="20"/>
        </w:rPr>
        <w:t>Dayang Nuradila</w:t>
      </w:r>
      <w:r w:rsidRPr="00922DC5">
        <w:rPr>
          <w:rFonts w:eastAsia="MS Mincho"/>
          <w:sz w:val="20"/>
          <w:szCs w:val="20"/>
          <w:vertAlign w:val="superscript"/>
        </w:rPr>
        <w:t>1</w:t>
      </w:r>
      <w:r w:rsidRPr="00922DC5">
        <w:rPr>
          <w:rFonts w:eastAsia="MS Mincho"/>
          <w:sz w:val="20"/>
          <w:szCs w:val="20"/>
        </w:rPr>
        <w:t>, Wan Azlina Wan Ab Karim Ghani</w:t>
      </w:r>
      <w:r w:rsidRPr="00922DC5">
        <w:rPr>
          <w:rFonts w:eastAsia="MS Mincho"/>
          <w:sz w:val="20"/>
          <w:szCs w:val="20"/>
          <w:vertAlign w:val="superscript"/>
        </w:rPr>
        <w:t>1</w:t>
      </w:r>
      <w:r w:rsidRPr="00922DC5">
        <w:rPr>
          <w:rFonts w:eastAsia="MS Mincho"/>
          <w:sz w:val="20"/>
          <w:szCs w:val="20"/>
        </w:rPr>
        <w:t>*, Azil Bahari Alias</w:t>
      </w:r>
      <w:r w:rsidRPr="00922DC5">
        <w:rPr>
          <w:rFonts w:eastAsia="MS Mincho"/>
          <w:sz w:val="20"/>
          <w:szCs w:val="20"/>
          <w:vertAlign w:val="superscript"/>
        </w:rPr>
        <w:t>2</w:t>
      </w: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pStyle w:val="Affiliation"/>
        <w:rPr>
          <w:rFonts w:eastAsia="MS Mincho"/>
          <w:i/>
        </w:rPr>
      </w:pPr>
      <w:r w:rsidRPr="00EA638B">
        <w:rPr>
          <w:rFonts w:eastAsia="MS Mincho"/>
          <w:i/>
          <w:vertAlign w:val="superscript"/>
        </w:rPr>
        <w:t>1</w:t>
      </w:r>
      <w:r w:rsidRPr="00EA638B">
        <w:rPr>
          <w:rFonts w:eastAsia="MS Mincho"/>
          <w:i/>
        </w:rPr>
        <w:t>Department of Chemical and Environmental Engineering, Faculty of Engineering,</w:t>
      </w:r>
    </w:p>
    <w:p w:rsidR="00EA638B" w:rsidRPr="00EA638B" w:rsidRDefault="00EA638B" w:rsidP="00EA638B">
      <w:pPr>
        <w:pStyle w:val="Affiliation"/>
        <w:rPr>
          <w:rFonts w:eastAsia="MS Mincho"/>
          <w:i/>
        </w:rPr>
      </w:pPr>
      <w:r w:rsidRPr="00EA638B">
        <w:rPr>
          <w:rFonts w:eastAsia="MS Mincho"/>
          <w:i/>
        </w:rPr>
        <w:t>Universiti Putra Malaysia, 43400  UPM Serdang, Selangor, Malaysia</w:t>
      </w:r>
    </w:p>
    <w:p w:rsidR="00EA638B" w:rsidRPr="00EA638B" w:rsidRDefault="00EA638B" w:rsidP="00EA638B">
      <w:pPr>
        <w:pStyle w:val="Affiliation"/>
        <w:rPr>
          <w:rFonts w:eastAsia="MS Mincho"/>
          <w:i/>
        </w:rPr>
      </w:pPr>
      <w:r w:rsidRPr="00EA638B">
        <w:rPr>
          <w:rFonts w:eastAsia="MS Mincho"/>
          <w:i/>
          <w:vertAlign w:val="superscript"/>
        </w:rPr>
        <w:t>2</w:t>
      </w:r>
      <w:r w:rsidRPr="00EA638B">
        <w:rPr>
          <w:rFonts w:eastAsia="MS Mincho"/>
          <w:i/>
        </w:rPr>
        <w:t xml:space="preserve">Faculty of Chemical Engineering, </w:t>
      </w:r>
    </w:p>
    <w:p w:rsidR="00EA638B" w:rsidRPr="00EA638B" w:rsidRDefault="00EA638B" w:rsidP="00EA638B">
      <w:pPr>
        <w:pStyle w:val="Affiliation"/>
        <w:rPr>
          <w:rFonts w:eastAsia="MS Mincho"/>
          <w:i/>
        </w:rPr>
      </w:pPr>
      <w:r w:rsidRPr="00EA638B">
        <w:rPr>
          <w:rFonts w:eastAsia="MS Mincho"/>
          <w:i/>
        </w:rPr>
        <w:t>Universiti Teknologi MARA,40450 Shah Alam, Selangor, Malaysia</w:t>
      </w: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spacing w:after="0" w:line="240" w:lineRule="auto"/>
        <w:jc w:val="center"/>
        <w:rPr>
          <w:rFonts w:ascii="Times New Roman" w:hAnsi="Times New Roman"/>
          <w:i/>
          <w:noProof/>
          <w:sz w:val="20"/>
          <w:szCs w:val="20"/>
          <w:lang w:bidi="ar-SA"/>
        </w:rPr>
      </w:pPr>
      <w:r w:rsidRPr="00EA638B">
        <w:rPr>
          <w:rFonts w:ascii="Times New Roman" w:hAnsi="Times New Roman"/>
          <w:i/>
          <w:noProof/>
          <w:sz w:val="20"/>
          <w:szCs w:val="20"/>
          <w:lang w:bidi="ar-SA"/>
        </w:rPr>
        <w:t xml:space="preserve">*Corresponding author: </w:t>
      </w:r>
      <w:r w:rsidRPr="00EA638B">
        <w:rPr>
          <w:rFonts w:ascii="Times New Roman" w:eastAsia="MS Mincho" w:hAnsi="Times New Roman"/>
          <w:i/>
          <w:sz w:val="20"/>
          <w:szCs w:val="20"/>
        </w:rPr>
        <w:t>wanazlina@upm.edu.my</w:t>
      </w: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spacing w:after="0" w:line="240" w:lineRule="auto"/>
        <w:jc w:val="center"/>
        <w:rPr>
          <w:rFonts w:ascii="Times New Roman" w:hAnsi="Times New Roman"/>
          <w:noProof/>
          <w:sz w:val="20"/>
          <w:szCs w:val="20"/>
          <w:lang w:bidi="ar-SA"/>
        </w:rPr>
      </w:pPr>
      <w:r w:rsidRPr="00EA638B">
        <w:rPr>
          <w:rFonts w:ascii="Times New Roman" w:hAnsi="Times New Roman"/>
          <w:noProof/>
          <w:sz w:val="20"/>
          <w:szCs w:val="20"/>
          <w:lang w:bidi="ar-SA"/>
        </w:rPr>
        <w:t>Received: 21 October 2015; Accepted: 14 June 2016</w:t>
      </w: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spacing w:after="0" w:line="240" w:lineRule="auto"/>
        <w:jc w:val="center"/>
        <w:rPr>
          <w:rFonts w:ascii="Times New Roman" w:hAnsi="Times New Roman"/>
          <w:noProof/>
          <w:sz w:val="20"/>
          <w:szCs w:val="20"/>
          <w:lang w:bidi="ar-SA"/>
        </w:rPr>
      </w:pPr>
    </w:p>
    <w:p w:rsidR="00EA638B" w:rsidRPr="00EA638B" w:rsidRDefault="00EA638B" w:rsidP="00EA638B">
      <w:pPr>
        <w:spacing w:after="0" w:line="240" w:lineRule="auto"/>
        <w:jc w:val="center"/>
        <w:rPr>
          <w:rFonts w:ascii="Times New Roman" w:hAnsi="Times New Roman"/>
          <w:b/>
          <w:noProof/>
          <w:sz w:val="20"/>
          <w:szCs w:val="20"/>
          <w:lang w:bidi="ar-SA"/>
        </w:rPr>
      </w:pPr>
      <w:r w:rsidRPr="00EA638B">
        <w:rPr>
          <w:rFonts w:ascii="Times New Roman" w:hAnsi="Times New Roman"/>
          <w:b/>
          <w:noProof/>
          <w:sz w:val="20"/>
          <w:szCs w:val="20"/>
          <w:lang w:bidi="ar-SA"/>
        </w:rPr>
        <w:t>Abstract</w:t>
      </w:r>
    </w:p>
    <w:p w:rsidR="00EA638B" w:rsidRPr="00EA638B" w:rsidRDefault="00EA638B" w:rsidP="00EA638B">
      <w:pPr>
        <w:pStyle w:val="Abstract"/>
        <w:spacing w:after="0"/>
        <w:ind w:firstLine="0"/>
        <w:rPr>
          <w:rFonts w:eastAsia="MS Mincho"/>
          <w:b w:val="0"/>
          <w:sz w:val="20"/>
          <w:szCs w:val="20"/>
        </w:rPr>
      </w:pPr>
      <w:r w:rsidRPr="00EA638B">
        <w:rPr>
          <w:b w:val="0"/>
          <w:sz w:val="20"/>
          <w:szCs w:val="20"/>
        </w:rPr>
        <w:t>A promising catalyst based on a biomass pyrolysis by-product, biochar, has been developed to produce biodiesel. A carbon-based solid acid catalysts were prepared by sulfonating pyrolysis char with concentrated sulfuric acids. The catalysts were characterized using thermogravimetric analyses (TGA), scanning electron microscope (SEM), Fourier transform infrared spectroscopy (FTIR) and surface area analyzer. Prepared catalysts were studied for their ability to catalyze transesterification of vegetable oils. The catalyst sulfonated with the concentrated sulfuric acid demonstrated considerable conversion in free fatty acid esterification. Further investigation of the catalyst was conducted to determine the effect of sulfonation time (1 and 3 hours) and surface area on the transesterification reactions. The surface area of the biochar was increased by chemical treatment using 10M potassium hydroxide through porosity development. Results showed the catalyst with the highest surface area and acid density to have the highest catalytic activity to produce biodiesel from canola oil in the presence of methanol as the reagent. The effects of alcohol to oil (A:O) molar ratio, reaction time and catalyst loading on the esterification reaction catalyzed by the sulfonated biochar were also investigated. Results revealed that more than 90% biodiesel yield was achieved at 15 wt% of catalyst amount, methanol to oil molar ratio was 9:1 and the agitation rate was 700 rpm. As a conclusion, the prepared biochar-based catalyst has a tremendous potential to be used in a process converting a high Free Fatty Acids (FFA) feedstock to biodiesel.</w:t>
      </w:r>
      <w:r w:rsidRPr="00EA638B">
        <w:rPr>
          <w:rFonts w:eastAsia="MS Mincho"/>
          <w:b w:val="0"/>
          <w:sz w:val="20"/>
          <w:szCs w:val="20"/>
        </w:rPr>
        <w:t xml:space="preserve"> </w:t>
      </w:r>
    </w:p>
    <w:p w:rsidR="00EA638B" w:rsidRPr="00EA638B" w:rsidRDefault="00EA638B" w:rsidP="00EA638B">
      <w:pPr>
        <w:pStyle w:val="Abstract"/>
        <w:spacing w:after="0"/>
        <w:ind w:firstLine="0"/>
        <w:rPr>
          <w:rFonts w:eastAsia="MS Mincho"/>
          <w:sz w:val="20"/>
          <w:szCs w:val="20"/>
        </w:rPr>
      </w:pPr>
    </w:p>
    <w:p w:rsidR="00EA638B" w:rsidRPr="00EA638B" w:rsidRDefault="00EA638B" w:rsidP="00EA638B">
      <w:pPr>
        <w:pStyle w:val="keywords"/>
        <w:spacing w:after="0"/>
        <w:ind w:firstLine="0"/>
        <w:rPr>
          <w:rFonts w:eastAsia="MS Mincho"/>
          <w:b w:val="0"/>
          <w:i w:val="0"/>
          <w:sz w:val="20"/>
          <w:szCs w:val="20"/>
        </w:rPr>
      </w:pPr>
      <w:r w:rsidRPr="00EA638B">
        <w:rPr>
          <w:rFonts w:eastAsia="MS Mincho"/>
          <w:i w:val="0"/>
          <w:sz w:val="20"/>
          <w:szCs w:val="20"/>
        </w:rPr>
        <w:t xml:space="preserve">Keywords:  </w:t>
      </w:r>
      <w:r w:rsidRPr="00EA638B">
        <w:rPr>
          <w:rFonts w:eastAsia="MS Mincho"/>
          <w:b w:val="0"/>
          <w:i w:val="0"/>
          <w:sz w:val="20"/>
          <w:szCs w:val="20"/>
        </w:rPr>
        <w:t>transesterification, vegetable oil, palm kernel shell, biochar-based catalyst</w:t>
      </w:r>
    </w:p>
    <w:p w:rsidR="00EA638B" w:rsidRPr="00EA638B" w:rsidRDefault="00EA638B" w:rsidP="00EA638B">
      <w:pPr>
        <w:pStyle w:val="keywords"/>
        <w:spacing w:after="0"/>
        <w:ind w:firstLine="0"/>
        <w:jc w:val="center"/>
        <w:rPr>
          <w:rFonts w:eastAsia="MS Mincho"/>
          <w:i w:val="0"/>
          <w:sz w:val="20"/>
          <w:szCs w:val="20"/>
        </w:rPr>
      </w:pPr>
    </w:p>
    <w:p w:rsidR="00EA638B" w:rsidRPr="00EA638B" w:rsidRDefault="00EA638B" w:rsidP="00EA638B">
      <w:pPr>
        <w:pStyle w:val="keywords"/>
        <w:spacing w:after="0"/>
        <w:ind w:firstLine="0"/>
        <w:jc w:val="center"/>
        <w:rPr>
          <w:rFonts w:eastAsia="MS Mincho"/>
          <w:i w:val="0"/>
          <w:sz w:val="20"/>
          <w:szCs w:val="20"/>
        </w:rPr>
      </w:pPr>
      <w:r w:rsidRPr="00EA638B">
        <w:rPr>
          <w:rFonts w:eastAsia="MS Mincho"/>
          <w:i w:val="0"/>
          <w:sz w:val="20"/>
          <w:szCs w:val="20"/>
        </w:rPr>
        <w:t>Abstrak</w:t>
      </w:r>
    </w:p>
    <w:p w:rsidR="00EA638B" w:rsidRPr="00EA638B" w:rsidRDefault="00EA638B" w:rsidP="00EA638B">
      <w:pPr>
        <w:pStyle w:val="keywords"/>
        <w:spacing w:after="0"/>
        <w:ind w:firstLine="0"/>
        <w:rPr>
          <w:rFonts w:eastAsia="MS Mincho"/>
          <w:b w:val="0"/>
          <w:i w:val="0"/>
          <w:sz w:val="20"/>
          <w:szCs w:val="20"/>
        </w:rPr>
      </w:pPr>
      <w:r w:rsidRPr="00EA638B">
        <w:rPr>
          <w:rFonts w:eastAsia="MS Mincho"/>
          <w:b w:val="0"/>
          <w:i w:val="0"/>
          <w:sz w:val="20"/>
          <w:szCs w:val="20"/>
        </w:rPr>
        <w:t xml:space="preserve">Pemangkin yang berasaskan pirolisis biomass produk sampingan, biochar, telah dibangunkan untuk penghasilan biodiesel. Pemangkin asid pepejal berasaskan karbon telah dihasilkan daripada sulfonasi pirolisis char dengan asid sulfurik pekat. Pemangkin telah dicirikan menggunakan analisis termogravimetri (TGA), mikroskop imbasan elektron (SEM), spektroskopi infra merah transformasi </w:t>
      </w:r>
      <w:r w:rsidRPr="00EA638B">
        <w:rPr>
          <w:b w:val="0"/>
          <w:i w:val="0"/>
          <w:sz w:val="20"/>
          <w:szCs w:val="20"/>
        </w:rPr>
        <w:t xml:space="preserve">Fourier </w:t>
      </w:r>
      <w:r w:rsidRPr="00EA638B">
        <w:rPr>
          <w:rFonts w:eastAsia="MS Mincho"/>
          <w:b w:val="0"/>
          <w:i w:val="0"/>
          <w:sz w:val="20"/>
          <w:szCs w:val="20"/>
        </w:rPr>
        <w:t xml:space="preserve">(FTIR) dan penganalisa luas permukaan. Pemangkin yang tersedia telah dikaji keupayaannya untuk menjadi pemangkin transesterifikasi minyak sayur-sayuran. Pemangkin sulfonat dengan asid sulfurik pekat menunjukkan penukaran ini boleh dipertimbangkan dalam pengesteran asid lemak bebas. Kajian lanjut terhadap pemangkin telah dijalankan untuk menentukan kesan masa sulfonasi  (1 dan 3 jam) dan luas permukaan pada tindak balas transesterifikasi. Luas permukaan biochar telah meningkat melalui rawatan kimia menggunakan 10M kalium hidroksida melalui pembangunan liang. Hasil kajian </w:t>
      </w:r>
      <w:r w:rsidRPr="00EA638B">
        <w:rPr>
          <w:rFonts w:eastAsia="MS Mincho"/>
          <w:b w:val="0"/>
          <w:i w:val="0"/>
          <w:sz w:val="20"/>
          <w:szCs w:val="20"/>
        </w:rPr>
        <w:lastRenderedPageBreak/>
        <w:t>telah menunjukkan pemangkin dengan luas permukaan dan ketumpatan asid yang paling tinggi mempunyai aktiviti pemangkinan tertinggi bagi pengeluaran biodiesel daripada minyak kanola dengan kehadiran metanol sebagai reagen. Nisbah molar kesan alkohol kepada minyak (A:O), masa tindak balas dan muatan pemangkin keatas tindak balas pengesteran yang dimangkinkan oleh biochar sulfonat turut disiasat. Hasil kajian menunjukkan bahawa lebih daripada 90% hasil biodiesel telah dicapai pada 15 wt% daripada jumlah pemangkin, nisbah molar metanol kepada minyak adalah 9:1 dan kadar pergolakan adalah 700 rpm. Kesimpulannya, pemangkin berasaskan biochar yang dihasilkan mempunyai potensi yang amat besar untuk digunakan dalam proses penukaran bahan mentah asid lemak bebas tinggi (FFA) kepada biodiesel.</w:t>
      </w:r>
    </w:p>
    <w:p w:rsidR="00EA638B" w:rsidRPr="00EA638B" w:rsidRDefault="00EA638B" w:rsidP="00EA638B">
      <w:pPr>
        <w:pStyle w:val="keywords"/>
        <w:spacing w:after="0"/>
        <w:ind w:firstLine="0"/>
        <w:rPr>
          <w:rFonts w:eastAsia="MS Mincho"/>
          <w:b w:val="0"/>
          <w:i w:val="0"/>
          <w:sz w:val="20"/>
          <w:szCs w:val="20"/>
        </w:rPr>
      </w:pPr>
    </w:p>
    <w:p w:rsidR="00AB61EA" w:rsidRDefault="00EA638B" w:rsidP="00EA638B">
      <w:pPr>
        <w:pStyle w:val="keywords"/>
        <w:spacing w:after="0"/>
        <w:ind w:firstLine="0"/>
        <w:rPr>
          <w:rFonts w:eastAsia="MS Mincho"/>
          <w:b w:val="0"/>
          <w:i w:val="0"/>
          <w:sz w:val="20"/>
          <w:szCs w:val="20"/>
        </w:rPr>
      </w:pPr>
      <w:r w:rsidRPr="00EA638B">
        <w:rPr>
          <w:rFonts w:eastAsia="MS Mincho"/>
          <w:i w:val="0"/>
          <w:sz w:val="20"/>
          <w:szCs w:val="20"/>
        </w:rPr>
        <w:t xml:space="preserve">Kata kunci:  </w:t>
      </w:r>
      <w:r w:rsidRPr="00EA638B">
        <w:rPr>
          <w:rFonts w:eastAsia="MS Mincho"/>
          <w:b w:val="0"/>
          <w:i w:val="0"/>
          <w:sz w:val="20"/>
          <w:szCs w:val="20"/>
        </w:rPr>
        <w:t>transeterifikasi, minyak sayuran, tempurung kelapa sawit, pemangkin berasaskan biochar</w:t>
      </w:r>
    </w:p>
    <w:p w:rsidR="00EA638B" w:rsidRDefault="00EA638B" w:rsidP="00EA638B">
      <w:pPr>
        <w:pStyle w:val="keywords"/>
        <w:spacing w:after="0"/>
        <w:ind w:firstLine="0"/>
        <w:rPr>
          <w:rFonts w:eastAsia="MS Mincho"/>
          <w:b w:val="0"/>
          <w:i w:val="0"/>
          <w:sz w:val="20"/>
          <w:szCs w:val="20"/>
        </w:rPr>
      </w:pPr>
    </w:p>
    <w:p w:rsidR="00EA638B" w:rsidRPr="00F447A7" w:rsidRDefault="00EA638B" w:rsidP="00EA638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638B" w:rsidRDefault="00EA638B" w:rsidP="00EA638B">
      <w:pPr>
        <w:pStyle w:val="references"/>
        <w:numPr>
          <w:ilvl w:val="0"/>
          <w:numId w:val="2"/>
        </w:numPr>
        <w:spacing w:after="0" w:line="240" w:lineRule="auto"/>
        <w:ind w:left="360"/>
        <w:rPr>
          <w:rFonts w:eastAsia="MS Mincho"/>
          <w:sz w:val="20"/>
          <w:szCs w:val="20"/>
        </w:rPr>
      </w:pPr>
      <w:r w:rsidRPr="00944B53">
        <w:rPr>
          <w:color w:val="222222"/>
          <w:sz w:val="20"/>
          <w:szCs w:val="20"/>
          <w:shd w:val="clear" w:color="auto" w:fill="FFFFFF"/>
        </w:rPr>
        <w:t>Di Serio,</w:t>
      </w:r>
      <w:r>
        <w:rPr>
          <w:color w:val="222222"/>
          <w:sz w:val="20"/>
          <w:szCs w:val="20"/>
          <w:shd w:val="clear" w:color="auto" w:fill="FFFFFF"/>
        </w:rPr>
        <w:t xml:space="preserve"> M., Tesser, R., Pengmei, L. and </w:t>
      </w:r>
      <w:r w:rsidRPr="00944B53">
        <w:rPr>
          <w:color w:val="222222"/>
          <w:sz w:val="20"/>
          <w:szCs w:val="20"/>
          <w:shd w:val="clear" w:color="auto" w:fill="FFFFFF"/>
        </w:rPr>
        <w:t>Santacesaria, E. (2008). Heterogeneous catalysts for biodiesel production.</w:t>
      </w:r>
      <w:r w:rsidRPr="00944B53">
        <w:rPr>
          <w:rStyle w:val="apple-converted-space"/>
          <w:rFonts w:eastAsia="MS Mincho"/>
          <w:color w:val="222222"/>
          <w:sz w:val="20"/>
          <w:szCs w:val="20"/>
          <w:shd w:val="clear" w:color="auto" w:fill="FFFFFF"/>
        </w:rPr>
        <w:t> </w:t>
      </w:r>
      <w:r w:rsidRPr="00944B53">
        <w:rPr>
          <w:i/>
          <w:iCs/>
          <w:color w:val="222222"/>
          <w:sz w:val="20"/>
          <w:szCs w:val="20"/>
          <w:shd w:val="clear" w:color="auto" w:fill="FFFFFF"/>
        </w:rPr>
        <w:t>Energy &amp; Fuels</w:t>
      </w:r>
      <w:r w:rsidRPr="00944B53">
        <w:rPr>
          <w:color w:val="222222"/>
          <w:sz w:val="20"/>
          <w:szCs w:val="20"/>
          <w:shd w:val="clear" w:color="auto" w:fill="FFFFFF"/>
        </w:rPr>
        <w:t>,</w:t>
      </w:r>
      <w:r w:rsidRPr="00944B53">
        <w:rPr>
          <w:rStyle w:val="apple-converted-space"/>
          <w:rFonts w:eastAsia="MS Mincho"/>
          <w:color w:val="222222"/>
          <w:sz w:val="20"/>
          <w:szCs w:val="20"/>
          <w:shd w:val="clear" w:color="auto" w:fill="FFFFFF"/>
        </w:rPr>
        <w:t> </w:t>
      </w:r>
      <w:r w:rsidRPr="001E6055">
        <w:rPr>
          <w:color w:val="222222"/>
          <w:sz w:val="20"/>
          <w:szCs w:val="20"/>
          <w:shd w:val="clear" w:color="auto" w:fill="FFFFFF"/>
        </w:rPr>
        <w:t>22</w:t>
      </w:r>
      <w:r w:rsidRPr="00944B53">
        <w:rPr>
          <w:color w:val="222222"/>
          <w:sz w:val="20"/>
          <w:szCs w:val="20"/>
          <w:shd w:val="clear" w:color="auto" w:fill="FFFFFF"/>
        </w:rPr>
        <w:t>(1): 207</w:t>
      </w:r>
      <w:r>
        <w:rPr>
          <w:color w:val="222222"/>
          <w:sz w:val="20"/>
          <w:szCs w:val="20"/>
          <w:shd w:val="clear" w:color="auto" w:fill="FFFFFF"/>
        </w:rPr>
        <w:t xml:space="preserve"> –</w:t>
      </w:r>
      <w:r>
        <w:rPr>
          <w:rFonts w:eastAsia="MS Mincho"/>
          <w:sz w:val="20"/>
          <w:szCs w:val="20"/>
        </w:rPr>
        <w:t xml:space="preserve"> </w:t>
      </w:r>
      <w:r w:rsidRPr="001E6055">
        <w:rPr>
          <w:color w:val="222222"/>
          <w:sz w:val="20"/>
          <w:szCs w:val="20"/>
          <w:shd w:val="clear" w:color="auto" w:fill="FFFFFF"/>
        </w:rPr>
        <w:t>217.</w:t>
      </w:r>
    </w:p>
    <w:p w:rsidR="00EA638B" w:rsidRDefault="00EA638B" w:rsidP="00EA638B">
      <w:pPr>
        <w:pStyle w:val="references"/>
        <w:numPr>
          <w:ilvl w:val="0"/>
          <w:numId w:val="2"/>
        </w:numPr>
        <w:spacing w:after="0" w:line="240" w:lineRule="auto"/>
        <w:ind w:left="360"/>
        <w:rPr>
          <w:rFonts w:eastAsia="MS Mincho"/>
          <w:sz w:val="20"/>
          <w:szCs w:val="20"/>
        </w:rPr>
      </w:pPr>
      <w:r w:rsidRPr="001E6055">
        <w:rPr>
          <w:color w:val="222222"/>
          <w:sz w:val="20"/>
          <w:szCs w:val="20"/>
          <w:shd w:val="clear" w:color="auto" w:fill="FFFFFF"/>
        </w:rPr>
        <w:t>Ejikeme, P. M., Anyaogu, I. D., Ejikeme, C. L., Nwafor, N. P.,</w:t>
      </w:r>
      <w:r>
        <w:rPr>
          <w:color w:val="222222"/>
          <w:sz w:val="20"/>
          <w:szCs w:val="20"/>
          <w:shd w:val="clear" w:color="auto" w:fill="FFFFFF"/>
        </w:rPr>
        <w:t xml:space="preserve"> Egbuonu, C. A. C., Ukogu, K. and</w:t>
      </w:r>
      <w:r w:rsidRPr="001E6055">
        <w:rPr>
          <w:color w:val="222222"/>
          <w:sz w:val="20"/>
          <w:szCs w:val="20"/>
          <w:shd w:val="clear" w:color="auto" w:fill="FFFFFF"/>
        </w:rPr>
        <w:t xml:space="preserve"> Ibemesi, J. A. (2010). Catalysis in biodiesel production by transesterification processes-An insight.</w:t>
      </w:r>
      <w:r w:rsidRPr="001E6055">
        <w:rPr>
          <w:rStyle w:val="apple-converted-space"/>
          <w:rFonts w:eastAsia="MS Mincho"/>
          <w:color w:val="222222"/>
          <w:sz w:val="20"/>
          <w:szCs w:val="20"/>
          <w:shd w:val="clear" w:color="auto" w:fill="FFFFFF"/>
        </w:rPr>
        <w:t> </w:t>
      </w:r>
      <w:r w:rsidRPr="001E6055">
        <w:rPr>
          <w:i/>
          <w:iCs/>
          <w:color w:val="222222"/>
          <w:sz w:val="20"/>
          <w:szCs w:val="20"/>
          <w:shd w:val="clear" w:color="auto" w:fill="FFFFFF"/>
        </w:rPr>
        <w:t>Journal of Chemistry</w:t>
      </w:r>
      <w:r w:rsidRPr="001E6055">
        <w:rPr>
          <w:color w:val="222222"/>
          <w:sz w:val="20"/>
          <w:szCs w:val="20"/>
          <w:shd w:val="clear" w:color="auto" w:fill="FFFFFF"/>
        </w:rPr>
        <w:t>,</w:t>
      </w:r>
      <w:r w:rsidRPr="001E6055">
        <w:rPr>
          <w:rStyle w:val="apple-converted-space"/>
          <w:rFonts w:eastAsia="MS Mincho"/>
          <w:color w:val="222222"/>
          <w:sz w:val="20"/>
          <w:szCs w:val="20"/>
          <w:shd w:val="clear" w:color="auto" w:fill="FFFFFF"/>
        </w:rPr>
        <w:t> </w:t>
      </w:r>
      <w:r w:rsidRPr="001E6055">
        <w:rPr>
          <w:color w:val="222222"/>
          <w:sz w:val="20"/>
          <w:szCs w:val="20"/>
          <w:shd w:val="clear" w:color="auto" w:fill="FFFFFF"/>
        </w:rPr>
        <w:t>7(4): 1120</w:t>
      </w:r>
      <w:r>
        <w:rPr>
          <w:color w:val="222222"/>
          <w:sz w:val="20"/>
          <w:szCs w:val="20"/>
          <w:shd w:val="clear" w:color="auto" w:fill="FFFFFF"/>
        </w:rPr>
        <w:t xml:space="preserve"> –</w:t>
      </w:r>
      <w:r>
        <w:rPr>
          <w:rFonts w:eastAsia="MS Mincho"/>
          <w:sz w:val="20"/>
          <w:szCs w:val="20"/>
        </w:rPr>
        <w:t xml:space="preserve"> </w:t>
      </w:r>
      <w:r w:rsidRPr="001E6055">
        <w:rPr>
          <w:color w:val="222222"/>
          <w:sz w:val="20"/>
          <w:szCs w:val="20"/>
          <w:shd w:val="clear" w:color="auto" w:fill="FFFFFF"/>
        </w:rPr>
        <w:t>1132.</w:t>
      </w:r>
    </w:p>
    <w:p w:rsidR="00EA638B" w:rsidRDefault="00EA638B" w:rsidP="00EA638B">
      <w:pPr>
        <w:pStyle w:val="references"/>
        <w:numPr>
          <w:ilvl w:val="0"/>
          <w:numId w:val="2"/>
        </w:numPr>
        <w:spacing w:after="0" w:line="240" w:lineRule="auto"/>
        <w:ind w:left="360"/>
        <w:rPr>
          <w:rFonts w:eastAsia="MS Mincho"/>
          <w:sz w:val="20"/>
          <w:szCs w:val="20"/>
        </w:rPr>
      </w:pPr>
      <w:r w:rsidRPr="001E6055">
        <w:rPr>
          <w:color w:val="222222"/>
          <w:sz w:val="20"/>
          <w:szCs w:val="20"/>
          <w:shd w:val="clear" w:color="auto" w:fill="FFFFFF"/>
        </w:rPr>
        <w:t>Hara, M. (2009). Environmentally benign production of biodiesel using heterogeneous catalysts.</w:t>
      </w:r>
      <w:r w:rsidRPr="001E6055">
        <w:rPr>
          <w:rStyle w:val="apple-converted-space"/>
          <w:rFonts w:eastAsia="MS Mincho"/>
          <w:color w:val="222222"/>
          <w:sz w:val="20"/>
          <w:szCs w:val="20"/>
          <w:shd w:val="clear" w:color="auto" w:fill="FFFFFF"/>
        </w:rPr>
        <w:t> </w:t>
      </w:r>
      <w:r w:rsidRPr="001E6055">
        <w:rPr>
          <w:i/>
          <w:iCs/>
          <w:color w:val="222222"/>
          <w:sz w:val="20"/>
          <w:szCs w:val="20"/>
          <w:shd w:val="clear" w:color="auto" w:fill="FFFFFF"/>
        </w:rPr>
        <w:t>ChemSusChem</w:t>
      </w:r>
      <w:r w:rsidRPr="001E6055">
        <w:rPr>
          <w:color w:val="222222"/>
          <w:sz w:val="20"/>
          <w:szCs w:val="20"/>
          <w:shd w:val="clear" w:color="auto" w:fill="FFFFFF"/>
        </w:rPr>
        <w:t>,</w:t>
      </w:r>
      <w:r w:rsidRPr="001E6055">
        <w:rPr>
          <w:rStyle w:val="apple-converted-space"/>
          <w:rFonts w:eastAsia="MS Mincho"/>
          <w:color w:val="222222"/>
          <w:sz w:val="20"/>
          <w:szCs w:val="20"/>
          <w:shd w:val="clear" w:color="auto" w:fill="FFFFFF"/>
        </w:rPr>
        <w:t> </w:t>
      </w:r>
      <w:r w:rsidRPr="001E6055">
        <w:rPr>
          <w:i/>
          <w:iCs/>
          <w:color w:val="222222"/>
          <w:sz w:val="20"/>
          <w:szCs w:val="20"/>
          <w:shd w:val="clear" w:color="auto" w:fill="FFFFFF"/>
        </w:rPr>
        <w:t>2</w:t>
      </w:r>
      <w:r w:rsidRPr="001E6055">
        <w:rPr>
          <w:color w:val="222222"/>
          <w:sz w:val="20"/>
          <w:szCs w:val="20"/>
          <w:shd w:val="clear" w:color="auto" w:fill="FFFFFF"/>
        </w:rPr>
        <w:t>(2): 129</w:t>
      </w:r>
      <w:r>
        <w:rPr>
          <w:color w:val="222222"/>
          <w:sz w:val="20"/>
          <w:szCs w:val="20"/>
          <w:shd w:val="clear" w:color="auto" w:fill="FFFFFF"/>
        </w:rPr>
        <w:t xml:space="preserve"> –</w:t>
      </w:r>
      <w:r>
        <w:rPr>
          <w:rFonts w:eastAsia="MS Mincho"/>
          <w:sz w:val="20"/>
          <w:szCs w:val="20"/>
        </w:rPr>
        <w:t xml:space="preserve"> </w:t>
      </w:r>
      <w:r w:rsidRPr="00E22908">
        <w:rPr>
          <w:color w:val="222222"/>
          <w:sz w:val="20"/>
          <w:szCs w:val="20"/>
          <w:shd w:val="clear" w:color="auto" w:fill="FFFFFF"/>
        </w:rPr>
        <w:t>135.</w:t>
      </w:r>
    </w:p>
    <w:p w:rsidR="00EA638B" w:rsidRDefault="00EA638B" w:rsidP="00EA638B">
      <w:pPr>
        <w:pStyle w:val="references"/>
        <w:numPr>
          <w:ilvl w:val="0"/>
          <w:numId w:val="2"/>
        </w:numPr>
        <w:spacing w:after="0" w:line="240" w:lineRule="auto"/>
        <w:ind w:left="360"/>
        <w:rPr>
          <w:rFonts w:eastAsia="MS Mincho"/>
          <w:sz w:val="20"/>
          <w:szCs w:val="20"/>
        </w:rPr>
      </w:pPr>
      <w:r w:rsidRPr="00E22908">
        <w:rPr>
          <w:color w:val="222222"/>
          <w:sz w:val="20"/>
          <w:szCs w:val="20"/>
          <w:shd w:val="clear" w:color="auto" w:fill="FFFFFF"/>
        </w:rPr>
        <w:t xml:space="preserve">Rebitanim, N. Z., Ghani, W. A. W. </w:t>
      </w:r>
      <w:r>
        <w:rPr>
          <w:color w:val="222222"/>
          <w:sz w:val="20"/>
          <w:szCs w:val="20"/>
          <w:shd w:val="clear" w:color="auto" w:fill="FFFFFF"/>
        </w:rPr>
        <w:t xml:space="preserve">A. </w:t>
      </w:r>
      <w:r w:rsidRPr="00E22908">
        <w:rPr>
          <w:color w:val="222222"/>
          <w:sz w:val="20"/>
          <w:szCs w:val="20"/>
          <w:shd w:val="clear" w:color="auto" w:fill="FFFFFF"/>
        </w:rPr>
        <w:t>K., Rebitanim, N. A. and Salleh, M. A. M. (2013). Potential applications of wastes from energy generation particularly biochar in Malaysia.</w:t>
      </w:r>
      <w:r w:rsidRPr="00E22908">
        <w:rPr>
          <w:rStyle w:val="apple-converted-space"/>
          <w:rFonts w:eastAsia="MS Mincho"/>
          <w:color w:val="222222"/>
          <w:sz w:val="20"/>
          <w:szCs w:val="20"/>
          <w:shd w:val="clear" w:color="auto" w:fill="FFFFFF"/>
        </w:rPr>
        <w:t> </w:t>
      </w:r>
      <w:r w:rsidRPr="00E22908">
        <w:rPr>
          <w:i/>
          <w:iCs/>
          <w:color w:val="222222"/>
          <w:sz w:val="20"/>
          <w:szCs w:val="20"/>
          <w:shd w:val="clear" w:color="auto" w:fill="FFFFFF"/>
        </w:rPr>
        <w:t>Renewable and Sustainable Energy Reviews</w:t>
      </w:r>
      <w:r w:rsidRPr="00E22908">
        <w:rPr>
          <w:color w:val="222222"/>
          <w:sz w:val="20"/>
          <w:szCs w:val="20"/>
          <w:shd w:val="clear" w:color="auto" w:fill="FFFFFF"/>
        </w:rPr>
        <w:t>,</w:t>
      </w:r>
      <w:r w:rsidRPr="00E22908">
        <w:rPr>
          <w:rStyle w:val="apple-converted-space"/>
          <w:rFonts w:eastAsia="MS Mincho"/>
          <w:color w:val="222222"/>
          <w:sz w:val="20"/>
          <w:szCs w:val="20"/>
          <w:shd w:val="clear" w:color="auto" w:fill="FFFFFF"/>
        </w:rPr>
        <w:t> </w:t>
      </w:r>
      <w:r w:rsidRPr="00E22908">
        <w:rPr>
          <w:color w:val="222222"/>
          <w:sz w:val="20"/>
          <w:szCs w:val="20"/>
          <w:shd w:val="clear" w:color="auto" w:fill="FFFFFF"/>
        </w:rPr>
        <w:t>21: 694</w:t>
      </w:r>
      <w:r>
        <w:rPr>
          <w:color w:val="222222"/>
          <w:sz w:val="20"/>
          <w:szCs w:val="20"/>
          <w:shd w:val="clear" w:color="auto" w:fill="FFFFFF"/>
        </w:rPr>
        <w:t xml:space="preserve"> –</w:t>
      </w:r>
      <w:r>
        <w:rPr>
          <w:rFonts w:eastAsia="MS Mincho"/>
          <w:sz w:val="20"/>
          <w:szCs w:val="20"/>
        </w:rPr>
        <w:t xml:space="preserve"> </w:t>
      </w:r>
      <w:r w:rsidRPr="00E22908">
        <w:rPr>
          <w:color w:val="222222"/>
          <w:sz w:val="20"/>
          <w:szCs w:val="20"/>
          <w:shd w:val="clear" w:color="auto" w:fill="FFFFFF"/>
        </w:rPr>
        <w:t>702.</w:t>
      </w:r>
      <w:r w:rsidRPr="00E22908">
        <w:rPr>
          <w:rFonts w:eastAsia="MS Mincho"/>
          <w:sz w:val="20"/>
          <w:szCs w:val="20"/>
        </w:rPr>
        <w:t xml:space="preserve"> </w:t>
      </w:r>
    </w:p>
    <w:p w:rsidR="00EA638B" w:rsidRDefault="00EA638B" w:rsidP="00EA638B">
      <w:pPr>
        <w:pStyle w:val="references"/>
        <w:numPr>
          <w:ilvl w:val="0"/>
          <w:numId w:val="2"/>
        </w:numPr>
        <w:spacing w:after="0" w:line="240" w:lineRule="auto"/>
        <w:ind w:left="360"/>
        <w:rPr>
          <w:rFonts w:eastAsia="MS Mincho"/>
          <w:sz w:val="20"/>
          <w:szCs w:val="20"/>
        </w:rPr>
      </w:pPr>
      <w:r w:rsidRPr="00E22908">
        <w:rPr>
          <w:color w:val="222222"/>
          <w:sz w:val="20"/>
          <w:szCs w:val="20"/>
          <w:shd w:val="clear" w:color="auto" w:fill="FFFFFF"/>
        </w:rPr>
        <w:t>Mahm</w:t>
      </w:r>
      <w:r>
        <w:rPr>
          <w:color w:val="222222"/>
          <w:sz w:val="20"/>
          <w:szCs w:val="20"/>
          <w:shd w:val="clear" w:color="auto" w:fill="FFFFFF"/>
        </w:rPr>
        <w:t xml:space="preserve">oud, D. K., Salleh, M. A. M. and </w:t>
      </w:r>
      <w:r w:rsidRPr="00E22908">
        <w:rPr>
          <w:color w:val="222222"/>
          <w:sz w:val="20"/>
          <w:szCs w:val="20"/>
          <w:shd w:val="clear" w:color="auto" w:fill="FFFFFF"/>
        </w:rPr>
        <w:t>Karim, W. A. (2012). Characterization and evaluation of agricultural solid wastes as a</w:t>
      </w:r>
      <w:r>
        <w:rPr>
          <w:color w:val="222222"/>
          <w:sz w:val="20"/>
          <w:szCs w:val="20"/>
          <w:shd w:val="clear" w:color="auto" w:fill="FFFFFF"/>
        </w:rPr>
        <w:t>dsorbents: A r</w:t>
      </w:r>
      <w:r w:rsidRPr="00E22908">
        <w:rPr>
          <w:color w:val="222222"/>
          <w:sz w:val="20"/>
          <w:szCs w:val="20"/>
          <w:shd w:val="clear" w:color="auto" w:fill="FFFFFF"/>
        </w:rPr>
        <w:t>eview.</w:t>
      </w:r>
      <w:r>
        <w:rPr>
          <w:color w:val="222222"/>
          <w:sz w:val="20"/>
          <w:szCs w:val="20"/>
          <w:shd w:val="clear" w:color="auto" w:fill="FFFFFF"/>
        </w:rPr>
        <w:t xml:space="preserve"> </w:t>
      </w:r>
      <w:r w:rsidRPr="00E22908">
        <w:rPr>
          <w:i/>
          <w:iCs/>
          <w:color w:val="222222"/>
          <w:sz w:val="20"/>
          <w:szCs w:val="20"/>
          <w:shd w:val="clear" w:color="auto" w:fill="FFFFFF"/>
        </w:rPr>
        <w:t>Journal of Purity, Uti</w:t>
      </w:r>
      <w:r>
        <w:rPr>
          <w:i/>
          <w:iCs/>
          <w:color w:val="222222"/>
          <w:sz w:val="20"/>
          <w:szCs w:val="20"/>
          <w:shd w:val="clear" w:color="auto" w:fill="FFFFFF"/>
        </w:rPr>
        <w:t xml:space="preserve">lity Reaction and Environment </w:t>
      </w:r>
      <w:r w:rsidRPr="00E22908">
        <w:rPr>
          <w:color w:val="222222"/>
          <w:sz w:val="20"/>
          <w:szCs w:val="20"/>
          <w:shd w:val="clear" w:color="auto" w:fill="FFFFFF"/>
        </w:rPr>
        <w:t>1(9):</w:t>
      </w:r>
      <w:r w:rsidRPr="00E22908">
        <w:rPr>
          <w:i/>
          <w:iCs/>
          <w:color w:val="222222"/>
          <w:sz w:val="20"/>
          <w:szCs w:val="20"/>
          <w:shd w:val="clear" w:color="auto" w:fill="FFFFFF"/>
        </w:rPr>
        <w:t xml:space="preserve"> </w:t>
      </w:r>
      <w:r w:rsidRPr="00E22908">
        <w:rPr>
          <w:color w:val="222222"/>
          <w:sz w:val="20"/>
          <w:szCs w:val="20"/>
          <w:shd w:val="clear" w:color="auto" w:fill="FFFFFF"/>
        </w:rPr>
        <w:t>451 –</w:t>
      </w:r>
      <w:r w:rsidRPr="00E22908">
        <w:rPr>
          <w:rFonts w:eastAsia="MS Mincho"/>
          <w:sz w:val="20"/>
          <w:szCs w:val="20"/>
        </w:rPr>
        <w:t xml:space="preserve"> </w:t>
      </w:r>
      <w:r w:rsidRPr="00E22908">
        <w:rPr>
          <w:color w:val="222222"/>
          <w:sz w:val="20"/>
          <w:szCs w:val="20"/>
          <w:shd w:val="clear" w:color="auto" w:fill="FFFFFF"/>
        </w:rPr>
        <w:t>459.</w:t>
      </w:r>
    </w:p>
    <w:p w:rsidR="00EA638B" w:rsidRDefault="00EA638B" w:rsidP="00EA638B">
      <w:pPr>
        <w:pStyle w:val="references"/>
        <w:numPr>
          <w:ilvl w:val="0"/>
          <w:numId w:val="2"/>
        </w:numPr>
        <w:spacing w:after="0" w:line="240" w:lineRule="auto"/>
        <w:ind w:left="360"/>
        <w:rPr>
          <w:rFonts w:eastAsia="MS Mincho"/>
          <w:sz w:val="20"/>
          <w:szCs w:val="20"/>
        </w:rPr>
      </w:pPr>
      <w:r w:rsidRPr="00E22908">
        <w:rPr>
          <w:color w:val="222222"/>
          <w:sz w:val="20"/>
          <w:szCs w:val="20"/>
          <w:shd w:val="clear" w:color="auto" w:fill="FFFFFF"/>
        </w:rPr>
        <w:t>Srilatha, K., Issariyakul, T., Lingaiah, N., Sai</w:t>
      </w:r>
      <w:r>
        <w:rPr>
          <w:color w:val="222222"/>
          <w:sz w:val="20"/>
          <w:szCs w:val="20"/>
          <w:shd w:val="clear" w:color="auto" w:fill="FFFFFF"/>
        </w:rPr>
        <w:t xml:space="preserve"> Prasad, P. S., Kozinski, J. and </w:t>
      </w:r>
      <w:r w:rsidRPr="00E22908">
        <w:rPr>
          <w:color w:val="222222"/>
          <w:sz w:val="20"/>
          <w:szCs w:val="20"/>
          <w:shd w:val="clear" w:color="auto" w:fill="FFFFFF"/>
        </w:rPr>
        <w:t>Dalai, A. K. (2010). Efficient esterification and transesterification of used cooking oil using 12-tungstophosphoric acid (TPA)/Nb</w:t>
      </w:r>
      <w:r w:rsidRPr="00E22908">
        <w:rPr>
          <w:color w:val="222222"/>
          <w:sz w:val="20"/>
          <w:szCs w:val="20"/>
          <w:shd w:val="clear" w:color="auto" w:fill="FFFFFF"/>
          <w:vertAlign w:val="subscript"/>
        </w:rPr>
        <w:t>2</w:t>
      </w:r>
      <w:r w:rsidRPr="00E22908">
        <w:rPr>
          <w:color w:val="222222"/>
          <w:sz w:val="20"/>
          <w:szCs w:val="20"/>
          <w:shd w:val="clear" w:color="auto" w:fill="FFFFFF"/>
        </w:rPr>
        <w:t>O</w:t>
      </w:r>
      <w:r w:rsidRPr="00E22908">
        <w:rPr>
          <w:color w:val="222222"/>
          <w:sz w:val="20"/>
          <w:szCs w:val="20"/>
          <w:shd w:val="clear" w:color="auto" w:fill="FFFFFF"/>
          <w:vertAlign w:val="subscript"/>
        </w:rPr>
        <w:t>5</w:t>
      </w:r>
      <w:r>
        <w:rPr>
          <w:color w:val="222222"/>
          <w:sz w:val="20"/>
          <w:szCs w:val="20"/>
          <w:shd w:val="clear" w:color="auto" w:fill="FFFFFF"/>
        </w:rPr>
        <w:t xml:space="preserve"> Catalyst</w:t>
      </w:r>
      <w:r w:rsidRPr="00E22908">
        <w:rPr>
          <w:color w:val="222222"/>
          <w:sz w:val="20"/>
          <w:szCs w:val="20"/>
          <w:shd w:val="clear" w:color="auto" w:fill="FFFFFF"/>
        </w:rPr>
        <w:t>.</w:t>
      </w:r>
      <w:r>
        <w:rPr>
          <w:color w:val="222222"/>
          <w:sz w:val="20"/>
          <w:szCs w:val="20"/>
          <w:shd w:val="clear" w:color="auto" w:fill="FFFFFF"/>
        </w:rPr>
        <w:t xml:space="preserve"> </w:t>
      </w:r>
      <w:r w:rsidRPr="00E22908">
        <w:rPr>
          <w:i/>
          <w:iCs/>
          <w:color w:val="222222"/>
          <w:sz w:val="20"/>
          <w:szCs w:val="20"/>
          <w:shd w:val="clear" w:color="auto" w:fill="FFFFFF"/>
        </w:rPr>
        <w:t>Energy &amp; Fuels</w:t>
      </w:r>
      <w:r w:rsidRPr="00E22908">
        <w:rPr>
          <w:color w:val="222222"/>
          <w:sz w:val="20"/>
          <w:szCs w:val="20"/>
          <w:shd w:val="clear" w:color="auto" w:fill="FFFFFF"/>
        </w:rPr>
        <w:t>,</w:t>
      </w:r>
      <w:r w:rsidRPr="00E22908">
        <w:rPr>
          <w:rStyle w:val="apple-converted-space"/>
          <w:rFonts w:eastAsia="MS Mincho"/>
          <w:color w:val="222222"/>
          <w:sz w:val="20"/>
          <w:szCs w:val="20"/>
          <w:shd w:val="clear" w:color="auto" w:fill="FFFFFF"/>
        </w:rPr>
        <w:t> </w:t>
      </w:r>
      <w:r w:rsidRPr="00E22908">
        <w:rPr>
          <w:color w:val="222222"/>
          <w:sz w:val="20"/>
          <w:szCs w:val="20"/>
          <w:shd w:val="clear" w:color="auto" w:fill="FFFFFF"/>
        </w:rPr>
        <w:t>24(9): 4748</w:t>
      </w:r>
      <w:r>
        <w:rPr>
          <w:color w:val="222222"/>
          <w:sz w:val="20"/>
          <w:szCs w:val="20"/>
          <w:shd w:val="clear" w:color="auto" w:fill="FFFFFF"/>
        </w:rPr>
        <w:t xml:space="preserve"> –</w:t>
      </w:r>
      <w:r>
        <w:rPr>
          <w:rFonts w:eastAsia="MS Mincho"/>
          <w:sz w:val="20"/>
          <w:szCs w:val="20"/>
        </w:rPr>
        <w:t xml:space="preserve"> </w:t>
      </w:r>
      <w:r w:rsidRPr="00E22908">
        <w:rPr>
          <w:color w:val="222222"/>
          <w:sz w:val="20"/>
          <w:szCs w:val="20"/>
          <w:shd w:val="clear" w:color="auto" w:fill="FFFFFF"/>
        </w:rPr>
        <w:t>4755.</w:t>
      </w:r>
      <w:r w:rsidRPr="00E22908">
        <w:rPr>
          <w:rFonts w:eastAsia="MS Mincho"/>
          <w:sz w:val="20"/>
          <w:szCs w:val="20"/>
        </w:rPr>
        <w:t xml:space="preserve"> </w:t>
      </w:r>
    </w:p>
    <w:p w:rsidR="00EA638B" w:rsidRDefault="00EA638B" w:rsidP="00EA638B">
      <w:pPr>
        <w:pStyle w:val="references"/>
        <w:numPr>
          <w:ilvl w:val="0"/>
          <w:numId w:val="2"/>
        </w:numPr>
        <w:spacing w:after="0" w:line="240" w:lineRule="auto"/>
        <w:ind w:left="360"/>
        <w:rPr>
          <w:rFonts w:eastAsia="MS Mincho"/>
          <w:sz w:val="20"/>
          <w:szCs w:val="20"/>
        </w:rPr>
      </w:pPr>
      <w:r>
        <w:rPr>
          <w:color w:val="222222"/>
          <w:sz w:val="20"/>
          <w:szCs w:val="20"/>
          <w:shd w:val="clear" w:color="auto" w:fill="FFFFFF"/>
        </w:rPr>
        <w:t xml:space="preserve">Lien, Y. S., Hsieh, L. S. and </w:t>
      </w:r>
      <w:r w:rsidRPr="00E22908">
        <w:rPr>
          <w:color w:val="222222"/>
          <w:sz w:val="20"/>
          <w:szCs w:val="20"/>
          <w:shd w:val="clear" w:color="auto" w:fill="FFFFFF"/>
        </w:rPr>
        <w:t>Wu, J. C. (2010). Biodiesel synthesis by simultaneous esterification and transesterification using oleophilic acid catalyst.</w:t>
      </w:r>
      <w:r w:rsidRPr="00E22908">
        <w:rPr>
          <w:rStyle w:val="apple-converted-space"/>
          <w:rFonts w:eastAsia="MS Mincho"/>
          <w:color w:val="222222"/>
          <w:sz w:val="20"/>
          <w:szCs w:val="20"/>
          <w:shd w:val="clear" w:color="auto" w:fill="FFFFFF"/>
        </w:rPr>
        <w:t> </w:t>
      </w:r>
      <w:r w:rsidRPr="00E22908">
        <w:rPr>
          <w:i/>
          <w:iCs/>
          <w:color w:val="222222"/>
          <w:sz w:val="20"/>
          <w:szCs w:val="20"/>
          <w:shd w:val="clear" w:color="auto" w:fill="FFFFFF"/>
        </w:rPr>
        <w:t>Industrial &amp; Engineering Chemistry Research</w:t>
      </w:r>
      <w:r w:rsidRPr="00E22908">
        <w:rPr>
          <w:color w:val="222222"/>
          <w:sz w:val="20"/>
          <w:szCs w:val="20"/>
          <w:shd w:val="clear" w:color="auto" w:fill="FFFFFF"/>
        </w:rPr>
        <w:t>,</w:t>
      </w:r>
      <w:r w:rsidRPr="00E22908">
        <w:rPr>
          <w:rStyle w:val="apple-converted-space"/>
          <w:rFonts w:eastAsia="MS Mincho"/>
          <w:color w:val="222222"/>
          <w:sz w:val="20"/>
          <w:szCs w:val="20"/>
          <w:shd w:val="clear" w:color="auto" w:fill="FFFFFF"/>
        </w:rPr>
        <w:t> </w:t>
      </w:r>
      <w:r w:rsidRPr="00E22908">
        <w:rPr>
          <w:color w:val="222222"/>
          <w:sz w:val="20"/>
          <w:szCs w:val="20"/>
          <w:shd w:val="clear" w:color="auto" w:fill="FFFFFF"/>
        </w:rPr>
        <w:t>49(5): 2118</w:t>
      </w:r>
      <w:r>
        <w:rPr>
          <w:color w:val="222222"/>
          <w:sz w:val="20"/>
          <w:szCs w:val="20"/>
          <w:shd w:val="clear" w:color="auto" w:fill="FFFFFF"/>
        </w:rPr>
        <w:t xml:space="preserve"> –</w:t>
      </w:r>
      <w:r>
        <w:rPr>
          <w:rFonts w:eastAsia="MS Mincho"/>
          <w:sz w:val="20"/>
          <w:szCs w:val="20"/>
        </w:rPr>
        <w:t xml:space="preserve"> </w:t>
      </w:r>
      <w:r w:rsidRPr="00E22908">
        <w:rPr>
          <w:color w:val="222222"/>
          <w:sz w:val="20"/>
          <w:szCs w:val="20"/>
          <w:shd w:val="clear" w:color="auto" w:fill="FFFFFF"/>
        </w:rPr>
        <w:t>2121.</w:t>
      </w:r>
      <w:r w:rsidRPr="00E22908">
        <w:rPr>
          <w:rFonts w:eastAsia="MS Mincho"/>
          <w:sz w:val="20"/>
          <w:szCs w:val="20"/>
        </w:rPr>
        <w:t xml:space="preserve"> </w:t>
      </w:r>
    </w:p>
    <w:p w:rsidR="00EA638B" w:rsidRPr="00E22908" w:rsidRDefault="00EA638B" w:rsidP="00EA638B">
      <w:pPr>
        <w:pStyle w:val="references"/>
        <w:numPr>
          <w:ilvl w:val="0"/>
          <w:numId w:val="2"/>
        </w:numPr>
        <w:spacing w:after="0" w:line="240" w:lineRule="auto"/>
        <w:ind w:left="360"/>
        <w:rPr>
          <w:rFonts w:eastAsia="MS Mincho"/>
          <w:sz w:val="20"/>
          <w:szCs w:val="20"/>
        </w:rPr>
      </w:pPr>
      <w:r>
        <w:rPr>
          <w:rFonts w:eastAsia="MS Mincho"/>
          <w:sz w:val="20"/>
          <w:szCs w:val="20"/>
        </w:rPr>
        <w:t xml:space="preserve">Bamgboye, A. I. and </w:t>
      </w:r>
      <w:r w:rsidRPr="00E22908">
        <w:rPr>
          <w:rFonts w:eastAsia="MS Mincho"/>
          <w:sz w:val="20"/>
          <w:szCs w:val="20"/>
        </w:rPr>
        <w:t xml:space="preserve">Hansen, A. C. (2008). Prediction of cetane number of biodiesel fuel from the fatty acid methyl ester (FAME) composition. </w:t>
      </w:r>
      <w:r w:rsidRPr="00E22908">
        <w:rPr>
          <w:rFonts w:eastAsia="MS Mincho"/>
          <w:i/>
          <w:iCs/>
          <w:sz w:val="20"/>
          <w:szCs w:val="20"/>
        </w:rPr>
        <w:t>International Agrophysics</w:t>
      </w:r>
      <w:r>
        <w:rPr>
          <w:rFonts w:eastAsia="MS Mincho"/>
          <w:sz w:val="20"/>
          <w:szCs w:val="20"/>
        </w:rPr>
        <w:t xml:space="preserve">, 22(1): </w:t>
      </w:r>
      <w:r w:rsidRPr="00E22908">
        <w:rPr>
          <w:rFonts w:eastAsia="MS Mincho"/>
          <w:sz w:val="20"/>
          <w:szCs w:val="20"/>
        </w:rPr>
        <w:t>21</w:t>
      </w:r>
      <w:r>
        <w:rPr>
          <w:rFonts w:eastAsia="MS Mincho"/>
          <w:sz w:val="20"/>
          <w:szCs w:val="20"/>
        </w:rPr>
        <w:t xml:space="preserve"> – 29</w:t>
      </w:r>
      <w:r w:rsidRPr="00E22908">
        <w:rPr>
          <w:rFonts w:eastAsia="MS Mincho"/>
          <w:sz w:val="20"/>
          <w:szCs w:val="20"/>
        </w:rPr>
        <w:t>.</w:t>
      </w:r>
    </w:p>
    <w:p w:rsidR="00EA638B" w:rsidRPr="00EA638B" w:rsidRDefault="00EA638B" w:rsidP="00EA638B">
      <w:pPr>
        <w:pStyle w:val="keywords"/>
        <w:spacing w:after="0"/>
        <w:ind w:firstLine="0"/>
        <w:rPr>
          <w:rFonts w:eastAsia="MS Mincho"/>
          <w:i w:val="0"/>
          <w:sz w:val="20"/>
          <w:szCs w:val="20"/>
        </w:rPr>
      </w:pPr>
      <w:bookmarkStart w:id="0" w:name="_GoBack"/>
      <w:bookmarkEnd w:id="0"/>
    </w:p>
    <w:sectPr w:rsidR="00EA638B" w:rsidRPr="00EA638B" w:rsidSect="00EA638B">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71F5B70"/>
    <w:multiLevelType w:val="hybridMultilevel"/>
    <w:tmpl w:val="56F44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8B"/>
    <w:rsid w:val="00AB61EA"/>
    <w:rsid w:val="00D0718B"/>
    <w:rsid w:val="00D40B1F"/>
    <w:rsid w:val="00EA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uiPriority w:val="99"/>
    <w:rsid w:val="00EA638B"/>
    <w:pPr>
      <w:spacing w:before="360" w:after="40" w:line="240" w:lineRule="auto"/>
      <w:jc w:val="center"/>
    </w:pPr>
    <w:rPr>
      <w:rFonts w:ascii="Times New Roman" w:eastAsia="Times New Roman" w:hAnsi="Times New Roman" w:cs="Times New Roman"/>
      <w:noProof/>
    </w:rPr>
  </w:style>
  <w:style w:type="paragraph" w:customStyle="1" w:styleId="papertitle">
    <w:name w:val="paper title"/>
    <w:uiPriority w:val="99"/>
    <w:rsid w:val="00EA638B"/>
    <w:pPr>
      <w:spacing w:after="120" w:line="240" w:lineRule="auto"/>
      <w:jc w:val="center"/>
    </w:pPr>
    <w:rPr>
      <w:rFonts w:ascii="Times New Roman" w:eastAsia="Times New Roman" w:hAnsi="Times New Roman" w:cs="Times New Roman"/>
      <w:bCs/>
      <w:noProof/>
      <w:sz w:val="48"/>
      <w:szCs w:val="48"/>
    </w:rPr>
  </w:style>
  <w:style w:type="paragraph" w:customStyle="1" w:styleId="Affiliation">
    <w:name w:val="Affiliation"/>
    <w:uiPriority w:val="99"/>
    <w:rsid w:val="00EA638B"/>
    <w:pPr>
      <w:spacing w:after="0" w:line="240" w:lineRule="auto"/>
      <w:jc w:val="center"/>
    </w:pPr>
    <w:rPr>
      <w:rFonts w:ascii="Times New Roman" w:eastAsia="Times New Roman" w:hAnsi="Times New Roman" w:cs="Times New Roman"/>
      <w:sz w:val="20"/>
      <w:szCs w:val="20"/>
    </w:rPr>
  </w:style>
  <w:style w:type="paragraph" w:customStyle="1" w:styleId="Abstract">
    <w:name w:val="Abstract"/>
    <w:uiPriority w:val="99"/>
    <w:rsid w:val="00EA638B"/>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EA638B"/>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references">
    <w:name w:val="references"/>
    <w:uiPriority w:val="99"/>
    <w:rsid w:val="00EA638B"/>
    <w:pPr>
      <w:numPr>
        <w:numId w:val="1"/>
      </w:numPr>
      <w:spacing w:after="50" w:line="180" w:lineRule="exact"/>
      <w:jc w:val="both"/>
    </w:pPr>
    <w:rPr>
      <w:rFonts w:ascii="Times New Roman" w:eastAsia="Times New Roman" w:hAnsi="Times New Roman" w:cs="Times New Roman"/>
      <w:noProof/>
      <w:sz w:val="16"/>
      <w:szCs w:val="16"/>
    </w:rPr>
  </w:style>
  <w:style w:type="character" w:customStyle="1" w:styleId="apple-converted-space">
    <w:name w:val="apple-converted-space"/>
    <w:rsid w:val="00EA6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uiPriority w:val="99"/>
    <w:rsid w:val="00EA638B"/>
    <w:pPr>
      <w:spacing w:before="360" w:after="40" w:line="240" w:lineRule="auto"/>
      <w:jc w:val="center"/>
    </w:pPr>
    <w:rPr>
      <w:rFonts w:ascii="Times New Roman" w:eastAsia="Times New Roman" w:hAnsi="Times New Roman" w:cs="Times New Roman"/>
      <w:noProof/>
    </w:rPr>
  </w:style>
  <w:style w:type="paragraph" w:customStyle="1" w:styleId="papertitle">
    <w:name w:val="paper title"/>
    <w:uiPriority w:val="99"/>
    <w:rsid w:val="00EA638B"/>
    <w:pPr>
      <w:spacing w:after="120" w:line="240" w:lineRule="auto"/>
      <w:jc w:val="center"/>
    </w:pPr>
    <w:rPr>
      <w:rFonts w:ascii="Times New Roman" w:eastAsia="Times New Roman" w:hAnsi="Times New Roman" w:cs="Times New Roman"/>
      <w:bCs/>
      <w:noProof/>
      <w:sz w:val="48"/>
      <w:szCs w:val="48"/>
    </w:rPr>
  </w:style>
  <w:style w:type="paragraph" w:customStyle="1" w:styleId="Affiliation">
    <w:name w:val="Affiliation"/>
    <w:uiPriority w:val="99"/>
    <w:rsid w:val="00EA638B"/>
    <w:pPr>
      <w:spacing w:after="0" w:line="240" w:lineRule="auto"/>
      <w:jc w:val="center"/>
    </w:pPr>
    <w:rPr>
      <w:rFonts w:ascii="Times New Roman" w:eastAsia="Times New Roman" w:hAnsi="Times New Roman" w:cs="Times New Roman"/>
      <w:sz w:val="20"/>
      <w:szCs w:val="20"/>
    </w:rPr>
  </w:style>
  <w:style w:type="paragraph" w:customStyle="1" w:styleId="Abstract">
    <w:name w:val="Abstract"/>
    <w:uiPriority w:val="99"/>
    <w:rsid w:val="00EA638B"/>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EA638B"/>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references">
    <w:name w:val="references"/>
    <w:uiPriority w:val="99"/>
    <w:rsid w:val="00EA638B"/>
    <w:pPr>
      <w:numPr>
        <w:numId w:val="1"/>
      </w:numPr>
      <w:spacing w:after="50" w:line="180" w:lineRule="exact"/>
      <w:jc w:val="both"/>
    </w:pPr>
    <w:rPr>
      <w:rFonts w:ascii="Times New Roman" w:eastAsia="Times New Roman" w:hAnsi="Times New Roman" w:cs="Times New Roman"/>
      <w:noProof/>
      <w:sz w:val="16"/>
      <w:szCs w:val="16"/>
    </w:rPr>
  </w:style>
  <w:style w:type="character" w:customStyle="1" w:styleId="apple-converted-space">
    <w:name w:val="apple-converted-space"/>
    <w:rsid w:val="00EA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2017-01-04T14:57:00Z</dcterms:created>
  <dcterms:modified xsi:type="dcterms:W3CDTF">2017-01-04T15:00:00Z</dcterms:modified>
</cp:coreProperties>
</file>