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24335" w:rsidRDefault="00424335" w:rsidP="00424335">
      <w:pPr>
        <w:spacing w:after="0" w:line="240" w:lineRule="auto"/>
        <w:jc w:val="center"/>
        <w:outlineLvl w:val="0"/>
        <w:rPr>
          <w:rFonts w:ascii="Times New Roman" w:hAnsi="Times New Roman"/>
          <w:sz w:val="28"/>
        </w:rPr>
      </w:pPr>
      <w:r>
        <w:rPr>
          <w:rFonts w:ascii="Times New Roman" w:hAnsi="Times New Roman"/>
          <w:sz w:val="28"/>
        </w:rPr>
        <w:t xml:space="preserve">PRODUCTION OF BIOGAS THROUGH ANAEROBIC DIGESTION OF </w:t>
      </w:r>
      <w:r w:rsidRPr="005752F0">
        <w:rPr>
          <w:rFonts w:ascii="Times New Roman" w:hAnsi="Times New Roman"/>
          <w:i/>
          <w:sz w:val="28"/>
        </w:rPr>
        <w:t>Cabomba furcata</w:t>
      </w:r>
      <w:r>
        <w:rPr>
          <w:rFonts w:ascii="Times New Roman" w:hAnsi="Times New Roman"/>
          <w:sz w:val="28"/>
        </w:rPr>
        <w:t xml:space="preserve"> IN DIGESTER BATCH SYSTEM</w:t>
      </w:r>
    </w:p>
    <w:p w:rsidR="00424335" w:rsidRPr="00424335" w:rsidRDefault="00424335" w:rsidP="00424335">
      <w:pPr>
        <w:spacing w:after="0" w:line="240" w:lineRule="auto"/>
        <w:jc w:val="center"/>
        <w:outlineLvl w:val="0"/>
        <w:rPr>
          <w:rFonts w:ascii="Times New Roman" w:hAnsi="Times New Roman"/>
          <w:sz w:val="24"/>
          <w:szCs w:val="24"/>
        </w:rPr>
      </w:pPr>
    </w:p>
    <w:p w:rsidR="00424335" w:rsidRPr="00424335" w:rsidRDefault="00424335" w:rsidP="00424335">
      <w:pPr>
        <w:spacing w:after="0" w:line="240" w:lineRule="auto"/>
        <w:jc w:val="center"/>
        <w:outlineLvl w:val="0"/>
        <w:rPr>
          <w:rFonts w:ascii="Times New Roman" w:hAnsi="Times New Roman"/>
          <w:i/>
          <w:sz w:val="24"/>
          <w:szCs w:val="24"/>
        </w:rPr>
      </w:pPr>
      <w:r>
        <w:rPr>
          <w:rFonts w:ascii="Times New Roman" w:hAnsi="Times New Roman"/>
          <w:sz w:val="24"/>
        </w:rPr>
        <w:t xml:space="preserve">(Penghasilan Biogas Melalui Pencernaan Anaerobik daripada </w:t>
      </w:r>
      <w:r w:rsidR="0007650B">
        <w:rPr>
          <w:rFonts w:ascii="Times New Roman" w:hAnsi="Times New Roman"/>
          <w:i/>
          <w:sz w:val="24"/>
          <w:szCs w:val="24"/>
        </w:rPr>
        <w:t>Cabomba f</w:t>
      </w:r>
      <w:r w:rsidRPr="005752F0">
        <w:rPr>
          <w:rFonts w:ascii="Times New Roman" w:hAnsi="Times New Roman"/>
          <w:i/>
          <w:sz w:val="24"/>
          <w:szCs w:val="24"/>
        </w:rPr>
        <w:t>urcata</w:t>
      </w:r>
      <w:r>
        <w:rPr>
          <w:rFonts w:ascii="Times New Roman" w:hAnsi="Times New Roman"/>
          <w:i/>
          <w:sz w:val="24"/>
          <w:szCs w:val="24"/>
        </w:rPr>
        <w:t xml:space="preserve"> </w:t>
      </w:r>
      <w:r>
        <w:rPr>
          <w:rFonts w:ascii="Times New Roman" w:hAnsi="Times New Roman"/>
          <w:sz w:val="24"/>
          <w:szCs w:val="24"/>
        </w:rPr>
        <w:t>di dalam Sistem Penghadam Kelompok)</w:t>
      </w:r>
    </w:p>
    <w:p w:rsidR="00424335" w:rsidRPr="00424335" w:rsidRDefault="00424335" w:rsidP="00424335">
      <w:pPr>
        <w:spacing w:after="0" w:line="240" w:lineRule="auto"/>
        <w:jc w:val="center"/>
        <w:outlineLvl w:val="0"/>
        <w:rPr>
          <w:rFonts w:ascii="Times New Roman" w:hAnsi="Times New Roman"/>
          <w:sz w:val="20"/>
          <w:szCs w:val="20"/>
        </w:rPr>
      </w:pPr>
    </w:p>
    <w:p w:rsidR="00424335" w:rsidRPr="00424335" w:rsidRDefault="00424335" w:rsidP="00424335">
      <w:pPr>
        <w:spacing w:after="0" w:line="240" w:lineRule="auto"/>
        <w:jc w:val="center"/>
        <w:rPr>
          <w:rFonts w:ascii="Times New Roman" w:hAnsi="Times New Roman"/>
          <w:sz w:val="20"/>
          <w:szCs w:val="20"/>
        </w:rPr>
      </w:pPr>
      <w:r w:rsidRPr="00424335">
        <w:rPr>
          <w:rFonts w:ascii="Times New Roman" w:hAnsi="Times New Roman"/>
          <w:sz w:val="20"/>
          <w:szCs w:val="20"/>
        </w:rPr>
        <w:t>Siti Afifah Muda</w:t>
      </w:r>
      <w:r w:rsidRPr="00424335">
        <w:rPr>
          <w:rFonts w:ascii="Times New Roman" w:hAnsi="Times New Roman"/>
          <w:sz w:val="20"/>
          <w:szCs w:val="20"/>
          <w:vertAlign w:val="superscript"/>
        </w:rPr>
        <w:t>1,3</w:t>
      </w:r>
      <w:r w:rsidRPr="00424335">
        <w:rPr>
          <w:rFonts w:ascii="Times New Roman" w:hAnsi="Times New Roman"/>
          <w:sz w:val="20"/>
          <w:szCs w:val="20"/>
        </w:rPr>
        <w:t>*, Omar Syah Jehan Elham</w:t>
      </w:r>
      <w:r w:rsidRPr="00424335">
        <w:rPr>
          <w:rFonts w:ascii="Times New Roman" w:hAnsi="Times New Roman"/>
          <w:sz w:val="20"/>
          <w:szCs w:val="20"/>
          <w:vertAlign w:val="superscript"/>
        </w:rPr>
        <w:t>2,3</w:t>
      </w:r>
      <w:r w:rsidRPr="00424335">
        <w:rPr>
          <w:rFonts w:ascii="Times New Roman" w:hAnsi="Times New Roman"/>
          <w:sz w:val="20"/>
          <w:szCs w:val="20"/>
        </w:rPr>
        <w:t>, Hassimi Abu Hasan</w:t>
      </w:r>
      <w:r w:rsidRPr="00424335">
        <w:rPr>
          <w:rFonts w:ascii="Times New Roman" w:hAnsi="Times New Roman"/>
          <w:sz w:val="20"/>
          <w:szCs w:val="20"/>
          <w:vertAlign w:val="superscript"/>
        </w:rPr>
        <w:t>3</w:t>
      </w:r>
      <w:r w:rsidRPr="00424335">
        <w:rPr>
          <w:rFonts w:ascii="Times New Roman" w:hAnsi="Times New Roman"/>
          <w:sz w:val="20"/>
          <w:szCs w:val="20"/>
        </w:rPr>
        <w:t>,</w:t>
      </w:r>
      <w:r w:rsidRPr="00424335">
        <w:rPr>
          <w:rFonts w:ascii="Times New Roman" w:hAnsi="Times New Roman"/>
          <w:sz w:val="20"/>
          <w:szCs w:val="20"/>
          <w:vertAlign w:val="superscript"/>
        </w:rPr>
        <w:t xml:space="preserve"> </w:t>
      </w:r>
      <w:r w:rsidRPr="00424335">
        <w:rPr>
          <w:rFonts w:ascii="Times New Roman" w:hAnsi="Times New Roman"/>
          <w:sz w:val="20"/>
          <w:szCs w:val="20"/>
        </w:rPr>
        <w:t>Siti Rozaimah Sheikh Abdullah</w:t>
      </w:r>
      <w:r w:rsidRPr="00424335">
        <w:rPr>
          <w:rFonts w:ascii="Times New Roman" w:hAnsi="Times New Roman"/>
          <w:sz w:val="20"/>
          <w:szCs w:val="20"/>
          <w:vertAlign w:val="superscript"/>
        </w:rPr>
        <w:t>3</w:t>
      </w:r>
    </w:p>
    <w:p w:rsidR="006768E9" w:rsidRPr="00F447A7" w:rsidRDefault="006768E9" w:rsidP="00424335">
      <w:pPr>
        <w:spacing w:after="0" w:line="240" w:lineRule="auto"/>
        <w:jc w:val="center"/>
        <w:rPr>
          <w:rFonts w:ascii="Times New Roman" w:hAnsi="Times New Roman"/>
          <w:noProof/>
          <w:sz w:val="18"/>
          <w:szCs w:val="18"/>
          <w:lang w:bidi="ar-SA"/>
        </w:rPr>
      </w:pPr>
    </w:p>
    <w:p w:rsidR="00424335" w:rsidRPr="00B4262A" w:rsidRDefault="00424335" w:rsidP="00424335">
      <w:pPr>
        <w:spacing w:after="0" w:line="240" w:lineRule="auto"/>
        <w:jc w:val="center"/>
        <w:rPr>
          <w:rFonts w:ascii="Times New Roman" w:hAnsi="Times New Roman"/>
          <w:i/>
          <w:color w:val="000000"/>
          <w:sz w:val="18"/>
          <w:szCs w:val="18"/>
        </w:rPr>
      </w:pPr>
      <w:r w:rsidRPr="00B4262A">
        <w:rPr>
          <w:rFonts w:ascii="Times New Roman" w:hAnsi="Times New Roman"/>
          <w:i/>
          <w:color w:val="000000"/>
          <w:sz w:val="18"/>
          <w:szCs w:val="18"/>
          <w:vertAlign w:val="superscript"/>
        </w:rPr>
        <w:t>1</w:t>
      </w:r>
      <w:r w:rsidRPr="00B4262A">
        <w:rPr>
          <w:rFonts w:ascii="Times New Roman" w:hAnsi="Times New Roman"/>
          <w:i/>
          <w:color w:val="000000"/>
          <w:sz w:val="18"/>
          <w:szCs w:val="18"/>
        </w:rPr>
        <w:t xml:space="preserve">Section of Process, Chemical Engineering Technology, </w:t>
      </w:r>
    </w:p>
    <w:p w:rsidR="00424335" w:rsidRPr="00B4262A" w:rsidRDefault="00424335" w:rsidP="00424335">
      <w:pPr>
        <w:spacing w:after="0" w:line="240" w:lineRule="auto"/>
        <w:jc w:val="center"/>
        <w:rPr>
          <w:rFonts w:ascii="Times New Roman" w:hAnsi="Times New Roman"/>
          <w:i/>
          <w:color w:val="000000"/>
          <w:sz w:val="18"/>
          <w:szCs w:val="18"/>
        </w:rPr>
      </w:pPr>
      <w:r w:rsidRPr="00B4262A">
        <w:rPr>
          <w:rFonts w:ascii="Times New Roman" w:hAnsi="Times New Roman"/>
          <w:i/>
          <w:color w:val="000000"/>
          <w:sz w:val="18"/>
          <w:szCs w:val="18"/>
        </w:rPr>
        <w:t xml:space="preserve">Universiti Kuala Lumpur-Malaysian Institute of Chemical &amp; Bioengineering Technology (UniKL-MICET), </w:t>
      </w:r>
    </w:p>
    <w:p w:rsidR="00424335" w:rsidRPr="00B4262A" w:rsidRDefault="00424335" w:rsidP="00424335">
      <w:pPr>
        <w:spacing w:after="0" w:line="240" w:lineRule="auto"/>
        <w:jc w:val="center"/>
        <w:rPr>
          <w:rFonts w:ascii="Times New Roman" w:hAnsi="Times New Roman"/>
          <w:i/>
          <w:color w:val="000000"/>
          <w:sz w:val="18"/>
          <w:szCs w:val="18"/>
        </w:rPr>
      </w:pPr>
      <w:r w:rsidRPr="00B4262A">
        <w:rPr>
          <w:rFonts w:ascii="Times New Roman" w:hAnsi="Times New Roman"/>
          <w:i/>
          <w:color w:val="000000"/>
          <w:sz w:val="18"/>
          <w:szCs w:val="18"/>
        </w:rPr>
        <w:t>Lot 1988 Bandar Vendor Taboh Naning, 78000 Alor Gajah, Melaka, Malaysia</w:t>
      </w:r>
    </w:p>
    <w:p w:rsidR="00424335" w:rsidRDefault="00424335" w:rsidP="00424335">
      <w:pPr>
        <w:spacing w:after="0" w:line="240" w:lineRule="auto"/>
        <w:jc w:val="center"/>
        <w:rPr>
          <w:rFonts w:ascii="Times New Roman" w:hAnsi="Times New Roman"/>
          <w:i/>
          <w:color w:val="000000"/>
          <w:sz w:val="18"/>
          <w:szCs w:val="18"/>
        </w:rPr>
      </w:pPr>
      <w:r w:rsidRPr="00B4262A">
        <w:rPr>
          <w:rFonts w:ascii="Times New Roman" w:hAnsi="Times New Roman"/>
          <w:i/>
          <w:color w:val="000000"/>
          <w:sz w:val="18"/>
          <w:szCs w:val="18"/>
          <w:vertAlign w:val="superscript"/>
        </w:rPr>
        <w:t>2</w:t>
      </w:r>
      <w:r w:rsidRPr="00B4262A">
        <w:rPr>
          <w:rFonts w:ascii="Times New Roman" w:hAnsi="Times New Roman"/>
          <w:i/>
          <w:color w:val="000000"/>
          <w:sz w:val="18"/>
          <w:szCs w:val="18"/>
        </w:rPr>
        <w:t xml:space="preserve">Faculty of Chemical Engineering, </w:t>
      </w:r>
    </w:p>
    <w:p w:rsidR="00424335" w:rsidRPr="00B4262A" w:rsidRDefault="00424335" w:rsidP="00424335">
      <w:pPr>
        <w:spacing w:after="0" w:line="240" w:lineRule="auto"/>
        <w:jc w:val="center"/>
        <w:rPr>
          <w:rFonts w:ascii="Times New Roman" w:hAnsi="Times New Roman"/>
          <w:i/>
          <w:color w:val="000000"/>
          <w:sz w:val="18"/>
          <w:szCs w:val="18"/>
        </w:rPr>
      </w:pPr>
      <w:r w:rsidRPr="00B4262A">
        <w:rPr>
          <w:rFonts w:ascii="Times New Roman" w:hAnsi="Times New Roman"/>
          <w:i/>
          <w:color w:val="000000"/>
          <w:sz w:val="18"/>
          <w:szCs w:val="18"/>
        </w:rPr>
        <w:t xml:space="preserve">Universiti Teknologi MARA, Cawangan Johor, Kampus Pasir Gudang, </w:t>
      </w:r>
      <w:r>
        <w:rPr>
          <w:rFonts w:ascii="Times New Roman" w:hAnsi="Times New Roman"/>
          <w:i/>
          <w:color w:val="000000"/>
          <w:sz w:val="18"/>
          <w:szCs w:val="18"/>
        </w:rPr>
        <w:t>81750 Masai, Johor</w:t>
      </w:r>
      <w:r w:rsidRPr="00B4262A">
        <w:rPr>
          <w:rFonts w:ascii="Times New Roman" w:hAnsi="Times New Roman"/>
          <w:i/>
          <w:color w:val="000000"/>
          <w:sz w:val="18"/>
          <w:szCs w:val="18"/>
        </w:rPr>
        <w:t>, Malaysia</w:t>
      </w:r>
    </w:p>
    <w:p w:rsidR="00424335" w:rsidRPr="00B4262A" w:rsidRDefault="00424335" w:rsidP="00424335">
      <w:pPr>
        <w:spacing w:after="0" w:line="240" w:lineRule="auto"/>
        <w:jc w:val="center"/>
        <w:rPr>
          <w:rFonts w:ascii="Times New Roman" w:hAnsi="Times New Roman"/>
          <w:i/>
          <w:color w:val="000000"/>
          <w:sz w:val="18"/>
          <w:szCs w:val="18"/>
        </w:rPr>
      </w:pPr>
      <w:r w:rsidRPr="00B4262A">
        <w:rPr>
          <w:rFonts w:ascii="Times New Roman" w:hAnsi="Times New Roman"/>
          <w:i/>
          <w:color w:val="000000"/>
          <w:sz w:val="18"/>
          <w:szCs w:val="18"/>
          <w:vertAlign w:val="superscript"/>
        </w:rPr>
        <w:t>3</w:t>
      </w:r>
      <w:r w:rsidRPr="00B4262A">
        <w:rPr>
          <w:rFonts w:ascii="Times New Roman" w:hAnsi="Times New Roman"/>
          <w:i/>
          <w:color w:val="000000"/>
          <w:sz w:val="18"/>
          <w:szCs w:val="18"/>
        </w:rPr>
        <w:t xml:space="preserve">Department of Chemical and Process Engineering, Faculty of Engineering and Built Environment, </w:t>
      </w:r>
    </w:p>
    <w:p w:rsidR="006768E9" w:rsidRPr="00F447A7" w:rsidRDefault="00424335" w:rsidP="00424335">
      <w:pPr>
        <w:spacing w:after="0" w:line="240" w:lineRule="auto"/>
        <w:jc w:val="center"/>
        <w:rPr>
          <w:rFonts w:ascii="Times New Roman" w:hAnsi="Times New Roman"/>
          <w:noProof/>
          <w:sz w:val="18"/>
          <w:szCs w:val="18"/>
          <w:lang w:bidi="ar-SA"/>
        </w:rPr>
      </w:pPr>
      <w:r w:rsidRPr="00B4262A">
        <w:rPr>
          <w:rFonts w:ascii="Times New Roman" w:hAnsi="Times New Roman"/>
          <w:i/>
          <w:color w:val="000000"/>
          <w:sz w:val="18"/>
          <w:szCs w:val="18"/>
        </w:rPr>
        <w:t>Universiti Kebangsaan Malaysia, 43600</w:t>
      </w:r>
      <w:r>
        <w:rPr>
          <w:rFonts w:ascii="Times New Roman" w:hAnsi="Times New Roman"/>
          <w:i/>
          <w:color w:val="000000"/>
          <w:sz w:val="18"/>
          <w:szCs w:val="18"/>
        </w:rPr>
        <w:t xml:space="preserve"> UKM Bangi, Selangor</w:t>
      </w:r>
      <w:r w:rsidRPr="00B4262A">
        <w:rPr>
          <w:rFonts w:ascii="Times New Roman" w:hAnsi="Times New Roman"/>
          <w:i/>
          <w:color w:val="000000"/>
          <w:sz w:val="18"/>
          <w:szCs w:val="18"/>
        </w:rPr>
        <w:t xml:space="preserve">, Malaysia  </w:t>
      </w:r>
    </w:p>
    <w:p w:rsidR="00424335" w:rsidRDefault="00424335" w:rsidP="00F447A7">
      <w:pPr>
        <w:spacing w:after="0" w:line="240" w:lineRule="auto"/>
        <w:jc w:val="center"/>
        <w:rPr>
          <w:rFonts w:ascii="Times New Roman" w:hAnsi="Times New Roman"/>
          <w:i/>
          <w:noProof/>
          <w:sz w:val="18"/>
          <w:szCs w:val="18"/>
          <w:lang w:bidi="ar-SA"/>
        </w:rPr>
      </w:pPr>
    </w:p>
    <w:p w:rsidR="006768E9" w:rsidRPr="00F447A7" w:rsidRDefault="006768E9" w:rsidP="0042433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24335" w:rsidRPr="00B4262A">
        <w:rPr>
          <w:rFonts w:ascii="Times New Roman" w:hAnsi="Times New Roman"/>
          <w:i/>
          <w:sz w:val="18"/>
        </w:rPr>
        <w:t>sitiafifahm@unikl.edu.my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A79EA">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EA79EA">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24335" w:rsidRPr="00B4262A" w:rsidRDefault="00424335" w:rsidP="00424335">
      <w:pPr>
        <w:spacing w:after="0" w:line="240" w:lineRule="auto"/>
        <w:jc w:val="both"/>
        <w:outlineLvl w:val="0"/>
        <w:rPr>
          <w:rFonts w:ascii="Times New Roman" w:hAnsi="Times New Roman"/>
          <w:b/>
          <w:sz w:val="18"/>
          <w:szCs w:val="18"/>
        </w:rPr>
      </w:pPr>
      <w:r w:rsidRPr="00B4262A">
        <w:rPr>
          <w:rFonts w:ascii="Times New Roman" w:hAnsi="Times New Roman"/>
          <w:sz w:val="18"/>
          <w:szCs w:val="18"/>
        </w:rPr>
        <w:t xml:space="preserve">Biogas is produced from decomposition of organic waste such as sewage sludge, animal manure, and municipality solid wastes by microorganisms in anaerobic conditions. Biogas, which consist mainly of methane is a renewable energy source. It can be used for heating, power generation or upgrading to natural gas quality. In this study, the anaerobic treatability and biogas generation potential of </w:t>
      </w:r>
      <w:r>
        <w:rPr>
          <w:rFonts w:ascii="Times New Roman" w:hAnsi="Times New Roman"/>
          <w:i/>
          <w:sz w:val="18"/>
          <w:szCs w:val="18"/>
        </w:rPr>
        <w:t xml:space="preserve">Cabomba </w:t>
      </w:r>
      <w:r w:rsidRPr="00B4262A">
        <w:rPr>
          <w:rFonts w:ascii="Times New Roman" w:hAnsi="Times New Roman"/>
          <w:i/>
          <w:sz w:val="18"/>
          <w:szCs w:val="18"/>
        </w:rPr>
        <w:t xml:space="preserve">furcata </w:t>
      </w:r>
      <w:r w:rsidRPr="00B866BC">
        <w:rPr>
          <w:rFonts w:ascii="Times New Roman" w:hAnsi="Times New Roman"/>
          <w:sz w:val="18"/>
          <w:szCs w:val="18"/>
        </w:rPr>
        <w:t>(</w:t>
      </w:r>
      <w:r w:rsidRPr="00B866BC">
        <w:rPr>
          <w:rFonts w:ascii="Times New Roman" w:hAnsi="Times New Roman"/>
          <w:i/>
          <w:sz w:val="18"/>
          <w:szCs w:val="18"/>
        </w:rPr>
        <w:t>C. furcata</w:t>
      </w:r>
      <w:r w:rsidRPr="00B866BC">
        <w:rPr>
          <w:rFonts w:ascii="Times New Roman" w:hAnsi="Times New Roman"/>
          <w:sz w:val="18"/>
          <w:szCs w:val="18"/>
        </w:rPr>
        <w:t>)</w:t>
      </w:r>
      <w:r>
        <w:rPr>
          <w:rFonts w:ascii="Times New Roman" w:hAnsi="Times New Roman"/>
          <w:i/>
          <w:sz w:val="18"/>
          <w:szCs w:val="18"/>
        </w:rPr>
        <w:t xml:space="preserve"> </w:t>
      </w:r>
      <w:r w:rsidRPr="00B4262A">
        <w:rPr>
          <w:rFonts w:ascii="Times New Roman" w:hAnsi="Times New Roman"/>
          <w:sz w:val="18"/>
          <w:szCs w:val="18"/>
        </w:rPr>
        <w:t xml:space="preserve">were examined in batch digesters. </w:t>
      </w:r>
      <w:r w:rsidRPr="00B4262A">
        <w:rPr>
          <w:rFonts w:ascii="Times New Roman" w:hAnsi="Times New Roman"/>
          <w:i/>
          <w:sz w:val="18"/>
          <w:szCs w:val="18"/>
        </w:rPr>
        <w:t xml:space="preserve">C. </w:t>
      </w:r>
      <w:r>
        <w:rPr>
          <w:rFonts w:ascii="Times New Roman" w:hAnsi="Times New Roman"/>
          <w:i/>
          <w:sz w:val="18"/>
          <w:szCs w:val="18"/>
        </w:rPr>
        <w:t>furcata</w:t>
      </w:r>
      <w:r w:rsidRPr="00B4262A">
        <w:rPr>
          <w:rFonts w:ascii="Times New Roman" w:hAnsi="Times New Roman"/>
          <w:sz w:val="18"/>
          <w:szCs w:val="18"/>
        </w:rPr>
        <w:t xml:space="preserve"> </w:t>
      </w:r>
      <w:r>
        <w:rPr>
          <w:rFonts w:ascii="Times New Roman" w:hAnsi="Times New Roman"/>
          <w:sz w:val="18"/>
          <w:szCs w:val="18"/>
        </w:rPr>
        <w:t xml:space="preserve">collected from </w:t>
      </w:r>
      <w:r w:rsidRPr="00B4262A">
        <w:rPr>
          <w:rFonts w:ascii="Times New Roman" w:hAnsi="Times New Roman"/>
          <w:sz w:val="18"/>
          <w:szCs w:val="18"/>
        </w:rPr>
        <w:t>Chini</w:t>
      </w:r>
      <w:r>
        <w:rPr>
          <w:rFonts w:ascii="Times New Roman" w:hAnsi="Times New Roman"/>
          <w:sz w:val="18"/>
          <w:szCs w:val="18"/>
        </w:rPr>
        <w:t xml:space="preserve"> Lake</w:t>
      </w:r>
      <w:r w:rsidRPr="00B4262A">
        <w:rPr>
          <w:rFonts w:ascii="Times New Roman" w:hAnsi="Times New Roman"/>
          <w:sz w:val="18"/>
          <w:szCs w:val="18"/>
        </w:rPr>
        <w:t xml:space="preserve">, Pahang was utilized as a substrate in biogas </w:t>
      </w:r>
      <w:r>
        <w:rPr>
          <w:rFonts w:ascii="Times New Roman" w:hAnsi="Times New Roman"/>
          <w:sz w:val="18"/>
          <w:szCs w:val="18"/>
        </w:rPr>
        <w:t xml:space="preserve"> </w:t>
      </w:r>
      <w:r w:rsidRPr="00B4262A">
        <w:rPr>
          <w:rFonts w:ascii="Times New Roman" w:hAnsi="Times New Roman"/>
          <w:sz w:val="18"/>
          <w:szCs w:val="18"/>
        </w:rPr>
        <w:t xml:space="preserve">production. </w:t>
      </w:r>
      <w:r>
        <w:rPr>
          <w:rFonts w:ascii="Times New Roman" w:hAnsi="Times New Roman"/>
          <w:sz w:val="18"/>
          <w:szCs w:val="18"/>
        </w:rPr>
        <w:t xml:space="preserve"> </w:t>
      </w:r>
      <w:r w:rsidRPr="00B4262A">
        <w:rPr>
          <w:rFonts w:ascii="Times New Roman" w:hAnsi="Times New Roman"/>
          <w:sz w:val="18"/>
          <w:szCs w:val="18"/>
        </w:rPr>
        <w:t xml:space="preserve">Slurry samples of </w:t>
      </w:r>
      <w:r w:rsidRPr="00B4262A">
        <w:rPr>
          <w:rFonts w:ascii="Times New Roman" w:hAnsi="Times New Roman"/>
          <w:i/>
          <w:sz w:val="18"/>
          <w:szCs w:val="18"/>
        </w:rPr>
        <w:t>C. furcata</w:t>
      </w:r>
      <w:r w:rsidRPr="00B4262A">
        <w:rPr>
          <w:rFonts w:ascii="Times New Roman" w:hAnsi="Times New Roman"/>
          <w:sz w:val="18"/>
          <w:szCs w:val="18"/>
        </w:rPr>
        <w:t xml:space="preserve"> were prepared in 2 different mixture i.e., </w:t>
      </w:r>
      <w:r w:rsidRPr="00B4262A">
        <w:rPr>
          <w:rFonts w:ascii="Times New Roman" w:hAnsi="Times New Roman"/>
          <w:i/>
          <w:sz w:val="18"/>
          <w:szCs w:val="18"/>
        </w:rPr>
        <w:t>C. furcata</w:t>
      </w:r>
      <w:r w:rsidRPr="00B4262A">
        <w:rPr>
          <w:rFonts w:ascii="Times New Roman" w:hAnsi="Times New Roman"/>
          <w:sz w:val="18"/>
          <w:szCs w:val="18"/>
        </w:rPr>
        <w:t xml:space="preserve">/water ratio (1:1, 1:2 and 1:3) and </w:t>
      </w:r>
      <w:r w:rsidRPr="00B4262A">
        <w:rPr>
          <w:rFonts w:ascii="Times New Roman" w:hAnsi="Times New Roman"/>
          <w:i/>
          <w:sz w:val="18"/>
          <w:szCs w:val="18"/>
        </w:rPr>
        <w:t>C. furcata</w:t>
      </w:r>
      <w:r w:rsidRPr="00B4262A">
        <w:rPr>
          <w:rFonts w:ascii="Times New Roman" w:hAnsi="Times New Roman"/>
          <w:sz w:val="18"/>
          <w:szCs w:val="18"/>
        </w:rPr>
        <w:t>/inoculums ratio (1:1, 1:2 and 1:3). Throughout the experiment, the pH range was 5.5 to 7.0 while temperature range was 25 to 30</w:t>
      </w:r>
      <w:r>
        <w:rPr>
          <w:rFonts w:ascii="Times New Roman" w:hAnsi="Times New Roman"/>
          <w:sz w:val="18"/>
          <w:szCs w:val="18"/>
        </w:rPr>
        <w:t xml:space="preserve"> </w:t>
      </w:r>
      <w:r w:rsidRPr="00B4262A">
        <w:rPr>
          <w:rFonts w:ascii="Times New Roman" w:hAnsi="Times New Roman"/>
          <w:sz w:val="18"/>
          <w:szCs w:val="18"/>
        </w:rPr>
        <w:t xml:space="preserve">°C to enable anaerobic digestion in mesophilic condition for a retention time of 28 days. </w:t>
      </w:r>
      <w:r>
        <w:rPr>
          <w:rFonts w:ascii="Times New Roman" w:hAnsi="Times New Roman"/>
          <w:sz w:val="18"/>
          <w:szCs w:val="18"/>
        </w:rPr>
        <w:t xml:space="preserve"> </w:t>
      </w:r>
      <w:r w:rsidRPr="00B4262A">
        <w:rPr>
          <w:rFonts w:ascii="Times New Roman" w:hAnsi="Times New Roman"/>
          <w:sz w:val="18"/>
          <w:szCs w:val="18"/>
        </w:rPr>
        <w:t xml:space="preserve">The results showed that the maximum </w:t>
      </w:r>
      <w:r>
        <w:rPr>
          <w:rFonts w:ascii="Times New Roman" w:hAnsi="Times New Roman"/>
          <w:sz w:val="18"/>
          <w:szCs w:val="18"/>
        </w:rPr>
        <w:t xml:space="preserve"> </w:t>
      </w:r>
      <w:r w:rsidRPr="00B4262A">
        <w:rPr>
          <w:rFonts w:ascii="Times New Roman" w:hAnsi="Times New Roman"/>
          <w:sz w:val="18"/>
          <w:szCs w:val="18"/>
        </w:rPr>
        <w:t xml:space="preserve">methane production achieved at ratio of 1:3 for both mixture </w:t>
      </w:r>
      <w:r w:rsidRPr="00B4262A">
        <w:rPr>
          <w:rFonts w:ascii="Times New Roman" w:hAnsi="Times New Roman"/>
          <w:i/>
          <w:sz w:val="18"/>
          <w:szCs w:val="18"/>
        </w:rPr>
        <w:t>C. furcata</w:t>
      </w:r>
      <w:r w:rsidRPr="00B4262A">
        <w:rPr>
          <w:rFonts w:ascii="Times New Roman" w:hAnsi="Times New Roman"/>
          <w:sz w:val="18"/>
          <w:szCs w:val="18"/>
        </w:rPr>
        <w:t xml:space="preserve">/water and </w:t>
      </w:r>
      <w:r w:rsidRPr="00B4262A">
        <w:rPr>
          <w:rFonts w:ascii="Times New Roman" w:hAnsi="Times New Roman"/>
          <w:i/>
          <w:sz w:val="18"/>
          <w:szCs w:val="18"/>
        </w:rPr>
        <w:t>C. furcata</w:t>
      </w:r>
      <w:r w:rsidRPr="00B4262A">
        <w:rPr>
          <w:rFonts w:ascii="Times New Roman" w:hAnsi="Times New Roman"/>
          <w:sz w:val="18"/>
          <w:szCs w:val="18"/>
        </w:rPr>
        <w:t xml:space="preserve">/inoculums with production percentages up to 1.1 and 11.9%, respectively. Moreover, the result indicated that the production of methane increased as the retention time increased. Therefore, native plant of </w:t>
      </w:r>
      <w:r w:rsidRPr="00B4262A">
        <w:rPr>
          <w:rFonts w:ascii="Times New Roman" w:hAnsi="Times New Roman"/>
          <w:i/>
          <w:sz w:val="18"/>
          <w:szCs w:val="18"/>
        </w:rPr>
        <w:t>C. furcata</w:t>
      </w:r>
      <w:r w:rsidRPr="00B4262A">
        <w:rPr>
          <w:rFonts w:ascii="Times New Roman" w:hAnsi="Times New Roman"/>
          <w:sz w:val="18"/>
          <w:szCs w:val="18"/>
        </w:rPr>
        <w:t xml:space="preserve"> is a great potential as a substrate in the production of biogas for future renewable energy.</w:t>
      </w:r>
    </w:p>
    <w:p w:rsidR="00424335" w:rsidRPr="00B4262A" w:rsidRDefault="00424335" w:rsidP="00424335">
      <w:pPr>
        <w:spacing w:after="0" w:line="240" w:lineRule="auto"/>
        <w:jc w:val="both"/>
        <w:rPr>
          <w:sz w:val="18"/>
          <w:szCs w:val="18"/>
        </w:rPr>
      </w:pPr>
    </w:p>
    <w:p w:rsidR="00424335" w:rsidRPr="00B4262A" w:rsidRDefault="00424335" w:rsidP="00424335">
      <w:pPr>
        <w:spacing w:after="0" w:line="240" w:lineRule="auto"/>
        <w:jc w:val="both"/>
        <w:rPr>
          <w:rFonts w:ascii="Times New Roman" w:hAnsi="Times New Roman"/>
          <w:sz w:val="18"/>
          <w:szCs w:val="18"/>
        </w:rPr>
      </w:pPr>
      <w:r w:rsidRPr="00B4262A">
        <w:rPr>
          <w:rFonts w:ascii="Times New Roman" w:hAnsi="Times New Roman"/>
          <w:b/>
          <w:sz w:val="18"/>
          <w:szCs w:val="18"/>
        </w:rPr>
        <w:t>Keywords</w:t>
      </w:r>
      <w:r w:rsidRPr="00B4262A">
        <w:rPr>
          <w:rFonts w:ascii="Times New Roman" w:hAnsi="Times New Roman"/>
          <w:sz w:val="18"/>
          <w:szCs w:val="18"/>
        </w:rPr>
        <w:t xml:space="preserve">: </w:t>
      </w:r>
      <w:r>
        <w:rPr>
          <w:rFonts w:ascii="Times New Roman" w:hAnsi="Times New Roman"/>
          <w:sz w:val="18"/>
          <w:szCs w:val="18"/>
        </w:rPr>
        <w:t xml:space="preserve"> </w:t>
      </w:r>
      <w:r w:rsidRPr="00B4262A">
        <w:rPr>
          <w:rFonts w:ascii="Times New Roman" w:hAnsi="Times New Roman"/>
          <w:i/>
          <w:sz w:val="18"/>
          <w:szCs w:val="18"/>
        </w:rPr>
        <w:t>Cabomba furcata</w:t>
      </w:r>
      <w:r w:rsidRPr="00B4262A">
        <w:rPr>
          <w:rFonts w:ascii="Times New Roman" w:hAnsi="Times New Roman"/>
          <w:sz w:val="18"/>
          <w:szCs w:val="18"/>
        </w:rPr>
        <w:t>, methane production, anaerobic digestion, renewable energy</w:t>
      </w:r>
    </w:p>
    <w:p w:rsidR="00424335" w:rsidRPr="00001D81" w:rsidRDefault="00424335" w:rsidP="00424335">
      <w:pPr>
        <w:spacing w:after="0" w:line="240" w:lineRule="auto"/>
        <w:jc w:val="center"/>
        <w:outlineLvl w:val="0"/>
        <w:rPr>
          <w:rFonts w:ascii="Times New Roman" w:hAnsi="Times New Roman"/>
          <w:b/>
          <w:color w:val="548DD4" w:themeColor="text2" w:themeTint="99"/>
        </w:rPr>
      </w:pPr>
    </w:p>
    <w:p w:rsidR="00424335" w:rsidRPr="00B866BC" w:rsidRDefault="00424335" w:rsidP="00424335">
      <w:pPr>
        <w:spacing w:after="0" w:line="240" w:lineRule="auto"/>
        <w:jc w:val="center"/>
        <w:outlineLvl w:val="0"/>
        <w:rPr>
          <w:rFonts w:ascii="Times New Roman" w:hAnsi="Times New Roman"/>
          <w:b/>
          <w:noProof/>
          <w:sz w:val="18"/>
        </w:rPr>
      </w:pPr>
      <w:r w:rsidRPr="00B866BC">
        <w:rPr>
          <w:rFonts w:ascii="Times New Roman" w:hAnsi="Times New Roman"/>
          <w:b/>
          <w:noProof/>
          <w:sz w:val="18"/>
        </w:rPr>
        <w:t>Abstrak</w:t>
      </w:r>
    </w:p>
    <w:p w:rsidR="00424335" w:rsidRPr="00B866BC" w:rsidRDefault="00424335" w:rsidP="00424335">
      <w:pPr>
        <w:spacing w:after="0" w:line="240" w:lineRule="auto"/>
        <w:jc w:val="both"/>
        <w:rPr>
          <w:rFonts w:ascii="Times New Roman" w:hAnsi="Times New Roman"/>
          <w:noProof/>
          <w:sz w:val="18"/>
          <w:szCs w:val="20"/>
        </w:rPr>
      </w:pPr>
      <w:r w:rsidRPr="00B866BC">
        <w:rPr>
          <w:rFonts w:ascii="Times New Roman" w:hAnsi="Times New Roman"/>
          <w:noProof/>
          <w:sz w:val="18"/>
          <w:szCs w:val="20"/>
        </w:rPr>
        <w:t>Biogas terhasil daripada penguraian sisa organik seperti kumbuhan enapcemar, baja haiwan dan sisa pepejal perbandaran oleh mikroorganisma dalam keadaan anaerobik. Biogas terdiri daripada metana sebagai sumber tenaga yang boleh diperbaharui. Ia boleh digunakan untuk pemanasan, penjanaan kuasa atau peningkatan kepada kualiti gas as</w:t>
      </w:r>
      <w:r>
        <w:rPr>
          <w:rFonts w:ascii="Times New Roman" w:hAnsi="Times New Roman"/>
          <w:noProof/>
          <w:sz w:val="18"/>
          <w:szCs w:val="20"/>
        </w:rPr>
        <w:t>li. Melalui</w:t>
      </w:r>
      <w:r w:rsidRPr="00B866BC">
        <w:rPr>
          <w:rFonts w:ascii="Times New Roman" w:hAnsi="Times New Roman"/>
          <w:noProof/>
          <w:sz w:val="18"/>
          <w:szCs w:val="20"/>
        </w:rPr>
        <w:t xml:space="preserve"> kajian ini, kebolehrawatan anaerobik dan </w:t>
      </w:r>
      <w:r>
        <w:rPr>
          <w:rFonts w:ascii="Times New Roman" w:hAnsi="Times New Roman"/>
          <w:noProof/>
          <w:sz w:val="18"/>
          <w:szCs w:val="20"/>
        </w:rPr>
        <w:t xml:space="preserve"> </w:t>
      </w:r>
      <w:r w:rsidRPr="00B866BC">
        <w:rPr>
          <w:rFonts w:ascii="Times New Roman" w:hAnsi="Times New Roman"/>
          <w:noProof/>
          <w:sz w:val="18"/>
          <w:szCs w:val="20"/>
        </w:rPr>
        <w:t xml:space="preserve">kebolehan penjanaan biogas oleh </w:t>
      </w:r>
      <w:r w:rsidRPr="00B866BC">
        <w:rPr>
          <w:rFonts w:ascii="Times New Roman" w:hAnsi="Times New Roman"/>
          <w:i/>
          <w:noProof/>
          <w:sz w:val="18"/>
          <w:szCs w:val="20"/>
        </w:rPr>
        <w:t>Cabomba furcata</w:t>
      </w:r>
      <w:r w:rsidRPr="00B866BC">
        <w:rPr>
          <w:rFonts w:ascii="Times New Roman" w:hAnsi="Times New Roman"/>
          <w:noProof/>
          <w:sz w:val="18"/>
          <w:szCs w:val="20"/>
        </w:rPr>
        <w:t xml:space="preserve"> </w:t>
      </w:r>
      <w:r>
        <w:rPr>
          <w:rFonts w:ascii="Times New Roman" w:hAnsi="Times New Roman"/>
          <w:noProof/>
          <w:sz w:val="18"/>
          <w:szCs w:val="20"/>
        </w:rPr>
        <w:t>(</w:t>
      </w:r>
      <w:r w:rsidRPr="00B866BC">
        <w:rPr>
          <w:rFonts w:ascii="Times New Roman" w:hAnsi="Times New Roman"/>
          <w:noProof/>
          <w:sz w:val="18"/>
          <w:szCs w:val="20"/>
        </w:rPr>
        <w:t>C</w:t>
      </w:r>
      <w:r w:rsidRPr="00B866BC">
        <w:rPr>
          <w:rFonts w:ascii="Times New Roman" w:hAnsi="Times New Roman"/>
          <w:i/>
          <w:noProof/>
          <w:sz w:val="18"/>
          <w:szCs w:val="20"/>
        </w:rPr>
        <w:t>. furcata</w:t>
      </w:r>
      <w:r>
        <w:rPr>
          <w:rFonts w:ascii="Times New Roman" w:hAnsi="Times New Roman"/>
          <w:noProof/>
          <w:sz w:val="18"/>
          <w:szCs w:val="20"/>
        </w:rPr>
        <w:t xml:space="preserve">) </w:t>
      </w:r>
      <w:r w:rsidRPr="00B866BC">
        <w:rPr>
          <w:rFonts w:ascii="Times New Roman" w:hAnsi="Times New Roman"/>
          <w:noProof/>
          <w:sz w:val="18"/>
          <w:szCs w:val="20"/>
        </w:rPr>
        <w:t>telah diperik</w:t>
      </w:r>
      <w:r>
        <w:rPr>
          <w:rFonts w:ascii="Times New Roman" w:hAnsi="Times New Roman"/>
          <w:noProof/>
          <w:sz w:val="18"/>
          <w:szCs w:val="20"/>
        </w:rPr>
        <w:t>sa di dalam penghadam kelompok</w:t>
      </w:r>
      <w:r w:rsidRPr="00B866BC">
        <w:rPr>
          <w:rFonts w:ascii="Times New Roman" w:hAnsi="Times New Roman"/>
          <w:noProof/>
          <w:sz w:val="18"/>
          <w:szCs w:val="20"/>
        </w:rPr>
        <w:t>. C</w:t>
      </w:r>
      <w:r w:rsidRPr="00B866BC">
        <w:rPr>
          <w:rFonts w:ascii="Times New Roman" w:hAnsi="Times New Roman"/>
          <w:i/>
          <w:noProof/>
          <w:sz w:val="18"/>
          <w:szCs w:val="20"/>
        </w:rPr>
        <w:t>. furcata</w:t>
      </w:r>
      <w:r w:rsidRPr="00B866BC">
        <w:rPr>
          <w:rFonts w:ascii="Times New Roman" w:hAnsi="Times New Roman"/>
          <w:noProof/>
          <w:sz w:val="18"/>
          <w:szCs w:val="20"/>
        </w:rPr>
        <w:t xml:space="preserve"> </w:t>
      </w:r>
      <w:r>
        <w:rPr>
          <w:rFonts w:ascii="Times New Roman" w:hAnsi="Times New Roman"/>
          <w:noProof/>
          <w:sz w:val="18"/>
          <w:szCs w:val="20"/>
        </w:rPr>
        <w:t xml:space="preserve"> </w:t>
      </w:r>
      <w:r w:rsidRPr="00B866BC">
        <w:rPr>
          <w:rFonts w:ascii="Times New Roman" w:hAnsi="Times New Roman"/>
          <w:noProof/>
          <w:sz w:val="18"/>
          <w:szCs w:val="20"/>
        </w:rPr>
        <w:t xml:space="preserve">telah dikumpul </w:t>
      </w:r>
      <w:r>
        <w:rPr>
          <w:rFonts w:ascii="Times New Roman" w:hAnsi="Times New Roman"/>
          <w:noProof/>
          <w:sz w:val="18"/>
          <w:szCs w:val="20"/>
        </w:rPr>
        <w:t xml:space="preserve"> </w:t>
      </w:r>
      <w:r w:rsidRPr="00B866BC">
        <w:rPr>
          <w:rFonts w:ascii="Times New Roman" w:hAnsi="Times New Roman"/>
          <w:noProof/>
          <w:sz w:val="18"/>
          <w:szCs w:val="20"/>
        </w:rPr>
        <w:t xml:space="preserve">dari Tasik Chini, Pahang </w:t>
      </w:r>
      <w:r>
        <w:rPr>
          <w:rFonts w:ascii="Times New Roman" w:hAnsi="Times New Roman"/>
          <w:noProof/>
          <w:sz w:val="18"/>
          <w:szCs w:val="20"/>
        </w:rPr>
        <w:t xml:space="preserve"> </w:t>
      </w:r>
      <w:r w:rsidRPr="00B866BC">
        <w:rPr>
          <w:rFonts w:ascii="Times New Roman" w:hAnsi="Times New Roman"/>
          <w:noProof/>
          <w:sz w:val="18"/>
          <w:szCs w:val="20"/>
        </w:rPr>
        <w:t xml:space="preserve">dan </w:t>
      </w:r>
      <w:r>
        <w:rPr>
          <w:rFonts w:ascii="Times New Roman" w:hAnsi="Times New Roman"/>
          <w:noProof/>
          <w:sz w:val="18"/>
          <w:szCs w:val="20"/>
        </w:rPr>
        <w:t xml:space="preserve"> </w:t>
      </w:r>
      <w:r w:rsidRPr="00B866BC">
        <w:rPr>
          <w:rFonts w:ascii="Times New Roman" w:hAnsi="Times New Roman"/>
          <w:noProof/>
          <w:sz w:val="18"/>
          <w:szCs w:val="20"/>
        </w:rPr>
        <w:t xml:space="preserve">digunakan </w:t>
      </w:r>
      <w:r>
        <w:rPr>
          <w:rFonts w:ascii="Times New Roman" w:hAnsi="Times New Roman"/>
          <w:noProof/>
          <w:sz w:val="18"/>
          <w:szCs w:val="20"/>
        </w:rPr>
        <w:t xml:space="preserve"> </w:t>
      </w:r>
      <w:r w:rsidRPr="00B866BC">
        <w:rPr>
          <w:rFonts w:ascii="Times New Roman" w:hAnsi="Times New Roman"/>
          <w:noProof/>
          <w:sz w:val="18"/>
          <w:szCs w:val="20"/>
        </w:rPr>
        <w:t xml:space="preserve">sebagai </w:t>
      </w:r>
      <w:r>
        <w:rPr>
          <w:rFonts w:ascii="Times New Roman" w:hAnsi="Times New Roman"/>
          <w:noProof/>
          <w:sz w:val="18"/>
          <w:szCs w:val="20"/>
        </w:rPr>
        <w:t xml:space="preserve"> </w:t>
      </w:r>
      <w:r w:rsidRPr="00B866BC">
        <w:rPr>
          <w:rFonts w:ascii="Times New Roman" w:hAnsi="Times New Roman"/>
          <w:noProof/>
          <w:sz w:val="18"/>
          <w:szCs w:val="20"/>
        </w:rPr>
        <w:t xml:space="preserve">substrat </w:t>
      </w:r>
      <w:r>
        <w:rPr>
          <w:rFonts w:ascii="Times New Roman" w:hAnsi="Times New Roman"/>
          <w:noProof/>
          <w:sz w:val="18"/>
          <w:szCs w:val="20"/>
        </w:rPr>
        <w:t xml:space="preserve"> </w:t>
      </w:r>
      <w:r w:rsidRPr="00B866BC">
        <w:rPr>
          <w:rFonts w:ascii="Times New Roman" w:hAnsi="Times New Roman"/>
          <w:noProof/>
          <w:sz w:val="18"/>
          <w:szCs w:val="20"/>
        </w:rPr>
        <w:t xml:space="preserve">dalam </w:t>
      </w:r>
      <w:r>
        <w:rPr>
          <w:rFonts w:ascii="Times New Roman" w:hAnsi="Times New Roman"/>
          <w:noProof/>
          <w:sz w:val="18"/>
          <w:szCs w:val="20"/>
        </w:rPr>
        <w:t xml:space="preserve"> </w:t>
      </w:r>
      <w:r w:rsidRPr="00B866BC">
        <w:rPr>
          <w:rFonts w:ascii="Times New Roman" w:hAnsi="Times New Roman"/>
          <w:noProof/>
          <w:sz w:val="18"/>
          <w:szCs w:val="20"/>
        </w:rPr>
        <w:t xml:space="preserve">penghasilan biogas. </w:t>
      </w:r>
      <w:r>
        <w:rPr>
          <w:rFonts w:ascii="Times New Roman" w:hAnsi="Times New Roman"/>
          <w:noProof/>
          <w:sz w:val="18"/>
          <w:szCs w:val="20"/>
        </w:rPr>
        <w:t xml:space="preserve">  </w:t>
      </w:r>
      <w:r w:rsidRPr="00B866BC">
        <w:rPr>
          <w:rFonts w:ascii="Times New Roman" w:hAnsi="Times New Roman"/>
          <w:noProof/>
          <w:sz w:val="18"/>
          <w:szCs w:val="20"/>
        </w:rPr>
        <w:t xml:space="preserve">Sampel </w:t>
      </w:r>
      <w:r>
        <w:rPr>
          <w:rFonts w:ascii="Times New Roman" w:hAnsi="Times New Roman"/>
          <w:noProof/>
          <w:sz w:val="18"/>
          <w:szCs w:val="20"/>
        </w:rPr>
        <w:t xml:space="preserve">  </w:t>
      </w:r>
      <w:r w:rsidRPr="00B866BC">
        <w:rPr>
          <w:rFonts w:ascii="Times New Roman" w:hAnsi="Times New Roman"/>
          <w:noProof/>
          <w:sz w:val="18"/>
          <w:szCs w:val="20"/>
        </w:rPr>
        <w:t xml:space="preserve">cair </w:t>
      </w:r>
      <w:r>
        <w:rPr>
          <w:rFonts w:ascii="Times New Roman" w:hAnsi="Times New Roman"/>
          <w:noProof/>
          <w:sz w:val="18"/>
          <w:szCs w:val="20"/>
        </w:rPr>
        <w:t xml:space="preserve"> </w:t>
      </w:r>
      <w:r w:rsidRPr="00B866BC">
        <w:rPr>
          <w:rFonts w:ascii="Times New Roman" w:hAnsi="Times New Roman"/>
          <w:i/>
          <w:noProof/>
          <w:sz w:val="18"/>
          <w:szCs w:val="20"/>
        </w:rPr>
        <w:t>C. furcata</w:t>
      </w:r>
      <w:r w:rsidRPr="00B866BC">
        <w:rPr>
          <w:rFonts w:ascii="Times New Roman" w:hAnsi="Times New Roman"/>
          <w:noProof/>
          <w:sz w:val="18"/>
          <w:szCs w:val="20"/>
        </w:rPr>
        <w:t xml:space="preserve"> </w:t>
      </w:r>
      <w:r>
        <w:rPr>
          <w:rFonts w:ascii="Times New Roman" w:hAnsi="Times New Roman"/>
          <w:noProof/>
          <w:sz w:val="18"/>
          <w:szCs w:val="20"/>
        </w:rPr>
        <w:t xml:space="preserve"> </w:t>
      </w:r>
      <w:r w:rsidRPr="00B866BC">
        <w:rPr>
          <w:rFonts w:ascii="Times New Roman" w:hAnsi="Times New Roman"/>
          <w:noProof/>
          <w:sz w:val="18"/>
          <w:szCs w:val="20"/>
        </w:rPr>
        <w:t xml:space="preserve">disediakan </w:t>
      </w:r>
      <w:r>
        <w:rPr>
          <w:rFonts w:ascii="Times New Roman" w:hAnsi="Times New Roman"/>
          <w:noProof/>
          <w:sz w:val="18"/>
          <w:szCs w:val="20"/>
        </w:rPr>
        <w:t xml:space="preserve"> </w:t>
      </w:r>
      <w:r w:rsidRPr="00B866BC">
        <w:rPr>
          <w:rFonts w:ascii="Times New Roman" w:hAnsi="Times New Roman"/>
          <w:noProof/>
          <w:sz w:val="18"/>
          <w:szCs w:val="20"/>
        </w:rPr>
        <w:t xml:space="preserve">dengan </w:t>
      </w:r>
      <w:r>
        <w:rPr>
          <w:rFonts w:ascii="Times New Roman" w:hAnsi="Times New Roman"/>
          <w:noProof/>
          <w:sz w:val="18"/>
          <w:szCs w:val="20"/>
        </w:rPr>
        <w:t xml:space="preserve"> </w:t>
      </w:r>
      <w:r w:rsidRPr="00B866BC">
        <w:rPr>
          <w:rFonts w:ascii="Times New Roman" w:hAnsi="Times New Roman"/>
          <w:noProof/>
          <w:sz w:val="18"/>
          <w:szCs w:val="20"/>
        </w:rPr>
        <w:t xml:space="preserve">2 </w:t>
      </w:r>
      <w:r>
        <w:rPr>
          <w:rFonts w:ascii="Times New Roman" w:hAnsi="Times New Roman"/>
          <w:noProof/>
          <w:sz w:val="18"/>
          <w:szCs w:val="20"/>
        </w:rPr>
        <w:t xml:space="preserve"> </w:t>
      </w:r>
      <w:r w:rsidRPr="00B866BC">
        <w:rPr>
          <w:rFonts w:ascii="Times New Roman" w:hAnsi="Times New Roman"/>
          <w:noProof/>
          <w:sz w:val="18"/>
          <w:szCs w:val="20"/>
        </w:rPr>
        <w:t xml:space="preserve">campuran </w:t>
      </w:r>
      <w:r>
        <w:rPr>
          <w:rFonts w:ascii="Times New Roman" w:hAnsi="Times New Roman"/>
          <w:noProof/>
          <w:sz w:val="18"/>
          <w:szCs w:val="20"/>
        </w:rPr>
        <w:t xml:space="preserve"> </w:t>
      </w:r>
      <w:r w:rsidRPr="00B866BC">
        <w:rPr>
          <w:rFonts w:ascii="Times New Roman" w:hAnsi="Times New Roman"/>
          <w:noProof/>
          <w:sz w:val="18"/>
          <w:szCs w:val="20"/>
        </w:rPr>
        <w:t xml:space="preserve">yang </w:t>
      </w:r>
      <w:r>
        <w:rPr>
          <w:rFonts w:ascii="Times New Roman" w:hAnsi="Times New Roman"/>
          <w:noProof/>
          <w:sz w:val="18"/>
          <w:szCs w:val="20"/>
        </w:rPr>
        <w:t xml:space="preserve"> </w:t>
      </w:r>
      <w:r w:rsidRPr="00B866BC">
        <w:rPr>
          <w:rFonts w:ascii="Times New Roman" w:hAnsi="Times New Roman"/>
          <w:noProof/>
          <w:sz w:val="18"/>
          <w:szCs w:val="20"/>
        </w:rPr>
        <w:t xml:space="preserve">berlainan </w:t>
      </w:r>
      <w:r>
        <w:rPr>
          <w:rFonts w:ascii="Times New Roman" w:hAnsi="Times New Roman"/>
          <w:noProof/>
          <w:sz w:val="18"/>
          <w:szCs w:val="20"/>
        </w:rPr>
        <w:t xml:space="preserve"> </w:t>
      </w:r>
      <w:r w:rsidRPr="00B866BC">
        <w:rPr>
          <w:rFonts w:ascii="Times New Roman" w:hAnsi="Times New Roman"/>
          <w:noProof/>
          <w:sz w:val="18"/>
          <w:szCs w:val="20"/>
        </w:rPr>
        <w:t xml:space="preserve">i.e., </w:t>
      </w:r>
      <w:r>
        <w:rPr>
          <w:rFonts w:ascii="Times New Roman" w:hAnsi="Times New Roman"/>
          <w:noProof/>
          <w:sz w:val="18"/>
          <w:szCs w:val="20"/>
        </w:rPr>
        <w:t xml:space="preserve"> </w:t>
      </w:r>
      <w:r w:rsidRPr="00B866BC">
        <w:rPr>
          <w:rFonts w:ascii="Times New Roman" w:hAnsi="Times New Roman"/>
          <w:noProof/>
          <w:sz w:val="18"/>
          <w:szCs w:val="20"/>
        </w:rPr>
        <w:t xml:space="preserve">nisbah </w:t>
      </w:r>
      <w:r>
        <w:rPr>
          <w:rFonts w:ascii="Times New Roman" w:hAnsi="Times New Roman"/>
          <w:noProof/>
          <w:sz w:val="18"/>
          <w:szCs w:val="20"/>
        </w:rPr>
        <w:t xml:space="preserve"> </w:t>
      </w:r>
      <w:r w:rsidRPr="00B866BC">
        <w:rPr>
          <w:rFonts w:ascii="Times New Roman" w:hAnsi="Times New Roman"/>
          <w:i/>
          <w:noProof/>
          <w:sz w:val="18"/>
          <w:szCs w:val="20"/>
        </w:rPr>
        <w:t>C.</w:t>
      </w:r>
      <w:r>
        <w:rPr>
          <w:rFonts w:ascii="Times New Roman" w:hAnsi="Times New Roman"/>
          <w:i/>
          <w:noProof/>
          <w:sz w:val="18"/>
          <w:szCs w:val="20"/>
        </w:rPr>
        <w:t xml:space="preserve"> </w:t>
      </w:r>
      <w:r w:rsidRPr="00B866BC">
        <w:rPr>
          <w:rFonts w:ascii="Times New Roman" w:hAnsi="Times New Roman"/>
          <w:i/>
          <w:noProof/>
          <w:sz w:val="18"/>
          <w:szCs w:val="20"/>
        </w:rPr>
        <w:t>furcata</w:t>
      </w:r>
      <w:r w:rsidRPr="00B866BC">
        <w:rPr>
          <w:rFonts w:ascii="Times New Roman" w:hAnsi="Times New Roman"/>
          <w:noProof/>
          <w:sz w:val="18"/>
          <w:szCs w:val="20"/>
        </w:rPr>
        <w:t xml:space="preserve">/air </w:t>
      </w:r>
      <w:r>
        <w:rPr>
          <w:rFonts w:ascii="Times New Roman" w:hAnsi="Times New Roman"/>
          <w:noProof/>
          <w:sz w:val="18"/>
          <w:szCs w:val="20"/>
        </w:rPr>
        <w:t xml:space="preserve">  </w:t>
      </w:r>
      <w:r w:rsidRPr="00B866BC">
        <w:rPr>
          <w:rFonts w:ascii="Times New Roman" w:hAnsi="Times New Roman"/>
          <w:noProof/>
          <w:sz w:val="18"/>
          <w:szCs w:val="20"/>
        </w:rPr>
        <w:t xml:space="preserve">(1:1, 1:2 </w:t>
      </w:r>
      <w:r>
        <w:rPr>
          <w:rFonts w:ascii="Times New Roman" w:hAnsi="Times New Roman"/>
          <w:noProof/>
          <w:sz w:val="18"/>
          <w:szCs w:val="20"/>
        </w:rPr>
        <w:t xml:space="preserve"> </w:t>
      </w:r>
      <w:r w:rsidRPr="00B866BC">
        <w:rPr>
          <w:rFonts w:ascii="Times New Roman" w:hAnsi="Times New Roman"/>
          <w:noProof/>
          <w:sz w:val="18"/>
          <w:szCs w:val="20"/>
        </w:rPr>
        <w:t xml:space="preserve">dan 1:3) </w:t>
      </w:r>
      <w:r>
        <w:rPr>
          <w:rFonts w:ascii="Times New Roman" w:hAnsi="Times New Roman"/>
          <w:noProof/>
          <w:sz w:val="18"/>
          <w:szCs w:val="20"/>
        </w:rPr>
        <w:t xml:space="preserve">  </w:t>
      </w:r>
      <w:r w:rsidRPr="00B866BC">
        <w:rPr>
          <w:rFonts w:ascii="Times New Roman" w:hAnsi="Times New Roman"/>
          <w:noProof/>
          <w:sz w:val="18"/>
          <w:szCs w:val="20"/>
        </w:rPr>
        <w:t xml:space="preserve">dan </w:t>
      </w:r>
      <w:r>
        <w:rPr>
          <w:rFonts w:ascii="Times New Roman" w:hAnsi="Times New Roman"/>
          <w:noProof/>
          <w:sz w:val="18"/>
          <w:szCs w:val="20"/>
        </w:rPr>
        <w:t xml:space="preserve">  </w:t>
      </w:r>
      <w:r w:rsidRPr="00B866BC">
        <w:rPr>
          <w:rFonts w:ascii="Times New Roman" w:hAnsi="Times New Roman"/>
          <w:noProof/>
          <w:sz w:val="18"/>
          <w:szCs w:val="20"/>
        </w:rPr>
        <w:t xml:space="preserve">nisbah </w:t>
      </w:r>
      <w:r w:rsidRPr="00B866BC">
        <w:rPr>
          <w:rFonts w:ascii="Times New Roman" w:hAnsi="Times New Roman"/>
          <w:i/>
          <w:noProof/>
          <w:sz w:val="18"/>
          <w:szCs w:val="20"/>
        </w:rPr>
        <w:t>C. furcata</w:t>
      </w:r>
      <w:r w:rsidRPr="00B866BC">
        <w:rPr>
          <w:rFonts w:ascii="Times New Roman" w:hAnsi="Times New Roman"/>
          <w:noProof/>
          <w:sz w:val="18"/>
          <w:szCs w:val="20"/>
        </w:rPr>
        <w:t xml:space="preserve">/inokulum (1:1, 1:2 dan 1:3). </w:t>
      </w:r>
      <w:r>
        <w:rPr>
          <w:rFonts w:ascii="Times New Roman" w:hAnsi="Times New Roman"/>
          <w:noProof/>
          <w:sz w:val="18"/>
          <w:szCs w:val="20"/>
        </w:rPr>
        <w:t xml:space="preserve"> </w:t>
      </w:r>
      <w:r w:rsidRPr="00B866BC">
        <w:rPr>
          <w:rFonts w:ascii="Times New Roman" w:hAnsi="Times New Roman"/>
          <w:noProof/>
          <w:sz w:val="18"/>
          <w:szCs w:val="20"/>
        </w:rPr>
        <w:t xml:space="preserve">Sepanjang </w:t>
      </w:r>
      <w:r>
        <w:rPr>
          <w:rFonts w:ascii="Times New Roman" w:hAnsi="Times New Roman"/>
          <w:noProof/>
          <w:sz w:val="18"/>
          <w:szCs w:val="20"/>
        </w:rPr>
        <w:t xml:space="preserve"> </w:t>
      </w:r>
      <w:r w:rsidRPr="00B866BC">
        <w:rPr>
          <w:rFonts w:ascii="Times New Roman" w:hAnsi="Times New Roman"/>
          <w:noProof/>
          <w:sz w:val="18"/>
          <w:szCs w:val="20"/>
        </w:rPr>
        <w:t xml:space="preserve">kajian dijalankan, nilai pH adalah 5.5 hingga 7.0 manakala julat suhu ialah 25 </w:t>
      </w:r>
      <w:r>
        <w:rPr>
          <w:rFonts w:ascii="Times New Roman" w:hAnsi="Times New Roman"/>
          <w:noProof/>
          <w:sz w:val="18"/>
          <w:szCs w:val="20"/>
        </w:rPr>
        <w:t>–</w:t>
      </w:r>
      <w:r w:rsidRPr="00B866BC">
        <w:rPr>
          <w:rFonts w:ascii="Times New Roman" w:hAnsi="Times New Roman"/>
          <w:noProof/>
          <w:sz w:val="18"/>
          <w:szCs w:val="20"/>
        </w:rPr>
        <w:t xml:space="preserve"> 30</w:t>
      </w:r>
      <w:r>
        <w:rPr>
          <w:rFonts w:ascii="Times New Roman" w:hAnsi="Times New Roman"/>
          <w:noProof/>
          <w:sz w:val="18"/>
          <w:szCs w:val="20"/>
        </w:rPr>
        <w:t xml:space="preserve"> </w:t>
      </w:r>
      <w:r w:rsidRPr="00B866BC">
        <w:rPr>
          <w:rFonts w:ascii="Times New Roman" w:hAnsi="Times New Roman"/>
          <w:noProof/>
          <w:sz w:val="18"/>
          <w:szCs w:val="20"/>
        </w:rPr>
        <w:t xml:space="preserve">°C menjadikan keadaan operasi penghadaman anaerobik sebagai mesofilik dan masa tahanan selama 28 hari. Keputusan kajian menunjukkan penghasilan biogas yang maksimum berlaku pada nisbah 1:3 untuk kedua-dua campuran </w:t>
      </w:r>
      <w:r w:rsidRPr="00B866BC">
        <w:rPr>
          <w:rFonts w:ascii="Times New Roman" w:hAnsi="Times New Roman"/>
          <w:i/>
          <w:noProof/>
          <w:sz w:val="18"/>
          <w:szCs w:val="20"/>
        </w:rPr>
        <w:t>C. furcata</w:t>
      </w:r>
      <w:r w:rsidRPr="00B866BC">
        <w:rPr>
          <w:rFonts w:ascii="Times New Roman" w:hAnsi="Times New Roman"/>
          <w:noProof/>
          <w:sz w:val="18"/>
          <w:szCs w:val="20"/>
        </w:rPr>
        <w:t xml:space="preserve">/air dan </w:t>
      </w:r>
      <w:r w:rsidRPr="00B866BC">
        <w:rPr>
          <w:rFonts w:ascii="Times New Roman" w:hAnsi="Times New Roman"/>
          <w:i/>
          <w:noProof/>
          <w:sz w:val="18"/>
          <w:szCs w:val="20"/>
        </w:rPr>
        <w:t>C. furcata</w:t>
      </w:r>
      <w:r w:rsidRPr="00B866BC">
        <w:rPr>
          <w:rFonts w:ascii="Times New Roman" w:hAnsi="Times New Roman"/>
          <w:noProof/>
          <w:sz w:val="18"/>
          <w:szCs w:val="20"/>
        </w:rPr>
        <w:t>/inokulum dengan peratusan penghasilan masing - masing meningkat kepada 1.1 dan 11.9%. Selain itu, keputusan juga menunjukkan penghasilan semakin meningkat a</w:t>
      </w:r>
      <w:r>
        <w:rPr>
          <w:rFonts w:ascii="Times New Roman" w:hAnsi="Times New Roman"/>
          <w:noProof/>
          <w:sz w:val="18"/>
          <w:szCs w:val="20"/>
        </w:rPr>
        <w:t xml:space="preserve">pabila masa tahanan meningkat. </w:t>
      </w:r>
      <w:r w:rsidRPr="00B866BC">
        <w:rPr>
          <w:rFonts w:ascii="Times New Roman" w:hAnsi="Times New Roman"/>
          <w:noProof/>
          <w:sz w:val="18"/>
          <w:szCs w:val="20"/>
        </w:rPr>
        <w:t xml:space="preserve">Oleh itu, </w:t>
      </w:r>
      <w:r w:rsidRPr="00B866BC">
        <w:rPr>
          <w:rFonts w:ascii="Times New Roman" w:hAnsi="Times New Roman"/>
          <w:i/>
          <w:noProof/>
          <w:sz w:val="18"/>
          <w:szCs w:val="20"/>
        </w:rPr>
        <w:t>C.</w:t>
      </w:r>
      <w:r w:rsidR="0007650B">
        <w:rPr>
          <w:rFonts w:ascii="Times New Roman" w:hAnsi="Times New Roman"/>
          <w:i/>
          <w:noProof/>
          <w:sz w:val="18"/>
          <w:szCs w:val="20"/>
        </w:rPr>
        <w:t xml:space="preserve"> </w:t>
      </w:r>
      <w:r w:rsidRPr="00B866BC">
        <w:rPr>
          <w:rFonts w:ascii="Times New Roman" w:hAnsi="Times New Roman"/>
          <w:i/>
          <w:noProof/>
          <w:sz w:val="18"/>
          <w:szCs w:val="20"/>
        </w:rPr>
        <w:t>furcata</w:t>
      </w:r>
      <w:r w:rsidRPr="00B866BC">
        <w:rPr>
          <w:rFonts w:ascii="Times New Roman" w:hAnsi="Times New Roman"/>
          <w:noProof/>
          <w:sz w:val="18"/>
          <w:szCs w:val="20"/>
        </w:rPr>
        <w:t xml:space="preserve"> mempunyai potensi yang bagus sebagai substrat dalam penghasilan biogas untuk tenaga yang boleh diperbaharui pada masa depan.</w:t>
      </w:r>
    </w:p>
    <w:p w:rsidR="00424335" w:rsidRDefault="00424335" w:rsidP="00424335">
      <w:pPr>
        <w:spacing w:after="0" w:line="240" w:lineRule="auto"/>
        <w:jc w:val="both"/>
        <w:rPr>
          <w:rFonts w:ascii="Times New Roman" w:hAnsi="Times New Roman"/>
          <w:noProof/>
        </w:rPr>
      </w:pPr>
    </w:p>
    <w:p w:rsidR="00424335" w:rsidRPr="00424335" w:rsidRDefault="00424335" w:rsidP="00424335">
      <w:pPr>
        <w:spacing w:after="0" w:line="240" w:lineRule="auto"/>
        <w:jc w:val="both"/>
        <w:rPr>
          <w:noProof/>
          <w:sz w:val="18"/>
          <w:szCs w:val="18"/>
        </w:rPr>
      </w:pPr>
      <w:r w:rsidRPr="00D6798D">
        <w:rPr>
          <w:rFonts w:ascii="Times New Roman" w:hAnsi="Times New Roman"/>
          <w:b/>
          <w:noProof/>
          <w:sz w:val="18"/>
          <w:szCs w:val="18"/>
        </w:rPr>
        <w:t>Kata kunci</w:t>
      </w:r>
      <w:r w:rsidRPr="00D6798D">
        <w:rPr>
          <w:rFonts w:ascii="Times New Roman" w:hAnsi="Times New Roman"/>
          <w:noProof/>
          <w:sz w:val="18"/>
          <w:szCs w:val="18"/>
        </w:rPr>
        <w:t xml:space="preserve">: </w:t>
      </w:r>
      <w:r>
        <w:rPr>
          <w:rFonts w:ascii="Times New Roman" w:hAnsi="Times New Roman"/>
          <w:noProof/>
          <w:sz w:val="18"/>
          <w:szCs w:val="18"/>
        </w:rPr>
        <w:t xml:space="preserve"> </w:t>
      </w:r>
      <w:r w:rsidRPr="00D6798D">
        <w:rPr>
          <w:rFonts w:ascii="Times New Roman" w:hAnsi="Times New Roman"/>
          <w:i/>
          <w:noProof/>
          <w:sz w:val="18"/>
          <w:szCs w:val="18"/>
        </w:rPr>
        <w:t>Cabomba furcata</w:t>
      </w:r>
      <w:r>
        <w:rPr>
          <w:rFonts w:ascii="Times New Roman" w:hAnsi="Times New Roman"/>
          <w:noProof/>
          <w:sz w:val="18"/>
          <w:szCs w:val="18"/>
        </w:rPr>
        <w:t>, penghasilan metana</w:t>
      </w:r>
      <w:r w:rsidRPr="00D6798D">
        <w:rPr>
          <w:rFonts w:ascii="Times New Roman" w:hAnsi="Times New Roman"/>
          <w:noProof/>
          <w:sz w:val="18"/>
          <w:szCs w:val="18"/>
        </w:rPr>
        <w:t>, penghadaman anaerobik, tenaga yang boleh</w:t>
      </w:r>
      <w:r>
        <w:rPr>
          <w:noProof/>
          <w:sz w:val="18"/>
          <w:szCs w:val="18"/>
        </w:rPr>
        <w:t xml:space="preserve"> </w:t>
      </w:r>
      <w:r w:rsidRPr="00D6798D">
        <w:rPr>
          <w:rFonts w:ascii="Times New Roman" w:hAnsi="Times New Roman"/>
          <w:noProof/>
          <w:sz w:val="18"/>
          <w:szCs w:val="18"/>
        </w:rPr>
        <w:t>diperbaharui</w:t>
      </w:r>
    </w:p>
    <w:p w:rsidR="006768E9" w:rsidRDefault="006768E9" w:rsidP="0042433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56A63" w:rsidRDefault="00056A63" w:rsidP="00056A63">
      <w:pPr>
        <w:spacing w:after="0" w:line="240" w:lineRule="auto"/>
        <w:jc w:val="both"/>
        <w:rPr>
          <w:rFonts w:ascii="Times New Roman" w:hAnsi="Times New Roman"/>
          <w:sz w:val="20"/>
          <w:szCs w:val="20"/>
        </w:rPr>
      </w:pPr>
      <w:r w:rsidRPr="00056A63">
        <w:rPr>
          <w:rFonts w:ascii="Times New Roman" w:hAnsi="Times New Roman"/>
          <w:sz w:val="20"/>
          <w:szCs w:val="20"/>
        </w:rPr>
        <w:t>Biogas is one of the clean renewable energy where the source is easily controlled such as organic waste. Biogas is produced from decomposition of organic material by microorganisms in absence of oxygen. Besides that, biogas also can be produced by anaerobic digestion or fermentation of biodegradable materials such as biomass, fertilizer, municipal waste, crop, crop residue and other plants.</w:t>
      </w:r>
      <w:r w:rsidRPr="00056A63">
        <w:rPr>
          <w:rFonts w:ascii="Times New Roman" w:hAnsi="Times New Roman"/>
          <w:color w:val="FF0000"/>
          <w:sz w:val="20"/>
          <w:szCs w:val="20"/>
        </w:rPr>
        <w:t xml:space="preserve"> </w:t>
      </w:r>
      <w:r w:rsidRPr="00056A63">
        <w:rPr>
          <w:rFonts w:ascii="Times New Roman" w:hAnsi="Times New Roman"/>
          <w:sz w:val="20"/>
          <w:szCs w:val="20"/>
        </w:rPr>
        <w:t xml:space="preserve">Biogas consist of methane, carbon dioxide, nitrogen, hydrogen, hydrogen sulfide and oxygen. In Malaysia, the source for biogas generation such as agriculture waste, animal manure, domestic waste, crops, household waste and others are widely available. Using these materials as biogas sources can provides a number of advantages such as reduce the utilization of fossil fuel, increase farmers income and provide employment opportunities. In addition, biogas production has a great potential to produce neutral carbon dioxide that can prevent the occurrences of emission of greenhouse gases into the atmosphere and simultaneously reduce air pollution as well. </w:t>
      </w:r>
    </w:p>
    <w:p w:rsidR="00056A63" w:rsidRP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sz w:val="20"/>
          <w:szCs w:val="20"/>
        </w:rPr>
        <w:t>Anaerobic digestion is one of widely used process and attractive method for converting organic waste into for</w:t>
      </w:r>
      <w:r w:rsidRPr="00056A63">
        <w:rPr>
          <w:rFonts w:ascii="Times New Roman" w:hAnsi="Times New Roman"/>
          <w:color w:val="FF0000"/>
          <w:sz w:val="20"/>
          <w:szCs w:val="20"/>
        </w:rPr>
        <w:t xml:space="preserve"> </w:t>
      </w:r>
      <w:r w:rsidRPr="00056A63">
        <w:rPr>
          <w:rFonts w:ascii="Times New Roman" w:hAnsi="Times New Roman"/>
          <w:sz w:val="20"/>
          <w:szCs w:val="20"/>
        </w:rPr>
        <w:t xml:space="preserve">biogas as alternative energy sources [1]. Anaerobic digestion is a natural process in which bacteria decompose the carbon in organic matter. The digestion occurs in three process steps which are hydrolysis, acidogenesis and methanogenesis. In hydrolysis stage, complex organic compounds are broken down by hydrolytic bacteria. Subsequently, in the acidogenesis stage, compounds are further broken into simple molecules by acid-forming bacteria. Then, in methanogenesis stage, methanogenic bacteria will convert the acids into methane gas and carbon dioxide. These processes occur without the presence of oxygen [2]. A few studies have been conducted on biogas production using aquatic plants by applying anaerobic digestion process such as water hyacinth [3], </w:t>
      </w:r>
      <w:r w:rsidRPr="00056A63">
        <w:rPr>
          <w:rFonts w:ascii="Times New Roman" w:hAnsi="Times New Roman"/>
          <w:i/>
          <w:sz w:val="20"/>
          <w:szCs w:val="20"/>
        </w:rPr>
        <w:t xml:space="preserve">Eichhornia azurea, Pistia stratiotes </w:t>
      </w:r>
      <w:r w:rsidRPr="00056A63">
        <w:rPr>
          <w:rFonts w:ascii="Times New Roman" w:hAnsi="Times New Roman"/>
          <w:sz w:val="20"/>
          <w:szCs w:val="20"/>
        </w:rPr>
        <w:t>and</w:t>
      </w:r>
      <w:r w:rsidRPr="00056A63">
        <w:rPr>
          <w:rFonts w:ascii="Times New Roman" w:hAnsi="Times New Roman"/>
          <w:i/>
          <w:sz w:val="20"/>
          <w:szCs w:val="20"/>
        </w:rPr>
        <w:t xml:space="preserve"> Salvini</w:t>
      </w:r>
      <w:r w:rsidRPr="00056A63">
        <w:rPr>
          <w:rFonts w:ascii="Times New Roman" w:hAnsi="Times New Roman"/>
          <w:sz w:val="20"/>
          <w:szCs w:val="20"/>
        </w:rPr>
        <w:t xml:space="preserve"> [4], and water hyacinth and water chest nut [5]. </w:t>
      </w:r>
    </w:p>
    <w:p w:rsidR="00056A63" w:rsidRP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i/>
          <w:sz w:val="20"/>
          <w:szCs w:val="20"/>
        </w:rPr>
        <w:t xml:space="preserve">Cabomba furcata </w:t>
      </w:r>
      <w:r w:rsidRPr="00056A63">
        <w:rPr>
          <w:rFonts w:ascii="Times New Roman" w:hAnsi="Times New Roman"/>
          <w:sz w:val="20"/>
          <w:szCs w:val="20"/>
        </w:rPr>
        <w:t xml:space="preserve">is a fully submerged aquatic plant that grows readily in Chini Lake, Pahang.  Unfortunately, </w:t>
      </w:r>
      <w:r w:rsidRPr="00056A63">
        <w:rPr>
          <w:rFonts w:ascii="Times New Roman" w:hAnsi="Times New Roman"/>
          <w:i/>
          <w:sz w:val="20"/>
          <w:szCs w:val="20"/>
        </w:rPr>
        <w:t xml:space="preserve">C. furcata </w:t>
      </w:r>
      <w:r w:rsidRPr="00056A63">
        <w:rPr>
          <w:rFonts w:ascii="Times New Roman" w:hAnsi="Times New Roman"/>
          <w:sz w:val="20"/>
          <w:szCs w:val="20"/>
        </w:rPr>
        <w:t xml:space="preserve">gives negative impact towards ecosystem in Chini Lake. Recent research indicates </w:t>
      </w:r>
      <w:r w:rsidRPr="00056A63">
        <w:rPr>
          <w:rFonts w:ascii="Times New Roman" w:hAnsi="Times New Roman"/>
          <w:i/>
          <w:sz w:val="20"/>
          <w:szCs w:val="20"/>
        </w:rPr>
        <w:t xml:space="preserve">C. furcata </w:t>
      </w:r>
      <w:r w:rsidRPr="00056A63">
        <w:rPr>
          <w:rFonts w:ascii="Times New Roman" w:hAnsi="Times New Roman"/>
          <w:sz w:val="20"/>
          <w:szCs w:val="20"/>
        </w:rPr>
        <w:t xml:space="preserve">adversely affects water quality by imparting colour and taint. Cabomba thickets interfere with swimming, boating and fishing, increased the habitat of disease carriers like mosquitoes and reduce habitat available other native plants, fish and others species [6]. Recommendations to utilize an aquatic plant as a renewable feedstock is a good solution for controlling overgrowth of </w:t>
      </w:r>
      <w:r w:rsidRPr="00056A63">
        <w:rPr>
          <w:rFonts w:ascii="Times New Roman" w:hAnsi="Times New Roman"/>
          <w:i/>
          <w:sz w:val="20"/>
          <w:szCs w:val="20"/>
        </w:rPr>
        <w:t>C. furcata</w:t>
      </w:r>
      <w:r w:rsidRPr="00056A63">
        <w:rPr>
          <w:rFonts w:ascii="Times New Roman" w:hAnsi="Times New Roman"/>
          <w:sz w:val="20"/>
          <w:szCs w:val="20"/>
        </w:rPr>
        <w:t>, save the ecosystem and cost effective. Therefore, this study was conducted</w:t>
      </w:r>
      <w:r w:rsidRPr="00056A63">
        <w:rPr>
          <w:rStyle w:val="CommentReference"/>
          <w:rFonts w:ascii="Times New Roman" w:hAnsi="Times New Roman"/>
          <w:sz w:val="20"/>
          <w:szCs w:val="20"/>
        </w:rPr>
        <w:t xml:space="preserve"> to </w:t>
      </w:r>
      <w:r w:rsidRPr="00056A63">
        <w:rPr>
          <w:rFonts w:ascii="Times New Roman" w:hAnsi="Times New Roman"/>
          <w:sz w:val="20"/>
          <w:szCs w:val="20"/>
        </w:rPr>
        <w:t xml:space="preserve">evaluate the potential of </w:t>
      </w:r>
      <w:r w:rsidRPr="00056A63">
        <w:rPr>
          <w:rFonts w:ascii="Times New Roman" w:hAnsi="Times New Roman"/>
          <w:i/>
          <w:sz w:val="20"/>
          <w:szCs w:val="20"/>
        </w:rPr>
        <w:t xml:space="preserve">C. furcata </w:t>
      </w:r>
      <w:r w:rsidRPr="00056A63">
        <w:rPr>
          <w:rFonts w:ascii="Times New Roman" w:hAnsi="Times New Roman"/>
          <w:sz w:val="20"/>
          <w:szCs w:val="20"/>
        </w:rPr>
        <w:t>as a substrate for biogas production in a batch digester. The effect of substrate/water ratio and substrate/inoculums ratio were also investigated extensively.</w:t>
      </w:r>
    </w:p>
    <w:p w:rsidR="00056A63" w:rsidRPr="00056A63" w:rsidRDefault="00056A63" w:rsidP="00056A63">
      <w:pPr>
        <w:spacing w:after="0" w:line="240" w:lineRule="auto"/>
        <w:jc w:val="center"/>
        <w:outlineLvl w:val="0"/>
        <w:rPr>
          <w:rFonts w:ascii="Times New Roman" w:hAnsi="Times New Roman"/>
          <w:sz w:val="20"/>
          <w:szCs w:val="20"/>
        </w:rPr>
      </w:pPr>
    </w:p>
    <w:p w:rsidR="00056A63" w:rsidRPr="00056A63" w:rsidRDefault="00056A63" w:rsidP="00056A63">
      <w:pPr>
        <w:spacing w:after="0" w:line="240" w:lineRule="auto"/>
        <w:jc w:val="center"/>
        <w:outlineLvl w:val="0"/>
        <w:rPr>
          <w:rFonts w:ascii="Times New Roman" w:hAnsi="Times New Roman"/>
          <w:b/>
          <w:sz w:val="20"/>
          <w:szCs w:val="20"/>
        </w:rPr>
      </w:pPr>
      <w:r w:rsidRPr="00056A63">
        <w:rPr>
          <w:rFonts w:ascii="Times New Roman" w:hAnsi="Times New Roman"/>
          <w:b/>
          <w:sz w:val="20"/>
          <w:szCs w:val="20"/>
        </w:rPr>
        <w:t>Materials and Methods</w:t>
      </w:r>
    </w:p>
    <w:p w:rsidR="00056A63" w:rsidRPr="00056A63" w:rsidRDefault="00056A63" w:rsidP="00056A63">
      <w:pPr>
        <w:spacing w:after="0" w:line="240" w:lineRule="auto"/>
        <w:jc w:val="both"/>
        <w:rPr>
          <w:rFonts w:ascii="Times New Roman" w:hAnsi="Times New Roman"/>
          <w:b/>
          <w:sz w:val="20"/>
          <w:szCs w:val="20"/>
        </w:rPr>
      </w:pPr>
      <w:r w:rsidRPr="00056A63">
        <w:rPr>
          <w:rFonts w:ascii="Times New Roman" w:hAnsi="Times New Roman"/>
          <w:b/>
          <w:sz w:val="20"/>
          <w:szCs w:val="20"/>
        </w:rPr>
        <w:t>Substrate and inoculums</w:t>
      </w: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i/>
          <w:sz w:val="20"/>
          <w:szCs w:val="20"/>
        </w:rPr>
        <w:t>C. furcata</w:t>
      </w:r>
      <w:r w:rsidRPr="00056A63">
        <w:rPr>
          <w:rFonts w:ascii="Times New Roman" w:hAnsi="Times New Roman"/>
          <w:sz w:val="20"/>
          <w:szCs w:val="20"/>
        </w:rPr>
        <w:t xml:space="preserve"> plant was used as a substrate for biogas production. The plant was collected from Chini Lake, Pahang while inoculums of activated sludge was obtained from sewage treatment plant located in Putrajaya. </w:t>
      </w: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r w:rsidRPr="00056A63">
        <w:rPr>
          <w:rFonts w:ascii="Times New Roman" w:hAnsi="Times New Roman"/>
          <w:b/>
          <w:i/>
          <w:sz w:val="20"/>
          <w:szCs w:val="20"/>
        </w:rPr>
        <w:t xml:space="preserve">C. furcata </w:t>
      </w:r>
      <w:r w:rsidRPr="00056A63">
        <w:rPr>
          <w:rFonts w:ascii="Times New Roman" w:hAnsi="Times New Roman"/>
          <w:b/>
          <w:sz w:val="20"/>
          <w:szCs w:val="20"/>
        </w:rPr>
        <w:t>preparation</w:t>
      </w: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sz w:val="20"/>
          <w:szCs w:val="20"/>
        </w:rPr>
        <w:t xml:space="preserve">The raw sample of </w:t>
      </w:r>
      <w:r w:rsidRPr="00056A63">
        <w:rPr>
          <w:rFonts w:ascii="Times New Roman" w:hAnsi="Times New Roman"/>
          <w:i/>
          <w:sz w:val="20"/>
          <w:szCs w:val="20"/>
        </w:rPr>
        <w:t>C. furcata</w:t>
      </w:r>
      <w:r w:rsidRPr="00056A63">
        <w:rPr>
          <w:rFonts w:ascii="Times New Roman" w:hAnsi="Times New Roman"/>
          <w:sz w:val="20"/>
          <w:szCs w:val="20"/>
        </w:rPr>
        <w:t xml:space="preserve"> was weighted and transferred into six different 2000 mL conical flasks, as batch digesters for carrying out the anaerobic digestion process. Each conical flask contained 500 g of </w:t>
      </w:r>
      <w:r w:rsidRPr="00056A63">
        <w:rPr>
          <w:rFonts w:ascii="Times New Roman" w:hAnsi="Times New Roman"/>
          <w:i/>
          <w:sz w:val="20"/>
          <w:szCs w:val="20"/>
        </w:rPr>
        <w:t>C. furcata</w:t>
      </w:r>
      <w:r w:rsidRPr="00056A63">
        <w:rPr>
          <w:rFonts w:ascii="Times New Roman" w:hAnsi="Times New Roman"/>
          <w:sz w:val="20"/>
          <w:szCs w:val="20"/>
        </w:rPr>
        <w:t xml:space="preserve"> substrate at different ratio of sample mixture. Conical flask 1, 2 and 3 were filled with 500, 1000 and 1500 g of water for 1:1, 1:2 and 1:3 of </w:t>
      </w:r>
      <w:r w:rsidRPr="00056A63">
        <w:rPr>
          <w:rFonts w:ascii="Times New Roman" w:hAnsi="Times New Roman"/>
          <w:i/>
          <w:sz w:val="20"/>
          <w:szCs w:val="20"/>
        </w:rPr>
        <w:t>C. furcata</w:t>
      </w:r>
      <w:r w:rsidRPr="00056A63">
        <w:rPr>
          <w:rFonts w:ascii="Times New Roman" w:hAnsi="Times New Roman"/>
          <w:sz w:val="20"/>
          <w:szCs w:val="20"/>
        </w:rPr>
        <w:t xml:space="preserve">/water ratio respectively. Meanwhile, conical flask labelled with 4, 5 and 6 contained 500, 1000 and 1500 g of inoculums for 1:1, 1:2, 1:3 of </w:t>
      </w:r>
      <w:r w:rsidRPr="00056A63">
        <w:rPr>
          <w:rFonts w:ascii="Times New Roman" w:hAnsi="Times New Roman"/>
          <w:i/>
          <w:sz w:val="20"/>
          <w:szCs w:val="20"/>
        </w:rPr>
        <w:t>C. furcata</w:t>
      </w:r>
      <w:r w:rsidRPr="00056A63">
        <w:rPr>
          <w:rFonts w:ascii="Times New Roman" w:hAnsi="Times New Roman"/>
          <w:sz w:val="20"/>
          <w:szCs w:val="20"/>
        </w:rPr>
        <w:t>/inoculums ratio respectively as shown in Table 1.</w:t>
      </w:r>
    </w:p>
    <w:p w:rsid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both"/>
        <w:rPr>
          <w:rFonts w:ascii="Times New Roman" w:hAnsi="Times New Roman"/>
          <w:b/>
          <w:sz w:val="20"/>
          <w:szCs w:val="20"/>
        </w:rPr>
      </w:pPr>
      <w:r w:rsidRPr="00056A63">
        <w:rPr>
          <w:rFonts w:ascii="Times New Roman" w:hAnsi="Times New Roman"/>
          <w:b/>
          <w:sz w:val="20"/>
          <w:szCs w:val="20"/>
        </w:rPr>
        <w:t>Setup of anaerobic digester</w:t>
      </w: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sz w:val="20"/>
          <w:szCs w:val="20"/>
        </w:rPr>
        <w:t>Anaerobic digester system was setup using 2000 mL conical flask and 1000 mL cylinder that filled with water was upturned to trap gas produced during experiment. Both unit was connected using silicon tube as depicted in Figure 1. Each reactor consists of different sample mixture as stated in Table 1. Laboratory anaerobic digester system was developed as shown in Figure 1.</w:t>
      </w:r>
    </w:p>
    <w:p w:rsidR="00056A63" w:rsidRP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center"/>
        <w:rPr>
          <w:rFonts w:ascii="Times New Roman" w:hAnsi="Times New Roman"/>
          <w:sz w:val="20"/>
          <w:szCs w:val="20"/>
        </w:rPr>
      </w:pPr>
      <w:r w:rsidRPr="00056A63">
        <w:rPr>
          <w:rFonts w:ascii="Times New Roman" w:hAnsi="Times New Roman"/>
          <w:sz w:val="20"/>
          <w:szCs w:val="20"/>
        </w:rPr>
        <w:lastRenderedPageBreak/>
        <w:t xml:space="preserve">Table 1. </w:t>
      </w:r>
      <w:r>
        <w:rPr>
          <w:rFonts w:ascii="Times New Roman" w:hAnsi="Times New Roman"/>
          <w:sz w:val="20"/>
          <w:szCs w:val="20"/>
        </w:rPr>
        <w:t xml:space="preserve"> </w:t>
      </w:r>
      <w:r w:rsidRPr="00056A63">
        <w:rPr>
          <w:rFonts w:ascii="Times New Roman" w:hAnsi="Times New Roman"/>
          <w:sz w:val="20"/>
          <w:szCs w:val="20"/>
        </w:rPr>
        <w:t>Sample preparation method</w:t>
      </w:r>
    </w:p>
    <w:tbl>
      <w:tblPr>
        <w:tblStyle w:val="LightShading"/>
        <w:tblpPr w:leftFromText="180" w:rightFromText="180" w:vertAnchor="page" w:horzAnchor="margin" w:tblpXSpec="center" w:tblpY="2131"/>
        <w:tblW w:w="6454" w:type="dxa"/>
        <w:tblLayout w:type="fixed"/>
        <w:tblLook w:val="04A0" w:firstRow="1" w:lastRow="0" w:firstColumn="1" w:lastColumn="0" w:noHBand="0" w:noVBand="1"/>
      </w:tblPr>
      <w:tblGrid>
        <w:gridCol w:w="1292"/>
        <w:gridCol w:w="3728"/>
        <w:gridCol w:w="1434"/>
      </w:tblGrid>
      <w:tr w:rsidR="00056A63" w:rsidRPr="00056A63" w:rsidTr="00056A63">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92" w:type="dxa"/>
          </w:tcPr>
          <w:p w:rsidR="00056A63" w:rsidRPr="00056A63" w:rsidRDefault="00056A63" w:rsidP="00056A63">
            <w:pPr>
              <w:spacing w:before="60" w:after="60" w:line="240" w:lineRule="auto"/>
              <w:rPr>
                <w:rFonts w:ascii="Times New Roman" w:hAnsi="Times New Roman" w:cs="Times New Roman"/>
                <w:b w:val="0"/>
                <w:color w:val="000000" w:themeColor="text1"/>
                <w:sz w:val="20"/>
                <w:szCs w:val="20"/>
              </w:rPr>
            </w:pPr>
            <w:r w:rsidRPr="00056A63">
              <w:rPr>
                <w:rFonts w:ascii="Times New Roman" w:hAnsi="Times New Roman" w:cs="Times New Roman"/>
                <w:color w:val="000000" w:themeColor="text1"/>
                <w:sz w:val="20"/>
                <w:szCs w:val="20"/>
              </w:rPr>
              <w:t>Digester</w:t>
            </w:r>
          </w:p>
        </w:tc>
        <w:tc>
          <w:tcPr>
            <w:tcW w:w="3728" w:type="dxa"/>
          </w:tcPr>
          <w:p w:rsidR="00056A63" w:rsidRPr="00056A63" w:rsidRDefault="00056A63" w:rsidP="00056A63">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56A63">
              <w:rPr>
                <w:rFonts w:ascii="Times New Roman" w:hAnsi="Times New Roman" w:cs="Times New Roman"/>
                <w:color w:val="000000" w:themeColor="text1"/>
                <w:sz w:val="20"/>
                <w:szCs w:val="20"/>
              </w:rPr>
              <w:t>Sample Mixture</w:t>
            </w:r>
          </w:p>
        </w:tc>
        <w:tc>
          <w:tcPr>
            <w:tcW w:w="1434" w:type="dxa"/>
          </w:tcPr>
          <w:p w:rsidR="00056A63" w:rsidRPr="00056A63" w:rsidRDefault="00056A63" w:rsidP="00056A6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56A63">
              <w:rPr>
                <w:rFonts w:ascii="Times New Roman" w:hAnsi="Times New Roman" w:cs="Times New Roman"/>
                <w:color w:val="000000" w:themeColor="text1"/>
                <w:sz w:val="20"/>
                <w:szCs w:val="20"/>
              </w:rPr>
              <w:t>Mixture Ratio</w:t>
            </w:r>
          </w:p>
        </w:tc>
      </w:tr>
      <w:tr w:rsidR="00056A63" w:rsidRPr="00056A63" w:rsidTr="00056A6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292" w:type="dxa"/>
            <w:shd w:val="clear" w:color="auto" w:fill="auto"/>
          </w:tcPr>
          <w:p w:rsidR="00056A63" w:rsidRPr="00056A63" w:rsidRDefault="00056A63" w:rsidP="00056A63">
            <w:pPr>
              <w:spacing w:before="60" w:after="0" w:line="240" w:lineRule="auto"/>
              <w:rPr>
                <w:rFonts w:ascii="Times New Roman" w:hAnsi="Times New Roman" w:cs="Times New Roman"/>
                <w:b w:val="0"/>
                <w:sz w:val="20"/>
                <w:szCs w:val="20"/>
              </w:rPr>
            </w:pPr>
            <w:r w:rsidRPr="00056A63">
              <w:rPr>
                <w:rFonts w:ascii="Times New Roman" w:hAnsi="Times New Roman" w:cs="Times New Roman"/>
                <w:b w:val="0"/>
                <w:sz w:val="20"/>
                <w:szCs w:val="20"/>
              </w:rPr>
              <w:t>1</w:t>
            </w:r>
          </w:p>
        </w:tc>
        <w:tc>
          <w:tcPr>
            <w:tcW w:w="3728" w:type="dxa"/>
            <w:shd w:val="clear" w:color="auto" w:fill="auto"/>
          </w:tcPr>
          <w:p w:rsidR="00056A63" w:rsidRPr="00056A63" w:rsidRDefault="00056A63" w:rsidP="00056A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 xml:space="preserve">500 g </w:t>
            </w:r>
            <w:r w:rsidRPr="00056A63">
              <w:rPr>
                <w:rFonts w:ascii="Times New Roman" w:hAnsi="Times New Roman" w:cs="Times New Roman"/>
                <w:i/>
                <w:sz w:val="20"/>
                <w:szCs w:val="20"/>
              </w:rPr>
              <w:t>C. furcata</w:t>
            </w:r>
            <w:r w:rsidRPr="00056A63">
              <w:rPr>
                <w:rFonts w:ascii="Times New Roman" w:hAnsi="Times New Roman" w:cs="Times New Roman"/>
                <w:sz w:val="20"/>
                <w:szCs w:val="20"/>
              </w:rPr>
              <w:t xml:space="preserve"> + 500 g water</w:t>
            </w:r>
          </w:p>
        </w:tc>
        <w:tc>
          <w:tcPr>
            <w:tcW w:w="1434" w:type="dxa"/>
            <w:shd w:val="clear" w:color="auto" w:fill="auto"/>
          </w:tcPr>
          <w:p w:rsidR="00056A63" w:rsidRPr="00056A63" w:rsidRDefault="00056A63" w:rsidP="00056A63">
            <w:pPr>
              <w:tabs>
                <w:tab w:val="center" w:pos="601"/>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1:1</w:t>
            </w:r>
          </w:p>
        </w:tc>
      </w:tr>
      <w:tr w:rsidR="00056A63" w:rsidRPr="00056A63" w:rsidTr="00056A63">
        <w:trPr>
          <w:trHeight w:val="258"/>
        </w:trPr>
        <w:tc>
          <w:tcPr>
            <w:cnfStyle w:val="001000000000" w:firstRow="0" w:lastRow="0" w:firstColumn="1" w:lastColumn="0" w:oddVBand="0" w:evenVBand="0" w:oddHBand="0" w:evenHBand="0" w:firstRowFirstColumn="0" w:firstRowLastColumn="0" w:lastRowFirstColumn="0" w:lastRowLastColumn="0"/>
            <w:tcW w:w="1292" w:type="dxa"/>
            <w:shd w:val="clear" w:color="auto" w:fill="auto"/>
          </w:tcPr>
          <w:p w:rsidR="00056A63" w:rsidRPr="00056A63" w:rsidRDefault="00056A63" w:rsidP="00056A63">
            <w:pPr>
              <w:spacing w:before="60" w:after="0" w:line="240" w:lineRule="auto"/>
              <w:rPr>
                <w:rFonts w:ascii="Times New Roman" w:hAnsi="Times New Roman" w:cs="Times New Roman"/>
                <w:b w:val="0"/>
                <w:sz w:val="20"/>
                <w:szCs w:val="20"/>
              </w:rPr>
            </w:pPr>
            <w:r w:rsidRPr="00056A63">
              <w:rPr>
                <w:rFonts w:ascii="Times New Roman" w:hAnsi="Times New Roman" w:cs="Times New Roman"/>
                <w:b w:val="0"/>
                <w:sz w:val="20"/>
                <w:szCs w:val="20"/>
              </w:rPr>
              <w:t>2</w:t>
            </w:r>
          </w:p>
        </w:tc>
        <w:tc>
          <w:tcPr>
            <w:tcW w:w="3728" w:type="dxa"/>
            <w:shd w:val="clear" w:color="auto" w:fill="auto"/>
          </w:tcPr>
          <w:p w:rsidR="00056A63" w:rsidRPr="00056A63" w:rsidRDefault="00056A63" w:rsidP="00056A63">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A63">
              <w:rPr>
                <w:rFonts w:ascii="Times New Roman" w:hAnsi="Times New Roman" w:cs="Times New Roman"/>
                <w:sz w:val="20"/>
                <w:szCs w:val="20"/>
              </w:rPr>
              <w:t xml:space="preserve">500 g </w:t>
            </w:r>
            <w:r w:rsidRPr="00056A63">
              <w:rPr>
                <w:rFonts w:ascii="Times New Roman" w:hAnsi="Times New Roman" w:cs="Times New Roman"/>
                <w:i/>
                <w:sz w:val="20"/>
                <w:szCs w:val="20"/>
              </w:rPr>
              <w:t>C. furcata</w:t>
            </w:r>
            <w:r w:rsidRPr="00056A63">
              <w:rPr>
                <w:rFonts w:ascii="Times New Roman" w:hAnsi="Times New Roman" w:cs="Times New Roman"/>
                <w:sz w:val="20"/>
                <w:szCs w:val="20"/>
              </w:rPr>
              <w:t xml:space="preserve"> + 1000 g water</w:t>
            </w:r>
          </w:p>
        </w:tc>
        <w:tc>
          <w:tcPr>
            <w:tcW w:w="1434" w:type="dxa"/>
            <w:shd w:val="clear" w:color="auto" w:fill="auto"/>
          </w:tcPr>
          <w:p w:rsidR="00056A63" w:rsidRPr="00056A63" w:rsidRDefault="00056A63" w:rsidP="00056A6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1:2</w:t>
            </w:r>
          </w:p>
        </w:tc>
      </w:tr>
      <w:tr w:rsidR="00056A63" w:rsidRPr="00056A63" w:rsidTr="00056A6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292" w:type="dxa"/>
            <w:shd w:val="clear" w:color="auto" w:fill="auto"/>
          </w:tcPr>
          <w:p w:rsidR="00056A63" w:rsidRPr="00056A63" w:rsidRDefault="00056A63" w:rsidP="00056A63">
            <w:pPr>
              <w:spacing w:before="60" w:after="0" w:line="240" w:lineRule="auto"/>
              <w:rPr>
                <w:rFonts w:ascii="Times New Roman" w:hAnsi="Times New Roman" w:cs="Times New Roman"/>
                <w:b w:val="0"/>
                <w:sz w:val="20"/>
                <w:szCs w:val="20"/>
              </w:rPr>
            </w:pPr>
            <w:r w:rsidRPr="00056A63">
              <w:rPr>
                <w:rFonts w:ascii="Times New Roman" w:hAnsi="Times New Roman" w:cs="Times New Roman"/>
                <w:b w:val="0"/>
                <w:sz w:val="20"/>
                <w:szCs w:val="20"/>
              </w:rPr>
              <w:t>3</w:t>
            </w:r>
          </w:p>
        </w:tc>
        <w:tc>
          <w:tcPr>
            <w:tcW w:w="3728" w:type="dxa"/>
            <w:shd w:val="clear" w:color="auto" w:fill="auto"/>
          </w:tcPr>
          <w:p w:rsidR="00056A63" w:rsidRPr="00056A63" w:rsidRDefault="00056A63" w:rsidP="00056A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A63">
              <w:rPr>
                <w:rFonts w:ascii="Times New Roman" w:hAnsi="Times New Roman" w:cs="Times New Roman"/>
                <w:sz w:val="20"/>
                <w:szCs w:val="20"/>
              </w:rPr>
              <w:t xml:space="preserve">500 g </w:t>
            </w:r>
            <w:r w:rsidRPr="00056A63">
              <w:rPr>
                <w:rFonts w:ascii="Times New Roman" w:hAnsi="Times New Roman" w:cs="Times New Roman"/>
                <w:i/>
                <w:sz w:val="20"/>
                <w:szCs w:val="20"/>
              </w:rPr>
              <w:t>C. furcata</w:t>
            </w:r>
            <w:r w:rsidRPr="00056A63">
              <w:rPr>
                <w:rFonts w:ascii="Times New Roman" w:hAnsi="Times New Roman" w:cs="Times New Roman"/>
                <w:sz w:val="20"/>
                <w:szCs w:val="20"/>
              </w:rPr>
              <w:t xml:space="preserve"> + 1500 g water</w:t>
            </w:r>
          </w:p>
        </w:tc>
        <w:tc>
          <w:tcPr>
            <w:tcW w:w="1434" w:type="dxa"/>
            <w:shd w:val="clear" w:color="auto" w:fill="auto"/>
          </w:tcPr>
          <w:p w:rsidR="00056A63" w:rsidRPr="00056A63" w:rsidRDefault="00056A63" w:rsidP="00056A6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1:3</w:t>
            </w:r>
          </w:p>
        </w:tc>
      </w:tr>
      <w:tr w:rsidR="00056A63" w:rsidRPr="00056A63" w:rsidTr="00056A63">
        <w:trPr>
          <w:trHeight w:val="258"/>
        </w:trPr>
        <w:tc>
          <w:tcPr>
            <w:cnfStyle w:val="001000000000" w:firstRow="0" w:lastRow="0" w:firstColumn="1" w:lastColumn="0" w:oddVBand="0" w:evenVBand="0" w:oddHBand="0" w:evenHBand="0" w:firstRowFirstColumn="0" w:firstRowLastColumn="0" w:lastRowFirstColumn="0" w:lastRowLastColumn="0"/>
            <w:tcW w:w="1292" w:type="dxa"/>
            <w:shd w:val="clear" w:color="auto" w:fill="auto"/>
          </w:tcPr>
          <w:p w:rsidR="00056A63" w:rsidRPr="00056A63" w:rsidRDefault="00056A63" w:rsidP="00056A63">
            <w:pPr>
              <w:spacing w:before="60" w:after="0" w:line="240" w:lineRule="auto"/>
              <w:rPr>
                <w:rFonts w:ascii="Times New Roman" w:hAnsi="Times New Roman" w:cs="Times New Roman"/>
                <w:b w:val="0"/>
                <w:sz w:val="20"/>
                <w:szCs w:val="20"/>
              </w:rPr>
            </w:pPr>
            <w:r w:rsidRPr="00056A63">
              <w:rPr>
                <w:rFonts w:ascii="Times New Roman" w:hAnsi="Times New Roman" w:cs="Times New Roman"/>
                <w:b w:val="0"/>
                <w:sz w:val="20"/>
                <w:szCs w:val="20"/>
              </w:rPr>
              <w:t>4</w:t>
            </w:r>
          </w:p>
        </w:tc>
        <w:tc>
          <w:tcPr>
            <w:tcW w:w="3728" w:type="dxa"/>
            <w:shd w:val="clear" w:color="auto" w:fill="auto"/>
          </w:tcPr>
          <w:p w:rsidR="00056A63" w:rsidRPr="00056A63" w:rsidRDefault="00056A63" w:rsidP="00056A63">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 xml:space="preserve">500 g </w:t>
            </w:r>
            <w:r w:rsidRPr="00056A63">
              <w:rPr>
                <w:rFonts w:ascii="Times New Roman" w:hAnsi="Times New Roman" w:cs="Times New Roman"/>
                <w:i/>
                <w:sz w:val="20"/>
                <w:szCs w:val="20"/>
              </w:rPr>
              <w:t>C. furcata</w:t>
            </w:r>
            <w:r w:rsidRPr="00056A63">
              <w:rPr>
                <w:rFonts w:ascii="Times New Roman" w:hAnsi="Times New Roman" w:cs="Times New Roman"/>
                <w:sz w:val="20"/>
                <w:szCs w:val="20"/>
              </w:rPr>
              <w:t xml:space="preserve"> + 500 g inoculums</w:t>
            </w:r>
          </w:p>
        </w:tc>
        <w:tc>
          <w:tcPr>
            <w:tcW w:w="1434" w:type="dxa"/>
            <w:shd w:val="clear" w:color="auto" w:fill="auto"/>
          </w:tcPr>
          <w:p w:rsidR="00056A63" w:rsidRPr="00056A63" w:rsidRDefault="00056A63" w:rsidP="00056A6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1:1</w:t>
            </w:r>
          </w:p>
        </w:tc>
      </w:tr>
      <w:tr w:rsidR="00056A63" w:rsidRPr="00056A63" w:rsidTr="00056A6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92" w:type="dxa"/>
            <w:shd w:val="clear" w:color="auto" w:fill="auto"/>
          </w:tcPr>
          <w:p w:rsidR="00056A63" w:rsidRPr="00056A63" w:rsidRDefault="00056A63" w:rsidP="00056A63">
            <w:pPr>
              <w:spacing w:before="60" w:after="0" w:line="240" w:lineRule="auto"/>
              <w:rPr>
                <w:rFonts w:ascii="Times New Roman" w:hAnsi="Times New Roman" w:cs="Times New Roman"/>
                <w:b w:val="0"/>
                <w:sz w:val="20"/>
                <w:szCs w:val="20"/>
              </w:rPr>
            </w:pPr>
            <w:r w:rsidRPr="00056A63">
              <w:rPr>
                <w:rFonts w:ascii="Times New Roman" w:hAnsi="Times New Roman" w:cs="Times New Roman"/>
                <w:b w:val="0"/>
                <w:sz w:val="20"/>
                <w:szCs w:val="20"/>
              </w:rPr>
              <w:t>5</w:t>
            </w:r>
          </w:p>
        </w:tc>
        <w:tc>
          <w:tcPr>
            <w:tcW w:w="3728" w:type="dxa"/>
            <w:shd w:val="clear" w:color="auto" w:fill="auto"/>
          </w:tcPr>
          <w:p w:rsidR="00056A63" w:rsidRPr="00056A63" w:rsidRDefault="00056A63" w:rsidP="00056A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6A63">
              <w:rPr>
                <w:rFonts w:ascii="Times New Roman" w:hAnsi="Times New Roman" w:cs="Times New Roman"/>
                <w:sz w:val="20"/>
                <w:szCs w:val="20"/>
              </w:rPr>
              <w:t xml:space="preserve">500 g </w:t>
            </w:r>
            <w:r w:rsidRPr="00056A63">
              <w:rPr>
                <w:rFonts w:ascii="Times New Roman" w:hAnsi="Times New Roman" w:cs="Times New Roman"/>
                <w:i/>
                <w:sz w:val="20"/>
                <w:szCs w:val="20"/>
              </w:rPr>
              <w:t>C. furcata</w:t>
            </w:r>
            <w:r w:rsidRPr="00056A63">
              <w:rPr>
                <w:rFonts w:ascii="Times New Roman" w:hAnsi="Times New Roman" w:cs="Times New Roman"/>
                <w:sz w:val="20"/>
                <w:szCs w:val="20"/>
              </w:rPr>
              <w:t xml:space="preserve"> + 1000 g inoculums</w:t>
            </w:r>
          </w:p>
        </w:tc>
        <w:tc>
          <w:tcPr>
            <w:tcW w:w="1434" w:type="dxa"/>
            <w:shd w:val="clear" w:color="auto" w:fill="auto"/>
          </w:tcPr>
          <w:p w:rsidR="00056A63" w:rsidRPr="00056A63" w:rsidRDefault="00056A63" w:rsidP="00056A6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1:2</w:t>
            </w:r>
          </w:p>
        </w:tc>
      </w:tr>
      <w:tr w:rsidR="00056A63" w:rsidRPr="00056A63" w:rsidTr="00056A63">
        <w:trPr>
          <w:trHeight w:val="258"/>
        </w:trPr>
        <w:tc>
          <w:tcPr>
            <w:cnfStyle w:val="001000000000" w:firstRow="0" w:lastRow="0" w:firstColumn="1" w:lastColumn="0" w:oddVBand="0" w:evenVBand="0" w:oddHBand="0" w:evenHBand="0" w:firstRowFirstColumn="0" w:firstRowLastColumn="0" w:lastRowFirstColumn="0" w:lastRowLastColumn="0"/>
            <w:tcW w:w="1292" w:type="dxa"/>
          </w:tcPr>
          <w:p w:rsidR="00056A63" w:rsidRPr="00056A63" w:rsidRDefault="00056A63" w:rsidP="00056A63">
            <w:pPr>
              <w:spacing w:before="60" w:after="60" w:line="240" w:lineRule="auto"/>
              <w:rPr>
                <w:rFonts w:ascii="Times New Roman" w:hAnsi="Times New Roman" w:cs="Times New Roman"/>
                <w:b w:val="0"/>
                <w:sz w:val="20"/>
                <w:szCs w:val="20"/>
              </w:rPr>
            </w:pPr>
            <w:r w:rsidRPr="00056A63">
              <w:rPr>
                <w:rFonts w:ascii="Times New Roman" w:hAnsi="Times New Roman" w:cs="Times New Roman"/>
                <w:b w:val="0"/>
                <w:sz w:val="20"/>
                <w:szCs w:val="20"/>
              </w:rPr>
              <w:t>6</w:t>
            </w:r>
          </w:p>
        </w:tc>
        <w:tc>
          <w:tcPr>
            <w:tcW w:w="3728" w:type="dxa"/>
          </w:tcPr>
          <w:p w:rsidR="00056A63" w:rsidRPr="00056A63" w:rsidRDefault="00056A63" w:rsidP="00056A63">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6A63">
              <w:rPr>
                <w:rFonts w:ascii="Times New Roman" w:hAnsi="Times New Roman" w:cs="Times New Roman"/>
                <w:sz w:val="20"/>
                <w:szCs w:val="20"/>
              </w:rPr>
              <w:t xml:space="preserve">500 g </w:t>
            </w:r>
            <w:r w:rsidRPr="00056A63">
              <w:rPr>
                <w:rFonts w:ascii="Times New Roman" w:hAnsi="Times New Roman" w:cs="Times New Roman"/>
                <w:i/>
                <w:sz w:val="20"/>
                <w:szCs w:val="20"/>
              </w:rPr>
              <w:t>C. furcata</w:t>
            </w:r>
            <w:r w:rsidRPr="00056A63">
              <w:rPr>
                <w:rFonts w:ascii="Times New Roman" w:hAnsi="Times New Roman" w:cs="Times New Roman"/>
                <w:sz w:val="20"/>
                <w:szCs w:val="20"/>
              </w:rPr>
              <w:t xml:space="preserve"> + 1500 g inoculums</w:t>
            </w:r>
          </w:p>
        </w:tc>
        <w:tc>
          <w:tcPr>
            <w:tcW w:w="1434" w:type="dxa"/>
          </w:tcPr>
          <w:p w:rsidR="00056A63" w:rsidRPr="00056A63" w:rsidRDefault="00056A63" w:rsidP="00056A63">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56A63">
              <w:rPr>
                <w:rFonts w:ascii="Times New Roman" w:hAnsi="Times New Roman" w:cs="Times New Roman"/>
                <w:sz w:val="20"/>
                <w:szCs w:val="20"/>
              </w:rPr>
              <w:t>1:3</w:t>
            </w:r>
          </w:p>
        </w:tc>
      </w:tr>
    </w:tbl>
    <w:p w:rsidR="00056A63" w:rsidRP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center"/>
        <w:outlineLvl w:val="0"/>
        <w:rPr>
          <w:rFonts w:ascii="Times New Roman" w:hAnsi="Times New Roman"/>
          <w:b/>
          <w:sz w:val="20"/>
          <w:szCs w:val="20"/>
        </w:rPr>
      </w:pPr>
      <w:r w:rsidRPr="00056A63">
        <w:rPr>
          <w:rFonts w:ascii="Times New Roman" w:hAnsi="Times New Roman"/>
          <w:b/>
          <w:noProof/>
          <w:sz w:val="20"/>
          <w:szCs w:val="20"/>
          <w:lang w:bidi="ar-SA"/>
        </w:rPr>
        <w:drawing>
          <wp:inline distT="0" distB="0" distL="0" distR="0" wp14:anchorId="260A427C" wp14:editId="72A54FDB">
            <wp:extent cx="3076575" cy="1619250"/>
            <wp:effectExtent l="19050" t="19050" r="28575"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3076575" cy="1619250"/>
                    </a:xfrm>
                    <a:prstGeom prst="rect">
                      <a:avLst/>
                    </a:prstGeom>
                    <a:noFill/>
                    <a:ln>
                      <a:solidFill>
                        <a:schemeClr val="tx1"/>
                      </a:solidFill>
                    </a:ln>
                  </pic:spPr>
                </pic:pic>
              </a:graphicData>
            </a:graphic>
          </wp:inline>
        </w:drawing>
      </w:r>
    </w:p>
    <w:p w:rsidR="00056A63" w:rsidRPr="00056A63" w:rsidRDefault="00056A63" w:rsidP="00056A63">
      <w:pPr>
        <w:spacing w:after="0" w:line="240" w:lineRule="auto"/>
        <w:jc w:val="both"/>
        <w:outlineLvl w:val="0"/>
        <w:rPr>
          <w:rFonts w:ascii="Times New Roman" w:hAnsi="Times New Roman"/>
          <w:b/>
          <w:sz w:val="20"/>
          <w:szCs w:val="20"/>
        </w:rPr>
      </w:pPr>
    </w:p>
    <w:p w:rsidR="00056A63" w:rsidRPr="00056A63" w:rsidRDefault="00056A63" w:rsidP="00056A63">
      <w:pPr>
        <w:spacing w:after="0" w:line="240" w:lineRule="auto"/>
        <w:jc w:val="center"/>
        <w:rPr>
          <w:rFonts w:ascii="Times New Roman" w:hAnsi="Times New Roman"/>
          <w:sz w:val="20"/>
          <w:szCs w:val="20"/>
        </w:rPr>
      </w:pPr>
      <w:r w:rsidRPr="00056A63">
        <w:rPr>
          <w:rFonts w:ascii="Times New Roman" w:hAnsi="Times New Roman"/>
          <w:sz w:val="20"/>
          <w:szCs w:val="20"/>
        </w:rPr>
        <w:t xml:space="preserve">Figure 1. </w:t>
      </w:r>
      <w:r>
        <w:rPr>
          <w:rFonts w:ascii="Times New Roman" w:hAnsi="Times New Roman"/>
          <w:sz w:val="20"/>
          <w:szCs w:val="20"/>
        </w:rPr>
        <w:t xml:space="preserve"> </w:t>
      </w:r>
      <w:r w:rsidRPr="00056A63">
        <w:rPr>
          <w:rFonts w:ascii="Times New Roman" w:hAnsi="Times New Roman"/>
          <w:sz w:val="20"/>
          <w:szCs w:val="20"/>
        </w:rPr>
        <w:t>Schematic diagram for anaerobic digester system</w:t>
      </w:r>
    </w:p>
    <w:p w:rsidR="006768E9" w:rsidRDefault="006768E9" w:rsidP="00056A63">
      <w:pPr>
        <w:spacing w:after="0" w:line="240" w:lineRule="auto"/>
        <w:jc w:val="center"/>
        <w:rPr>
          <w:rFonts w:ascii="Times New Roman" w:hAnsi="Times New Roman"/>
          <w:noProof/>
          <w:sz w:val="20"/>
          <w:szCs w:val="20"/>
          <w:lang w:bidi="ar-SA"/>
        </w:rPr>
      </w:pPr>
    </w:p>
    <w:p w:rsidR="00056A63" w:rsidRPr="00F447A7" w:rsidRDefault="00056A63" w:rsidP="00056A6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56A63" w:rsidRPr="00056A63" w:rsidRDefault="00056A63" w:rsidP="00056A63">
      <w:pPr>
        <w:spacing w:after="0" w:line="240" w:lineRule="auto"/>
        <w:jc w:val="both"/>
        <w:rPr>
          <w:rFonts w:ascii="Times New Roman" w:hAnsi="Times New Roman"/>
          <w:b/>
          <w:sz w:val="20"/>
          <w:szCs w:val="20"/>
        </w:rPr>
      </w:pPr>
      <w:r w:rsidRPr="00056A63">
        <w:rPr>
          <w:rFonts w:ascii="Times New Roman" w:hAnsi="Times New Roman"/>
          <w:b/>
          <w:sz w:val="20"/>
          <w:szCs w:val="20"/>
        </w:rPr>
        <w:t xml:space="preserve">Effect of </w:t>
      </w:r>
      <w:r w:rsidRPr="00056A63">
        <w:rPr>
          <w:rFonts w:ascii="Times New Roman" w:hAnsi="Times New Roman"/>
          <w:b/>
          <w:i/>
          <w:sz w:val="20"/>
          <w:szCs w:val="20"/>
        </w:rPr>
        <w:t>C. furcata</w:t>
      </w:r>
      <w:r w:rsidRPr="00056A63">
        <w:rPr>
          <w:rFonts w:ascii="Times New Roman" w:hAnsi="Times New Roman"/>
          <w:b/>
          <w:sz w:val="20"/>
          <w:szCs w:val="20"/>
        </w:rPr>
        <w:t>/water ratios</w:t>
      </w:r>
    </w:p>
    <w:p w:rsidR="00056A63" w:rsidRPr="00056A63" w:rsidRDefault="00056A63" w:rsidP="00056A63">
      <w:pPr>
        <w:spacing w:after="0" w:line="240" w:lineRule="auto"/>
        <w:jc w:val="both"/>
        <w:outlineLvl w:val="0"/>
        <w:rPr>
          <w:rFonts w:ascii="Times New Roman" w:hAnsi="Times New Roman"/>
          <w:sz w:val="20"/>
          <w:szCs w:val="20"/>
        </w:rPr>
      </w:pPr>
      <w:r w:rsidRPr="00056A63">
        <w:rPr>
          <w:rFonts w:ascii="Times New Roman" w:hAnsi="Times New Roman"/>
          <w:sz w:val="20"/>
          <w:szCs w:val="20"/>
        </w:rPr>
        <w:t xml:space="preserve">As can be seen in Figure 2, a graph of percentage of biogas production versus time was plotted for the sample mixture of </w:t>
      </w:r>
      <w:r w:rsidRPr="00056A63">
        <w:rPr>
          <w:rFonts w:ascii="Times New Roman" w:hAnsi="Times New Roman"/>
          <w:i/>
          <w:sz w:val="20"/>
          <w:szCs w:val="20"/>
        </w:rPr>
        <w:t>C. furcata</w:t>
      </w:r>
      <w:r w:rsidRPr="00056A63">
        <w:rPr>
          <w:rFonts w:ascii="Times New Roman" w:hAnsi="Times New Roman"/>
          <w:sz w:val="20"/>
          <w:szCs w:val="20"/>
        </w:rPr>
        <w:t xml:space="preserve"> and water for once in week until 28 days. Cumulative biogas production for sample mixture of 1:1 and 1:2 </w:t>
      </w:r>
      <w:r w:rsidRPr="00056A63">
        <w:rPr>
          <w:rFonts w:ascii="Times New Roman" w:hAnsi="Times New Roman"/>
          <w:i/>
          <w:sz w:val="20"/>
          <w:szCs w:val="20"/>
        </w:rPr>
        <w:t>C. furcata</w:t>
      </w:r>
      <w:r w:rsidRPr="00056A63">
        <w:rPr>
          <w:rFonts w:ascii="Times New Roman" w:hAnsi="Times New Roman"/>
          <w:sz w:val="20"/>
          <w:szCs w:val="20"/>
        </w:rPr>
        <w:t xml:space="preserve">/water ratio increased according to time but for ratio of 1:3 </w:t>
      </w:r>
      <w:r w:rsidRPr="00056A63">
        <w:rPr>
          <w:rFonts w:ascii="Times New Roman" w:hAnsi="Times New Roman"/>
          <w:i/>
          <w:sz w:val="20"/>
          <w:szCs w:val="20"/>
        </w:rPr>
        <w:t>C.furcata</w:t>
      </w:r>
      <w:r w:rsidRPr="00056A63">
        <w:rPr>
          <w:rFonts w:ascii="Times New Roman" w:hAnsi="Times New Roman"/>
          <w:sz w:val="20"/>
          <w:szCs w:val="20"/>
        </w:rPr>
        <w:t xml:space="preserve">/water the biogas production increased after day 22 onwards. For sample mixture of 1:1 and 1:2 </w:t>
      </w:r>
      <w:r w:rsidRPr="00056A63">
        <w:rPr>
          <w:rFonts w:ascii="Times New Roman" w:hAnsi="Times New Roman"/>
          <w:i/>
          <w:sz w:val="20"/>
          <w:szCs w:val="20"/>
        </w:rPr>
        <w:t>C. furcata</w:t>
      </w:r>
      <w:r w:rsidRPr="00056A63">
        <w:rPr>
          <w:rFonts w:ascii="Times New Roman" w:hAnsi="Times New Roman"/>
          <w:sz w:val="20"/>
          <w:szCs w:val="20"/>
        </w:rPr>
        <w:t>/water there were no CH</w:t>
      </w:r>
      <w:r w:rsidRPr="00056A63">
        <w:rPr>
          <w:rFonts w:ascii="Times New Roman" w:hAnsi="Times New Roman"/>
          <w:sz w:val="20"/>
          <w:szCs w:val="20"/>
          <w:vertAlign w:val="subscript"/>
        </w:rPr>
        <w:t>4</w:t>
      </w:r>
      <w:r w:rsidRPr="00056A63">
        <w:rPr>
          <w:rFonts w:ascii="Times New Roman" w:hAnsi="Times New Roman"/>
          <w:sz w:val="20"/>
          <w:szCs w:val="20"/>
        </w:rPr>
        <w:t xml:space="preserve"> detected during 28 days. Meanwhile for sample mixture of 1:3 </w:t>
      </w:r>
      <w:r w:rsidRPr="00056A63">
        <w:rPr>
          <w:rFonts w:ascii="Times New Roman" w:hAnsi="Times New Roman"/>
          <w:i/>
          <w:sz w:val="20"/>
          <w:szCs w:val="20"/>
        </w:rPr>
        <w:t>C. furcata</w:t>
      </w:r>
      <w:r w:rsidRPr="00056A63">
        <w:rPr>
          <w:rFonts w:ascii="Times New Roman" w:hAnsi="Times New Roman"/>
          <w:sz w:val="20"/>
          <w:szCs w:val="20"/>
        </w:rPr>
        <w:t>/water ratio produced 1.1% of CH</w:t>
      </w:r>
      <w:r w:rsidRPr="00056A63">
        <w:rPr>
          <w:rFonts w:ascii="Times New Roman" w:hAnsi="Times New Roman"/>
          <w:sz w:val="20"/>
          <w:szCs w:val="20"/>
          <w:vertAlign w:val="subscript"/>
        </w:rPr>
        <w:t>4</w:t>
      </w:r>
      <w:r w:rsidRPr="00056A63">
        <w:rPr>
          <w:rFonts w:ascii="Times New Roman" w:hAnsi="Times New Roman"/>
          <w:sz w:val="20"/>
          <w:szCs w:val="20"/>
        </w:rPr>
        <w:t xml:space="preserve"> </w:t>
      </w:r>
      <w:r w:rsidRPr="00056A63">
        <w:rPr>
          <w:rFonts w:ascii="Times New Roman" w:hAnsi="Times New Roman"/>
          <w:color w:val="000000" w:themeColor="text1"/>
          <w:sz w:val="20"/>
          <w:szCs w:val="20"/>
        </w:rPr>
        <w:t>started on day 22</w:t>
      </w:r>
      <w:r w:rsidRPr="00056A63">
        <w:rPr>
          <w:rFonts w:ascii="Times New Roman" w:hAnsi="Times New Roman"/>
          <w:sz w:val="20"/>
          <w:szCs w:val="20"/>
        </w:rPr>
        <w:t xml:space="preserve">. At ratio of 1:1 of </w:t>
      </w:r>
      <w:r w:rsidRPr="00056A63">
        <w:rPr>
          <w:rFonts w:ascii="Times New Roman" w:hAnsi="Times New Roman"/>
          <w:i/>
          <w:sz w:val="20"/>
          <w:szCs w:val="20"/>
        </w:rPr>
        <w:t>C. furcata</w:t>
      </w:r>
      <w:r w:rsidRPr="00056A63">
        <w:rPr>
          <w:rFonts w:ascii="Times New Roman" w:hAnsi="Times New Roman"/>
          <w:sz w:val="20"/>
          <w:szCs w:val="20"/>
        </w:rPr>
        <w:t>/water only 3.6%, 4.4%, 2.1% and 1.4% CO</w:t>
      </w:r>
      <w:r w:rsidRPr="00056A63">
        <w:rPr>
          <w:rFonts w:ascii="Times New Roman" w:hAnsi="Times New Roman"/>
          <w:sz w:val="20"/>
          <w:szCs w:val="20"/>
          <w:vertAlign w:val="subscript"/>
        </w:rPr>
        <w:t>2</w:t>
      </w:r>
      <w:r w:rsidRPr="00056A63">
        <w:rPr>
          <w:rFonts w:ascii="Times New Roman" w:hAnsi="Times New Roman"/>
          <w:sz w:val="20"/>
          <w:szCs w:val="20"/>
        </w:rPr>
        <w:t xml:space="preserve"> were produced on day 7, 14, 21 and 28, respectively and only 61.3% hydrogen was detected on day 28. The sample mixture of 1:2 </w:t>
      </w:r>
      <w:r w:rsidRPr="00056A63">
        <w:rPr>
          <w:rFonts w:ascii="Times New Roman" w:hAnsi="Times New Roman"/>
          <w:i/>
          <w:sz w:val="20"/>
          <w:szCs w:val="20"/>
        </w:rPr>
        <w:t>C. furcata</w:t>
      </w:r>
      <w:r w:rsidRPr="00056A63">
        <w:rPr>
          <w:rFonts w:ascii="Times New Roman" w:hAnsi="Times New Roman"/>
          <w:sz w:val="20"/>
          <w:szCs w:val="20"/>
        </w:rPr>
        <w:t>/water ratio produced 0.95% of CO</w:t>
      </w:r>
      <w:r w:rsidRPr="00056A63">
        <w:rPr>
          <w:rFonts w:ascii="Times New Roman" w:hAnsi="Times New Roman"/>
          <w:sz w:val="20"/>
          <w:szCs w:val="20"/>
          <w:vertAlign w:val="subscript"/>
        </w:rPr>
        <w:t>2</w:t>
      </w:r>
      <w:r w:rsidRPr="00056A63">
        <w:rPr>
          <w:rFonts w:ascii="Times New Roman" w:hAnsi="Times New Roman"/>
          <w:sz w:val="20"/>
          <w:szCs w:val="20"/>
        </w:rPr>
        <w:t xml:space="preserve"> and 50.9% of H</w:t>
      </w:r>
      <w:r w:rsidRPr="00056A63">
        <w:rPr>
          <w:rFonts w:ascii="Times New Roman" w:hAnsi="Times New Roman"/>
          <w:sz w:val="20"/>
          <w:szCs w:val="20"/>
          <w:vertAlign w:val="subscript"/>
        </w:rPr>
        <w:t>2</w:t>
      </w:r>
      <w:r w:rsidRPr="00056A63">
        <w:rPr>
          <w:rFonts w:ascii="Times New Roman" w:hAnsi="Times New Roman"/>
          <w:sz w:val="20"/>
          <w:szCs w:val="20"/>
        </w:rPr>
        <w:t xml:space="preserve"> on day 7. Biogas composition majorly consists of methane and carbon dioxide. Meanwhile, nitrogen, hydrogen, hydrogen sulphide and oxygen are minority gases produced during digestion process [7]. Others gases produced during this study might consist of nitrogen, oxygen and hydrogen sulphide. Based on the results, only sample mixture of 1:3 </w:t>
      </w:r>
      <w:r w:rsidRPr="00056A63">
        <w:rPr>
          <w:rFonts w:ascii="Times New Roman" w:hAnsi="Times New Roman"/>
          <w:i/>
          <w:sz w:val="20"/>
          <w:szCs w:val="20"/>
        </w:rPr>
        <w:t>C. furcata</w:t>
      </w:r>
      <w:r w:rsidRPr="00056A63">
        <w:rPr>
          <w:rFonts w:ascii="Times New Roman" w:hAnsi="Times New Roman"/>
          <w:sz w:val="20"/>
          <w:szCs w:val="20"/>
        </w:rPr>
        <w:t>/water produced 1.1% CH</w:t>
      </w:r>
      <w:r w:rsidRPr="00056A63">
        <w:rPr>
          <w:rFonts w:ascii="Times New Roman" w:hAnsi="Times New Roman"/>
          <w:sz w:val="20"/>
          <w:szCs w:val="20"/>
          <w:vertAlign w:val="subscript"/>
        </w:rPr>
        <w:t>4</w:t>
      </w:r>
      <w:r w:rsidRPr="00056A63">
        <w:rPr>
          <w:rFonts w:ascii="Times New Roman" w:hAnsi="Times New Roman"/>
          <w:sz w:val="20"/>
          <w:szCs w:val="20"/>
        </w:rPr>
        <w:t xml:space="preserve">. The methane produced from the digestion process could be initiated from native microbes that naturally attached to the </w:t>
      </w:r>
      <w:r w:rsidRPr="00056A63">
        <w:rPr>
          <w:rFonts w:ascii="Times New Roman" w:hAnsi="Times New Roman"/>
          <w:i/>
          <w:sz w:val="20"/>
          <w:szCs w:val="20"/>
        </w:rPr>
        <w:t>C. furcata</w:t>
      </w:r>
      <w:r w:rsidRPr="00056A63">
        <w:rPr>
          <w:rFonts w:ascii="Times New Roman" w:hAnsi="Times New Roman"/>
          <w:sz w:val="20"/>
          <w:szCs w:val="20"/>
        </w:rPr>
        <w:t xml:space="preserve">. On top of that, sample mixture of 1:3 </w:t>
      </w:r>
      <w:r w:rsidRPr="00056A63">
        <w:rPr>
          <w:rFonts w:ascii="Times New Roman" w:hAnsi="Times New Roman"/>
          <w:i/>
          <w:sz w:val="20"/>
          <w:szCs w:val="20"/>
        </w:rPr>
        <w:t>C. furcata</w:t>
      </w:r>
      <w:r w:rsidRPr="00056A63">
        <w:rPr>
          <w:rFonts w:ascii="Times New Roman" w:hAnsi="Times New Roman"/>
          <w:sz w:val="20"/>
          <w:szCs w:val="20"/>
        </w:rPr>
        <w:t xml:space="preserve">/water has higher fluid properties compared to others. According to Sara and Veronica [7], fluid properties is an important parameter for feedstock to facilitate the methane bacteria to contact with feedstock and makes the digestion faster. </w:t>
      </w:r>
    </w:p>
    <w:p w:rsidR="00056A63" w:rsidRPr="00056A63" w:rsidRDefault="00056A63" w:rsidP="00056A63">
      <w:pPr>
        <w:spacing w:after="0" w:line="240" w:lineRule="auto"/>
        <w:jc w:val="both"/>
        <w:rPr>
          <w:rFonts w:ascii="Times New Roman" w:hAnsi="Times New Roman"/>
          <w:sz w:val="20"/>
          <w:szCs w:val="20"/>
        </w:rPr>
      </w:pP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noProof/>
          <w:color w:val="FF0000"/>
          <w:sz w:val="20"/>
          <w:szCs w:val="20"/>
          <w:lang w:bidi="ar-SA"/>
        </w:rPr>
        <w:lastRenderedPageBreak/>
        <w:drawing>
          <wp:anchor distT="0" distB="0" distL="114300" distR="114300" simplePos="0" relativeHeight="251663872" behindDoc="1" locked="0" layoutInCell="1" allowOverlap="1" wp14:anchorId="4453E6A4" wp14:editId="61C40562">
            <wp:simplePos x="0" y="0"/>
            <wp:positionH relativeFrom="column">
              <wp:posOffset>638175</wp:posOffset>
            </wp:positionH>
            <wp:positionV relativeFrom="paragraph">
              <wp:posOffset>4445</wp:posOffset>
            </wp:positionV>
            <wp:extent cx="4634230" cy="2895600"/>
            <wp:effectExtent l="0" t="0" r="13970" b="19050"/>
            <wp:wrapTight wrapText="bothSides">
              <wp:wrapPolygon edited="0">
                <wp:start x="0" y="0"/>
                <wp:lineTo x="0" y="21600"/>
                <wp:lineTo x="21576" y="21600"/>
                <wp:lineTo x="21576" y="0"/>
                <wp:lineTo x="0" y="0"/>
              </wp:wrapPolygon>
            </wp:wrapTight>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rPr>
          <w:noProof/>
        </w:rPr>
      </w:pPr>
      <w:r w:rsidRPr="00056A63">
        <w:t xml:space="preserve">Figure 2. </w:t>
      </w:r>
      <w:r>
        <w:t xml:space="preserve"> </w:t>
      </w:r>
      <w:r w:rsidRPr="00056A63">
        <w:t xml:space="preserve">Biogas production from </w:t>
      </w:r>
      <w:r w:rsidRPr="00056A63">
        <w:rPr>
          <w:i/>
        </w:rPr>
        <w:t>C. furcata</w:t>
      </w:r>
      <w:r w:rsidRPr="00056A63">
        <w:t>/water slurry at different ratio</w:t>
      </w:r>
    </w:p>
    <w:p w:rsidR="00056A63" w:rsidRDefault="00056A63" w:rsidP="00056A63">
      <w:pPr>
        <w:spacing w:after="0" w:line="240" w:lineRule="auto"/>
        <w:jc w:val="both"/>
        <w:outlineLvl w:val="0"/>
        <w:rPr>
          <w:rFonts w:ascii="Times New Roman" w:hAnsi="Times New Roman"/>
          <w:color w:val="FF0000"/>
          <w:sz w:val="20"/>
          <w:szCs w:val="20"/>
        </w:rPr>
      </w:pPr>
    </w:p>
    <w:p w:rsidR="00056A63" w:rsidRPr="00056A63" w:rsidRDefault="00056A63" w:rsidP="00056A63">
      <w:pPr>
        <w:spacing w:after="0" w:line="240" w:lineRule="auto"/>
        <w:jc w:val="both"/>
        <w:outlineLvl w:val="0"/>
        <w:rPr>
          <w:rFonts w:ascii="Times New Roman" w:hAnsi="Times New Roman"/>
          <w:color w:val="FF0000"/>
          <w:sz w:val="20"/>
          <w:szCs w:val="20"/>
        </w:rPr>
      </w:pPr>
    </w:p>
    <w:p w:rsidR="00056A63" w:rsidRPr="00056A63" w:rsidRDefault="00056A63" w:rsidP="00056A63">
      <w:pPr>
        <w:spacing w:after="0" w:line="240" w:lineRule="auto"/>
        <w:jc w:val="both"/>
        <w:rPr>
          <w:rFonts w:ascii="Times New Roman" w:hAnsi="Times New Roman"/>
          <w:b/>
          <w:sz w:val="20"/>
          <w:szCs w:val="20"/>
        </w:rPr>
      </w:pPr>
      <w:r w:rsidRPr="00056A63">
        <w:rPr>
          <w:rFonts w:ascii="Times New Roman" w:hAnsi="Times New Roman"/>
          <w:b/>
          <w:sz w:val="20"/>
          <w:szCs w:val="20"/>
        </w:rPr>
        <w:t xml:space="preserve">Effect of </w:t>
      </w:r>
      <w:r w:rsidRPr="00056A63">
        <w:rPr>
          <w:rFonts w:ascii="Times New Roman" w:hAnsi="Times New Roman"/>
          <w:b/>
          <w:i/>
          <w:sz w:val="20"/>
          <w:szCs w:val="20"/>
        </w:rPr>
        <w:t>C. furcata</w:t>
      </w:r>
      <w:r w:rsidRPr="00056A63">
        <w:rPr>
          <w:rFonts w:ascii="Times New Roman" w:hAnsi="Times New Roman"/>
          <w:b/>
          <w:sz w:val="20"/>
          <w:szCs w:val="20"/>
        </w:rPr>
        <w:t>/inoculums ratios</w:t>
      </w: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sz w:val="20"/>
          <w:szCs w:val="20"/>
        </w:rPr>
        <w:t xml:space="preserve">In Figure 3, the cumulative biogas production for sample mixture of </w:t>
      </w:r>
      <w:r w:rsidRPr="00056A63">
        <w:rPr>
          <w:rFonts w:ascii="Times New Roman" w:hAnsi="Times New Roman"/>
          <w:i/>
          <w:sz w:val="20"/>
          <w:szCs w:val="20"/>
        </w:rPr>
        <w:t>C. furcata</w:t>
      </w:r>
      <w:r w:rsidRPr="00056A63">
        <w:rPr>
          <w:rFonts w:ascii="Times New Roman" w:hAnsi="Times New Roman"/>
          <w:sz w:val="20"/>
          <w:szCs w:val="20"/>
        </w:rPr>
        <w:t xml:space="preserve">/inoculums ratio (1:1, 1:2, and 1:3) increased according to time. For sample mixture of 1:1 </w:t>
      </w:r>
      <w:r w:rsidRPr="00056A63">
        <w:rPr>
          <w:rFonts w:ascii="Times New Roman" w:hAnsi="Times New Roman"/>
          <w:i/>
          <w:sz w:val="20"/>
          <w:szCs w:val="20"/>
        </w:rPr>
        <w:t>C. furcata</w:t>
      </w:r>
      <w:r w:rsidRPr="00056A63">
        <w:rPr>
          <w:rFonts w:ascii="Times New Roman" w:hAnsi="Times New Roman"/>
          <w:sz w:val="20"/>
          <w:szCs w:val="20"/>
        </w:rPr>
        <w:t>/inoculums ratio, no CH</w:t>
      </w:r>
      <w:r w:rsidRPr="00056A63">
        <w:rPr>
          <w:rFonts w:ascii="Times New Roman" w:hAnsi="Times New Roman"/>
          <w:sz w:val="20"/>
          <w:szCs w:val="20"/>
          <w:vertAlign w:val="subscript"/>
        </w:rPr>
        <w:t>4</w:t>
      </w:r>
      <w:r w:rsidRPr="00056A63">
        <w:rPr>
          <w:rFonts w:ascii="Times New Roman" w:hAnsi="Times New Roman"/>
          <w:sz w:val="20"/>
          <w:szCs w:val="20"/>
        </w:rPr>
        <w:t xml:space="preserve"> detected. Otherwise, CO</w:t>
      </w:r>
      <w:r w:rsidRPr="00056A63">
        <w:rPr>
          <w:rFonts w:ascii="Times New Roman" w:hAnsi="Times New Roman"/>
          <w:sz w:val="20"/>
          <w:szCs w:val="20"/>
          <w:vertAlign w:val="subscript"/>
        </w:rPr>
        <w:t>2</w:t>
      </w:r>
      <w:r w:rsidRPr="00056A63">
        <w:rPr>
          <w:rFonts w:ascii="Times New Roman" w:hAnsi="Times New Roman"/>
          <w:sz w:val="20"/>
          <w:szCs w:val="20"/>
        </w:rPr>
        <w:t xml:space="preserve"> detected on days 7, 14, 21 and 28 as 1.3%, 2.7%, 2.6% and 2.7% respectively while 49.3% of hydrogen produced on day 7. However, for sample mixture of 1:2 </w:t>
      </w:r>
      <w:r w:rsidRPr="00056A63">
        <w:rPr>
          <w:rFonts w:ascii="Times New Roman" w:hAnsi="Times New Roman"/>
          <w:i/>
          <w:sz w:val="20"/>
          <w:szCs w:val="20"/>
        </w:rPr>
        <w:t>C. furcata</w:t>
      </w:r>
      <w:r w:rsidRPr="00056A63">
        <w:rPr>
          <w:rFonts w:ascii="Times New Roman" w:hAnsi="Times New Roman"/>
          <w:sz w:val="20"/>
          <w:szCs w:val="20"/>
        </w:rPr>
        <w:t>/inoculums ratio, about 2.1% of methane detected within days 22 to 28 followed by CO</w:t>
      </w:r>
      <w:r w:rsidRPr="00056A63">
        <w:rPr>
          <w:rFonts w:ascii="Times New Roman" w:hAnsi="Times New Roman"/>
          <w:sz w:val="20"/>
          <w:szCs w:val="20"/>
          <w:vertAlign w:val="subscript"/>
        </w:rPr>
        <w:t>2</w:t>
      </w:r>
      <w:r w:rsidRPr="00056A63">
        <w:rPr>
          <w:rFonts w:ascii="Times New Roman" w:hAnsi="Times New Roman"/>
          <w:sz w:val="20"/>
          <w:szCs w:val="20"/>
        </w:rPr>
        <w:t xml:space="preserve"> produced on days 7, 14, 21 and 28 as 1.2%, 8.2%, 3.5% and 7.3% respectively. But H</w:t>
      </w:r>
      <w:r w:rsidRPr="00056A63">
        <w:rPr>
          <w:rFonts w:ascii="Times New Roman" w:hAnsi="Times New Roman"/>
          <w:sz w:val="20"/>
          <w:szCs w:val="20"/>
          <w:vertAlign w:val="subscript"/>
        </w:rPr>
        <w:t>2</w:t>
      </w:r>
      <w:r w:rsidRPr="00056A63">
        <w:rPr>
          <w:rFonts w:ascii="Times New Roman" w:hAnsi="Times New Roman"/>
          <w:sz w:val="20"/>
          <w:szCs w:val="20"/>
        </w:rPr>
        <w:t xml:space="preserve"> only produced on day 7 about 85.1%. The percentage of CH</w:t>
      </w:r>
      <w:r w:rsidRPr="00056A63">
        <w:rPr>
          <w:rFonts w:ascii="Times New Roman" w:hAnsi="Times New Roman"/>
          <w:sz w:val="20"/>
          <w:szCs w:val="20"/>
          <w:vertAlign w:val="subscript"/>
        </w:rPr>
        <w:t>4</w:t>
      </w:r>
      <w:r w:rsidRPr="00056A63">
        <w:rPr>
          <w:rFonts w:ascii="Times New Roman" w:hAnsi="Times New Roman"/>
          <w:sz w:val="20"/>
          <w:szCs w:val="20"/>
        </w:rPr>
        <w:t xml:space="preserve"> yield increase can be seen for sample mixture of 1:3 </w:t>
      </w:r>
      <w:r w:rsidRPr="00056A63">
        <w:rPr>
          <w:rFonts w:ascii="Times New Roman" w:hAnsi="Times New Roman"/>
          <w:i/>
          <w:sz w:val="20"/>
          <w:szCs w:val="20"/>
        </w:rPr>
        <w:t>C. furcata</w:t>
      </w:r>
      <w:r w:rsidRPr="00056A63">
        <w:rPr>
          <w:rFonts w:ascii="Times New Roman" w:hAnsi="Times New Roman"/>
          <w:sz w:val="20"/>
          <w:szCs w:val="20"/>
        </w:rPr>
        <w:t>/inoculums ratio up to 11.9% during 28 days. While, CO</w:t>
      </w:r>
      <w:r w:rsidRPr="00056A63">
        <w:rPr>
          <w:rFonts w:ascii="Times New Roman" w:hAnsi="Times New Roman"/>
          <w:sz w:val="20"/>
          <w:szCs w:val="20"/>
          <w:vertAlign w:val="subscript"/>
        </w:rPr>
        <w:t>2</w:t>
      </w:r>
      <w:r w:rsidRPr="00056A63">
        <w:rPr>
          <w:rFonts w:ascii="Times New Roman" w:hAnsi="Times New Roman"/>
          <w:sz w:val="20"/>
          <w:szCs w:val="20"/>
        </w:rPr>
        <w:t xml:space="preserve"> production increase day by day as 2.2%, 5.5%, 3.1% and 8.5% on day 7, 14, 21, and 28 respectively. H</w:t>
      </w:r>
      <w:r w:rsidRPr="00056A63">
        <w:rPr>
          <w:rFonts w:ascii="Times New Roman" w:hAnsi="Times New Roman"/>
          <w:sz w:val="20"/>
          <w:szCs w:val="20"/>
          <w:vertAlign w:val="subscript"/>
        </w:rPr>
        <w:t>2</w:t>
      </w:r>
      <w:r w:rsidRPr="00056A63">
        <w:rPr>
          <w:rFonts w:ascii="Times New Roman" w:hAnsi="Times New Roman"/>
          <w:sz w:val="20"/>
          <w:szCs w:val="20"/>
        </w:rPr>
        <w:t xml:space="preserve"> only detected on 7, 14 and 28 as much as 58.7%, 37.0 and 49.4% respectively. Based on the previous research, Neo et al. [8] reported that wheat straw produced highest percentage of biogas production up to 59% when inoculated with cattle manure. Other than that, Sunorso et al. [9] proved that substrates (manure) and inoculums (rumen fluid) exhibit higher cumulative biogas production. Besides, Abu Darieh et al. [10] reported that, methane yield produced from grass mixed with inoculums up to 80%. As a result, inoculums is one of the most important factor affecting the biogas production. In order to produce high CH</w:t>
      </w:r>
      <w:r w:rsidRPr="00056A63">
        <w:rPr>
          <w:rFonts w:ascii="Times New Roman" w:hAnsi="Times New Roman"/>
          <w:sz w:val="20"/>
          <w:szCs w:val="20"/>
          <w:vertAlign w:val="subscript"/>
        </w:rPr>
        <w:t xml:space="preserve">4 </w:t>
      </w:r>
      <w:r w:rsidRPr="00056A63">
        <w:rPr>
          <w:rFonts w:ascii="Times New Roman" w:hAnsi="Times New Roman"/>
          <w:sz w:val="20"/>
          <w:szCs w:val="20"/>
        </w:rPr>
        <w:t>content, inoculums that contain high microbial loading needs to be added in the mixture of biomass to initiate the biochemical processes from anaerobic digester [11]. During this digestion, CO</w:t>
      </w:r>
      <w:r w:rsidRPr="00056A63">
        <w:rPr>
          <w:rFonts w:ascii="Times New Roman" w:hAnsi="Times New Roman"/>
          <w:sz w:val="20"/>
          <w:szCs w:val="20"/>
          <w:vertAlign w:val="subscript"/>
        </w:rPr>
        <w:t>2</w:t>
      </w:r>
      <w:r w:rsidRPr="00056A63">
        <w:rPr>
          <w:rFonts w:ascii="Times New Roman" w:hAnsi="Times New Roman"/>
          <w:sz w:val="20"/>
          <w:szCs w:val="20"/>
        </w:rPr>
        <w:t xml:space="preserve"> produced is less than 10% for the sample mixture of 1:1 </w:t>
      </w:r>
      <w:r w:rsidRPr="00056A63">
        <w:rPr>
          <w:rFonts w:ascii="Times New Roman" w:hAnsi="Times New Roman"/>
          <w:i/>
          <w:sz w:val="20"/>
          <w:szCs w:val="20"/>
        </w:rPr>
        <w:t>C. furcata</w:t>
      </w:r>
      <w:r w:rsidRPr="00056A63">
        <w:rPr>
          <w:rFonts w:ascii="Times New Roman" w:hAnsi="Times New Roman"/>
          <w:sz w:val="20"/>
          <w:szCs w:val="20"/>
        </w:rPr>
        <w:t xml:space="preserve">/inoculums ratio and 1:2 </w:t>
      </w:r>
      <w:r w:rsidRPr="00056A63">
        <w:rPr>
          <w:rFonts w:ascii="Times New Roman" w:hAnsi="Times New Roman"/>
          <w:i/>
          <w:sz w:val="20"/>
          <w:szCs w:val="20"/>
        </w:rPr>
        <w:t>C. furcata</w:t>
      </w:r>
      <w:r w:rsidRPr="00056A63">
        <w:rPr>
          <w:rFonts w:ascii="Times New Roman" w:hAnsi="Times New Roman"/>
          <w:sz w:val="20"/>
          <w:szCs w:val="20"/>
        </w:rPr>
        <w:t>/inoculums ratio compared to H</w:t>
      </w:r>
      <w:r w:rsidRPr="00056A63">
        <w:rPr>
          <w:rFonts w:ascii="Times New Roman" w:hAnsi="Times New Roman"/>
          <w:sz w:val="20"/>
          <w:szCs w:val="20"/>
          <w:vertAlign w:val="subscript"/>
        </w:rPr>
        <w:t>2</w:t>
      </w:r>
      <w:r w:rsidRPr="00056A63">
        <w:rPr>
          <w:rFonts w:ascii="Times New Roman" w:hAnsi="Times New Roman"/>
          <w:sz w:val="20"/>
          <w:szCs w:val="20"/>
        </w:rPr>
        <w:t xml:space="preserve"> produced up to 85% for 1:3 </w:t>
      </w:r>
      <w:r w:rsidRPr="00056A63">
        <w:rPr>
          <w:rFonts w:ascii="Times New Roman" w:hAnsi="Times New Roman"/>
          <w:i/>
          <w:sz w:val="20"/>
          <w:szCs w:val="20"/>
        </w:rPr>
        <w:t>C. furcata</w:t>
      </w:r>
      <w:r w:rsidRPr="00056A63">
        <w:rPr>
          <w:rFonts w:ascii="Times New Roman" w:hAnsi="Times New Roman"/>
          <w:sz w:val="20"/>
          <w:szCs w:val="20"/>
        </w:rPr>
        <w:t>/inoculums ratio. H</w:t>
      </w:r>
      <w:r w:rsidRPr="00056A63">
        <w:rPr>
          <w:rFonts w:ascii="Times New Roman" w:hAnsi="Times New Roman"/>
          <w:sz w:val="20"/>
          <w:szCs w:val="20"/>
          <w:vertAlign w:val="subscript"/>
        </w:rPr>
        <w:t>2</w:t>
      </w:r>
      <w:r w:rsidRPr="00056A63">
        <w:rPr>
          <w:rFonts w:ascii="Times New Roman" w:hAnsi="Times New Roman"/>
          <w:sz w:val="20"/>
          <w:szCs w:val="20"/>
        </w:rPr>
        <w:t xml:space="preserve"> and CO</w:t>
      </w:r>
      <w:r w:rsidRPr="00056A63">
        <w:rPr>
          <w:rFonts w:ascii="Times New Roman" w:hAnsi="Times New Roman"/>
          <w:sz w:val="20"/>
          <w:szCs w:val="20"/>
          <w:vertAlign w:val="subscript"/>
        </w:rPr>
        <w:t>2</w:t>
      </w:r>
      <w:r w:rsidRPr="00056A63">
        <w:rPr>
          <w:rFonts w:ascii="Times New Roman" w:hAnsi="Times New Roman"/>
          <w:sz w:val="20"/>
          <w:szCs w:val="20"/>
        </w:rPr>
        <w:t xml:space="preserve"> are the two other products converted by acidifying bacteria during acidogenesis stage. Khanal et al. [12] reported that optimum pH for hydrogen produced is at pH 5. Content of liquid in the digester is the main factor in producing of CO</w:t>
      </w:r>
      <w:r w:rsidRPr="00056A63">
        <w:rPr>
          <w:rFonts w:ascii="Times New Roman" w:hAnsi="Times New Roman"/>
          <w:sz w:val="20"/>
          <w:szCs w:val="20"/>
          <w:vertAlign w:val="subscript"/>
        </w:rPr>
        <w:t xml:space="preserve">2. </w:t>
      </w:r>
      <w:r w:rsidRPr="00056A63">
        <w:rPr>
          <w:rFonts w:ascii="Times New Roman" w:hAnsi="Times New Roman"/>
          <w:sz w:val="20"/>
          <w:szCs w:val="20"/>
        </w:rPr>
        <w:t>Reducing in CO</w:t>
      </w:r>
      <w:r w:rsidRPr="00056A63">
        <w:rPr>
          <w:rFonts w:ascii="Times New Roman" w:hAnsi="Times New Roman"/>
          <w:sz w:val="20"/>
          <w:szCs w:val="20"/>
          <w:vertAlign w:val="subscript"/>
        </w:rPr>
        <w:t>2</w:t>
      </w:r>
      <w:r w:rsidRPr="00056A63">
        <w:rPr>
          <w:rFonts w:ascii="Times New Roman" w:hAnsi="Times New Roman"/>
          <w:sz w:val="20"/>
          <w:szCs w:val="20"/>
        </w:rPr>
        <w:t xml:space="preserve"> level in gas phase resulted from higher liquid content in digester and elevated the concentration CO</w:t>
      </w:r>
      <w:r w:rsidRPr="00056A63">
        <w:rPr>
          <w:rFonts w:ascii="Times New Roman" w:hAnsi="Times New Roman"/>
          <w:sz w:val="20"/>
          <w:szCs w:val="20"/>
          <w:vertAlign w:val="subscript"/>
        </w:rPr>
        <w:t>2</w:t>
      </w:r>
      <w:r w:rsidRPr="00056A63">
        <w:rPr>
          <w:rFonts w:ascii="Times New Roman" w:hAnsi="Times New Roman"/>
          <w:sz w:val="20"/>
          <w:szCs w:val="20"/>
        </w:rPr>
        <w:t xml:space="preserve"> dissolved in water [13].</w:t>
      </w:r>
    </w:p>
    <w:p w:rsidR="00056A63" w:rsidRPr="00056A63" w:rsidRDefault="00056A63" w:rsidP="00056A63">
      <w:pPr>
        <w:spacing w:after="0" w:line="240" w:lineRule="auto"/>
        <w:jc w:val="both"/>
        <w:rPr>
          <w:rFonts w:ascii="Times New Roman" w:hAnsi="Times New Roman"/>
          <w:color w:val="FF0000"/>
          <w:sz w:val="20"/>
          <w:szCs w:val="20"/>
        </w:rPr>
      </w:pPr>
    </w:p>
    <w:p w:rsidR="00056A63" w:rsidRPr="00056A63" w:rsidRDefault="00056A63" w:rsidP="00056A63">
      <w:pPr>
        <w:spacing w:after="0" w:line="240" w:lineRule="auto"/>
        <w:jc w:val="both"/>
        <w:rPr>
          <w:rFonts w:ascii="Times New Roman" w:hAnsi="Times New Roman"/>
          <w:color w:val="FF0000"/>
          <w:sz w:val="20"/>
          <w:szCs w:val="20"/>
        </w:rPr>
      </w:pPr>
    </w:p>
    <w:p w:rsidR="00056A63" w:rsidRPr="00056A63" w:rsidRDefault="00056A63" w:rsidP="00056A63">
      <w:pPr>
        <w:spacing w:after="0" w:line="240" w:lineRule="auto"/>
        <w:jc w:val="both"/>
        <w:rPr>
          <w:rFonts w:ascii="Times New Roman" w:hAnsi="Times New Roman"/>
          <w:color w:val="FF0000"/>
          <w:sz w:val="20"/>
          <w:szCs w:val="20"/>
        </w:rPr>
      </w:pPr>
    </w:p>
    <w:p w:rsidR="00056A63" w:rsidRPr="00056A63" w:rsidRDefault="00056A63" w:rsidP="00056A63">
      <w:pPr>
        <w:spacing w:after="0" w:line="240" w:lineRule="auto"/>
        <w:jc w:val="both"/>
        <w:rPr>
          <w:rFonts w:ascii="Times New Roman" w:hAnsi="Times New Roman"/>
          <w:color w:val="FF0000"/>
          <w:sz w:val="20"/>
          <w:szCs w:val="20"/>
        </w:rPr>
      </w:pPr>
    </w:p>
    <w:p w:rsidR="00056A63" w:rsidRPr="00056A63" w:rsidRDefault="00056A63" w:rsidP="00056A63">
      <w:pPr>
        <w:spacing w:after="0" w:line="240" w:lineRule="auto"/>
        <w:jc w:val="both"/>
        <w:rPr>
          <w:rFonts w:ascii="Times New Roman" w:hAnsi="Times New Roman"/>
          <w:color w:val="FF0000"/>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DB5784" w:rsidP="00056A63">
      <w:pPr>
        <w:spacing w:after="0" w:line="240" w:lineRule="auto"/>
        <w:jc w:val="both"/>
        <w:rPr>
          <w:rFonts w:ascii="Times New Roman" w:hAnsi="Times New Roman"/>
          <w:b/>
          <w:sz w:val="20"/>
          <w:szCs w:val="20"/>
        </w:rPr>
      </w:pPr>
      <w:r w:rsidRPr="00056A63">
        <w:rPr>
          <w:rFonts w:ascii="Times New Roman" w:hAnsi="Times New Roman"/>
          <w:noProof/>
          <w:color w:val="FF0000"/>
          <w:sz w:val="20"/>
          <w:szCs w:val="20"/>
          <w:lang w:bidi="ar-SA"/>
        </w:rPr>
        <w:drawing>
          <wp:anchor distT="0" distB="0" distL="114300" distR="114300" simplePos="0" relativeHeight="251665920" behindDoc="0" locked="0" layoutInCell="1" allowOverlap="1" wp14:anchorId="284500EF" wp14:editId="7A4190F6">
            <wp:simplePos x="0" y="0"/>
            <wp:positionH relativeFrom="column">
              <wp:posOffset>820420</wp:posOffset>
            </wp:positionH>
            <wp:positionV relativeFrom="paragraph">
              <wp:posOffset>-393700</wp:posOffset>
            </wp:positionV>
            <wp:extent cx="4535805" cy="2879725"/>
            <wp:effectExtent l="0" t="0" r="17145" b="15875"/>
            <wp:wrapThrough wrapText="bothSides">
              <wp:wrapPolygon edited="0">
                <wp:start x="0" y="0"/>
                <wp:lineTo x="0" y="21576"/>
                <wp:lineTo x="21591" y="21576"/>
                <wp:lineTo x="21591" y="0"/>
                <wp:lineTo x="0" y="0"/>
              </wp:wrapPolygon>
            </wp:wrapThrough>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P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Default="00056A63" w:rsidP="00056A63">
      <w:pPr>
        <w:spacing w:after="0" w:line="240" w:lineRule="auto"/>
        <w:jc w:val="both"/>
        <w:rPr>
          <w:rFonts w:ascii="Times New Roman" w:hAnsi="Times New Roman"/>
          <w:b/>
          <w:sz w:val="20"/>
          <w:szCs w:val="20"/>
        </w:rPr>
      </w:pPr>
    </w:p>
    <w:p w:rsidR="00056A63" w:rsidRPr="00056A63" w:rsidRDefault="00056A63" w:rsidP="00DB5784">
      <w:pPr>
        <w:pStyle w:val="Caption"/>
        <w:ind w:left="0" w:firstLine="0"/>
        <w:jc w:val="both"/>
      </w:pPr>
    </w:p>
    <w:p w:rsidR="00056A63" w:rsidRPr="00056A63" w:rsidRDefault="00056A63" w:rsidP="00056A63">
      <w:pPr>
        <w:pStyle w:val="Caption"/>
        <w:rPr>
          <w:noProof/>
        </w:rPr>
      </w:pPr>
      <w:r w:rsidRPr="00056A63">
        <w:t xml:space="preserve">Figure 3. </w:t>
      </w:r>
      <w:r>
        <w:t xml:space="preserve"> </w:t>
      </w:r>
      <w:r w:rsidRPr="00056A63">
        <w:t xml:space="preserve">Biogas production from </w:t>
      </w:r>
      <w:r w:rsidRPr="00056A63">
        <w:rPr>
          <w:i/>
        </w:rPr>
        <w:t>C. furcata</w:t>
      </w:r>
      <w:r w:rsidRPr="00056A63">
        <w:t>/inoculums slurry at different ratios</w:t>
      </w:r>
    </w:p>
    <w:p w:rsidR="00056A63" w:rsidRDefault="00056A63" w:rsidP="00056A63">
      <w:pPr>
        <w:spacing w:after="0" w:line="240" w:lineRule="auto"/>
        <w:jc w:val="both"/>
        <w:rPr>
          <w:rFonts w:ascii="Times New Roman" w:hAnsi="Times New Roman"/>
          <w:b/>
          <w:sz w:val="20"/>
          <w:szCs w:val="20"/>
          <w:lang w:val="en-GB"/>
        </w:rPr>
      </w:pPr>
    </w:p>
    <w:p w:rsidR="00DB5784" w:rsidRPr="00056A63" w:rsidRDefault="00DB5784" w:rsidP="00056A63">
      <w:pPr>
        <w:spacing w:after="0" w:line="240" w:lineRule="auto"/>
        <w:jc w:val="both"/>
        <w:rPr>
          <w:rFonts w:ascii="Times New Roman" w:hAnsi="Times New Roman"/>
          <w:b/>
          <w:sz w:val="20"/>
          <w:szCs w:val="20"/>
          <w:lang w:val="en-GB"/>
        </w:rPr>
      </w:pPr>
    </w:p>
    <w:p w:rsidR="00056A63" w:rsidRPr="00056A63" w:rsidRDefault="00056A63" w:rsidP="00056A63">
      <w:pPr>
        <w:spacing w:after="0" w:line="240" w:lineRule="auto"/>
        <w:jc w:val="both"/>
        <w:rPr>
          <w:rFonts w:ascii="Times New Roman" w:hAnsi="Times New Roman"/>
          <w:b/>
          <w:sz w:val="20"/>
          <w:szCs w:val="20"/>
        </w:rPr>
      </w:pPr>
      <w:r w:rsidRPr="00056A63">
        <w:rPr>
          <w:rFonts w:ascii="Times New Roman" w:hAnsi="Times New Roman"/>
          <w:b/>
          <w:sz w:val="20"/>
          <w:szCs w:val="20"/>
        </w:rPr>
        <w:t>Variation of pH and temperature during CH</w:t>
      </w:r>
      <w:r w:rsidRPr="00056A63">
        <w:rPr>
          <w:rFonts w:ascii="Times New Roman" w:hAnsi="Times New Roman"/>
          <w:b/>
          <w:sz w:val="20"/>
          <w:szCs w:val="20"/>
          <w:vertAlign w:val="subscript"/>
        </w:rPr>
        <w:t>4</w:t>
      </w:r>
      <w:r w:rsidRPr="00056A63">
        <w:rPr>
          <w:rFonts w:ascii="Times New Roman" w:hAnsi="Times New Roman"/>
          <w:b/>
          <w:sz w:val="20"/>
          <w:szCs w:val="20"/>
        </w:rPr>
        <w:t xml:space="preserve"> production</w:t>
      </w:r>
    </w:p>
    <w:p w:rsidR="00056A63" w:rsidRPr="00056A63" w:rsidRDefault="00056A63" w:rsidP="00056A63">
      <w:pPr>
        <w:spacing w:after="0" w:line="240" w:lineRule="auto"/>
        <w:jc w:val="both"/>
        <w:rPr>
          <w:rFonts w:ascii="Times New Roman" w:hAnsi="Times New Roman"/>
          <w:sz w:val="20"/>
          <w:szCs w:val="20"/>
        </w:rPr>
      </w:pPr>
      <w:r w:rsidRPr="00056A63">
        <w:rPr>
          <w:rFonts w:ascii="Times New Roman" w:hAnsi="Times New Roman"/>
          <w:sz w:val="20"/>
          <w:szCs w:val="20"/>
        </w:rPr>
        <w:t xml:space="preserve">During digestion occurred, the variation pH value was monitored and plotted in Figure 4. </w:t>
      </w:r>
      <w:r w:rsidR="005638E7">
        <w:rPr>
          <w:rFonts w:ascii="Times New Roman" w:hAnsi="Times New Roman"/>
          <w:sz w:val="20"/>
          <w:szCs w:val="20"/>
        </w:rPr>
        <w:t xml:space="preserve"> </w:t>
      </w:r>
      <w:r w:rsidRPr="00056A63">
        <w:rPr>
          <w:rFonts w:ascii="Times New Roman" w:hAnsi="Times New Roman"/>
          <w:sz w:val="20"/>
          <w:szCs w:val="20"/>
        </w:rPr>
        <w:t xml:space="preserve">pH value and temperature were monitored regularly at every 3 days and continued until 35 days. The profile of the pH and temperature for both types of sample mixture were similar. The pH value dropped from an initial reading of around pH 5.5 - 6.9 for all samples. The decline of pH reading from 4.5 to 5 for each sample causes acidic conditions that lead to the failure of methanogenic activity because it inhibits of microbial growth. This occurs when the pH value drops below 6.5 [14]. Based on these factors, the sample mixture of 1:3 </w:t>
      </w:r>
      <w:r w:rsidRPr="00056A63">
        <w:rPr>
          <w:rFonts w:ascii="Times New Roman" w:hAnsi="Times New Roman"/>
          <w:i/>
          <w:sz w:val="20"/>
          <w:szCs w:val="20"/>
        </w:rPr>
        <w:t>C. furcata</w:t>
      </w:r>
      <w:r w:rsidRPr="00056A63">
        <w:rPr>
          <w:rFonts w:ascii="Times New Roman" w:hAnsi="Times New Roman"/>
          <w:sz w:val="20"/>
          <w:szCs w:val="20"/>
        </w:rPr>
        <w:t>/water ratio managed to produce little CH</w:t>
      </w:r>
      <w:r w:rsidRPr="00056A63">
        <w:rPr>
          <w:rFonts w:ascii="Times New Roman" w:hAnsi="Times New Roman"/>
          <w:sz w:val="20"/>
          <w:szCs w:val="20"/>
          <w:vertAlign w:val="subscript"/>
        </w:rPr>
        <w:t>4</w:t>
      </w:r>
      <w:r w:rsidRPr="00056A63">
        <w:rPr>
          <w:rFonts w:ascii="Times New Roman" w:hAnsi="Times New Roman"/>
          <w:sz w:val="20"/>
          <w:szCs w:val="20"/>
        </w:rPr>
        <w:t xml:space="preserve"> on the 28th day since the final of pH value</w:t>
      </w:r>
      <w:r w:rsidRPr="00056A63">
        <w:rPr>
          <w:rFonts w:ascii="Times New Roman" w:hAnsi="Times New Roman"/>
          <w:color w:val="FF0000"/>
          <w:sz w:val="20"/>
          <w:szCs w:val="20"/>
        </w:rPr>
        <w:t xml:space="preserve"> </w:t>
      </w:r>
      <w:r w:rsidRPr="00056A63">
        <w:rPr>
          <w:rFonts w:ascii="Times New Roman" w:hAnsi="Times New Roman"/>
          <w:sz w:val="20"/>
          <w:szCs w:val="20"/>
        </w:rPr>
        <w:t xml:space="preserve">in the range of 5 - 6.2 because the pH is less acidic. Similarly, sample mixture of 1:3 </w:t>
      </w:r>
      <w:r w:rsidRPr="00056A63">
        <w:rPr>
          <w:rFonts w:ascii="Times New Roman" w:hAnsi="Times New Roman"/>
          <w:i/>
          <w:sz w:val="20"/>
          <w:szCs w:val="20"/>
        </w:rPr>
        <w:t>C. furcata</w:t>
      </w:r>
      <w:r w:rsidRPr="00056A63">
        <w:rPr>
          <w:rFonts w:ascii="Times New Roman" w:hAnsi="Times New Roman"/>
          <w:sz w:val="20"/>
          <w:szCs w:val="20"/>
        </w:rPr>
        <w:t>/inoculums, which resulted in the highest percentage of CH</w:t>
      </w:r>
      <w:r w:rsidRPr="00056A63">
        <w:rPr>
          <w:rFonts w:ascii="Times New Roman" w:hAnsi="Times New Roman"/>
          <w:sz w:val="20"/>
          <w:szCs w:val="20"/>
          <w:vertAlign w:val="subscript"/>
        </w:rPr>
        <w:t>4</w:t>
      </w:r>
      <w:r w:rsidRPr="00056A63">
        <w:rPr>
          <w:rFonts w:ascii="Times New Roman" w:hAnsi="Times New Roman"/>
          <w:sz w:val="20"/>
          <w:szCs w:val="20"/>
        </w:rPr>
        <w:t xml:space="preserve"> as final pH value of the sample was approaching pH 6.5 that suitable for bacteria involved in anaerobic digestion. During the digestion process, protein degradation might occur and result in increasing ammonia presence that contributed to the elevated pH during day 17 for all sample mixtures and had inhibited the process [15]. The pH value decreased on day 20 due to the utilization of ammonia by microbes as nitrogen source for growth. As a result, pH decreased below than 6.5, and the conversion of mainly H</w:t>
      </w:r>
      <w:r w:rsidRPr="00056A63">
        <w:rPr>
          <w:rFonts w:ascii="Times New Roman" w:hAnsi="Times New Roman"/>
          <w:sz w:val="20"/>
          <w:szCs w:val="20"/>
          <w:vertAlign w:val="subscript"/>
        </w:rPr>
        <w:t>2</w:t>
      </w:r>
      <w:r w:rsidRPr="00056A63">
        <w:rPr>
          <w:rFonts w:ascii="Times New Roman" w:hAnsi="Times New Roman"/>
          <w:sz w:val="20"/>
          <w:szCs w:val="20"/>
        </w:rPr>
        <w:t xml:space="preserve"> or CO</w:t>
      </w:r>
      <w:r w:rsidRPr="00056A63">
        <w:rPr>
          <w:rFonts w:ascii="Times New Roman" w:hAnsi="Times New Roman"/>
          <w:sz w:val="20"/>
          <w:szCs w:val="20"/>
          <w:vertAlign w:val="subscript"/>
        </w:rPr>
        <w:t>2</w:t>
      </w:r>
      <w:r w:rsidRPr="00056A63">
        <w:rPr>
          <w:rFonts w:ascii="Times New Roman" w:hAnsi="Times New Roman"/>
          <w:sz w:val="20"/>
          <w:szCs w:val="20"/>
        </w:rPr>
        <w:t xml:space="preserve"> to methane and, acetate acid to methane and carbon dioxide by methanogenic bacteria could be reduced during methanogenesis process [16].</w:t>
      </w:r>
    </w:p>
    <w:p w:rsidR="00056A63" w:rsidRPr="00056A63" w:rsidRDefault="00056A63" w:rsidP="00056A63">
      <w:pPr>
        <w:tabs>
          <w:tab w:val="left" w:pos="7050"/>
        </w:tabs>
        <w:spacing w:after="0" w:line="240" w:lineRule="auto"/>
        <w:jc w:val="both"/>
        <w:rPr>
          <w:rFonts w:ascii="Times New Roman" w:hAnsi="Times New Roman"/>
          <w:color w:val="FF0000"/>
          <w:sz w:val="20"/>
          <w:szCs w:val="20"/>
        </w:rPr>
      </w:pPr>
      <w:r w:rsidRPr="00056A63">
        <w:rPr>
          <w:rFonts w:ascii="Times New Roman" w:hAnsi="Times New Roman"/>
          <w:color w:val="FF0000"/>
          <w:sz w:val="20"/>
          <w:szCs w:val="20"/>
        </w:rPr>
        <w:tab/>
      </w:r>
    </w:p>
    <w:p w:rsidR="005638E7" w:rsidRDefault="005638E7" w:rsidP="005638E7">
      <w:pPr>
        <w:tabs>
          <w:tab w:val="left" w:pos="3465"/>
        </w:tabs>
        <w:spacing w:after="0" w:line="240" w:lineRule="auto"/>
        <w:jc w:val="both"/>
        <w:rPr>
          <w:rFonts w:ascii="Times New Roman" w:hAnsi="Times New Roman"/>
          <w:color w:val="000000" w:themeColor="text1"/>
          <w:sz w:val="20"/>
          <w:szCs w:val="20"/>
        </w:rPr>
      </w:pPr>
      <w:r w:rsidRPr="00056A63">
        <w:rPr>
          <w:rFonts w:ascii="Times New Roman" w:hAnsi="Times New Roman"/>
          <w:sz w:val="20"/>
          <w:szCs w:val="20"/>
        </w:rPr>
        <w:t>As shown in to Figure 5, the temperature for all the samples in the range of 25 - 30°C during the digestion. Ozmen and Aslanzadeh [17] reported that the possible temperature for anaerobic digestion from 3 to 70 °C and for mesophilic conditions in the range of 20 – 40 °C. It means that the process of digestion occurred within the mesophilic range. The temperature control of the process is important to ensure the optimum temperature range for the bacteria during methanogenic activity. Based on Figure 2 and Figure 3, the highest percentage of CH</w:t>
      </w:r>
      <w:r w:rsidRPr="00056A63">
        <w:rPr>
          <w:rFonts w:ascii="Times New Roman" w:hAnsi="Times New Roman"/>
          <w:sz w:val="20"/>
          <w:szCs w:val="20"/>
          <w:vertAlign w:val="subscript"/>
        </w:rPr>
        <w:t>4</w:t>
      </w:r>
      <w:r w:rsidRPr="00056A63">
        <w:rPr>
          <w:rFonts w:ascii="Times New Roman" w:hAnsi="Times New Roman"/>
          <w:sz w:val="20"/>
          <w:szCs w:val="20"/>
        </w:rPr>
        <w:t xml:space="preserve"> produced in mesophilic condition up to 11.9 %. </w:t>
      </w:r>
      <w:r w:rsidRPr="00056A63">
        <w:rPr>
          <w:rFonts w:ascii="Times New Roman" w:hAnsi="Times New Roman"/>
          <w:color w:val="000000" w:themeColor="text1"/>
          <w:sz w:val="20"/>
          <w:szCs w:val="20"/>
        </w:rPr>
        <w:t>However, according to Tchobanogous et al. [18], this digestion temperature in this study considered as optimal temperature for the support of biological-reaction rate.</w:t>
      </w:r>
    </w:p>
    <w:p w:rsidR="005638E7" w:rsidRDefault="005638E7" w:rsidP="005638E7">
      <w:pPr>
        <w:tabs>
          <w:tab w:val="left" w:pos="3465"/>
        </w:tabs>
        <w:spacing w:after="0" w:line="240" w:lineRule="auto"/>
        <w:jc w:val="both"/>
        <w:rPr>
          <w:rFonts w:ascii="Times New Roman" w:hAnsi="Times New Roman"/>
          <w:color w:val="000000" w:themeColor="text1"/>
          <w:sz w:val="20"/>
          <w:szCs w:val="20"/>
        </w:rPr>
      </w:pPr>
    </w:p>
    <w:p w:rsidR="005638E7" w:rsidRDefault="005638E7" w:rsidP="005638E7">
      <w:pPr>
        <w:tabs>
          <w:tab w:val="left" w:pos="3465"/>
        </w:tabs>
        <w:spacing w:after="0" w:line="240" w:lineRule="auto"/>
        <w:jc w:val="both"/>
        <w:rPr>
          <w:rFonts w:ascii="Times New Roman" w:hAnsi="Times New Roman"/>
          <w:color w:val="000000" w:themeColor="text1"/>
          <w:sz w:val="20"/>
          <w:szCs w:val="20"/>
        </w:rPr>
      </w:pPr>
    </w:p>
    <w:p w:rsidR="005638E7" w:rsidRDefault="005638E7" w:rsidP="005638E7">
      <w:pPr>
        <w:tabs>
          <w:tab w:val="left" w:pos="3465"/>
        </w:tabs>
        <w:spacing w:after="0" w:line="240" w:lineRule="auto"/>
        <w:jc w:val="both"/>
        <w:rPr>
          <w:rFonts w:ascii="Times New Roman" w:hAnsi="Times New Roman"/>
          <w:color w:val="000000" w:themeColor="text1"/>
          <w:sz w:val="20"/>
          <w:szCs w:val="20"/>
        </w:rPr>
      </w:pPr>
    </w:p>
    <w:p w:rsidR="005638E7" w:rsidRDefault="005638E7" w:rsidP="005638E7">
      <w:pPr>
        <w:tabs>
          <w:tab w:val="left" w:pos="3465"/>
        </w:tabs>
        <w:spacing w:after="0" w:line="240" w:lineRule="auto"/>
        <w:jc w:val="both"/>
        <w:rPr>
          <w:rFonts w:ascii="Times New Roman" w:hAnsi="Times New Roman"/>
          <w:color w:val="000000" w:themeColor="text1"/>
          <w:sz w:val="20"/>
          <w:szCs w:val="20"/>
        </w:rPr>
      </w:pPr>
    </w:p>
    <w:p w:rsidR="005638E7" w:rsidRDefault="005638E7" w:rsidP="00056A63">
      <w:pPr>
        <w:tabs>
          <w:tab w:val="left" w:pos="3465"/>
        </w:tabs>
        <w:spacing w:after="0" w:line="240" w:lineRule="auto"/>
        <w:jc w:val="both"/>
        <w:rPr>
          <w:rFonts w:ascii="Times New Roman" w:hAnsi="Times New Roman"/>
          <w:color w:val="000000" w:themeColor="text1"/>
          <w:sz w:val="20"/>
          <w:szCs w:val="20"/>
        </w:rPr>
      </w:pPr>
    </w:p>
    <w:p w:rsidR="005638E7" w:rsidRDefault="005638E7" w:rsidP="00056A63">
      <w:pPr>
        <w:tabs>
          <w:tab w:val="left" w:pos="3465"/>
        </w:tabs>
        <w:spacing w:after="0" w:line="240" w:lineRule="auto"/>
        <w:jc w:val="both"/>
        <w:rPr>
          <w:rFonts w:ascii="Times New Roman" w:hAnsi="Times New Roman"/>
          <w:sz w:val="20"/>
          <w:szCs w:val="20"/>
        </w:rPr>
      </w:pPr>
    </w:p>
    <w:p w:rsidR="005638E7" w:rsidRDefault="005638E7" w:rsidP="00056A63">
      <w:pPr>
        <w:tabs>
          <w:tab w:val="left" w:pos="3465"/>
        </w:tabs>
        <w:spacing w:after="0" w:line="240" w:lineRule="auto"/>
        <w:jc w:val="both"/>
        <w:rPr>
          <w:rFonts w:ascii="Times New Roman" w:hAnsi="Times New Roman"/>
          <w:sz w:val="20"/>
          <w:szCs w:val="20"/>
        </w:rPr>
      </w:pPr>
      <w:r w:rsidRPr="00056A63">
        <w:rPr>
          <w:rFonts w:ascii="Times New Roman" w:hAnsi="Times New Roman"/>
          <w:noProof/>
          <w:sz w:val="20"/>
          <w:szCs w:val="20"/>
          <w:lang w:bidi="ar-SA"/>
        </w:rPr>
        <w:lastRenderedPageBreak/>
        <w:drawing>
          <wp:anchor distT="0" distB="0" distL="114300" distR="114300" simplePos="0" relativeHeight="251662848" behindDoc="0" locked="0" layoutInCell="1" allowOverlap="1" wp14:anchorId="694B9903" wp14:editId="1439F317">
            <wp:simplePos x="0" y="0"/>
            <wp:positionH relativeFrom="column">
              <wp:posOffset>340995</wp:posOffset>
            </wp:positionH>
            <wp:positionV relativeFrom="paragraph">
              <wp:posOffset>8255</wp:posOffset>
            </wp:positionV>
            <wp:extent cx="5320030" cy="1876425"/>
            <wp:effectExtent l="0" t="0" r="13970" b="9525"/>
            <wp:wrapThrough wrapText="bothSides">
              <wp:wrapPolygon edited="0">
                <wp:start x="0" y="0"/>
                <wp:lineTo x="0" y="21490"/>
                <wp:lineTo x="21579" y="21490"/>
                <wp:lineTo x="21579" y="0"/>
                <wp:lineTo x="0" y="0"/>
              </wp:wrapPolygon>
            </wp:wrapThrough>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rsidR="00056A63" w:rsidRPr="00056A63" w:rsidRDefault="00056A63" w:rsidP="00056A63">
      <w:pPr>
        <w:tabs>
          <w:tab w:val="left" w:pos="3465"/>
        </w:tabs>
        <w:spacing w:after="0" w:line="240" w:lineRule="auto"/>
        <w:jc w:val="both"/>
        <w:rPr>
          <w:rFonts w:ascii="Times New Roman" w:hAnsi="Times New Roman"/>
          <w:sz w:val="20"/>
          <w:szCs w:val="20"/>
        </w:rPr>
      </w:pPr>
    </w:p>
    <w:p w:rsidR="00056A63" w:rsidRPr="00056A63" w:rsidRDefault="00056A63" w:rsidP="005638E7">
      <w:pPr>
        <w:tabs>
          <w:tab w:val="left" w:pos="3465"/>
        </w:tabs>
        <w:spacing w:after="0" w:line="240" w:lineRule="auto"/>
        <w:jc w:val="both"/>
        <w:rPr>
          <w:rFonts w:ascii="Times New Roman" w:hAnsi="Times New Roman"/>
          <w:sz w:val="20"/>
          <w:szCs w:val="20"/>
        </w:rPr>
      </w:pPr>
    </w:p>
    <w:p w:rsidR="005638E7" w:rsidRDefault="005638E7" w:rsidP="00056A63">
      <w:pPr>
        <w:pStyle w:val="Caption"/>
        <w:jc w:val="both"/>
      </w:pPr>
    </w:p>
    <w:p w:rsidR="005638E7" w:rsidRDefault="005638E7" w:rsidP="00056A63">
      <w:pPr>
        <w:pStyle w:val="Caption"/>
        <w:jc w:val="both"/>
      </w:pPr>
    </w:p>
    <w:p w:rsidR="005638E7" w:rsidRDefault="005638E7" w:rsidP="00056A63">
      <w:pPr>
        <w:pStyle w:val="Caption"/>
        <w:jc w:val="both"/>
      </w:pPr>
    </w:p>
    <w:p w:rsidR="005638E7" w:rsidRDefault="005638E7" w:rsidP="00056A63">
      <w:pPr>
        <w:pStyle w:val="Caption"/>
        <w:jc w:val="both"/>
      </w:pPr>
    </w:p>
    <w:p w:rsidR="00A27E3C" w:rsidRDefault="00A27E3C" w:rsidP="00056A63">
      <w:pPr>
        <w:pStyle w:val="Caption"/>
        <w:jc w:val="both"/>
      </w:pPr>
    </w:p>
    <w:p w:rsidR="00A27E3C" w:rsidRDefault="00A27E3C" w:rsidP="00056A63">
      <w:pPr>
        <w:pStyle w:val="Caption"/>
        <w:jc w:val="both"/>
      </w:pPr>
    </w:p>
    <w:p w:rsidR="00A27E3C" w:rsidRDefault="00A27E3C" w:rsidP="00056A63">
      <w:pPr>
        <w:pStyle w:val="Caption"/>
        <w:jc w:val="both"/>
      </w:pPr>
    </w:p>
    <w:p w:rsidR="00A27E3C" w:rsidRDefault="00A27E3C" w:rsidP="00056A63">
      <w:pPr>
        <w:pStyle w:val="Caption"/>
        <w:jc w:val="both"/>
      </w:pPr>
    </w:p>
    <w:p w:rsidR="00A27E3C" w:rsidRDefault="00A27E3C" w:rsidP="00056A63">
      <w:pPr>
        <w:pStyle w:val="Caption"/>
        <w:jc w:val="both"/>
      </w:pPr>
    </w:p>
    <w:p w:rsidR="00A27E3C" w:rsidRDefault="00A27E3C" w:rsidP="00056A63">
      <w:pPr>
        <w:pStyle w:val="Caption"/>
        <w:jc w:val="both"/>
      </w:pPr>
    </w:p>
    <w:p w:rsidR="00A27E3C" w:rsidRDefault="00A27E3C" w:rsidP="00056A63">
      <w:pPr>
        <w:pStyle w:val="Caption"/>
        <w:jc w:val="both"/>
      </w:pPr>
    </w:p>
    <w:p w:rsidR="00056A63" w:rsidRPr="00056A63" w:rsidRDefault="00A27E3C" w:rsidP="00A27E3C">
      <w:pPr>
        <w:pStyle w:val="Caption"/>
        <w:ind w:left="0" w:firstLine="0"/>
        <w:rPr>
          <w:noProof/>
        </w:rPr>
      </w:pPr>
      <w:r>
        <w:t xml:space="preserve">Figure 4.  </w:t>
      </w:r>
      <w:r w:rsidR="00056A63" w:rsidRPr="00056A63">
        <w:t>Comparative of pH value in anaerobic digestion process</w:t>
      </w:r>
    </w:p>
    <w:p w:rsidR="00056A63" w:rsidRPr="00056A63" w:rsidRDefault="00056A63" w:rsidP="00056A63">
      <w:pPr>
        <w:tabs>
          <w:tab w:val="left" w:pos="3465"/>
        </w:tabs>
        <w:spacing w:after="0" w:line="240" w:lineRule="auto"/>
        <w:jc w:val="both"/>
        <w:rPr>
          <w:rFonts w:ascii="Times New Roman" w:hAnsi="Times New Roman"/>
          <w:sz w:val="20"/>
          <w:szCs w:val="20"/>
          <w:lang w:val="en-GB"/>
        </w:rPr>
      </w:pPr>
    </w:p>
    <w:p w:rsidR="00056A63" w:rsidRPr="00056A63" w:rsidRDefault="00056A63" w:rsidP="00056A63">
      <w:pPr>
        <w:pStyle w:val="Caption"/>
        <w:jc w:val="both"/>
      </w:pPr>
      <w:r w:rsidRPr="00056A63">
        <w:rPr>
          <w:noProof/>
          <w:color w:val="FF0000"/>
          <w:lang w:val="en-US"/>
        </w:rPr>
        <w:drawing>
          <wp:anchor distT="0" distB="0" distL="114300" distR="114300" simplePos="0" relativeHeight="251660800" behindDoc="0" locked="0" layoutInCell="1" allowOverlap="1" wp14:anchorId="77490D9E" wp14:editId="489C5A3D">
            <wp:simplePos x="0" y="0"/>
            <wp:positionH relativeFrom="column">
              <wp:posOffset>344458</wp:posOffset>
            </wp:positionH>
            <wp:positionV relativeFrom="paragraph">
              <wp:posOffset>133869</wp:posOffset>
            </wp:positionV>
            <wp:extent cx="5328000" cy="2124075"/>
            <wp:effectExtent l="0" t="0" r="0" b="0"/>
            <wp:wrapThrough wrapText="bothSides">
              <wp:wrapPolygon edited="0">
                <wp:start x="0" y="0"/>
                <wp:lineTo x="0" y="21503"/>
                <wp:lineTo x="21549" y="21503"/>
                <wp:lineTo x="21549" y="0"/>
                <wp:lineTo x="0" y="0"/>
              </wp:wrapPolygon>
            </wp:wrapThrough>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056A63">
      <w:pPr>
        <w:pStyle w:val="Caption"/>
        <w:jc w:val="both"/>
      </w:pPr>
    </w:p>
    <w:p w:rsidR="00056A63" w:rsidRPr="00056A63" w:rsidRDefault="00056A63" w:rsidP="00A27E3C">
      <w:pPr>
        <w:pStyle w:val="Caption"/>
        <w:spacing w:before="60"/>
        <w:ind w:left="0" w:firstLine="0"/>
        <w:rPr>
          <w:noProof/>
        </w:rPr>
      </w:pPr>
      <w:r w:rsidRPr="00056A63">
        <w:t xml:space="preserve">Figure 5. </w:t>
      </w:r>
      <w:r w:rsidR="00A27E3C">
        <w:t xml:space="preserve"> </w:t>
      </w:r>
      <w:r w:rsidRPr="00056A63">
        <w:t>Comparative of temperature in anaerobic digestion process</w:t>
      </w:r>
    </w:p>
    <w:p w:rsidR="00056A63" w:rsidRDefault="00056A63" w:rsidP="00056A63">
      <w:pPr>
        <w:spacing w:after="0" w:line="240" w:lineRule="auto"/>
        <w:jc w:val="both"/>
        <w:rPr>
          <w:rFonts w:ascii="Times New Roman" w:hAnsi="Times New Roman"/>
          <w:color w:val="FF0000"/>
          <w:sz w:val="20"/>
          <w:szCs w:val="20"/>
        </w:rPr>
      </w:pPr>
    </w:p>
    <w:p w:rsidR="00A27E3C" w:rsidRPr="00056A63" w:rsidRDefault="00A27E3C" w:rsidP="00056A63">
      <w:pPr>
        <w:spacing w:after="0" w:line="240" w:lineRule="auto"/>
        <w:jc w:val="both"/>
        <w:rPr>
          <w:rFonts w:ascii="Times New Roman" w:hAnsi="Times New Roman"/>
          <w:color w:val="FF0000"/>
          <w:sz w:val="20"/>
          <w:szCs w:val="20"/>
        </w:rPr>
      </w:pPr>
    </w:p>
    <w:p w:rsidR="006768E9" w:rsidRPr="00056A63" w:rsidRDefault="00056A63" w:rsidP="00056A63">
      <w:pPr>
        <w:spacing w:after="0" w:line="240" w:lineRule="auto"/>
        <w:jc w:val="both"/>
        <w:rPr>
          <w:rFonts w:ascii="Times New Roman" w:hAnsi="Times New Roman"/>
          <w:noProof/>
          <w:sz w:val="20"/>
          <w:szCs w:val="20"/>
          <w:lang w:bidi="ar-SA"/>
        </w:rPr>
      </w:pPr>
      <w:r w:rsidRPr="00056A63">
        <w:rPr>
          <w:rFonts w:ascii="Times New Roman" w:hAnsi="Times New Roman"/>
          <w:sz w:val="20"/>
          <w:szCs w:val="20"/>
        </w:rPr>
        <w:t xml:space="preserve">A sample mixture of </w:t>
      </w:r>
      <w:r w:rsidRPr="00056A63">
        <w:rPr>
          <w:rFonts w:ascii="Times New Roman" w:hAnsi="Times New Roman"/>
          <w:i/>
          <w:sz w:val="20"/>
          <w:szCs w:val="20"/>
        </w:rPr>
        <w:t>C. furcata</w:t>
      </w:r>
      <w:r w:rsidRPr="00056A63">
        <w:rPr>
          <w:rFonts w:ascii="Times New Roman" w:hAnsi="Times New Roman"/>
          <w:sz w:val="20"/>
          <w:szCs w:val="20"/>
        </w:rPr>
        <w:t>/inoculums shows the percentage increase in CH</w:t>
      </w:r>
      <w:r w:rsidRPr="00056A63">
        <w:rPr>
          <w:rFonts w:ascii="Times New Roman" w:hAnsi="Times New Roman"/>
          <w:sz w:val="20"/>
          <w:szCs w:val="20"/>
          <w:vertAlign w:val="subscript"/>
        </w:rPr>
        <w:t>4</w:t>
      </w:r>
      <w:r w:rsidRPr="00056A63">
        <w:rPr>
          <w:rFonts w:ascii="Times New Roman" w:hAnsi="Times New Roman"/>
          <w:sz w:val="20"/>
          <w:szCs w:val="20"/>
        </w:rPr>
        <w:t xml:space="preserve"> quite significantly up to 11.9% for sample mixture of 1:3 </w:t>
      </w:r>
      <w:r w:rsidRPr="00056A63">
        <w:rPr>
          <w:rFonts w:ascii="Times New Roman" w:hAnsi="Times New Roman"/>
          <w:i/>
          <w:sz w:val="20"/>
          <w:szCs w:val="20"/>
        </w:rPr>
        <w:t>C. furcata</w:t>
      </w:r>
      <w:r w:rsidRPr="00056A63">
        <w:rPr>
          <w:rFonts w:ascii="Times New Roman" w:hAnsi="Times New Roman"/>
          <w:sz w:val="20"/>
          <w:szCs w:val="20"/>
        </w:rPr>
        <w:t>/inoculums ratio as shown in Figure 3.</w:t>
      </w:r>
      <w:r w:rsidRPr="00056A63">
        <w:rPr>
          <w:rFonts w:ascii="Times New Roman" w:hAnsi="Times New Roman"/>
          <w:color w:val="FF0000"/>
          <w:sz w:val="20"/>
          <w:szCs w:val="20"/>
        </w:rPr>
        <w:t xml:space="preserve"> </w:t>
      </w:r>
      <w:r w:rsidRPr="00056A63">
        <w:rPr>
          <w:rFonts w:ascii="Times New Roman" w:hAnsi="Times New Roman"/>
          <w:sz w:val="20"/>
          <w:szCs w:val="20"/>
        </w:rPr>
        <w:t>This is because this sample contained of highest soluble/degradable organic load for methanogens. Verma et al. [5] reported that the role of the inoculums, supplying microbial culture and a slurry substrate to begin the process methanogenisis assume equals importance in biogas production.</w:t>
      </w:r>
      <w:r w:rsidRPr="00056A63">
        <w:rPr>
          <w:rFonts w:ascii="Times New Roman" w:hAnsi="Times New Roman"/>
          <w:color w:val="FF0000"/>
          <w:sz w:val="20"/>
          <w:szCs w:val="20"/>
        </w:rPr>
        <w:t xml:space="preserve"> </w:t>
      </w:r>
      <w:r w:rsidRPr="00056A63">
        <w:rPr>
          <w:rFonts w:ascii="Times New Roman" w:hAnsi="Times New Roman"/>
          <w:sz w:val="20"/>
          <w:szCs w:val="20"/>
        </w:rPr>
        <w:t xml:space="preserve">Besides that, the retention time which the period spent by the feed or substrate inside the digester has </w:t>
      </w:r>
      <w:r w:rsidR="00A27E3C">
        <w:rPr>
          <w:rFonts w:ascii="Times New Roman" w:hAnsi="Times New Roman"/>
          <w:sz w:val="20"/>
          <w:szCs w:val="20"/>
        </w:rPr>
        <w:t xml:space="preserve"> </w:t>
      </w:r>
      <w:r w:rsidRPr="00056A63">
        <w:rPr>
          <w:rFonts w:ascii="Times New Roman" w:hAnsi="Times New Roman"/>
          <w:sz w:val="20"/>
          <w:szCs w:val="20"/>
        </w:rPr>
        <w:t xml:space="preserve">a significant effect on methane production. </w:t>
      </w:r>
      <w:r w:rsidR="00A27E3C">
        <w:rPr>
          <w:rFonts w:ascii="Times New Roman" w:hAnsi="Times New Roman"/>
          <w:sz w:val="20"/>
          <w:szCs w:val="20"/>
        </w:rPr>
        <w:t xml:space="preserve"> </w:t>
      </w:r>
      <w:r w:rsidRPr="00056A63">
        <w:rPr>
          <w:rFonts w:ascii="Times New Roman" w:hAnsi="Times New Roman"/>
          <w:sz w:val="20"/>
          <w:szCs w:val="20"/>
        </w:rPr>
        <w:t xml:space="preserve">The </w:t>
      </w:r>
      <w:r w:rsidR="00A27E3C">
        <w:rPr>
          <w:rFonts w:ascii="Times New Roman" w:hAnsi="Times New Roman"/>
          <w:sz w:val="20"/>
          <w:szCs w:val="20"/>
        </w:rPr>
        <w:t xml:space="preserve"> </w:t>
      </w:r>
      <w:r w:rsidRPr="00056A63">
        <w:rPr>
          <w:rFonts w:ascii="Times New Roman" w:hAnsi="Times New Roman"/>
          <w:sz w:val="20"/>
          <w:szCs w:val="20"/>
        </w:rPr>
        <w:t>appropriate</w:t>
      </w:r>
      <w:r w:rsidR="00A27E3C">
        <w:rPr>
          <w:rFonts w:ascii="Times New Roman" w:hAnsi="Times New Roman"/>
          <w:sz w:val="20"/>
          <w:szCs w:val="20"/>
        </w:rPr>
        <w:t xml:space="preserve"> </w:t>
      </w:r>
      <w:r w:rsidRPr="00056A63">
        <w:rPr>
          <w:rFonts w:ascii="Times New Roman" w:hAnsi="Times New Roman"/>
          <w:sz w:val="20"/>
          <w:szCs w:val="20"/>
        </w:rPr>
        <w:t xml:space="preserve"> retention time for mesophilic bacteria is around 20 days. If the retention time is in the short period, the concentration of methane in the formed biogas is less than 50% and it is not longer combustible [7]. This was proven by the highest amount of biogas produced which started from days 22 for sample mixture of 1:3 </w:t>
      </w:r>
      <w:r w:rsidRPr="00056A63">
        <w:rPr>
          <w:rFonts w:ascii="Times New Roman" w:hAnsi="Times New Roman"/>
          <w:i/>
          <w:sz w:val="20"/>
          <w:szCs w:val="20"/>
        </w:rPr>
        <w:t>C. furcata</w:t>
      </w:r>
      <w:r w:rsidRPr="00056A63">
        <w:rPr>
          <w:rFonts w:ascii="Times New Roman" w:hAnsi="Times New Roman"/>
          <w:sz w:val="20"/>
          <w:szCs w:val="20"/>
        </w:rPr>
        <w:t xml:space="preserve">/water ratio and 1:3 </w:t>
      </w:r>
      <w:r w:rsidRPr="00056A63">
        <w:rPr>
          <w:rFonts w:ascii="Times New Roman" w:hAnsi="Times New Roman"/>
          <w:i/>
          <w:sz w:val="20"/>
          <w:szCs w:val="20"/>
        </w:rPr>
        <w:t>C. furcata</w:t>
      </w:r>
      <w:r w:rsidRPr="00056A63">
        <w:rPr>
          <w:rFonts w:ascii="Times New Roman" w:hAnsi="Times New Roman"/>
          <w:sz w:val="20"/>
          <w:szCs w:val="20"/>
        </w:rPr>
        <w:t>/inoculums ratio.</w:t>
      </w:r>
    </w:p>
    <w:p w:rsidR="00056A63" w:rsidRDefault="00056A6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34B01" w:rsidRPr="00B34B01" w:rsidRDefault="00B34B01" w:rsidP="00B34B01">
      <w:pPr>
        <w:spacing w:after="0" w:line="240" w:lineRule="auto"/>
        <w:jc w:val="both"/>
        <w:rPr>
          <w:sz w:val="20"/>
          <w:szCs w:val="20"/>
        </w:rPr>
      </w:pPr>
      <w:r w:rsidRPr="00B34B01">
        <w:rPr>
          <w:rFonts w:ascii="Times New Roman" w:hAnsi="Times New Roman"/>
          <w:sz w:val="20"/>
          <w:szCs w:val="20"/>
        </w:rPr>
        <w:t xml:space="preserve">The result revealed that </w:t>
      </w:r>
      <w:r w:rsidRPr="00B34B01">
        <w:rPr>
          <w:rFonts w:ascii="Times New Roman" w:hAnsi="Times New Roman"/>
          <w:i/>
          <w:sz w:val="20"/>
          <w:szCs w:val="20"/>
        </w:rPr>
        <w:t>C. furcata</w:t>
      </w:r>
      <w:r w:rsidRPr="00B34B01">
        <w:rPr>
          <w:rFonts w:ascii="Times New Roman" w:hAnsi="Times New Roman"/>
          <w:sz w:val="20"/>
          <w:szCs w:val="20"/>
        </w:rPr>
        <w:t xml:space="preserve"> has a great potential for utilization as substrate in biogas production. In mesophilic phase, the cumulated biogas volume increased with respect to substrate/water ratio and substrate/inoculums ratio. The most important finding in this research is that the sample mixture ratio of the substrate significantly affect the biogas production. The sample mixture of </w:t>
      </w:r>
      <w:r w:rsidRPr="00B34B01">
        <w:rPr>
          <w:rFonts w:ascii="Times New Roman" w:hAnsi="Times New Roman"/>
          <w:i/>
          <w:sz w:val="20"/>
          <w:szCs w:val="20"/>
        </w:rPr>
        <w:t>C. furcata</w:t>
      </w:r>
      <w:r w:rsidRPr="00B34B01">
        <w:rPr>
          <w:rFonts w:ascii="Times New Roman" w:hAnsi="Times New Roman"/>
          <w:sz w:val="20"/>
          <w:szCs w:val="20"/>
        </w:rPr>
        <w:t>/inoculums produced up to 11.9% of CH</w:t>
      </w:r>
      <w:r w:rsidRPr="00B34B01">
        <w:rPr>
          <w:rFonts w:ascii="Times New Roman" w:hAnsi="Times New Roman"/>
          <w:sz w:val="20"/>
          <w:szCs w:val="20"/>
          <w:vertAlign w:val="subscript"/>
        </w:rPr>
        <w:t>4</w:t>
      </w:r>
      <w:r w:rsidRPr="00B34B01">
        <w:rPr>
          <w:rFonts w:ascii="Times New Roman" w:hAnsi="Times New Roman"/>
          <w:sz w:val="20"/>
          <w:szCs w:val="20"/>
        </w:rPr>
        <w:t xml:space="preserve"> during 28 days of anaerobic digestion process compared to sample mixture of </w:t>
      </w:r>
      <w:r w:rsidRPr="00B34B01">
        <w:rPr>
          <w:rFonts w:ascii="Times New Roman" w:hAnsi="Times New Roman"/>
          <w:i/>
          <w:sz w:val="20"/>
          <w:szCs w:val="20"/>
        </w:rPr>
        <w:t>C. furcata</w:t>
      </w:r>
      <w:r w:rsidRPr="00B34B01">
        <w:rPr>
          <w:rFonts w:ascii="Times New Roman" w:hAnsi="Times New Roman"/>
          <w:sz w:val="20"/>
          <w:szCs w:val="20"/>
        </w:rPr>
        <w:t>/water ratio only produced about 1.1% of CH</w:t>
      </w:r>
      <w:r w:rsidRPr="00B34B01">
        <w:rPr>
          <w:rFonts w:ascii="Times New Roman" w:hAnsi="Times New Roman"/>
          <w:sz w:val="20"/>
          <w:szCs w:val="20"/>
          <w:vertAlign w:val="subscript"/>
        </w:rPr>
        <w:t>4</w:t>
      </w:r>
      <w:r w:rsidRPr="00B34B01">
        <w:rPr>
          <w:rFonts w:ascii="Times New Roman" w:hAnsi="Times New Roman"/>
          <w:sz w:val="20"/>
          <w:szCs w:val="20"/>
        </w:rPr>
        <w:t>. Besides that, activated sewage sludge can be used as inoculums for anaerobic digestion since it has important roles for start-up of the biochemical processes from anaerobic digesters.</w:t>
      </w:r>
    </w:p>
    <w:p w:rsidR="00B34B01" w:rsidRPr="00B34B01" w:rsidRDefault="00B34B01" w:rsidP="00B34B01">
      <w:pPr>
        <w:spacing w:after="0" w:line="240" w:lineRule="auto"/>
        <w:jc w:val="center"/>
        <w:outlineLvl w:val="0"/>
        <w:rPr>
          <w:rFonts w:ascii="Times New Roman" w:hAnsi="Times New Roman"/>
          <w:sz w:val="20"/>
          <w:szCs w:val="20"/>
        </w:rPr>
      </w:pPr>
    </w:p>
    <w:p w:rsidR="00B34B01" w:rsidRPr="00B34B01" w:rsidRDefault="00B34B01" w:rsidP="00B34B01">
      <w:pPr>
        <w:spacing w:after="0" w:line="240" w:lineRule="auto"/>
        <w:jc w:val="center"/>
        <w:outlineLvl w:val="0"/>
        <w:rPr>
          <w:rFonts w:ascii="Times New Roman" w:hAnsi="Times New Roman"/>
          <w:b/>
          <w:sz w:val="20"/>
          <w:szCs w:val="20"/>
        </w:rPr>
      </w:pPr>
      <w:r w:rsidRPr="00B34B01">
        <w:rPr>
          <w:rFonts w:ascii="Times New Roman" w:hAnsi="Times New Roman"/>
          <w:b/>
          <w:sz w:val="20"/>
          <w:szCs w:val="20"/>
        </w:rPr>
        <w:t>Acknowledgement</w:t>
      </w:r>
    </w:p>
    <w:p w:rsidR="00B34B01" w:rsidRPr="00B34B01" w:rsidRDefault="00B34B01" w:rsidP="00B34B01">
      <w:pPr>
        <w:adjustRightInd w:val="0"/>
        <w:spacing w:after="0" w:line="240" w:lineRule="auto"/>
        <w:jc w:val="both"/>
        <w:rPr>
          <w:rFonts w:ascii="Times New Roman" w:hAnsi="Times New Roman"/>
          <w:sz w:val="20"/>
          <w:szCs w:val="20"/>
        </w:rPr>
      </w:pPr>
      <w:r w:rsidRPr="00B34B01">
        <w:rPr>
          <w:rFonts w:ascii="Times New Roman" w:hAnsi="Times New Roman"/>
          <w:sz w:val="20"/>
          <w:szCs w:val="20"/>
        </w:rPr>
        <w:t>This research was financially supported by the Ministry of Education (MOE) through Grant No. ERGS/1/2013/TK05/UKM/02/2 and Universiti Kebangsaan Malaysia with Grant No. GGPM-2013-075.</w:t>
      </w:r>
    </w:p>
    <w:p w:rsidR="006768E9" w:rsidRPr="00F447A7" w:rsidRDefault="006768E9" w:rsidP="00B34B0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MY" w:eastAsia="en-MY"/>
        </w:rPr>
      </w:pPr>
      <w:r w:rsidRPr="00B34B01">
        <w:rPr>
          <w:rFonts w:ascii="Times New Roman" w:hAnsi="Times New Roman"/>
          <w:sz w:val="20"/>
          <w:szCs w:val="20"/>
          <w:lang w:val="en-MY" w:eastAsia="en-MY"/>
        </w:rPr>
        <w:t xml:space="preserve">Gelegenis, J., Georgakakis, D., Angelidaki, I., Christopouolou, N. and Goumenaki, M. (2007). Optimization of biogas production from olive–oil mill wastewater, by co-digesting with diluted poultry manure. </w:t>
      </w:r>
      <w:r w:rsidRPr="00B34B01">
        <w:rPr>
          <w:rFonts w:ascii="Times New Roman" w:hAnsi="Times New Roman"/>
          <w:i/>
          <w:sz w:val="20"/>
          <w:szCs w:val="20"/>
          <w:lang w:val="en-MY" w:eastAsia="en-MY"/>
        </w:rPr>
        <w:t>Applied Energy</w:t>
      </w:r>
      <w:r w:rsidRPr="00B34B01">
        <w:rPr>
          <w:rFonts w:ascii="Times New Roman" w:hAnsi="Times New Roman"/>
          <w:sz w:val="20"/>
          <w:szCs w:val="20"/>
          <w:lang w:val="en-MY" w:eastAsia="en-MY"/>
        </w:rPr>
        <w:t>, 84: 646 – 663.</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MY" w:eastAsia="en-MY"/>
        </w:rPr>
      </w:pPr>
      <w:r w:rsidRPr="00B34B01">
        <w:rPr>
          <w:rFonts w:ascii="Times New Roman" w:hAnsi="Times New Roman"/>
          <w:sz w:val="20"/>
          <w:szCs w:val="20"/>
        </w:rPr>
        <w:t>Teodorita, A. S., Rutz, D., Prassl, H., Kottner, M., Finsterwalder, T., Volk, S. and Janssen, R. (2008). Biogass Handbook.University of Southern Denmark, Denmark.</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MY" w:eastAsia="en-MY"/>
        </w:rPr>
      </w:pPr>
      <w:r w:rsidRPr="00B34B01">
        <w:rPr>
          <w:rFonts w:ascii="Times New Roman" w:hAnsi="Times New Roman"/>
          <w:sz w:val="20"/>
          <w:szCs w:val="20"/>
        </w:rPr>
        <w:t xml:space="preserve">Kunatsa, T. and Mufundirwa, A. (2013). Biogas production from water hyacinth case of Lake Chivero -Zimbabwe. </w:t>
      </w:r>
      <w:r w:rsidRPr="00B34B01">
        <w:rPr>
          <w:rFonts w:ascii="Times New Roman" w:hAnsi="Times New Roman"/>
          <w:i/>
          <w:sz w:val="20"/>
          <w:szCs w:val="20"/>
        </w:rPr>
        <w:t>International Journal of Recent Technology and Engineering,</w:t>
      </w:r>
      <w:r w:rsidRPr="00B34B01">
        <w:rPr>
          <w:rFonts w:ascii="Times New Roman" w:hAnsi="Times New Roman"/>
          <w:sz w:val="20"/>
          <w:szCs w:val="20"/>
        </w:rPr>
        <w:t xml:space="preserve"> 2 (2): 138 – 142.</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MY" w:eastAsia="en-MY"/>
        </w:rPr>
      </w:pPr>
      <w:r w:rsidRPr="00B34B01">
        <w:rPr>
          <w:rFonts w:ascii="Times New Roman" w:hAnsi="Times New Roman"/>
          <w:sz w:val="20"/>
          <w:szCs w:val="20"/>
        </w:rPr>
        <w:t xml:space="preserve">Pereira, R. G., Pereira, M. C. D. E., Silva, J. G., Abreu, F. L. B. and Lameira, V. J. (2011). Production and characterization of biogas obtained from biomass of aquatic plants. </w:t>
      </w:r>
      <w:r w:rsidRPr="00B34B01">
        <w:rPr>
          <w:rFonts w:ascii="Times New Roman" w:hAnsi="Times New Roman"/>
          <w:i/>
          <w:sz w:val="20"/>
          <w:szCs w:val="20"/>
        </w:rPr>
        <w:t>International Conference on Renewable Energies and Power Quality</w:t>
      </w:r>
      <w:r w:rsidRPr="00B34B01">
        <w:rPr>
          <w:rFonts w:ascii="Times New Roman" w:hAnsi="Times New Roman"/>
          <w:sz w:val="20"/>
          <w:szCs w:val="20"/>
        </w:rPr>
        <w:t xml:space="preserve"> (ICREPQ'11). Canary Island Convention Centre Spain.</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MY" w:eastAsia="en-MY"/>
        </w:rPr>
      </w:pPr>
      <w:r w:rsidRPr="00B34B01">
        <w:rPr>
          <w:rFonts w:ascii="Times New Roman" w:hAnsi="Times New Roman"/>
          <w:sz w:val="20"/>
          <w:szCs w:val="20"/>
        </w:rPr>
        <w:t xml:space="preserve">Verma, V. K., Singh, Y. P. and Rai, J. P. N. (2007). Biogas production from plant biomass used for phytoremediation of industrial wastes. </w:t>
      </w:r>
      <w:r w:rsidRPr="00B34B01">
        <w:rPr>
          <w:rFonts w:ascii="Times New Roman" w:hAnsi="Times New Roman"/>
          <w:i/>
          <w:sz w:val="20"/>
          <w:szCs w:val="20"/>
        </w:rPr>
        <w:t xml:space="preserve">Bioresource Technology, </w:t>
      </w:r>
      <w:r w:rsidRPr="00B34B01">
        <w:rPr>
          <w:rFonts w:ascii="Times New Roman" w:hAnsi="Times New Roman"/>
          <w:sz w:val="20"/>
          <w:szCs w:val="20"/>
        </w:rPr>
        <w:t>98: 1664 – 1669.</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rPr>
        <w:t xml:space="preserve">Department of Agriculture, Fisheries and Forestry (2012). Cabomba. </w:t>
      </w:r>
      <w:r w:rsidRPr="00B34B01">
        <w:rPr>
          <w:rFonts w:ascii="Times New Roman" w:hAnsi="Times New Roman"/>
          <w:i/>
          <w:sz w:val="20"/>
          <w:szCs w:val="20"/>
        </w:rPr>
        <w:t>The State of Queensland Fact Sheet</w:t>
      </w:r>
      <w:r w:rsidRPr="00B34B01">
        <w:rPr>
          <w:rFonts w:ascii="Times New Roman" w:hAnsi="Times New Roman"/>
          <w:sz w:val="20"/>
          <w:szCs w:val="20"/>
        </w:rPr>
        <w:t>. Access from https://www.daf.qld.gov.au/__data/assets/pdf_file/0005/72896/IPA-Cabomba-PP30.pdf [10 February 2013].</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rPr>
        <w:t xml:space="preserve">Sara, S. R. and Veronica, M. S. (2009). Biogas production from waste of the shrimp manufacture in Sisimiut. </w:t>
      </w:r>
      <w:r w:rsidRPr="00B34B01">
        <w:rPr>
          <w:rFonts w:ascii="Times New Roman" w:hAnsi="Times New Roman"/>
          <w:i/>
          <w:sz w:val="20"/>
          <w:szCs w:val="20"/>
        </w:rPr>
        <w:t>Arctic Technology</w:t>
      </w:r>
      <w:r w:rsidRPr="00B34B01">
        <w:rPr>
          <w:rFonts w:ascii="Times New Roman" w:hAnsi="Times New Roman"/>
          <w:sz w:val="20"/>
          <w:szCs w:val="20"/>
        </w:rPr>
        <w:t>: pp. 1 – 48.</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rPr>
        <w:t xml:space="preserve">Neo, S., Vintila, T. and Bura, M. (2012). Conversion of agriculture wastes to biogas using as inoculums cattle manure and activated sludge. </w:t>
      </w:r>
      <w:r w:rsidRPr="00B34B01">
        <w:rPr>
          <w:rFonts w:ascii="Times New Roman" w:hAnsi="Times New Roman"/>
          <w:i/>
          <w:sz w:val="20"/>
          <w:szCs w:val="20"/>
        </w:rPr>
        <w:t xml:space="preserve">Scientific </w:t>
      </w:r>
      <w:r w:rsidRPr="00B34B01">
        <w:rPr>
          <w:rFonts w:ascii="Times New Roman" w:hAnsi="Times New Roman"/>
          <w:i/>
          <w:color w:val="000000" w:themeColor="text1"/>
          <w:sz w:val="20"/>
          <w:szCs w:val="20"/>
        </w:rPr>
        <w:t xml:space="preserve">papers: Animals Sciences and Biotechnologies, </w:t>
      </w:r>
      <w:r w:rsidRPr="00B34B01">
        <w:rPr>
          <w:rFonts w:ascii="Times New Roman" w:hAnsi="Times New Roman"/>
          <w:sz w:val="20"/>
          <w:szCs w:val="20"/>
        </w:rPr>
        <w:t>45(1): 328 – 334.</w:t>
      </w:r>
    </w:p>
    <w:p w:rsidR="00B34B01" w:rsidRDefault="00B34B01" w:rsidP="001228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rPr>
        <w:t>Sunarso, Johari, S., Wid</w:t>
      </w:r>
      <w:bookmarkStart w:id="0" w:name="_GoBack"/>
      <w:bookmarkEnd w:id="0"/>
      <w:r w:rsidRPr="00B34B01">
        <w:rPr>
          <w:rFonts w:ascii="Times New Roman" w:hAnsi="Times New Roman"/>
          <w:sz w:val="20"/>
          <w:szCs w:val="20"/>
        </w:rPr>
        <w:t xml:space="preserve">iasa, I. N. and Budiyono. (2012). The effect of feed to inoculums ratio on biogas production rate from cattle manure using ramen fluids as inoculums. </w:t>
      </w:r>
      <w:r w:rsidRPr="00B34B01">
        <w:rPr>
          <w:rFonts w:ascii="Times New Roman" w:hAnsi="Times New Roman"/>
          <w:i/>
          <w:sz w:val="20"/>
          <w:szCs w:val="20"/>
        </w:rPr>
        <w:t>International Journal of Waste Resources</w:t>
      </w:r>
      <w:r w:rsidRPr="00B34B01">
        <w:rPr>
          <w:rFonts w:ascii="Times New Roman" w:hAnsi="Times New Roman"/>
          <w:sz w:val="20"/>
          <w:szCs w:val="20"/>
        </w:rPr>
        <w:t>, 2(1):</w:t>
      </w:r>
      <w:r w:rsidR="00661FBC">
        <w:rPr>
          <w:rFonts w:ascii="Times New Roman" w:hAnsi="Times New Roman"/>
          <w:sz w:val="20"/>
          <w:szCs w:val="20"/>
        </w:rPr>
        <w:t xml:space="preserve"> </w:t>
      </w:r>
      <w:r w:rsidRPr="00B34B01">
        <w:rPr>
          <w:rFonts w:ascii="Times New Roman" w:hAnsi="Times New Roman"/>
          <w:sz w:val="20"/>
          <w:szCs w:val="20"/>
        </w:rPr>
        <w:t>1 – 4.</w:t>
      </w:r>
    </w:p>
    <w:p w:rsidR="00661FBC" w:rsidRPr="000C7A29" w:rsidRDefault="00661FBC" w:rsidP="00661FBC">
      <w:pPr>
        <w:pStyle w:val="ListParagraph"/>
        <w:widowControl w:val="0"/>
        <w:numPr>
          <w:ilvl w:val="0"/>
          <w:numId w:val="2"/>
        </w:numPr>
        <w:wordWrap w:val="0"/>
        <w:autoSpaceDE w:val="0"/>
        <w:autoSpaceDN w:val="0"/>
        <w:spacing w:after="0" w:line="240" w:lineRule="auto"/>
        <w:ind w:left="360"/>
        <w:contextualSpacing w:val="0"/>
        <w:jc w:val="both"/>
        <w:rPr>
          <w:rFonts w:ascii="Times New Roman" w:hAnsi="Times New Roman"/>
          <w:sz w:val="20"/>
          <w:szCs w:val="20"/>
        </w:rPr>
      </w:pPr>
      <w:r w:rsidRPr="000C7A29">
        <w:rPr>
          <w:rFonts w:ascii="Times New Roman" w:hAnsi="Times New Roman"/>
          <w:sz w:val="20"/>
          <w:szCs w:val="20"/>
        </w:rPr>
        <w:t xml:space="preserve">Abu-Dahrieh, J. K., Orozco, A., Ahmad, M. and Rooney, D. (2011). </w:t>
      </w:r>
      <w:r w:rsidRPr="000C7A29">
        <w:rPr>
          <w:rFonts w:ascii="Times New Roman" w:hAnsi="Times New Roman"/>
          <w:sz w:val="20"/>
          <w:szCs w:val="20"/>
        </w:rPr>
        <w:t xml:space="preserve"> </w:t>
      </w:r>
      <w:r w:rsidRPr="000C7A29">
        <w:rPr>
          <w:rFonts w:ascii="Times New Roman" w:hAnsi="Times New Roman"/>
          <w:sz w:val="20"/>
          <w:szCs w:val="20"/>
        </w:rPr>
        <w:t xml:space="preserve">The potential for biogas production from grass. </w:t>
      </w:r>
      <w:r w:rsidRPr="000C7A29">
        <w:rPr>
          <w:rFonts w:ascii="Times New Roman" w:hAnsi="Times New Roman"/>
          <w:i/>
          <w:sz w:val="20"/>
          <w:szCs w:val="20"/>
        </w:rPr>
        <w:t>Jordan International Energy Conference</w:t>
      </w:r>
      <w:r w:rsidRPr="000C7A29">
        <w:rPr>
          <w:rFonts w:ascii="Times New Roman" w:hAnsi="Times New Roman"/>
          <w:sz w:val="20"/>
          <w:szCs w:val="20"/>
        </w:rPr>
        <w:t>: pp. 1 – 8.</w:t>
      </w:r>
    </w:p>
    <w:p w:rsidR="00661FBC" w:rsidRPr="000C7A29" w:rsidRDefault="00661FBC" w:rsidP="00661FBC">
      <w:pPr>
        <w:pStyle w:val="ListParagraph"/>
        <w:widowControl w:val="0"/>
        <w:numPr>
          <w:ilvl w:val="0"/>
          <w:numId w:val="2"/>
        </w:numPr>
        <w:wordWrap w:val="0"/>
        <w:autoSpaceDE w:val="0"/>
        <w:autoSpaceDN w:val="0"/>
        <w:spacing w:after="0" w:line="240" w:lineRule="auto"/>
        <w:ind w:left="360"/>
        <w:contextualSpacing w:val="0"/>
        <w:jc w:val="both"/>
        <w:rPr>
          <w:rStyle w:val="Emphasis"/>
          <w:rFonts w:ascii="Times New Roman" w:hAnsi="Times New Roman"/>
          <w:b w:val="0"/>
          <w:iCs w:val="0"/>
          <w:spacing w:val="0"/>
          <w:sz w:val="20"/>
          <w:szCs w:val="20"/>
        </w:rPr>
      </w:pPr>
      <w:r w:rsidRPr="000C7A29">
        <w:rPr>
          <w:rStyle w:val="Emphasis"/>
          <w:rFonts w:ascii="Times New Roman" w:hAnsi="Times New Roman"/>
          <w:b w:val="0"/>
          <w:i w:val="0"/>
          <w:spacing w:val="0"/>
          <w:sz w:val="20"/>
          <w:szCs w:val="20"/>
        </w:rPr>
        <w:t>Mateescu, C. and Constantinescu, I. (2011). Comparative analysis of inoculums biomass for biogas potential in the anaerobic digestion.</w:t>
      </w:r>
      <w:r w:rsidRPr="000C7A29">
        <w:rPr>
          <w:rStyle w:val="Emphasis"/>
          <w:rFonts w:ascii="Times New Roman" w:hAnsi="Times New Roman"/>
          <w:b w:val="0"/>
          <w:spacing w:val="0"/>
          <w:sz w:val="20"/>
          <w:szCs w:val="20"/>
        </w:rPr>
        <w:t xml:space="preserve"> U.P.B. Scientific Bulletin: Series B, 73(3)</w:t>
      </w:r>
      <w:r w:rsidRPr="000C7A29">
        <w:rPr>
          <w:rStyle w:val="Emphasis"/>
          <w:rFonts w:ascii="Times New Roman" w:hAnsi="Times New Roman"/>
          <w:b w:val="0"/>
          <w:i w:val="0"/>
          <w:spacing w:val="0"/>
          <w:sz w:val="20"/>
          <w:szCs w:val="20"/>
        </w:rPr>
        <w:t>: 99 – 104.</w:t>
      </w:r>
    </w:p>
    <w:p w:rsidR="00661FBC" w:rsidRPr="000C7A29" w:rsidRDefault="00661FBC" w:rsidP="00661FBC">
      <w:pPr>
        <w:pStyle w:val="ListParagraph"/>
        <w:widowControl w:val="0"/>
        <w:numPr>
          <w:ilvl w:val="0"/>
          <w:numId w:val="2"/>
        </w:numPr>
        <w:wordWrap w:val="0"/>
        <w:autoSpaceDE w:val="0"/>
        <w:autoSpaceDN w:val="0"/>
        <w:spacing w:after="0" w:line="240" w:lineRule="auto"/>
        <w:ind w:left="360"/>
        <w:contextualSpacing w:val="0"/>
        <w:jc w:val="both"/>
        <w:rPr>
          <w:rStyle w:val="Emphasis"/>
          <w:rFonts w:ascii="Times New Roman" w:hAnsi="Times New Roman"/>
          <w:b w:val="0"/>
          <w:i w:val="0"/>
          <w:iCs w:val="0"/>
          <w:spacing w:val="0"/>
          <w:sz w:val="20"/>
          <w:szCs w:val="20"/>
        </w:rPr>
      </w:pPr>
      <w:r w:rsidRPr="000C7A29">
        <w:rPr>
          <w:rStyle w:val="Emphasis"/>
          <w:rFonts w:ascii="Times New Roman" w:hAnsi="Times New Roman"/>
          <w:b w:val="0"/>
          <w:i w:val="0"/>
          <w:spacing w:val="0"/>
          <w:sz w:val="20"/>
          <w:szCs w:val="20"/>
        </w:rPr>
        <w:t>Khanal, S. K., Chen, W. H., Li, L. and</w:t>
      </w:r>
      <w:r w:rsidR="000C7A29">
        <w:rPr>
          <w:rStyle w:val="Emphasis"/>
          <w:rFonts w:ascii="Times New Roman" w:hAnsi="Times New Roman"/>
          <w:b w:val="0"/>
          <w:i w:val="0"/>
          <w:spacing w:val="0"/>
          <w:sz w:val="20"/>
          <w:szCs w:val="20"/>
        </w:rPr>
        <w:t xml:space="preserve"> </w:t>
      </w:r>
      <w:r w:rsidRPr="000C7A29">
        <w:rPr>
          <w:rStyle w:val="Emphasis"/>
          <w:rFonts w:ascii="Times New Roman" w:hAnsi="Times New Roman"/>
          <w:b w:val="0"/>
          <w:i w:val="0"/>
          <w:spacing w:val="0"/>
          <w:sz w:val="20"/>
          <w:szCs w:val="20"/>
        </w:rPr>
        <w:t xml:space="preserve"> Sung, S. (2004).</w:t>
      </w:r>
      <w:r w:rsidR="000C7A29">
        <w:rPr>
          <w:rStyle w:val="Emphasis"/>
          <w:rFonts w:ascii="Times New Roman" w:hAnsi="Times New Roman"/>
          <w:b w:val="0"/>
          <w:i w:val="0"/>
          <w:spacing w:val="0"/>
          <w:sz w:val="20"/>
          <w:szCs w:val="20"/>
        </w:rPr>
        <w:t xml:space="preserve"> </w:t>
      </w:r>
      <w:r w:rsidRPr="000C7A29">
        <w:rPr>
          <w:rStyle w:val="Emphasis"/>
          <w:rFonts w:ascii="Times New Roman" w:hAnsi="Times New Roman"/>
          <w:b w:val="0"/>
          <w:i w:val="0"/>
          <w:spacing w:val="0"/>
          <w:sz w:val="20"/>
          <w:szCs w:val="20"/>
        </w:rPr>
        <w:t xml:space="preserve"> Biological</w:t>
      </w:r>
      <w:r w:rsidR="000C7A29">
        <w:rPr>
          <w:rStyle w:val="Emphasis"/>
          <w:rFonts w:ascii="Times New Roman" w:hAnsi="Times New Roman"/>
          <w:b w:val="0"/>
          <w:i w:val="0"/>
          <w:spacing w:val="0"/>
          <w:sz w:val="20"/>
          <w:szCs w:val="20"/>
        </w:rPr>
        <w:t xml:space="preserve"> </w:t>
      </w:r>
      <w:r w:rsidRPr="000C7A29">
        <w:rPr>
          <w:rStyle w:val="Emphasis"/>
          <w:rFonts w:ascii="Times New Roman" w:hAnsi="Times New Roman"/>
          <w:b w:val="0"/>
          <w:i w:val="0"/>
          <w:spacing w:val="0"/>
          <w:sz w:val="20"/>
          <w:szCs w:val="20"/>
        </w:rPr>
        <w:t xml:space="preserve"> hyd</w:t>
      </w:r>
      <w:r w:rsidRPr="000C7A29">
        <w:rPr>
          <w:rStyle w:val="Emphasis"/>
          <w:rFonts w:ascii="Times New Roman" w:hAnsi="Times New Roman"/>
          <w:b w:val="0"/>
          <w:i w:val="0"/>
          <w:spacing w:val="0"/>
          <w:sz w:val="20"/>
          <w:szCs w:val="20"/>
        </w:rPr>
        <w:t xml:space="preserve">rogen </w:t>
      </w:r>
      <w:r w:rsidR="000C7A29">
        <w:rPr>
          <w:rStyle w:val="Emphasis"/>
          <w:rFonts w:ascii="Times New Roman" w:hAnsi="Times New Roman"/>
          <w:b w:val="0"/>
          <w:i w:val="0"/>
          <w:spacing w:val="0"/>
          <w:sz w:val="20"/>
          <w:szCs w:val="20"/>
        </w:rPr>
        <w:t xml:space="preserve"> </w:t>
      </w:r>
      <w:r w:rsidRPr="000C7A29">
        <w:rPr>
          <w:rStyle w:val="Emphasis"/>
          <w:rFonts w:ascii="Times New Roman" w:hAnsi="Times New Roman"/>
          <w:b w:val="0"/>
          <w:i w:val="0"/>
          <w:spacing w:val="0"/>
          <w:sz w:val="20"/>
          <w:szCs w:val="20"/>
        </w:rPr>
        <w:t>production:</w:t>
      </w:r>
      <w:r w:rsidR="000C7A29">
        <w:rPr>
          <w:rStyle w:val="Emphasis"/>
          <w:rFonts w:ascii="Times New Roman" w:hAnsi="Times New Roman"/>
          <w:b w:val="0"/>
          <w:i w:val="0"/>
          <w:spacing w:val="0"/>
          <w:sz w:val="20"/>
          <w:szCs w:val="20"/>
        </w:rPr>
        <w:t xml:space="preserve"> </w:t>
      </w:r>
      <w:r w:rsidRPr="000C7A29">
        <w:rPr>
          <w:rStyle w:val="Emphasis"/>
          <w:rFonts w:ascii="Times New Roman" w:hAnsi="Times New Roman"/>
          <w:b w:val="0"/>
          <w:i w:val="0"/>
          <w:spacing w:val="0"/>
          <w:sz w:val="20"/>
          <w:szCs w:val="20"/>
        </w:rPr>
        <w:t xml:space="preserve"> Effects </w:t>
      </w:r>
      <w:r w:rsidR="000C7A29">
        <w:rPr>
          <w:rStyle w:val="Emphasis"/>
          <w:rFonts w:ascii="Times New Roman" w:hAnsi="Times New Roman"/>
          <w:b w:val="0"/>
          <w:i w:val="0"/>
          <w:spacing w:val="0"/>
          <w:sz w:val="20"/>
          <w:szCs w:val="20"/>
        </w:rPr>
        <w:t xml:space="preserve"> </w:t>
      </w:r>
      <w:r w:rsidRPr="000C7A29">
        <w:rPr>
          <w:rStyle w:val="Emphasis"/>
          <w:rFonts w:ascii="Times New Roman" w:hAnsi="Times New Roman"/>
          <w:b w:val="0"/>
          <w:i w:val="0"/>
          <w:spacing w:val="0"/>
          <w:sz w:val="20"/>
          <w:szCs w:val="20"/>
        </w:rPr>
        <w:t xml:space="preserve">of </w:t>
      </w:r>
      <w:r w:rsidR="000C7A29">
        <w:rPr>
          <w:rStyle w:val="Emphasis"/>
          <w:rFonts w:ascii="Times New Roman" w:hAnsi="Times New Roman"/>
          <w:b w:val="0"/>
          <w:i w:val="0"/>
          <w:spacing w:val="0"/>
          <w:sz w:val="20"/>
          <w:szCs w:val="20"/>
        </w:rPr>
        <w:t xml:space="preserve"> </w:t>
      </w:r>
      <w:r w:rsidRPr="000C7A29">
        <w:rPr>
          <w:rStyle w:val="Emphasis"/>
          <w:rFonts w:ascii="Times New Roman" w:hAnsi="Times New Roman"/>
          <w:b w:val="0"/>
          <w:i w:val="0"/>
          <w:spacing w:val="0"/>
          <w:sz w:val="20"/>
          <w:szCs w:val="20"/>
        </w:rPr>
        <w:t>pH</w:t>
      </w:r>
      <w:r w:rsidRPr="000C7A29">
        <w:rPr>
          <w:rStyle w:val="Emphasis"/>
          <w:rFonts w:ascii="Times New Roman" w:hAnsi="Times New Roman"/>
          <w:b w:val="0"/>
          <w:i w:val="0"/>
          <w:spacing w:val="0"/>
          <w:sz w:val="20"/>
          <w:szCs w:val="20"/>
        </w:rPr>
        <w:t xml:space="preserve"> and intermediate product.</w:t>
      </w:r>
      <w:r w:rsidRPr="000C7A29">
        <w:rPr>
          <w:rStyle w:val="Emphasis"/>
          <w:rFonts w:ascii="Times New Roman" w:hAnsi="Times New Roman"/>
          <w:b w:val="0"/>
          <w:spacing w:val="0"/>
          <w:sz w:val="20"/>
          <w:szCs w:val="20"/>
        </w:rPr>
        <w:t xml:space="preserve"> International Journal Hydrogen Energy, </w:t>
      </w:r>
      <w:r w:rsidRPr="000C7A29">
        <w:rPr>
          <w:rStyle w:val="Emphasis"/>
          <w:rFonts w:ascii="Times New Roman" w:hAnsi="Times New Roman"/>
          <w:b w:val="0"/>
          <w:i w:val="0"/>
          <w:spacing w:val="0"/>
          <w:sz w:val="20"/>
          <w:szCs w:val="20"/>
        </w:rPr>
        <w:t>29: 1123 –</w:t>
      </w:r>
      <w:r w:rsidRPr="000C7A29">
        <w:rPr>
          <w:rStyle w:val="Emphasis"/>
          <w:rFonts w:ascii="Times New Roman" w:hAnsi="Times New Roman"/>
          <w:b w:val="0"/>
          <w:i w:val="0"/>
          <w:spacing w:val="0"/>
          <w:sz w:val="20"/>
          <w:szCs w:val="20"/>
        </w:rPr>
        <w:t xml:space="preserve"> 1131.</w:t>
      </w:r>
    </w:p>
    <w:p w:rsidR="00661FBC" w:rsidRPr="000C7A29" w:rsidRDefault="00661FBC" w:rsidP="00661FBC">
      <w:pPr>
        <w:pStyle w:val="ListParagraph"/>
        <w:widowControl w:val="0"/>
        <w:numPr>
          <w:ilvl w:val="0"/>
          <w:numId w:val="2"/>
        </w:numPr>
        <w:wordWrap w:val="0"/>
        <w:autoSpaceDE w:val="0"/>
        <w:autoSpaceDN w:val="0"/>
        <w:spacing w:after="0" w:line="240" w:lineRule="auto"/>
        <w:ind w:left="360"/>
        <w:contextualSpacing w:val="0"/>
        <w:jc w:val="both"/>
        <w:rPr>
          <w:rFonts w:ascii="Times New Roman" w:hAnsi="Times New Roman"/>
          <w:sz w:val="20"/>
          <w:szCs w:val="20"/>
        </w:rPr>
      </w:pPr>
      <w:r w:rsidRPr="000C7A29">
        <w:rPr>
          <w:rFonts w:ascii="Times New Roman" w:hAnsi="Times New Roman"/>
          <w:sz w:val="20"/>
          <w:szCs w:val="20"/>
          <w:lang w:val="en-GB" w:eastAsia="ro-RO"/>
        </w:rPr>
        <w:t xml:space="preserve">Deublein D. </w:t>
      </w:r>
      <w:r w:rsidRPr="000C7A29">
        <w:rPr>
          <w:rFonts w:ascii="Times New Roman" w:hAnsi="Times New Roman"/>
          <w:sz w:val="20"/>
          <w:szCs w:val="20"/>
          <w:lang w:val="en-GB" w:eastAsia="ro-RO"/>
        </w:rPr>
        <w:t xml:space="preserve"> </w:t>
      </w:r>
      <w:r w:rsidRPr="000C7A29">
        <w:rPr>
          <w:rFonts w:ascii="Times New Roman" w:hAnsi="Times New Roman"/>
          <w:sz w:val="20"/>
          <w:szCs w:val="20"/>
          <w:lang w:val="en-GB" w:eastAsia="ro-RO"/>
        </w:rPr>
        <w:t xml:space="preserve">and Steinhauser, A. (2011). </w:t>
      </w:r>
      <w:r w:rsidRPr="000C7A29">
        <w:rPr>
          <w:rFonts w:ascii="Times New Roman" w:hAnsi="Times New Roman"/>
          <w:sz w:val="20"/>
          <w:szCs w:val="20"/>
          <w:lang w:val="en-GB" w:eastAsia="ro-RO"/>
        </w:rPr>
        <w:t xml:space="preserve"> </w:t>
      </w:r>
      <w:r w:rsidRPr="000C7A29">
        <w:rPr>
          <w:rFonts w:ascii="Times New Roman" w:hAnsi="Times New Roman"/>
          <w:sz w:val="20"/>
          <w:szCs w:val="20"/>
          <w:lang w:val="en-GB" w:eastAsia="ro-RO"/>
        </w:rPr>
        <w:t xml:space="preserve">Biogas </w:t>
      </w:r>
      <w:r w:rsidRPr="000C7A29">
        <w:rPr>
          <w:rFonts w:ascii="Times New Roman" w:hAnsi="Times New Roman"/>
          <w:sz w:val="20"/>
          <w:szCs w:val="20"/>
          <w:lang w:val="en-GB" w:eastAsia="ro-RO"/>
        </w:rPr>
        <w:t xml:space="preserve"> </w:t>
      </w:r>
      <w:r w:rsidRPr="000C7A29">
        <w:rPr>
          <w:rFonts w:ascii="Times New Roman" w:hAnsi="Times New Roman"/>
          <w:sz w:val="20"/>
          <w:szCs w:val="20"/>
          <w:lang w:val="en-GB" w:eastAsia="ro-RO"/>
        </w:rPr>
        <w:t xml:space="preserve">from </w:t>
      </w:r>
      <w:r w:rsidRPr="000C7A29">
        <w:rPr>
          <w:rFonts w:ascii="Times New Roman" w:hAnsi="Times New Roman"/>
          <w:sz w:val="20"/>
          <w:szCs w:val="20"/>
          <w:lang w:val="en-GB" w:eastAsia="ro-RO"/>
        </w:rPr>
        <w:t xml:space="preserve"> </w:t>
      </w:r>
      <w:r w:rsidRPr="000C7A29">
        <w:rPr>
          <w:rFonts w:ascii="Times New Roman" w:hAnsi="Times New Roman"/>
          <w:sz w:val="20"/>
          <w:szCs w:val="20"/>
          <w:lang w:val="en-GB" w:eastAsia="ro-RO"/>
        </w:rPr>
        <w:t xml:space="preserve">waste and </w:t>
      </w:r>
      <w:r w:rsidRPr="000C7A29">
        <w:rPr>
          <w:rFonts w:ascii="Times New Roman" w:hAnsi="Times New Roman"/>
          <w:sz w:val="20"/>
          <w:szCs w:val="20"/>
          <w:lang w:val="en-GB" w:eastAsia="ro-RO"/>
        </w:rPr>
        <w:t xml:space="preserve"> </w:t>
      </w:r>
      <w:r w:rsidRPr="000C7A29">
        <w:rPr>
          <w:rFonts w:ascii="Times New Roman" w:hAnsi="Times New Roman"/>
          <w:sz w:val="20"/>
          <w:szCs w:val="20"/>
          <w:lang w:val="en-GB" w:eastAsia="ro-RO"/>
        </w:rPr>
        <w:t xml:space="preserve">renewable </w:t>
      </w:r>
      <w:r w:rsidRPr="000C7A29">
        <w:rPr>
          <w:rFonts w:ascii="Times New Roman" w:hAnsi="Times New Roman"/>
          <w:sz w:val="20"/>
          <w:szCs w:val="20"/>
          <w:lang w:val="en-GB" w:eastAsia="ro-RO"/>
        </w:rPr>
        <w:t xml:space="preserve"> </w:t>
      </w:r>
      <w:r w:rsidRPr="000C7A29">
        <w:rPr>
          <w:rFonts w:ascii="Times New Roman" w:hAnsi="Times New Roman"/>
          <w:sz w:val="20"/>
          <w:szCs w:val="20"/>
          <w:lang w:val="en-GB" w:eastAsia="ro-RO"/>
        </w:rPr>
        <w:t xml:space="preserve">resources. </w:t>
      </w:r>
      <w:r w:rsidRPr="000C7A29">
        <w:rPr>
          <w:rFonts w:ascii="Times New Roman" w:hAnsi="Times New Roman"/>
          <w:sz w:val="20"/>
          <w:szCs w:val="20"/>
          <w:lang w:val="en-GB" w:eastAsia="ro-RO"/>
        </w:rPr>
        <w:t xml:space="preserve"> </w:t>
      </w:r>
      <w:r w:rsidRPr="000C7A29">
        <w:rPr>
          <w:rFonts w:ascii="Times New Roman" w:hAnsi="Times New Roman"/>
          <w:sz w:val="20"/>
          <w:szCs w:val="20"/>
          <w:lang w:val="en-GB" w:eastAsia="ro-RO"/>
        </w:rPr>
        <w:t>An introduction. 2</w:t>
      </w:r>
      <w:r w:rsidRPr="000C7A29">
        <w:rPr>
          <w:rFonts w:ascii="Times New Roman" w:hAnsi="Times New Roman"/>
          <w:sz w:val="20"/>
          <w:szCs w:val="20"/>
          <w:vertAlign w:val="superscript"/>
          <w:lang w:val="en-GB" w:eastAsia="ro-RO"/>
        </w:rPr>
        <w:t>nd</w:t>
      </w:r>
      <w:r w:rsidRPr="000C7A29">
        <w:rPr>
          <w:rFonts w:ascii="Times New Roman" w:hAnsi="Times New Roman"/>
          <w:sz w:val="20"/>
          <w:szCs w:val="20"/>
          <w:lang w:val="en-GB" w:eastAsia="ro-RO"/>
        </w:rPr>
        <w:t xml:space="preserve"> Edition, Revised and Expended edited, Wiley-VCH, Weinheim, Germany.</w:t>
      </w:r>
    </w:p>
    <w:p w:rsidR="00661FBC" w:rsidRPr="000C7A29" w:rsidRDefault="00661FBC" w:rsidP="00661FBC">
      <w:pPr>
        <w:pStyle w:val="ListParagraph"/>
        <w:widowControl w:val="0"/>
        <w:numPr>
          <w:ilvl w:val="0"/>
          <w:numId w:val="2"/>
        </w:numPr>
        <w:wordWrap w:val="0"/>
        <w:autoSpaceDE w:val="0"/>
        <w:autoSpaceDN w:val="0"/>
        <w:spacing w:after="0" w:line="240" w:lineRule="auto"/>
        <w:ind w:left="360"/>
        <w:contextualSpacing w:val="0"/>
        <w:jc w:val="both"/>
        <w:rPr>
          <w:rFonts w:ascii="Times New Roman" w:hAnsi="Times New Roman"/>
          <w:bCs/>
          <w:i/>
          <w:sz w:val="20"/>
          <w:szCs w:val="20"/>
        </w:rPr>
      </w:pPr>
      <w:r w:rsidRPr="000C7A29">
        <w:rPr>
          <w:rStyle w:val="Emphasis"/>
          <w:rFonts w:ascii="Times New Roman" w:hAnsi="Times New Roman"/>
          <w:b w:val="0"/>
          <w:i w:val="0"/>
          <w:spacing w:val="0"/>
          <w:sz w:val="20"/>
          <w:szCs w:val="20"/>
        </w:rPr>
        <w:t>Franco, A., Mosquera-Corral, A., Campos, J. L. and Roca, E. (2007). Learning to operate anaerobic bioreactors.</w:t>
      </w:r>
      <w:r w:rsidRP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Communicating </w:t>
      </w:r>
      <w:r w:rsidRP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Current </w:t>
      </w:r>
      <w:r w:rsidRP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Research </w:t>
      </w:r>
      <w:r w:rsidRP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and </w:t>
      </w:r>
      <w:r w:rsidRP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Educational </w:t>
      </w:r>
      <w:r w:rsidRP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Topics </w:t>
      </w:r>
      <w:r w:rsidR="000C7A29">
        <w:rPr>
          <w:rStyle w:val="Emphasis"/>
          <w:rFonts w:ascii="Times New Roman" w:hAnsi="Times New Roman"/>
          <w:b w:val="0"/>
          <w:spacing w:val="0"/>
          <w:sz w:val="20"/>
          <w:szCs w:val="20"/>
        </w:rPr>
        <w:t xml:space="preserve"> </w:t>
      </w:r>
      <w:r w:rsidRPr="000C7A29">
        <w:rPr>
          <w:rStyle w:val="Emphasis"/>
          <w:rFonts w:ascii="Times New Roman" w:hAnsi="Times New Roman"/>
          <w:b w:val="0"/>
          <w:spacing w:val="0"/>
          <w:sz w:val="20"/>
          <w:szCs w:val="20"/>
        </w:rPr>
        <w:t xml:space="preserve">and Trends in Applied Microbiology: </w:t>
      </w:r>
      <w:r w:rsidRPr="000C7A29">
        <w:rPr>
          <w:rStyle w:val="Emphasis"/>
          <w:rFonts w:ascii="Times New Roman" w:hAnsi="Times New Roman"/>
          <w:b w:val="0"/>
          <w:i w:val="0"/>
          <w:spacing w:val="0"/>
          <w:sz w:val="20"/>
          <w:szCs w:val="20"/>
        </w:rPr>
        <w:t>pp. 618 – 627.</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lang w:val="en-GB" w:eastAsia="ro-RO"/>
        </w:rPr>
        <w:t xml:space="preserve">Neves, L., Oliveira, R. and Alves, M. (2003). Influence of inoculum activity on the bio-methanization of a kitchen waste under different waste/inoculum ratios. </w:t>
      </w:r>
      <w:r w:rsidRPr="00B34B01">
        <w:rPr>
          <w:rFonts w:ascii="Times New Roman" w:hAnsi="Times New Roman"/>
          <w:i/>
          <w:sz w:val="20"/>
          <w:szCs w:val="20"/>
          <w:lang w:val="en-GB" w:eastAsia="ro-RO"/>
        </w:rPr>
        <w:t>Process Biochemistry</w:t>
      </w:r>
      <w:r w:rsidRPr="00B34B01">
        <w:rPr>
          <w:rFonts w:ascii="Times New Roman" w:hAnsi="Times New Roman"/>
          <w:sz w:val="20"/>
          <w:szCs w:val="20"/>
          <w:lang w:val="en-GB" w:eastAsia="ro-RO"/>
        </w:rPr>
        <w:t>, 39(12): 2019 – 2024.</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lang w:val="en-GB" w:eastAsia="ro-RO"/>
        </w:rPr>
        <w:t xml:space="preserve">Zimeminski, K. and Frac, M. (2012). Methane fermentation process as anaeorbic aigestion of biomass: transfromations, stages and microorganism. </w:t>
      </w:r>
      <w:r w:rsidRPr="00B34B01">
        <w:rPr>
          <w:rFonts w:ascii="Times New Roman" w:hAnsi="Times New Roman"/>
          <w:i/>
          <w:sz w:val="20"/>
          <w:szCs w:val="20"/>
          <w:lang w:val="en-GB" w:eastAsia="ro-RO"/>
        </w:rPr>
        <w:t>African Journal of Biotechnology</w:t>
      </w:r>
      <w:r w:rsidRPr="00B34B01">
        <w:rPr>
          <w:rFonts w:ascii="Times New Roman" w:hAnsi="Times New Roman"/>
          <w:sz w:val="20"/>
          <w:szCs w:val="20"/>
          <w:lang w:val="en-GB" w:eastAsia="ro-RO"/>
        </w:rPr>
        <w:t>, 11(18): 4127 – 4139.</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rPr>
        <w:t>Ozmen, P. and Aslanzadeh, S. (2009). Biogas production from municipal waste mixed with different portions of orange peel. Synopsis of Master thesis. University of Boras, Sweden.</w:t>
      </w:r>
    </w:p>
    <w:p w:rsidR="00B34B01" w:rsidRPr="00B34B01" w:rsidRDefault="00B34B01" w:rsidP="00B34B0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B34B01">
        <w:rPr>
          <w:rFonts w:ascii="Times New Roman" w:hAnsi="Times New Roman"/>
          <w:sz w:val="20"/>
          <w:szCs w:val="20"/>
          <w:lang w:val="en-MY" w:eastAsia="en-MY"/>
        </w:rPr>
        <w:t>Tchobanoglous, G., Burton, F. L. and Stensel, H. D. (2003). Waste-water engineering: Treatment and reuse. Fourth edition. Tata McGraw-Hill Publishing Company Limited, New Delhi: pp.1819.</w:t>
      </w:r>
    </w:p>
    <w:p w:rsidR="00A74A7E" w:rsidRPr="00B34B01" w:rsidRDefault="00A74A7E" w:rsidP="00B34B01">
      <w:pPr>
        <w:spacing w:after="0" w:line="240" w:lineRule="auto"/>
        <w:ind w:left="360" w:hanging="360"/>
        <w:jc w:val="both"/>
        <w:rPr>
          <w:rFonts w:ascii="Times New Roman" w:hAnsi="Times New Roman"/>
          <w:noProof/>
          <w:sz w:val="20"/>
          <w:szCs w:val="20"/>
          <w:lang w:bidi="ar-SA"/>
        </w:rPr>
      </w:pPr>
    </w:p>
    <w:sectPr w:rsidR="00A74A7E" w:rsidRPr="00B34B01" w:rsidSect="00DC4E77">
      <w:headerReference w:type="even" r:id="rId16"/>
      <w:headerReference w:type="default" r:id="rId17"/>
      <w:footerReference w:type="even" r:id="rId18"/>
      <w:footerReference w:type="default" r:id="rId19"/>
      <w:pgSz w:w="12240" w:h="15840" w:code="1"/>
      <w:pgMar w:top="1800" w:right="1469" w:bottom="1699" w:left="1440" w:header="706" w:footer="706" w:gutter="0"/>
      <w:pgNumType w:start="14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95024">
      <w:rPr>
        <w:rFonts w:ascii="Times New Roman" w:hAnsi="Times New Roman"/>
        <w:noProof/>
      </w:rPr>
      <w:t>1496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95024">
      <w:rPr>
        <w:rFonts w:ascii="Times New Roman" w:hAnsi="Times New Roman"/>
        <w:noProof/>
      </w:rPr>
      <w:t>1497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424335" w:rsidRDefault="00424335" w:rsidP="00424335">
    <w:pPr>
      <w:spacing w:after="0" w:line="240" w:lineRule="auto"/>
      <w:ind w:left="1440" w:hanging="1440"/>
      <w:outlineLvl w:val="0"/>
      <w:rPr>
        <w:rFonts w:ascii="Times New Roman" w:hAnsi="Times New Roman"/>
        <w:sz w:val="20"/>
        <w:szCs w:val="20"/>
      </w:rPr>
    </w:pPr>
    <w:r>
      <w:rPr>
        <w:rFonts w:ascii="Times New Roman" w:hAnsi="Times New Roman"/>
        <w:sz w:val="20"/>
        <w:szCs w:val="20"/>
      </w:rPr>
      <w:t>Siti Afifah et al</w:t>
    </w:r>
    <w:r w:rsidR="006B72B0" w:rsidRPr="00424335">
      <w:rPr>
        <w:rFonts w:ascii="Times New Roman" w:hAnsi="Times New Roman"/>
        <w:sz w:val="20"/>
        <w:szCs w:val="20"/>
      </w:rPr>
      <w:t xml:space="preserve">: </w:t>
    </w:r>
    <w:r w:rsidRPr="00424335">
      <w:rPr>
        <w:rFonts w:ascii="Times New Roman" w:hAnsi="Times New Roman"/>
        <w:sz w:val="20"/>
        <w:szCs w:val="20"/>
      </w:rPr>
      <w:t xml:space="preserve"> </w:t>
    </w:r>
    <w:r>
      <w:rPr>
        <w:rFonts w:ascii="Times New Roman" w:hAnsi="Times New Roman"/>
        <w:sz w:val="20"/>
        <w:szCs w:val="20"/>
      </w:rPr>
      <w:tab/>
    </w:r>
    <w:r w:rsidRPr="00424335">
      <w:rPr>
        <w:rFonts w:ascii="Times New Roman" w:hAnsi="Times New Roman"/>
        <w:sz w:val="20"/>
        <w:szCs w:val="20"/>
      </w:rPr>
      <w:t xml:space="preserve">PRODUCTION OF BIOGAS THROUGH ANAEROBIC DIGESTION OF </w:t>
    </w:r>
    <w:r w:rsidRPr="00424335">
      <w:rPr>
        <w:rFonts w:ascii="Times New Roman" w:hAnsi="Times New Roman"/>
        <w:i/>
        <w:sz w:val="20"/>
        <w:szCs w:val="20"/>
      </w:rPr>
      <w:t>Cabomba furcata</w:t>
    </w:r>
    <w:r w:rsidRPr="00424335">
      <w:rPr>
        <w:rFonts w:ascii="Times New Roman" w:hAnsi="Times New Roman"/>
        <w:sz w:val="20"/>
        <w:szCs w:val="20"/>
      </w:rPr>
      <w:t xml:space="preserve"> IN DIGESTER BATCH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DC4E77">
      <w:rPr>
        <w:rFonts w:ascii="Times New Roman" w:hAnsi="Times New Roman"/>
        <w:i/>
        <w:lang w:val="en-US"/>
      </w:rPr>
      <w:t>1491</w:t>
    </w:r>
    <w:r>
      <w:rPr>
        <w:rFonts w:ascii="Times New Roman" w:hAnsi="Times New Roman"/>
        <w:i/>
        <w:lang w:val="en-US"/>
      </w:rPr>
      <w:t xml:space="preserve"> </w:t>
    </w:r>
    <w:r w:rsidR="007A0583">
      <w:rPr>
        <w:rFonts w:ascii="Times New Roman" w:hAnsi="Times New Roman"/>
        <w:i/>
        <w:lang w:val="en-US"/>
      </w:rPr>
      <w:t>-</w:t>
    </w:r>
    <w:r w:rsidR="00DC4E77">
      <w:rPr>
        <w:rFonts w:ascii="Times New Roman" w:hAnsi="Times New Roman"/>
        <w:i/>
        <w:lang w:val="en-US"/>
      </w:rPr>
      <w:t xml:space="preserve"> 1497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DC4E77">
      <w:rPr>
        <w:rFonts w:ascii="Times New Roman" w:hAnsi="Times New Roman"/>
        <w:i/>
        <w:lang w:val="en-US"/>
      </w:rPr>
      <w:t>-30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0929ED"/>
    <w:multiLevelType w:val="hybridMultilevel"/>
    <w:tmpl w:val="13F26822"/>
    <w:lvl w:ilvl="0" w:tplc="3B50FA8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6A63"/>
    <w:rsid w:val="0007650B"/>
    <w:rsid w:val="00084936"/>
    <w:rsid w:val="00091960"/>
    <w:rsid w:val="000C49FF"/>
    <w:rsid w:val="000C7A29"/>
    <w:rsid w:val="000D16A1"/>
    <w:rsid w:val="000D2B0C"/>
    <w:rsid w:val="000F77DA"/>
    <w:rsid w:val="001068E8"/>
    <w:rsid w:val="001106D8"/>
    <w:rsid w:val="00117BCD"/>
    <w:rsid w:val="00122831"/>
    <w:rsid w:val="001638FA"/>
    <w:rsid w:val="001D035A"/>
    <w:rsid w:val="001D3855"/>
    <w:rsid w:val="001D6F2C"/>
    <w:rsid w:val="00223E87"/>
    <w:rsid w:val="00277498"/>
    <w:rsid w:val="0028007D"/>
    <w:rsid w:val="002860B7"/>
    <w:rsid w:val="00290F4D"/>
    <w:rsid w:val="002A2FC0"/>
    <w:rsid w:val="002B188F"/>
    <w:rsid w:val="002B3BD8"/>
    <w:rsid w:val="002C21C7"/>
    <w:rsid w:val="002F3F91"/>
    <w:rsid w:val="00304767"/>
    <w:rsid w:val="00304B34"/>
    <w:rsid w:val="00361BAF"/>
    <w:rsid w:val="00362FCE"/>
    <w:rsid w:val="00367D1F"/>
    <w:rsid w:val="003B6019"/>
    <w:rsid w:val="003D4CDD"/>
    <w:rsid w:val="003D585B"/>
    <w:rsid w:val="003E7DA6"/>
    <w:rsid w:val="003F12FF"/>
    <w:rsid w:val="00424335"/>
    <w:rsid w:val="004760D4"/>
    <w:rsid w:val="00494C46"/>
    <w:rsid w:val="004B43FF"/>
    <w:rsid w:val="004D7E25"/>
    <w:rsid w:val="00502641"/>
    <w:rsid w:val="005638E7"/>
    <w:rsid w:val="005A34CF"/>
    <w:rsid w:val="005C6768"/>
    <w:rsid w:val="005E4871"/>
    <w:rsid w:val="00601C8A"/>
    <w:rsid w:val="006257E5"/>
    <w:rsid w:val="00634C25"/>
    <w:rsid w:val="006416AB"/>
    <w:rsid w:val="00647214"/>
    <w:rsid w:val="00661FBC"/>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03BAA"/>
    <w:rsid w:val="009211AF"/>
    <w:rsid w:val="009357B8"/>
    <w:rsid w:val="009866F6"/>
    <w:rsid w:val="00995024"/>
    <w:rsid w:val="009D030D"/>
    <w:rsid w:val="00A14DB9"/>
    <w:rsid w:val="00A27E3C"/>
    <w:rsid w:val="00A4762A"/>
    <w:rsid w:val="00A74A7E"/>
    <w:rsid w:val="00A91EFF"/>
    <w:rsid w:val="00AD1B8A"/>
    <w:rsid w:val="00AE713F"/>
    <w:rsid w:val="00AF2305"/>
    <w:rsid w:val="00AF2821"/>
    <w:rsid w:val="00B1121C"/>
    <w:rsid w:val="00B25B65"/>
    <w:rsid w:val="00B2770A"/>
    <w:rsid w:val="00B314AD"/>
    <w:rsid w:val="00B34B01"/>
    <w:rsid w:val="00B75BF6"/>
    <w:rsid w:val="00B7735A"/>
    <w:rsid w:val="00B91DE7"/>
    <w:rsid w:val="00BA1F7B"/>
    <w:rsid w:val="00BB58AF"/>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B5784"/>
    <w:rsid w:val="00DC4E77"/>
    <w:rsid w:val="00DD377F"/>
    <w:rsid w:val="00E25547"/>
    <w:rsid w:val="00E3287E"/>
    <w:rsid w:val="00E54D12"/>
    <w:rsid w:val="00E66197"/>
    <w:rsid w:val="00EA79EA"/>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CommentReference">
    <w:name w:val="annotation reference"/>
    <w:basedOn w:val="DefaultParagraphFont"/>
    <w:uiPriority w:val="99"/>
    <w:unhideWhenUsed/>
    <w:rsid w:val="00056A63"/>
    <w:rPr>
      <w:sz w:val="16"/>
      <w:szCs w:val="16"/>
    </w:rPr>
  </w:style>
  <w:style w:type="table" w:styleId="LightShading">
    <w:name w:val="Light Shading"/>
    <w:basedOn w:val="TableNormal"/>
    <w:uiPriority w:val="60"/>
    <w:rsid w:val="00056A63"/>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List"/>
    <w:qFormat/>
    <w:rsid w:val="00056A63"/>
    <w:pPr>
      <w:spacing w:after="0" w:line="240" w:lineRule="auto"/>
      <w:ind w:left="284" w:hanging="284"/>
      <w:contextualSpacing w:val="0"/>
      <w:jc w:val="center"/>
    </w:pPr>
    <w:rPr>
      <w:rFonts w:ascii="Times New Roman" w:hAnsi="Times New Roman"/>
      <w:sz w:val="20"/>
      <w:szCs w:val="20"/>
      <w:lang w:val="en-GB" w:bidi="ar-SA"/>
    </w:rPr>
  </w:style>
  <w:style w:type="paragraph" w:styleId="List">
    <w:name w:val="List"/>
    <w:basedOn w:val="Normal"/>
    <w:uiPriority w:val="99"/>
    <w:semiHidden/>
    <w:unhideWhenUsed/>
    <w:rsid w:val="00056A63"/>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CommentReference">
    <w:name w:val="annotation reference"/>
    <w:basedOn w:val="DefaultParagraphFont"/>
    <w:uiPriority w:val="99"/>
    <w:unhideWhenUsed/>
    <w:rsid w:val="00056A63"/>
    <w:rPr>
      <w:sz w:val="16"/>
      <w:szCs w:val="16"/>
    </w:rPr>
  </w:style>
  <w:style w:type="table" w:styleId="LightShading">
    <w:name w:val="Light Shading"/>
    <w:basedOn w:val="TableNormal"/>
    <w:uiPriority w:val="60"/>
    <w:rsid w:val="00056A63"/>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List"/>
    <w:qFormat/>
    <w:rsid w:val="00056A63"/>
    <w:pPr>
      <w:spacing w:after="0" w:line="240" w:lineRule="auto"/>
      <w:ind w:left="284" w:hanging="284"/>
      <w:contextualSpacing w:val="0"/>
      <w:jc w:val="center"/>
    </w:pPr>
    <w:rPr>
      <w:rFonts w:ascii="Times New Roman" w:hAnsi="Times New Roman"/>
      <w:sz w:val="20"/>
      <w:szCs w:val="20"/>
      <w:lang w:val="en-GB" w:bidi="ar-SA"/>
    </w:rPr>
  </w:style>
  <w:style w:type="paragraph" w:styleId="List">
    <w:name w:val="List"/>
    <w:basedOn w:val="Normal"/>
    <w:uiPriority w:val="99"/>
    <w:semiHidden/>
    <w:unhideWhenUsed/>
    <w:rsid w:val="00056A6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Thesis%20Done\SITI%20AFIFAH%20MUDA%20P63625\EXCE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Thesis%20Done\SITI%20AFIFAH%20MUDA%20P63625\EXCE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Thesis%20Done\SITI%20AFIFAH%20MUDA%20P63625\EXCEL.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hesis%20Done\SITI%20AFIFAH%20MUDA%20P63625\EXCEL%20BI%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47553570729059"/>
          <c:y val="9.2466633160216707E-2"/>
          <c:w val="0.79442415698480862"/>
          <c:h val="0.70431602100692836"/>
        </c:manualLayout>
      </c:layout>
      <c:barChart>
        <c:barDir val="col"/>
        <c:grouping val="stacked"/>
        <c:varyColors val="0"/>
        <c:ser>
          <c:idx val="3"/>
          <c:order val="0"/>
          <c:tx>
            <c:v>Others</c:v>
          </c:tx>
          <c:spPr>
            <a:pattFill prst="pct10">
              <a:fgClr>
                <a:srgbClr val="000000"/>
              </a:fgClr>
              <a:bgClr>
                <a:srgbClr val="FFFFFF"/>
              </a:bgClr>
            </a:pattFill>
            <a:ln>
              <a:solidFill>
                <a:sysClr val="windowText" lastClr="000000"/>
              </a:solidFill>
            </a:ln>
          </c:spPr>
          <c:invertIfNegative val="0"/>
          <c:cat>
            <c:numRef>
              <c:f>'biogas+cum'!$D$3:$Q$3</c:f>
              <c:numCache>
                <c:formatCode>General</c:formatCode>
                <c:ptCount val="14"/>
                <c:pt idx="0">
                  <c:v>7</c:v>
                </c:pt>
                <c:pt idx="1">
                  <c:v>14</c:v>
                </c:pt>
                <c:pt idx="2">
                  <c:v>21</c:v>
                </c:pt>
                <c:pt idx="3">
                  <c:v>28</c:v>
                </c:pt>
                <c:pt idx="5">
                  <c:v>7</c:v>
                </c:pt>
                <c:pt idx="6">
                  <c:v>14</c:v>
                </c:pt>
                <c:pt idx="7">
                  <c:v>21</c:v>
                </c:pt>
                <c:pt idx="8">
                  <c:v>28</c:v>
                </c:pt>
                <c:pt idx="10">
                  <c:v>7</c:v>
                </c:pt>
                <c:pt idx="11">
                  <c:v>14</c:v>
                </c:pt>
                <c:pt idx="12">
                  <c:v>21</c:v>
                </c:pt>
                <c:pt idx="13">
                  <c:v>28</c:v>
                </c:pt>
              </c:numCache>
            </c:numRef>
          </c:cat>
          <c:val>
            <c:numRef>
              <c:f>'biogas+cum'!$D$7:$Q$7</c:f>
              <c:numCache>
                <c:formatCode>General</c:formatCode>
                <c:ptCount val="14"/>
                <c:pt idx="0">
                  <c:v>96.3</c:v>
                </c:pt>
                <c:pt idx="1">
                  <c:v>95.31</c:v>
                </c:pt>
                <c:pt idx="2">
                  <c:v>97.9</c:v>
                </c:pt>
                <c:pt idx="3">
                  <c:v>37.28</c:v>
                </c:pt>
                <c:pt idx="5">
                  <c:v>48.13</c:v>
                </c:pt>
                <c:pt idx="6">
                  <c:v>97.82</c:v>
                </c:pt>
                <c:pt idx="7">
                  <c:v>98.04</c:v>
                </c:pt>
                <c:pt idx="8">
                  <c:v>56.449999999999996</c:v>
                </c:pt>
                <c:pt idx="10">
                  <c:v>80.86</c:v>
                </c:pt>
                <c:pt idx="11">
                  <c:v>80.86</c:v>
                </c:pt>
                <c:pt idx="12">
                  <c:v>80.86</c:v>
                </c:pt>
                <c:pt idx="13">
                  <c:v>95.35</c:v>
                </c:pt>
              </c:numCache>
            </c:numRef>
          </c:val>
          <c:extLst xmlns:c16r2="http://schemas.microsoft.com/office/drawing/2015/06/chart">
            <c:ext xmlns:c16="http://schemas.microsoft.com/office/drawing/2014/chart" uri="{C3380CC4-5D6E-409C-BE32-E72D297353CC}">
              <c16:uniqueId val="{00000000-A45F-4BC0-AE68-579FE77CEB94}"/>
            </c:ext>
          </c:extLst>
        </c:ser>
        <c:ser>
          <c:idx val="2"/>
          <c:order val="1"/>
          <c:tx>
            <c:strRef>
              <c:f>'biogas+cum'!$C$6</c:f>
              <c:strCache>
                <c:ptCount val="1"/>
                <c:pt idx="0">
                  <c:v>H2</c:v>
                </c:pt>
              </c:strCache>
            </c:strRef>
          </c:tx>
          <c:spPr>
            <a:pattFill prst="wdUpDiag">
              <a:fgClr>
                <a:srgbClr val="000000"/>
              </a:fgClr>
              <a:bgClr>
                <a:srgbClr val="FFFFFF"/>
              </a:bgClr>
            </a:pattFill>
            <a:ln>
              <a:solidFill>
                <a:sysClr val="windowText" lastClr="000000"/>
              </a:solidFill>
            </a:ln>
          </c:spPr>
          <c:invertIfNegative val="0"/>
          <c:cat>
            <c:numRef>
              <c:f>'biogas+cum'!$D$3:$Q$3</c:f>
              <c:numCache>
                <c:formatCode>General</c:formatCode>
                <c:ptCount val="14"/>
                <c:pt idx="0">
                  <c:v>7</c:v>
                </c:pt>
                <c:pt idx="1">
                  <c:v>14</c:v>
                </c:pt>
                <c:pt idx="2">
                  <c:v>21</c:v>
                </c:pt>
                <c:pt idx="3">
                  <c:v>28</c:v>
                </c:pt>
                <c:pt idx="5">
                  <c:v>7</c:v>
                </c:pt>
                <c:pt idx="6">
                  <c:v>14</c:v>
                </c:pt>
                <c:pt idx="7">
                  <c:v>21</c:v>
                </c:pt>
                <c:pt idx="8">
                  <c:v>28</c:v>
                </c:pt>
                <c:pt idx="10">
                  <c:v>7</c:v>
                </c:pt>
                <c:pt idx="11">
                  <c:v>14</c:v>
                </c:pt>
                <c:pt idx="12">
                  <c:v>21</c:v>
                </c:pt>
                <c:pt idx="13">
                  <c:v>28</c:v>
                </c:pt>
              </c:numCache>
            </c:numRef>
          </c:cat>
          <c:val>
            <c:numRef>
              <c:f>'biogas+cum'!$D$6:$Q$6</c:f>
              <c:numCache>
                <c:formatCode>General</c:formatCode>
                <c:ptCount val="14"/>
                <c:pt idx="0">
                  <c:v>0</c:v>
                </c:pt>
                <c:pt idx="1">
                  <c:v>0</c:v>
                </c:pt>
                <c:pt idx="2">
                  <c:v>0</c:v>
                </c:pt>
                <c:pt idx="3">
                  <c:v>61.290000000000013</c:v>
                </c:pt>
                <c:pt idx="5">
                  <c:v>50.92</c:v>
                </c:pt>
                <c:pt idx="6">
                  <c:v>0</c:v>
                </c:pt>
                <c:pt idx="7">
                  <c:v>0</c:v>
                </c:pt>
                <c:pt idx="8">
                  <c:v>41.92</c:v>
                </c:pt>
                <c:pt idx="10">
                  <c:v>0</c:v>
                </c:pt>
                <c:pt idx="11">
                  <c:v>0</c:v>
                </c:pt>
                <c:pt idx="12">
                  <c:v>0</c:v>
                </c:pt>
                <c:pt idx="13">
                  <c:v>0</c:v>
                </c:pt>
              </c:numCache>
            </c:numRef>
          </c:val>
          <c:extLst xmlns:c16r2="http://schemas.microsoft.com/office/drawing/2015/06/chart">
            <c:ext xmlns:c16="http://schemas.microsoft.com/office/drawing/2014/chart" uri="{C3380CC4-5D6E-409C-BE32-E72D297353CC}">
              <c16:uniqueId val="{00000001-A45F-4BC0-AE68-579FE77CEB94}"/>
            </c:ext>
          </c:extLst>
        </c:ser>
        <c:ser>
          <c:idx val="1"/>
          <c:order val="2"/>
          <c:tx>
            <c:strRef>
              <c:f>'biogas+cum'!$C$5</c:f>
              <c:strCache>
                <c:ptCount val="1"/>
                <c:pt idx="0">
                  <c:v>CO2</c:v>
                </c:pt>
              </c:strCache>
            </c:strRef>
          </c:tx>
          <c:spPr>
            <a:pattFill prst="lgConfetti">
              <a:fgClr>
                <a:srgbClr val="000000"/>
              </a:fgClr>
              <a:bgClr>
                <a:srgbClr val="FFFFFF"/>
              </a:bgClr>
            </a:pattFill>
            <a:ln>
              <a:solidFill>
                <a:sysClr val="windowText" lastClr="000000"/>
              </a:solidFill>
            </a:ln>
          </c:spPr>
          <c:invertIfNegative val="0"/>
          <c:cat>
            <c:numRef>
              <c:f>'biogas+cum'!$D$3:$Q$3</c:f>
              <c:numCache>
                <c:formatCode>General</c:formatCode>
                <c:ptCount val="14"/>
                <c:pt idx="0">
                  <c:v>7</c:v>
                </c:pt>
                <c:pt idx="1">
                  <c:v>14</c:v>
                </c:pt>
                <c:pt idx="2">
                  <c:v>21</c:v>
                </c:pt>
                <c:pt idx="3">
                  <c:v>28</c:v>
                </c:pt>
                <c:pt idx="5">
                  <c:v>7</c:v>
                </c:pt>
                <c:pt idx="6">
                  <c:v>14</c:v>
                </c:pt>
                <c:pt idx="7">
                  <c:v>21</c:v>
                </c:pt>
                <c:pt idx="8">
                  <c:v>28</c:v>
                </c:pt>
                <c:pt idx="10">
                  <c:v>7</c:v>
                </c:pt>
                <c:pt idx="11">
                  <c:v>14</c:v>
                </c:pt>
                <c:pt idx="12">
                  <c:v>21</c:v>
                </c:pt>
                <c:pt idx="13">
                  <c:v>28</c:v>
                </c:pt>
              </c:numCache>
            </c:numRef>
          </c:cat>
          <c:val>
            <c:numRef>
              <c:f>'biogas+cum'!$D$5:$Q$5</c:f>
              <c:numCache>
                <c:formatCode>General</c:formatCode>
                <c:ptCount val="14"/>
                <c:pt idx="0">
                  <c:v>3.64</c:v>
                </c:pt>
                <c:pt idx="1">
                  <c:v>4.3899999999999997</c:v>
                </c:pt>
                <c:pt idx="2">
                  <c:v>2.1</c:v>
                </c:pt>
                <c:pt idx="3">
                  <c:v>1.43</c:v>
                </c:pt>
                <c:pt idx="5">
                  <c:v>0.95000000000000062</c:v>
                </c:pt>
                <c:pt idx="6">
                  <c:v>2.1800000000000002</c:v>
                </c:pt>
                <c:pt idx="7">
                  <c:v>1.960000000000014</c:v>
                </c:pt>
                <c:pt idx="8">
                  <c:v>1.6300000000000001</c:v>
                </c:pt>
                <c:pt idx="10">
                  <c:v>19.14</c:v>
                </c:pt>
                <c:pt idx="11">
                  <c:v>19.14</c:v>
                </c:pt>
                <c:pt idx="12">
                  <c:v>19.14</c:v>
                </c:pt>
                <c:pt idx="13">
                  <c:v>3.57</c:v>
                </c:pt>
              </c:numCache>
            </c:numRef>
          </c:val>
          <c:extLst xmlns:c16r2="http://schemas.microsoft.com/office/drawing/2015/06/chart">
            <c:ext xmlns:c16="http://schemas.microsoft.com/office/drawing/2014/chart" uri="{C3380CC4-5D6E-409C-BE32-E72D297353CC}">
              <c16:uniqueId val="{00000002-A45F-4BC0-AE68-579FE77CEB94}"/>
            </c:ext>
          </c:extLst>
        </c:ser>
        <c:ser>
          <c:idx val="0"/>
          <c:order val="3"/>
          <c:tx>
            <c:strRef>
              <c:f>'biogas+cum'!$C$4</c:f>
              <c:strCache>
                <c:ptCount val="1"/>
                <c:pt idx="0">
                  <c:v>CH4</c:v>
                </c:pt>
              </c:strCache>
            </c:strRef>
          </c:tx>
          <c:spPr>
            <a:solidFill>
              <a:schemeClr val="tx1"/>
            </a:solidFill>
            <a:ln>
              <a:solidFill>
                <a:sysClr val="windowText" lastClr="000000"/>
              </a:solidFill>
            </a:ln>
          </c:spPr>
          <c:invertIfNegative val="0"/>
          <c:cat>
            <c:numRef>
              <c:f>'biogas+cum'!$D$3:$Q$3</c:f>
              <c:numCache>
                <c:formatCode>General</c:formatCode>
                <c:ptCount val="14"/>
                <c:pt idx="0">
                  <c:v>7</c:v>
                </c:pt>
                <c:pt idx="1">
                  <c:v>14</c:v>
                </c:pt>
                <c:pt idx="2">
                  <c:v>21</c:v>
                </c:pt>
                <c:pt idx="3">
                  <c:v>28</c:v>
                </c:pt>
                <c:pt idx="5">
                  <c:v>7</c:v>
                </c:pt>
                <c:pt idx="6">
                  <c:v>14</c:v>
                </c:pt>
                <c:pt idx="7">
                  <c:v>21</c:v>
                </c:pt>
                <c:pt idx="8">
                  <c:v>28</c:v>
                </c:pt>
                <c:pt idx="10">
                  <c:v>7</c:v>
                </c:pt>
                <c:pt idx="11">
                  <c:v>14</c:v>
                </c:pt>
                <c:pt idx="12">
                  <c:v>21</c:v>
                </c:pt>
                <c:pt idx="13">
                  <c:v>28</c:v>
                </c:pt>
              </c:numCache>
            </c:numRef>
          </c:cat>
          <c:val>
            <c:numRef>
              <c:f>'biogas+cum'!$D$4:$Q$4</c:f>
              <c:numCache>
                <c:formatCode>General</c:formatCode>
                <c:ptCount val="14"/>
                <c:pt idx="0">
                  <c:v>0</c:v>
                </c:pt>
                <c:pt idx="1">
                  <c:v>0</c:v>
                </c:pt>
                <c:pt idx="2">
                  <c:v>0</c:v>
                </c:pt>
                <c:pt idx="3">
                  <c:v>0</c:v>
                </c:pt>
                <c:pt idx="5">
                  <c:v>0</c:v>
                </c:pt>
                <c:pt idx="6">
                  <c:v>0</c:v>
                </c:pt>
                <c:pt idx="7">
                  <c:v>0</c:v>
                </c:pt>
                <c:pt idx="8">
                  <c:v>0</c:v>
                </c:pt>
                <c:pt idx="10">
                  <c:v>0</c:v>
                </c:pt>
                <c:pt idx="11">
                  <c:v>0</c:v>
                </c:pt>
                <c:pt idx="12">
                  <c:v>0</c:v>
                </c:pt>
                <c:pt idx="13">
                  <c:v>1.08</c:v>
                </c:pt>
              </c:numCache>
            </c:numRef>
          </c:val>
          <c:extLst xmlns:c16r2="http://schemas.microsoft.com/office/drawing/2015/06/chart">
            <c:ext xmlns:c16="http://schemas.microsoft.com/office/drawing/2014/chart" uri="{C3380CC4-5D6E-409C-BE32-E72D297353CC}">
              <c16:uniqueId val="{00000003-A45F-4BC0-AE68-579FE77CEB94}"/>
            </c:ext>
          </c:extLst>
        </c:ser>
        <c:dLbls>
          <c:showLegendKey val="0"/>
          <c:showVal val="0"/>
          <c:showCatName val="0"/>
          <c:showSerName val="0"/>
          <c:showPercent val="0"/>
          <c:showBubbleSize val="0"/>
        </c:dLbls>
        <c:gapWidth val="70"/>
        <c:overlap val="100"/>
        <c:axId val="72316800"/>
        <c:axId val="72331648"/>
      </c:barChart>
      <c:lineChart>
        <c:grouping val="standard"/>
        <c:varyColors val="0"/>
        <c:ser>
          <c:idx val="4"/>
          <c:order val="4"/>
          <c:tx>
            <c:v>Cumulative of gas volume</c:v>
          </c:tx>
          <c:spPr>
            <a:ln w="9525">
              <a:solidFill>
                <a:schemeClr val="tx1"/>
              </a:solidFill>
            </a:ln>
          </c:spPr>
          <c:marker>
            <c:symbol val="diamond"/>
            <c:size val="7"/>
            <c:spPr>
              <a:solidFill>
                <a:schemeClr val="tx1"/>
              </a:solidFill>
              <a:ln>
                <a:solidFill>
                  <a:prstClr val="black"/>
                </a:solidFill>
              </a:ln>
            </c:spPr>
          </c:marker>
          <c:cat>
            <c:numRef>
              <c:f>'biogas+cum'!$D$3:$Q$3</c:f>
              <c:numCache>
                <c:formatCode>General</c:formatCode>
                <c:ptCount val="14"/>
                <c:pt idx="0">
                  <c:v>7</c:v>
                </c:pt>
                <c:pt idx="1">
                  <c:v>14</c:v>
                </c:pt>
                <c:pt idx="2">
                  <c:v>21</c:v>
                </c:pt>
                <c:pt idx="3">
                  <c:v>28</c:v>
                </c:pt>
                <c:pt idx="5">
                  <c:v>7</c:v>
                </c:pt>
                <c:pt idx="6">
                  <c:v>14</c:v>
                </c:pt>
                <c:pt idx="7">
                  <c:v>21</c:v>
                </c:pt>
                <c:pt idx="8">
                  <c:v>28</c:v>
                </c:pt>
                <c:pt idx="10">
                  <c:v>7</c:v>
                </c:pt>
                <c:pt idx="11">
                  <c:v>14</c:v>
                </c:pt>
                <c:pt idx="12">
                  <c:v>21</c:v>
                </c:pt>
                <c:pt idx="13">
                  <c:v>28</c:v>
                </c:pt>
              </c:numCache>
            </c:numRef>
          </c:cat>
          <c:val>
            <c:numRef>
              <c:f>'biogas+cum'!$D$8:$Q$8</c:f>
              <c:numCache>
                <c:formatCode>General</c:formatCode>
                <c:ptCount val="14"/>
                <c:pt idx="0">
                  <c:v>7.2</c:v>
                </c:pt>
                <c:pt idx="1">
                  <c:v>10</c:v>
                </c:pt>
                <c:pt idx="2">
                  <c:v>11.4</c:v>
                </c:pt>
                <c:pt idx="3">
                  <c:v>12.8</c:v>
                </c:pt>
                <c:pt idx="5">
                  <c:v>4.2</c:v>
                </c:pt>
                <c:pt idx="6">
                  <c:v>6.8</c:v>
                </c:pt>
                <c:pt idx="7">
                  <c:v>7</c:v>
                </c:pt>
                <c:pt idx="8">
                  <c:v>11.5</c:v>
                </c:pt>
                <c:pt idx="10">
                  <c:v>11.2</c:v>
                </c:pt>
                <c:pt idx="11">
                  <c:v>11.2</c:v>
                </c:pt>
                <c:pt idx="12">
                  <c:v>11.2</c:v>
                </c:pt>
                <c:pt idx="13">
                  <c:v>12</c:v>
                </c:pt>
              </c:numCache>
            </c:numRef>
          </c:val>
          <c:smooth val="0"/>
          <c:extLst xmlns:c16r2="http://schemas.microsoft.com/office/drawing/2015/06/chart">
            <c:ext xmlns:c16="http://schemas.microsoft.com/office/drawing/2014/chart" uri="{C3380CC4-5D6E-409C-BE32-E72D297353CC}">
              <c16:uniqueId val="{00000004-A45F-4BC0-AE68-579FE77CEB94}"/>
            </c:ext>
          </c:extLst>
        </c:ser>
        <c:dLbls>
          <c:showLegendKey val="0"/>
          <c:showVal val="0"/>
          <c:showCatName val="0"/>
          <c:showSerName val="0"/>
          <c:showPercent val="0"/>
          <c:showBubbleSize val="0"/>
        </c:dLbls>
        <c:marker val="1"/>
        <c:smooth val="0"/>
        <c:axId val="72343936"/>
        <c:axId val="72333568"/>
      </c:lineChart>
      <c:catAx>
        <c:axId val="72316800"/>
        <c:scaling>
          <c:orientation val="minMax"/>
        </c:scaling>
        <c:delete val="0"/>
        <c:axPos val="b"/>
        <c:title>
          <c:tx>
            <c:rich>
              <a:bodyPr/>
              <a:lstStyle/>
              <a:p>
                <a:pPr>
                  <a:defRPr sz="800" b="0"/>
                </a:pPr>
                <a:r>
                  <a:rPr lang="en-MY" sz="800" b="0"/>
                  <a:t>Time (Days)</a:t>
                </a:r>
              </a:p>
            </c:rich>
          </c:tx>
          <c:layout>
            <c:manualLayout>
              <c:xMode val="edge"/>
              <c:yMode val="edge"/>
              <c:x val="0.45242537095170332"/>
              <c:y val="0.94333751568381463"/>
            </c:manualLayout>
          </c:layout>
          <c:overlay val="0"/>
        </c:title>
        <c:numFmt formatCode="General" sourceLinked="1"/>
        <c:majorTickMark val="out"/>
        <c:minorTickMark val="none"/>
        <c:tickLblPos val="nextTo"/>
        <c:spPr>
          <a:ln>
            <a:solidFill>
              <a:schemeClr val="tx1"/>
            </a:solidFill>
          </a:ln>
        </c:spPr>
        <c:crossAx val="72331648"/>
        <c:crosses val="autoZero"/>
        <c:auto val="1"/>
        <c:lblAlgn val="ctr"/>
        <c:lblOffset val="100"/>
        <c:noMultiLvlLbl val="0"/>
      </c:catAx>
      <c:valAx>
        <c:axId val="72331648"/>
        <c:scaling>
          <c:orientation val="minMax"/>
          <c:max val="100"/>
          <c:min val="0"/>
        </c:scaling>
        <c:delete val="0"/>
        <c:axPos val="l"/>
        <c:title>
          <c:tx>
            <c:rich>
              <a:bodyPr rot="-5400000" vert="horz"/>
              <a:lstStyle/>
              <a:p>
                <a:pPr>
                  <a:defRPr b="0"/>
                </a:pPr>
                <a:r>
                  <a:rPr lang="en-MY" sz="800" b="0"/>
                  <a:t>Percentage of biogas production (%)</a:t>
                </a:r>
              </a:p>
            </c:rich>
          </c:tx>
          <c:layout>
            <c:manualLayout>
              <c:xMode val="edge"/>
              <c:yMode val="edge"/>
              <c:x val="1.561333749744832E-2"/>
              <c:y val="0.13605788638122376"/>
            </c:manualLayout>
          </c:layout>
          <c:overlay val="0"/>
        </c:title>
        <c:numFmt formatCode="General" sourceLinked="1"/>
        <c:majorTickMark val="out"/>
        <c:minorTickMark val="none"/>
        <c:tickLblPos val="nextTo"/>
        <c:spPr>
          <a:ln>
            <a:solidFill>
              <a:schemeClr val="tx1"/>
            </a:solidFill>
          </a:ln>
        </c:spPr>
        <c:crossAx val="72316800"/>
        <c:crosses val="autoZero"/>
        <c:crossBetween val="between"/>
        <c:majorUnit val="5"/>
        <c:minorUnit val="5"/>
      </c:valAx>
      <c:valAx>
        <c:axId val="72333568"/>
        <c:scaling>
          <c:orientation val="minMax"/>
          <c:max val="13"/>
          <c:min val="0"/>
        </c:scaling>
        <c:delete val="0"/>
        <c:axPos val="r"/>
        <c:title>
          <c:tx>
            <c:rich>
              <a:bodyPr rot="-5400000" vert="horz"/>
              <a:lstStyle/>
              <a:p>
                <a:pPr>
                  <a:defRPr b="0"/>
                </a:pPr>
                <a:r>
                  <a:rPr lang="en-MY" sz="800" b="0"/>
                  <a:t>Cumulative of biogas production x10² (mL)</a:t>
                </a:r>
              </a:p>
            </c:rich>
          </c:tx>
          <c:layout>
            <c:manualLayout>
              <c:xMode val="edge"/>
              <c:yMode val="edge"/>
              <c:x val="0.96018665515038115"/>
              <c:y val="8.5762471460644044E-2"/>
            </c:manualLayout>
          </c:layout>
          <c:overlay val="0"/>
        </c:title>
        <c:numFmt formatCode="General" sourceLinked="1"/>
        <c:majorTickMark val="out"/>
        <c:minorTickMark val="none"/>
        <c:tickLblPos val="nextTo"/>
        <c:spPr>
          <a:ln>
            <a:solidFill>
              <a:schemeClr val="tx1"/>
            </a:solidFill>
          </a:ln>
        </c:spPr>
        <c:crossAx val="72343936"/>
        <c:crosses val="max"/>
        <c:crossBetween val="between"/>
        <c:majorUnit val="1"/>
        <c:minorUnit val="1"/>
      </c:valAx>
      <c:catAx>
        <c:axId val="72343936"/>
        <c:scaling>
          <c:orientation val="minMax"/>
        </c:scaling>
        <c:delete val="1"/>
        <c:axPos val="b"/>
        <c:numFmt formatCode="General" sourceLinked="1"/>
        <c:majorTickMark val="out"/>
        <c:minorTickMark val="none"/>
        <c:tickLblPos val="none"/>
        <c:crossAx val="72333568"/>
        <c:crosses val="autoZero"/>
        <c:auto val="1"/>
        <c:lblAlgn val="ctr"/>
        <c:lblOffset val="100"/>
        <c:noMultiLvlLbl val="0"/>
      </c:catAx>
    </c:plotArea>
    <c:legend>
      <c:legendPos val="t"/>
      <c:layout>
        <c:manualLayout>
          <c:xMode val="edge"/>
          <c:yMode val="edge"/>
          <c:x val="9.8128569749677735E-2"/>
          <c:y val="1.7786808906951147E-2"/>
          <c:w val="0.85904756621368994"/>
          <c:h val="4.4062511646398045E-2"/>
        </c:manualLayout>
      </c:layout>
      <c:overlay val="0"/>
    </c:legend>
    <c:plotVisOnly val="1"/>
    <c:dispBlanksAs val="gap"/>
    <c:showDLblsOverMax val="0"/>
  </c:chart>
  <c:spPr>
    <a:ln>
      <a:solidFill>
        <a:schemeClr val="tx1"/>
      </a:solidFill>
    </a:ln>
  </c:spPr>
  <c:txPr>
    <a:bodyPr/>
    <a:lstStyle/>
    <a:p>
      <a:pPr>
        <a:defRPr sz="900">
          <a:solidFill>
            <a:sysClr val="windowText" lastClr="000000"/>
          </a:solidFill>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89111670319561"/>
          <c:y val="9.3827410087253579E-2"/>
          <c:w val="0.75412707701126891"/>
          <c:h val="0.66995069873022661"/>
        </c:manualLayout>
      </c:layout>
      <c:barChart>
        <c:barDir val="col"/>
        <c:grouping val="stacked"/>
        <c:varyColors val="0"/>
        <c:ser>
          <c:idx val="3"/>
          <c:order val="0"/>
          <c:tx>
            <c:v>Others</c:v>
          </c:tx>
          <c:spPr>
            <a:pattFill prst="pct10">
              <a:fgClr>
                <a:srgbClr val="000000"/>
              </a:fgClr>
              <a:bgClr>
                <a:srgbClr val="FFFFFF"/>
              </a:bgClr>
            </a:pattFill>
            <a:ln>
              <a:solidFill>
                <a:sysClr val="windowText" lastClr="000000"/>
              </a:solidFill>
            </a:ln>
          </c:spPr>
          <c:invertIfNegative val="0"/>
          <c:cat>
            <c:numRef>
              <c:f>'biogas+cum'!$N$3:$AF$3</c:f>
              <c:numCache>
                <c:formatCode>General</c:formatCode>
                <c:ptCount val="19"/>
                <c:pt idx="0">
                  <c:v>7</c:v>
                </c:pt>
                <c:pt idx="1">
                  <c:v>14</c:v>
                </c:pt>
                <c:pt idx="2">
                  <c:v>21</c:v>
                </c:pt>
                <c:pt idx="3">
                  <c:v>28</c:v>
                </c:pt>
                <c:pt idx="5">
                  <c:v>7</c:v>
                </c:pt>
                <c:pt idx="6">
                  <c:v>14</c:v>
                </c:pt>
                <c:pt idx="7">
                  <c:v>21</c:v>
                </c:pt>
                <c:pt idx="8">
                  <c:v>28</c:v>
                </c:pt>
                <c:pt idx="10">
                  <c:v>7</c:v>
                </c:pt>
                <c:pt idx="11">
                  <c:v>14</c:v>
                </c:pt>
                <c:pt idx="12">
                  <c:v>21</c:v>
                </c:pt>
                <c:pt idx="13">
                  <c:v>28</c:v>
                </c:pt>
                <c:pt idx="15">
                  <c:v>7</c:v>
                </c:pt>
                <c:pt idx="16">
                  <c:v>14</c:v>
                </c:pt>
                <c:pt idx="17">
                  <c:v>21</c:v>
                </c:pt>
                <c:pt idx="18">
                  <c:v>28</c:v>
                </c:pt>
              </c:numCache>
            </c:numRef>
          </c:cat>
          <c:val>
            <c:numRef>
              <c:f>'biogas+cum'!$S$7:$AF$7</c:f>
              <c:numCache>
                <c:formatCode>General</c:formatCode>
                <c:ptCount val="14"/>
                <c:pt idx="0">
                  <c:v>48.760000000000012</c:v>
                </c:pt>
                <c:pt idx="1">
                  <c:v>97.3</c:v>
                </c:pt>
                <c:pt idx="2">
                  <c:v>97.43</c:v>
                </c:pt>
                <c:pt idx="3">
                  <c:v>96.95</c:v>
                </c:pt>
                <c:pt idx="5">
                  <c:v>13.639999999999999</c:v>
                </c:pt>
                <c:pt idx="6">
                  <c:v>90.940000000000026</c:v>
                </c:pt>
                <c:pt idx="7">
                  <c:v>96.2</c:v>
                </c:pt>
                <c:pt idx="8">
                  <c:v>90.61999999999999</c:v>
                </c:pt>
                <c:pt idx="10">
                  <c:v>39.03</c:v>
                </c:pt>
                <c:pt idx="11">
                  <c:v>94.02</c:v>
                </c:pt>
                <c:pt idx="12">
                  <c:v>58.849999999999994</c:v>
                </c:pt>
                <c:pt idx="13">
                  <c:v>30.29</c:v>
                </c:pt>
              </c:numCache>
            </c:numRef>
          </c:val>
          <c:extLst xmlns:c16r2="http://schemas.microsoft.com/office/drawing/2015/06/chart">
            <c:ext xmlns:c16="http://schemas.microsoft.com/office/drawing/2014/chart" uri="{C3380CC4-5D6E-409C-BE32-E72D297353CC}">
              <c16:uniqueId val="{00000000-A852-4F4D-BA18-0C98C114209F}"/>
            </c:ext>
          </c:extLst>
        </c:ser>
        <c:ser>
          <c:idx val="2"/>
          <c:order val="1"/>
          <c:tx>
            <c:v>H2</c:v>
          </c:tx>
          <c:spPr>
            <a:pattFill prst="wdUpDiag">
              <a:fgClr>
                <a:srgbClr val="000000"/>
              </a:fgClr>
              <a:bgClr>
                <a:srgbClr val="FFFFFF"/>
              </a:bgClr>
            </a:pattFill>
            <a:ln>
              <a:solidFill>
                <a:sysClr val="windowText" lastClr="000000"/>
              </a:solidFill>
            </a:ln>
          </c:spPr>
          <c:invertIfNegative val="0"/>
          <c:cat>
            <c:numRef>
              <c:f>'biogas+cum'!$N$3:$AF$3</c:f>
              <c:numCache>
                <c:formatCode>General</c:formatCode>
                <c:ptCount val="19"/>
                <c:pt idx="0">
                  <c:v>7</c:v>
                </c:pt>
                <c:pt idx="1">
                  <c:v>14</c:v>
                </c:pt>
                <c:pt idx="2">
                  <c:v>21</c:v>
                </c:pt>
                <c:pt idx="3">
                  <c:v>28</c:v>
                </c:pt>
                <c:pt idx="5">
                  <c:v>7</c:v>
                </c:pt>
                <c:pt idx="6">
                  <c:v>14</c:v>
                </c:pt>
                <c:pt idx="7">
                  <c:v>21</c:v>
                </c:pt>
                <c:pt idx="8">
                  <c:v>28</c:v>
                </c:pt>
                <c:pt idx="10">
                  <c:v>7</c:v>
                </c:pt>
                <c:pt idx="11">
                  <c:v>14</c:v>
                </c:pt>
                <c:pt idx="12">
                  <c:v>21</c:v>
                </c:pt>
                <c:pt idx="13">
                  <c:v>28</c:v>
                </c:pt>
                <c:pt idx="15">
                  <c:v>7</c:v>
                </c:pt>
                <c:pt idx="16">
                  <c:v>14</c:v>
                </c:pt>
                <c:pt idx="17">
                  <c:v>21</c:v>
                </c:pt>
                <c:pt idx="18">
                  <c:v>28</c:v>
                </c:pt>
              </c:numCache>
            </c:numRef>
          </c:cat>
          <c:val>
            <c:numRef>
              <c:f>'biogas+cum'!$S$6:$AF$6</c:f>
              <c:numCache>
                <c:formatCode>General</c:formatCode>
                <c:ptCount val="14"/>
                <c:pt idx="0">
                  <c:v>49.32</c:v>
                </c:pt>
                <c:pt idx="1">
                  <c:v>0</c:v>
                </c:pt>
                <c:pt idx="2">
                  <c:v>0</c:v>
                </c:pt>
                <c:pt idx="3">
                  <c:v>0</c:v>
                </c:pt>
                <c:pt idx="5">
                  <c:v>85.08</c:v>
                </c:pt>
                <c:pt idx="6">
                  <c:v>0.58000000000000007</c:v>
                </c:pt>
                <c:pt idx="7">
                  <c:v>0</c:v>
                </c:pt>
                <c:pt idx="8">
                  <c:v>0</c:v>
                </c:pt>
                <c:pt idx="10">
                  <c:v>58.7</c:v>
                </c:pt>
                <c:pt idx="11">
                  <c:v>0</c:v>
                </c:pt>
                <c:pt idx="12">
                  <c:v>36.949999999999996</c:v>
                </c:pt>
                <c:pt idx="13">
                  <c:v>49.36</c:v>
                </c:pt>
              </c:numCache>
            </c:numRef>
          </c:val>
          <c:extLst xmlns:c16r2="http://schemas.microsoft.com/office/drawing/2015/06/chart">
            <c:ext xmlns:c16="http://schemas.microsoft.com/office/drawing/2014/chart" uri="{C3380CC4-5D6E-409C-BE32-E72D297353CC}">
              <c16:uniqueId val="{00000001-A852-4F4D-BA18-0C98C114209F}"/>
            </c:ext>
          </c:extLst>
        </c:ser>
        <c:ser>
          <c:idx val="1"/>
          <c:order val="2"/>
          <c:tx>
            <c:v>CO2</c:v>
          </c:tx>
          <c:spPr>
            <a:pattFill prst="lgConfetti">
              <a:fgClr>
                <a:srgbClr val="000000"/>
              </a:fgClr>
              <a:bgClr>
                <a:srgbClr val="FFFFFF"/>
              </a:bgClr>
            </a:pattFill>
            <a:ln>
              <a:solidFill>
                <a:sysClr val="windowText" lastClr="000000"/>
              </a:solidFill>
            </a:ln>
          </c:spPr>
          <c:invertIfNegative val="0"/>
          <c:cat>
            <c:numRef>
              <c:f>'biogas+cum'!$N$3:$AF$3</c:f>
              <c:numCache>
                <c:formatCode>General</c:formatCode>
                <c:ptCount val="19"/>
                <c:pt idx="0">
                  <c:v>7</c:v>
                </c:pt>
                <c:pt idx="1">
                  <c:v>14</c:v>
                </c:pt>
                <c:pt idx="2">
                  <c:v>21</c:v>
                </c:pt>
                <c:pt idx="3">
                  <c:v>28</c:v>
                </c:pt>
                <c:pt idx="5">
                  <c:v>7</c:v>
                </c:pt>
                <c:pt idx="6">
                  <c:v>14</c:v>
                </c:pt>
                <c:pt idx="7">
                  <c:v>21</c:v>
                </c:pt>
                <c:pt idx="8">
                  <c:v>28</c:v>
                </c:pt>
                <c:pt idx="10">
                  <c:v>7</c:v>
                </c:pt>
                <c:pt idx="11">
                  <c:v>14</c:v>
                </c:pt>
                <c:pt idx="12">
                  <c:v>21</c:v>
                </c:pt>
                <c:pt idx="13">
                  <c:v>28</c:v>
                </c:pt>
                <c:pt idx="15">
                  <c:v>7</c:v>
                </c:pt>
                <c:pt idx="16">
                  <c:v>14</c:v>
                </c:pt>
                <c:pt idx="17">
                  <c:v>21</c:v>
                </c:pt>
                <c:pt idx="18">
                  <c:v>28</c:v>
                </c:pt>
              </c:numCache>
            </c:numRef>
          </c:cat>
          <c:val>
            <c:numRef>
              <c:f>'biogas+cum'!$S$5:$AF$5</c:f>
              <c:numCache>
                <c:formatCode>General</c:formatCode>
                <c:ptCount val="14"/>
                <c:pt idx="0">
                  <c:v>1.25</c:v>
                </c:pt>
                <c:pt idx="1">
                  <c:v>2.7</c:v>
                </c:pt>
                <c:pt idx="2">
                  <c:v>2.57</c:v>
                </c:pt>
                <c:pt idx="3">
                  <c:v>2.7</c:v>
                </c:pt>
                <c:pt idx="5">
                  <c:v>1.21</c:v>
                </c:pt>
                <c:pt idx="6">
                  <c:v>8.17</c:v>
                </c:pt>
                <c:pt idx="7">
                  <c:v>3.4699999999999998</c:v>
                </c:pt>
                <c:pt idx="8">
                  <c:v>7.2700000000000014</c:v>
                </c:pt>
                <c:pt idx="10">
                  <c:v>2.2200000000000002</c:v>
                </c:pt>
                <c:pt idx="11">
                  <c:v>5.45</c:v>
                </c:pt>
                <c:pt idx="12">
                  <c:v>3.07</c:v>
                </c:pt>
                <c:pt idx="13">
                  <c:v>8.4500000000000028</c:v>
                </c:pt>
              </c:numCache>
            </c:numRef>
          </c:val>
          <c:extLst xmlns:c16r2="http://schemas.microsoft.com/office/drawing/2015/06/chart">
            <c:ext xmlns:c16="http://schemas.microsoft.com/office/drawing/2014/chart" uri="{C3380CC4-5D6E-409C-BE32-E72D297353CC}">
              <c16:uniqueId val="{00000002-A852-4F4D-BA18-0C98C114209F}"/>
            </c:ext>
          </c:extLst>
        </c:ser>
        <c:ser>
          <c:idx val="0"/>
          <c:order val="3"/>
          <c:tx>
            <c:v>CH4</c:v>
          </c:tx>
          <c:spPr>
            <a:solidFill>
              <a:schemeClr val="tx1"/>
            </a:solidFill>
            <a:ln>
              <a:solidFill>
                <a:sysClr val="windowText" lastClr="000000"/>
              </a:solidFill>
            </a:ln>
          </c:spPr>
          <c:invertIfNegative val="0"/>
          <c:cat>
            <c:numRef>
              <c:f>'biogas+cum'!$N$3:$AF$3</c:f>
              <c:numCache>
                <c:formatCode>General</c:formatCode>
                <c:ptCount val="19"/>
                <c:pt idx="0">
                  <c:v>7</c:v>
                </c:pt>
                <c:pt idx="1">
                  <c:v>14</c:v>
                </c:pt>
                <c:pt idx="2">
                  <c:v>21</c:v>
                </c:pt>
                <c:pt idx="3">
                  <c:v>28</c:v>
                </c:pt>
                <c:pt idx="5">
                  <c:v>7</c:v>
                </c:pt>
                <c:pt idx="6">
                  <c:v>14</c:v>
                </c:pt>
                <c:pt idx="7">
                  <c:v>21</c:v>
                </c:pt>
                <c:pt idx="8">
                  <c:v>28</c:v>
                </c:pt>
                <c:pt idx="10">
                  <c:v>7</c:v>
                </c:pt>
                <c:pt idx="11">
                  <c:v>14</c:v>
                </c:pt>
                <c:pt idx="12">
                  <c:v>21</c:v>
                </c:pt>
                <c:pt idx="13">
                  <c:v>28</c:v>
                </c:pt>
                <c:pt idx="15">
                  <c:v>7</c:v>
                </c:pt>
                <c:pt idx="16">
                  <c:v>14</c:v>
                </c:pt>
                <c:pt idx="17">
                  <c:v>21</c:v>
                </c:pt>
                <c:pt idx="18">
                  <c:v>28</c:v>
                </c:pt>
              </c:numCache>
            </c:numRef>
          </c:cat>
          <c:val>
            <c:numRef>
              <c:f>'biogas+cum'!$S$4:$AF$4</c:f>
              <c:numCache>
                <c:formatCode>General</c:formatCode>
                <c:ptCount val="14"/>
                <c:pt idx="0">
                  <c:v>0</c:v>
                </c:pt>
                <c:pt idx="1">
                  <c:v>0</c:v>
                </c:pt>
                <c:pt idx="2">
                  <c:v>0</c:v>
                </c:pt>
                <c:pt idx="3">
                  <c:v>0.35000000000000031</c:v>
                </c:pt>
                <c:pt idx="5">
                  <c:v>7.0000000000000021E-2</c:v>
                </c:pt>
                <c:pt idx="6">
                  <c:v>0.31000000000000238</c:v>
                </c:pt>
                <c:pt idx="7">
                  <c:v>0.33000000000000457</c:v>
                </c:pt>
                <c:pt idx="8">
                  <c:v>2.11</c:v>
                </c:pt>
                <c:pt idx="10">
                  <c:v>0.05</c:v>
                </c:pt>
                <c:pt idx="11">
                  <c:v>0.53</c:v>
                </c:pt>
                <c:pt idx="12" formatCode="0.00">
                  <c:v>1.1299999999999828</c:v>
                </c:pt>
                <c:pt idx="13">
                  <c:v>11.9</c:v>
                </c:pt>
              </c:numCache>
            </c:numRef>
          </c:val>
          <c:extLst xmlns:c16r2="http://schemas.microsoft.com/office/drawing/2015/06/chart">
            <c:ext xmlns:c16="http://schemas.microsoft.com/office/drawing/2014/chart" uri="{C3380CC4-5D6E-409C-BE32-E72D297353CC}">
              <c16:uniqueId val="{00000003-A852-4F4D-BA18-0C98C114209F}"/>
            </c:ext>
          </c:extLst>
        </c:ser>
        <c:dLbls>
          <c:showLegendKey val="0"/>
          <c:showVal val="0"/>
          <c:showCatName val="0"/>
          <c:showSerName val="0"/>
          <c:showPercent val="0"/>
          <c:showBubbleSize val="0"/>
        </c:dLbls>
        <c:gapWidth val="70"/>
        <c:overlap val="100"/>
        <c:axId val="77799424"/>
        <c:axId val="77801728"/>
      </c:barChart>
      <c:lineChart>
        <c:grouping val="standard"/>
        <c:varyColors val="0"/>
        <c:ser>
          <c:idx val="4"/>
          <c:order val="4"/>
          <c:tx>
            <c:v>Cumulative of gas volume</c:v>
          </c:tx>
          <c:spPr>
            <a:ln w="9525">
              <a:solidFill>
                <a:prstClr val="black"/>
              </a:solidFill>
            </a:ln>
          </c:spPr>
          <c:marker>
            <c:symbol val="diamond"/>
            <c:size val="7"/>
            <c:spPr>
              <a:solidFill>
                <a:sysClr val="windowText" lastClr="000000"/>
              </a:solidFill>
              <a:ln>
                <a:solidFill>
                  <a:prstClr val="black"/>
                </a:solidFill>
              </a:ln>
            </c:spPr>
          </c:marker>
          <c:cat>
            <c:numRef>
              <c:f>'biogas+cum'!$N$3:$AF$3</c:f>
              <c:numCache>
                <c:formatCode>General</c:formatCode>
                <c:ptCount val="19"/>
                <c:pt idx="0">
                  <c:v>7</c:v>
                </c:pt>
                <c:pt idx="1">
                  <c:v>14</c:v>
                </c:pt>
                <c:pt idx="2">
                  <c:v>21</c:v>
                </c:pt>
                <c:pt idx="3">
                  <c:v>28</c:v>
                </c:pt>
                <c:pt idx="5">
                  <c:v>7</c:v>
                </c:pt>
                <c:pt idx="6">
                  <c:v>14</c:v>
                </c:pt>
                <c:pt idx="7">
                  <c:v>21</c:v>
                </c:pt>
                <c:pt idx="8">
                  <c:v>28</c:v>
                </c:pt>
                <c:pt idx="10">
                  <c:v>7</c:v>
                </c:pt>
                <c:pt idx="11">
                  <c:v>14</c:v>
                </c:pt>
                <c:pt idx="12">
                  <c:v>21</c:v>
                </c:pt>
                <c:pt idx="13">
                  <c:v>28</c:v>
                </c:pt>
                <c:pt idx="15">
                  <c:v>7</c:v>
                </c:pt>
                <c:pt idx="16">
                  <c:v>14</c:v>
                </c:pt>
                <c:pt idx="17">
                  <c:v>21</c:v>
                </c:pt>
                <c:pt idx="18">
                  <c:v>28</c:v>
                </c:pt>
              </c:numCache>
            </c:numRef>
          </c:cat>
          <c:val>
            <c:numRef>
              <c:f>'biogas+cum'!$S$8:$AF$8</c:f>
              <c:numCache>
                <c:formatCode>General</c:formatCode>
                <c:ptCount val="14"/>
                <c:pt idx="0">
                  <c:v>6.3</c:v>
                </c:pt>
                <c:pt idx="1">
                  <c:v>8.9</c:v>
                </c:pt>
                <c:pt idx="2">
                  <c:v>10.4</c:v>
                </c:pt>
                <c:pt idx="3">
                  <c:v>12.7</c:v>
                </c:pt>
                <c:pt idx="5">
                  <c:v>4.8</c:v>
                </c:pt>
                <c:pt idx="6">
                  <c:v>6.1</c:v>
                </c:pt>
                <c:pt idx="7">
                  <c:v>6.7</c:v>
                </c:pt>
                <c:pt idx="8">
                  <c:v>13.9</c:v>
                </c:pt>
                <c:pt idx="10">
                  <c:v>4.8</c:v>
                </c:pt>
                <c:pt idx="11">
                  <c:v>6.7</c:v>
                </c:pt>
                <c:pt idx="12">
                  <c:v>10.4</c:v>
                </c:pt>
                <c:pt idx="13">
                  <c:v>19.7</c:v>
                </c:pt>
              </c:numCache>
            </c:numRef>
          </c:val>
          <c:smooth val="0"/>
          <c:extLst xmlns:c16r2="http://schemas.microsoft.com/office/drawing/2015/06/chart">
            <c:ext xmlns:c16="http://schemas.microsoft.com/office/drawing/2014/chart" uri="{C3380CC4-5D6E-409C-BE32-E72D297353CC}">
              <c16:uniqueId val="{00000004-A852-4F4D-BA18-0C98C114209F}"/>
            </c:ext>
          </c:extLst>
        </c:ser>
        <c:dLbls>
          <c:showLegendKey val="0"/>
          <c:showVal val="0"/>
          <c:showCatName val="0"/>
          <c:showSerName val="0"/>
          <c:showPercent val="0"/>
          <c:showBubbleSize val="0"/>
        </c:dLbls>
        <c:marker val="1"/>
        <c:smooth val="0"/>
        <c:axId val="77846784"/>
        <c:axId val="77844864"/>
      </c:lineChart>
      <c:catAx>
        <c:axId val="77799424"/>
        <c:scaling>
          <c:orientation val="minMax"/>
        </c:scaling>
        <c:delete val="0"/>
        <c:axPos val="b"/>
        <c:title>
          <c:tx>
            <c:rich>
              <a:bodyPr/>
              <a:lstStyle/>
              <a:p>
                <a:pPr>
                  <a:defRPr/>
                </a:pPr>
                <a:r>
                  <a:rPr lang="en-MY" b="0">
                    <a:latin typeface="Times New Roman" pitchFamily="18" charset="0"/>
                    <a:cs typeface="Times New Roman" pitchFamily="18" charset="0"/>
                  </a:rPr>
                  <a:t>Time (Days)</a:t>
                </a:r>
              </a:p>
            </c:rich>
          </c:tx>
          <c:layout>
            <c:manualLayout>
              <c:xMode val="edge"/>
              <c:yMode val="edge"/>
              <c:x val="0.45765553820817828"/>
              <c:y val="0.9307081353178460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7801728"/>
        <c:crosses val="autoZero"/>
        <c:auto val="1"/>
        <c:lblAlgn val="ctr"/>
        <c:lblOffset val="100"/>
        <c:noMultiLvlLbl val="0"/>
      </c:catAx>
      <c:valAx>
        <c:axId val="77801728"/>
        <c:scaling>
          <c:orientation val="minMax"/>
          <c:max val="100"/>
          <c:min val="0"/>
        </c:scaling>
        <c:delete val="0"/>
        <c:axPos val="l"/>
        <c:title>
          <c:tx>
            <c:rich>
              <a:bodyPr rot="-5400000" vert="horz"/>
              <a:lstStyle/>
              <a:p>
                <a:pPr>
                  <a:defRPr b="0">
                    <a:latin typeface="Times New Roman" pitchFamily="18" charset="0"/>
                    <a:cs typeface="Times New Roman" pitchFamily="18" charset="0"/>
                  </a:defRPr>
                </a:pPr>
                <a:r>
                  <a:rPr lang="en-MY" sz="800" b="0">
                    <a:latin typeface="Times New Roman" pitchFamily="18" charset="0"/>
                    <a:cs typeface="Times New Roman" pitchFamily="18" charset="0"/>
                  </a:rPr>
                  <a:t>Percentage of biogas production (%)</a:t>
                </a:r>
              </a:p>
            </c:rich>
          </c:tx>
          <c:layout>
            <c:manualLayout>
              <c:xMode val="edge"/>
              <c:yMode val="edge"/>
              <c:x val="1.4375305109548079E-2"/>
              <c:y val="0.12077970253718436"/>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7799424"/>
        <c:crosses val="autoZero"/>
        <c:crossBetween val="between"/>
        <c:majorUnit val="5"/>
        <c:minorUnit val="5"/>
      </c:valAx>
      <c:valAx>
        <c:axId val="77844864"/>
        <c:scaling>
          <c:orientation val="minMax"/>
          <c:max val="20"/>
          <c:min val="0"/>
        </c:scaling>
        <c:delete val="0"/>
        <c:axPos val="r"/>
        <c:title>
          <c:tx>
            <c:rich>
              <a:bodyPr rot="-5400000" vert="horz"/>
              <a:lstStyle/>
              <a:p>
                <a:pPr>
                  <a:defRPr b="0">
                    <a:latin typeface="Times New Roman" pitchFamily="18" charset="0"/>
                    <a:cs typeface="Times New Roman" pitchFamily="18" charset="0"/>
                  </a:defRPr>
                </a:pPr>
                <a:r>
                  <a:rPr lang="en-MY" sz="800" b="0">
                    <a:latin typeface="Times New Roman" pitchFamily="18" charset="0"/>
                    <a:cs typeface="Times New Roman" pitchFamily="18" charset="0"/>
                  </a:rPr>
                  <a:t>Cumulative of biogas production x10² (mL)</a:t>
                </a:r>
              </a:p>
            </c:rich>
          </c:tx>
          <c:layout>
            <c:manualLayout>
              <c:xMode val="edge"/>
              <c:yMode val="edge"/>
              <c:x val="0.91420478690163676"/>
              <c:y val="6.006419805632409E-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7846784"/>
        <c:crosses val="max"/>
        <c:crossBetween val="between"/>
        <c:majorUnit val="1"/>
        <c:minorUnit val="1"/>
      </c:valAx>
      <c:catAx>
        <c:axId val="77846784"/>
        <c:scaling>
          <c:orientation val="minMax"/>
        </c:scaling>
        <c:delete val="1"/>
        <c:axPos val="b"/>
        <c:numFmt formatCode="General" sourceLinked="1"/>
        <c:majorTickMark val="out"/>
        <c:minorTickMark val="none"/>
        <c:tickLblPos val="none"/>
        <c:crossAx val="77844864"/>
        <c:crosses val="autoZero"/>
        <c:auto val="1"/>
        <c:lblAlgn val="ctr"/>
        <c:lblOffset val="100"/>
        <c:noMultiLvlLbl val="0"/>
      </c:catAx>
    </c:plotArea>
    <c:legend>
      <c:legendPos val="t"/>
      <c:layout>
        <c:manualLayout>
          <c:xMode val="edge"/>
          <c:yMode val="edge"/>
          <c:x val="8.6563170749992743E-2"/>
          <c:y val="1.274191133184828E-2"/>
          <c:w val="0.85487687022502534"/>
          <c:h val="5.760271974592433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txPr>
    <a:bodyPr/>
    <a:lstStyle/>
    <a:p>
      <a:pPr>
        <a:defRPr sz="900"/>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383212412790048E-2"/>
          <c:y val="4.0858547503897016E-2"/>
          <c:w val="0.7430221531218526"/>
          <c:h val="0.66374857410279786"/>
        </c:manualLayout>
      </c:layout>
      <c:lineChart>
        <c:grouping val="standard"/>
        <c:varyColors val="0"/>
        <c:ser>
          <c:idx val="0"/>
          <c:order val="0"/>
          <c:tx>
            <c:v>1:1</c:v>
          </c:tx>
          <c:spPr>
            <a:ln w="9525">
              <a:solidFill>
                <a:schemeClr val="tx1"/>
              </a:solidFill>
            </a:ln>
          </c:spPr>
          <c:marker>
            <c:symbol val="circle"/>
            <c:size val="6"/>
            <c:spPr>
              <a:solidFill>
                <a:schemeClr val="bg1"/>
              </a:solidFill>
              <a:ln>
                <a:solidFill>
                  <a:schemeClr val="tx1"/>
                </a:solidFill>
              </a:ln>
            </c:spPr>
          </c:marker>
          <c:cat>
            <c:numRef>
              <c:f>Graph!$U$189:$U$211</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Graph!$W$165:$W$187</c:f>
              <c:numCache>
                <c:formatCode>General</c:formatCode>
                <c:ptCount val="23"/>
                <c:pt idx="0">
                  <c:v>6.26</c:v>
                </c:pt>
                <c:pt idx="1">
                  <c:v>4.9300000000000024</c:v>
                </c:pt>
                <c:pt idx="2">
                  <c:v>4.78</c:v>
                </c:pt>
                <c:pt idx="3">
                  <c:v>4.7699999999999996</c:v>
                </c:pt>
                <c:pt idx="4">
                  <c:v>4.75</c:v>
                </c:pt>
                <c:pt idx="5">
                  <c:v>5.72</c:v>
                </c:pt>
                <c:pt idx="6">
                  <c:v>4.6499999999999995</c:v>
                </c:pt>
                <c:pt idx="7">
                  <c:v>4.7699999999999996</c:v>
                </c:pt>
                <c:pt idx="8">
                  <c:v>4.78</c:v>
                </c:pt>
                <c:pt idx="9">
                  <c:v>4.8199999999999985</c:v>
                </c:pt>
                <c:pt idx="10">
                  <c:v>4.87</c:v>
                </c:pt>
                <c:pt idx="12">
                  <c:v>6.76</c:v>
                </c:pt>
                <c:pt idx="13">
                  <c:v>4.71</c:v>
                </c:pt>
                <c:pt idx="14">
                  <c:v>4.6599999999999975</c:v>
                </c:pt>
                <c:pt idx="15">
                  <c:v>4.76</c:v>
                </c:pt>
                <c:pt idx="16">
                  <c:v>4.6899999999999995</c:v>
                </c:pt>
                <c:pt idx="17">
                  <c:v>5.7</c:v>
                </c:pt>
                <c:pt idx="18">
                  <c:v>4.6499999999999995</c:v>
                </c:pt>
                <c:pt idx="19">
                  <c:v>4.76</c:v>
                </c:pt>
                <c:pt idx="20">
                  <c:v>4.75</c:v>
                </c:pt>
                <c:pt idx="21">
                  <c:v>4.84</c:v>
                </c:pt>
                <c:pt idx="22">
                  <c:v>4.9000000000000004</c:v>
                </c:pt>
              </c:numCache>
            </c:numRef>
          </c:val>
          <c:smooth val="0"/>
          <c:extLst xmlns:c16r2="http://schemas.microsoft.com/office/drawing/2015/06/chart">
            <c:ext xmlns:c16="http://schemas.microsoft.com/office/drawing/2014/chart" uri="{C3380CC4-5D6E-409C-BE32-E72D297353CC}">
              <c16:uniqueId val="{00000000-65E4-4961-9798-6F8AF43EFBF8}"/>
            </c:ext>
          </c:extLst>
        </c:ser>
        <c:ser>
          <c:idx val="1"/>
          <c:order val="1"/>
          <c:tx>
            <c:v>1:2</c:v>
          </c:tx>
          <c:spPr>
            <a:ln w="9525">
              <a:solidFill>
                <a:schemeClr val="tx1"/>
              </a:solidFill>
            </a:ln>
          </c:spPr>
          <c:marker>
            <c:symbol val="square"/>
            <c:size val="6"/>
            <c:spPr>
              <a:solidFill>
                <a:schemeClr val="bg1"/>
              </a:solidFill>
              <a:ln>
                <a:solidFill>
                  <a:schemeClr val="tx1"/>
                </a:solidFill>
              </a:ln>
            </c:spPr>
          </c:marker>
          <c:cat>
            <c:numRef>
              <c:f>Graph!$U$189:$U$211</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Graph!$X$165:$X$187</c:f>
              <c:numCache>
                <c:formatCode>General</c:formatCode>
                <c:ptCount val="23"/>
                <c:pt idx="0">
                  <c:v>6.83</c:v>
                </c:pt>
                <c:pt idx="1">
                  <c:v>4.9700000000000024</c:v>
                </c:pt>
                <c:pt idx="2">
                  <c:v>4.9000000000000004</c:v>
                </c:pt>
                <c:pt idx="3">
                  <c:v>4.87</c:v>
                </c:pt>
                <c:pt idx="4">
                  <c:v>4.91</c:v>
                </c:pt>
                <c:pt idx="5">
                  <c:v>5.9</c:v>
                </c:pt>
                <c:pt idx="6">
                  <c:v>4.83</c:v>
                </c:pt>
                <c:pt idx="7">
                  <c:v>4.9400000000000004</c:v>
                </c:pt>
                <c:pt idx="8">
                  <c:v>4.9300000000000024</c:v>
                </c:pt>
                <c:pt idx="9">
                  <c:v>4.95</c:v>
                </c:pt>
                <c:pt idx="10">
                  <c:v>4.9700000000000024</c:v>
                </c:pt>
                <c:pt idx="12">
                  <c:v>6.44</c:v>
                </c:pt>
                <c:pt idx="13">
                  <c:v>4.7699999999999996</c:v>
                </c:pt>
                <c:pt idx="14">
                  <c:v>4.71</c:v>
                </c:pt>
                <c:pt idx="15">
                  <c:v>4.67</c:v>
                </c:pt>
                <c:pt idx="16">
                  <c:v>4.63</c:v>
                </c:pt>
                <c:pt idx="17">
                  <c:v>5.6199999999999966</c:v>
                </c:pt>
                <c:pt idx="18">
                  <c:v>4.76</c:v>
                </c:pt>
                <c:pt idx="19">
                  <c:v>4.71</c:v>
                </c:pt>
                <c:pt idx="20">
                  <c:v>4.6899999999999995</c:v>
                </c:pt>
                <c:pt idx="21">
                  <c:v>4.76</c:v>
                </c:pt>
                <c:pt idx="22">
                  <c:v>4.7699999999999996</c:v>
                </c:pt>
              </c:numCache>
            </c:numRef>
          </c:val>
          <c:smooth val="0"/>
          <c:extLst xmlns:c16r2="http://schemas.microsoft.com/office/drawing/2015/06/chart">
            <c:ext xmlns:c16="http://schemas.microsoft.com/office/drawing/2014/chart" uri="{C3380CC4-5D6E-409C-BE32-E72D297353CC}">
              <c16:uniqueId val="{00000001-65E4-4961-9798-6F8AF43EFBF8}"/>
            </c:ext>
          </c:extLst>
        </c:ser>
        <c:ser>
          <c:idx val="2"/>
          <c:order val="2"/>
          <c:tx>
            <c:v>1:3</c:v>
          </c:tx>
          <c:spPr>
            <a:ln w="9525">
              <a:solidFill>
                <a:schemeClr val="tx1"/>
              </a:solidFill>
            </a:ln>
          </c:spPr>
          <c:marker>
            <c:symbol val="triangle"/>
            <c:size val="7"/>
            <c:spPr>
              <a:solidFill>
                <a:schemeClr val="bg1"/>
              </a:solidFill>
              <a:ln w="9525">
                <a:solidFill>
                  <a:schemeClr val="tx1"/>
                </a:solidFill>
              </a:ln>
            </c:spPr>
          </c:marker>
          <c:cat>
            <c:numRef>
              <c:f>Graph!$U$189:$U$211</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Graph!$Y$165:$Y$187</c:f>
              <c:numCache>
                <c:formatCode>General</c:formatCode>
                <c:ptCount val="23"/>
                <c:pt idx="0">
                  <c:v>6.42</c:v>
                </c:pt>
                <c:pt idx="1">
                  <c:v>4.9000000000000004</c:v>
                </c:pt>
                <c:pt idx="2">
                  <c:v>4.84</c:v>
                </c:pt>
                <c:pt idx="3">
                  <c:v>4.91</c:v>
                </c:pt>
                <c:pt idx="4">
                  <c:v>4.9700000000000024</c:v>
                </c:pt>
                <c:pt idx="5">
                  <c:v>6.04</c:v>
                </c:pt>
                <c:pt idx="6">
                  <c:v>5.0199999999999996</c:v>
                </c:pt>
                <c:pt idx="7">
                  <c:v>5.1599999999999975</c:v>
                </c:pt>
                <c:pt idx="8">
                  <c:v>5.21</c:v>
                </c:pt>
                <c:pt idx="9">
                  <c:v>6.22</c:v>
                </c:pt>
                <c:pt idx="10">
                  <c:v>6.5</c:v>
                </c:pt>
                <c:pt idx="12">
                  <c:v>6.87</c:v>
                </c:pt>
                <c:pt idx="13">
                  <c:v>4.8599999999999985</c:v>
                </c:pt>
                <c:pt idx="14">
                  <c:v>4.8099999999999996</c:v>
                </c:pt>
                <c:pt idx="15">
                  <c:v>4.67</c:v>
                </c:pt>
                <c:pt idx="16">
                  <c:v>4.76</c:v>
                </c:pt>
                <c:pt idx="17">
                  <c:v>5.76</c:v>
                </c:pt>
                <c:pt idx="18">
                  <c:v>4.58</c:v>
                </c:pt>
                <c:pt idx="19">
                  <c:v>4.9300000000000024</c:v>
                </c:pt>
                <c:pt idx="20">
                  <c:v>5.05</c:v>
                </c:pt>
                <c:pt idx="21">
                  <c:v>6.41</c:v>
                </c:pt>
                <c:pt idx="22">
                  <c:v>6.3599999999999985</c:v>
                </c:pt>
              </c:numCache>
            </c:numRef>
          </c:val>
          <c:smooth val="0"/>
          <c:extLst xmlns:c16r2="http://schemas.microsoft.com/office/drawing/2015/06/chart">
            <c:ext xmlns:c16="http://schemas.microsoft.com/office/drawing/2014/chart" uri="{C3380CC4-5D6E-409C-BE32-E72D297353CC}">
              <c16:uniqueId val="{00000002-65E4-4961-9798-6F8AF43EFBF8}"/>
            </c:ext>
          </c:extLst>
        </c:ser>
        <c:ser>
          <c:idx val="3"/>
          <c:order val="3"/>
          <c:tx>
            <c:v>Control</c:v>
          </c:tx>
          <c:spPr>
            <a:ln w="9525">
              <a:solidFill>
                <a:prstClr val="black"/>
              </a:solidFill>
            </a:ln>
          </c:spPr>
          <c:marker>
            <c:symbol val="diamond"/>
            <c:size val="7"/>
            <c:spPr>
              <a:solidFill>
                <a:schemeClr val="tx1"/>
              </a:solidFill>
              <a:ln>
                <a:solidFill>
                  <a:prstClr val="black"/>
                </a:solidFill>
              </a:ln>
            </c:spPr>
          </c:marker>
          <c:cat>
            <c:numRef>
              <c:f>Graph!$U$189:$U$211</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Graph!$G$164:$G$186</c:f>
              <c:numCache>
                <c:formatCode>General</c:formatCode>
                <c:ptCount val="23"/>
                <c:pt idx="0">
                  <c:v>5.67</c:v>
                </c:pt>
                <c:pt idx="1">
                  <c:v>4.8599999999999985</c:v>
                </c:pt>
                <c:pt idx="2">
                  <c:v>4.83</c:v>
                </c:pt>
                <c:pt idx="3">
                  <c:v>4.91</c:v>
                </c:pt>
                <c:pt idx="4">
                  <c:v>4.84</c:v>
                </c:pt>
                <c:pt idx="5">
                  <c:v>4.9400000000000004</c:v>
                </c:pt>
                <c:pt idx="6">
                  <c:v>4.9000000000000004</c:v>
                </c:pt>
                <c:pt idx="7">
                  <c:v>4.8599999999999985</c:v>
                </c:pt>
                <c:pt idx="8">
                  <c:v>4.8499999999999996</c:v>
                </c:pt>
                <c:pt idx="9">
                  <c:v>4.8599999999999985</c:v>
                </c:pt>
                <c:pt idx="10">
                  <c:v>4.8199999999999985</c:v>
                </c:pt>
                <c:pt idx="12">
                  <c:v>5.67</c:v>
                </c:pt>
                <c:pt idx="13">
                  <c:v>4.8599999999999985</c:v>
                </c:pt>
                <c:pt idx="14">
                  <c:v>4.83</c:v>
                </c:pt>
                <c:pt idx="15">
                  <c:v>4.91</c:v>
                </c:pt>
                <c:pt idx="16">
                  <c:v>4.84</c:v>
                </c:pt>
                <c:pt idx="17">
                  <c:v>4.9400000000000004</c:v>
                </c:pt>
                <c:pt idx="18">
                  <c:v>4.9000000000000004</c:v>
                </c:pt>
                <c:pt idx="19">
                  <c:v>4.8599999999999985</c:v>
                </c:pt>
                <c:pt idx="20">
                  <c:v>4.8499999999999996</c:v>
                </c:pt>
                <c:pt idx="21">
                  <c:v>4.8599999999999985</c:v>
                </c:pt>
                <c:pt idx="22">
                  <c:v>4.8199999999999985</c:v>
                </c:pt>
              </c:numCache>
            </c:numRef>
          </c:val>
          <c:smooth val="0"/>
          <c:extLst xmlns:c16r2="http://schemas.microsoft.com/office/drawing/2015/06/chart">
            <c:ext xmlns:c16="http://schemas.microsoft.com/office/drawing/2014/chart" uri="{C3380CC4-5D6E-409C-BE32-E72D297353CC}">
              <c16:uniqueId val="{00000003-65E4-4961-9798-6F8AF43EFBF8}"/>
            </c:ext>
          </c:extLst>
        </c:ser>
        <c:dLbls>
          <c:showLegendKey val="0"/>
          <c:showVal val="0"/>
          <c:showCatName val="0"/>
          <c:showSerName val="0"/>
          <c:showPercent val="0"/>
          <c:showBubbleSize val="0"/>
        </c:dLbls>
        <c:marker val="1"/>
        <c:smooth val="0"/>
        <c:axId val="82233984"/>
        <c:axId val="119268480"/>
      </c:lineChart>
      <c:catAx>
        <c:axId val="82233984"/>
        <c:scaling>
          <c:orientation val="minMax"/>
        </c:scaling>
        <c:delete val="0"/>
        <c:axPos val="b"/>
        <c:title>
          <c:tx>
            <c:rich>
              <a:bodyPr/>
              <a:lstStyle/>
              <a:p>
                <a:pPr>
                  <a:defRPr sz="900"/>
                </a:pPr>
                <a:r>
                  <a:rPr lang="en-MY" sz="900" b="0" i="0" baseline="0">
                    <a:latin typeface="Times New Roman" pitchFamily="18" charset="0"/>
                    <a:cs typeface="Times New Roman" pitchFamily="18" charset="0"/>
                  </a:rPr>
                  <a:t>Time (Days)</a:t>
                </a:r>
                <a:endParaRPr lang="en-MY" sz="900" b="0" i="0">
                  <a:latin typeface="Times New Roman" pitchFamily="18" charset="0"/>
                  <a:cs typeface="Times New Roman" pitchFamily="18" charset="0"/>
                </a:endParaRPr>
              </a:p>
            </c:rich>
          </c:tx>
          <c:layout>
            <c:manualLayout>
              <c:xMode val="edge"/>
              <c:yMode val="edge"/>
              <c:x val="0.41104041744861997"/>
              <c:y val="0.90328943757972058"/>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19268480"/>
        <c:crosses val="autoZero"/>
        <c:auto val="1"/>
        <c:lblAlgn val="ctr"/>
        <c:lblOffset val="100"/>
        <c:noMultiLvlLbl val="0"/>
      </c:catAx>
      <c:valAx>
        <c:axId val="119268480"/>
        <c:scaling>
          <c:orientation val="minMax"/>
          <c:max val="8"/>
          <c:min val="4"/>
        </c:scaling>
        <c:delete val="0"/>
        <c:axPos val="l"/>
        <c:title>
          <c:tx>
            <c:rich>
              <a:bodyPr rot="-5400000" vert="horz"/>
              <a:lstStyle/>
              <a:p>
                <a:pPr algn="l">
                  <a:defRPr sz="900"/>
                </a:pPr>
                <a:r>
                  <a:rPr lang="en-MY" sz="900" b="0" baseline="0">
                    <a:latin typeface="Times New Roman" pitchFamily="18" charset="0"/>
                    <a:cs typeface="Times New Roman" pitchFamily="18" charset="0"/>
                  </a:rPr>
                  <a:t>pH</a:t>
                </a:r>
                <a:endParaRPr lang="en-MY" sz="900" b="0">
                  <a:latin typeface="Times New Roman" pitchFamily="18" charset="0"/>
                  <a:cs typeface="Times New Roman" pitchFamily="18" charset="0"/>
                </a:endParaRPr>
              </a:p>
            </c:rich>
          </c:tx>
          <c:layout>
            <c:manualLayout>
              <c:xMode val="edge"/>
              <c:yMode val="edge"/>
              <c:x val="1.7635282111903475E-2"/>
              <c:y val="0.37385659939985838"/>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82233984"/>
        <c:crosses val="autoZero"/>
        <c:crossBetween val="between"/>
        <c:majorUnit val="0.5"/>
        <c:minorUnit val="0.5"/>
      </c:valAx>
      <c:spPr>
        <a:noFill/>
      </c:spPr>
    </c:plotArea>
    <c:legend>
      <c:legendPos val="r"/>
      <c:layout>
        <c:manualLayout>
          <c:xMode val="edge"/>
          <c:yMode val="edge"/>
          <c:x val="0.85273308697018046"/>
          <c:y val="0.19598155192964967"/>
          <c:w val="0.13456769418857323"/>
          <c:h val="0.43793530057587482"/>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09662580837984E-2"/>
          <c:y val="6.5764961198032434E-2"/>
          <c:w val="0.75749481588792977"/>
          <c:h val="0.66374857410279853"/>
        </c:manualLayout>
      </c:layout>
      <c:lineChart>
        <c:grouping val="standard"/>
        <c:varyColors val="0"/>
        <c:ser>
          <c:idx val="0"/>
          <c:order val="0"/>
          <c:tx>
            <c:v>1:1</c:v>
          </c:tx>
          <c:spPr>
            <a:ln w="9525">
              <a:solidFill>
                <a:schemeClr val="tx1"/>
              </a:solidFill>
            </a:ln>
          </c:spPr>
          <c:marker>
            <c:symbol val="circle"/>
            <c:size val="6"/>
            <c:spPr>
              <a:solidFill>
                <a:schemeClr val="bg1"/>
              </a:solidFill>
              <a:ln>
                <a:solidFill>
                  <a:schemeClr val="tx1"/>
                </a:solidFill>
              </a:ln>
            </c:spPr>
          </c:marker>
          <c:cat>
            <c:numRef>
              <c:f>Graph!$T$213:$T$235</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Graph!$U$213:$U$235</c:f>
              <c:numCache>
                <c:formatCode>General</c:formatCode>
                <c:ptCount val="23"/>
                <c:pt idx="0">
                  <c:v>26.7</c:v>
                </c:pt>
                <c:pt idx="1">
                  <c:v>27.2</c:v>
                </c:pt>
                <c:pt idx="2">
                  <c:v>25.6</c:v>
                </c:pt>
                <c:pt idx="3">
                  <c:v>26</c:v>
                </c:pt>
                <c:pt idx="4">
                  <c:v>26.4</c:v>
                </c:pt>
                <c:pt idx="5">
                  <c:v>25.9</c:v>
                </c:pt>
                <c:pt idx="6">
                  <c:v>27.4</c:v>
                </c:pt>
                <c:pt idx="7">
                  <c:v>27.8</c:v>
                </c:pt>
                <c:pt idx="8">
                  <c:v>27</c:v>
                </c:pt>
                <c:pt idx="9">
                  <c:v>26.7</c:v>
                </c:pt>
                <c:pt idx="10">
                  <c:v>26.8</c:v>
                </c:pt>
                <c:pt idx="12">
                  <c:v>26.7</c:v>
                </c:pt>
                <c:pt idx="13">
                  <c:v>28.2</c:v>
                </c:pt>
                <c:pt idx="14">
                  <c:v>26.4</c:v>
                </c:pt>
                <c:pt idx="15">
                  <c:v>26.1</c:v>
                </c:pt>
                <c:pt idx="16">
                  <c:v>26.8</c:v>
                </c:pt>
                <c:pt idx="17">
                  <c:v>26.4</c:v>
                </c:pt>
                <c:pt idx="18">
                  <c:v>28</c:v>
                </c:pt>
                <c:pt idx="19">
                  <c:v>28.4</c:v>
                </c:pt>
                <c:pt idx="20">
                  <c:v>27.3</c:v>
                </c:pt>
                <c:pt idx="21">
                  <c:v>27.2</c:v>
                </c:pt>
                <c:pt idx="22">
                  <c:v>26.2</c:v>
                </c:pt>
              </c:numCache>
            </c:numRef>
          </c:val>
          <c:smooth val="0"/>
          <c:extLst xmlns:c16r2="http://schemas.microsoft.com/office/drawing/2015/06/chart">
            <c:ext xmlns:c16="http://schemas.microsoft.com/office/drawing/2014/chart" uri="{C3380CC4-5D6E-409C-BE32-E72D297353CC}">
              <c16:uniqueId val="{00000000-162B-4F58-8877-31B5B8D48541}"/>
            </c:ext>
          </c:extLst>
        </c:ser>
        <c:ser>
          <c:idx val="1"/>
          <c:order val="1"/>
          <c:tx>
            <c:v>1:2</c:v>
          </c:tx>
          <c:spPr>
            <a:ln w="9525">
              <a:solidFill>
                <a:schemeClr val="tx1"/>
              </a:solidFill>
            </a:ln>
          </c:spPr>
          <c:marker>
            <c:symbol val="square"/>
            <c:size val="6"/>
            <c:spPr>
              <a:solidFill>
                <a:schemeClr val="bg1"/>
              </a:solidFill>
              <a:ln>
                <a:solidFill>
                  <a:schemeClr val="tx1"/>
                </a:solidFill>
              </a:ln>
            </c:spPr>
          </c:marker>
          <c:cat>
            <c:numRef>
              <c:f>Graph!$T$213:$T$235</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Graph!$V$213:$V$235</c:f>
              <c:numCache>
                <c:formatCode>General</c:formatCode>
                <c:ptCount val="23"/>
                <c:pt idx="0">
                  <c:v>26.8</c:v>
                </c:pt>
                <c:pt idx="1">
                  <c:v>28.7</c:v>
                </c:pt>
                <c:pt idx="2">
                  <c:v>26.2</c:v>
                </c:pt>
                <c:pt idx="3">
                  <c:v>26.1</c:v>
                </c:pt>
                <c:pt idx="4">
                  <c:v>26.6</c:v>
                </c:pt>
                <c:pt idx="5">
                  <c:v>26.1</c:v>
                </c:pt>
                <c:pt idx="6">
                  <c:v>27.7</c:v>
                </c:pt>
                <c:pt idx="7">
                  <c:v>26.5</c:v>
                </c:pt>
                <c:pt idx="8">
                  <c:v>26.8</c:v>
                </c:pt>
                <c:pt idx="9">
                  <c:v>27.3</c:v>
                </c:pt>
                <c:pt idx="10">
                  <c:v>25.7</c:v>
                </c:pt>
                <c:pt idx="12">
                  <c:v>26.7</c:v>
                </c:pt>
                <c:pt idx="13">
                  <c:v>28.6</c:v>
                </c:pt>
                <c:pt idx="14">
                  <c:v>26.4</c:v>
                </c:pt>
                <c:pt idx="15">
                  <c:v>26.2</c:v>
                </c:pt>
                <c:pt idx="16">
                  <c:v>26.8</c:v>
                </c:pt>
                <c:pt idx="17">
                  <c:v>26.4</c:v>
                </c:pt>
                <c:pt idx="18">
                  <c:v>27.9</c:v>
                </c:pt>
                <c:pt idx="19">
                  <c:v>28.8</c:v>
                </c:pt>
                <c:pt idx="20">
                  <c:v>27.3</c:v>
                </c:pt>
                <c:pt idx="21">
                  <c:v>26.6</c:v>
                </c:pt>
                <c:pt idx="22">
                  <c:v>26.3</c:v>
                </c:pt>
              </c:numCache>
            </c:numRef>
          </c:val>
          <c:smooth val="0"/>
          <c:extLst xmlns:c16r2="http://schemas.microsoft.com/office/drawing/2015/06/chart">
            <c:ext xmlns:c16="http://schemas.microsoft.com/office/drawing/2014/chart" uri="{C3380CC4-5D6E-409C-BE32-E72D297353CC}">
              <c16:uniqueId val="{00000001-162B-4F58-8877-31B5B8D48541}"/>
            </c:ext>
          </c:extLst>
        </c:ser>
        <c:ser>
          <c:idx val="2"/>
          <c:order val="2"/>
          <c:tx>
            <c:v>1:3</c:v>
          </c:tx>
          <c:spPr>
            <a:ln w="9525">
              <a:solidFill>
                <a:schemeClr val="tx1"/>
              </a:solidFill>
            </a:ln>
          </c:spPr>
          <c:marker>
            <c:symbol val="triangle"/>
            <c:size val="7"/>
            <c:spPr>
              <a:solidFill>
                <a:schemeClr val="bg1"/>
              </a:solidFill>
              <a:ln w="9525">
                <a:solidFill>
                  <a:schemeClr val="tx1"/>
                </a:solidFill>
              </a:ln>
            </c:spPr>
          </c:marker>
          <c:cat>
            <c:numRef>
              <c:f>Graph!$T$213:$T$235</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Graph!$W$213:$W$235</c:f>
              <c:numCache>
                <c:formatCode>General</c:formatCode>
                <c:ptCount val="23"/>
                <c:pt idx="0">
                  <c:v>26.8</c:v>
                </c:pt>
                <c:pt idx="1">
                  <c:v>28.4</c:v>
                </c:pt>
                <c:pt idx="2">
                  <c:v>26.3</c:v>
                </c:pt>
                <c:pt idx="3">
                  <c:v>26.1</c:v>
                </c:pt>
                <c:pt idx="4">
                  <c:v>26.8</c:v>
                </c:pt>
                <c:pt idx="5">
                  <c:v>26.3</c:v>
                </c:pt>
                <c:pt idx="6">
                  <c:v>27</c:v>
                </c:pt>
                <c:pt idx="7">
                  <c:v>28.6</c:v>
                </c:pt>
                <c:pt idx="8">
                  <c:v>27.2</c:v>
                </c:pt>
                <c:pt idx="9">
                  <c:v>27.1</c:v>
                </c:pt>
                <c:pt idx="10">
                  <c:v>26.1</c:v>
                </c:pt>
                <c:pt idx="12">
                  <c:v>26.7</c:v>
                </c:pt>
                <c:pt idx="13">
                  <c:v>28</c:v>
                </c:pt>
                <c:pt idx="14">
                  <c:v>26.3</c:v>
                </c:pt>
                <c:pt idx="15">
                  <c:v>26.4</c:v>
                </c:pt>
                <c:pt idx="16">
                  <c:v>26.8</c:v>
                </c:pt>
                <c:pt idx="17">
                  <c:v>26.4</c:v>
                </c:pt>
                <c:pt idx="18">
                  <c:v>27.9</c:v>
                </c:pt>
                <c:pt idx="19">
                  <c:v>28.8</c:v>
                </c:pt>
                <c:pt idx="20">
                  <c:v>27.2</c:v>
                </c:pt>
                <c:pt idx="21">
                  <c:v>26.7</c:v>
                </c:pt>
                <c:pt idx="22">
                  <c:v>26.3</c:v>
                </c:pt>
              </c:numCache>
            </c:numRef>
          </c:val>
          <c:smooth val="0"/>
          <c:extLst xmlns:c16r2="http://schemas.microsoft.com/office/drawing/2015/06/chart">
            <c:ext xmlns:c16="http://schemas.microsoft.com/office/drawing/2014/chart" uri="{C3380CC4-5D6E-409C-BE32-E72D297353CC}">
              <c16:uniqueId val="{00000002-162B-4F58-8877-31B5B8D48541}"/>
            </c:ext>
          </c:extLst>
        </c:ser>
        <c:ser>
          <c:idx val="3"/>
          <c:order val="3"/>
          <c:tx>
            <c:v>Control</c:v>
          </c:tx>
          <c:spPr>
            <a:ln w="9525">
              <a:solidFill>
                <a:prstClr val="black"/>
              </a:solidFill>
            </a:ln>
          </c:spPr>
          <c:marker>
            <c:symbol val="diamond"/>
            <c:size val="7"/>
            <c:spPr>
              <a:solidFill>
                <a:sysClr val="windowText" lastClr="000000"/>
              </a:solidFill>
              <a:ln>
                <a:solidFill>
                  <a:prstClr val="black"/>
                </a:solidFill>
              </a:ln>
            </c:spPr>
          </c:marker>
          <c:cat>
            <c:numRef>
              <c:f>Graph!$T$213:$T$235</c:f>
              <c:numCache>
                <c:formatCode>General</c:formatCode>
                <c:ptCount val="23"/>
                <c:pt idx="0">
                  <c:v>0</c:v>
                </c:pt>
                <c:pt idx="1">
                  <c:v>3</c:v>
                </c:pt>
                <c:pt idx="2">
                  <c:v>7</c:v>
                </c:pt>
                <c:pt idx="3">
                  <c:v>10</c:v>
                </c:pt>
                <c:pt idx="4">
                  <c:v>13</c:v>
                </c:pt>
                <c:pt idx="5">
                  <c:v>17</c:v>
                </c:pt>
                <c:pt idx="6">
                  <c:v>20</c:v>
                </c:pt>
                <c:pt idx="7">
                  <c:v>24</c:v>
                </c:pt>
                <c:pt idx="8">
                  <c:v>27</c:v>
                </c:pt>
                <c:pt idx="9">
                  <c:v>31</c:v>
                </c:pt>
                <c:pt idx="10">
                  <c:v>35</c:v>
                </c:pt>
                <c:pt idx="12">
                  <c:v>0</c:v>
                </c:pt>
                <c:pt idx="13">
                  <c:v>3</c:v>
                </c:pt>
                <c:pt idx="14">
                  <c:v>7</c:v>
                </c:pt>
                <c:pt idx="15">
                  <c:v>10</c:v>
                </c:pt>
                <c:pt idx="16">
                  <c:v>13</c:v>
                </c:pt>
                <c:pt idx="17">
                  <c:v>17</c:v>
                </c:pt>
                <c:pt idx="18">
                  <c:v>20</c:v>
                </c:pt>
                <c:pt idx="19">
                  <c:v>24</c:v>
                </c:pt>
                <c:pt idx="20">
                  <c:v>27</c:v>
                </c:pt>
                <c:pt idx="21">
                  <c:v>31</c:v>
                </c:pt>
                <c:pt idx="22">
                  <c:v>35</c:v>
                </c:pt>
              </c:numCache>
            </c:numRef>
          </c:cat>
          <c:val>
            <c:numRef>
              <c:f>Graph!$X$213:$X$235</c:f>
              <c:numCache>
                <c:formatCode>General</c:formatCode>
                <c:ptCount val="23"/>
                <c:pt idx="0">
                  <c:v>27.1</c:v>
                </c:pt>
                <c:pt idx="1">
                  <c:v>27.3</c:v>
                </c:pt>
                <c:pt idx="2">
                  <c:v>28.2</c:v>
                </c:pt>
                <c:pt idx="3">
                  <c:v>28</c:v>
                </c:pt>
                <c:pt idx="4">
                  <c:v>27.3</c:v>
                </c:pt>
                <c:pt idx="5">
                  <c:v>27.6</c:v>
                </c:pt>
                <c:pt idx="6">
                  <c:v>27</c:v>
                </c:pt>
                <c:pt idx="7">
                  <c:v>27.5</c:v>
                </c:pt>
                <c:pt idx="8">
                  <c:v>26.9</c:v>
                </c:pt>
                <c:pt idx="9">
                  <c:v>28</c:v>
                </c:pt>
                <c:pt idx="10">
                  <c:v>27.4</c:v>
                </c:pt>
                <c:pt idx="12">
                  <c:v>27.1</c:v>
                </c:pt>
                <c:pt idx="13">
                  <c:v>27.3</c:v>
                </c:pt>
                <c:pt idx="14">
                  <c:v>28.2</c:v>
                </c:pt>
                <c:pt idx="15">
                  <c:v>28</c:v>
                </c:pt>
                <c:pt idx="16">
                  <c:v>27.3</c:v>
                </c:pt>
                <c:pt idx="17">
                  <c:v>27.6</c:v>
                </c:pt>
                <c:pt idx="18">
                  <c:v>27</c:v>
                </c:pt>
                <c:pt idx="19">
                  <c:v>27.5</c:v>
                </c:pt>
                <c:pt idx="20">
                  <c:v>26.9</c:v>
                </c:pt>
                <c:pt idx="21">
                  <c:v>28</c:v>
                </c:pt>
                <c:pt idx="22">
                  <c:v>27.4</c:v>
                </c:pt>
              </c:numCache>
            </c:numRef>
          </c:val>
          <c:smooth val="0"/>
          <c:extLst xmlns:c16r2="http://schemas.microsoft.com/office/drawing/2015/06/chart">
            <c:ext xmlns:c16="http://schemas.microsoft.com/office/drawing/2014/chart" uri="{C3380CC4-5D6E-409C-BE32-E72D297353CC}">
              <c16:uniqueId val="{00000003-162B-4F58-8877-31B5B8D48541}"/>
            </c:ext>
          </c:extLst>
        </c:ser>
        <c:dLbls>
          <c:showLegendKey val="0"/>
          <c:showVal val="0"/>
          <c:showCatName val="0"/>
          <c:showSerName val="0"/>
          <c:showPercent val="0"/>
          <c:showBubbleSize val="0"/>
        </c:dLbls>
        <c:marker val="1"/>
        <c:smooth val="0"/>
        <c:axId val="122206080"/>
        <c:axId val="122233216"/>
      </c:lineChart>
      <c:catAx>
        <c:axId val="122206080"/>
        <c:scaling>
          <c:orientation val="minMax"/>
        </c:scaling>
        <c:delete val="0"/>
        <c:axPos val="b"/>
        <c:title>
          <c:tx>
            <c:rich>
              <a:bodyPr/>
              <a:lstStyle/>
              <a:p>
                <a:pPr>
                  <a:defRPr/>
                </a:pPr>
                <a:r>
                  <a:rPr lang="en-MY" sz="900" b="0" i="0" baseline="0">
                    <a:latin typeface="Times New Roman" pitchFamily="18" charset="0"/>
                    <a:cs typeface="Times New Roman" pitchFamily="18" charset="0"/>
                  </a:rPr>
                  <a:t>Time (Days)</a:t>
                </a:r>
                <a:endParaRPr lang="en-MY" sz="900" b="0" i="0">
                  <a:latin typeface="Times New Roman" pitchFamily="18" charset="0"/>
                  <a:cs typeface="Times New Roman" pitchFamily="18" charset="0"/>
                </a:endParaRPr>
              </a:p>
            </c:rich>
          </c:tx>
          <c:layout>
            <c:manualLayout>
              <c:xMode val="edge"/>
              <c:yMode val="edge"/>
              <c:x val="0.41361867704280936"/>
              <c:y val="0.90474799829311703"/>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22233216"/>
        <c:crosses val="autoZero"/>
        <c:auto val="1"/>
        <c:lblAlgn val="ctr"/>
        <c:lblOffset val="100"/>
        <c:noMultiLvlLbl val="0"/>
      </c:catAx>
      <c:valAx>
        <c:axId val="122233216"/>
        <c:scaling>
          <c:orientation val="minMax"/>
          <c:max val="30"/>
          <c:min val="25"/>
        </c:scaling>
        <c:delete val="0"/>
        <c:axPos val="l"/>
        <c:title>
          <c:tx>
            <c:rich>
              <a:bodyPr rot="-5400000" vert="horz"/>
              <a:lstStyle/>
              <a:p>
                <a:pPr algn="l">
                  <a:defRPr sz="900"/>
                </a:pPr>
                <a:r>
                  <a:rPr lang="en-MY" sz="900" b="0" baseline="0">
                    <a:latin typeface="Times New Roman" pitchFamily="18" charset="0"/>
                    <a:cs typeface="Times New Roman" pitchFamily="18" charset="0"/>
                  </a:rPr>
                  <a:t>Temperature (°C)</a:t>
                </a:r>
                <a:endParaRPr lang="en-MY" sz="900" b="0">
                  <a:latin typeface="Times New Roman" pitchFamily="18" charset="0"/>
                  <a:cs typeface="Times New Roman" pitchFamily="18" charset="0"/>
                </a:endParaRPr>
              </a:p>
            </c:rich>
          </c:tx>
          <c:layout>
            <c:manualLayout>
              <c:xMode val="edge"/>
              <c:yMode val="edge"/>
              <c:x val="1.0368781723296262E-2"/>
              <c:y val="0.26744112463302727"/>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22206080"/>
        <c:crosses val="autoZero"/>
        <c:crossBetween val="between"/>
        <c:majorUnit val="1"/>
        <c:minorUnit val="1"/>
      </c:valAx>
      <c:spPr>
        <a:noFill/>
      </c:spPr>
    </c:plotArea>
    <c:legend>
      <c:legendPos val="r"/>
      <c:layout>
        <c:manualLayout>
          <c:xMode val="edge"/>
          <c:yMode val="edge"/>
          <c:x val="0.84586872934224056"/>
          <c:y val="0.33847387868012396"/>
          <c:w val="0.13878080415045396"/>
          <c:h val="0.31754095553399181"/>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0.36126</cdr:x>
      <cdr:y>0.09269</cdr:y>
    </cdr:from>
    <cdr:to>
      <cdr:x>0.36256</cdr:x>
      <cdr:y>0.93468</cdr:y>
    </cdr:to>
    <cdr:sp macro="" textlink="">
      <cdr:nvSpPr>
        <cdr:cNvPr id="3" name="Straight Connector 2"/>
        <cdr:cNvSpPr/>
      </cdr:nvSpPr>
      <cdr:spPr>
        <a:xfrm xmlns:a="http://schemas.openxmlformats.org/drawingml/2006/main">
          <a:off x="1798872" y="260477"/>
          <a:ext cx="6473" cy="2366258"/>
        </a:xfrm>
        <a:prstGeom xmlns:a="http://schemas.openxmlformats.org/drawingml/2006/main" prst="line">
          <a:avLst/>
        </a:prstGeom>
        <a:ln xmlns:a="http://schemas.openxmlformats.org/drawingml/2006/main">
          <a:solidFill>
            <a:srgbClr val="FF0000"/>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0.64963</cdr:x>
      <cdr:y>0.07925</cdr:y>
    </cdr:from>
    <cdr:to>
      <cdr:x>0.65083</cdr:x>
      <cdr:y>0.91535</cdr:y>
    </cdr:to>
    <cdr:sp macro="" textlink="">
      <cdr:nvSpPr>
        <cdr:cNvPr id="4" name="Straight Connector 3"/>
        <cdr:cNvSpPr/>
      </cdr:nvSpPr>
      <cdr:spPr>
        <a:xfrm xmlns:a="http://schemas.openxmlformats.org/drawingml/2006/main">
          <a:off x="3234827" y="222706"/>
          <a:ext cx="5975" cy="2349705"/>
        </a:xfrm>
        <a:prstGeom xmlns:a="http://schemas.openxmlformats.org/drawingml/2006/main" prst="line">
          <a:avLst/>
        </a:prstGeom>
        <a:noFill xmlns:a="http://schemas.openxmlformats.org/drawingml/2006/main"/>
        <a:ln xmlns:a="http://schemas.openxmlformats.org/drawingml/2006/main" w="9525" cap="flat" cmpd="sng" algn="ctr">
          <a:solidFill>
            <a:srgbClr val="FF0000"/>
          </a:solidFill>
          <a:prstDash val="lgDash"/>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0.09222</cdr:x>
      <cdr:y>0.88657</cdr:y>
    </cdr:from>
    <cdr:to>
      <cdr:x>0.34594</cdr:x>
      <cdr:y>0.91778</cdr:y>
    </cdr:to>
    <cdr:sp macro="" textlink="">
      <cdr:nvSpPr>
        <cdr:cNvPr id="5" name="Rectangle 4"/>
        <cdr:cNvSpPr/>
      </cdr:nvSpPr>
      <cdr:spPr>
        <a:xfrm xmlns:a="http://schemas.openxmlformats.org/drawingml/2006/main">
          <a:off x="422274" y="2474832"/>
          <a:ext cx="1161780" cy="8712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900" i="1">
            <a:latin typeface="Times New Roman" pitchFamily="18" charset="0"/>
            <a:cs typeface="Times New Roman" pitchFamily="18" charset="0"/>
          </a:endParaRPr>
        </a:p>
        <a:p xmlns:a="http://schemas.openxmlformats.org/drawingml/2006/main">
          <a:pPr algn="ctr"/>
          <a:endParaRPr lang="en-US" sz="900" i="1">
            <a:latin typeface="Times New Roman" pitchFamily="18" charset="0"/>
            <a:cs typeface="Times New Roman" pitchFamily="18" charset="0"/>
          </a:endParaRPr>
        </a:p>
        <a:p xmlns:a="http://schemas.openxmlformats.org/drawingml/2006/main">
          <a:pPr algn="ctr"/>
          <a:r>
            <a:rPr lang="en-US" sz="900" i="1">
              <a:latin typeface="Times New Roman" pitchFamily="18" charset="0"/>
              <a:cs typeface="Times New Roman" pitchFamily="18" charset="0"/>
            </a:rPr>
            <a:t>C.</a:t>
          </a:r>
          <a:r>
            <a:rPr lang="en-US" sz="900" i="1" baseline="0">
              <a:latin typeface="Times New Roman" pitchFamily="18" charset="0"/>
              <a:cs typeface="Times New Roman" pitchFamily="18" charset="0"/>
            </a:rPr>
            <a:t> f</a:t>
          </a:r>
          <a:r>
            <a:rPr lang="en-US" sz="900" i="1">
              <a:latin typeface="Times New Roman" pitchFamily="18" charset="0"/>
              <a:cs typeface="Times New Roman" pitchFamily="18" charset="0"/>
            </a:rPr>
            <a:t>urcata</a:t>
          </a:r>
          <a:r>
            <a:rPr lang="en-US" sz="900" baseline="0">
              <a:latin typeface="Times New Roman" pitchFamily="18" charset="0"/>
              <a:cs typeface="Times New Roman" pitchFamily="18" charset="0"/>
            </a:rPr>
            <a:t> + water 1:1</a:t>
          </a:r>
        </a:p>
        <a:p xmlns:a="http://schemas.openxmlformats.org/drawingml/2006/main">
          <a:pPr algn="ct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dr:txBody>
    </cdr:sp>
  </cdr:relSizeAnchor>
  <cdr:relSizeAnchor xmlns:cdr="http://schemas.openxmlformats.org/drawingml/2006/chartDrawing">
    <cdr:from>
      <cdr:x>0.37433</cdr:x>
      <cdr:y>0.8892</cdr:y>
    </cdr:from>
    <cdr:to>
      <cdr:x>0.62352</cdr:x>
      <cdr:y>0.92567</cdr:y>
    </cdr:to>
    <cdr:sp macro="" textlink="">
      <cdr:nvSpPr>
        <cdr:cNvPr id="6" name="Rectangle 5"/>
        <cdr:cNvSpPr/>
      </cdr:nvSpPr>
      <cdr:spPr>
        <a:xfrm xmlns:a="http://schemas.openxmlformats.org/drawingml/2006/main">
          <a:off x="1714051" y="2482155"/>
          <a:ext cx="1141038" cy="101804"/>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900" i="1">
            <a:latin typeface="Times New Roman" pitchFamily="18" charset="0"/>
            <a:cs typeface="Times New Roman" pitchFamily="18" charset="0"/>
          </a:endParaRPr>
        </a:p>
        <a:p xmlns:a="http://schemas.openxmlformats.org/drawingml/2006/main">
          <a:pPr algn="ctr"/>
          <a:endParaRPr lang="en-US" sz="900" i="1">
            <a:latin typeface="Times New Roman" pitchFamily="18" charset="0"/>
            <a:cs typeface="Times New Roman" pitchFamily="18" charset="0"/>
          </a:endParaRPr>
        </a:p>
        <a:p xmlns:a="http://schemas.openxmlformats.org/drawingml/2006/main">
          <a:pPr algn="ctr"/>
          <a:r>
            <a:rPr lang="en-US" sz="900" i="1">
              <a:latin typeface="Times New Roman" pitchFamily="18" charset="0"/>
              <a:cs typeface="Times New Roman" pitchFamily="18" charset="0"/>
            </a:rPr>
            <a:t>C. furcata</a:t>
          </a:r>
          <a:r>
            <a:rPr lang="en-US" sz="900" i="1" baseline="0">
              <a:latin typeface="Times New Roman" pitchFamily="18" charset="0"/>
              <a:cs typeface="Times New Roman" pitchFamily="18" charset="0"/>
            </a:rPr>
            <a:t> </a:t>
          </a:r>
          <a:r>
            <a:rPr lang="en-US" sz="900" baseline="0">
              <a:latin typeface="Times New Roman" pitchFamily="18" charset="0"/>
              <a:cs typeface="Times New Roman" pitchFamily="18" charset="0"/>
            </a:rPr>
            <a:t>+ water 1:2</a:t>
          </a:r>
        </a:p>
        <a:p xmlns:a="http://schemas.openxmlformats.org/drawingml/2006/main">
          <a:pPr algn="ct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dr:txBody>
    </cdr:sp>
  </cdr:relSizeAnchor>
  <cdr:relSizeAnchor xmlns:cdr="http://schemas.openxmlformats.org/drawingml/2006/chartDrawing">
    <cdr:from>
      <cdr:x>0.667</cdr:x>
      <cdr:y>0.88917</cdr:y>
    </cdr:from>
    <cdr:to>
      <cdr:x>0.92821</cdr:x>
      <cdr:y>0.92318</cdr:y>
    </cdr:to>
    <cdr:sp macro="" textlink="">
      <cdr:nvSpPr>
        <cdr:cNvPr id="7" name="Rectangle 6"/>
        <cdr:cNvSpPr/>
      </cdr:nvSpPr>
      <cdr:spPr>
        <a:xfrm xmlns:a="http://schemas.openxmlformats.org/drawingml/2006/main">
          <a:off x="3054183" y="2482094"/>
          <a:ext cx="1196077" cy="94937"/>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en-US" sz="900" i="1">
            <a:latin typeface="Times New Roman" pitchFamily="18" charset="0"/>
            <a:cs typeface="Times New Roman" pitchFamily="18" charset="0"/>
          </a:endParaRPr>
        </a:p>
        <a:p xmlns:a="http://schemas.openxmlformats.org/drawingml/2006/main">
          <a:pPr algn="ctr"/>
          <a:endParaRPr lang="en-US" sz="900" i="1">
            <a:latin typeface="Times New Roman" pitchFamily="18" charset="0"/>
            <a:cs typeface="Times New Roman" pitchFamily="18" charset="0"/>
          </a:endParaRPr>
        </a:p>
        <a:p xmlns:a="http://schemas.openxmlformats.org/drawingml/2006/main">
          <a:pPr algn="ctr"/>
          <a:r>
            <a:rPr lang="en-US" sz="900" i="1">
              <a:latin typeface="Times New Roman" pitchFamily="18" charset="0"/>
              <a:cs typeface="Times New Roman" pitchFamily="18" charset="0"/>
            </a:rPr>
            <a:t>C. furcata</a:t>
          </a:r>
          <a:r>
            <a:rPr lang="en-US" sz="900" i="1" baseline="0">
              <a:latin typeface="Times New Roman" pitchFamily="18" charset="0"/>
              <a:cs typeface="Times New Roman" pitchFamily="18" charset="0"/>
            </a:rPr>
            <a:t> </a:t>
          </a:r>
          <a:r>
            <a:rPr lang="en-US" sz="900" baseline="0">
              <a:latin typeface="Times New Roman" pitchFamily="18" charset="0"/>
              <a:cs typeface="Times New Roman" pitchFamily="18" charset="0"/>
            </a:rPr>
            <a:t>+ water 1:3</a:t>
          </a:r>
        </a:p>
        <a:p xmlns:a="http://schemas.openxmlformats.org/drawingml/2006/main">
          <a:pPr algn="ct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0.62447</cdr:x>
      <cdr:y>0.07432</cdr:y>
    </cdr:from>
    <cdr:to>
      <cdr:x>0.62576</cdr:x>
      <cdr:y>0.91557</cdr:y>
    </cdr:to>
    <cdr:sp macro="" textlink="">
      <cdr:nvSpPr>
        <cdr:cNvPr id="2" name="Straight Connector 1"/>
        <cdr:cNvSpPr/>
      </cdr:nvSpPr>
      <cdr:spPr>
        <a:xfrm xmlns:a="http://schemas.openxmlformats.org/drawingml/2006/main">
          <a:off x="3110566" y="211756"/>
          <a:ext cx="6425" cy="2396927"/>
        </a:xfrm>
        <a:prstGeom xmlns:a="http://schemas.openxmlformats.org/drawingml/2006/main" prst="line">
          <a:avLst/>
        </a:prstGeom>
        <a:noFill xmlns:a="http://schemas.openxmlformats.org/drawingml/2006/main"/>
        <a:ln xmlns:a="http://schemas.openxmlformats.org/drawingml/2006/main" w="9525" cap="flat" cmpd="sng" algn="ctr">
          <a:solidFill>
            <a:srgbClr val="FF0000"/>
          </a:solidFill>
          <a:prstDash val="lgDash"/>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0.3542</cdr:x>
      <cdr:y>0.08108</cdr:y>
    </cdr:from>
    <cdr:to>
      <cdr:x>0.35549</cdr:x>
      <cdr:y>0.92233</cdr:y>
    </cdr:to>
    <cdr:sp macro="" textlink="">
      <cdr:nvSpPr>
        <cdr:cNvPr id="3" name="Straight Connector 2"/>
        <cdr:cNvSpPr/>
      </cdr:nvSpPr>
      <cdr:spPr>
        <a:xfrm xmlns:a="http://schemas.openxmlformats.org/drawingml/2006/main">
          <a:off x="2773456" y="336176"/>
          <a:ext cx="10107" cy="3487965"/>
        </a:xfrm>
        <a:prstGeom xmlns:a="http://schemas.openxmlformats.org/drawingml/2006/main" prst="line">
          <a:avLst/>
        </a:prstGeom>
        <a:noFill xmlns:a="http://schemas.openxmlformats.org/drawingml/2006/main"/>
        <a:ln xmlns:a="http://schemas.openxmlformats.org/drawingml/2006/main" w="9525" cap="flat" cmpd="sng" algn="ctr">
          <a:solidFill>
            <a:srgbClr val="FF0000"/>
          </a:solidFill>
          <a:prstDash val="lgDash"/>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cdr:x>
      <cdr:y>0</cdr:y>
    </cdr:from>
    <cdr:to>
      <cdr:x>0.00311</cdr:x>
      <cdr:y>0.00588</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0.1112</cdr:x>
      <cdr:y>0.88766</cdr:y>
    </cdr:from>
    <cdr:to>
      <cdr:x>0.35077</cdr:x>
      <cdr:y>0.92357</cdr:y>
    </cdr:to>
    <cdr:sp macro="" textlink="">
      <cdr:nvSpPr>
        <cdr:cNvPr id="7" name="Rectangle 6"/>
        <cdr:cNvSpPr/>
      </cdr:nvSpPr>
      <cdr:spPr>
        <a:xfrm xmlns:a="http://schemas.openxmlformats.org/drawingml/2006/main">
          <a:off x="561572" y="2630141"/>
          <a:ext cx="1209854" cy="10640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900" i="1">
              <a:latin typeface="Times New Roman" pitchFamily="18" charset="0"/>
              <a:cs typeface="Times New Roman" pitchFamily="18" charset="0"/>
            </a:rPr>
            <a:t>C. furcata</a:t>
          </a:r>
          <a:r>
            <a:rPr lang="en-US" sz="900" i="1" baseline="0">
              <a:latin typeface="Times New Roman" pitchFamily="18" charset="0"/>
              <a:cs typeface="Times New Roman" pitchFamily="18" charset="0"/>
            </a:rPr>
            <a:t> </a:t>
          </a:r>
          <a:r>
            <a:rPr lang="en-US" sz="900" baseline="0">
              <a:latin typeface="Times New Roman" pitchFamily="18" charset="0"/>
              <a:cs typeface="Times New Roman" pitchFamily="18" charset="0"/>
            </a:rPr>
            <a:t>+ inoculums 1:1</a:t>
          </a:r>
        </a:p>
        <a:p xmlns:a="http://schemas.openxmlformats.org/drawingml/2006/main">
          <a:pPr algn="ct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dr:txBody>
    </cdr:sp>
  </cdr:relSizeAnchor>
  <cdr:relSizeAnchor xmlns:cdr="http://schemas.openxmlformats.org/drawingml/2006/chartDrawing">
    <cdr:from>
      <cdr:x>0.38047</cdr:x>
      <cdr:y>0.88839</cdr:y>
    </cdr:from>
    <cdr:to>
      <cdr:x>0.62004</cdr:x>
      <cdr:y>0.9243</cdr:y>
    </cdr:to>
    <cdr:sp macro="" textlink="">
      <cdr:nvSpPr>
        <cdr:cNvPr id="8" name="Rectangle 7"/>
        <cdr:cNvSpPr/>
      </cdr:nvSpPr>
      <cdr:spPr>
        <a:xfrm xmlns:a="http://schemas.openxmlformats.org/drawingml/2006/main">
          <a:off x="1921414" y="2632311"/>
          <a:ext cx="1209854" cy="106402"/>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900" i="1">
              <a:latin typeface="Times New Roman" pitchFamily="18" charset="0"/>
              <a:cs typeface="Times New Roman" pitchFamily="18" charset="0"/>
            </a:rPr>
            <a:t>C. furcata</a:t>
          </a:r>
          <a:r>
            <a:rPr lang="en-US" sz="900" i="1" baseline="0">
              <a:latin typeface="Times New Roman" pitchFamily="18" charset="0"/>
              <a:cs typeface="Times New Roman" pitchFamily="18" charset="0"/>
            </a:rPr>
            <a:t> </a:t>
          </a:r>
          <a:r>
            <a:rPr lang="en-US" sz="900" baseline="0">
              <a:latin typeface="Times New Roman" pitchFamily="18" charset="0"/>
              <a:cs typeface="Times New Roman" pitchFamily="18" charset="0"/>
            </a:rPr>
            <a:t>+ inoculums 1:2</a:t>
          </a:r>
        </a:p>
        <a:p xmlns:a="http://schemas.openxmlformats.org/drawingml/2006/main">
          <a:pPr algn="ct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dr:txBody>
    </cdr:sp>
  </cdr:relSizeAnchor>
  <cdr:relSizeAnchor xmlns:cdr="http://schemas.openxmlformats.org/drawingml/2006/chartDrawing">
    <cdr:from>
      <cdr:x>0.65448</cdr:x>
      <cdr:y>0.88427</cdr:y>
    </cdr:from>
    <cdr:to>
      <cdr:x>0.89406</cdr:x>
      <cdr:y>0.92018</cdr:y>
    </cdr:to>
    <cdr:sp macro="" textlink="">
      <cdr:nvSpPr>
        <cdr:cNvPr id="9" name="Rectangle 8"/>
        <cdr:cNvSpPr/>
      </cdr:nvSpPr>
      <cdr:spPr>
        <a:xfrm xmlns:a="http://schemas.openxmlformats.org/drawingml/2006/main">
          <a:off x="3305193" y="2620112"/>
          <a:ext cx="1209905" cy="10640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900" i="1">
              <a:latin typeface="Times New Roman" pitchFamily="18" charset="0"/>
              <a:cs typeface="Times New Roman" pitchFamily="18" charset="0"/>
            </a:rPr>
            <a:t>C. furcata</a:t>
          </a:r>
          <a:r>
            <a:rPr lang="en-US" sz="900" i="1" baseline="0">
              <a:latin typeface="Times New Roman" pitchFamily="18" charset="0"/>
              <a:cs typeface="Times New Roman" pitchFamily="18" charset="0"/>
            </a:rPr>
            <a:t> </a:t>
          </a:r>
          <a:r>
            <a:rPr lang="en-US" sz="900" i="0" baseline="0">
              <a:latin typeface="Times New Roman" pitchFamily="18" charset="0"/>
              <a:cs typeface="Times New Roman" pitchFamily="18" charset="0"/>
            </a:rPr>
            <a:t>+ inoculums 1:3</a:t>
          </a:r>
        </a:p>
        <a:p xmlns:a="http://schemas.openxmlformats.org/drawingml/2006/main">
          <a:pPr algn="ct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0.46683</cdr:x>
      <cdr:y>0.13512</cdr:y>
    </cdr:from>
    <cdr:to>
      <cdr:x>0.46813</cdr:x>
      <cdr:y>0.89357</cdr:y>
    </cdr:to>
    <cdr:sp macro="" textlink="">
      <cdr:nvSpPr>
        <cdr:cNvPr id="3" name="Straight Connector 2"/>
        <cdr:cNvSpPr/>
      </cdr:nvSpPr>
      <cdr:spPr>
        <a:xfrm xmlns:a="http://schemas.openxmlformats.org/drawingml/2006/main">
          <a:off x="2457923" y="307767"/>
          <a:ext cx="6845" cy="1727556"/>
        </a:xfrm>
        <a:prstGeom xmlns:a="http://schemas.openxmlformats.org/drawingml/2006/main" prst="line">
          <a:avLst/>
        </a:prstGeom>
        <a:ln xmlns:a="http://schemas.openxmlformats.org/drawingml/2006/main">
          <a:solidFill>
            <a:srgbClr val="FF0000"/>
          </a:solidFill>
          <a:prstDash val="dash"/>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0.512</cdr:x>
      <cdr:y>0.84565</cdr:y>
    </cdr:from>
    <cdr:to>
      <cdr:x>0.83969</cdr:x>
      <cdr:y>0.91754</cdr:y>
    </cdr:to>
    <cdr:sp macro="" textlink="">
      <cdr:nvSpPr>
        <cdr:cNvPr id="4" name="Rectangle 3"/>
        <cdr:cNvSpPr/>
      </cdr:nvSpPr>
      <cdr:spPr>
        <a:xfrm xmlns:a="http://schemas.openxmlformats.org/drawingml/2006/main">
          <a:off x="2695751" y="1926176"/>
          <a:ext cx="1725329" cy="163747"/>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MY" sz="900" i="1">
              <a:latin typeface="Times New Roman" pitchFamily="18" charset="0"/>
              <a:cs typeface="Times New Roman" pitchFamily="18" charset="0"/>
            </a:rPr>
            <a:t>c</a:t>
          </a:r>
          <a:r>
            <a:rPr lang="en-MY" sz="900" i="1">
              <a:solidFill>
                <a:sysClr val="windowText" lastClr="000000"/>
              </a:solidFill>
              <a:latin typeface="Times New Roman" pitchFamily="18" charset="0"/>
              <a:cs typeface="Times New Roman" pitchFamily="18" charset="0"/>
            </a:rPr>
            <a:t>C.</a:t>
          </a:r>
          <a:r>
            <a:rPr lang="en-MY" sz="900" i="1" baseline="0">
              <a:solidFill>
                <a:sysClr val="windowText" lastClr="000000"/>
              </a:solidFill>
              <a:latin typeface="Times New Roman" pitchFamily="18" charset="0"/>
              <a:cs typeface="Times New Roman" pitchFamily="18" charset="0"/>
            </a:rPr>
            <a:t> furcata+ </a:t>
          </a:r>
          <a:r>
            <a:rPr lang="en-MY" sz="900" i="0" baseline="0">
              <a:solidFill>
                <a:sysClr val="windowText" lastClr="000000"/>
              </a:solidFill>
              <a:latin typeface="Times New Roman" pitchFamily="18" charset="0"/>
              <a:cs typeface="Times New Roman" pitchFamily="18" charset="0"/>
            </a:rPr>
            <a:t>inoculums</a:t>
          </a:r>
          <a:endParaRPr lang="en-MY" sz="900" i="0">
            <a:latin typeface="Times New Roman" pitchFamily="18" charset="0"/>
            <a:cs typeface="Times New Roman" pitchFamily="18" charset="0"/>
          </a:endParaRPr>
        </a:p>
      </cdr:txBody>
    </cdr:sp>
  </cdr:relSizeAnchor>
  <cdr:relSizeAnchor xmlns:cdr="http://schemas.openxmlformats.org/drawingml/2006/chartDrawing">
    <cdr:from>
      <cdr:x>0.13879</cdr:x>
      <cdr:y>0.83879</cdr:y>
    </cdr:from>
    <cdr:to>
      <cdr:x>0.46648</cdr:x>
      <cdr:y>0.91068</cdr:y>
    </cdr:to>
    <cdr:sp macro="" textlink="">
      <cdr:nvSpPr>
        <cdr:cNvPr id="5" name="Rectangle 4"/>
        <cdr:cNvSpPr/>
      </cdr:nvSpPr>
      <cdr:spPr>
        <a:xfrm xmlns:a="http://schemas.openxmlformats.org/drawingml/2006/main">
          <a:off x="730748" y="1910550"/>
          <a:ext cx="1725330" cy="163747"/>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MY" sz="900" i="1">
              <a:latin typeface="Times New Roman" pitchFamily="18" charset="0"/>
              <a:cs typeface="Times New Roman" pitchFamily="18" charset="0"/>
            </a:rPr>
            <a:t>c</a:t>
          </a:r>
          <a:r>
            <a:rPr lang="en-MY" sz="900" i="1">
              <a:solidFill>
                <a:sysClr val="windowText" lastClr="000000"/>
              </a:solidFill>
              <a:latin typeface="Times New Roman" pitchFamily="18" charset="0"/>
              <a:cs typeface="Times New Roman" pitchFamily="18" charset="0"/>
            </a:rPr>
            <a:t>C.</a:t>
          </a:r>
          <a:r>
            <a:rPr lang="en-MY" sz="900" i="1" baseline="0">
              <a:solidFill>
                <a:sysClr val="windowText" lastClr="000000"/>
              </a:solidFill>
              <a:latin typeface="Times New Roman" pitchFamily="18" charset="0"/>
              <a:cs typeface="Times New Roman" pitchFamily="18" charset="0"/>
            </a:rPr>
            <a:t> </a:t>
          </a:r>
          <a:r>
            <a:rPr lang="en-MY" sz="900" i="1">
              <a:solidFill>
                <a:sysClr val="windowText" lastClr="000000"/>
              </a:solidFill>
              <a:latin typeface="Times New Roman" pitchFamily="18" charset="0"/>
              <a:cs typeface="Times New Roman" pitchFamily="18" charset="0"/>
            </a:rPr>
            <a:t>furcata</a:t>
          </a:r>
          <a:r>
            <a:rPr lang="en-MY" sz="900" i="1" baseline="0">
              <a:solidFill>
                <a:sysClr val="windowText" lastClr="000000"/>
              </a:solidFill>
              <a:latin typeface="Times New Roman" pitchFamily="18" charset="0"/>
              <a:cs typeface="Times New Roman" pitchFamily="18" charset="0"/>
            </a:rPr>
            <a:t> + </a:t>
          </a:r>
          <a:r>
            <a:rPr lang="en-MY" sz="900" i="0" baseline="0">
              <a:solidFill>
                <a:sysClr val="windowText" lastClr="000000"/>
              </a:solidFill>
              <a:latin typeface="Times New Roman" pitchFamily="18" charset="0"/>
              <a:cs typeface="Times New Roman" pitchFamily="18" charset="0"/>
            </a:rPr>
            <a:t>water</a:t>
          </a:r>
          <a:endParaRPr lang="en-MY" sz="900" i="0">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0.46495</cdr:x>
      <cdr:y>0.09597</cdr:y>
    </cdr:from>
    <cdr:to>
      <cdr:x>0.46625</cdr:x>
      <cdr:y>0.85443</cdr:y>
    </cdr:to>
    <cdr:sp macro="" textlink="">
      <cdr:nvSpPr>
        <cdr:cNvPr id="3" name="Straight Connector 2"/>
        <cdr:cNvSpPr/>
      </cdr:nvSpPr>
      <cdr:spPr>
        <a:xfrm xmlns:a="http://schemas.openxmlformats.org/drawingml/2006/main">
          <a:off x="2480698" y="225296"/>
          <a:ext cx="6936" cy="1780520"/>
        </a:xfrm>
        <a:prstGeom xmlns:a="http://schemas.openxmlformats.org/drawingml/2006/main" prst="line">
          <a:avLst/>
        </a:prstGeom>
        <a:ln xmlns:a="http://schemas.openxmlformats.org/drawingml/2006/main">
          <a:solidFill>
            <a:srgbClr val="FF0000"/>
          </a:solidFill>
          <a:prstDash val="dash"/>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0.51297</cdr:x>
      <cdr:y>0.8358</cdr:y>
    </cdr:from>
    <cdr:to>
      <cdr:x>0.84066</cdr:x>
      <cdr:y>0.90769</cdr:y>
    </cdr:to>
    <cdr:sp macro="" textlink="">
      <cdr:nvSpPr>
        <cdr:cNvPr id="4" name="Rectangle 3"/>
        <cdr:cNvSpPr/>
      </cdr:nvSpPr>
      <cdr:spPr>
        <a:xfrm xmlns:a="http://schemas.openxmlformats.org/drawingml/2006/main">
          <a:off x="3799784" y="2857513"/>
          <a:ext cx="2427337" cy="24578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MY" sz="900" i="1">
              <a:solidFill>
                <a:sysClr val="windowText" lastClr="000000"/>
              </a:solidFill>
              <a:latin typeface="Times New Roman" pitchFamily="18" charset="0"/>
              <a:cs typeface="Times New Roman" pitchFamily="18" charset="0"/>
            </a:rPr>
            <a:t>C.</a:t>
          </a:r>
          <a:r>
            <a:rPr lang="en-MY" sz="900" i="1" baseline="0">
              <a:solidFill>
                <a:sysClr val="windowText" lastClr="000000"/>
              </a:solidFill>
              <a:latin typeface="Times New Roman" pitchFamily="18" charset="0"/>
              <a:cs typeface="Times New Roman" pitchFamily="18" charset="0"/>
            </a:rPr>
            <a:t> </a:t>
          </a:r>
          <a:r>
            <a:rPr lang="en-MY" sz="900" i="1">
              <a:solidFill>
                <a:sysClr val="windowText" lastClr="000000"/>
              </a:solidFill>
              <a:latin typeface="Times New Roman" pitchFamily="18" charset="0"/>
              <a:cs typeface="Times New Roman" pitchFamily="18" charset="0"/>
            </a:rPr>
            <a:t>furcata</a:t>
          </a:r>
          <a:r>
            <a:rPr lang="en-MY" sz="900" i="1" baseline="0">
              <a:solidFill>
                <a:sysClr val="windowText" lastClr="000000"/>
              </a:solidFill>
              <a:latin typeface="Times New Roman" pitchFamily="18" charset="0"/>
              <a:cs typeface="Times New Roman" pitchFamily="18" charset="0"/>
            </a:rPr>
            <a:t> + </a:t>
          </a:r>
          <a:r>
            <a:rPr lang="en-MY" sz="900" i="0" baseline="0">
              <a:solidFill>
                <a:sysClr val="windowText" lastClr="000000"/>
              </a:solidFill>
              <a:latin typeface="Times New Roman" pitchFamily="18" charset="0"/>
              <a:cs typeface="Times New Roman" pitchFamily="18" charset="0"/>
            </a:rPr>
            <a:t>inoculums</a:t>
          </a:r>
          <a:endParaRPr lang="en-MY" sz="900" i="0">
            <a:latin typeface="Times New Roman" pitchFamily="18" charset="0"/>
            <a:cs typeface="Times New Roman" pitchFamily="18" charset="0"/>
          </a:endParaRPr>
        </a:p>
      </cdr:txBody>
    </cdr:sp>
  </cdr:relSizeAnchor>
  <cdr:relSizeAnchor xmlns:cdr="http://schemas.openxmlformats.org/drawingml/2006/chartDrawing">
    <cdr:from>
      <cdr:x>0.1438</cdr:x>
      <cdr:y>0.83879</cdr:y>
    </cdr:from>
    <cdr:to>
      <cdr:x>0.47149</cdr:x>
      <cdr:y>0.91068</cdr:y>
    </cdr:to>
    <cdr:sp macro="" textlink="">
      <cdr:nvSpPr>
        <cdr:cNvPr id="5" name="Rectangle 4"/>
        <cdr:cNvSpPr/>
      </cdr:nvSpPr>
      <cdr:spPr>
        <a:xfrm xmlns:a="http://schemas.openxmlformats.org/drawingml/2006/main">
          <a:off x="1065161" y="2867741"/>
          <a:ext cx="2427337" cy="24578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MY" sz="900" i="1">
              <a:latin typeface="Times New Roman" pitchFamily="18" charset="0"/>
              <a:cs typeface="Times New Roman" pitchFamily="18" charset="0"/>
            </a:rPr>
            <a:t>c</a:t>
          </a:r>
          <a:r>
            <a:rPr lang="en-MY" sz="900" i="1">
              <a:solidFill>
                <a:sysClr val="windowText" lastClr="000000"/>
              </a:solidFill>
              <a:latin typeface="Times New Roman" pitchFamily="18" charset="0"/>
              <a:cs typeface="Times New Roman" pitchFamily="18" charset="0"/>
            </a:rPr>
            <a:t>C.</a:t>
          </a:r>
          <a:r>
            <a:rPr lang="en-MY" sz="900" i="1" baseline="0">
              <a:solidFill>
                <a:sysClr val="windowText" lastClr="000000"/>
              </a:solidFill>
              <a:latin typeface="Times New Roman" pitchFamily="18" charset="0"/>
              <a:cs typeface="Times New Roman" pitchFamily="18" charset="0"/>
            </a:rPr>
            <a:t> </a:t>
          </a:r>
          <a:r>
            <a:rPr lang="en-MY" sz="900" i="1">
              <a:solidFill>
                <a:sysClr val="windowText" lastClr="000000"/>
              </a:solidFill>
              <a:latin typeface="Times New Roman" pitchFamily="18" charset="0"/>
              <a:cs typeface="Times New Roman" pitchFamily="18" charset="0"/>
            </a:rPr>
            <a:t>furcata</a:t>
          </a:r>
          <a:r>
            <a:rPr lang="en-MY" sz="900" i="1" baseline="0">
              <a:solidFill>
                <a:sysClr val="windowText" lastClr="000000"/>
              </a:solidFill>
              <a:latin typeface="Times New Roman" pitchFamily="18" charset="0"/>
              <a:cs typeface="Times New Roman" pitchFamily="18" charset="0"/>
            </a:rPr>
            <a:t> + </a:t>
          </a:r>
          <a:r>
            <a:rPr lang="en-MY" sz="900" i="0" baseline="0">
              <a:solidFill>
                <a:sysClr val="windowText" lastClr="000000"/>
              </a:solidFill>
              <a:latin typeface="Times New Roman" pitchFamily="18" charset="0"/>
              <a:cs typeface="Times New Roman" pitchFamily="18" charset="0"/>
            </a:rPr>
            <a:t>water</a:t>
          </a:r>
          <a:endParaRPr lang="en-MY" sz="900" i="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11D50-C373-45D2-808C-E4F5BDE3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3181</Words>
  <Characters>17558</Characters>
  <Application>Microsoft Office Word</Application>
  <DocSecurity>0</DocSecurity>
  <Lines>362</Lines>
  <Paragraphs>90</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20745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19</cp:revision>
  <cp:lastPrinted>2016-12-02T02:35:00Z</cp:lastPrinted>
  <dcterms:created xsi:type="dcterms:W3CDTF">2016-10-31T05:34:00Z</dcterms:created>
  <dcterms:modified xsi:type="dcterms:W3CDTF">2016-12-02T02:35:00Z</dcterms:modified>
</cp:coreProperties>
</file>