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E6127" w:rsidRDefault="007E6127" w:rsidP="007E6127">
      <w:pPr>
        <w:spacing w:after="0" w:line="240" w:lineRule="auto"/>
        <w:jc w:val="center"/>
        <w:outlineLvl w:val="0"/>
        <w:rPr>
          <w:rFonts w:ascii="Times New Roman" w:hAnsi="Times New Roman"/>
          <w:sz w:val="28"/>
        </w:rPr>
      </w:pPr>
      <w:r w:rsidRPr="00364E51">
        <w:rPr>
          <w:rFonts w:ascii="Times New Roman" w:hAnsi="Times New Roman"/>
          <w:sz w:val="28"/>
        </w:rPr>
        <w:t xml:space="preserve">EFFECT OF </w:t>
      </w:r>
      <w:r>
        <w:rPr>
          <w:rFonts w:ascii="Times New Roman" w:hAnsi="Times New Roman"/>
          <w:sz w:val="28"/>
        </w:rPr>
        <w:t>p</w:t>
      </w:r>
      <w:r w:rsidRPr="00364E51">
        <w:rPr>
          <w:rFonts w:ascii="Times New Roman" w:hAnsi="Times New Roman"/>
          <w:sz w:val="28"/>
        </w:rPr>
        <w:t xml:space="preserve">H ON FLUX </w:t>
      </w:r>
      <w:r>
        <w:rPr>
          <w:rFonts w:ascii="Times New Roman" w:hAnsi="Times New Roman"/>
          <w:sz w:val="28"/>
        </w:rPr>
        <w:t xml:space="preserve">DECLINE DURING FRACTIONATION OF </w:t>
      </w:r>
      <w:r w:rsidRPr="00364E51">
        <w:rPr>
          <w:rFonts w:ascii="Times New Roman" w:hAnsi="Times New Roman"/>
          <w:sz w:val="28"/>
        </w:rPr>
        <w:t xml:space="preserve">GLUCOSE FROM </w:t>
      </w:r>
      <w:r>
        <w:rPr>
          <w:rFonts w:ascii="Times New Roman" w:hAnsi="Times New Roman"/>
          <w:sz w:val="28"/>
        </w:rPr>
        <w:t xml:space="preserve">CELLULOSE HYDROLYSATE THROUGH A </w:t>
      </w:r>
      <w:r w:rsidRPr="00364E51">
        <w:rPr>
          <w:rFonts w:ascii="Times New Roman" w:hAnsi="Times New Roman"/>
          <w:sz w:val="28"/>
        </w:rPr>
        <w:t xml:space="preserve">POLYSULFONE MEMBRANE </w:t>
      </w:r>
    </w:p>
    <w:p w:rsidR="007E6127" w:rsidRPr="007E6127" w:rsidRDefault="007E6127" w:rsidP="007E6127">
      <w:pPr>
        <w:spacing w:after="0" w:line="240" w:lineRule="auto"/>
        <w:jc w:val="center"/>
        <w:outlineLvl w:val="0"/>
        <w:rPr>
          <w:rFonts w:ascii="Times New Roman" w:hAnsi="Times New Roman"/>
          <w:sz w:val="24"/>
          <w:szCs w:val="24"/>
        </w:rPr>
      </w:pPr>
    </w:p>
    <w:p w:rsidR="007E6127" w:rsidRDefault="007E6127" w:rsidP="007E6127">
      <w:pPr>
        <w:spacing w:after="0" w:line="240" w:lineRule="auto"/>
        <w:jc w:val="center"/>
        <w:outlineLvl w:val="0"/>
        <w:rPr>
          <w:rFonts w:ascii="Times New Roman" w:hAnsi="Times New Roman"/>
          <w:sz w:val="24"/>
        </w:rPr>
      </w:pPr>
      <w:r>
        <w:rPr>
          <w:rFonts w:ascii="Times New Roman" w:hAnsi="Times New Roman"/>
          <w:sz w:val="24"/>
        </w:rPr>
        <w:t>(Kesan pH p</w:t>
      </w:r>
      <w:r w:rsidRPr="00364E51">
        <w:rPr>
          <w:rFonts w:ascii="Times New Roman" w:hAnsi="Times New Roman"/>
          <w:sz w:val="24"/>
        </w:rPr>
        <w:t>ada Penurunan Fl</w:t>
      </w:r>
      <w:r>
        <w:rPr>
          <w:rFonts w:ascii="Times New Roman" w:hAnsi="Times New Roman"/>
          <w:sz w:val="24"/>
        </w:rPr>
        <w:t>uks bagi Pemeringkatan Glukosa d</w:t>
      </w:r>
      <w:r w:rsidRPr="00364E51">
        <w:rPr>
          <w:rFonts w:ascii="Times New Roman" w:hAnsi="Times New Roman"/>
          <w:sz w:val="24"/>
        </w:rPr>
        <w:t>aripada Hidr</w:t>
      </w:r>
      <w:r>
        <w:rPr>
          <w:rFonts w:ascii="Times New Roman" w:hAnsi="Times New Roman"/>
          <w:sz w:val="24"/>
        </w:rPr>
        <w:t>olisis Selulosa Melalui Membran</w:t>
      </w:r>
      <w:r w:rsidRPr="00364E51">
        <w:rPr>
          <w:rFonts w:ascii="Times New Roman" w:hAnsi="Times New Roman"/>
          <w:sz w:val="24"/>
        </w:rPr>
        <w:t xml:space="preserve"> Polisulfon</w:t>
      </w:r>
      <w:r>
        <w:rPr>
          <w:rFonts w:ascii="Times New Roman" w:hAnsi="Times New Roman"/>
          <w:sz w:val="24"/>
        </w:rPr>
        <w:t>)</w:t>
      </w:r>
    </w:p>
    <w:p w:rsidR="006768E9" w:rsidRPr="00F447A7" w:rsidRDefault="006768E9" w:rsidP="00F447A7">
      <w:pPr>
        <w:spacing w:after="0" w:line="240" w:lineRule="auto"/>
        <w:jc w:val="center"/>
        <w:rPr>
          <w:rFonts w:ascii="Times New Roman" w:hAnsi="Times New Roman"/>
          <w:noProof/>
          <w:sz w:val="20"/>
          <w:szCs w:val="20"/>
          <w:lang w:bidi="ar-SA"/>
        </w:rPr>
      </w:pPr>
    </w:p>
    <w:p w:rsidR="007E6127" w:rsidRPr="007E6127" w:rsidRDefault="007E6127" w:rsidP="007E6127">
      <w:pPr>
        <w:spacing w:after="0" w:line="240" w:lineRule="auto"/>
        <w:jc w:val="center"/>
        <w:outlineLvl w:val="0"/>
        <w:rPr>
          <w:rFonts w:ascii="Times New Roman" w:hAnsi="Times New Roman"/>
          <w:sz w:val="20"/>
          <w:szCs w:val="20"/>
        </w:rPr>
      </w:pPr>
      <w:r w:rsidRPr="007E6127">
        <w:rPr>
          <w:rFonts w:ascii="Times New Roman" w:hAnsi="Times New Roman"/>
          <w:sz w:val="20"/>
          <w:szCs w:val="20"/>
        </w:rPr>
        <w:t>Masniroszaime Md Zain and Abdul Wahab Mohammad*</w:t>
      </w:r>
    </w:p>
    <w:p w:rsidR="006768E9" w:rsidRPr="00F447A7" w:rsidRDefault="006768E9" w:rsidP="00F447A7">
      <w:pPr>
        <w:spacing w:after="0" w:line="240" w:lineRule="auto"/>
        <w:jc w:val="center"/>
        <w:rPr>
          <w:rFonts w:ascii="Times New Roman" w:hAnsi="Times New Roman"/>
          <w:noProof/>
          <w:sz w:val="18"/>
          <w:szCs w:val="18"/>
          <w:lang w:bidi="ar-SA"/>
        </w:rPr>
      </w:pPr>
    </w:p>
    <w:p w:rsidR="007E6127" w:rsidRPr="00A415C1" w:rsidRDefault="007E6127" w:rsidP="007E6127">
      <w:pPr>
        <w:spacing w:after="0" w:line="240" w:lineRule="auto"/>
        <w:jc w:val="center"/>
        <w:outlineLvl w:val="0"/>
        <w:rPr>
          <w:rFonts w:ascii="Times New Roman" w:hAnsi="Times New Roman"/>
          <w:i/>
          <w:sz w:val="18"/>
          <w:szCs w:val="18"/>
        </w:rPr>
      </w:pPr>
      <w:r>
        <w:rPr>
          <w:rFonts w:ascii="Times New Roman" w:hAnsi="Times New Roman"/>
          <w:i/>
          <w:sz w:val="18"/>
          <w:szCs w:val="18"/>
        </w:rPr>
        <w:t>Department of Chemical Engineering and Process</w:t>
      </w:r>
      <w:r w:rsidRPr="00A415C1">
        <w:rPr>
          <w:rFonts w:ascii="Times New Roman" w:hAnsi="Times New Roman"/>
          <w:i/>
          <w:sz w:val="18"/>
          <w:szCs w:val="18"/>
        </w:rPr>
        <w:t>, F</w:t>
      </w:r>
      <w:r>
        <w:rPr>
          <w:rFonts w:ascii="Times New Roman" w:hAnsi="Times New Roman"/>
          <w:i/>
          <w:sz w:val="18"/>
          <w:szCs w:val="18"/>
        </w:rPr>
        <w:t>aculty of Engineering and Built Environment,</w:t>
      </w:r>
    </w:p>
    <w:p w:rsidR="006768E9" w:rsidRPr="00F447A7" w:rsidRDefault="007E6127" w:rsidP="007E6127">
      <w:pPr>
        <w:spacing w:after="0" w:line="240" w:lineRule="auto"/>
        <w:jc w:val="center"/>
        <w:rPr>
          <w:rFonts w:ascii="Times New Roman" w:hAnsi="Times New Roman"/>
          <w:noProof/>
          <w:sz w:val="18"/>
          <w:szCs w:val="18"/>
          <w:lang w:bidi="ar-SA"/>
        </w:rPr>
      </w:pPr>
      <w:r w:rsidRPr="00A415C1">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Selangor, Malaysia</w:t>
      </w:r>
    </w:p>
    <w:p w:rsidR="007E6127" w:rsidRDefault="007E6127" w:rsidP="00F447A7">
      <w:pPr>
        <w:spacing w:after="0" w:line="240" w:lineRule="auto"/>
        <w:jc w:val="center"/>
        <w:rPr>
          <w:rFonts w:ascii="Times New Roman" w:hAnsi="Times New Roman"/>
          <w:i/>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E6127" w:rsidRPr="007E6127">
        <w:rPr>
          <w:rFonts w:ascii="Times New Roman" w:hAnsi="Times New Roman"/>
          <w:i/>
          <w:sz w:val="18"/>
        </w:rPr>
        <w:t>drawm@ukm.edu.my</w:t>
      </w:r>
      <w:r w:rsidR="007E6127" w:rsidRPr="009B6753">
        <w:rPr>
          <w:rFonts w:ascii="Times New Roman" w:hAnsi="Times New Roman"/>
          <w:i/>
          <w:sz w:val="18"/>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671FA">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8671FA">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E6127" w:rsidRPr="009B6753" w:rsidRDefault="007E6127" w:rsidP="007E6127">
      <w:pPr>
        <w:spacing w:after="0" w:line="240" w:lineRule="auto"/>
        <w:jc w:val="both"/>
        <w:outlineLvl w:val="0"/>
        <w:rPr>
          <w:rFonts w:ascii="Times New Roman" w:hAnsi="Times New Roman"/>
          <w:sz w:val="18"/>
          <w:szCs w:val="18"/>
        </w:rPr>
      </w:pPr>
      <w:r w:rsidRPr="009B6753">
        <w:rPr>
          <w:rFonts w:ascii="Times New Roman" w:hAnsi="Times New Roman"/>
          <w:sz w:val="18"/>
          <w:szCs w:val="18"/>
        </w:rPr>
        <w:t>Concentrating glucose after enzymatic hydrolysis of lignocellulosic biomass is an important step in order to prepare the stream to undergo the fermentation process. However, glucose itself can be inhibitor for the enzymatic hydrolysis, hence in situ glucose removal is recommended. Ultrafiltration represents a promising procedure for isolation of enzymes from hydrolysate and for the removal of glucose. One of the obstacles in successfully utilizing ultrafiltration’s membranes has been due to the membrane fouling.  The flux behavior of polysulfone (PSF) membrane was studied in concentrating glucose from cellulose hydrolysate during dead end ultrafiltration. Different pH of solutions was used and Kumar’s model was applied to analyse the fouling mechanism. The minimum fouling was obtained at pH solution above the IEP due to protein-protein and membrane-protein repulsions alleviating aggregation and fouling. Cake formation blocking was identified as the dominant mechanism for flux decline.</w:t>
      </w:r>
    </w:p>
    <w:p w:rsidR="007E6127" w:rsidRPr="009B6753" w:rsidRDefault="007E6127" w:rsidP="007E6127">
      <w:pPr>
        <w:spacing w:after="0" w:line="240" w:lineRule="auto"/>
        <w:jc w:val="both"/>
        <w:outlineLvl w:val="0"/>
        <w:rPr>
          <w:rFonts w:ascii="Times New Roman" w:hAnsi="Times New Roman"/>
          <w:sz w:val="18"/>
          <w:szCs w:val="18"/>
        </w:rPr>
      </w:pPr>
      <w:r w:rsidRPr="009B6753">
        <w:rPr>
          <w:rFonts w:ascii="Times New Roman" w:hAnsi="Times New Roman"/>
          <w:sz w:val="18"/>
          <w:szCs w:val="18"/>
        </w:rPr>
        <w:t xml:space="preserve"> </w:t>
      </w:r>
    </w:p>
    <w:p w:rsidR="007E6127" w:rsidRPr="009B6753" w:rsidRDefault="007E6127" w:rsidP="007E6127">
      <w:pPr>
        <w:spacing w:after="0" w:line="240" w:lineRule="auto"/>
        <w:jc w:val="both"/>
        <w:outlineLvl w:val="0"/>
        <w:rPr>
          <w:rFonts w:ascii="Times New Roman" w:hAnsi="Times New Roman"/>
          <w:color w:val="548DD4" w:themeColor="text2" w:themeTint="99"/>
          <w:sz w:val="18"/>
          <w:szCs w:val="18"/>
        </w:rPr>
      </w:pPr>
      <w:r w:rsidRPr="009B6753">
        <w:rPr>
          <w:rFonts w:ascii="Times New Roman" w:hAnsi="Times New Roman"/>
          <w:b/>
          <w:sz w:val="18"/>
          <w:szCs w:val="18"/>
        </w:rPr>
        <w:t>Keyword</w:t>
      </w:r>
      <w:r>
        <w:rPr>
          <w:rFonts w:ascii="Times New Roman" w:hAnsi="Times New Roman"/>
          <w:b/>
          <w:sz w:val="18"/>
          <w:szCs w:val="18"/>
        </w:rPr>
        <w:t>s</w:t>
      </w:r>
      <w:r w:rsidRPr="009B6753">
        <w:rPr>
          <w:rFonts w:ascii="Times New Roman" w:hAnsi="Times New Roman"/>
          <w:sz w:val="18"/>
          <w:szCs w:val="18"/>
        </w:rPr>
        <w:t xml:space="preserve">: </w:t>
      </w:r>
      <w:r>
        <w:rPr>
          <w:rFonts w:ascii="Times New Roman" w:hAnsi="Times New Roman"/>
          <w:sz w:val="18"/>
          <w:szCs w:val="18"/>
        </w:rPr>
        <w:t xml:space="preserve"> </w:t>
      </w:r>
      <w:r w:rsidRPr="009B6753">
        <w:rPr>
          <w:rFonts w:ascii="Times New Roman" w:hAnsi="Times New Roman"/>
          <w:sz w:val="18"/>
          <w:szCs w:val="18"/>
        </w:rPr>
        <w:t>enzyme hydrolysis, lignocellulosic biomass, ultrafiltration, polysulfone, fouling</w:t>
      </w:r>
    </w:p>
    <w:p w:rsidR="007E6127" w:rsidRPr="00001D81" w:rsidRDefault="007E6127" w:rsidP="007E6127">
      <w:pPr>
        <w:spacing w:after="0" w:line="240" w:lineRule="auto"/>
        <w:jc w:val="center"/>
        <w:outlineLvl w:val="0"/>
        <w:rPr>
          <w:rFonts w:ascii="Times New Roman" w:hAnsi="Times New Roman"/>
          <w:b/>
          <w:color w:val="548DD4" w:themeColor="text2" w:themeTint="99"/>
        </w:rPr>
      </w:pPr>
    </w:p>
    <w:p w:rsidR="007E6127" w:rsidRPr="009B6753" w:rsidRDefault="007E6127" w:rsidP="007E6127">
      <w:pPr>
        <w:spacing w:after="0" w:line="240" w:lineRule="auto"/>
        <w:jc w:val="center"/>
        <w:outlineLvl w:val="0"/>
        <w:rPr>
          <w:rFonts w:ascii="Times New Roman" w:hAnsi="Times New Roman"/>
          <w:b/>
          <w:sz w:val="18"/>
          <w:lang w:val="ms-MY"/>
        </w:rPr>
      </w:pPr>
      <w:r w:rsidRPr="009B6753">
        <w:rPr>
          <w:rFonts w:ascii="Times New Roman" w:hAnsi="Times New Roman"/>
          <w:b/>
          <w:sz w:val="18"/>
          <w:lang w:val="ms-MY"/>
        </w:rPr>
        <w:t>Abstrak</w:t>
      </w:r>
    </w:p>
    <w:p w:rsidR="007E6127" w:rsidRPr="009B6753" w:rsidRDefault="007E6127" w:rsidP="007E6127">
      <w:pPr>
        <w:spacing w:after="0" w:line="240" w:lineRule="auto"/>
        <w:jc w:val="both"/>
        <w:outlineLvl w:val="0"/>
        <w:rPr>
          <w:rFonts w:ascii="Times New Roman" w:hAnsi="Times New Roman"/>
          <w:noProof/>
          <w:sz w:val="18"/>
          <w:lang w:val="ms-MY"/>
        </w:rPr>
      </w:pPr>
      <w:r w:rsidRPr="009B6753">
        <w:rPr>
          <w:rFonts w:ascii="Times New Roman" w:hAnsi="Times New Roman"/>
          <w:noProof/>
          <w:sz w:val="18"/>
          <w:lang w:val="ms-MY"/>
        </w:rPr>
        <w:t>Pemekatan glukosa selepas hidrolisis enzim bagi penghasilan bioetanol daripada biojisim lignoselulosa merupakan langkah yang penting bagi penyediaan untuk proses fermentasi selanjutnya. Penuras ultra menjadi pilihan bagi kaedah yang berpotensi untuk penyekatan enzim dan penyingkiran glukosa daripada larutan hidrolisis. Namun, salah satu rintangan bagi penggunaan maksima bagi penuras ultra adalah kotoran. Kriteria fluk</w:t>
      </w:r>
      <w:r>
        <w:rPr>
          <w:rFonts w:ascii="Times New Roman" w:hAnsi="Times New Roman"/>
          <w:noProof/>
          <w:sz w:val="18"/>
          <w:lang w:val="ms-MY"/>
        </w:rPr>
        <w:t>s bagi membran polisulfon di kaji</w:t>
      </w:r>
      <w:r w:rsidRPr="009B6753">
        <w:rPr>
          <w:rFonts w:ascii="Times New Roman" w:hAnsi="Times New Roman"/>
          <w:noProof/>
          <w:sz w:val="18"/>
          <w:lang w:val="ms-MY"/>
        </w:rPr>
        <w:t xml:space="preserve"> dari pemekatan glukosa oleh larutan hidrolisis selulosa di penuras ultra hujung mati. Larutan yang berlainan pH digunakan untuk mengkaji profil fluks dan model Kumar digunakan untuk menganalisis mekanisma kotoran. Kotoran yang minima diperolehi pada larutan yang mempunyai pH yang lebih tinggi daripada nilai titik isoelektrik larutan hidrolisis. Halangan pembentukan kek telah dikenalpasti sebagai mekanisma yang dominan bagi pengurangan fluks.</w:t>
      </w:r>
    </w:p>
    <w:p w:rsidR="007E6127" w:rsidRPr="009B6753" w:rsidRDefault="007E6127" w:rsidP="007E6127">
      <w:pPr>
        <w:spacing w:after="0" w:line="240" w:lineRule="auto"/>
        <w:jc w:val="both"/>
        <w:outlineLvl w:val="0"/>
        <w:rPr>
          <w:rFonts w:ascii="Times New Roman" w:hAnsi="Times New Roman"/>
          <w:noProof/>
          <w:sz w:val="18"/>
          <w:lang w:val="ms-MY"/>
        </w:rPr>
      </w:pPr>
    </w:p>
    <w:p w:rsidR="007E6127" w:rsidRDefault="007E6127" w:rsidP="007E6127">
      <w:pPr>
        <w:spacing w:after="0" w:line="240" w:lineRule="auto"/>
        <w:jc w:val="both"/>
        <w:outlineLvl w:val="0"/>
        <w:rPr>
          <w:rFonts w:ascii="Times New Roman" w:hAnsi="Times New Roman"/>
          <w:b/>
          <w:noProof/>
          <w:color w:val="548DD4" w:themeColor="text2" w:themeTint="99"/>
          <w:sz w:val="18"/>
          <w:szCs w:val="20"/>
          <w:lang w:val="ms-MY"/>
        </w:rPr>
      </w:pPr>
      <w:r w:rsidRPr="009B6753">
        <w:rPr>
          <w:rFonts w:ascii="Times New Roman" w:hAnsi="Times New Roman"/>
          <w:b/>
          <w:noProof/>
          <w:sz w:val="18"/>
          <w:lang w:val="ms-MY"/>
        </w:rPr>
        <w:t xml:space="preserve">Kata kunci: </w:t>
      </w:r>
      <w:r>
        <w:rPr>
          <w:rFonts w:ascii="Times New Roman" w:hAnsi="Times New Roman"/>
          <w:b/>
          <w:noProof/>
          <w:sz w:val="18"/>
          <w:lang w:val="ms-MY"/>
        </w:rPr>
        <w:t xml:space="preserve"> </w:t>
      </w:r>
      <w:r w:rsidRPr="009B6753">
        <w:rPr>
          <w:rFonts w:ascii="Times New Roman" w:hAnsi="Times New Roman"/>
          <w:noProof/>
          <w:sz w:val="18"/>
          <w:lang w:val="ms-MY"/>
        </w:rPr>
        <w:t>hidrolisis enzim, biojisim lignoselulosa, penuras ultra, polisulfon, kotoran</w:t>
      </w:r>
    </w:p>
    <w:p w:rsidR="006768E9" w:rsidRDefault="006768E9" w:rsidP="007E612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E6127" w:rsidRPr="007E6127" w:rsidRDefault="007E6127" w:rsidP="007E6127">
      <w:pPr>
        <w:spacing w:after="0" w:line="240" w:lineRule="auto"/>
        <w:jc w:val="both"/>
        <w:rPr>
          <w:rFonts w:ascii="Times New Roman" w:hAnsi="Times New Roman"/>
          <w:sz w:val="20"/>
          <w:szCs w:val="20"/>
        </w:rPr>
      </w:pPr>
      <w:r w:rsidRPr="007E6127">
        <w:rPr>
          <w:rFonts w:ascii="Times New Roman" w:hAnsi="Times New Roman"/>
          <w:sz w:val="20"/>
          <w:szCs w:val="20"/>
        </w:rPr>
        <w:t xml:space="preserve">Biorenewable products from lignocellulosic biomass has been the focus of attention around the world due to the depletion of petroleum derived product and its advantages of environmental friendly, cheap and widely available </w:t>
      </w:r>
      <w:r w:rsidRPr="007E6127">
        <w:rPr>
          <w:rFonts w:ascii="Times New Roman" w:hAnsi="Times New Roman"/>
          <w:sz w:val="20"/>
          <w:szCs w:val="20"/>
        </w:rPr>
        <w:fldChar w:fldCharType="begin">
          <w:fldData xml:space="preserve">PEVuZE5vdGU+PENpdGU+PEF1dGhvcj5RaTwvQXV0aG9yPjxZZWFyPjIwMTI8L1llYXI+PFJlY051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</w:fldData>
        </w:fldChar>
      </w:r>
      <w:r w:rsidRPr="007E6127">
        <w:rPr>
          <w:rFonts w:ascii="Times New Roman" w:hAnsi="Times New Roman"/>
          <w:sz w:val="20"/>
          <w:szCs w:val="20"/>
        </w:rPr>
        <w:instrText xml:space="preserve"> ADDIN EN.CITE </w:instrText>
      </w:r>
      <w:r w:rsidRPr="007E6127">
        <w:rPr>
          <w:rFonts w:ascii="Times New Roman" w:hAnsi="Times New Roman"/>
          <w:sz w:val="20"/>
          <w:szCs w:val="20"/>
        </w:rPr>
        <w:fldChar w:fldCharType="begin">
          <w:fldData xml:space="preserve">PEVuZE5vdGU+PENpdGU+PEF1dGhvcj5RaTwvQXV0aG9yPjxZZWFyPjIwMTI8L1llYXI+PFJlY051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</w:fldData>
        </w:fldChar>
      </w:r>
      <w:r w:rsidRPr="007E6127">
        <w:rPr>
          <w:rFonts w:ascii="Times New Roman" w:hAnsi="Times New Roman"/>
          <w:sz w:val="20"/>
          <w:szCs w:val="20"/>
        </w:rPr>
        <w:instrText xml:space="preserve"> ADDIN EN.CITE.DATA </w:instrText>
      </w:r>
      <w:r w:rsidRPr="007E6127">
        <w:rPr>
          <w:rFonts w:ascii="Times New Roman" w:hAnsi="Times New Roman"/>
          <w:sz w:val="20"/>
          <w:szCs w:val="20"/>
        </w:rPr>
      </w:r>
      <w:r w:rsidRPr="007E6127">
        <w:rPr>
          <w:rFonts w:ascii="Times New Roman" w:hAnsi="Times New Roman"/>
          <w:sz w:val="20"/>
          <w:szCs w:val="20"/>
        </w:rPr>
        <w:fldChar w:fldCharType="end"/>
      </w:r>
      <w:r w:rsidRPr="007E6127">
        <w:rPr>
          <w:rFonts w:ascii="Times New Roman" w:hAnsi="Times New Roman"/>
          <w:sz w:val="20"/>
          <w:szCs w:val="20"/>
        </w:rPr>
      </w:r>
      <w:r w:rsidRPr="007E6127">
        <w:rPr>
          <w:rFonts w:ascii="Times New Roman" w:hAnsi="Times New Roman"/>
          <w:sz w:val="20"/>
          <w:szCs w:val="20"/>
        </w:rPr>
        <w:fldChar w:fldCharType="separate"/>
      </w:r>
      <w:r w:rsidRPr="007E6127">
        <w:rPr>
          <w:rFonts w:ascii="Times New Roman" w:hAnsi="Times New Roman"/>
          <w:noProof/>
          <w:sz w:val="20"/>
          <w:szCs w:val="20"/>
        </w:rPr>
        <w:t>[</w:t>
      </w:r>
      <w:hyperlink w:anchor="_ENREF_1" w:tooltip="Qi, 2012 #22" w:history="1">
        <w:r w:rsidRPr="007E6127">
          <w:rPr>
            <w:rFonts w:ascii="Times New Roman" w:hAnsi="Times New Roman"/>
            <w:noProof/>
            <w:sz w:val="20"/>
            <w:szCs w:val="20"/>
          </w:rPr>
          <w:t>1</w:t>
        </w:r>
      </w:hyperlink>
      <w:r w:rsidRPr="007E6127">
        <w:rPr>
          <w:rFonts w:ascii="Times New Roman" w:hAnsi="Times New Roman"/>
          <w:noProof/>
          <w:sz w:val="20"/>
          <w:szCs w:val="20"/>
        </w:rPr>
        <w:t>,</w:t>
      </w:r>
      <w:hyperlink w:anchor="_ENREF_2" w:tooltip="Ishola, 2013 #137" w:history="1">
        <w:r w:rsidRPr="007E6127">
          <w:rPr>
            <w:rFonts w:ascii="Times New Roman" w:hAnsi="Times New Roman"/>
            <w:noProof/>
            <w:sz w:val="20"/>
            <w:szCs w:val="20"/>
          </w:rPr>
          <w:t>2</w:t>
        </w:r>
      </w:hyperlink>
      <w:r w:rsidRPr="007E6127">
        <w:rPr>
          <w:rFonts w:ascii="Times New Roman" w:hAnsi="Times New Roman"/>
          <w:noProof/>
          <w:sz w:val="20"/>
          <w:szCs w:val="20"/>
        </w:rPr>
        <w:t>]</w:t>
      </w:r>
      <w:r w:rsidRPr="007E6127">
        <w:rPr>
          <w:rFonts w:ascii="Times New Roman" w:hAnsi="Times New Roman"/>
          <w:sz w:val="20"/>
          <w:szCs w:val="20"/>
        </w:rPr>
        <w:fldChar w:fldCharType="end"/>
      </w:r>
      <w:r w:rsidRPr="007E6127">
        <w:rPr>
          <w:rFonts w:ascii="Times New Roman" w:hAnsi="Times New Roman"/>
          <w:sz w:val="20"/>
          <w:szCs w:val="20"/>
        </w:rPr>
        <w:t xml:space="preserve">. The main routes to produce fuels from biomass requires three major steps (1) pretreatment to delignify and </w:t>
      </w:r>
      <w:r w:rsidRPr="007E6127">
        <w:rPr>
          <w:rFonts w:ascii="Times New Roman" w:hAnsi="Times New Roman"/>
          <w:sz w:val="20"/>
          <w:szCs w:val="20"/>
        </w:rPr>
        <w:lastRenderedPageBreak/>
        <w:t xml:space="preserve">liberates cellulose and hemicelluloses from the matrix, (2) enzymatic hydrolysis to depolymerize carbohydrate polymers to release free sugars, and  (3) fermentation </w:t>
      </w:r>
      <w:r w:rsidRPr="007E6127">
        <w:rPr>
          <w:rFonts w:ascii="Times New Roman" w:hAnsi="Times New Roman"/>
          <w:sz w:val="20"/>
          <w:szCs w:val="20"/>
        </w:rPr>
        <w:fldChar w:fldCharType="begin"/>
      </w:r>
      <w:r w:rsidRPr="007E6127">
        <w:rPr>
          <w:rFonts w:ascii="Times New Roman" w:hAnsi="Times New Roman"/>
          <w:sz w:val="20"/>
          <w:szCs w:val="20"/>
        </w:rPr>
        <w:instrText xml:space="preserve"> ADDIN EN.CITE &lt;EndNote&gt;&lt;Cite&gt;&lt;Author&gt;Narayanaswamy. N.&lt;/Author&gt;&lt;Year&gt;2013&lt;/Year&gt;&lt;RecNum&gt;138&lt;/RecNum&gt;&lt;DisplayText&gt;(3)&lt;/DisplayText&gt;&lt;record&gt;&lt;rec-number&gt;138&lt;/rec-number&gt;&lt;foreign-keys&gt;&lt;key app="EN" db-id="90t9x505xtrfvwep0edvaa5g5zvxwz5zr0wa"&gt;138&lt;/key&gt;&lt;/foreign-keys&gt;&lt;ref-type name="Journal Article"&gt;17&lt;/ref-type&gt;&lt;contributors&gt;&lt;authors&gt;&lt;author&gt;Narayanaswamy. N., Dheeran, P., Verma, S. &amp;amp; Kumar, S.&lt;/author&gt;&lt;/authors&gt;&lt;/contributors&gt;&lt;titles&gt;&lt;title&gt;Chapter 1: Biological Pretreatment of Lignocellulosic Biomass for Enzymatic Saccharification, in Z. Fang (ed.), Pretreament techniques for biofuels and biorefineries, &lt;/title&gt;&lt;/titles&gt;&lt;dates&gt;&lt;year&gt;2013&lt;/year&gt;&lt;pub-dates&gt;&lt;date&gt;pp. 3-27&lt;/date&gt;&lt;/pub-dates&gt;&lt;/dates&gt;&lt;orig-pub&gt;Springer-Verlag Berlin Heidelberg,&lt;/orig-pub&gt;&lt;urls&gt;&lt;/urls&gt;&lt;/record&gt;&lt;/Cite&gt;&lt;/EndNote&gt;</w:instrText>
      </w:r>
      <w:r w:rsidRPr="007E6127">
        <w:rPr>
          <w:rFonts w:ascii="Times New Roman" w:hAnsi="Times New Roman"/>
          <w:sz w:val="20"/>
          <w:szCs w:val="20"/>
        </w:rPr>
        <w:fldChar w:fldCharType="separate"/>
      </w:r>
      <w:r w:rsidRPr="007E6127">
        <w:rPr>
          <w:rFonts w:ascii="Times New Roman" w:hAnsi="Times New Roman"/>
          <w:noProof/>
          <w:sz w:val="20"/>
          <w:szCs w:val="20"/>
        </w:rPr>
        <w:t>[</w:t>
      </w:r>
      <w:hyperlink w:anchor="_ENREF_3" w:tooltip="Narayanaswamy. N., 2013 #138" w:history="1">
        <w:r w:rsidRPr="007E6127">
          <w:rPr>
            <w:rFonts w:ascii="Times New Roman" w:hAnsi="Times New Roman"/>
            <w:noProof/>
            <w:sz w:val="20"/>
            <w:szCs w:val="20"/>
          </w:rPr>
          <w:t>3</w:t>
        </w:r>
      </w:hyperlink>
      <w:r w:rsidRPr="007E6127">
        <w:rPr>
          <w:rFonts w:ascii="Times New Roman" w:hAnsi="Times New Roman"/>
          <w:noProof/>
          <w:sz w:val="20"/>
          <w:szCs w:val="20"/>
        </w:rPr>
        <w:t>]</w:t>
      </w:r>
      <w:r w:rsidRPr="007E6127">
        <w:rPr>
          <w:rFonts w:ascii="Times New Roman" w:hAnsi="Times New Roman"/>
          <w:sz w:val="20"/>
          <w:szCs w:val="20"/>
        </w:rPr>
        <w:fldChar w:fldCharType="end"/>
      </w:r>
      <w:r w:rsidRPr="007E6127">
        <w:rPr>
          <w:rFonts w:ascii="Times New Roman" w:hAnsi="Times New Roman"/>
          <w:sz w:val="20"/>
          <w:szCs w:val="20"/>
        </w:rPr>
        <w:t xml:space="preserve">. The streams resulted from the pretreatment and enzymatic hydrolysis contains dilute sugars, along with excess components such as enzymes and biomass. The sugars released from hydrolysis may inhibit enzyme significantly, hence retarding the rate of enzymatic degradation </w:t>
      </w:r>
      <w:r w:rsidRPr="007E6127">
        <w:rPr>
          <w:rFonts w:ascii="Times New Roman" w:hAnsi="Times New Roman"/>
          <w:sz w:val="20"/>
          <w:szCs w:val="20"/>
        </w:rPr>
        <w:fldChar w:fldCharType="begin"/>
      </w:r>
      <w:r w:rsidRPr="007E6127">
        <w:rPr>
          <w:rFonts w:ascii="Times New Roman" w:hAnsi="Times New Roman"/>
          <w:sz w:val="20"/>
          <w:szCs w:val="20"/>
        </w:rPr>
        <w:instrText xml:space="preserve"> ADDIN EN.CITE &lt;EndNote&gt;&lt;Cite&gt;&lt;Author&gt;Ma&lt;/Author&gt;&lt;Year&gt;2014&lt;/Year&gt;&lt;RecNum&gt;139&lt;/RecNum&gt;&lt;DisplayText&gt;(4,5)&lt;/DisplayText&gt;&lt;record&gt;&lt;rec-number&gt;139&lt;/rec-number&gt;&lt;foreign-keys&gt;&lt;key app="EN" db-id="90t9x505xtrfvwep0edvaa5g5zvxwz5zr0wa"&gt;139&lt;/key&gt;&lt;/foreign-keys&gt;&lt;ref-type name="Journal Article"&gt;17&lt;/ref-type&gt;&lt;contributors&gt;&lt;authors&gt;&lt;author&gt;Ma, T., Kosa, M. &amp;amp; Sun, Q.,  &lt;/author&gt;&lt;/authors&gt;&lt;/contributors&gt;&lt;titles&gt;&lt;title&gt;Chapter 7: Fermentation to bioethanol/biobuthanol in A.J. Ragauskas (ed.) Materials for biofuels,&lt;/title&gt;&lt;/titles&gt;&lt;pages&gt;Pp. 155-185.&lt;/pages&gt;&lt;dates&gt;&lt;year&gt;2014&lt;/year&gt;&lt;/dates&gt;&lt;orig-pub&gt; World scientific&lt;/orig-pub&gt;&lt;urls&gt;&lt;/urls&gt;&lt;/record&gt;&lt;/Cite&gt;&lt;Cite&gt;&lt;Author&gt;Gautam&lt;/Author&gt;&lt;Year&gt;2014&lt;/Year&gt;&lt;RecNum&gt;140&lt;/RecNum&gt;&lt;record&gt;&lt;rec-number&gt;140&lt;/rec-number&gt;&lt;foreign-keys&gt;&lt;key app="EN" db-id="90t9x505xtrfvwep0edvaa5g5zvxwz5zr0wa"&gt;140&lt;/key&gt;&lt;/foreign-keys&gt;&lt;ref-type name="Journal Article"&gt;17&lt;/ref-type&gt;&lt;contributors&gt;&lt;authors&gt;&lt;author&gt;Gautam, AmitKumar&lt;/author&gt;&lt;author&gt;Menkhaus, Todd J.&lt;/author&gt;&lt;/authors&gt;&lt;/contributors&gt;&lt;titles&gt;&lt;title&gt;Performance evaluation and fouling analysis for reverse osmosis and nanofiltration membranes during processing of lignocellulosic biomass hydrolysate&lt;/title&gt;&lt;secondary-title&gt;Journal of Membrane Science&lt;/secondary-title&gt;&lt;/titles&gt;&lt;periodical&gt;&lt;full-title&gt;Journal of Membrane Science&lt;/full-title&gt;&lt;/periodical&gt;&lt;pages&gt;252-265&lt;/pages&gt;&lt;volume&gt;451&lt;/volume&gt;&lt;keywords&gt;&lt;keyword&gt;Biorefinery&lt;/keyword&gt;&lt;keyword&gt;Biorenewable processing&lt;/keyword&gt;&lt;keyword&gt;Reverse osmosis&lt;/keyword&gt;&lt;keyword&gt;Nanofiltration&lt;/keyword&gt;&lt;keyword&gt;Membrane fouling&lt;/keyword&gt;&lt;/keywords&gt;&lt;dates&gt;&lt;year&gt;2014&lt;/year&gt;&lt;pub-dates&gt;&lt;date&gt;2/1/&lt;/date&gt;&lt;/pub-dates&gt;&lt;/dates&gt;&lt;isbn&gt;0376-7388&lt;/isbn&gt;&lt;urls&gt;&lt;related-urls&gt;&lt;url&gt;http://www.sciencedirect.com/science/article/pii/S0376738813007679&lt;/url&gt;&lt;/related-urls&gt;&lt;/urls&gt;&lt;electronic-resource-num&gt;http://dx.doi.org/10.1016/j.memsci.2013.09.042&lt;/electronic-resource-num&gt;&lt;/record&gt;&lt;/Cite&gt;&lt;/EndNote&gt;</w:instrText>
      </w:r>
      <w:r w:rsidRPr="007E6127">
        <w:rPr>
          <w:rFonts w:ascii="Times New Roman" w:hAnsi="Times New Roman"/>
          <w:sz w:val="20"/>
          <w:szCs w:val="20"/>
        </w:rPr>
        <w:fldChar w:fldCharType="separate"/>
      </w:r>
      <w:r w:rsidRPr="007E6127">
        <w:rPr>
          <w:rFonts w:ascii="Times New Roman" w:hAnsi="Times New Roman"/>
          <w:noProof/>
          <w:sz w:val="20"/>
          <w:szCs w:val="20"/>
        </w:rPr>
        <w:t>[</w:t>
      </w:r>
      <w:hyperlink w:anchor="_ENREF_4" w:tooltip="Ma, 2014 #139" w:history="1">
        <w:r w:rsidRPr="007E6127">
          <w:rPr>
            <w:rFonts w:ascii="Times New Roman" w:hAnsi="Times New Roman"/>
            <w:noProof/>
            <w:sz w:val="20"/>
            <w:szCs w:val="20"/>
          </w:rPr>
          <w:t>4</w:t>
        </w:r>
      </w:hyperlink>
      <w:r w:rsidRPr="007E6127">
        <w:rPr>
          <w:rFonts w:ascii="Times New Roman" w:hAnsi="Times New Roman"/>
          <w:noProof/>
          <w:sz w:val="20"/>
          <w:szCs w:val="20"/>
        </w:rPr>
        <w:t>,</w:t>
      </w:r>
      <w:hyperlink w:anchor="_ENREF_5" w:tooltip="Gautam, 2014 #140" w:history="1">
        <w:r w:rsidRPr="007E6127">
          <w:rPr>
            <w:rFonts w:ascii="Times New Roman" w:hAnsi="Times New Roman"/>
            <w:noProof/>
            <w:sz w:val="20"/>
            <w:szCs w:val="20"/>
          </w:rPr>
          <w:t>5</w:t>
        </w:r>
      </w:hyperlink>
      <w:r w:rsidRPr="007E6127">
        <w:rPr>
          <w:rFonts w:ascii="Times New Roman" w:hAnsi="Times New Roman"/>
          <w:noProof/>
          <w:sz w:val="20"/>
          <w:szCs w:val="20"/>
        </w:rPr>
        <w:t>]</w:t>
      </w:r>
      <w:r w:rsidRPr="007E6127">
        <w:rPr>
          <w:rFonts w:ascii="Times New Roman" w:hAnsi="Times New Roman"/>
          <w:sz w:val="20"/>
          <w:szCs w:val="20"/>
        </w:rPr>
        <w:fldChar w:fldCharType="end"/>
      </w:r>
      <w:r w:rsidRPr="007E6127">
        <w:rPr>
          <w:rFonts w:ascii="Times New Roman" w:hAnsi="Times New Roman"/>
          <w:sz w:val="20"/>
          <w:szCs w:val="20"/>
        </w:rPr>
        <w:t xml:space="preserve">. In order to increase the conversion of enzymatic hydrolysis, the removal and concentration of the sugars from the hydrolysate can contribute towards not only in improving the hydrolysis but also in recovering the used enzymes. This can help to decrease the cost of enzymatic hydrolysis by reducing the consumption of enzyme </w:t>
      </w:r>
      <w:r w:rsidRPr="007E6127">
        <w:rPr>
          <w:rFonts w:ascii="Times New Roman" w:hAnsi="Times New Roman"/>
          <w:sz w:val="20"/>
          <w:szCs w:val="20"/>
        </w:rPr>
        <w:fldChar w:fldCharType="begin">
          <w:fldData xml:space="preserve">PEVuZE5vdGU+PENpdGU+PEF1dGhvcj5Id2FuZzwvQXV0aG9yPjxZZWFyPjIwMTQ8L1llYXI+PFJl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=
</w:fldData>
        </w:fldChar>
      </w:r>
      <w:r w:rsidRPr="007E6127">
        <w:rPr>
          <w:rFonts w:ascii="Times New Roman" w:hAnsi="Times New Roman"/>
          <w:sz w:val="20"/>
          <w:szCs w:val="20"/>
        </w:rPr>
        <w:instrText xml:space="preserve"> ADDIN EN.CITE </w:instrText>
      </w:r>
      <w:r w:rsidRPr="007E6127">
        <w:rPr>
          <w:rFonts w:ascii="Times New Roman" w:hAnsi="Times New Roman"/>
          <w:sz w:val="20"/>
          <w:szCs w:val="20"/>
        </w:rPr>
        <w:fldChar w:fldCharType="begin">
          <w:fldData xml:space="preserve">PEVuZE5vdGU+PENpdGU+PEF1dGhvcj5Id2FuZzwvQXV0aG9yPjxZZWFyPjIwMTQ8L1llYXI+PFJl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=
</w:fldData>
        </w:fldChar>
      </w:r>
      <w:r w:rsidRPr="007E6127">
        <w:rPr>
          <w:rFonts w:ascii="Times New Roman" w:hAnsi="Times New Roman"/>
          <w:sz w:val="20"/>
          <w:szCs w:val="20"/>
        </w:rPr>
        <w:instrText xml:space="preserve"> ADDIN EN.CITE.DATA </w:instrText>
      </w:r>
      <w:r w:rsidRPr="007E6127">
        <w:rPr>
          <w:rFonts w:ascii="Times New Roman" w:hAnsi="Times New Roman"/>
          <w:sz w:val="20"/>
          <w:szCs w:val="20"/>
        </w:rPr>
      </w:r>
      <w:r w:rsidRPr="007E6127">
        <w:rPr>
          <w:rFonts w:ascii="Times New Roman" w:hAnsi="Times New Roman"/>
          <w:sz w:val="20"/>
          <w:szCs w:val="20"/>
        </w:rPr>
        <w:fldChar w:fldCharType="end"/>
      </w:r>
      <w:r w:rsidRPr="007E6127">
        <w:rPr>
          <w:rFonts w:ascii="Times New Roman" w:hAnsi="Times New Roman"/>
          <w:sz w:val="20"/>
          <w:szCs w:val="20"/>
        </w:rPr>
      </w:r>
      <w:r w:rsidRPr="007E6127">
        <w:rPr>
          <w:rFonts w:ascii="Times New Roman" w:hAnsi="Times New Roman"/>
          <w:sz w:val="20"/>
          <w:szCs w:val="20"/>
        </w:rPr>
        <w:fldChar w:fldCharType="separate"/>
      </w:r>
      <w:r w:rsidRPr="007E6127">
        <w:rPr>
          <w:rFonts w:ascii="Times New Roman" w:hAnsi="Times New Roman"/>
          <w:noProof/>
          <w:sz w:val="20"/>
          <w:szCs w:val="20"/>
        </w:rPr>
        <w:t>[</w:t>
      </w:r>
      <w:hyperlink w:anchor="_ENREF_6" w:tooltip="Hwang, 2014 #142" w:history="1">
        <w:r w:rsidRPr="007E6127">
          <w:rPr>
            <w:rFonts w:ascii="Times New Roman" w:hAnsi="Times New Roman"/>
            <w:noProof/>
            <w:sz w:val="20"/>
            <w:szCs w:val="20"/>
          </w:rPr>
          <w:t>6</w:t>
        </w:r>
      </w:hyperlink>
      <w:r w:rsidRPr="007E6127">
        <w:rPr>
          <w:rFonts w:ascii="Times New Roman" w:hAnsi="Times New Roman"/>
          <w:noProof/>
          <w:sz w:val="20"/>
          <w:szCs w:val="20"/>
        </w:rPr>
        <w:t>,</w:t>
      </w:r>
      <w:hyperlink w:anchor="_ENREF_7" w:tooltip="Maiti, 2012 #37" w:history="1">
        <w:r w:rsidRPr="007E6127">
          <w:rPr>
            <w:rFonts w:ascii="Times New Roman" w:hAnsi="Times New Roman"/>
            <w:noProof/>
            <w:sz w:val="20"/>
            <w:szCs w:val="20"/>
          </w:rPr>
          <w:t>7</w:t>
        </w:r>
      </w:hyperlink>
      <w:r w:rsidRPr="007E6127">
        <w:rPr>
          <w:rFonts w:ascii="Times New Roman" w:hAnsi="Times New Roman"/>
          <w:noProof/>
          <w:sz w:val="20"/>
          <w:szCs w:val="20"/>
        </w:rPr>
        <w:t>]</w:t>
      </w:r>
      <w:r w:rsidRPr="007E6127">
        <w:rPr>
          <w:rFonts w:ascii="Times New Roman" w:hAnsi="Times New Roman"/>
          <w:sz w:val="20"/>
          <w:szCs w:val="20"/>
        </w:rPr>
        <w:fldChar w:fldCharType="end"/>
      </w:r>
      <w:r w:rsidRPr="007E6127">
        <w:rPr>
          <w:rFonts w:ascii="Times New Roman" w:hAnsi="Times New Roman"/>
          <w:sz w:val="20"/>
          <w:szCs w:val="20"/>
        </w:rPr>
        <w:t>.</w:t>
      </w:r>
    </w:p>
    <w:p w:rsidR="007E6127" w:rsidRPr="007E6127" w:rsidRDefault="007E6127" w:rsidP="007E6127">
      <w:pPr>
        <w:spacing w:after="0" w:line="240" w:lineRule="auto"/>
        <w:jc w:val="both"/>
        <w:rPr>
          <w:rFonts w:ascii="Times New Roman" w:hAnsi="Times New Roman"/>
          <w:sz w:val="20"/>
          <w:szCs w:val="20"/>
        </w:rPr>
      </w:pPr>
    </w:p>
    <w:p w:rsidR="007E6127" w:rsidRDefault="007E6127" w:rsidP="007E6127">
      <w:pPr>
        <w:spacing w:after="0" w:line="240" w:lineRule="auto"/>
        <w:jc w:val="both"/>
        <w:rPr>
          <w:rFonts w:ascii="Times New Roman" w:hAnsi="Times New Roman"/>
          <w:sz w:val="20"/>
          <w:szCs w:val="20"/>
        </w:rPr>
      </w:pPr>
      <w:r w:rsidRPr="007E6127">
        <w:rPr>
          <w:rFonts w:ascii="Times New Roman" w:hAnsi="Times New Roman"/>
          <w:sz w:val="20"/>
          <w:szCs w:val="20"/>
        </w:rPr>
        <w:t xml:space="preserve">Ultrafiltration (UF) membrane process provided an opportunity for retaining the free enzyme from discharge with the effluent after hydrolysis while at the same time separating the glucose for the subsequent fermentation process. The application of ultrafiltration membranes in biorefinery as an integrated process widens the scope of possible operating strategies, such as product removal and enzyme recycling to reduce the enzyme costs and enhance the hydrolysis </w:t>
      </w:r>
      <w:r w:rsidRPr="007E6127">
        <w:rPr>
          <w:rFonts w:ascii="Times New Roman" w:hAnsi="Times New Roman"/>
          <w:sz w:val="20"/>
          <w:szCs w:val="20"/>
        </w:rPr>
        <w:fldChar w:fldCharType="begin"/>
      </w:r>
      <w:r w:rsidRPr="007E6127">
        <w:rPr>
          <w:rFonts w:ascii="Times New Roman" w:hAnsi="Times New Roman"/>
          <w:sz w:val="20"/>
          <w:szCs w:val="20"/>
        </w:rPr>
        <w:instrText xml:space="preserve"> ADDIN EN.CITE &lt;EndNote&gt;&lt;Cite&gt;&lt;Author&gt;Echavarría&lt;/Author&gt;&lt;Year&gt;2012&lt;/Year&gt;&lt;RecNum&gt;143&lt;/RecNum&gt;&lt;DisplayText&gt;(8)&lt;/DisplayText&gt;&lt;record&gt;&lt;rec-number&gt;143&lt;/rec-number&gt;&lt;foreign-keys&gt;&lt;key app="EN" db-id="90t9x505xtrfvwep0edvaa5g5zvxwz5zr0wa"&gt;143&lt;/key&gt;&lt;/foreign-keys&gt;&lt;ref-type name="Journal Article"&gt;17&lt;/ref-type&gt;&lt;contributors&gt;&lt;authors&gt;&lt;author&gt;Echavarría, A. P.&lt;/author&gt;&lt;author&gt;Ibarz, A.&lt;/author&gt;&lt;author&gt;Conde, J.&lt;/author&gt;&lt;author&gt;Pagán, J.&lt;/author&gt;&lt;/authors&gt;&lt;/contributors&gt;&lt;titles&gt;&lt;title&gt;Enzyme recovery and effluents generated in the enzymatic elimination of clogging of pectin cake in filtration process&lt;/title&gt;&lt;secondary-title&gt;Journal of Food Engineering&lt;/secondary-title&gt;&lt;/titles&gt;&lt;periodical&gt;&lt;full-title&gt;Journal of Food Engineering&lt;/full-title&gt;&lt;/periodical&gt;&lt;pages&gt;52-56&lt;/pages&gt;&lt;volume&gt;111&lt;/volume&gt;&lt;number&gt;1&lt;/number&gt;&lt;keywords&gt;&lt;keyword&gt;Clogging cake&lt;/keyword&gt;&lt;keyword&gt;Pectin&lt;/keyword&gt;&lt;keyword&gt;Ultrafiltration&lt;/keyword&gt;&lt;keyword&gt;Enzymes recovering&lt;/keyword&gt;&lt;keyword&gt;SDS–PAGE electrophoresis&lt;/keyword&gt;&lt;/keywords&gt;&lt;dates&gt;&lt;year&gt;2012&lt;/year&gt;&lt;pub-dates&gt;&lt;date&gt;7//&lt;/date&gt;&lt;/pub-dates&gt;&lt;/dates&gt;&lt;isbn&gt;0260-8774&lt;/isbn&gt;&lt;urls&gt;&lt;related-urls&gt;&lt;url&gt;http://www.sciencedirect.com/science/article/pii/S0260877412000507&lt;/url&gt;&lt;/related-urls&gt;&lt;/urls&gt;&lt;electronic-resource-num&gt;http://dx.doi.org/10.1016/j.jfoodeng.2012.01.030&lt;/electronic-resource-num&gt;&lt;/record&gt;&lt;/Cite&gt;&lt;/EndNote&gt;</w:instrText>
      </w:r>
      <w:r w:rsidRPr="007E6127">
        <w:rPr>
          <w:rFonts w:ascii="Times New Roman" w:hAnsi="Times New Roman"/>
          <w:sz w:val="20"/>
          <w:szCs w:val="20"/>
        </w:rPr>
        <w:fldChar w:fldCharType="separate"/>
      </w:r>
      <w:r w:rsidRPr="007E6127">
        <w:rPr>
          <w:rFonts w:ascii="Times New Roman" w:hAnsi="Times New Roman"/>
          <w:noProof/>
          <w:sz w:val="20"/>
          <w:szCs w:val="20"/>
        </w:rPr>
        <w:t>[</w:t>
      </w:r>
      <w:hyperlink w:anchor="_ENREF_8" w:tooltip="Echavarría, 2012 #143" w:history="1">
        <w:r w:rsidRPr="007E6127">
          <w:rPr>
            <w:rFonts w:ascii="Times New Roman" w:hAnsi="Times New Roman"/>
            <w:noProof/>
            <w:sz w:val="20"/>
            <w:szCs w:val="20"/>
          </w:rPr>
          <w:t>8</w:t>
        </w:r>
      </w:hyperlink>
      <w:r w:rsidRPr="007E6127">
        <w:rPr>
          <w:rFonts w:ascii="Times New Roman" w:hAnsi="Times New Roman"/>
          <w:noProof/>
          <w:sz w:val="20"/>
          <w:szCs w:val="20"/>
        </w:rPr>
        <w:t>]</w:t>
      </w:r>
      <w:r w:rsidRPr="007E6127">
        <w:rPr>
          <w:rFonts w:ascii="Times New Roman" w:hAnsi="Times New Roman"/>
          <w:sz w:val="20"/>
          <w:szCs w:val="20"/>
        </w:rPr>
        <w:fldChar w:fldCharType="end"/>
      </w:r>
      <w:r w:rsidRPr="007E6127">
        <w:rPr>
          <w:rFonts w:ascii="Times New Roman" w:hAnsi="Times New Roman"/>
          <w:sz w:val="20"/>
          <w:szCs w:val="20"/>
        </w:rPr>
        <w:t xml:space="preserve">. The main drawback have been noted with the reduction of permeate flux over time in ultrafiltration, caused by the accumulation of feed component in the membrane porous structure, chemical interaction between solutes and membrane materials on the membrane surface. These macromolecules especially the polysaccharides caused the decrease in the permeate flow through the membrane which can be attributed to the fouling of its surface where the non-permeating solutes tending to form a gel layer </w:t>
      </w:r>
      <w:r w:rsidRPr="007E6127">
        <w:rPr>
          <w:rFonts w:ascii="Times New Roman" w:hAnsi="Times New Roman"/>
          <w:sz w:val="20"/>
          <w:szCs w:val="20"/>
        </w:rPr>
        <w:fldChar w:fldCharType="begin">
          <w:fldData xml:space="preserve">PEVuZE5vdGU+PENpdGU+PEF1dGhvcj5XYW5nPC9BdXRob3I+PFllYXI+MjAxMjwvWWVhcj48UmVj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</w:fldData>
        </w:fldChar>
      </w:r>
      <w:r w:rsidRPr="007E6127">
        <w:rPr>
          <w:rFonts w:ascii="Times New Roman" w:hAnsi="Times New Roman"/>
          <w:sz w:val="20"/>
          <w:szCs w:val="20"/>
        </w:rPr>
        <w:instrText xml:space="preserve"> ADDIN EN.CITE </w:instrText>
      </w:r>
      <w:r w:rsidRPr="007E6127">
        <w:rPr>
          <w:rFonts w:ascii="Times New Roman" w:hAnsi="Times New Roman"/>
          <w:sz w:val="20"/>
          <w:szCs w:val="20"/>
        </w:rPr>
        <w:fldChar w:fldCharType="begin">
          <w:fldData xml:space="preserve">PEVuZE5vdGU+PENpdGU+PEF1dGhvcj5XYW5nPC9BdXRob3I+PFllYXI+MjAxMjwvWWVhcj48UmVj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</w:fldData>
        </w:fldChar>
      </w:r>
      <w:r w:rsidRPr="007E6127">
        <w:rPr>
          <w:rFonts w:ascii="Times New Roman" w:hAnsi="Times New Roman"/>
          <w:sz w:val="20"/>
          <w:szCs w:val="20"/>
        </w:rPr>
        <w:instrText xml:space="preserve"> ADDIN EN.CITE.DATA </w:instrText>
      </w:r>
      <w:r w:rsidRPr="007E6127">
        <w:rPr>
          <w:rFonts w:ascii="Times New Roman" w:hAnsi="Times New Roman"/>
          <w:sz w:val="20"/>
          <w:szCs w:val="20"/>
        </w:rPr>
      </w:r>
      <w:r w:rsidRPr="007E6127">
        <w:rPr>
          <w:rFonts w:ascii="Times New Roman" w:hAnsi="Times New Roman"/>
          <w:sz w:val="20"/>
          <w:szCs w:val="20"/>
        </w:rPr>
        <w:fldChar w:fldCharType="end"/>
      </w:r>
      <w:r w:rsidRPr="007E6127">
        <w:rPr>
          <w:rFonts w:ascii="Times New Roman" w:hAnsi="Times New Roman"/>
          <w:sz w:val="20"/>
          <w:szCs w:val="20"/>
        </w:rPr>
      </w:r>
      <w:r w:rsidRPr="007E6127">
        <w:rPr>
          <w:rFonts w:ascii="Times New Roman" w:hAnsi="Times New Roman"/>
          <w:sz w:val="20"/>
          <w:szCs w:val="20"/>
        </w:rPr>
        <w:fldChar w:fldCharType="separate"/>
      </w:r>
      <w:r w:rsidRPr="007E6127">
        <w:rPr>
          <w:rFonts w:ascii="Times New Roman" w:hAnsi="Times New Roman"/>
          <w:noProof/>
          <w:sz w:val="20"/>
          <w:szCs w:val="20"/>
        </w:rPr>
        <w:t>[</w:t>
      </w:r>
      <w:hyperlink w:anchor="_ENREF_9" w:tooltip="Wang, 2012 #144" w:history="1">
        <w:r w:rsidRPr="007E6127">
          <w:rPr>
            <w:rFonts w:ascii="Times New Roman" w:hAnsi="Times New Roman"/>
            <w:noProof/>
            <w:sz w:val="20"/>
            <w:szCs w:val="20"/>
          </w:rPr>
          <w:t>9</w:t>
        </w:r>
      </w:hyperlink>
      <w:r w:rsidRPr="007E6127">
        <w:rPr>
          <w:rFonts w:ascii="Times New Roman" w:hAnsi="Times New Roman"/>
          <w:noProof/>
          <w:sz w:val="20"/>
          <w:szCs w:val="20"/>
        </w:rPr>
        <w:t>,</w:t>
      </w:r>
      <w:hyperlink w:anchor="_ENREF_10" w:tooltip="de Barros, 2003 #145" w:history="1">
        <w:r w:rsidRPr="007E6127">
          <w:rPr>
            <w:rFonts w:ascii="Times New Roman" w:hAnsi="Times New Roman"/>
            <w:noProof/>
            <w:sz w:val="20"/>
            <w:szCs w:val="20"/>
          </w:rPr>
          <w:t>10</w:t>
        </w:r>
      </w:hyperlink>
      <w:r w:rsidRPr="007E6127">
        <w:rPr>
          <w:rFonts w:ascii="Times New Roman" w:hAnsi="Times New Roman"/>
          <w:noProof/>
          <w:sz w:val="20"/>
          <w:szCs w:val="20"/>
        </w:rPr>
        <w:t>]</w:t>
      </w:r>
      <w:r w:rsidRPr="007E6127">
        <w:rPr>
          <w:rFonts w:ascii="Times New Roman" w:hAnsi="Times New Roman"/>
          <w:sz w:val="20"/>
          <w:szCs w:val="20"/>
        </w:rPr>
        <w:fldChar w:fldCharType="end"/>
      </w:r>
      <w:r w:rsidRPr="007E6127">
        <w:rPr>
          <w:rFonts w:ascii="Times New Roman" w:hAnsi="Times New Roman"/>
          <w:sz w:val="20"/>
          <w:szCs w:val="20"/>
        </w:rPr>
        <w:t>.</w:t>
      </w:r>
    </w:p>
    <w:p w:rsidR="007E6127" w:rsidRPr="007E6127" w:rsidRDefault="007E6127" w:rsidP="007E6127">
      <w:pPr>
        <w:spacing w:after="0" w:line="240" w:lineRule="auto"/>
        <w:jc w:val="both"/>
        <w:rPr>
          <w:rFonts w:ascii="Times New Roman" w:hAnsi="Times New Roman"/>
          <w:sz w:val="20"/>
          <w:szCs w:val="20"/>
        </w:rPr>
      </w:pPr>
    </w:p>
    <w:p w:rsidR="007E6127" w:rsidRPr="007E6127" w:rsidRDefault="007E6127" w:rsidP="007E6127">
      <w:pPr>
        <w:pStyle w:val="BodyText"/>
        <w:spacing w:after="0" w:line="240" w:lineRule="auto"/>
        <w:ind w:firstLine="0"/>
      </w:pPr>
      <w:r w:rsidRPr="007E6127">
        <w:t xml:space="preserve">A number of studies have shown that ultrafiltration is feasible to recover the enzymes and at the same time remove the fermentable sugars. However, limited study has been conducted on fouling characteristics and mechanism of cellulose hydrolysate and the effects of pH. For this study, a hydrophilic type membrane, polysulfone (PSF) with 20kDa MWCO was employed in a dead-end UF filtration mode. The influence of solution’s pH and permeate flux was studied and the mechanism of fouling was modeled using Kumar’s model. </w:t>
      </w:r>
    </w:p>
    <w:p w:rsidR="007E6127" w:rsidRPr="007E6127" w:rsidRDefault="007E6127" w:rsidP="007E6127">
      <w:pPr>
        <w:pStyle w:val="BodyText"/>
        <w:spacing w:after="0" w:line="240" w:lineRule="auto"/>
        <w:ind w:firstLine="0"/>
      </w:pPr>
    </w:p>
    <w:p w:rsidR="007E6127" w:rsidRPr="007E6127" w:rsidRDefault="007E6127" w:rsidP="007E6127">
      <w:pPr>
        <w:pStyle w:val="BodyText"/>
        <w:spacing w:after="0" w:line="240" w:lineRule="auto"/>
        <w:ind w:firstLine="0"/>
      </w:pPr>
      <w:r w:rsidRPr="007E6127">
        <w:t xml:space="preserve">Membrane blocking model was adopted by Kumar et al. </w:t>
      </w:r>
      <w:r w:rsidRPr="007E6127">
        <w:fldChar w:fldCharType="begin"/>
      </w:r>
      <w:r w:rsidRPr="007E6127">
        <w:instrText xml:space="preserve"> ADDIN EN.CITE &lt;EndNote&gt;&lt;Cite&gt;&lt;Author&gt;Mahesh Kumar&lt;/Author&gt;&lt;Year&gt;2007&lt;/Year&gt;&lt;RecNum&gt;147&lt;/RecNum&gt;&lt;DisplayText&gt;(11)&lt;/DisplayText&gt;&lt;record&gt;&lt;rec-number&gt;147&lt;/rec-number&gt;&lt;foreign-keys&gt;&lt;key app="EN" db-id="90t9x505xtrfvwep0edvaa5g5zvxwz5zr0wa"&gt;147&lt;/key&gt;&lt;/foreign-keys&gt;&lt;ref-type name="Journal Article"&gt;17&lt;/ref-type&gt;&lt;contributors&gt;&lt;authors&gt;&lt;author&gt;Mahesh Kumar, S.&lt;/author&gt;&lt;author&gt;Madhu, G. M.&lt;/author&gt;&lt;author&gt;Roy, Sukumar&lt;/author&gt;&lt;/authors&gt;&lt;/contributors&gt;&lt;titles&gt;&lt;title&gt;Fouling behaviour, regeneration options and on-line control of biomass-based power plant effluents using microporous ceramic membranes&lt;/title&gt;&lt;secondary-title&gt;Separation and Purification Technology&lt;/secondary-title&gt;&lt;/titles&gt;&lt;periodical&gt;&lt;full-title&gt;Separation and Purification Technology&lt;/full-title&gt;&lt;/periodical&gt;&lt;pages&gt;25-36&lt;/pages&gt;&lt;volume&gt;57&lt;/volume&gt;&lt;number&gt;1&lt;/number&gt;&lt;keywords&gt;&lt;keyword&gt;Biomass-based power plant effluent&lt;/keyword&gt;&lt;keyword&gt;Microfiltration&lt;/keyword&gt;&lt;keyword&gt;Ceramic membrane&lt;/keyword&gt;&lt;keyword&gt;Fouling&lt;/keyword&gt;&lt;keyword&gt;Regeneration&lt;/keyword&gt;&lt;keyword&gt;Backflushing&lt;/keyword&gt;&lt;/keywords&gt;&lt;dates&gt;&lt;year&gt;2007&lt;/year&gt;&lt;pub-dates&gt;&lt;date&gt;10/1/&lt;/date&gt;&lt;/pub-dates&gt;&lt;/dates&gt;&lt;isbn&gt;1383-5866&lt;/isbn&gt;&lt;urls&gt;&lt;related-urls&gt;&lt;url&gt;http://www.sciencedirect.com/science/article/pii/S138358660700127X&lt;/url&gt;&lt;/related-urls&gt;&lt;/urls&gt;&lt;electronic-resource-num&gt;http://dx.doi.org/10.1016/j.seppur.2007.03.002&lt;/electronic-resource-num&gt;&lt;/record&gt;&lt;/Cite&gt;&lt;/EndNote&gt;</w:instrText>
      </w:r>
      <w:r w:rsidRPr="007E6127">
        <w:fldChar w:fldCharType="separate"/>
      </w:r>
      <w:r w:rsidRPr="007E6127">
        <w:rPr>
          <w:noProof/>
        </w:rPr>
        <w:t>[</w:t>
      </w:r>
      <w:hyperlink w:anchor="_ENREF_11" w:tooltip="Mahesh Kumar, 2007 #147" w:history="1">
        <w:r w:rsidRPr="007E6127">
          <w:rPr>
            <w:noProof/>
          </w:rPr>
          <w:t>11</w:t>
        </w:r>
      </w:hyperlink>
      <w:r w:rsidRPr="007E6127">
        <w:rPr>
          <w:noProof/>
        </w:rPr>
        <w:t>]</w:t>
      </w:r>
      <w:r w:rsidRPr="007E6127">
        <w:fldChar w:fldCharType="end"/>
      </w:r>
      <w:r w:rsidRPr="007E6127">
        <w:t>, which was modified from the model by J. Hermia and J. Granger. Table 1 shows the linearized equation of the model. For the cake formation model, cake was formed when the particles larger than the average pore size accumulated on the membrane surface. For standard pore blocking, the particles in the fluids entered the pores and adhered to the innerpore walls, thus the adhesion of particles to the walls decreased the available pore diameter and increased the resistance of the membrane. For complete pore plugging model, the particles plugged individual pores and the flow diverted to other pores that plugged successively.</w:t>
      </w:r>
    </w:p>
    <w:p w:rsidR="007E6127" w:rsidRDefault="007E6127" w:rsidP="007E6127">
      <w:pPr>
        <w:spacing w:after="0" w:line="240" w:lineRule="auto"/>
        <w:jc w:val="both"/>
        <w:rPr>
          <w:rFonts w:ascii="Times New Roman" w:hAnsi="Times New Roman"/>
          <w:sz w:val="20"/>
          <w:szCs w:val="20"/>
        </w:rPr>
      </w:pPr>
    </w:p>
    <w:p w:rsidR="007E6127" w:rsidRPr="007E6127" w:rsidRDefault="007E6127" w:rsidP="007E6127">
      <w:pPr>
        <w:spacing w:after="0" w:line="240" w:lineRule="auto"/>
        <w:jc w:val="both"/>
        <w:rPr>
          <w:rFonts w:ascii="Times New Roman" w:hAnsi="Times New Roman"/>
          <w:sz w:val="20"/>
          <w:szCs w:val="20"/>
        </w:rPr>
      </w:pPr>
    </w:p>
    <w:p w:rsidR="007E6127" w:rsidRPr="007E6127" w:rsidRDefault="007E6127" w:rsidP="007E6127">
      <w:pPr>
        <w:spacing w:after="120" w:line="240" w:lineRule="auto"/>
        <w:ind w:left="2160" w:firstLine="720"/>
        <w:jc w:val="both"/>
        <w:rPr>
          <w:rFonts w:ascii="Times New Roman" w:hAnsi="Times New Roman"/>
          <w:sz w:val="20"/>
          <w:szCs w:val="20"/>
        </w:rPr>
      </w:pPr>
      <w:r w:rsidRPr="007E6127">
        <w:rPr>
          <w:rFonts w:ascii="Times New Roman" w:hAnsi="Times New Roman"/>
          <w:sz w:val="20"/>
          <w:szCs w:val="20"/>
        </w:rPr>
        <w:t xml:space="preserve">Table 1. </w:t>
      </w:r>
      <w:r>
        <w:rPr>
          <w:rFonts w:ascii="Times New Roman" w:hAnsi="Times New Roman"/>
          <w:sz w:val="20"/>
          <w:szCs w:val="20"/>
        </w:rPr>
        <w:t xml:space="preserve"> </w:t>
      </w:r>
      <w:r w:rsidRPr="007E6127">
        <w:rPr>
          <w:rFonts w:ascii="Times New Roman" w:hAnsi="Times New Roman"/>
          <w:sz w:val="20"/>
          <w:szCs w:val="20"/>
        </w:rPr>
        <w:t>Blocking filtration model</w:t>
      </w:r>
    </w:p>
    <w:tbl>
      <w:tblPr>
        <w:tblW w:w="0" w:type="auto"/>
        <w:jc w:val="center"/>
        <w:tblLook w:val="04A0" w:firstRow="1" w:lastRow="0" w:firstColumn="1" w:lastColumn="0" w:noHBand="0" w:noVBand="1"/>
      </w:tblPr>
      <w:tblGrid>
        <w:gridCol w:w="2796"/>
        <w:gridCol w:w="4157"/>
      </w:tblGrid>
      <w:tr w:rsidR="007E6127" w:rsidRPr="007E6127" w:rsidTr="006D21EC">
        <w:trPr>
          <w:trHeight w:val="434"/>
          <w:jc w:val="center"/>
        </w:trPr>
        <w:tc>
          <w:tcPr>
            <w:tcW w:w="2796" w:type="dxa"/>
            <w:tcBorders>
              <w:top w:val="single" w:sz="4" w:space="0" w:color="auto"/>
              <w:bottom w:val="single" w:sz="4" w:space="0" w:color="auto"/>
            </w:tcBorders>
            <w:shd w:val="clear" w:color="auto" w:fill="auto"/>
            <w:vAlign w:val="center"/>
            <w:hideMark/>
          </w:tcPr>
          <w:p w:rsidR="007E6127" w:rsidRPr="007E6127" w:rsidRDefault="007E6127" w:rsidP="00FB6AB9">
            <w:pPr>
              <w:spacing w:after="0" w:line="240" w:lineRule="auto"/>
              <w:rPr>
                <w:rFonts w:ascii="Times New Roman" w:eastAsia="Calibri" w:hAnsi="Times New Roman"/>
                <w:b/>
                <w:bCs/>
                <w:sz w:val="20"/>
                <w:szCs w:val="20"/>
              </w:rPr>
            </w:pPr>
            <w:r w:rsidRPr="007E6127">
              <w:rPr>
                <w:rFonts w:ascii="Times New Roman" w:eastAsia="Calibri" w:hAnsi="Times New Roman"/>
                <w:b/>
                <w:bCs/>
                <w:sz w:val="20"/>
                <w:szCs w:val="20"/>
              </w:rPr>
              <w:t>Type of Blockage</w:t>
            </w:r>
          </w:p>
        </w:tc>
        <w:tc>
          <w:tcPr>
            <w:tcW w:w="4157" w:type="dxa"/>
            <w:tcBorders>
              <w:top w:val="single" w:sz="4" w:space="0" w:color="auto"/>
              <w:bottom w:val="single" w:sz="4" w:space="0" w:color="auto"/>
            </w:tcBorders>
            <w:shd w:val="clear" w:color="auto" w:fill="auto"/>
            <w:vAlign w:val="center"/>
            <w:hideMark/>
          </w:tcPr>
          <w:p w:rsidR="007E6127" w:rsidRPr="007E6127" w:rsidRDefault="007E6127" w:rsidP="00FB6AB9">
            <w:pPr>
              <w:spacing w:after="0" w:line="240" w:lineRule="auto"/>
              <w:jc w:val="center"/>
              <w:rPr>
                <w:rFonts w:ascii="Times New Roman" w:eastAsia="Calibri" w:hAnsi="Times New Roman"/>
                <w:b/>
                <w:bCs/>
                <w:sz w:val="20"/>
                <w:szCs w:val="20"/>
              </w:rPr>
            </w:pPr>
            <w:r w:rsidRPr="007E6127">
              <w:rPr>
                <w:rFonts w:ascii="Times New Roman" w:eastAsia="Calibri" w:hAnsi="Times New Roman"/>
                <w:b/>
                <w:bCs/>
                <w:sz w:val="20"/>
                <w:szCs w:val="20"/>
              </w:rPr>
              <w:t>Characteristic Equation</w:t>
            </w:r>
          </w:p>
        </w:tc>
      </w:tr>
      <w:tr w:rsidR="007E6127" w:rsidRPr="007E6127" w:rsidTr="006D21EC">
        <w:trPr>
          <w:trHeight w:val="430"/>
          <w:jc w:val="center"/>
        </w:trPr>
        <w:tc>
          <w:tcPr>
            <w:tcW w:w="2796" w:type="dxa"/>
            <w:tcBorders>
              <w:top w:val="single" w:sz="4" w:space="0" w:color="auto"/>
            </w:tcBorders>
            <w:shd w:val="clear" w:color="auto" w:fill="auto"/>
            <w:vAlign w:val="center"/>
            <w:hideMark/>
          </w:tcPr>
          <w:p w:rsidR="007E6127" w:rsidRPr="007E6127" w:rsidRDefault="007E6127" w:rsidP="00FB6AB9">
            <w:pPr>
              <w:spacing w:after="0" w:line="240" w:lineRule="auto"/>
              <w:rPr>
                <w:rFonts w:ascii="Times New Roman" w:eastAsia="Calibri" w:hAnsi="Times New Roman"/>
                <w:sz w:val="20"/>
                <w:szCs w:val="20"/>
              </w:rPr>
            </w:pPr>
            <w:r w:rsidRPr="007E6127">
              <w:rPr>
                <w:rFonts w:ascii="Times New Roman" w:eastAsia="Calibri" w:hAnsi="Times New Roman"/>
                <w:sz w:val="20"/>
                <w:szCs w:val="20"/>
              </w:rPr>
              <w:t>Cake formation model</w:t>
            </w:r>
          </w:p>
        </w:tc>
        <w:tc>
          <w:tcPr>
            <w:tcW w:w="4157" w:type="dxa"/>
            <w:tcBorders>
              <w:top w:val="single" w:sz="4" w:space="0" w:color="auto"/>
            </w:tcBorders>
            <w:shd w:val="clear" w:color="auto" w:fill="auto"/>
            <w:vAlign w:val="center"/>
          </w:tcPr>
          <w:p w:rsidR="007E6127" w:rsidRPr="007E6127" w:rsidRDefault="00CC30B4" w:rsidP="00FB6AB9">
            <w:pPr>
              <w:spacing w:before="60" w:after="0" w:line="240" w:lineRule="auto"/>
              <w:jc w:val="center"/>
              <w:rPr>
                <w:rFonts w:ascii="Times New Roman" w:eastAsia="Calibri" w:hAnsi="Times New Roman"/>
                <w:sz w:val="20"/>
                <w:szCs w:val="20"/>
              </w:rPr>
            </w:pPr>
            <m:oMathPara>
              <m:oMath>
                <m:f>
                  <m:fPr>
                    <m:ctrlPr>
                      <w:rPr>
                        <w:rFonts w:ascii="Cambria Math" w:hAnsi="Cambria Math"/>
                        <w:i/>
                        <w:sz w:val="20"/>
                        <w:szCs w:val="20"/>
                      </w:rPr>
                    </m:ctrlPr>
                  </m:fPr>
                  <m:num>
                    <m:r>
                      <w:rPr>
                        <w:rFonts w:ascii="Cambria Math" w:hAnsi="Cambria Math"/>
                        <w:sz w:val="20"/>
                        <w:szCs w:val="20"/>
                      </w:rPr>
                      <m:t>t</m:t>
                    </m:r>
                  </m:num>
                  <m:den>
                    <m:r>
                      <w:rPr>
                        <w:rFonts w:ascii="Cambria Math" w:hAnsi="Cambria Math"/>
                        <w:sz w:val="20"/>
                        <w:szCs w:val="20"/>
                      </w:rPr>
                      <m:t>V</m:t>
                    </m:r>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V+</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oMath>
            </m:oMathPara>
          </w:p>
        </w:tc>
      </w:tr>
      <w:tr w:rsidR="007E6127" w:rsidRPr="007E6127" w:rsidTr="006D21EC">
        <w:trPr>
          <w:trHeight w:val="370"/>
          <w:jc w:val="center"/>
        </w:trPr>
        <w:tc>
          <w:tcPr>
            <w:tcW w:w="2796" w:type="dxa"/>
            <w:shd w:val="clear" w:color="auto" w:fill="auto"/>
            <w:vAlign w:val="center"/>
            <w:hideMark/>
          </w:tcPr>
          <w:p w:rsidR="007E6127" w:rsidRPr="007E6127" w:rsidRDefault="007E6127" w:rsidP="00FB6AB9">
            <w:pPr>
              <w:spacing w:after="0" w:line="240" w:lineRule="auto"/>
              <w:rPr>
                <w:rFonts w:ascii="Times New Roman" w:eastAsia="Calibri" w:hAnsi="Times New Roman"/>
                <w:sz w:val="20"/>
                <w:szCs w:val="20"/>
              </w:rPr>
            </w:pPr>
            <w:r w:rsidRPr="007E6127">
              <w:rPr>
                <w:rFonts w:ascii="Times New Roman" w:eastAsia="Calibri" w:hAnsi="Times New Roman"/>
                <w:sz w:val="20"/>
                <w:szCs w:val="20"/>
              </w:rPr>
              <w:t>Standard pore blocking</w:t>
            </w:r>
          </w:p>
        </w:tc>
        <w:tc>
          <w:tcPr>
            <w:tcW w:w="4157" w:type="dxa"/>
            <w:shd w:val="clear" w:color="auto" w:fill="auto"/>
            <w:vAlign w:val="center"/>
          </w:tcPr>
          <w:p w:rsidR="007E6127" w:rsidRPr="007E6127" w:rsidRDefault="00CC30B4" w:rsidP="00FB6AB9">
            <w:pPr>
              <w:spacing w:before="60" w:after="0" w:line="240" w:lineRule="auto"/>
              <w:jc w:val="center"/>
              <w:rPr>
                <w:rFonts w:ascii="Times New Roman" w:eastAsia="Calibri" w:hAnsi="Times New Roman"/>
                <w:sz w:val="20"/>
                <w:szCs w:val="20"/>
              </w:rPr>
            </w:pPr>
            <m:oMathPara>
              <m:oMath>
                <m:f>
                  <m:fPr>
                    <m:ctrlPr>
                      <w:rPr>
                        <w:rFonts w:ascii="Cambria Math" w:hAnsi="Cambria Math"/>
                        <w:i/>
                        <w:sz w:val="20"/>
                        <w:szCs w:val="20"/>
                      </w:rPr>
                    </m:ctrlPr>
                  </m:fPr>
                  <m:num>
                    <m:r>
                      <w:rPr>
                        <w:rFonts w:ascii="Cambria Math" w:hAnsi="Cambria Math"/>
                        <w:sz w:val="20"/>
                        <w:szCs w:val="20"/>
                      </w:rPr>
                      <m:t>t</m:t>
                    </m:r>
                  </m:num>
                  <m:den>
                    <m:r>
                      <w:rPr>
                        <w:rFonts w:ascii="Cambria Math" w:hAnsi="Cambria Math"/>
                        <w:sz w:val="20"/>
                        <w:szCs w:val="20"/>
                      </w:rPr>
                      <m:t>V</m:t>
                    </m:r>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V+</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2</m:t>
                    </m:r>
                  </m:sub>
                </m:sSub>
              </m:oMath>
            </m:oMathPara>
          </w:p>
        </w:tc>
      </w:tr>
      <w:tr w:rsidR="007E6127" w:rsidRPr="007E6127" w:rsidTr="006D21EC">
        <w:trPr>
          <w:trHeight w:val="528"/>
          <w:jc w:val="center"/>
        </w:trPr>
        <w:tc>
          <w:tcPr>
            <w:tcW w:w="2796" w:type="dxa"/>
            <w:tcBorders>
              <w:bottom w:val="single" w:sz="4" w:space="0" w:color="auto"/>
            </w:tcBorders>
            <w:shd w:val="clear" w:color="auto" w:fill="auto"/>
            <w:vAlign w:val="center"/>
            <w:hideMark/>
          </w:tcPr>
          <w:p w:rsidR="007E6127" w:rsidRPr="007E6127" w:rsidRDefault="007E6127" w:rsidP="00FB6AB9">
            <w:pPr>
              <w:spacing w:after="0" w:line="240" w:lineRule="auto"/>
              <w:rPr>
                <w:rFonts w:ascii="Times New Roman" w:eastAsia="Calibri" w:hAnsi="Times New Roman"/>
                <w:sz w:val="20"/>
                <w:szCs w:val="20"/>
              </w:rPr>
            </w:pPr>
            <w:r w:rsidRPr="007E6127">
              <w:rPr>
                <w:rFonts w:ascii="Times New Roman" w:eastAsia="Calibri" w:hAnsi="Times New Roman"/>
                <w:sz w:val="20"/>
                <w:szCs w:val="20"/>
              </w:rPr>
              <w:t>Complete pore plugging model</w:t>
            </w:r>
          </w:p>
        </w:tc>
        <w:tc>
          <w:tcPr>
            <w:tcW w:w="4157" w:type="dxa"/>
            <w:tcBorders>
              <w:bottom w:val="single" w:sz="4" w:space="0" w:color="auto"/>
            </w:tcBorders>
            <w:shd w:val="clear" w:color="auto" w:fill="auto"/>
            <w:vAlign w:val="center"/>
            <w:hideMark/>
          </w:tcPr>
          <w:p w:rsidR="007E6127" w:rsidRPr="007E6127" w:rsidRDefault="00CC30B4" w:rsidP="00FB6AB9">
            <w:pPr>
              <w:spacing w:before="60" w:after="60" w:line="240" w:lineRule="auto"/>
              <w:jc w:val="center"/>
              <w:rPr>
                <w:rFonts w:ascii="Times New Roman" w:eastAsia="Calibri" w:hAnsi="Times New Roman"/>
                <w:sz w:val="20"/>
                <w:szCs w:val="20"/>
              </w:rPr>
            </w:pPr>
            <m:oMathPara>
              <m:oMath>
                <m:f>
                  <m:fPr>
                    <m:ctrlPr>
                      <w:rPr>
                        <w:rFonts w:ascii="Cambria Math" w:hAnsi="Cambria Math"/>
                        <w:i/>
                        <w:sz w:val="20"/>
                        <w:szCs w:val="20"/>
                      </w:rPr>
                    </m:ctrlPr>
                  </m:fPr>
                  <m:num>
                    <m:r>
                      <w:rPr>
                        <w:rFonts w:ascii="Cambria Math" w:hAnsi="Cambria Math"/>
                        <w:sz w:val="20"/>
                        <w:szCs w:val="20"/>
                      </w:rPr>
                      <m:t>dV</m:t>
                    </m:r>
                  </m:num>
                  <m:den>
                    <m:r>
                      <w:rPr>
                        <w:rFonts w:ascii="Cambria Math" w:hAnsi="Cambria Math"/>
                        <w:sz w:val="20"/>
                        <w:szCs w:val="20"/>
                      </w:rPr>
                      <m:t>dt</m:t>
                    </m:r>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3</m:t>
                    </m:r>
                  </m:sub>
                </m:sSub>
                <m:r>
                  <w:rPr>
                    <w:rFonts w:ascii="Cambria Math" w:hAnsi="Cambria Math"/>
                    <w:sz w:val="20"/>
                    <w:szCs w:val="20"/>
                  </w:rPr>
                  <m:t>V</m:t>
                </m:r>
              </m:oMath>
            </m:oMathPara>
          </w:p>
        </w:tc>
      </w:tr>
    </w:tbl>
    <w:p w:rsidR="007E6127" w:rsidRPr="007E6127" w:rsidRDefault="007E6127" w:rsidP="007E6127">
      <w:pPr>
        <w:spacing w:after="0" w:line="240" w:lineRule="auto"/>
        <w:jc w:val="center"/>
        <w:outlineLvl w:val="0"/>
        <w:rPr>
          <w:rFonts w:ascii="Times New Roman" w:hAnsi="Times New Roman"/>
          <w:b/>
          <w:sz w:val="20"/>
          <w:szCs w:val="20"/>
        </w:rPr>
      </w:pPr>
    </w:p>
    <w:p w:rsidR="007E6127" w:rsidRPr="007E6127" w:rsidRDefault="007E6127" w:rsidP="007E6127">
      <w:pPr>
        <w:spacing w:after="0" w:line="240" w:lineRule="auto"/>
        <w:jc w:val="center"/>
        <w:outlineLvl w:val="0"/>
        <w:rPr>
          <w:rFonts w:ascii="Times New Roman" w:hAnsi="Times New Roman"/>
          <w:b/>
          <w:sz w:val="20"/>
          <w:szCs w:val="20"/>
        </w:rPr>
      </w:pPr>
      <w:r w:rsidRPr="007E6127">
        <w:rPr>
          <w:rFonts w:ascii="Times New Roman" w:hAnsi="Times New Roman"/>
          <w:b/>
          <w:sz w:val="20"/>
          <w:szCs w:val="20"/>
        </w:rPr>
        <w:t>Materials and Methods</w:t>
      </w:r>
    </w:p>
    <w:p w:rsidR="007E6127" w:rsidRPr="007E6127" w:rsidRDefault="007E6127" w:rsidP="007E6127">
      <w:pPr>
        <w:pStyle w:val="Heading2"/>
        <w:spacing w:before="0" w:line="240" w:lineRule="auto"/>
        <w:jc w:val="both"/>
        <w:rPr>
          <w:rFonts w:ascii="Times New Roman" w:hAnsi="Times New Roman"/>
          <w:b/>
          <w:i/>
          <w:smallCaps w:val="0"/>
          <w:sz w:val="20"/>
          <w:szCs w:val="20"/>
        </w:rPr>
      </w:pPr>
      <w:r w:rsidRPr="007E6127">
        <w:rPr>
          <w:rFonts w:ascii="Times New Roman" w:hAnsi="Times New Roman"/>
          <w:b/>
          <w:smallCaps w:val="0"/>
          <w:sz w:val="20"/>
          <w:szCs w:val="20"/>
        </w:rPr>
        <w:t>Materials</w:t>
      </w:r>
    </w:p>
    <w:p w:rsidR="007E6127" w:rsidRPr="007E6127" w:rsidRDefault="007E6127" w:rsidP="007E6127">
      <w:pPr>
        <w:pStyle w:val="Heading2"/>
        <w:spacing w:before="0" w:line="240" w:lineRule="auto"/>
        <w:jc w:val="both"/>
        <w:rPr>
          <w:rFonts w:ascii="Times New Roman" w:hAnsi="Times New Roman"/>
          <w:i/>
          <w:smallCaps w:val="0"/>
          <w:sz w:val="20"/>
          <w:szCs w:val="20"/>
        </w:rPr>
      </w:pPr>
      <w:r w:rsidRPr="007E6127">
        <w:rPr>
          <w:rFonts w:ascii="Times New Roman" w:hAnsi="Times New Roman"/>
          <w:smallCaps w:val="0"/>
          <w:sz w:val="20"/>
          <w:szCs w:val="20"/>
        </w:rPr>
        <w:t>Polysulfone commercial ultrafiltration (UF) membranes were chosen in order to minimize uncertainties with respect to the membrane material. The 20 kDa PSF membrane was purchased from Koch. The high purity cellulose was used to prepare the feed solution and was supplied by Sigma Aldrich. The analytical grade glucose, citric acid, tri-sodium citrate were purchased from Nacalai Japan and used as foulant model in the feed solution.</w:t>
      </w:r>
    </w:p>
    <w:p w:rsidR="007E6127" w:rsidRPr="007E6127" w:rsidRDefault="007E6127" w:rsidP="007E6127">
      <w:pPr>
        <w:pStyle w:val="Heading2"/>
        <w:spacing w:before="0" w:line="240" w:lineRule="auto"/>
        <w:jc w:val="both"/>
        <w:rPr>
          <w:rFonts w:ascii="Times New Roman" w:hAnsi="Times New Roman"/>
          <w:i/>
          <w:smallCaps w:val="0"/>
          <w:sz w:val="20"/>
          <w:szCs w:val="20"/>
        </w:rPr>
      </w:pPr>
    </w:p>
    <w:p w:rsidR="007E6127" w:rsidRPr="007E6127" w:rsidRDefault="007E6127" w:rsidP="007E6127">
      <w:pPr>
        <w:pStyle w:val="Heading2"/>
        <w:spacing w:before="0" w:line="240" w:lineRule="auto"/>
        <w:jc w:val="both"/>
        <w:rPr>
          <w:rFonts w:ascii="Times New Roman" w:hAnsi="Times New Roman"/>
          <w:b/>
          <w:i/>
          <w:smallCaps w:val="0"/>
          <w:sz w:val="20"/>
          <w:szCs w:val="20"/>
        </w:rPr>
      </w:pPr>
      <w:r w:rsidRPr="007E6127">
        <w:rPr>
          <w:rFonts w:ascii="Times New Roman" w:hAnsi="Times New Roman"/>
          <w:b/>
          <w:smallCaps w:val="0"/>
          <w:sz w:val="20"/>
          <w:szCs w:val="20"/>
        </w:rPr>
        <w:t xml:space="preserve">Characterization of model cellulose hydrolysate </w:t>
      </w:r>
    </w:p>
    <w:p w:rsidR="007E6127" w:rsidRPr="007E6127" w:rsidRDefault="007E6127" w:rsidP="007E6127">
      <w:pPr>
        <w:pStyle w:val="Heading2"/>
        <w:spacing w:before="0" w:line="240" w:lineRule="auto"/>
        <w:jc w:val="both"/>
        <w:rPr>
          <w:rFonts w:ascii="Times New Roman" w:hAnsi="Times New Roman"/>
          <w:i/>
          <w:smallCaps w:val="0"/>
          <w:sz w:val="20"/>
          <w:szCs w:val="20"/>
        </w:rPr>
      </w:pPr>
      <w:r w:rsidRPr="007E6127">
        <w:rPr>
          <w:rFonts w:ascii="Times New Roman" w:hAnsi="Times New Roman"/>
          <w:smallCaps w:val="0"/>
          <w:sz w:val="20"/>
          <w:szCs w:val="20"/>
        </w:rPr>
        <w:t xml:space="preserve">In this study, a model of cellulose hydrolysate was formed by mixing microcrystalline cellulose powder, glucose and cellulase enzymes. The hydrolysate was analyzed for molecular weight and isoelectric point (IEP). 6% (w/w) microcrystalline cellulose, 33.3 g/l glucose and 8FPU cellulase were added in reverse osmosis water and mixed well for 30 minutes. Gel electrophoresis in denaturing conditions was performed in sodium dodecyl sulfate (SDS-PAGE) according to the method by Laemmli (1970) resolving gel consisted of 15% polyacrylamide in Tris-HCl (1.5M, pH 8.8), while stacking gel consisted of 4.5% polyacrylamide in Tris-HCl (1.0 M, pH 6.8). Sample solutions were mixed at 1:2 (v/v) ratios with the sample buffer and heated at 90 °C for 3 minutes before loading. Aliquots of 40 – 42 µL samples were loaded into individual wells and a constant current was passed through the gel for 2 h to obtain separation of the peptides. Protein markers 10 – 260 kDa was used for molecular-weight determination. The gel sheets were stained with Gelcode Blue Safe Protein stain </w:t>
      </w:r>
      <w:r w:rsidRPr="007E6127">
        <w:rPr>
          <w:rFonts w:ascii="Times New Roman" w:hAnsi="Times New Roman"/>
          <w:i/>
          <w:smallCaps w:val="0"/>
          <w:sz w:val="20"/>
          <w:szCs w:val="20"/>
        </w:rPr>
        <w:fldChar w:fldCharType="begin"/>
      </w:r>
      <w:r w:rsidRPr="007E6127">
        <w:rPr>
          <w:rFonts w:ascii="Times New Roman" w:hAnsi="Times New Roman"/>
          <w:smallCaps w:val="0"/>
          <w:sz w:val="20"/>
          <w:szCs w:val="20"/>
        </w:rPr>
        <w:instrText xml:space="preserve"> ADDIN EN.CITE &lt;EndNote&gt;&lt;Cite&gt;&lt;Author&gt;Suhimi&lt;/Author&gt;&lt;Year&gt;2013&lt;/Year&gt;&lt;RecNum&gt;148&lt;/RecNum&gt;&lt;DisplayText&gt;(12)&lt;/DisplayText&gt;&lt;record&gt;&lt;rec-number&gt;148&lt;/rec-number&gt;&lt;foreign-keys&gt;&lt;key app="EN" db-id="90t9x505xtrfvwep0edvaa5g5zvxwz5zr0wa"&gt;148&lt;/key&gt;&lt;/foreign-keys&gt;&lt;ref-type name="Journal Article"&gt;17&lt;/ref-type&gt;&lt;contributors&gt;&lt;authors&gt;&lt;author&gt;Suhimi, N.M., Mohammad, A.W. &amp;amp; Jahim, J.M&lt;/author&gt;&lt;/authors&gt;&lt;/contributors&gt;&lt;titles&gt;&lt;title&gt;Production and Characterization of Hydrolyzed Collagen Derived from Enzymatic Hydrolysis of type-B Gelatin. &lt;/title&gt;&lt;secondary-title&gt;Proceeding of the 8th CIGR Section VI International Technical Symposium “Advanced Food Processing and Quality Management”.&lt;/secondary-title&gt;&lt;/titles&gt;&lt;periodical&gt;&lt;full-title&gt;Proceeding of the 8th CIGR Section VI International Technical Symposium “Advanced Food Processing and Quality Management”.&lt;/full-title&gt;&lt;/periodical&gt;&lt;dates&gt;&lt;year&gt;2013&lt;/year&gt;&lt;/dates&gt;&lt;urls&gt;&lt;/urls&gt;&lt;/record&gt;&lt;/Cite&gt;&lt;/EndNote&gt;</w:instrText>
      </w:r>
      <w:r w:rsidRPr="007E6127">
        <w:rPr>
          <w:rFonts w:ascii="Times New Roman" w:hAnsi="Times New Roman"/>
          <w:i/>
          <w:smallCaps w:val="0"/>
          <w:sz w:val="20"/>
          <w:szCs w:val="20"/>
        </w:rPr>
        <w:fldChar w:fldCharType="separate"/>
      </w:r>
      <w:r w:rsidRPr="007E6127">
        <w:rPr>
          <w:rFonts w:ascii="Times New Roman" w:hAnsi="Times New Roman"/>
          <w:smallCaps w:val="0"/>
          <w:sz w:val="20"/>
          <w:szCs w:val="20"/>
        </w:rPr>
        <w:t>[</w:t>
      </w:r>
      <w:hyperlink w:anchor="_ENREF_12" w:tooltip="Suhimi, 2013 #148" w:history="1">
        <w:r w:rsidRPr="007E6127">
          <w:rPr>
            <w:rFonts w:ascii="Times New Roman" w:hAnsi="Times New Roman"/>
            <w:smallCaps w:val="0"/>
            <w:sz w:val="20"/>
            <w:szCs w:val="20"/>
          </w:rPr>
          <w:t>12</w:t>
        </w:r>
      </w:hyperlink>
      <w:r w:rsidRPr="007E6127">
        <w:rPr>
          <w:rFonts w:ascii="Times New Roman" w:hAnsi="Times New Roman"/>
          <w:smallCaps w:val="0"/>
          <w:sz w:val="20"/>
          <w:szCs w:val="20"/>
        </w:rPr>
        <w:t>]</w:t>
      </w:r>
      <w:r w:rsidRPr="007E6127">
        <w:rPr>
          <w:rFonts w:ascii="Times New Roman" w:hAnsi="Times New Roman"/>
          <w:i/>
          <w:smallCaps w:val="0"/>
          <w:sz w:val="20"/>
          <w:szCs w:val="20"/>
        </w:rPr>
        <w:fldChar w:fldCharType="end"/>
      </w:r>
      <w:r w:rsidRPr="007E6127">
        <w:rPr>
          <w:rFonts w:ascii="Times New Roman" w:hAnsi="Times New Roman"/>
          <w:smallCaps w:val="0"/>
          <w:sz w:val="20"/>
          <w:szCs w:val="20"/>
        </w:rPr>
        <w:t>. As for the determination of isoelectric point (IEP) of cellulose hydrolysate, the zeta potential at a given pH was recorded by a zeta potential titration apparatus using Malvern Zetasizer Nano ZS, UK. The IEP of the hydrolysate was determined where the zeta potential was zero at the pH value.</w:t>
      </w:r>
    </w:p>
    <w:p w:rsidR="007E6127" w:rsidRPr="007E6127" w:rsidRDefault="007E6127" w:rsidP="007E6127">
      <w:pPr>
        <w:pStyle w:val="Heading2"/>
        <w:spacing w:before="0" w:line="240" w:lineRule="auto"/>
        <w:jc w:val="both"/>
        <w:rPr>
          <w:rFonts w:ascii="Times New Roman" w:hAnsi="Times New Roman"/>
          <w:i/>
          <w:smallCaps w:val="0"/>
          <w:sz w:val="20"/>
          <w:szCs w:val="20"/>
        </w:rPr>
      </w:pPr>
    </w:p>
    <w:p w:rsidR="007E6127" w:rsidRPr="007E6127" w:rsidRDefault="007E6127" w:rsidP="007E6127">
      <w:pPr>
        <w:pStyle w:val="Heading2"/>
        <w:spacing w:before="0" w:line="240" w:lineRule="auto"/>
        <w:jc w:val="both"/>
        <w:rPr>
          <w:rFonts w:ascii="Times New Roman" w:hAnsi="Times New Roman"/>
          <w:b/>
          <w:i/>
          <w:smallCaps w:val="0"/>
          <w:sz w:val="20"/>
          <w:szCs w:val="20"/>
        </w:rPr>
      </w:pPr>
      <w:r w:rsidRPr="007E6127">
        <w:rPr>
          <w:rFonts w:ascii="Times New Roman" w:hAnsi="Times New Roman"/>
          <w:b/>
          <w:smallCaps w:val="0"/>
          <w:sz w:val="20"/>
          <w:szCs w:val="20"/>
        </w:rPr>
        <w:t xml:space="preserve">Ultrafiltration process </w:t>
      </w:r>
    </w:p>
    <w:p w:rsidR="007E6127" w:rsidRPr="007E6127" w:rsidRDefault="007E6127" w:rsidP="007E6127">
      <w:pPr>
        <w:pStyle w:val="Heading2"/>
        <w:spacing w:before="0" w:line="240" w:lineRule="auto"/>
        <w:jc w:val="both"/>
        <w:rPr>
          <w:rFonts w:ascii="Times New Roman" w:hAnsi="Times New Roman"/>
          <w:i/>
          <w:smallCaps w:val="0"/>
          <w:sz w:val="20"/>
          <w:szCs w:val="20"/>
        </w:rPr>
      </w:pPr>
      <w:r w:rsidRPr="007E6127">
        <w:rPr>
          <w:rFonts w:ascii="Times New Roman" w:hAnsi="Times New Roman"/>
          <w:smallCaps w:val="0"/>
          <w:sz w:val="20"/>
          <w:szCs w:val="20"/>
        </w:rPr>
        <w:t>The 20 kDa polysulfone membrane purchase from Koch was employed throughout the present study. The active membrane surface area was 14.67 cm2. Fresh membranes were soaked in pure water overnight prior to each run to remove the preservative liquids from the manufacturer before used. Experiments were performed in the dead end stirred cell (Sterlitech HP4750). The stirred cell is equipped with single blade stirrer and rotates at 500 rpm to minimize the layer formation of high solution concentration in the adjacent areas at membrane surface and to prevent the formation of a series vortex in the cell. The operation pressure in the system was maintained by nitrogen gas. The feed solution was conducted under constant pressure at 2 bar. Permeate flux was calculated based on the mass of permeate collected on the balance for about 60 minutes.</w:t>
      </w:r>
    </w:p>
    <w:p w:rsidR="007E6127" w:rsidRPr="007E6127" w:rsidRDefault="007E6127" w:rsidP="007E6127">
      <w:pPr>
        <w:spacing w:after="0" w:line="240" w:lineRule="auto"/>
        <w:jc w:val="both"/>
        <w:rPr>
          <w:rFonts w:ascii="Times New Roman" w:hAnsi="Times New Roman"/>
          <w:sz w:val="20"/>
          <w:szCs w:val="20"/>
        </w:rPr>
      </w:pPr>
    </w:p>
    <w:p w:rsidR="007E6127" w:rsidRPr="007E6127" w:rsidRDefault="00055E47" w:rsidP="007E6127">
      <w:pPr>
        <w:pStyle w:val="Heading2"/>
        <w:spacing w:before="0" w:line="240" w:lineRule="auto"/>
        <w:jc w:val="both"/>
        <w:rPr>
          <w:rFonts w:ascii="Times New Roman" w:hAnsi="Times New Roman"/>
          <w:b/>
          <w:i/>
          <w:smallCaps w:val="0"/>
          <w:sz w:val="20"/>
          <w:szCs w:val="20"/>
        </w:rPr>
      </w:pPr>
      <w:r>
        <w:rPr>
          <w:rFonts w:ascii="Times New Roman" w:hAnsi="Times New Roman"/>
          <w:b/>
          <w:smallCaps w:val="0"/>
          <w:sz w:val="20"/>
          <w:szCs w:val="20"/>
        </w:rPr>
        <w:t xml:space="preserve">Analytical </w:t>
      </w:r>
      <w:r>
        <w:rPr>
          <w:rFonts w:ascii="Times New Roman" w:hAnsi="Times New Roman"/>
          <w:b/>
          <w:smallCaps w:val="0"/>
          <w:sz w:val="20"/>
          <w:szCs w:val="20"/>
          <w:lang w:val="en-US"/>
        </w:rPr>
        <w:t>m</w:t>
      </w:r>
      <w:r w:rsidR="007E6127" w:rsidRPr="007E6127">
        <w:rPr>
          <w:rFonts w:ascii="Times New Roman" w:hAnsi="Times New Roman"/>
          <w:b/>
          <w:smallCaps w:val="0"/>
          <w:sz w:val="20"/>
          <w:szCs w:val="20"/>
        </w:rPr>
        <w:t>ethods</w:t>
      </w:r>
    </w:p>
    <w:p w:rsidR="006768E9" w:rsidRPr="00FB6AB9" w:rsidRDefault="007E6127" w:rsidP="00FB6AB9">
      <w:pPr>
        <w:pStyle w:val="Heading2"/>
        <w:spacing w:before="0" w:line="240" w:lineRule="auto"/>
        <w:jc w:val="both"/>
        <w:rPr>
          <w:rFonts w:ascii="Times New Roman" w:hAnsi="Times New Roman"/>
          <w:i/>
          <w:smallCaps w:val="0"/>
          <w:sz w:val="20"/>
          <w:szCs w:val="20"/>
          <w:lang w:val="en-US"/>
        </w:rPr>
      </w:pPr>
      <w:r w:rsidRPr="007E6127">
        <w:rPr>
          <w:rFonts w:ascii="Times New Roman" w:hAnsi="Times New Roman"/>
          <w:smallCaps w:val="0"/>
          <w:sz w:val="20"/>
          <w:szCs w:val="20"/>
        </w:rPr>
        <w:t xml:space="preserve">Glucose content was analysed by HPLC (Agilent G1311A) equipped with refractive index (RI) detector and Rezex ROA column (300 x 7.80mm). An amout 0.005 N H2SO4 was used as the mobile phase as a flow rate of 0.6 ml/min and the column temperature was maintained at 60 °C. Protein concentration was measured by the Bradford protein assay using bovine serum albumin (BSA) as standard </w:t>
      </w:r>
      <w:r w:rsidRPr="007E6127">
        <w:rPr>
          <w:rFonts w:ascii="Times New Roman" w:hAnsi="Times New Roman"/>
          <w:i/>
          <w:smallCaps w:val="0"/>
          <w:sz w:val="20"/>
          <w:szCs w:val="20"/>
        </w:rPr>
        <w:fldChar w:fldCharType="begin"/>
      </w:r>
      <w:r w:rsidRPr="007E6127">
        <w:rPr>
          <w:rFonts w:ascii="Times New Roman" w:hAnsi="Times New Roman"/>
          <w:smallCaps w:val="0"/>
          <w:sz w:val="20"/>
          <w:szCs w:val="20"/>
        </w:rPr>
        <w:instrText xml:space="preserve"> ADDIN EN.CITE &lt;EndNote&gt;&lt;Cite&gt;&lt;Author&gt;Bradford&lt;/Author&gt;&lt;Year&gt;1976&lt;/Year&gt;&lt;RecNum&gt;155&lt;/RecNum&gt;&lt;DisplayText&gt;(13)&lt;/DisplayText&gt;&lt;record&gt;&lt;rec-number&gt;155&lt;/rec-number&gt;&lt;foreign-keys&gt;&lt;key app="EN" db-id="90t9x505xtrfvwep0edvaa5g5zvxwz5zr0wa"&gt;155&lt;/key&gt;&lt;/foreign-keys&gt;&lt;ref-type name="Journal Article"&gt;17&lt;/ref-type&gt;&lt;contributors&gt;&lt;authors&gt;&lt;author&gt;Bradford, M.M&lt;/author&gt;&lt;/authors&gt;&lt;/contributors&gt;&lt;titles&gt;&lt;title&gt; A rapid and sensitive method for the quantitation of microgram quantities of protein utilizing the principle of protein-dye binding&lt;/title&gt;&lt;secondary-title&gt;Anal. Biochem. Emg./Biotechnol&lt;/secondary-title&gt;&lt;/titles&gt;&lt;periodical&gt;&lt;full-title&gt;Anal. Biochem. Emg./Biotechnol&lt;/full-title&gt;&lt;/periodical&gt;&lt;pages&gt;108:67-93.&lt;/pages&gt;&lt;dates&gt;&lt;year&gt;1976&lt;/year&gt;&lt;/dates&gt;&lt;urls&gt;&lt;/urls&gt;&lt;/record&gt;&lt;/Cite&gt;&lt;/EndNote&gt;</w:instrText>
      </w:r>
      <w:r w:rsidRPr="007E6127">
        <w:rPr>
          <w:rFonts w:ascii="Times New Roman" w:hAnsi="Times New Roman"/>
          <w:i/>
          <w:smallCaps w:val="0"/>
          <w:sz w:val="20"/>
          <w:szCs w:val="20"/>
        </w:rPr>
        <w:fldChar w:fldCharType="separate"/>
      </w:r>
      <w:r w:rsidRPr="007E6127">
        <w:rPr>
          <w:rFonts w:ascii="Times New Roman" w:hAnsi="Times New Roman"/>
          <w:smallCaps w:val="0"/>
          <w:sz w:val="20"/>
          <w:szCs w:val="20"/>
        </w:rPr>
        <w:t>[</w:t>
      </w:r>
      <w:hyperlink w:anchor="_ENREF_13" w:tooltip="Bradford, 1976 #155" w:history="1">
        <w:r w:rsidRPr="007E6127">
          <w:rPr>
            <w:rFonts w:ascii="Times New Roman" w:hAnsi="Times New Roman"/>
            <w:smallCaps w:val="0"/>
            <w:sz w:val="20"/>
            <w:szCs w:val="20"/>
          </w:rPr>
          <w:t>13</w:t>
        </w:r>
      </w:hyperlink>
      <w:r w:rsidRPr="007E6127">
        <w:rPr>
          <w:rFonts w:ascii="Times New Roman" w:hAnsi="Times New Roman"/>
          <w:smallCaps w:val="0"/>
          <w:sz w:val="20"/>
          <w:szCs w:val="20"/>
        </w:rPr>
        <w:t>]</w:t>
      </w:r>
      <w:r w:rsidRPr="007E6127">
        <w:rPr>
          <w:rFonts w:ascii="Times New Roman" w:hAnsi="Times New Roman"/>
          <w:i/>
          <w:smallCaps w:val="0"/>
          <w:sz w:val="20"/>
          <w:szCs w:val="20"/>
        </w:rPr>
        <w:fldChar w:fldCharType="end"/>
      </w:r>
      <w:r w:rsidRPr="007E6127">
        <w:rPr>
          <w:rFonts w:ascii="Times New Roman" w:hAnsi="Times New Roman"/>
          <w:smallCaps w:val="0"/>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FB6AB9"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Result and Discussion</w:t>
      </w:r>
    </w:p>
    <w:p w:rsidR="00FB6AB9" w:rsidRPr="00FB6AB9" w:rsidRDefault="00FB6AB9" w:rsidP="00FB6AB9">
      <w:pPr>
        <w:pStyle w:val="Heading2"/>
        <w:spacing w:before="0" w:line="240" w:lineRule="auto"/>
        <w:jc w:val="both"/>
        <w:rPr>
          <w:rFonts w:ascii="Times New Roman" w:hAnsi="Times New Roman"/>
          <w:b/>
          <w:i/>
          <w:smallCaps w:val="0"/>
          <w:sz w:val="20"/>
          <w:szCs w:val="20"/>
        </w:rPr>
      </w:pPr>
      <w:r w:rsidRPr="00FB6AB9">
        <w:rPr>
          <w:rFonts w:ascii="Times New Roman" w:hAnsi="Times New Roman"/>
          <w:b/>
          <w:smallCaps w:val="0"/>
          <w:sz w:val="20"/>
          <w:szCs w:val="20"/>
        </w:rPr>
        <w:t xml:space="preserve">Characterisation of cellulose hydrolysate </w:t>
      </w:r>
    </w:p>
    <w:p w:rsidR="00FB6AB9" w:rsidRPr="007A27AC" w:rsidRDefault="00FB6AB9" w:rsidP="00FB6AB9">
      <w:pPr>
        <w:pStyle w:val="Heading2"/>
        <w:spacing w:before="0" w:line="240" w:lineRule="auto"/>
        <w:jc w:val="both"/>
        <w:rPr>
          <w:rFonts w:ascii="Times New Roman" w:hAnsi="Times New Roman"/>
          <w:smallCaps w:val="0"/>
          <w:sz w:val="20"/>
          <w:szCs w:val="20"/>
          <w:lang w:val="en-US"/>
        </w:rPr>
      </w:pPr>
      <w:r w:rsidRPr="00FB6AB9">
        <w:rPr>
          <w:rFonts w:ascii="Times New Roman" w:hAnsi="Times New Roman"/>
          <w:smallCaps w:val="0"/>
          <w:sz w:val="20"/>
          <w:szCs w:val="20"/>
        </w:rPr>
        <w:t>Fractionation is controlled by the membrane pore size and the operating parameters. Determination of molecular size of the retained macromolecules is essential as size can be the criterion for separation. UF membranes retain 90% of molecular mass in daltons of a macrosolute, so a specific small molecule can be fractionated into permeate from the hydrolysate. In concentrating glucose via ultrafiltration process, glucose will be allowed to pass through membrane pores while the enzymes will be retained for recycle. Molecular weight of cellulose hydrolysate was analyzed by SDS polyacrylamide gel electrophores</w:t>
      </w:r>
      <w:r w:rsidR="007A27AC">
        <w:rPr>
          <w:rFonts w:ascii="Times New Roman" w:hAnsi="Times New Roman"/>
          <w:smallCaps w:val="0"/>
          <w:sz w:val="20"/>
          <w:szCs w:val="20"/>
        </w:rPr>
        <w:t xml:space="preserve">is (Figure 1). From </w:t>
      </w:r>
      <w:r w:rsidR="007A27AC">
        <w:rPr>
          <w:rFonts w:ascii="Times New Roman" w:hAnsi="Times New Roman"/>
          <w:smallCaps w:val="0"/>
          <w:sz w:val="20"/>
          <w:szCs w:val="20"/>
          <w:lang w:val="en-US"/>
        </w:rPr>
        <w:t>F</w:t>
      </w:r>
      <w:r w:rsidRPr="00FB6AB9">
        <w:rPr>
          <w:rFonts w:ascii="Times New Roman" w:hAnsi="Times New Roman"/>
          <w:smallCaps w:val="0"/>
          <w:sz w:val="20"/>
          <w:szCs w:val="20"/>
        </w:rPr>
        <w:t xml:space="preserve">igure 1 it was shown that the molecular weight of hydrolysates was 70 kDa. Similar result has also been reported by Andersen et al. </w:t>
      </w:r>
      <w:r w:rsidRPr="00FB6AB9">
        <w:rPr>
          <w:rFonts w:ascii="Times New Roman" w:hAnsi="Times New Roman"/>
          <w:i/>
          <w:smallCaps w:val="0"/>
          <w:sz w:val="20"/>
          <w:szCs w:val="20"/>
        </w:rPr>
        <w:fldChar w:fldCharType="begin"/>
      </w:r>
      <w:r w:rsidRPr="00FB6AB9">
        <w:rPr>
          <w:rFonts w:ascii="Times New Roman" w:hAnsi="Times New Roman"/>
          <w:smallCaps w:val="0"/>
          <w:sz w:val="20"/>
          <w:szCs w:val="20"/>
        </w:rPr>
        <w:instrText xml:space="preserve"> ADDIN EN.CITE &lt;EndNote&gt;&lt;Cite&gt;&lt;Author&gt;Andersen&lt;/Author&gt;&lt;Year&gt;2008&lt;/Year&gt;&lt;RecNum&gt;136&lt;/RecNum&gt;&lt;DisplayText&gt;(14)&lt;/DisplayText&gt;&lt;record&gt;&lt;rec-number&gt;136&lt;/rec-number&gt;&lt;foreign-keys&gt;&lt;key app="EN" db-id="90t9x505xtrfvwep0edvaa5g5zvxwz5zr0wa"&gt;136&lt;/key&gt;&lt;/foreign-keys&gt;&lt;ref-type name="Journal Article"&gt;17&lt;/ref-type&gt;&lt;contributors&gt;&lt;authors&gt;&lt;author&gt;Andersen, Natalija&lt;/author&gt;&lt;author&gt;Johansen, Katja S.&lt;/author&gt;&lt;author&gt;Michelsen, Michael&lt;/author&gt;&lt;author&gt;Stenby, Erling H.&lt;/author&gt;&lt;author&gt;Krogh, Kristian B. R. M.&lt;/author&gt;&lt;author&gt;Olsson, Lisbeth&lt;/author&gt;&lt;/authors&gt;&lt;/contributors&gt;&lt;titles&gt;&lt;title&gt;Hydrolysis of cellulose using mono-component enzymes shows synergy during hydrolysis of phosphoric acid swollen cellulose (PASC), but competition on Avicel&lt;/title&gt;&lt;secondary-title&gt;Enzyme and Microbial Technology&lt;/secondary-title&gt;&lt;/titles&gt;&lt;periodical&gt;&lt;full-title&gt;Enzyme and microbial technology&lt;/full-title&gt;&lt;/periodical&gt;&lt;pages&gt;362-370&lt;/pages&gt;&lt;volume&gt;42&lt;/volume&gt;&lt;number&gt;4&lt;/number&gt;&lt;keywords&gt;&lt;keyword&gt;Ternary enzyme mixture&lt;/keyword&gt;&lt;keyword&gt;Endo-glucanase Cel45A&lt;/keyword&gt;&lt;keyword&gt;Cellobiohydrolase Cel6A&lt;/keyword&gt;&lt;keyword&gt;β-Glucosidase Cel3A&lt;/keyword&gt;&lt;keyword&gt;Humicola insolens&lt;/keyword&gt;&lt;keyword&gt;Penicillium brasilianum&lt;/keyword&gt;&lt;/keywords&gt;&lt;dates&gt;&lt;year&gt;2008&lt;/year&gt;&lt;pub-dates&gt;&lt;date&gt;3/4/&lt;/date&gt;&lt;/pub-dates&gt;&lt;/dates&gt;&lt;isbn&gt;0141-0229&lt;/isbn&gt;&lt;urls&gt;&lt;related-urls&gt;&lt;url&gt;http://www.sciencedirect.com/science/article/pii/S0141022907003456&lt;/url&gt;&lt;/related-urls&gt;&lt;/urls&gt;&lt;electronic-resource-num&gt;http://dx.doi.org/10.1016/j.enzmictec.2007.11.018&lt;/electronic-resource-num&gt;&lt;/record&gt;&lt;/Cite&gt;&lt;/EndNote&gt;</w:instrText>
      </w:r>
      <w:r w:rsidRPr="00FB6AB9">
        <w:rPr>
          <w:rFonts w:ascii="Times New Roman" w:hAnsi="Times New Roman"/>
          <w:i/>
          <w:smallCaps w:val="0"/>
          <w:sz w:val="20"/>
          <w:szCs w:val="20"/>
        </w:rPr>
        <w:fldChar w:fldCharType="separate"/>
      </w:r>
      <w:r w:rsidRPr="00FB6AB9">
        <w:rPr>
          <w:rFonts w:ascii="Times New Roman" w:hAnsi="Times New Roman"/>
          <w:smallCaps w:val="0"/>
          <w:sz w:val="20"/>
          <w:szCs w:val="20"/>
        </w:rPr>
        <w:t>[</w:t>
      </w:r>
      <w:hyperlink w:anchor="_ENREF_14" w:tooltip="Andersen, 2008 #136" w:history="1">
        <w:r w:rsidRPr="00FB6AB9">
          <w:rPr>
            <w:rFonts w:ascii="Times New Roman" w:hAnsi="Times New Roman"/>
            <w:smallCaps w:val="0"/>
            <w:sz w:val="20"/>
            <w:szCs w:val="20"/>
          </w:rPr>
          <w:t>14</w:t>
        </w:r>
      </w:hyperlink>
      <w:r w:rsidRPr="00FB6AB9">
        <w:rPr>
          <w:rFonts w:ascii="Times New Roman" w:hAnsi="Times New Roman"/>
          <w:smallCaps w:val="0"/>
          <w:sz w:val="20"/>
          <w:szCs w:val="20"/>
        </w:rPr>
        <w:t>]</w:t>
      </w:r>
      <w:r w:rsidRPr="00FB6AB9">
        <w:rPr>
          <w:rFonts w:ascii="Times New Roman" w:hAnsi="Times New Roman"/>
          <w:i/>
          <w:smallCaps w:val="0"/>
          <w:sz w:val="20"/>
          <w:szCs w:val="20"/>
        </w:rPr>
        <w:fldChar w:fldCharType="end"/>
      </w:r>
      <w:r w:rsidRPr="00FB6AB9">
        <w:rPr>
          <w:rFonts w:ascii="Times New Roman" w:hAnsi="Times New Roman"/>
          <w:smallCaps w:val="0"/>
          <w:sz w:val="20"/>
          <w:szCs w:val="20"/>
        </w:rPr>
        <w:t xml:space="preserve"> as 70 kDa calculated with the average cellulase enzyme in MW.</w:t>
      </w:r>
    </w:p>
    <w:p w:rsidR="00FB6AB9" w:rsidRDefault="00FB6AB9" w:rsidP="00FB6AB9">
      <w:pPr>
        <w:spacing w:after="0" w:line="240" w:lineRule="auto"/>
        <w:jc w:val="both"/>
        <w:rPr>
          <w:rFonts w:ascii="Times New Roman" w:hAnsi="Times New Roman"/>
          <w:sz w:val="20"/>
          <w:szCs w:val="20"/>
        </w:rPr>
      </w:pPr>
    </w:p>
    <w:p w:rsidR="00FB6AB9" w:rsidRPr="00FB6AB9" w:rsidRDefault="00FB6AB9" w:rsidP="00FB6AB9">
      <w:pPr>
        <w:spacing w:after="0" w:line="240" w:lineRule="auto"/>
        <w:jc w:val="both"/>
        <w:rPr>
          <w:rFonts w:ascii="Times New Roman" w:hAnsi="Times New Roman"/>
          <w:sz w:val="20"/>
          <w:szCs w:val="20"/>
        </w:rPr>
      </w:pPr>
      <w:r w:rsidRPr="00FB6AB9">
        <w:rPr>
          <w:rFonts w:ascii="Times New Roman" w:hAnsi="Times New Roman"/>
          <w:sz w:val="20"/>
          <w:szCs w:val="20"/>
        </w:rPr>
        <w:t xml:space="preserve">Amino acids in the protein contain both a basic and an acidic group because of the amphoteric character that can be positive or negative charge depending on the pH of the solution. If the amino acids did not migrate in the electrical field, which is it is not positive nor is negative charge, this conditions called as the IEP of the amino acids </w:t>
      </w:r>
      <w:r w:rsidRPr="00FB6AB9">
        <w:rPr>
          <w:rFonts w:ascii="Times New Roman" w:hAnsi="Times New Roman"/>
          <w:sz w:val="20"/>
          <w:szCs w:val="20"/>
        </w:rPr>
        <w:fldChar w:fldCharType="begin"/>
      </w:r>
      <w:r w:rsidRPr="00FB6AB9">
        <w:rPr>
          <w:rFonts w:ascii="Times New Roman" w:hAnsi="Times New Roman"/>
          <w:sz w:val="20"/>
          <w:szCs w:val="20"/>
        </w:rPr>
        <w:instrText xml:space="preserve"> ADDIN EN.CITE &lt;EndNote&gt;&lt;Cite&gt;&lt;Author&gt;Mulder&lt;/Author&gt;&lt;Year&gt;2000&lt;/Year&gt;&lt;RecNum&gt;149&lt;/RecNum&gt;&lt;DisplayText&gt;(15)&lt;/DisplayText&gt;&lt;record&gt;&lt;rec-number&gt;149&lt;/rec-number&gt;&lt;foreign-keys&gt;&lt;key app="EN" db-id="90t9x505xtrfvwep0edvaa5g5zvxwz5zr0wa"&gt;149&lt;/key&gt;&lt;/foreign-keys&gt;&lt;ref-type name="Journal Article"&gt;17&lt;/ref-type&gt;&lt;contributors&gt;&lt;authors&gt;&lt;author&gt;Mulder,M&lt;/author&gt;&lt;/authors&gt;&lt;/contributors&gt;&lt;titles&gt;&lt;title&gt; Basic principles of membrane technology&lt;/title&gt;&lt;/titles&gt;&lt;pages&gt;pp 387&lt;/pages&gt;&lt;dates&gt;&lt;year&gt;2000&lt;/year&gt;&lt;/dates&gt;&lt;orig-pub&gt;Kluwer Academic Publishers&lt;/orig-pub&gt;&lt;urls&gt;&lt;/urls&gt;&lt;/record&gt;&lt;/Cite&gt;&lt;/EndNote&gt;</w:instrText>
      </w:r>
      <w:r w:rsidRPr="00FB6AB9">
        <w:rPr>
          <w:rFonts w:ascii="Times New Roman" w:hAnsi="Times New Roman"/>
          <w:sz w:val="20"/>
          <w:szCs w:val="20"/>
        </w:rPr>
        <w:fldChar w:fldCharType="separate"/>
      </w:r>
      <w:r w:rsidRPr="00FB6AB9">
        <w:rPr>
          <w:rFonts w:ascii="Times New Roman" w:hAnsi="Times New Roman"/>
          <w:noProof/>
          <w:sz w:val="20"/>
          <w:szCs w:val="20"/>
        </w:rPr>
        <w:t>[</w:t>
      </w:r>
      <w:hyperlink w:anchor="_ENREF_15" w:tooltip="Mulder, 2000 #149" w:history="1">
        <w:r w:rsidRPr="00FB6AB9">
          <w:rPr>
            <w:rFonts w:ascii="Times New Roman" w:hAnsi="Times New Roman"/>
            <w:noProof/>
            <w:sz w:val="20"/>
            <w:szCs w:val="20"/>
          </w:rPr>
          <w:t>15</w:t>
        </w:r>
      </w:hyperlink>
      <w:r w:rsidRPr="00FB6AB9">
        <w:rPr>
          <w:rFonts w:ascii="Times New Roman" w:hAnsi="Times New Roman"/>
          <w:noProof/>
          <w:sz w:val="20"/>
          <w:szCs w:val="20"/>
        </w:rPr>
        <w:t>]</w:t>
      </w:r>
      <w:r w:rsidRPr="00FB6AB9">
        <w:rPr>
          <w:rFonts w:ascii="Times New Roman" w:hAnsi="Times New Roman"/>
          <w:sz w:val="20"/>
          <w:szCs w:val="20"/>
        </w:rPr>
        <w:fldChar w:fldCharType="end"/>
      </w:r>
      <w:r w:rsidRPr="00FB6AB9">
        <w:rPr>
          <w:rFonts w:ascii="Times New Roman" w:hAnsi="Times New Roman"/>
          <w:sz w:val="20"/>
          <w:szCs w:val="20"/>
        </w:rPr>
        <w:t>. The isoelectric point is one of the characteristics parameter for a protein, as different proteins have different value of isoelectric point. IEP has important effects on the properties of cellulose hydrolysate solution in membrane process. By adjusting the pH, a complete separation of various proteins can be obtained. The isoelectric point of cellulose hydrolysate was 3.9.</w:t>
      </w:r>
    </w:p>
    <w:p w:rsidR="00FB6AB9" w:rsidRDefault="00FB6AB9" w:rsidP="00FB6AB9">
      <w:pPr>
        <w:spacing w:after="0" w:line="240" w:lineRule="auto"/>
        <w:jc w:val="both"/>
        <w:rPr>
          <w:rFonts w:ascii="Times New Roman" w:hAnsi="Times New Roman"/>
          <w:sz w:val="20"/>
          <w:szCs w:val="20"/>
        </w:rPr>
      </w:pPr>
    </w:p>
    <w:p w:rsidR="00FB6AB9" w:rsidRPr="00FB6AB9" w:rsidRDefault="00FB6AB9" w:rsidP="00FB6AB9">
      <w:pPr>
        <w:spacing w:after="0" w:line="240" w:lineRule="auto"/>
        <w:jc w:val="both"/>
        <w:rPr>
          <w:rFonts w:ascii="Times New Roman" w:hAnsi="Times New Roman"/>
          <w:sz w:val="20"/>
          <w:szCs w:val="20"/>
        </w:rPr>
      </w:pPr>
    </w:p>
    <w:p w:rsidR="00FB6AB9" w:rsidRPr="00FB6AB9" w:rsidRDefault="00FB6AB9" w:rsidP="00FB6AB9">
      <w:pPr>
        <w:spacing w:after="0" w:line="240" w:lineRule="auto"/>
        <w:jc w:val="center"/>
        <w:rPr>
          <w:rFonts w:ascii="Times New Roman" w:hAnsi="Times New Roman"/>
          <w:sz w:val="20"/>
          <w:szCs w:val="20"/>
        </w:rPr>
      </w:pPr>
      <w:r w:rsidRPr="00FB6AB9">
        <w:rPr>
          <w:rFonts w:ascii="Times New Roman" w:hAnsi="Times New Roman"/>
          <w:noProof/>
          <w:sz w:val="20"/>
          <w:szCs w:val="20"/>
          <w:lang w:bidi="ar-SA"/>
        </w:rPr>
        <w:drawing>
          <wp:inline distT="0" distB="0" distL="0" distR="0" wp14:anchorId="48D5CFD3" wp14:editId="4D92BF59">
            <wp:extent cx="3294306" cy="258127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TIF"/>
                    <pic:cNvPicPr/>
                  </pic:nvPicPr>
                  <pic:blipFill rotWithShape="1">
                    <a:blip r:embed="rId11">
                      <a:extLst>
                        <a:ext uri="{28A0092B-C50C-407E-A947-70E740481C1C}">
                          <a14:useLocalDpi xmlns:a14="http://schemas.microsoft.com/office/drawing/2010/main" val="0"/>
                        </a:ext>
                      </a:extLst>
                    </a:blip>
                    <a:srcRect l="3777" t="5755" r="45504" b="41257"/>
                    <a:stretch/>
                  </pic:blipFill>
                  <pic:spPr bwMode="auto">
                    <a:xfrm>
                      <a:off x="0" y="0"/>
                      <a:ext cx="3308316" cy="2592252"/>
                    </a:xfrm>
                    <a:prstGeom prst="rect">
                      <a:avLst/>
                    </a:prstGeom>
                    <a:ln>
                      <a:noFill/>
                    </a:ln>
                    <a:extLst>
                      <a:ext uri="{53640926-AAD7-44D8-BBD7-CCE9431645EC}">
                        <a14:shadowObscured xmlns:a14="http://schemas.microsoft.com/office/drawing/2010/main"/>
                      </a:ext>
                    </a:extLst>
                  </pic:spPr>
                </pic:pic>
              </a:graphicData>
            </a:graphic>
          </wp:inline>
        </w:drawing>
      </w:r>
    </w:p>
    <w:p w:rsidR="00FB6AB9" w:rsidRPr="00FB6AB9" w:rsidRDefault="00FB6AB9" w:rsidP="00FB6AB9">
      <w:pPr>
        <w:spacing w:after="0" w:line="240" w:lineRule="auto"/>
        <w:jc w:val="both"/>
        <w:rPr>
          <w:rFonts w:ascii="Times New Roman" w:hAnsi="Times New Roman"/>
          <w:sz w:val="20"/>
          <w:szCs w:val="20"/>
        </w:rPr>
      </w:pPr>
    </w:p>
    <w:p w:rsidR="00FB6AB9" w:rsidRPr="00FB6AB9" w:rsidRDefault="00FB6AB9" w:rsidP="00FB6AB9">
      <w:pPr>
        <w:spacing w:after="0" w:line="240" w:lineRule="auto"/>
        <w:jc w:val="center"/>
        <w:rPr>
          <w:rFonts w:ascii="Times New Roman" w:hAnsi="Times New Roman"/>
          <w:sz w:val="20"/>
          <w:szCs w:val="20"/>
        </w:rPr>
      </w:pPr>
      <w:r w:rsidRPr="00FB6AB9">
        <w:rPr>
          <w:rFonts w:ascii="Times New Roman" w:hAnsi="Times New Roman"/>
          <w:sz w:val="20"/>
          <w:szCs w:val="20"/>
        </w:rPr>
        <w:t xml:space="preserve">Figure 1. </w:t>
      </w:r>
      <w:r>
        <w:rPr>
          <w:rFonts w:ascii="Times New Roman" w:hAnsi="Times New Roman"/>
          <w:sz w:val="20"/>
          <w:szCs w:val="20"/>
        </w:rPr>
        <w:t xml:space="preserve"> </w:t>
      </w:r>
      <w:r w:rsidRPr="00FB6AB9">
        <w:rPr>
          <w:rFonts w:ascii="Times New Roman" w:hAnsi="Times New Roman"/>
          <w:sz w:val="20"/>
          <w:szCs w:val="20"/>
        </w:rPr>
        <w:t>Electrophoresis profile of the cellulose hydrolysis</w:t>
      </w:r>
    </w:p>
    <w:p w:rsidR="00FB6AB9" w:rsidRPr="00FB6AB9" w:rsidRDefault="00FB6AB9" w:rsidP="00FB6AB9">
      <w:pPr>
        <w:spacing w:after="0" w:line="240" w:lineRule="auto"/>
        <w:jc w:val="both"/>
        <w:rPr>
          <w:rFonts w:ascii="Times New Roman" w:hAnsi="Times New Roman"/>
          <w:sz w:val="20"/>
          <w:szCs w:val="20"/>
        </w:rPr>
      </w:pPr>
    </w:p>
    <w:p w:rsidR="00FB6AB9" w:rsidRPr="00FB6AB9" w:rsidRDefault="00FB6AB9" w:rsidP="00FB6AB9">
      <w:pPr>
        <w:spacing w:after="0" w:line="240" w:lineRule="auto"/>
        <w:jc w:val="both"/>
        <w:rPr>
          <w:rFonts w:ascii="Times New Roman" w:hAnsi="Times New Roman"/>
          <w:sz w:val="20"/>
          <w:szCs w:val="20"/>
        </w:rPr>
      </w:pPr>
    </w:p>
    <w:p w:rsidR="00FB6AB9" w:rsidRPr="00FB6AB9" w:rsidRDefault="00FB6AB9" w:rsidP="00FB6AB9">
      <w:pPr>
        <w:pStyle w:val="Heading2"/>
        <w:spacing w:before="0" w:line="240" w:lineRule="auto"/>
        <w:jc w:val="both"/>
        <w:rPr>
          <w:rFonts w:ascii="Times New Roman" w:hAnsi="Times New Roman"/>
          <w:b/>
          <w:i/>
          <w:smallCaps w:val="0"/>
          <w:sz w:val="20"/>
          <w:szCs w:val="20"/>
        </w:rPr>
      </w:pPr>
      <w:r w:rsidRPr="00FB6AB9">
        <w:rPr>
          <w:rFonts w:ascii="Times New Roman" w:hAnsi="Times New Roman"/>
          <w:b/>
          <w:smallCaps w:val="0"/>
          <w:sz w:val="20"/>
          <w:szCs w:val="20"/>
        </w:rPr>
        <w:t>Effect of pH</w:t>
      </w:r>
    </w:p>
    <w:p w:rsidR="00FB6AB9" w:rsidRPr="00FB6AB9" w:rsidRDefault="00FB6AB9" w:rsidP="00FB6AB9">
      <w:pPr>
        <w:pStyle w:val="Heading2"/>
        <w:spacing w:before="0" w:line="240" w:lineRule="auto"/>
        <w:jc w:val="both"/>
        <w:rPr>
          <w:rFonts w:ascii="Times New Roman" w:hAnsi="Times New Roman"/>
          <w:i/>
          <w:smallCaps w:val="0"/>
          <w:sz w:val="20"/>
          <w:szCs w:val="20"/>
        </w:rPr>
      </w:pPr>
      <w:r w:rsidRPr="00FB6AB9">
        <w:rPr>
          <w:rFonts w:ascii="Times New Roman" w:hAnsi="Times New Roman"/>
          <w:smallCaps w:val="0"/>
          <w:sz w:val="20"/>
          <w:szCs w:val="20"/>
        </w:rPr>
        <w:t xml:space="preserve">The interaction between membrane and solute in different pH was studied in the dead-end stirred ultrafiltration with constant operating pressure at 2 bar. Figure 2 shows the fouling behaviour of cellulose hydrolysate for several pHs illustrated in terms of permeate flux relative to initial water flux (J/Jo). Initially the fouling behaviour for all solution can be seen as rapid flux decline and followed by gradual flux decline.  It is noted that the permeate flux was responsive to the solution pH, thus low pH value exhibited severe flux decline as compared to high pH value. Similar experiment trends were reported by other researchers </w:t>
      </w:r>
      <w:r w:rsidRPr="00FB6AB9">
        <w:rPr>
          <w:rFonts w:ascii="Times New Roman" w:hAnsi="Times New Roman"/>
          <w:i/>
          <w:smallCaps w:val="0"/>
          <w:sz w:val="20"/>
          <w:szCs w:val="20"/>
        </w:rPr>
        <w:fldChar w:fldCharType="begin">
          <w:fldData xml:space="preserve">PEVuZE5vdGU+PENpdGU+PEF1dGhvcj5MaW08L0F1dGhvcj48WWVhcj4yMDEyPC9ZZWFyPjxSZWNO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</w:fldData>
        </w:fldChar>
      </w:r>
      <w:r w:rsidRPr="00FB6AB9">
        <w:rPr>
          <w:rFonts w:ascii="Times New Roman" w:hAnsi="Times New Roman"/>
          <w:smallCaps w:val="0"/>
          <w:sz w:val="20"/>
          <w:szCs w:val="20"/>
        </w:rPr>
        <w:instrText xml:space="preserve"> ADDIN EN.CITE </w:instrText>
      </w:r>
      <w:r w:rsidRPr="00FB6AB9">
        <w:rPr>
          <w:rFonts w:ascii="Times New Roman" w:hAnsi="Times New Roman"/>
          <w:i/>
          <w:smallCaps w:val="0"/>
          <w:sz w:val="20"/>
          <w:szCs w:val="20"/>
        </w:rPr>
        <w:fldChar w:fldCharType="begin">
          <w:fldData xml:space="preserve">PEVuZE5vdGU+PENpdGU+PEF1dGhvcj5MaW08L0F1dGhvcj48WWVhcj4yMDEyPC9ZZWFyPjxSZWNO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</w:fldData>
        </w:fldChar>
      </w:r>
      <w:r w:rsidRPr="00FB6AB9">
        <w:rPr>
          <w:rFonts w:ascii="Times New Roman" w:hAnsi="Times New Roman"/>
          <w:smallCaps w:val="0"/>
          <w:sz w:val="20"/>
          <w:szCs w:val="20"/>
        </w:rPr>
        <w:instrText xml:space="preserve"> ADDIN EN.CITE.DATA </w:instrText>
      </w:r>
      <w:r w:rsidRPr="00FB6AB9">
        <w:rPr>
          <w:rFonts w:ascii="Times New Roman" w:hAnsi="Times New Roman"/>
          <w:i/>
          <w:smallCaps w:val="0"/>
          <w:sz w:val="20"/>
          <w:szCs w:val="20"/>
        </w:rPr>
      </w:r>
      <w:r w:rsidRPr="00FB6AB9">
        <w:rPr>
          <w:rFonts w:ascii="Times New Roman" w:hAnsi="Times New Roman"/>
          <w:i/>
          <w:smallCaps w:val="0"/>
          <w:sz w:val="20"/>
          <w:szCs w:val="20"/>
        </w:rPr>
        <w:fldChar w:fldCharType="end"/>
      </w:r>
      <w:r w:rsidRPr="00FB6AB9">
        <w:rPr>
          <w:rFonts w:ascii="Times New Roman" w:hAnsi="Times New Roman"/>
          <w:i/>
          <w:smallCaps w:val="0"/>
          <w:sz w:val="20"/>
          <w:szCs w:val="20"/>
        </w:rPr>
      </w:r>
      <w:r w:rsidRPr="00FB6AB9">
        <w:rPr>
          <w:rFonts w:ascii="Times New Roman" w:hAnsi="Times New Roman"/>
          <w:i/>
          <w:smallCaps w:val="0"/>
          <w:sz w:val="20"/>
          <w:szCs w:val="20"/>
        </w:rPr>
        <w:fldChar w:fldCharType="separate"/>
      </w:r>
      <w:r w:rsidRPr="00FB6AB9">
        <w:rPr>
          <w:rFonts w:ascii="Times New Roman" w:hAnsi="Times New Roman"/>
          <w:smallCaps w:val="0"/>
          <w:sz w:val="20"/>
          <w:szCs w:val="20"/>
        </w:rPr>
        <w:t>[</w:t>
      </w:r>
      <w:hyperlink w:anchor="_ENREF_7" w:tooltip="Maiti, 2012 #37" w:history="1">
        <w:r w:rsidRPr="00FB6AB9">
          <w:rPr>
            <w:rFonts w:ascii="Times New Roman" w:hAnsi="Times New Roman"/>
            <w:smallCaps w:val="0"/>
            <w:sz w:val="20"/>
            <w:szCs w:val="20"/>
          </w:rPr>
          <w:t>7</w:t>
        </w:r>
      </w:hyperlink>
      <w:r w:rsidRPr="00FB6AB9">
        <w:rPr>
          <w:rFonts w:ascii="Times New Roman" w:hAnsi="Times New Roman"/>
          <w:smallCaps w:val="0"/>
          <w:sz w:val="20"/>
          <w:szCs w:val="20"/>
        </w:rPr>
        <w:t>,</w:t>
      </w:r>
      <w:hyperlink w:anchor="_ENREF_16" w:tooltip="Lim, 2012 #150" w:history="1">
        <w:r w:rsidRPr="00FB6AB9">
          <w:rPr>
            <w:rFonts w:ascii="Times New Roman" w:hAnsi="Times New Roman"/>
            <w:smallCaps w:val="0"/>
            <w:sz w:val="20"/>
            <w:szCs w:val="20"/>
          </w:rPr>
          <w:t>16</w:t>
        </w:r>
      </w:hyperlink>
      <w:r w:rsidRPr="00FB6AB9">
        <w:rPr>
          <w:rFonts w:ascii="Times New Roman" w:hAnsi="Times New Roman"/>
          <w:smallCaps w:val="0"/>
          <w:sz w:val="20"/>
          <w:szCs w:val="20"/>
        </w:rPr>
        <w:t>,</w:t>
      </w:r>
      <w:hyperlink w:anchor="_ENREF_17" w:tooltip="Lakra, 2013 #151" w:history="1">
        <w:r w:rsidRPr="00FB6AB9">
          <w:rPr>
            <w:rFonts w:ascii="Times New Roman" w:hAnsi="Times New Roman"/>
            <w:smallCaps w:val="0"/>
            <w:sz w:val="20"/>
            <w:szCs w:val="20"/>
          </w:rPr>
          <w:t>17</w:t>
        </w:r>
      </w:hyperlink>
      <w:r w:rsidRPr="00FB6AB9">
        <w:rPr>
          <w:rFonts w:ascii="Times New Roman" w:hAnsi="Times New Roman"/>
          <w:smallCaps w:val="0"/>
          <w:sz w:val="20"/>
          <w:szCs w:val="20"/>
        </w:rPr>
        <w:t>]</w:t>
      </w:r>
      <w:r w:rsidRPr="00FB6AB9">
        <w:rPr>
          <w:rFonts w:ascii="Times New Roman" w:hAnsi="Times New Roman"/>
          <w:i/>
          <w:smallCaps w:val="0"/>
          <w:sz w:val="20"/>
          <w:szCs w:val="20"/>
        </w:rPr>
        <w:fldChar w:fldCharType="end"/>
      </w:r>
      <w:r w:rsidRPr="00FB6AB9">
        <w:rPr>
          <w:rFonts w:ascii="Times New Roman" w:hAnsi="Times New Roman"/>
          <w:smallCaps w:val="0"/>
          <w:sz w:val="20"/>
          <w:szCs w:val="20"/>
        </w:rPr>
        <w:t>.</w:t>
      </w:r>
    </w:p>
    <w:p w:rsidR="00FB6AB9" w:rsidRDefault="00FB6AB9" w:rsidP="00FB6AB9">
      <w:pPr>
        <w:spacing w:after="0" w:line="240" w:lineRule="auto"/>
        <w:jc w:val="both"/>
        <w:rPr>
          <w:rFonts w:ascii="Times New Roman" w:hAnsi="Times New Roman"/>
          <w:sz w:val="20"/>
          <w:szCs w:val="20"/>
        </w:rPr>
      </w:pPr>
    </w:p>
    <w:p w:rsidR="00FB6AB9" w:rsidRPr="00FB6AB9" w:rsidRDefault="00FB6AB9" w:rsidP="00FB6AB9">
      <w:pPr>
        <w:spacing w:after="0" w:line="240" w:lineRule="auto"/>
        <w:jc w:val="both"/>
        <w:rPr>
          <w:rFonts w:ascii="Times New Roman" w:hAnsi="Times New Roman"/>
          <w:sz w:val="20"/>
          <w:szCs w:val="20"/>
        </w:rPr>
      </w:pPr>
    </w:p>
    <w:p w:rsidR="00FB6AB9" w:rsidRPr="00FB6AB9" w:rsidRDefault="00FB6AB9" w:rsidP="00FB6AB9">
      <w:pPr>
        <w:spacing w:after="0" w:line="240" w:lineRule="auto"/>
        <w:jc w:val="center"/>
        <w:rPr>
          <w:rFonts w:ascii="Times New Roman" w:hAnsi="Times New Roman"/>
          <w:sz w:val="20"/>
          <w:szCs w:val="20"/>
        </w:rPr>
      </w:pPr>
      <w:r w:rsidRPr="00FB6AB9">
        <w:rPr>
          <w:rFonts w:ascii="Times New Roman" w:hAnsi="Times New Roman"/>
          <w:noProof/>
          <w:sz w:val="20"/>
          <w:szCs w:val="20"/>
          <w:lang w:bidi="ar-SA"/>
        </w:rPr>
        <w:drawing>
          <wp:inline distT="0" distB="0" distL="0" distR="0" wp14:anchorId="11C3902D" wp14:editId="167ED5D5">
            <wp:extent cx="3050106" cy="2286000"/>
            <wp:effectExtent l="19050" t="19050" r="1714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tif"/>
                    <pic:cNvPicPr/>
                  </pic:nvPicPr>
                  <pic:blipFill rotWithShape="1">
                    <a:blip r:embed="rId12" cstate="print">
                      <a:extLst>
                        <a:ext uri="{28A0092B-C50C-407E-A947-70E740481C1C}">
                          <a14:useLocalDpi xmlns:a14="http://schemas.microsoft.com/office/drawing/2010/main" val="0"/>
                        </a:ext>
                      </a:extLst>
                    </a:blip>
                    <a:srcRect l="4167" t="4233"/>
                    <a:stretch/>
                  </pic:blipFill>
                  <pic:spPr bwMode="auto">
                    <a:xfrm>
                      <a:off x="0" y="0"/>
                      <a:ext cx="3050106" cy="228600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FB6AB9" w:rsidRPr="00FB6AB9" w:rsidRDefault="00FB6AB9" w:rsidP="00FB6AB9">
      <w:pPr>
        <w:spacing w:after="0" w:line="240" w:lineRule="auto"/>
        <w:jc w:val="both"/>
        <w:rPr>
          <w:rFonts w:ascii="Times New Roman" w:hAnsi="Times New Roman"/>
          <w:sz w:val="20"/>
          <w:szCs w:val="20"/>
        </w:rPr>
      </w:pPr>
    </w:p>
    <w:p w:rsidR="00FB6AB9" w:rsidRPr="00FB6AB9" w:rsidRDefault="00FB6AB9" w:rsidP="00FB6AB9">
      <w:pPr>
        <w:spacing w:after="0" w:line="240" w:lineRule="auto"/>
        <w:jc w:val="center"/>
        <w:rPr>
          <w:rFonts w:ascii="Times New Roman" w:hAnsi="Times New Roman"/>
          <w:sz w:val="20"/>
          <w:szCs w:val="20"/>
        </w:rPr>
      </w:pPr>
      <w:r w:rsidRPr="00FB6AB9">
        <w:rPr>
          <w:rFonts w:ascii="Times New Roman" w:hAnsi="Times New Roman"/>
          <w:sz w:val="20"/>
          <w:szCs w:val="20"/>
        </w:rPr>
        <w:t xml:space="preserve">Figure 2. </w:t>
      </w:r>
      <w:r>
        <w:rPr>
          <w:rFonts w:ascii="Times New Roman" w:hAnsi="Times New Roman"/>
          <w:sz w:val="20"/>
          <w:szCs w:val="20"/>
        </w:rPr>
        <w:t xml:space="preserve"> </w:t>
      </w:r>
      <w:r w:rsidRPr="00FB6AB9">
        <w:rPr>
          <w:rFonts w:ascii="Times New Roman" w:hAnsi="Times New Roman"/>
          <w:sz w:val="20"/>
          <w:szCs w:val="20"/>
        </w:rPr>
        <w:t>Normalized flux declines of cellulose hydrolysate in different pH of solution</w:t>
      </w:r>
    </w:p>
    <w:p w:rsidR="00FB6AB9" w:rsidRDefault="00FB6AB9" w:rsidP="00FB6AB9">
      <w:pPr>
        <w:spacing w:after="0" w:line="240" w:lineRule="auto"/>
        <w:jc w:val="both"/>
        <w:rPr>
          <w:rFonts w:ascii="Times New Roman" w:hAnsi="Times New Roman"/>
          <w:sz w:val="20"/>
          <w:szCs w:val="20"/>
        </w:rPr>
      </w:pPr>
    </w:p>
    <w:p w:rsidR="007A27AC" w:rsidRPr="00FB6AB9" w:rsidRDefault="007A27AC" w:rsidP="00FB6AB9">
      <w:pPr>
        <w:spacing w:after="0" w:line="240" w:lineRule="auto"/>
        <w:jc w:val="both"/>
        <w:rPr>
          <w:rFonts w:ascii="Times New Roman" w:hAnsi="Times New Roman"/>
          <w:sz w:val="20"/>
          <w:szCs w:val="20"/>
        </w:rPr>
      </w:pPr>
    </w:p>
    <w:p w:rsidR="00FB6AB9" w:rsidRPr="00FB6AB9" w:rsidRDefault="00FB6AB9" w:rsidP="00FB6AB9">
      <w:pPr>
        <w:spacing w:after="0" w:line="240" w:lineRule="auto"/>
        <w:jc w:val="both"/>
        <w:rPr>
          <w:rFonts w:ascii="Times New Roman" w:hAnsi="Times New Roman"/>
          <w:sz w:val="20"/>
          <w:szCs w:val="20"/>
        </w:rPr>
      </w:pPr>
      <w:r w:rsidRPr="00FB6AB9">
        <w:rPr>
          <w:rFonts w:ascii="Times New Roman" w:hAnsi="Times New Roman"/>
          <w:sz w:val="20"/>
          <w:szCs w:val="20"/>
        </w:rPr>
        <w:t xml:space="preserve">The feasibility of fractionation depends on charge, thus more charged ions are retained better than monovalent ions </w:t>
      </w:r>
      <w:r w:rsidRPr="00FB6AB9">
        <w:rPr>
          <w:rFonts w:ascii="Times New Roman" w:hAnsi="Times New Roman"/>
          <w:sz w:val="20"/>
          <w:szCs w:val="20"/>
        </w:rPr>
        <w:fldChar w:fldCharType="begin"/>
      </w:r>
      <w:r w:rsidRPr="00FB6AB9">
        <w:rPr>
          <w:rFonts w:ascii="Times New Roman" w:hAnsi="Times New Roman"/>
          <w:sz w:val="20"/>
          <w:szCs w:val="20"/>
        </w:rPr>
        <w:instrText xml:space="preserve"> ADDIN EN.CITE &lt;EndNote&gt;&lt;Cite&gt;&lt;Author&gt;Ribeiro&lt;/Author&gt;&lt;Year&gt;2010&lt;/Year&gt;&lt;RecNum&gt;152&lt;/RecNum&gt;&lt;DisplayText&gt;(18)&lt;/DisplayText&gt;&lt;record&gt;&lt;rec-number&gt;152&lt;/rec-number&gt;&lt;foreign-keys&gt;&lt;key app="EN" db-id="90t9x505xtrfvwep0edvaa5g5zvxwz5zr0wa"&gt;152&lt;/key&gt;&lt;/foreign-keys&gt;&lt;ref-type name="Journal Article"&gt;17&lt;/ref-type&gt;&lt;contributors&gt;&lt;authors&gt;&lt;author&gt;Ribeiro, H.S., Janssen, J.J.M., Kobayashi, I. &amp;amp; Nakajima, M.,&lt;/author&gt;&lt;/authors&gt;&lt;/contributors&gt;&lt;titles&gt;&lt;title&gt; Chapter 7: Membrane Emulsification for Food Applications in K.V Peinemann, S.P. Nunes &amp;amp; L.Giorno (eds.) Membrane for food applications&lt;/title&gt;&lt;/titles&gt;&lt;pages&gt;pp. 129-131&lt;/pages&gt;&lt;dates&gt;&lt;year&gt;2010&lt;/year&gt;&lt;/dates&gt;&lt;orig-pub&gt;Wiley-VCH&lt;/orig-pub&gt;&lt;urls&gt;&lt;/urls&gt;&lt;/record&gt;&lt;/Cite&gt;&lt;/EndNote&gt;</w:instrText>
      </w:r>
      <w:r w:rsidRPr="00FB6AB9">
        <w:rPr>
          <w:rFonts w:ascii="Times New Roman" w:hAnsi="Times New Roman"/>
          <w:sz w:val="20"/>
          <w:szCs w:val="20"/>
        </w:rPr>
        <w:fldChar w:fldCharType="separate"/>
      </w:r>
      <w:r w:rsidRPr="00FB6AB9">
        <w:rPr>
          <w:rFonts w:ascii="Times New Roman" w:hAnsi="Times New Roman"/>
          <w:noProof/>
          <w:sz w:val="20"/>
          <w:szCs w:val="20"/>
        </w:rPr>
        <w:t>[</w:t>
      </w:r>
      <w:hyperlink w:anchor="_ENREF_18" w:tooltip="Ribeiro, 2010 #152" w:history="1">
        <w:r w:rsidRPr="00FB6AB9">
          <w:rPr>
            <w:rFonts w:ascii="Times New Roman" w:hAnsi="Times New Roman"/>
            <w:noProof/>
            <w:sz w:val="20"/>
            <w:szCs w:val="20"/>
          </w:rPr>
          <w:t>18</w:t>
        </w:r>
      </w:hyperlink>
      <w:r w:rsidRPr="00FB6AB9">
        <w:rPr>
          <w:rFonts w:ascii="Times New Roman" w:hAnsi="Times New Roman"/>
          <w:noProof/>
          <w:sz w:val="20"/>
          <w:szCs w:val="20"/>
        </w:rPr>
        <w:t>]</w:t>
      </w:r>
      <w:r w:rsidRPr="00FB6AB9">
        <w:rPr>
          <w:rFonts w:ascii="Times New Roman" w:hAnsi="Times New Roman"/>
          <w:sz w:val="20"/>
          <w:szCs w:val="20"/>
        </w:rPr>
        <w:fldChar w:fldCharType="end"/>
      </w:r>
      <w:r w:rsidRPr="00FB6AB9">
        <w:rPr>
          <w:rFonts w:ascii="Times New Roman" w:hAnsi="Times New Roman"/>
          <w:sz w:val="20"/>
          <w:szCs w:val="20"/>
        </w:rPr>
        <w:t xml:space="preserve">. In addition, the counterion exchange process between the ion exchanger and the counterions in the external solution has to be considered, specifically proteins of large molecular weight </w:t>
      </w:r>
      <w:r w:rsidRPr="00FB6AB9">
        <w:rPr>
          <w:rFonts w:ascii="Times New Roman" w:hAnsi="Times New Roman"/>
          <w:sz w:val="20"/>
          <w:szCs w:val="20"/>
        </w:rPr>
        <w:fldChar w:fldCharType="begin"/>
      </w:r>
      <w:r w:rsidRPr="00FB6AB9">
        <w:rPr>
          <w:rFonts w:ascii="Times New Roman" w:hAnsi="Times New Roman"/>
          <w:sz w:val="20"/>
          <w:szCs w:val="20"/>
        </w:rPr>
        <w:instrText xml:space="preserve"> ADDIN EN.CITE &lt;EndNote&gt;&lt;Cite&gt;&lt;Author&gt;Sirkar&lt;/Author&gt;&lt;Year&gt;2014&lt;/Year&gt;&lt;RecNum&gt;153&lt;/RecNum&gt;&lt;DisplayText&gt;(19)&lt;/DisplayText&gt;&lt;record&gt;&lt;rec-number&gt;153&lt;/rec-number&gt;&lt;foreign-keys&gt;&lt;key app="EN" db-id="90t9x505xtrfvwep0edvaa5g5zvxwz5zr0wa"&gt;153&lt;/key&gt;&lt;/foreign-keys&gt;&lt;ref-type name="Journal Article"&gt;17&lt;/ref-type&gt;&lt;contributors&gt;&lt;authors&gt;&lt;author&gt;Sirkar, K.K&lt;/author&gt;&lt;/authors&gt;&lt;/contributors&gt;&lt;titles&gt;&lt;title&gt;Separation of molecules, macromolecules and particles.  &lt;/title&gt;&lt;/titles&gt;&lt;pages&gt;pp. 295-305.&lt;/pages&gt;&lt;dates&gt;&lt;year&gt;2014&lt;/year&gt;&lt;/dates&gt;&lt;orig-pub&gt;Cambridge University Press.&lt;/orig-pub&gt;&lt;urls&gt;&lt;/urls&gt;&lt;/record&gt;&lt;/Cite&gt;&lt;/EndNote&gt;</w:instrText>
      </w:r>
      <w:r w:rsidRPr="00FB6AB9">
        <w:rPr>
          <w:rFonts w:ascii="Times New Roman" w:hAnsi="Times New Roman"/>
          <w:sz w:val="20"/>
          <w:szCs w:val="20"/>
        </w:rPr>
        <w:fldChar w:fldCharType="separate"/>
      </w:r>
      <w:r w:rsidRPr="00FB6AB9">
        <w:rPr>
          <w:rFonts w:ascii="Times New Roman" w:hAnsi="Times New Roman"/>
          <w:noProof/>
          <w:sz w:val="20"/>
          <w:szCs w:val="20"/>
        </w:rPr>
        <w:t>[</w:t>
      </w:r>
      <w:hyperlink w:anchor="_ENREF_19" w:tooltip="Sirkar, 2014 #153" w:history="1">
        <w:r w:rsidRPr="00FB6AB9">
          <w:rPr>
            <w:rFonts w:ascii="Times New Roman" w:hAnsi="Times New Roman"/>
            <w:noProof/>
            <w:sz w:val="20"/>
            <w:szCs w:val="20"/>
          </w:rPr>
          <w:t>19</w:t>
        </w:r>
      </w:hyperlink>
      <w:r w:rsidRPr="00FB6AB9">
        <w:rPr>
          <w:rFonts w:ascii="Times New Roman" w:hAnsi="Times New Roman"/>
          <w:noProof/>
          <w:sz w:val="20"/>
          <w:szCs w:val="20"/>
        </w:rPr>
        <w:t>]</w:t>
      </w:r>
      <w:r w:rsidRPr="00FB6AB9">
        <w:rPr>
          <w:rFonts w:ascii="Times New Roman" w:hAnsi="Times New Roman"/>
          <w:sz w:val="20"/>
          <w:szCs w:val="20"/>
        </w:rPr>
        <w:fldChar w:fldCharType="end"/>
      </w:r>
      <w:r w:rsidRPr="00FB6AB9">
        <w:rPr>
          <w:rFonts w:ascii="Times New Roman" w:hAnsi="Times New Roman"/>
          <w:sz w:val="20"/>
          <w:szCs w:val="20"/>
        </w:rPr>
        <w:t>. The net charge of the macromolecular protein due to pH-based interactions of various constituent groups is positive if the pH is less than the isoelectric point; the net charge is negative if the solution pH is more than the IEP. Thus, as long as the solution pH is different from the IEP, the protein surface has some net positive or net negative charges.</w:t>
      </w:r>
    </w:p>
    <w:p w:rsidR="00FB6AB9" w:rsidRPr="00FB6AB9" w:rsidRDefault="00FB6AB9" w:rsidP="00FB6AB9">
      <w:pPr>
        <w:spacing w:after="0" w:line="240" w:lineRule="auto"/>
        <w:jc w:val="both"/>
        <w:rPr>
          <w:rFonts w:ascii="Times New Roman" w:hAnsi="Times New Roman"/>
          <w:sz w:val="20"/>
          <w:szCs w:val="20"/>
        </w:rPr>
      </w:pPr>
    </w:p>
    <w:p w:rsidR="00FB6AB9" w:rsidRPr="00FB6AB9" w:rsidRDefault="00FB6AB9" w:rsidP="00FB6AB9">
      <w:pPr>
        <w:spacing w:after="0" w:line="240" w:lineRule="auto"/>
        <w:jc w:val="both"/>
        <w:rPr>
          <w:rFonts w:ascii="Times New Roman" w:hAnsi="Times New Roman"/>
          <w:sz w:val="20"/>
          <w:szCs w:val="20"/>
        </w:rPr>
      </w:pPr>
      <w:r w:rsidRPr="00FB6AB9">
        <w:rPr>
          <w:rFonts w:ascii="Times New Roman" w:hAnsi="Times New Roman"/>
          <w:sz w:val="20"/>
          <w:szCs w:val="20"/>
        </w:rPr>
        <w:t xml:space="preserve">All these could explain why the lowest permeate flux was obtained at pH below the hydrolysate’s IEP (~pH3). Figure 3 illustrates the observation for pH3. Below the IEP, both the cellulose hydrolysate (positively charged) and PSF membranes (negatively charged) have opposite charges, thus attraction forces are dominant over repulsion forces and affect the initial flux decline rate at the initial fouling stage. At pH of solution near to IEP (~pH4), the solubility of a protein built out of amino acids is minimum and has tendency to form aggregates with other molecules </w:t>
      </w:r>
      <w:r w:rsidRPr="00FB6AB9">
        <w:rPr>
          <w:rFonts w:ascii="Times New Roman" w:hAnsi="Times New Roman"/>
          <w:sz w:val="20"/>
          <w:szCs w:val="20"/>
        </w:rPr>
        <w:fldChar w:fldCharType="begin"/>
      </w:r>
      <w:r w:rsidRPr="00FB6AB9">
        <w:rPr>
          <w:rFonts w:ascii="Times New Roman" w:hAnsi="Times New Roman"/>
          <w:sz w:val="20"/>
          <w:szCs w:val="20"/>
        </w:rPr>
        <w:instrText xml:space="preserve"> ADDIN EN.CITE &lt;EndNote&gt;&lt;Cite&gt;&lt;Author&gt;de Barros&lt;/Author&gt;&lt;Year&gt;2003&lt;/Year&gt;&lt;RecNum&gt;145&lt;/RecNum&gt;&lt;DisplayText&gt;(10)&lt;/DisplayText&gt;&lt;record&gt;&lt;rec-number&gt;145&lt;/rec-number&gt;&lt;foreign-keys&gt;&lt;key app="EN" db-id="90t9x505xtrfvwep0edvaa5g5zvxwz5zr0wa"&gt;145&lt;/key&gt;&lt;/foreign-keys&gt;&lt;ref-type name="Journal Article"&gt;17&lt;/ref-type&gt;&lt;contributors&gt;&lt;authors&gt;&lt;author&gt;de Barros, S. T. D.&lt;/author&gt;&lt;author&gt;Andrade, C. M. G.&lt;/author&gt;&lt;author&gt;Mendes, E. S.&lt;/author&gt;&lt;author&gt;Peres, L.&lt;/author&gt;&lt;/authors&gt;&lt;/contributors&gt;&lt;titles&gt;&lt;title&gt;Study of fouling mechanism in pineapple juice clarification by ultrafiltration&lt;/title&gt;&lt;secondary-title&gt;Journal of Membrane Science&lt;/secondary-title&gt;&lt;/titles&gt;&lt;periodical&gt;&lt;full-title&gt;Journal of Membrane Science&lt;/full-title&gt;&lt;/periodical&gt;&lt;pages&gt;213-224&lt;/pages&gt;&lt;volume&gt;215&lt;/volume&gt;&lt;number&gt;1–2&lt;/number&gt;&lt;keywords&gt;&lt;keyword&gt;Ultrafiltration&lt;/keyword&gt;&lt;keyword&gt;Pineapple juice&lt;/keyword&gt;&lt;keyword&gt;Fouling&lt;/keyword&gt;&lt;keyword&gt;Fiber membranes&lt;/keyword&gt;&lt;keyword&gt;Microporous membrane&lt;/keyword&gt;&lt;/keywords&gt;&lt;dates&gt;&lt;year&gt;2003&lt;/year&gt;&lt;pub-dates&gt;&lt;date&gt;4/15/&lt;/date&gt;&lt;/pub-dates&gt;&lt;/dates&gt;&lt;isbn&gt;0376-7388&lt;/isbn&gt;&lt;urls&gt;&lt;related-urls&gt;&lt;url&gt;http://www.sciencedirect.com/science/article/pii/S0376738802006154&lt;/url&gt;&lt;/related-urls&gt;&lt;/urls&gt;&lt;electronic-resource-num&gt;http://dx.doi.org/10.1016/S0376-7388(02)00615-4&lt;/electronic-resource-num&gt;&lt;/record&gt;&lt;/Cite&gt;&lt;/EndNote&gt;</w:instrText>
      </w:r>
      <w:r w:rsidRPr="00FB6AB9">
        <w:rPr>
          <w:rFonts w:ascii="Times New Roman" w:hAnsi="Times New Roman"/>
          <w:sz w:val="20"/>
          <w:szCs w:val="20"/>
        </w:rPr>
        <w:fldChar w:fldCharType="separate"/>
      </w:r>
      <w:r w:rsidRPr="00FB6AB9">
        <w:rPr>
          <w:rFonts w:ascii="Times New Roman" w:hAnsi="Times New Roman"/>
          <w:noProof/>
          <w:sz w:val="20"/>
          <w:szCs w:val="20"/>
        </w:rPr>
        <w:t>[</w:t>
      </w:r>
      <w:hyperlink w:anchor="_ENREF_10" w:tooltip="de Barros, 2003 #145" w:history="1">
        <w:r w:rsidRPr="00FB6AB9">
          <w:rPr>
            <w:rFonts w:ascii="Times New Roman" w:hAnsi="Times New Roman"/>
            <w:noProof/>
            <w:sz w:val="20"/>
            <w:szCs w:val="20"/>
          </w:rPr>
          <w:t>10</w:t>
        </w:r>
      </w:hyperlink>
      <w:r w:rsidRPr="00FB6AB9">
        <w:rPr>
          <w:rFonts w:ascii="Times New Roman" w:hAnsi="Times New Roman"/>
          <w:noProof/>
          <w:sz w:val="20"/>
          <w:szCs w:val="20"/>
        </w:rPr>
        <w:t>]</w:t>
      </w:r>
      <w:r w:rsidRPr="00FB6AB9">
        <w:rPr>
          <w:rFonts w:ascii="Times New Roman" w:hAnsi="Times New Roman"/>
          <w:sz w:val="20"/>
          <w:szCs w:val="20"/>
        </w:rPr>
        <w:fldChar w:fldCharType="end"/>
      </w:r>
      <w:r w:rsidRPr="00FB6AB9">
        <w:rPr>
          <w:rFonts w:ascii="Times New Roman" w:hAnsi="Times New Roman"/>
          <w:sz w:val="20"/>
          <w:szCs w:val="20"/>
        </w:rPr>
        <w:t>.   As the pH was raised to pH 5 and pH 6 (away from the IEP), observation shows that the protein solubility increases and lead to much lesser accumulation on the membrane surface.</w:t>
      </w:r>
    </w:p>
    <w:p w:rsidR="00FB6AB9" w:rsidRPr="00FB6AB9" w:rsidRDefault="00FB6AB9" w:rsidP="007A27AC">
      <w:pPr>
        <w:spacing w:after="120" w:line="240" w:lineRule="auto"/>
        <w:jc w:val="both"/>
        <w:rPr>
          <w:rFonts w:ascii="Times New Roman" w:hAnsi="Times New Roman"/>
          <w:sz w:val="20"/>
          <w:szCs w:val="20"/>
        </w:rPr>
      </w:pPr>
    </w:p>
    <w:p w:rsidR="00FB6AB9" w:rsidRPr="00FB6AB9" w:rsidRDefault="00FB6AB9" w:rsidP="00FB6AB9">
      <w:pPr>
        <w:spacing w:after="0" w:line="240" w:lineRule="auto"/>
        <w:jc w:val="center"/>
        <w:rPr>
          <w:rFonts w:ascii="Times New Roman" w:hAnsi="Times New Roman"/>
          <w:sz w:val="20"/>
          <w:szCs w:val="20"/>
        </w:rPr>
      </w:pPr>
      <w:r w:rsidRPr="00FB6AB9">
        <w:rPr>
          <w:rFonts w:ascii="Times New Roman" w:hAnsi="Times New Roman"/>
          <w:noProof/>
          <w:sz w:val="20"/>
          <w:szCs w:val="20"/>
          <w:lang w:bidi="ar-SA"/>
        </w:rPr>
        <w:drawing>
          <wp:inline distT="0" distB="0" distL="0" distR="0" wp14:anchorId="1ADE0ACC" wp14:editId="5350F359">
            <wp:extent cx="2152650" cy="2366982"/>
            <wp:effectExtent l="19050" t="19050" r="19050"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TIF"/>
                    <pic:cNvPicPr/>
                  </pic:nvPicPr>
                  <pic:blipFill rotWithShape="1">
                    <a:blip r:embed="rId13">
                      <a:extLst>
                        <a:ext uri="{28A0092B-C50C-407E-A947-70E740481C1C}">
                          <a14:useLocalDpi xmlns:a14="http://schemas.microsoft.com/office/drawing/2010/main" val="0"/>
                        </a:ext>
                      </a:extLst>
                    </a:blip>
                    <a:srcRect l="29136" t="20504" r="32010" b="22535"/>
                    <a:stretch/>
                  </pic:blipFill>
                  <pic:spPr bwMode="auto">
                    <a:xfrm>
                      <a:off x="0" y="0"/>
                      <a:ext cx="2156726" cy="237146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FB6AB9" w:rsidRPr="00FB6AB9" w:rsidRDefault="00FB6AB9" w:rsidP="00FB6AB9">
      <w:pPr>
        <w:spacing w:after="0" w:line="240" w:lineRule="auto"/>
        <w:jc w:val="both"/>
        <w:rPr>
          <w:rFonts w:ascii="Times New Roman" w:hAnsi="Times New Roman"/>
          <w:sz w:val="20"/>
          <w:szCs w:val="20"/>
        </w:rPr>
      </w:pPr>
    </w:p>
    <w:p w:rsidR="00FB6AB9" w:rsidRPr="00FB6AB9" w:rsidRDefault="00FB6AB9" w:rsidP="00FB6AB9">
      <w:pPr>
        <w:pStyle w:val="bulletlist"/>
        <w:numPr>
          <w:ilvl w:val="0"/>
          <w:numId w:val="0"/>
        </w:numPr>
        <w:spacing w:after="0" w:line="240" w:lineRule="auto"/>
        <w:jc w:val="center"/>
      </w:pPr>
      <w:r w:rsidRPr="00FB6AB9">
        <w:t>Figure 3.</w:t>
      </w:r>
      <w:r>
        <w:t xml:space="preserve"> </w:t>
      </w:r>
      <w:r w:rsidRPr="00FB6AB9">
        <w:t xml:space="preserve"> Schematic illustration of possible configurations of cellulose hydrolysate at pH lower than IEP</w:t>
      </w:r>
    </w:p>
    <w:p w:rsidR="00FB6AB9" w:rsidRPr="00FB6AB9" w:rsidRDefault="00FB6AB9" w:rsidP="007A27AC">
      <w:pPr>
        <w:spacing w:after="120" w:line="240" w:lineRule="auto"/>
        <w:jc w:val="both"/>
        <w:rPr>
          <w:rFonts w:ascii="Times New Roman" w:hAnsi="Times New Roman"/>
          <w:sz w:val="20"/>
          <w:szCs w:val="20"/>
        </w:rPr>
      </w:pPr>
    </w:p>
    <w:p w:rsidR="00FB6AB9" w:rsidRPr="00FB6AB9" w:rsidRDefault="00FB6AB9" w:rsidP="00FB6AB9">
      <w:pPr>
        <w:pStyle w:val="bulletlist"/>
        <w:numPr>
          <w:ilvl w:val="0"/>
          <w:numId w:val="0"/>
        </w:numPr>
        <w:spacing w:after="0" w:line="240" w:lineRule="auto"/>
      </w:pPr>
      <w:r w:rsidRPr="00FB6AB9">
        <w:t xml:space="preserve">The membrane blocking resulted from the accumulation on the membrane surface would affected the permeation of glucose in the process. As illustrated in Figure 4, the permeation of glucose at pH 3 is the lowest compared to other pH, indicating that much glucose was unable to pass through the PSF membrane because of the blocking by the protein on the membrane surface, while at pH 5 the permeation of glucose is the highest. </w:t>
      </w:r>
    </w:p>
    <w:p w:rsidR="00FB6AB9" w:rsidRPr="00FB6AB9" w:rsidRDefault="00FB6AB9" w:rsidP="007A27AC">
      <w:pPr>
        <w:spacing w:after="120" w:line="240" w:lineRule="auto"/>
        <w:jc w:val="both"/>
        <w:rPr>
          <w:rFonts w:ascii="Times New Roman" w:hAnsi="Times New Roman"/>
          <w:sz w:val="20"/>
          <w:szCs w:val="20"/>
        </w:rPr>
      </w:pPr>
    </w:p>
    <w:p w:rsidR="00FB6AB9" w:rsidRPr="00FB6AB9" w:rsidRDefault="00FB6AB9" w:rsidP="007A27AC">
      <w:pPr>
        <w:spacing w:after="0" w:line="240" w:lineRule="auto"/>
        <w:jc w:val="center"/>
        <w:rPr>
          <w:rFonts w:ascii="Times New Roman" w:hAnsi="Times New Roman"/>
          <w:sz w:val="20"/>
          <w:szCs w:val="20"/>
        </w:rPr>
      </w:pPr>
      <w:r w:rsidRPr="00FB6AB9">
        <w:rPr>
          <w:rFonts w:ascii="Times New Roman" w:hAnsi="Times New Roman"/>
          <w:noProof/>
          <w:sz w:val="20"/>
          <w:szCs w:val="20"/>
          <w:lang w:bidi="ar-SA"/>
        </w:rPr>
        <w:drawing>
          <wp:inline distT="0" distB="0" distL="0" distR="0" wp14:anchorId="639482DC" wp14:editId="536D107B">
            <wp:extent cx="2486780" cy="1828800"/>
            <wp:effectExtent l="19050" t="19050" r="2794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tif"/>
                    <pic:cNvPicPr/>
                  </pic:nvPicPr>
                  <pic:blipFill rotWithShape="1">
                    <a:blip r:embed="rId14" cstate="print">
                      <a:extLst>
                        <a:ext uri="{28A0092B-C50C-407E-A947-70E740481C1C}">
                          <a14:useLocalDpi xmlns:a14="http://schemas.microsoft.com/office/drawing/2010/main" val="0"/>
                        </a:ext>
                      </a:extLst>
                    </a:blip>
                    <a:srcRect l="14286" t="10318" r="9227" b="14683"/>
                    <a:stretch/>
                  </pic:blipFill>
                  <pic:spPr bwMode="auto">
                    <a:xfrm>
                      <a:off x="0" y="0"/>
                      <a:ext cx="2486780" cy="182880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FB6AB9" w:rsidRPr="00FB6AB9" w:rsidRDefault="00FB6AB9" w:rsidP="00FB6AB9">
      <w:pPr>
        <w:spacing w:after="0" w:line="240" w:lineRule="auto"/>
        <w:jc w:val="both"/>
        <w:rPr>
          <w:rFonts w:ascii="Times New Roman" w:hAnsi="Times New Roman"/>
          <w:sz w:val="20"/>
          <w:szCs w:val="20"/>
        </w:rPr>
      </w:pPr>
    </w:p>
    <w:p w:rsidR="00FB6AB9" w:rsidRPr="00FB6AB9" w:rsidRDefault="00FB6AB9" w:rsidP="007A27AC">
      <w:pPr>
        <w:pStyle w:val="bulletlist"/>
        <w:numPr>
          <w:ilvl w:val="0"/>
          <w:numId w:val="0"/>
        </w:numPr>
        <w:spacing w:after="0" w:line="240" w:lineRule="auto"/>
        <w:jc w:val="center"/>
      </w:pPr>
      <w:r w:rsidRPr="00FB6AB9">
        <w:t xml:space="preserve">Figure 4. </w:t>
      </w:r>
      <w:r w:rsidR="007A27AC">
        <w:t xml:space="preserve"> </w:t>
      </w:r>
      <w:r w:rsidRPr="00FB6AB9">
        <w:t xml:space="preserve">Permeation of glucose in different </w:t>
      </w:r>
      <w:r w:rsidR="007A27AC">
        <w:t>pH</w:t>
      </w:r>
    </w:p>
    <w:p w:rsidR="00FB6AB9" w:rsidRPr="00FB6AB9" w:rsidRDefault="00FB6AB9" w:rsidP="00FB6AB9">
      <w:pPr>
        <w:pStyle w:val="bulletlist"/>
        <w:numPr>
          <w:ilvl w:val="0"/>
          <w:numId w:val="0"/>
        </w:numPr>
        <w:spacing w:after="0" w:line="240" w:lineRule="auto"/>
        <w:rPr>
          <w:b/>
        </w:rPr>
      </w:pPr>
      <w:r w:rsidRPr="00FB6AB9">
        <w:rPr>
          <w:b/>
        </w:rPr>
        <w:t>Fouling mechanism</w:t>
      </w:r>
    </w:p>
    <w:p w:rsidR="00FB6AB9" w:rsidRPr="00FB6AB9" w:rsidRDefault="00FB6AB9" w:rsidP="00FB6AB9">
      <w:pPr>
        <w:pStyle w:val="bulletlist"/>
        <w:numPr>
          <w:ilvl w:val="0"/>
          <w:numId w:val="0"/>
        </w:numPr>
        <w:spacing w:after="0" w:line="240" w:lineRule="auto"/>
      </w:pPr>
      <w:r w:rsidRPr="00FB6AB9">
        <w:t xml:space="preserve">Kumar’s equation was applied to identify the mechanism of fouling during ultrafiltration of cellulose hydrolysate. Y-axis and X-axis according to Table 1 was fitted using Matlab R2012a (Figure 5). The best fit parameter was obtained by minimizing the sum of squared residuals (SSR) that could explain the experimental data rationally (Table 2). </w:t>
      </w:r>
    </w:p>
    <w:p w:rsidR="00FB6AB9" w:rsidRPr="00FB6AB9" w:rsidRDefault="00FB6AB9" w:rsidP="00FB6AB9">
      <w:pPr>
        <w:pStyle w:val="bulletlist"/>
        <w:numPr>
          <w:ilvl w:val="0"/>
          <w:numId w:val="0"/>
        </w:numPr>
        <w:spacing w:after="0" w:line="240" w:lineRule="auto"/>
      </w:pPr>
    </w:p>
    <w:p w:rsidR="00FB6AB9" w:rsidRDefault="00FB6AB9" w:rsidP="007A27AC">
      <w:pPr>
        <w:pStyle w:val="bulletlist"/>
        <w:numPr>
          <w:ilvl w:val="0"/>
          <w:numId w:val="0"/>
        </w:numPr>
        <w:spacing w:after="0" w:line="240" w:lineRule="auto"/>
        <w:jc w:val="center"/>
      </w:pPr>
      <w:r w:rsidRPr="00FB6AB9">
        <w:rPr>
          <w:b/>
          <w:noProof/>
        </w:rPr>
        <mc:AlternateContent>
          <mc:Choice Requires="wps">
            <w:drawing>
              <wp:anchor distT="0" distB="0" distL="114300" distR="114300" simplePos="0" relativeHeight="251660800" behindDoc="0" locked="0" layoutInCell="1" allowOverlap="1" wp14:anchorId="1A1E215E" wp14:editId="10F2CF18">
                <wp:simplePos x="0" y="0"/>
                <wp:positionH relativeFrom="column">
                  <wp:posOffset>4429125</wp:posOffset>
                </wp:positionH>
                <wp:positionV relativeFrom="paragraph">
                  <wp:posOffset>117475</wp:posOffset>
                </wp:positionV>
                <wp:extent cx="411480" cy="249381"/>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411480" cy="249381"/>
                        </a:xfrm>
                        <a:prstGeom prst="rect">
                          <a:avLst/>
                        </a:prstGeom>
                        <a:solidFill>
                          <a:schemeClr val="lt1"/>
                        </a:solidFill>
                        <a:ln w="6350">
                          <a:noFill/>
                        </a:ln>
                      </wps:spPr>
                      <wps:txbx>
                        <w:txbxContent>
                          <w:p w:rsidR="00FB6AB9" w:rsidRDefault="00FB6AB9" w:rsidP="00FB6AB9">
                            <w:r w:rsidRPr="007A27AC">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48.75pt;margin-top:9.25pt;width:32.4pt;height:1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" fillcolor="white [3201]" stroked="f" strokeweight=".5pt">
                <v:textbox>
                  <w:txbxContent>
                    <w:p w:rsidR="00FB6AB9" w:rsidRDefault="00FB6AB9" w:rsidP="00FB6AB9">
                      <w:r w:rsidRPr="007A27AC">
                        <w:rPr>
                          <w:rFonts w:ascii="Times New Roman" w:hAnsi="Times New Roman"/>
                        </w:rPr>
                        <w:t>(a)</w:t>
                      </w:r>
                    </w:p>
                  </w:txbxContent>
                </v:textbox>
              </v:shape>
            </w:pict>
          </mc:Fallback>
        </mc:AlternateContent>
      </w:r>
      <w:r w:rsidRPr="00FB6AB9">
        <w:rPr>
          <w:b/>
          <w:noProof/>
        </w:rPr>
        <w:drawing>
          <wp:inline distT="0" distB="0" distL="0" distR="0" wp14:anchorId="4DFF8B2F" wp14:editId="5F8B5E24">
            <wp:extent cx="3840480" cy="1812351"/>
            <wp:effectExtent l="19050" t="19050" r="26670"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tif"/>
                    <pic:cNvPicPr/>
                  </pic:nvPicPr>
                  <pic:blipFill rotWithShape="1">
                    <a:blip r:embed="rId15" cstate="print">
                      <a:extLst>
                        <a:ext uri="{28A0092B-C50C-407E-A947-70E740481C1C}">
                          <a14:useLocalDpi xmlns:a14="http://schemas.microsoft.com/office/drawing/2010/main" val="0"/>
                        </a:ext>
                      </a:extLst>
                    </a:blip>
                    <a:srcRect t="11111" b="7936"/>
                    <a:stretch/>
                  </pic:blipFill>
                  <pic:spPr bwMode="auto">
                    <a:xfrm>
                      <a:off x="0" y="0"/>
                      <a:ext cx="3840480" cy="1812351"/>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7A27AC" w:rsidRPr="00FB6AB9" w:rsidRDefault="007A27AC" w:rsidP="00FB6AB9">
      <w:pPr>
        <w:pStyle w:val="bulletlist"/>
        <w:numPr>
          <w:ilvl w:val="0"/>
          <w:numId w:val="0"/>
        </w:numPr>
        <w:spacing w:after="0" w:line="240" w:lineRule="auto"/>
      </w:pPr>
    </w:p>
    <w:p w:rsidR="00FB6AB9" w:rsidRPr="00FB6AB9" w:rsidRDefault="00FB6AB9" w:rsidP="007A27AC">
      <w:pPr>
        <w:pStyle w:val="bulletlist"/>
        <w:numPr>
          <w:ilvl w:val="0"/>
          <w:numId w:val="0"/>
        </w:numPr>
        <w:spacing w:after="0" w:line="240" w:lineRule="auto"/>
        <w:jc w:val="center"/>
      </w:pPr>
      <w:r w:rsidRPr="00FB6AB9">
        <w:rPr>
          <w:b/>
          <w:noProof/>
        </w:rPr>
        <mc:AlternateContent>
          <mc:Choice Requires="wps">
            <w:drawing>
              <wp:anchor distT="0" distB="0" distL="114300" distR="114300" simplePos="0" relativeHeight="251661824" behindDoc="0" locked="0" layoutInCell="1" allowOverlap="1" wp14:anchorId="00A783A4" wp14:editId="3571E805">
                <wp:simplePos x="0" y="0"/>
                <wp:positionH relativeFrom="column">
                  <wp:posOffset>4429125</wp:posOffset>
                </wp:positionH>
                <wp:positionV relativeFrom="paragraph">
                  <wp:posOffset>95250</wp:posOffset>
                </wp:positionV>
                <wp:extent cx="411480" cy="249381"/>
                <wp:effectExtent l="0" t="0" r="7620" b="0"/>
                <wp:wrapNone/>
                <wp:docPr id="5" name="Text Box 5"/>
                <wp:cNvGraphicFramePr/>
                <a:graphic xmlns:a="http://schemas.openxmlformats.org/drawingml/2006/main">
                  <a:graphicData uri="http://schemas.microsoft.com/office/word/2010/wordprocessingShape">
                    <wps:wsp>
                      <wps:cNvSpPr txBox="1"/>
                      <wps:spPr>
                        <a:xfrm>
                          <a:off x="0" y="0"/>
                          <a:ext cx="411480" cy="249381"/>
                        </a:xfrm>
                        <a:prstGeom prst="rect">
                          <a:avLst/>
                        </a:prstGeom>
                        <a:solidFill>
                          <a:schemeClr val="lt1"/>
                        </a:solidFill>
                        <a:ln w="6350">
                          <a:noFill/>
                        </a:ln>
                      </wps:spPr>
                      <wps:txbx>
                        <w:txbxContent>
                          <w:p w:rsidR="00FB6AB9" w:rsidRDefault="00FB6AB9" w:rsidP="00FB6AB9">
                            <w:r w:rsidRPr="007A27AC">
                              <w:rPr>
                                <w:rFonts w:ascii="Times New Roman" w:hAnsi="Times New Roman"/>
                              </w:rPr>
                              <w:t>(b</w:t>
                            </w:r>
                            <w:r w:rsidR="007A27AC" w:rsidRPr="007A27AC">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48.75pt;margin-top:7.5pt;width:32.4pt;height:1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" fillcolor="white [3201]" stroked="f" strokeweight=".5pt">
                <v:textbox>
                  <w:txbxContent>
                    <w:p w:rsidR="00FB6AB9" w:rsidRDefault="00FB6AB9" w:rsidP="00FB6AB9">
                      <w:r w:rsidRPr="007A27AC">
                        <w:rPr>
                          <w:rFonts w:ascii="Times New Roman" w:hAnsi="Times New Roman"/>
                        </w:rPr>
                        <w:t>(b</w:t>
                      </w:r>
                      <w:r w:rsidR="007A27AC" w:rsidRPr="007A27AC">
                        <w:rPr>
                          <w:rFonts w:ascii="Times New Roman" w:hAnsi="Times New Roman"/>
                        </w:rPr>
                        <w:t>)</w:t>
                      </w:r>
                    </w:p>
                  </w:txbxContent>
                </v:textbox>
              </v:shape>
            </w:pict>
          </mc:Fallback>
        </mc:AlternateContent>
      </w:r>
      <w:r w:rsidRPr="00FB6AB9">
        <w:rPr>
          <w:b/>
          <w:noProof/>
        </w:rPr>
        <w:drawing>
          <wp:inline distT="0" distB="0" distL="0" distR="0" wp14:anchorId="6DDEDF8E" wp14:editId="1A334ACA">
            <wp:extent cx="3840480" cy="1959428"/>
            <wp:effectExtent l="19050" t="19050" r="26670" b="222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tif"/>
                    <pic:cNvPicPr/>
                  </pic:nvPicPr>
                  <pic:blipFill rotWithShape="1">
                    <a:blip r:embed="rId16" cstate="print">
                      <a:extLst>
                        <a:ext uri="{28A0092B-C50C-407E-A947-70E740481C1C}">
                          <a14:useLocalDpi xmlns:a14="http://schemas.microsoft.com/office/drawing/2010/main" val="0"/>
                        </a:ext>
                      </a:extLst>
                    </a:blip>
                    <a:srcRect t="15873" b="8333"/>
                    <a:stretch/>
                  </pic:blipFill>
                  <pic:spPr bwMode="auto">
                    <a:xfrm>
                      <a:off x="0" y="0"/>
                      <a:ext cx="3840480" cy="1959428"/>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FB6AB9" w:rsidRPr="00FB6AB9" w:rsidRDefault="00FB6AB9" w:rsidP="00FB6AB9">
      <w:pPr>
        <w:pStyle w:val="SubSection"/>
        <w:spacing w:before="0" w:after="0"/>
        <w:outlineLvl w:val="0"/>
        <w:rPr>
          <w:b w:val="0"/>
        </w:rPr>
      </w:pPr>
    </w:p>
    <w:p w:rsidR="00FB6AB9" w:rsidRPr="00FB6AB9" w:rsidRDefault="00FB6AB9" w:rsidP="007A27AC">
      <w:pPr>
        <w:pStyle w:val="SubSection"/>
        <w:spacing w:before="0" w:after="0"/>
        <w:jc w:val="center"/>
        <w:outlineLvl w:val="0"/>
        <w:rPr>
          <w:b w:val="0"/>
        </w:rPr>
      </w:pPr>
      <w:r w:rsidRPr="00FB6AB9">
        <w:rPr>
          <w:b w:val="0"/>
          <w:noProof/>
          <w:lang w:val="en-US"/>
        </w:rPr>
        <mc:AlternateContent>
          <mc:Choice Requires="wps">
            <w:drawing>
              <wp:anchor distT="0" distB="0" distL="114300" distR="114300" simplePos="0" relativeHeight="251662848" behindDoc="0" locked="0" layoutInCell="1" allowOverlap="1" wp14:anchorId="3CC8F921" wp14:editId="050A475A">
                <wp:simplePos x="0" y="0"/>
                <wp:positionH relativeFrom="column">
                  <wp:posOffset>4429125</wp:posOffset>
                </wp:positionH>
                <wp:positionV relativeFrom="paragraph">
                  <wp:posOffset>168275</wp:posOffset>
                </wp:positionV>
                <wp:extent cx="421005" cy="24938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21005" cy="249381"/>
                        </a:xfrm>
                        <a:prstGeom prst="rect">
                          <a:avLst/>
                        </a:prstGeom>
                        <a:solidFill>
                          <a:schemeClr val="lt1"/>
                        </a:solidFill>
                        <a:ln w="6350">
                          <a:noFill/>
                        </a:ln>
                      </wps:spPr>
                      <wps:txbx>
                        <w:txbxContent>
                          <w:p w:rsidR="00FB6AB9" w:rsidRPr="007A27AC" w:rsidRDefault="00FB6AB9" w:rsidP="00FB6AB9">
                            <w:pPr>
                              <w:rPr>
                                <w:rFonts w:ascii="Times New Roman" w:hAnsi="Times New Roman"/>
                              </w:rPr>
                            </w:pPr>
                            <w:r w:rsidRPr="007A27AC">
                              <w:rPr>
                                <w:rFonts w:ascii="Times New Roman" w:hAnsi="Times New Roma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48.75pt;margin-top:13.25pt;width:33.15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" fillcolor="white [3201]" stroked="f" strokeweight=".5pt">
                <v:textbox>
                  <w:txbxContent>
                    <w:p w:rsidR="00FB6AB9" w:rsidRPr="007A27AC" w:rsidRDefault="00FB6AB9" w:rsidP="00FB6AB9">
                      <w:pPr>
                        <w:rPr>
                          <w:rFonts w:ascii="Times New Roman" w:hAnsi="Times New Roman"/>
                        </w:rPr>
                      </w:pPr>
                      <w:r w:rsidRPr="007A27AC">
                        <w:rPr>
                          <w:rFonts w:ascii="Times New Roman" w:hAnsi="Times New Roman"/>
                        </w:rPr>
                        <w:t>(c)</w:t>
                      </w:r>
                    </w:p>
                  </w:txbxContent>
                </v:textbox>
              </v:shape>
            </w:pict>
          </mc:Fallback>
        </mc:AlternateContent>
      </w:r>
      <w:r w:rsidRPr="00FB6AB9">
        <w:rPr>
          <w:b w:val="0"/>
          <w:noProof/>
          <w:lang w:val="en-US"/>
        </w:rPr>
        <w:drawing>
          <wp:inline distT="0" distB="0" distL="0" distR="0" wp14:anchorId="765FEB6F" wp14:editId="58D7F3D0">
            <wp:extent cx="3840480" cy="1822676"/>
            <wp:effectExtent l="19050" t="19050" r="26670" b="254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m.tif"/>
                    <pic:cNvPicPr/>
                  </pic:nvPicPr>
                  <pic:blipFill rotWithShape="1">
                    <a:blip r:embed="rId17" cstate="print">
                      <a:extLst>
                        <a:ext uri="{28A0092B-C50C-407E-A947-70E740481C1C}">
                          <a14:useLocalDpi xmlns:a14="http://schemas.microsoft.com/office/drawing/2010/main" val="0"/>
                        </a:ext>
                      </a:extLst>
                    </a:blip>
                    <a:srcRect t="17460" b="9788"/>
                    <a:stretch/>
                  </pic:blipFill>
                  <pic:spPr bwMode="auto">
                    <a:xfrm>
                      <a:off x="0" y="0"/>
                      <a:ext cx="3840480" cy="1822676"/>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FB6AB9" w:rsidRPr="00FB6AB9" w:rsidRDefault="00FB6AB9" w:rsidP="00FB6AB9">
      <w:pPr>
        <w:pStyle w:val="SubSection"/>
        <w:spacing w:before="0" w:after="0"/>
        <w:outlineLvl w:val="0"/>
        <w:rPr>
          <w:b w:val="0"/>
        </w:rPr>
      </w:pPr>
    </w:p>
    <w:p w:rsidR="00FB6AB9" w:rsidRPr="00FB6AB9" w:rsidRDefault="00FB6AB9" w:rsidP="00FB6AB9">
      <w:pPr>
        <w:spacing w:after="0" w:line="240" w:lineRule="auto"/>
        <w:ind w:left="851" w:hanging="851"/>
        <w:jc w:val="both"/>
        <w:rPr>
          <w:rFonts w:ascii="Times New Roman" w:hAnsi="Times New Roman"/>
          <w:sz w:val="20"/>
          <w:szCs w:val="20"/>
        </w:rPr>
      </w:pPr>
      <w:r w:rsidRPr="00FB6AB9">
        <w:rPr>
          <w:rFonts w:ascii="Times New Roman" w:hAnsi="Times New Roman"/>
          <w:sz w:val="20"/>
          <w:szCs w:val="20"/>
        </w:rPr>
        <w:t xml:space="preserve">Figure 5. </w:t>
      </w:r>
      <w:r w:rsidR="007A27AC">
        <w:rPr>
          <w:rFonts w:ascii="Times New Roman" w:hAnsi="Times New Roman"/>
          <w:sz w:val="20"/>
          <w:szCs w:val="20"/>
        </w:rPr>
        <w:tab/>
      </w:r>
      <w:r w:rsidRPr="00FB6AB9">
        <w:rPr>
          <w:rFonts w:ascii="Times New Roman" w:hAnsi="Times New Roman"/>
          <w:sz w:val="20"/>
          <w:szCs w:val="20"/>
        </w:rPr>
        <w:t>Cake formation model (a), standard pore blocking (b) and complete pore plugging model (c) for cellulose hydrolysate ultrafiltration</w:t>
      </w:r>
    </w:p>
    <w:p w:rsidR="00FB6AB9" w:rsidRDefault="00FB6AB9" w:rsidP="00FB6AB9">
      <w:pPr>
        <w:spacing w:after="0" w:line="240" w:lineRule="auto"/>
        <w:jc w:val="both"/>
        <w:rPr>
          <w:rFonts w:ascii="Times New Roman" w:hAnsi="Times New Roman"/>
          <w:sz w:val="20"/>
          <w:szCs w:val="20"/>
        </w:rPr>
      </w:pPr>
    </w:p>
    <w:p w:rsidR="007A27AC" w:rsidRPr="00FB6AB9" w:rsidRDefault="007A27AC" w:rsidP="00FB6AB9">
      <w:pPr>
        <w:spacing w:after="0" w:line="240" w:lineRule="auto"/>
        <w:jc w:val="both"/>
        <w:rPr>
          <w:rFonts w:ascii="Times New Roman" w:hAnsi="Times New Roman"/>
          <w:sz w:val="20"/>
          <w:szCs w:val="20"/>
        </w:rPr>
      </w:pPr>
    </w:p>
    <w:p w:rsidR="00FB6AB9" w:rsidRPr="00FB6AB9" w:rsidRDefault="00FB6AB9" w:rsidP="00FB6AB9">
      <w:pPr>
        <w:pStyle w:val="SubSection"/>
        <w:spacing w:before="0" w:after="0"/>
        <w:outlineLvl w:val="0"/>
        <w:rPr>
          <w:b w:val="0"/>
        </w:rPr>
      </w:pPr>
      <w:r w:rsidRPr="00FB6AB9">
        <w:rPr>
          <w:b w:val="0"/>
        </w:rPr>
        <w:t>It may be observed from the figure that the fitting of experimental data to the all three types of blocking, the best fitting occurred in pH5, as the values of R</w:t>
      </w:r>
      <w:r w:rsidRPr="000E50F6">
        <w:rPr>
          <w:b w:val="0"/>
          <w:vertAlign w:val="superscript"/>
        </w:rPr>
        <w:t>2</w:t>
      </w:r>
      <w:r w:rsidRPr="00FB6AB9">
        <w:rPr>
          <w:b w:val="0"/>
        </w:rPr>
        <w:t xml:space="preserve"> were higher than others R</w:t>
      </w:r>
      <w:r w:rsidRPr="000E50F6">
        <w:rPr>
          <w:b w:val="0"/>
          <w:vertAlign w:val="superscript"/>
        </w:rPr>
        <w:t>2</w:t>
      </w:r>
      <w:r w:rsidRPr="00FB6AB9">
        <w:rPr>
          <w:b w:val="0"/>
        </w:rPr>
        <w:t xml:space="preserve"> values, which were mostly above 0.9. Thus this indicated that at pH5 the possibility that the flux decline could be controlled by the combination of the three blocking model. Solution at pH3 were fouled mainly by cake formation, which could explain the electrostatic attraction between particles of protein and the fresh membrane that lead to the formation of cake layer impeding the entrance of molecules into the membrane pore and keeps them back on the cake layer. </w:t>
      </w:r>
    </w:p>
    <w:p w:rsidR="00FB6AB9" w:rsidRDefault="00FB6AB9" w:rsidP="00FB6AB9">
      <w:pPr>
        <w:pStyle w:val="SubSection"/>
        <w:spacing w:before="0" w:after="0"/>
        <w:outlineLvl w:val="0"/>
        <w:rPr>
          <w:b w:val="0"/>
        </w:rPr>
      </w:pPr>
    </w:p>
    <w:p w:rsidR="007A27AC" w:rsidRPr="00FB6AB9" w:rsidRDefault="007A27AC" w:rsidP="00FB6AB9">
      <w:pPr>
        <w:pStyle w:val="SubSection"/>
        <w:spacing w:before="0" w:after="0"/>
        <w:outlineLvl w:val="0"/>
        <w:rPr>
          <w:b w:val="0"/>
        </w:rPr>
      </w:pPr>
    </w:p>
    <w:p w:rsidR="007A27AC" w:rsidRDefault="00FB6AB9" w:rsidP="007A27AC">
      <w:pPr>
        <w:spacing w:after="0" w:line="240" w:lineRule="auto"/>
        <w:ind w:left="709" w:hanging="709"/>
        <w:jc w:val="center"/>
        <w:rPr>
          <w:rFonts w:ascii="Times New Roman" w:hAnsi="Times New Roman"/>
          <w:sz w:val="20"/>
          <w:szCs w:val="20"/>
        </w:rPr>
      </w:pPr>
      <w:r w:rsidRPr="00FB6AB9">
        <w:rPr>
          <w:rFonts w:ascii="Times New Roman" w:hAnsi="Times New Roman"/>
          <w:sz w:val="20"/>
          <w:szCs w:val="20"/>
        </w:rPr>
        <w:t xml:space="preserve">Table 2. </w:t>
      </w:r>
      <w:r w:rsidR="007A27AC">
        <w:rPr>
          <w:rFonts w:ascii="Times New Roman" w:hAnsi="Times New Roman"/>
          <w:sz w:val="20"/>
          <w:szCs w:val="20"/>
        </w:rPr>
        <w:t xml:space="preserve"> </w:t>
      </w:r>
      <w:r w:rsidRPr="00FB6AB9">
        <w:rPr>
          <w:rFonts w:ascii="Times New Roman" w:hAnsi="Times New Roman"/>
          <w:sz w:val="20"/>
          <w:szCs w:val="20"/>
        </w:rPr>
        <w:t>The value of R</w:t>
      </w:r>
      <w:r w:rsidRPr="000E50F6">
        <w:rPr>
          <w:rFonts w:ascii="Times New Roman" w:hAnsi="Times New Roman"/>
          <w:sz w:val="20"/>
          <w:szCs w:val="20"/>
          <w:vertAlign w:val="superscript"/>
        </w:rPr>
        <w:t>2</w:t>
      </w:r>
      <w:r w:rsidRPr="00FB6AB9">
        <w:rPr>
          <w:rFonts w:ascii="Times New Roman" w:hAnsi="Times New Roman"/>
          <w:sz w:val="20"/>
          <w:szCs w:val="20"/>
        </w:rPr>
        <w:t xml:space="preserve"> obtained from the experimental data in the study of the effect of pH solution </w:t>
      </w:r>
    </w:p>
    <w:p w:rsidR="00FB6AB9" w:rsidRPr="00FB6AB9" w:rsidRDefault="00FB6AB9" w:rsidP="007A27AC">
      <w:pPr>
        <w:spacing w:after="120" w:line="240" w:lineRule="auto"/>
        <w:ind w:left="706" w:hanging="706"/>
        <w:jc w:val="center"/>
        <w:rPr>
          <w:rFonts w:ascii="Times New Roman" w:hAnsi="Times New Roman"/>
          <w:sz w:val="20"/>
          <w:szCs w:val="20"/>
        </w:rPr>
      </w:pPr>
      <w:r w:rsidRPr="00FB6AB9">
        <w:rPr>
          <w:rFonts w:ascii="Times New Roman" w:hAnsi="Times New Roman"/>
          <w:sz w:val="20"/>
          <w:szCs w:val="20"/>
        </w:rPr>
        <w:t>upon membrane fouling</w:t>
      </w:r>
    </w:p>
    <w:tbl>
      <w:tblPr>
        <w:tblW w:w="5952" w:type="dxa"/>
        <w:jc w:val="center"/>
        <w:tblInd w:w="-517" w:type="dxa"/>
        <w:tblLook w:val="0600" w:firstRow="0" w:lastRow="0" w:firstColumn="0" w:lastColumn="0" w:noHBand="1" w:noVBand="1"/>
      </w:tblPr>
      <w:tblGrid>
        <w:gridCol w:w="12"/>
        <w:gridCol w:w="810"/>
        <w:gridCol w:w="1600"/>
        <w:gridCol w:w="1649"/>
        <w:gridCol w:w="1881"/>
      </w:tblGrid>
      <w:tr w:rsidR="00FB6AB9" w:rsidRPr="00055E47" w:rsidTr="00FA6D81">
        <w:trPr>
          <w:trHeight w:val="794"/>
          <w:jc w:val="center"/>
        </w:trPr>
        <w:tc>
          <w:tcPr>
            <w:tcW w:w="822" w:type="dxa"/>
            <w:gridSpan w:val="2"/>
            <w:tcBorders>
              <w:top w:val="single" w:sz="4" w:space="0" w:color="auto"/>
              <w:left w:val="nil"/>
              <w:bottom w:val="single" w:sz="4" w:space="0" w:color="auto"/>
              <w:right w:val="nil"/>
            </w:tcBorders>
            <w:shd w:val="clear" w:color="auto" w:fill="auto"/>
            <w:noWrap/>
            <w:vAlign w:val="center"/>
            <w:hideMark/>
          </w:tcPr>
          <w:p w:rsidR="00FB6AB9" w:rsidRPr="00055E47" w:rsidRDefault="00FB6AB9" w:rsidP="00FA6D81">
            <w:pPr>
              <w:spacing w:after="0" w:line="240" w:lineRule="auto"/>
              <w:rPr>
                <w:rFonts w:ascii="Times New Roman" w:hAnsi="Times New Roman"/>
                <w:b/>
                <w:color w:val="000000"/>
                <w:sz w:val="20"/>
                <w:szCs w:val="20"/>
              </w:rPr>
            </w:pPr>
            <w:r w:rsidRPr="00055E47">
              <w:rPr>
                <w:rFonts w:ascii="Times New Roman" w:hAnsi="Times New Roman"/>
                <w:b/>
                <w:color w:val="000000"/>
                <w:sz w:val="20"/>
                <w:szCs w:val="20"/>
              </w:rPr>
              <w:t>pH</w:t>
            </w:r>
          </w:p>
        </w:tc>
        <w:tc>
          <w:tcPr>
            <w:tcW w:w="1600" w:type="dxa"/>
            <w:tcBorders>
              <w:top w:val="single" w:sz="4" w:space="0" w:color="auto"/>
              <w:left w:val="nil"/>
              <w:bottom w:val="single" w:sz="4" w:space="0" w:color="auto"/>
              <w:right w:val="nil"/>
            </w:tcBorders>
            <w:shd w:val="clear" w:color="auto" w:fill="auto"/>
            <w:vAlign w:val="center"/>
            <w:hideMark/>
          </w:tcPr>
          <w:p w:rsidR="00FB6AB9" w:rsidRPr="00055E47" w:rsidRDefault="00FB6AB9" w:rsidP="00FA6D81">
            <w:pPr>
              <w:spacing w:before="60" w:after="60" w:line="240" w:lineRule="auto"/>
              <w:jc w:val="center"/>
              <w:rPr>
                <w:rFonts w:ascii="Times New Roman" w:hAnsi="Times New Roman"/>
                <w:b/>
                <w:color w:val="000000"/>
                <w:sz w:val="20"/>
                <w:szCs w:val="20"/>
              </w:rPr>
            </w:pPr>
            <w:r w:rsidRPr="00055E47">
              <w:rPr>
                <w:rFonts w:ascii="Times New Roman" w:hAnsi="Times New Roman"/>
                <w:b/>
                <w:color w:val="000000"/>
                <w:sz w:val="20"/>
                <w:szCs w:val="20"/>
              </w:rPr>
              <w:t>Cake Formation Mode</w:t>
            </w:r>
          </w:p>
        </w:tc>
        <w:tc>
          <w:tcPr>
            <w:tcW w:w="1649" w:type="dxa"/>
            <w:tcBorders>
              <w:top w:val="single" w:sz="4" w:space="0" w:color="auto"/>
              <w:left w:val="nil"/>
              <w:bottom w:val="single" w:sz="4" w:space="0" w:color="auto"/>
              <w:right w:val="nil"/>
            </w:tcBorders>
            <w:shd w:val="clear" w:color="auto" w:fill="auto"/>
            <w:vAlign w:val="center"/>
            <w:hideMark/>
          </w:tcPr>
          <w:p w:rsidR="00FB6AB9" w:rsidRPr="00055E47" w:rsidRDefault="00FB6AB9" w:rsidP="00FA6D81">
            <w:pPr>
              <w:spacing w:after="0" w:line="240" w:lineRule="auto"/>
              <w:jc w:val="center"/>
              <w:rPr>
                <w:rFonts w:ascii="Times New Roman" w:hAnsi="Times New Roman"/>
                <w:b/>
                <w:color w:val="000000"/>
                <w:sz w:val="20"/>
                <w:szCs w:val="20"/>
              </w:rPr>
            </w:pPr>
            <w:r w:rsidRPr="00055E47">
              <w:rPr>
                <w:rFonts w:ascii="Times New Roman" w:hAnsi="Times New Roman"/>
                <w:b/>
                <w:color w:val="000000"/>
                <w:sz w:val="20"/>
                <w:szCs w:val="20"/>
              </w:rPr>
              <w:t>Standard Pore Blocking</w:t>
            </w:r>
          </w:p>
        </w:tc>
        <w:tc>
          <w:tcPr>
            <w:tcW w:w="1881" w:type="dxa"/>
            <w:tcBorders>
              <w:top w:val="single" w:sz="4" w:space="0" w:color="auto"/>
              <w:left w:val="nil"/>
              <w:bottom w:val="single" w:sz="4" w:space="0" w:color="auto"/>
              <w:right w:val="nil"/>
            </w:tcBorders>
            <w:shd w:val="clear" w:color="auto" w:fill="auto"/>
            <w:vAlign w:val="center"/>
            <w:hideMark/>
          </w:tcPr>
          <w:p w:rsidR="00FB6AB9" w:rsidRPr="00055E47" w:rsidRDefault="00FB6AB9" w:rsidP="00FA6D81">
            <w:pPr>
              <w:spacing w:before="60" w:after="60" w:line="240" w:lineRule="auto"/>
              <w:jc w:val="center"/>
              <w:rPr>
                <w:rFonts w:ascii="Times New Roman" w:hAnsi="Times New Roman"/>
                <w:b/>
                <w:color w:val="000000"/>
                <w:sz w:val="20"/>
                <w:szCs w:val="20"/>
              </w:rPr>
            </w:pPr>
            <w:r w:rsidRPr="00055E47">
              <w:rPr>
                <w:rFonts w:ascii="Times New Roman" w:hAnsi="Times New Roman"/>
                <w:b/>
                <w:color w:val="000000"/>
                <w:sz w:val="20"/>
                <w:szCs w:val="20"/>
              </w:rPr>
              <w:t>Complete Pore Plugging Model</w:t>
            </w:r>
          </w:p>
        </w:tc>
        <w:bookmarkStart w:id="0" w:name="_GoBack"/>
        <w:bookmarkEnd w:id="0"/>
      </w:tr>
      <w:tr w:rsidR="00FB6AB9" w:rsidRPr="00FB6AB9" w:rsidTr="00FA6D81">
        <w:trPr>
          <w:gridBefore w:val="1"/>
          <w:wBefore w:w="12" w:type="dxa"/>
          <w:trHeight w:val="314"/>
          <w:jc w:val="center"/>
        </w:trPr>
        <w:tc>
          <w:tcPr>
            <w:tcW w:w="810" w:type="dxa"/>
            <w:tcBorders>
              <w:top w:val="nil"/>
              <w:left w:val="nil"/>
              <w:bottom w:val="nil"/>
              <w:right w:val="nil"/>
            </w:tcBorders>
            <w:shd w:val="clear" w:color="auto" w:fill="auto"/>
            <w:noWrap/>
            <w:vAlign w:val="bottom"/>
            <w:hideMark/>
          </w:tcPr>
          <w:p w:rsidR="00FB6AB9" w:rsidRPr="00FB6AB9" w:rsidRDefault="00FB6AB9" w:rsidP="00FA6D81">
            <w:pPr>
              <w:spacing w:before="60" w:after="0" w:line="240" w:lineRule="auto"/>
              <w:rPr>
                <w:rFonts w:ascii="Times New Roman" w:hAnsi="Times New Roman"/>
                <w:color w:val="000000"/>
                <w:sz w:val="20"/>
                <w:szCs w:val="20"/>
              </w:rPr>
            </w:pPr>
            <w:r w:rsidRPr="00FB6AB9">
              <w:rPr>
                <w:rFonts w:ascii="Times New Roman" w:hAnsi="Times New Roman"/>
                <w:color w:val="000000"/>
                <w:sz w:val="20"/>
                <w:szCs w:val="20"/>
              </w:rPr>
              <w:t>3</w:t>
            </w:r>
          </w:p>
        </w:tc>
        <w:tc>
          <w:tcPr>
            <w:tcW w:w="1600" w:type="dxa"/>
            <w:tcBorders>
              <w:top w:val="nil"/>
              <w:left w:val="nil"/>
              <w:bottom w:val="nil"/>
              <w:right w:val="nil"/>
            </w:tcBorders>
            <w:shd w:val="clear" w:color="auto" w:fill="auto"/>
            <w:noWrap/>
            <w:vAlign w:val="bottom"/>
            <w:hideMark/>
          </w:tcPr>
          <w:p w:rsidR="00FB6AB9" w:rsidRPr="00FB6AB9" w:rsidRDefault="00FB6AB9" w:rsidP="00FA6D81">
            <w:pPr>
              <w:spacing w:before="60" w:after="0" w:line="240" w:lineRule="auto"/>
              <w:jc w:val="center"/>
              <w:rPr>
                <w:rFonts w:ascii="Times New Roman" w:hAnsi="Times New Roman"/>
                <w:color w:val="000000"/>
                <w:sz w:val="20"/>
                <w:szCs w:val="20"/>
              </w:rPr>
            </w:pPr>
            <w:r w:rsidRPr="00FB6AB9">
              <w:rPr>
                <w:rFonts w:ascii="Times New Roman" w:hAnsi="Times New Roman"/>
                <w:color w:val="000000"/>
                <w:sz w:val="20"/>
                <w:szCs w:val="20"/>
              </w:rPr>
              <w:t>0.9282</w:t>
            </w:r>
          </w:p>
        </w:tc>
        <w:tc>
          <w:tcPr>
            <w:tcW w:w="1649" w:type="dxa"/>
            <w:tcBorders>
              <w:top w:val="nil"/>
              <w:left w:val="nil"/>
              <w:bottom w:val="nil"/>
              <w:right w:val="nil"/>
            </w:tcBorders>
            <w:shd w:val="clear" w:color="auto" w:fill="auto"/>
            <w:noWrap/>
            <w:vAlign w:val="bottom"/>
            <w:hideMark/>
          </w:tcPr>
          <w:p w:rsidR="00FB6AB9" w:rsidRPr="00FB6AB9" w:rsidRDefault="00FB6AB9" w:rsidP="00FA6D81">
            <w:pPr>
              <w:spacing w:before="60" w:after="0" w:line="240" w:lineRule="auto"/>
              <w:jc w:val="center"/>
              <w:rPr>
                <w:rFonts w:ascii="Times New Roman" w:hAnsi="Times New Roman"/>
                <w:color w:val="000000"/>
                <w:sz w:val="20"/>
                <w:szCs w:val="20"/>
              </w:rPr>
            </w:pPr>
            <w:r w:rsidRPr="00FB6AB9">
              <w:rPr>
                <w:rFonts w:ascii="Times New Roman" w:hAnsi="Times New Roman"/>
                <w:color w:val="000000"/>
                <w:sz w:val="20"/>
                <w:szCs w:val="20"/>
              </w:rPr>
              <w:t>0.9084</w:t>
            </w:r>
          </w:p>
        </w:tc>
        <w:tc>
          <w:tcPr>
            <w:tcW w:w="1881" w:type="dxa"/>
            <w:tcBorders>
              <w:top w:val="nil"/>
              <w:left w:val="nil"/>
              <w:bottom w:val="nil"/>
              <w:right w:val="nil"/>
            </w:tcBorders>
            <w:shd w:val="clear" w:color="auto" w:fill="auto"/>
            <w:noWrap/>
            <w:vAlign w:val="bottom"/>
            <w:hideMark/>
          </w:tcPr>
          <w:p w:rsidR="00FB6AB9" w:rsidRPr="00FB6AB9" w:rsidRDefault="00FB6AB9" w:rsidP="00FA6D81">
            <w:pPr>
              <w:spacing w:before="60" w:after="0" w:line="240" w:lineRule="auto"/>
              <w:jc w:val="center"/>
              <w:rPr>
                <w:rFonts w:ascii="Times New Roman" w:hAnsi="Times New Roman"/>
                <w:color w:val="000000"/>
                <w:sz w:val="20"/>
                <w:szCs w:val="20"/>
              </w:rPr>
            </w:pPr>
            <w:r w:rsidRPr="00FB6AB9">
              <w:rPr>
                <w:rFonts w:ascii="Times New Roman" w:hAnsi="Times New Roman"/>
                <w:color w:val="000000"/>
                <w:sz w:val="20"/>
                <w:szCs w:val="20"/>
              </w:rPr>
              <w:t>0.7968</w:t>
            </w:r>
          </w:p>
        </w:tc>
      </w:tr>
      <w:tr w:rsidR="00FB6AB9" w:rsidRPr="00FB6AB9" w:rsidTr="00FA6D81">
        <w:trPr>
          <w:gridBefore w:val="1"/>
          <w:wBefore w:w="12" w:type="dxa"/>
          <w:trHeight w:val="64"/>
          <w:jc w:val="center"/>
        </w:trPr>
        <w:tc>
          <w:tcPr>
            <w:tcW w:w="810" w:type="dxa"/>
            <w:tcBorders>
              <w:top w:val="nil"/>
              <w:left w:val="nil"/>
              <w:bottom w:val="nil"/>
              <w:right w:val="nil"/>
            </w:tcBorders>
            <w:shd w:val="clear" w:color="auto" w:fill="auto"/>
            <w:noWrap/>
            <w:vAlign w:val="bottom"/>
            <w:hideMark/>
          </w:tcPr>
          <w:p w:rsidR="00FB6AB9" w:rsidRPr="00FB6AB9" w:rsidRDefault="00FB6AB9" w:rsidP="00FA6D81">
            <w:pPr>
              <w:spacing w:before="60" w:after="0" w:line="240" w:lineRule="auto"/>
              <w:rPr>
                <w:rFonts w:ascii="Times New Roman" w:hAnsi="Times New Roman"/>
                <w:color w:val="000000"/>
                <w:sz w:val="20"/>
                <w:szCs w:val="20"/>
              </w:rPr>
            </w:pPr>
            <w:r w:rsidRPr="00FB6AB9">
              <w:rPr>
                <w:rFonts w:ascii="Times New Roman" w:hAnsi="Times New Roman"/>
                <w:color w:val="000000"/>
                <w:sz w:val="20"/>
                <w:szCs w:val="20"/>
              </w:rPr>
              <w:t>4</w:t>
            </w:r>
          </w:p>
        </w:tc>
        <w:tc>
          <w:tcPr>
            <w:tcW w:w="1600" w:type="dxa"/>
            <w:tcBorders>
              <w:top w:val="nil"/>
              <w:left w:val="nil"/>
              <w:bottom w:val="nil"/>
              <w:right w:val="nil"/>
            </w:tcBorders>
            <w:shd w:val="clear" w:color="auto" w:fill="auto"/>
            <w:noWrap/>
            <w:vAlign w:val="bottom"/>
            <w:hideMark/>
          </w:tcPr>
          <w:p w:rsidR="00FB6AB9" w:rsidRPr="00FB6AB9" w:rsidRDefault="00FB6AB9" w:rsidP="00FA6D81">
            <w:pPr>
              <w:spacing w:before="60" w:after="0" w:line="240" w:lineRule="auto"/>
              <w:jc w:val="center"/>
              <w:rPr>
                <w:rFonts w:ascii="Times New Roman" w:hAnsi="Times New Roman"/>
                <w:color w:val="000000"/>
                <w:sz w:val="20"/>
                <w:szCs w:val="20"/>
              </w:rPr>
            </w:pPr>
            <w:r w:rsidRPr="00FB6AB9">
              <w:rPr>
                <w:rFonts w:ascii="Times New Roman" w:hAnsi="Times New Roman"/>
                <w:color w:val="000000"/>
                <w:sz w:val="20"/>
                <w:szCs w:val="20"/>
              </w:rPr>
              <w:t>0.8117</w:t>
            </w:r>
          </w:p>
        </w:tc>
        <w:tc>
          <w:tcPr>
            <w:tcW w:w="1649" w:type="dxa"/>
            <w:tcBorders>
              <w:top w:val="nil"/>
              <w:left w:val="nil"/>
              <w:bottom w:val="nil"/>
              <w:right w:val="nil"/>
            </w:tcBorders>
            <w:shd w:val="clear" w:color="auto" w:fill="auto"/>
            <w:noWrap/>
            <w:vAlign w:val="bottom"/>
            <w:hideMark/>
          </w:tcPr>
          <w:p w:rsidR="00FB6AB9" w:rsidRPr="00FB6AB9" w:rsidRDefault="00FB6AB9" w:rsidP="00FA6D81">
            <w:pPr>
              <w:spacing w:before="60" w:after="0" w:line="240" w:lineRule="auto"/>
              <w:jc w:val="center"/>
              <w:rPr>
                <w:rFonts w:ascii="Times New Roman" w:hAnsi="Times New Roman"/>
                <w:color w:val="000000"/>
                <w:sz w:val="20"/>
                <w:szCs w:val="20"/>
              </w:rPr>
            </w:pPr>
            <w:r w:rsidRPr="00FB6AB9">
              <w:rPr>
                <w:rFonts w:ascii="Times New Roman" w:hAnsi="Times New Roman"/>
                <w:color w:val="000000"/>
                <w:sz w:val="20"/>
                <w:szCs w:val="20"/>
              </w:rPr>
              <w:t>0.7937</w:t>
            </w:r>
          </w:p>
        </w:tc>
        <w:tc>
          <w:tcPr>
            <w:tcW w:w="1881" w:type="dxa"/>
            <w:tcBorders>
              <w:top w:val="nil"/>
              <w:left w:val="nil"/>
              <w:bottom w:val="nil"/>
              <w:right w:val="nil"/>
            </w:tcBorders>
            <w:shd w:val="clear" w:color="auto" w:fill="auto"/>
            <w:noWrap/>
            <w:vAlign w:val="bottom"/>
            <w:hideMark/>
          </w:tcPr>
          <w:p w:rsidR="00FB6AB9" w:rsidRPr="00FB6AB9" w:rsidRDefault="00FB6AB9" w:rsidP="00FA6D81">
            <w:pPr>
              <w:spacing w:before="60" w:after="0" w:line="240" w:lineRule="auto"/>
              <w:jc w:val="center"/>
              <w:rPr>
                <w:rFonts w:ascii="Times New Roman" w:hAnsi="Times New Roman"/>
                <w:color w:val="000000"/>
                <w:sz w:val="20"/>
                <w:szCs w:val="20"/>
              </w:rPr>
            </w:pPr>
            <w:r w:rsidRPr="00FB6AB9">
              <w:rPr>
                <w:rFonts w:ascii="Times New Roman" w:hAnsi="Times New Roman"/>
                <w:color w:val="000000"/>
                <w:sz w:val="20"/>
                <w:szCs w:val="20"/>
              </w:rPr>
              <w:t>0.8558</w:t>
            </w:r>
          </w:p>
        </w:tc>
      </w:tr>
      <w:tr w:rsidR="00FB6AB9" w:rsidRPr="00FB6AB9" w:rsidTr="00FA6D81">
        <w:trPr>
          <w:gridBefore w:val="1"/>
          <w:wBefore w:w="12" w:type="dxa"/>
          <w:trHeight w:val="64"/>
          <w:jc w:val="center"/>
        </w:trPr>
        <w:tc>
          <w:tcPr>
            <w:tcW w:w="810" w:type="dxa"/>
            <w:tcBorders>
              <w:top w:val="nil"/>
              <w:left w:val="nil"/>
              <w:right w:val="nil"/>
            </w:tcBorders>
            <w:shd w:val="clear" w:color="auto" w:fill="auto"/>
            <w:noWrap/>
            <w:vAlign w:val="bottom"/>
            <w:hideMark/>
          </w:tcPr>
          <w:p w:rsidR="00FB6AB9" w:rsidRPr="00FB6AB9" w:rsidRDefault="00FB6AB9" w:rsidP="00FA6D81">
            <w:pPr>
              <w:spacing w:before="60" w:after="0" w:line="240" w:lineRule="auto"/>
              <w:rPr>
                <w:rFonts w:ascii="Times New Roman" w:hAnsi="Times New Roman"/>
                <w:color w:val="000000"/>
                <w:sz w:val="20"/>
                <w:szCs w:val="20"/>
              </w:rPr>
            </w:pPr>
            <w:r w:rsidRPr="00FB6AB9">
              <w:rPr>
                <w:rFonts w:ascii="Times New Roman" w:hAnsi="Times New Roman"/>
                <w:color w:val="000000"/>
                <w:sz w:val="20"/>
                <w:szCs w:val="20"/>
              </w:rPr>
              <w:t>5</w:t>
            </w:r>
          </w:p>
        </w:tc>
        <w:tc>
          <w:tcPr>
            <w:tcW w:w="1600" w:type="dxa"/>
            <w:tcBorders>
              <w:top w:val="nil"/>
              <w:left w:val="nil"/>
              <w:right w:val="nil"/>
            </w:tcBorders>
            <w:shd w:val="clear" w:color="auto" w:fill="auto"/>
            <w:noWrap/>
            <w:vAlign w:val="bottom"/>
            <w:hideMark/>
          </w:tcPr>
          <w:p w:rsidR="00FB6AB9" w:rsidRPr="00FB6AB9" w:rsidRDefault="00FB6AB9" w:rsidP="00FA6D81">
            <w:pPr>
              <w:spacing w:before="60" w:after="0" w:line="240" w:lineRule="auto"/>
              <w:jc w:val="center"/>
              <w:rPr>
                <w:rFonts w:ascii="Times New Roman" w:hAnsi="Times New Roman"/>
                <w:color w:val="000000"/>
                <w:sz w:val="20"/>
                <w:szCs w:val="20"/>
              </w:rPr>
            </w:pPr>
            <w:r w:rsidRPr="00FB6AB9">
              <w:rPr>
                <w:rFonts w:ascii="Times New Roman" w:hAnsi="Times New Roman"/>
                <w:color w:val="000000"/>
                <w:sz w:val="20"/>
                <w:szCs w:val="20"/>
              </w:rPr>
              <w:t>0.9449</w:t>
            </w:r>
          </w:p>
        </w:tc>
        <w:tc>
          <w:tcPr>
            <w:tcW w:w="1649" w:type="dxa"/>
            <w:tcBorders>
              <w:top w:val="nil"/>
              <w:left w:val="nil"/>
              <w:right w:val="nil"/>
            </w:tcBorders>
            <w:shd w:val="clear" w:color="auto" w:fill="auto"/>
            <w:noWrap/>
            <w:vAlign w:val="bottom"/>
            <w:hideMark/>
          </w:tcPr>
          <w:p w:rsidR="00FB6AB9" w:rsidRPr="00FB6AB9" w:rsidRDefault="00FB6AB9" w:rsidP="00FA6D81">
            <w:pPr>
              <w:spacing w:before="60" w:after="0" w:line="240" w:lineRule="auto"/>
              <w:jc w:val="center"/>
              <w:rPr>
                <w:rFonts w:ascii="Times New Roman" w:hAnsi="Times New Roman"/>
                <w:color w:val="000000"/>
                <w:sz w:val="20"/>
                <w:szCs w:val="20"/>
              </w:rPr>
            </w:pPr>
            <w:r w:rsidRPr="00FB6AB9">
              <w:rPr>
                <w:rFonts w:ascii="Times New Roman" w:hAnsi="Times New Roman"/>
                <w:color w:val="000000"/>
                <w:sz w:val="20"/>
                <w:szCs w:val="20"/>
              </w:rPr>
              <w:t>0.9453</w:t>
            </w:r>
          </w:p>
        </w:tc>
        <w:tc>
          <w:tcPr>
            <w:tcW w:w="1881" w:type="dxa"/>
            <w:tcBorders>
              <w:top w:val="nil"/>
              <w:left w:val="nil"/>
              <w:right w:val="nil"/>
            </w:tcBorders>
            <w:shd w:val="clear" w:color="auto" w:fill="auto"/>
            <w:noWrap/>
            <w:vAlign w:val="bottom"/>
            <w:hideMark/>
          </w:tcPr>
          <w:p w:rsidR="00FB6AB9" w:rsidRPr="00FB6AB9" w:rsidRDefault="00FB6AB9" w:rsidP="00FA6D81">
            <w:pPr>
              <w:spacing w:before="60" w:after="0" w:line="240" w:lineRule="auto"/>
              <w:jc w:val="center"/>
              <w:rPr>
                <w:rFonts w:ascii="Times New Roman" w:hAnsi="Times New Roman"/>
                <w:color w:val="000000"/>
                <w:sz w:val="20"/>
                <w:szCs w:val="20"/>
              </w:rPr>
            </w:pPr>
            <w:r w:rsidRPr="00FB6AB9">
              <w:rPr>
                <w:rFonts w:ascii="Times New Roman" w:hAnsi="Times New Roman"/>
                <w:color w:val="000000"/>
                <w:sz w:val="20"/>
                <w:szCs w:val="20"/>
              </w:rPr>
              <w:t>0.9133</w:t>
            </w:r>
          </w:p>
        </w:tc>
      </w:tr>
      <w:tr w:rsidR="00FB6AB9" w:rsidRPr="00FB6AB9" w:rsidTr="00FA6D81">
        <w:trPr>
          <w:gridBefore w:val="1"/>
          <w:wBefore w:w="12" w:type="dxa"/>
          <w:trHeight w:val="64"/>
          <w:jc w:val="center"/>
        </w:trPr>
        <w:tc>
          <w:tcPr>
            <w:tcW w:w="810" w:type="dxa"/>
            <w:tcBorders>
              <w:top w:val="nil"/>
              <w:left w:val="nil"/>
              <w:bottom w:val="single" w:sz="4" w:space="0" w:color="auto"/>
              <w:right w:val="nil"/>
            </w:tcBorders>
            <w:shd w:val="clear" w:color="auto" w:fill="auto"/>
            <w:noWrap/>
            <w:vAlign w:val="bottom"/>
            <w:hideMark/>
          </w:tcPr>
          <w:p w:rsidR="00FB6AB9" w:rsidRPr="00FB6AB9" w:rsidRDefault="00FB6AB9" w:rsidP="00FA6D81">
            <w:pPr>
              <w:spacing w:before="60" w:after="60" w:line="240" w:lineRule="auto"/>
              <w:rPr>
                <w:rFonts w:ascii="Times New Roman" w:hAnsi="Times New Roman"/>
                <w:color w:val="000000"/>
                <w:sz w:val="20"/>
                <w:szCs w:val="20"/>
              </w:rPr>
            </w:pPr>
            <w:r w:rsidRPr="00FB6AB9">
              <w:rPr>
                <w:rFonts w:ascii="Times New Roman" w:hAnsi="Times New Roman"/>
                <w:color w:val="000000"/>
                <w:sz w:val="20"/>
                <w:szCs w:val="20"/>
              </w:rPr>
              <w:t>6</w:t>
            </w:r>
          </w:p>
        </w:tc>
        <w:tc>
          <w:tcPr>
            <w:tcW w:w="1600" w:type="dxa"/>
            <w:tcBorders>
              <w:top w:val="nil"/>
              <w:left w:val="nil"/>
              <w:bottom w:val="single" w:sz="4" w:space="0" w:color="auto"/>
              <w:right w:val="nil"/>
            </w:tcBorders>
            <w:shd w:val="clear" w:color="auto" w:fill="auto"/>
            <w:noWrap/>
            <w:vAlign w:val="bottom"/>
            <w:hideMark/>
          </w:tcPr>
          <w:p w:rsidR="00FB6AB9" w:rsidRPr="00FB6AB9" w:rsidRDefault="00FB6AB9" w:rsidP="00FA6D81">
            <w:pPr>
              <w:spacing w:before="60" w:after="60" w:line="240" w:lineRule="auto"/>
              <w:jc w:val="center"/>
              <w:rPr>
                <w:rFonts w:ascii="Times New Roman" w:hAnsi="Times New Roman"/>
                <w:color w:val="000000"/>
                <w:sz w:val="20"/>
                <w:szCs w:val="20"/>
              </w:rPr>
            </w:pPr>
            <w:r w:rsidRPr="00FB6AB9">
              <w:rPr>
                <w:rFonts w:ascii="Times New Roman" w:hAnsi="Times New Roman"/>
                <w:color w:val="000000"/>
                <w:sz w:val="20"/>
                <w:szCs w:val="20"/>
              </w:rPr>
              <w:t>0.3753</w:t>
            </w:r>
          </w:p>
        </w:tc>
        <w:tc>
          <w:tcPr>
            <w:tcW w:w="1649" w:type="dxa"/>
            <w:tcBorders>
              <w:top w:val="nil"/>
              <w:left w:val="nil"/>
              <w:bottom w:val="single" w:sz="4" w:space="0" w:color="auto"/>
              <w:right w:val="nil"/>
            </w:tcBorders>
            <w:shd w:val="clear" w:color="auto" w:fill="auto"/>
            <w:noWrap/>
            <w:vAlign w:val="bottom"/>
            <w:hideMark/>
          </w:tcPr>
          <w:p w:rsidR="00FB6AB9" w:rsidRPr="00FB6AB9" w:rsidRDefault="00FB6AB9" w:rsidP="00FA6D81">
            <w:pPr>
              <w:spacing w:before="60" w:after="60" w:line="240" w:lineRule="auto"/>
              <w:jc w:val="center"/>
              <w:rPr>
                <w:rFonts w:ascii="Times New Roman" w:hAnsi="Times New Roman"/>
                <w:color w:val="000000"/>
                <w:sz w:val="20"/>
                <w:szCs w:val="20"/>
              </w:rPr>
            </w:pPr>
            <w:r w:rsidRPr="00FB6AB9">
              <w:rPr>
                <w:rFonts w:ascii="Times New Roman" w:hAnsi="Times New Roman"/>
                <w:color w:val="000000"/>
                <w:sz w:val="20"/>
                <w:szCs w:val="20"/>
              </w:rPr>
              <w:t>0.3769</w:t>
            </w:r>
          </w:p>
        </w:tc>
        <w:tc>
          <w:tcPr>
            <w:tcW w:w="1881" w:type="dxa"/>
            <w:tcBorders>
              <w:top w:val="nil"/>
              <w:left w:val="nil"/>
              <w:bottom w:val="single" w:sz="4" w:space="0" w:color="auto"/>
              <w:right w:val="nil"/>
            </w:tcBorders>
            <w:shd w:val="clear" w:color="auto" w:fill="auto"/>
            <w:noWrap/>
            <w:vAlign w:val="bottom"/>
            <w:hideMark/>
          </w:tcPr>
          <w:p w:rsidR="00FB6AB9" w:rsidRPr="00FB6AB9" w:rsidRDefault="00FB6AB9" w:rsidP="00FA6D81">
            <w:pPr>
              <w:spacing w:before="60" w:after="60" w:line="240" w:lineRule="auto"/>
              <w:jc w:val="center"/>
              <w:rPr>
                <w:rFonts w:ascii="Times New Roman" w:hAnsi="Times New Roman"/>
                <w:color w:val="000000"/>
                <w:sz w:val="20"/>
                <w:szCs w:val="20"/>
              </w:rPr>
            </w:pPr>
            <w:r w:rsidRPr="00FB6AB9">
              <w:rPr>
                <w:rFonts w:ascii="Times New Roman" w:hAnsi="Times New Roman"/>
                <w:color w:val="000000"/>
                <w:sz w:val="20"/>
                <w:szCs w:val="20"/>
              </w:rPr>
              <w:t>0.0107</w:t>
            </w:r>
          </w:p>
        </w:tc>
      </w:tr>
    </w:tbl>
    <w:p w:rsidR="00FB6AB9" w:rsidRDefault="00FB6AB9" w:rsidP="00FB6AB9">
      <w:pPr>
        <w:pStyle w:val="SubSection"/>
        <w:spacing w:before="0" w:after="0"/>
        <w:outlineLvl w:val="0"/>
        <w:rPr>
          <w:b w:val="0"/>
        </w:rPr>
      </w:pPr>
    </w:p>
    <w:p w:rsidR="00FA6D81" w:rsidRPr="00FB6AB9" w:rsidRDefault="00FA6D81" w:rsidP="00FB6AB9">
      <w:pPr>
        <w:pStyle w:val="SubSection"/>
        <w:spacing w:before="0" w:after="0"/>
        <w:outlineLvl w:val="0"/>
        <w:rPr>
          <w:b w:val="0"/>
        </w:rPr>
      </w:pPr>
    </w:p>
    <w:p w:rsidR="00FB6AB9" w:rsidRPr="00FB6AB9" w:rsidRDefault="00FB6AB9" w:rsidP="00FB6AB9">
      <w:pPr>
        <w:pStyle w:val="SubSection"/>
        <w:spacing w:before="0" w:after="0"/>
        <w:outlineLvl w:val="0"/>
        <w:rPr>
          <w:b w:val="0"/>
        </w:rPr>
      </w:pPr>
      <w:r w:rsidRPr="00FB6AB9">
        <w:rPr>
          <w:b w:val="0"/>
        </w:rPr>
        <w:t xml:space="preserve">Similar results have also been observed for glucose permeation in hollow fibre membrane whereby formation of thin layer of cake denoted the membrane blocking </w:t>
      </w:r>
      <w:r w:rsidRPr="00FB6AB9">
        <w:rPr>
          <w:b w:val="0"/>
        </w:rPr>
        <w:fldChar w:fldCharType="begin"/>
      </w:r>
      <w:r w:rsidRPr="00FB6AB9">
        <w:rPr>
          <w:b w:val="0"/>
        </w:rPr>
        <w:instrText xml:space="preserve"> ADDIN EN.CITE &lt;EndNote&gt;&lt;Cite&gt;&lt;Author&gt;Hwang&lt;/Author&gt;&lt;Year&gt;2014&lt;/Year&gt;&lt;RecNum&gt;142&lt;/RecNum&gt;&lt;DisplayText&gt;(6)&lt;/DisplayText&gt;&lt;record&gt;&lt;rec-number&gt;142&lt;/rec-number&gt;&lt;foreign-keys&gt;&lt;key app="EN" db-id="90t9x505xtrfvwep0edvaa5g5zvxwz5zr0wa"&gt;142&lt;/key&gt;&lt;/foreign-keys&gt;&lt;ref-type name="Journal Article"&gt;17&lt;/ref-type&gt;&lt;contributors&gt;&lt;authors&gt;&lt;author&gt;Hwang, Kuo-Jen&lt;/author&gt;&lt;author&gt;Tsai, Hung-Yuan&lt;/author&gt;&lt;author&gt;Chen, Shui-Tein&lt;/author&gt;&lt;/authors&gt;&lt;/contributors&gt;&lt;titles&gt;&lt;title&gt;Enzymatic hydrolysis suspension cross-flow diafiltration using polysulfone hollow fiber module&lt;/title&gt;&lt;secondary-title&gt;Journal of Membrane Science&lt;/secondary-title&gt;&lt;/titles&gt;&lt;periodical&gt;&lt;full-title&gt;Journal of Membrane Science&lt;/full-title&gt;&lt;/periodical&gt;&lt;pages&gt;418-425&lt;/pages&gt;&lt;volume&gt;454&lt;/volume&gt;&lt;keywords&gt;&lt;keyword&gt;Diafiltration&lt;/keyword&gt;&lt;keyword&gt;Sugar purification&lt;/keyword&gt;&lt;keyword&gt;Membrane fouling&lt;/keyword&gt;&lt;keyword&gt;Enzymatic hydrolysis&lt;/keyword&gt;&lt;keyword&gt;Bio-ethanol&lt;/keyword&gt;&lt;/keywords&gt;&lt;dates&gt;&lt;year&gt;2014&lt;/year&gt;&lt;pub-dates&gt;&lt;date&gt;3/15/&lt;/date&gt;&lt;/pub-dates&gt;&lt;/dates&gt;&lt;isbn&gt;0376-7388&lt;/isbn&gt;&lt;urls&gt;&lt;related-urls&gt;&lt;url&gt;http://www.sciencedirect.com/science/article/pii/S0376738813010016&lt;/url&gt;&lt;/related-urls&gt;&lt;/urls&gt;&lt;electronic-resource-num&gt;http://dx.doi.org/10.1016/j.memsci.2013.12.048&lt;/electronic-resource-num&gt;&lt;/record&gt;&lt;/Cite&gt;&lt;/EndNote&gt;</w:instrText>
      </w:r>
      <w:r w:rsidRPr="00FB6AB9">
        <w:rPr>
          <w:b w:val="0"/>
        </w:rPr>
        <w:fldChar w:fldCharType="separate"/>
      </w:r>
      <w:r w:rsidRPr="00FB6AB9">
        <w:rPr>
          <w:b w:val="0"/>
          <w:noProof/>
        </w:rPr>
        <w:t>[</w:t>
      </w:r>
      <w:hyperlink w:anchor="_ENREF_6" w:tooltip="Hwang, 2014 #142" w:history="1">
        <w:r w:rsidRPr="00FB6AB9">
          <w:rPr>
            <w:b w:val="0"/>
            <w:noProof/>
          </w:rPr>
          <w:t>6</w:t>
        </w:r>
      </w:hyperlink>
      <w:r w:rsidRPr="00FB6AB9">
        <w:rPr>
          <w:b w:val="0"/>
          <w:noProof/>
        </w:rPr>
        <w:t>]</w:t>
      </w:r>
      <w:r w:rsidRPr="00FB6AB9">
        <w:rPr>
          <w:b w:val="0"/>
        </w:rPr>
        <w:fldChar w:fldCharType="end"/>
      </w:r>
      <w:r w:rsidRPr="00FB6AB9">
        <w:rPr>
          <w:b w:val="0"/>
        </w:rPr>
        <w:t>. Blocking mechanism for filtration at pH6 was found to be unsuitable with the fitted model, may be due to the less accumulation of protein on membrane surface due the stronger electrostatic repulsion between protein and the PSF membrane.</w:t>
      </w:r>
    </w:p>
    <w:p w:rsidR="006768E9" w:rsidRDefault="006768E9" w:rsidP="00FB6AB9">
      <w:pPr>
        <w:spacing w:after="0" w:line="240" w:lineRule="auto"/>
        <w:jc w:val="center"/>
        <w:rPr>
          <w:rFonts w:ascii="Times New Roman" w:hAnsi="Times New Roman"/>
          <w:noProof/>
          <w:sz w:val="20"/>
          <w:szCs w:val="20"/>
          <w:lang w:bidi="ar-SA"/>
        </w:rPr>
      </w:pPr>
    </w:p>
    <w:p w:rsidR="00CC18EA" w:rsidRPr="009A589E" w:rsidRDefault="00CC18EA" w:rsidP="00CC18EA">
      <w:pPr>
        <w:pStyle w:val="Section"/>
        <w:spacing w:before="0" w:after="0"/>
        <w:jc w:val="center"/>
        <w:outlineLvl w:val="0"/>
        <w:rPr>
          <w:sz w:val="20"/>
        </w:rPr>
      </w:pPr>
      <w:r>
        <w:rPr>
          <w:sz w:val="20"/>
        </w:rPr>
        <w:t>Conclusion</w:t>
      </w:r>
    </w:p>
    <w:p w:rsidR="00CC18EA" w:rsidRPr="00CC18EA" w:rsidRDefault="00CC18EA" w:rsidP="00CC18EA">
      <w:pPr>
        <w:spacing w:after="0" w:line="240" w:lineRule="auto"/>
        <w:jc w:val="both"/>
        <w:rPr>
          <w:rFonts w:ascii="Times New Roman" w:hAnsi="Times New Roman"/>
          <w:sz w:val="20"/>
          <w:szCs w:val="20"/>
        </w:rPr>
      </w:pPr>
      <w:r w:rsidRPr="00CC18EA">
        <w:rPr>
          <w:rFonts w:ascii="Times New Roman" w:hAnsi="Times New Roman"/>
          <w:sz w:val="20"/>
          <w:szCs w:val="20"/>
        </w:rPr>
        <w:t>It has been shown that solution pH has significant effect on the extent of cellulose hydrolysate fouling in membrane process. At higher solution pH (pH 5 and 6), the samples showed minimum membrane flux decline due to protein-protein and membrane-protein repulsions alleviate aggregation and fouling. The permeate flux decline profiles of all the solution were compared to the Kumar’s model. These results showed that the fouling at pH5 was predominantly contributed by three types of blocking. Under all the solution pH, it was observed that the values of R</w:t>
      </w:r>
      <w:r w:rsidRPr="00CC18EA">
        <w:rPr>
          <w:rFonts w:ascii="Times New Roman" w:hAnsi="Times New Roman"/>
          <w:sz w:val="20"/>
          <w:szCs w:val="20"/>
          <w:vertAlign w:val="superscript"/>
        </w:rPr>
        <w:t>2</w:t>
      </w:r>
      <w:r w:rsidRPr="00CC18EA">
        <w:rPr>
          <w:rFonts w:ascii="Times New Roman" w:hAnsi="Times New Roman"/>
          <w:sz w:val="20"/>
          <w:szCs w:val="20"/>
        </w:rPr>
        <w:t xml:space="preserve"> of cake formation model were always greater than those obtained from other fouling mechanisms. This indicates that the cake formation model dominated in fouling studies, and followed by standard pore blocking and complete pore plugging model. </w:t>
      </w:r>
    </w:p>
    <w:p w:rsidR="00CC18EA" w:rsidRPr="00F447A7" w:rsidRDefault="00CC18EA" w:rsidP="00CC18EA">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CC18EA" w:rsidRDefault="00CC18EA" w:rsidP="00CC18EA">
      <w:pPr>
        <w:spacing w:after="0" w:line="240" w:lineRule="auto"/>
        <w:jc w:val="both"/>
        <w:rPr>
          <w:rFonts w:ascii="Times New Roman" w:eastAsia="MS Mincho" w:hAnsi="Times New Roman"/>
          <w:spacing w:val="-1"/>
          <w:sz w:val="20"/>
          <w:szCs w:val="20"/>
        </w:rPr>
      </w:pPr>
      <w:r w:rsidRPr="00CC18EA">
        <w:rPr>
          <w:rFonts w:ascii="Times New Roman" w:eastAsia="MS Mincho" w:hAnsi="Times New Roman"/>
          <w:spacing w:val="-1"/>
          <w:sz w:val="20"/>
          <w:szCs w:val="20"/>
        </w:rPr>
        <w:t>This study was financially supported by the LRGS grant (LRGS/2013/UKM-UKM/PT/03) from Ministry of Higher Education and Universiti Kebangsaan Malaysia.</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C18EA" w:rsidRDefault="00CC18EA" w:rsidP="00CC18EA">
      <w:pPr>
        <w:pStyle w:val="EndNoteBibliography"/>
        <w:numPr>
          <w:ilvl w:val="0"/>
          <w:numId w:val="4"/>
        </w:numPr>
        <w:ind w:left="360"/>
      </w:pPr>
      <w:r w:rsidRPr="00CC18EA">
        <w:fldChar w:fldCharType="begin"/>
      </w:r>
      <w:r w:rsidRPr="00CC18EA">
        <w:instrText xml:space="preserve"> ADDIN EN.REFLIST </w:instrText>
      </w:r>
      <w:r w:rsidRPr="00CC18EA">
        <w:fldChar w:fldCharType="separate"/>
      </w:r>
      <w:bookmarkStart w:id="1" w:name="_ENREF_1"/>
      <w:r w:rsidRPr="00CC18EA">
        <w:t xml:space="preserve">Qi, B., Luo, J., Chen, G., Chen, X. and Wan, Y. (2012). Application of ultrafiltration and nanofiltration for recycling cellulase and concentrating glucose from enzymatic hydrolyzate of steam exploded wheat straw. </w:t>
      </w:r>
      <w:r w:rsidRPr="00CC18EA">
        <w:rPr>
          <w:i/>
        </w:rPr>
        <w:t>Bioresource Technology</w:t>
      </w:r>
      <w:r w:rsidRPr="00CC18EA">
        <w:t>, 104: 466 - 472.</w:t>
      </w:r>
      <w:bookmarkStart w:id="2" w:name="_ENREF_2"/>
      <w:bookmarkEnd w:id="1"/>
    </w:p>
    <w:p w:rsidR="00CC18EA" w:rsidRDefault="00CC18EA" w:rsidP="00CC18EA">
      <w:pPr>
        <w:pStyle w:val="EndNoteBibliography"/>
        <w:numPr>
          <w:ilvl w:val="0"/>
          <w:numId w:val="4"/>
        </w:numPr>
        <w:ind w:left="360"/>
      </w:pPr>
      <w:r w:rsidRPr="00CC18EA">
        <w:t xml:space="preserve">Ishola, M. M., Jahandideh, A., Haidarian, B., Brandberg, T. and Taherzadeh, M. J. (2013). Simultaneous saccharification, filtration and fermentation (SSFF): A novel method for bioethanol production from lignocellulosic biomass. </w:t>
      </w:r>
      <w:r w:rsidRPr="00CC18EA">
        <w:rPr>
          <w:i/>
        </w:rPr>
        <w:t>Bioresource Technology</w:t>
      </w:r>
      <w:r w:rsidRPr="00CC18EA">
        <w:t>, 133: 68 - 73.</w:t>
      </w:r>
      <w:bookmarkStart w:id="3" w:name="_ENREF_3"/>
      <w:bookmarkEnd w:id="2"/>
    </w:p>
    <w:p w:rsidR="00CC18EA" w:rsidRDefault="00CC18EA" w:rsidP="00CC18EA">
      <w:pPr>
        <w:pStyle w:val="EndNoteBibliography"/>
        <w:numPr>
          <w:ilvl w:val="0"/>
          <w:numId w:val="4"/>
        </w:numPr>
        <w:ind w:left="360"/>
      </w:pPr>
      <w:r w:rsidRPr="00CC18EA">
        <w:t>Narayanaswamy. N., D., P., Verma, S. and Kumar, S. (2013) Chapter 1: Biological pretreatment of lignocellulosic biomass for enzymatic saccharification, in Z. Fang (ed.), Pretreament techniques for biofuels and biorefineries.</w:t>
      </w:r>
      <w:bookmarkEnd w:id="3"/>
      <w:r w:rsidRPr="00CC18EA">
        <w:t xml:space="preserve"> Springer Berlin Heidelberg: pp. 3 - 34).</w:t>
      </w:r>
      <w:bookmarkStart w:id="4" w:name="_ENREF_4"/>
    </w:p>
    <w:p w:rsidR="00CC18EA" w:rsidRDefault="00CC18EA" w:rsidP="00CC18EA">
      <w:pPr>
        <w:pStyle w:val="EndNoteBibliography"/>
        <w:numPr>
          <w:ilvl w:val="0"/>
          <w:numId w:val="4"/>
        </w:numPr>
        <w:ind w:left="360"/>
      </w:pPr>
      <w:r w:rsidRPr="00CC18EA">
        <w:t>Ma, T., Kosa, M. and Sun, Q. (2014) Chapter 7: Fermentation to bioethanol/biobuthanol in A.J. Ragauskas (ed.) Materials for biofuels. World Scientific, 4: 155 - 185.</w:t>
      </w:r>
      <w:bookmarkStart w:id="5" w:name="_ENREF_5"/>
      <w:bookmarkEnd w:id="4"/>
    </w:p>
    <w:p w:rsidR="00CC18EA" w:rsidRDefault="00CC18EA" w:rsidP="00CC18EA">
      <w:pPr>
        <w:pStyle w:val="EndNoteBibliography"/>
        <w:numPr>
          <w:ilvl w:val="0"/>
          <w:numId w:val="4"/>
        </w:numPr>
        <w:ind w:left="360"/>
      </w:pPr>
      <w:r w:rsidRPr="00CC18EA">
        <w:t xml:space="preserve">Gautam, A. and Menkhaus, T. J. (2014) Performance evaluation and fouling analysis for reverse osmosis and nanofiltration membranes during processing of lignocellulosic biomass hydrolysate. </w:t>
      </w:r>
      <w:r w:rsidRPr="00CC18EA">
        <w:rPr>
          <w:i/>
        </w:rPr>
        <w:t>Journal of Membrane Science</w:t>
      </w:r>
      <w:r w:rsidRPr="00CC18EA">
        <w:t>, 451: 252 - 265.</w:t>
      </w:r>
      <w:bookmarkStart w:id="6" w:name="_ENREF_6"/>
      <w:bookmarkEnd w:id="5"/>
    </w:p>
    <w:p w:rsidR="00CC18EA" w:rsidRDefault="00CC18EA" w:rsidP="00CC18EA">
      <w:pPr>
        <w:pStyle w:val="EndNoteBibliography"/>
        <w:numPr>
          <w:ilvl w:val="0"/>
          <w:numId w:val="4"/>
        </w:numPr>
        <w:ind w:left="360"/>
      </w:pPr>
      <w:r w:rsidRPr="00CC18EA">
        <w:t xml:space="preserve">Hwang, K. J., Tsai, H.-Y. and Chen, S.-T. (2014). Enzymatic hydrolysis suspension cross-flow diafiltration using polysulfone hollow fiber module. </w:t>
      </w:r>
      <w:r w:rsidRPr="00CC18EA">
        <w:rPr>
          <w:i/>
        </w:rPr>
        <w:t>Journal of Membrane Science</w:t>
      </w:r>
      <w:r w:rsidRPr="00CC18EA">
        <w:t>, 454: 418 - 425.</w:t>
      </w:r>
      <w:bookmarkStart w:id="7" w:name="_ENREF_7"/>
      <w:bookmarkEnd w:id="6"/>
    </w:p>
    <w:p w:rsidR="00CC18EA" w:rsidRDefault="00CC18EA" w:rsidP="00CC18EA">
      <w:pPr>
        <w:pStyle w:val="EndNoteBibliography"/>
        <w:numPr>
          <w:ilvl w:val="0"/>
          <w:numId w:val="4"/>
        </w:numPr>
        <w:ind w:left="360"/>
      </w:pPr>
      <w:r w:rsidRPr="00CC18EA">
        <w:t xml:space="preserve">Maiti, S. K., Lukka Thuyavan, Y., Singh, S., Oberoi, H. S. and Agarwal, G. P. (2012). Modeling of the separation of inhibitory components from pretreated rice straw hydrolysate by nanofiltration membranes. </w:t>
      </w:r>
      <w:r w:rsidRPr="00CC18EA">
        <w:rPr>
          <w:i/>
        </w:rPr>
        <w:t>Bioresource Technology</w:t>
      </w:r>
      <w:r w:rsidRPr="00CC18EA">
        <w:t>, 114: 419 - 427.</w:t>
      </w:r>
      <w:bookmarkStart w:id="8" w:name="_ENREF_8"/>
      <w:bookmarkEnd w:id="7"/>
    </w:p>
    <w:p w:rsidR="00CC18EA" w:rsidRDefault="00CC18EA" w:rsidP="00CC18EA">
      <w:pPr>
        <w:pStyle w:val="EndNoteBibliography"/>
        <w:numPr>
          <w:ilvl w:val="0"/>
          <w:numId w:val="4"/>
        </w:numPr>
        <w:ind w:left="360"/>
      </w:pPr>
      <w:r w:rsidRPr="00CC18EA">
        <w:t xml:space="preserve">Echavarría, A. P., Ibarz, A., Conde, J. and Pagán, J. (2012). Enzyme recovery and effluents generated in the enzymatic </w:t>
      </w:r>
      <w:r>
        <w:t xml:space="preserve"> </w:t>
      </w:r>
      <w:r w:rsidRPr="00CC18EA">
        <w:t xml:space="preserve">elimination </w:t>
      </w:r>
      <w:r>
        <w:t xml:space="preserve"> </w:t>
      </w:r>
      <w:r w:rsidRPr="00CC18EA">
        <w:t xml:space="preserve">of </w:t>
      </w:r>
      <w:r>
        <w:t xml:space="preserve"> </w:t>
      </w:r>
      <w:r w:rsidRPr="00CC18EA">
        <w:t xml:space="preserve">clogging </w:t>
      </w:r>
      <w:r>
        <w:t xml:space="preserve"> </w:t>
      </w:r>
      <w:r w:rsidRPr="00CC18EA">
        <w:t xml:space="preserve">of </w:t>
      </w:r>
      <w:r>
        <w:t xml:space="preserve"> </w:t>
      </w:r>
      <w:r w:rsidRPr="00CC18EA">
        <w:t xml:space="preserve">pectin </w:t>
      </w:r>
      <w:r>
        <w:t xml:space="preserve"> </w:t>
      </w:r>
      <w:r w:rsidRPr="00CC18EA">
        <w:t>cake</w:t>
      </w:r>
      <w:r>
        <w:t xml:space="preserve"> </w:t>
      </w:r>
      <w:r w:rsidRPr="00CC18EA">
        <w:t xml:space="preserve"> in filtration process. </w:t>
      </w:r>
      <w:r w:rsidRPr="00CC18EA">
        <w:rPr>
          <w:i/>
        </w:rPr>
        <w:t>Journal of Food Engineering</w:t>
      </w:r>
      <w:r w:rsidRPr="00CC18EA">
        <w:t>, 111: 52 - 56.</w:t>
      </w:r>
      <w:bookmarkStart w:id="9" w:name="_ENREF_9"/>
      <w:bookmarkEnd w:id="8"/>
    </w:p>
    <w:p w:rsidR="00CC18EA" w:rsidRDefault="00CC18EA" w:rsidP="00CC18EA">
      <w:pPr>
        <w:pStyle w:val="EndNoteBibliography"/>
        <w:numPr>
          <w:ilvl w:val="0"/>
          <w:numId w:val="4"/>
        </w:numPr>
        <w:ind w:left="360"/>
      </w:pPr>
      <w:r w:rsidRPr="00CC18EA">
        <w:t xml:space="preserve">Wang, C., Li, Q., Tang, H., Yan, D., Zhou, W., Xing, J. and Wan, Y. (2012). Membrane fouling mechanism in ultrafiltration of succinic acid fermentation broth. </w:t>
      </w:r>
      <w:r w:rsidRPr="00CC18EA">
        <w:rPr>
          <w:i/>
        </w:rPr>
        <w:t>Bioresource Technology</w:t>
      </w:r>
      <w:r w:rsidRPr="00CC18EA">
        <w:t>, 116: 366 - 371.</w:t>
      </w:r>
      <w:bookmarkStart w:id="10" w:name="_ENREF_10"/>
      <w:bookmarkEnd w:id="9"/>
    </w:p>
    <w:p w:rsidR="00CC18EA" w:rsidRDefault="00CC18EA" w:rsidP="00CC18EA">
      <w:pPr>
        <w:pStyle w:val="EndNoteBibliography"/>
        <w:numPr>
          <w:ilvl w:val="0"/>
          <w:numId w:val="4"/>
        </w:numPr>
        <w:ind w:left="360"/>
      </w:pPr>
      <w:r w:rsidRPr="00CC18EA">
        <w:t xml:space="preserve">de Barros, S. T. D., Andrade, C. M. G., Mendes, E. S. and Peres, L. (2003). Study of fouling mechanism in pineapple juice clarification by ultrafiltration. </w:t>
      </w:r>
      <w:r w:rsidRPr="00CC18EA">
        <w:rPr>
          <w:i/>
        </w:rPr>
        <w:t>Journal of Membrane Science</w:t>
      </w:r>
      <w:r w:rsidRPr="00CC18EA">
        <w:t>, 215: 213 -224.</w:t>
      </w:r>
      <w:bookmarkStart w:id="11" w:name="_ENREF_11"/>
      <w:bookmarkEnd w:id="10"/>
    </w:p>
    <w:p w:rsidR="00CC18EA" w:rsidRDefault="00CC18EA" w:rsidP="00CC18EA">
      <w:pPr>
        <w:pStyle w:val="EndNoteBibliography"/>
        <w:numPr>
          <w:ilvl w:val="0"/>
          <w:numId w:val="4"/>
        </w:numPr>
        <w:ind w:left="360"/>
      </w:pPr>
      <w:r w:rsidRPr="00CC18EA">
        <w:t xml:space="preserve">Mahesh Kumar, S., Madhu, G.M. and Roy, S. (2007). Fouling behaviour, regeneration options and on-line control of biomass-based power plant effluents using microporous ceramic membranes. </w:t>
      </w:r>
      <w:r w:rsidRPr="00CC18EA">
        <w:rPr>
          <w:i/>
        </w:rPr>
        <w:t>Separation and Purification Technology</w:t>
      </w:r>
      <w:r w:rsidRPr="00CC18EA">
        <w:t>, 57: 25 - 36.</w:t>
      </w:r>
      <w:bookmarkStart w:id="12" w:name="_ENREF_12"/>
      <w:bookmarkEnd w:id="11"/>
    </w:p>
    <w:p w:rsidR="00CC18EA" w:rsidRDefault="00CC18EA" w:rsidP="00CC18EA">
      <w:pPr>
        <w:pStyle w:val="EndNoteBibliography"/>
        <w:numPr>
          <w:ilvl w:val="0"/>
          <w:numId w:val="4"/>
        </w:numPr>
        <w:ind w:left="360"/>
      </w:pPr>
      <w:r w:rsidRPr="00CC18EA">
        <w:t xml:space="preserve">Suhimi, N. M., Mohammad, A.W. and Jahim, J. M. (2013). Production and characterization of hydrolyzed collagen derived from enzymatic hydrolysis of type-B gelatin. </w:t>
      </w:r>
      <w:r w:rsidRPr="00CC18EA">
        <w:rPr>
          <w:i/>
        </w:rPr>
        <w:t>Proceeding of the 8</w:t>
      </w:r>
      <w:r w:rsidRPr="00CC18EA">
        <w:rPr>
          <w:i/>
          <w:vertAlign w:val="superscript"/>
        </w:rPr>
        <w:t>th</w:t>
      </w:r>
      <w:r w:rsidRPr="00CC18EA">
        <w:rPr>
          <w:i/>
        </w:rPr>
        <w:t xml:space="preserve">  CIGR Section VI International Technical Symposium - Advanced Food Processing and Quality Management</w:t>
      </w:r>
      <w:bookmarkEnd w:id="12"/>
      <w:r w:rsidRPr="00CC18EA">
        <w:rPr>
          <w:i/>
        </w:rPr>
        <w:t xml:space="preserve">: </w:t>
      </w:r>
      <w:r w:rsidRPr="00CC18EA">
        <w:t>pp 304.</w:t>
      </w:r>
      <w:bookmarkStart w:id="13" w:name="_ENREF_13"/>
    </w:p>
    <w:p w:rsidR="00CC18EA" w:rsidRDefault="00CC18EA" w:rsidP="00CC18EA">
      <w:pPr>
        <w:pStyle w:val="EndNoteBibliography"/>
        <w:numPr>
          <w:ilvl w:val="0"/>
          <w:numId w:val="4"/>
        </w:numPr>
        <w:ind w:left="360"/>
      </w:pPr>
      <w:r w:rsidRPr="00CC18EA">
        <w:t xml:space="preserve">Bradford, M. M. (1976). A rapid and sensitive method for the quantitation of microgram quantities of protein utilizing the principle of protein-dye binding. </w:t>
      </w:r>
      <w:r w:rsidRPr="00CC18EA">
        <w:rPr>
          <w:i/>
        </w:rPr>
        <w:t>Analytical Biochemistry</w:t>
      </w:r>
      <w:r w:rsidRPr="00CC18EA">
        <w:t>, 72: 248 - 254.</w:t>
      </w:r>
      <w:bookmarkStart w:id="14" w:name="_ENREF_14"/>
      <w:bookmarkEnd w:id="13"/>
    </w:p>
    <w:p w:rsidR="00CC18EA" w:rsidRDefault="00CC18EA" w:rsidP="00CC18EA">
      <w:pPr>
        <w:pStyle w:val="EndNoteBibliography"/>
        <w:numPr>
          <w:ilvl w:val="0"/>
          <w:numId w:val="4"/>
        </w:numPr>
        <w:ind w:left="360"/>
      </w:pPr>
      <w:r w:rsidRPr="00CC18EA">
        <w:t xml:space="preserve">Andersen, N., Johansen, K. S., Michelsen, M., Stenby, E. H., Krogh, K. B. R. M. and Olsson, L. (2008). Hydrolysis of cellulose using mono-component enzymes shows synergy during hydrolysis of phosphoric acid swollen cellulose (PASC), but competition on Avicel. </w:t>
      </w:r>
      <w:r w:rsidRPr="00CC18EA">
        <w:rPr>
          <w:i/>
        </w:rPr>
        <w:t>Enzyme and Microbial Technology</w:t>
      </w:r>
      <w:r w:rsidRPr="00CC18EA">
        <w:t>, 42: 362 - 370.</w:t>
      </w:r>
      <w:bookmarkStart w:id="15" w:name="_ENREF_15"/>
      <w:bookmarkEnd w:id="14"/>
    </w:p>
    <w:p w:rsidR="00CC18EA" w:rsidRDefault="00CC18EA" w:rsidP="00CC18EA">
      <w:pPr>
        <w:pStyle w:val="EndNoteBibliography"/>
        <w:numPr>
          <w:ilvl w:val="0"/>
          <w:numId w:val="4"/>
        </w:numPr>
        <w:ind w:left="360"/>
      </w:pPr>
      <w:r w:rsidRPr="00CC18EA">
        <w:t>Mulder, M. (2000). Basic principles of membrane technology. pp 387.</w:t>
      </w:r>
      <w:bookmarkStart w:id="16" w:name="_ENREF_16"/>
      <w:bookmarkEnd w:id="15"/>
    </w:p>
    <w:p w:rsidR="00CC18EA" w:rsidRDefault="00CC18EA" w:rsidP="00CC18EA">
      <w:pPr>
        <w:pStyle w:val="EndNoteBibliography"/>
        <w:numPr>
          <w:ilvl w:val="0"/>
          <w:numId w:val="4"/>
        </w:numPr>
        <w:ind w:left="360"/>
      </w:pPr>
      <w:r w:rsidRPr="00CC18EA">
        <w:t xml:space="preserve">Lim, Y. P. and Mohammad, A.W. (2012). Influence of pH and ionic strength during food protein ultrafiltration: elucidation of permeate flux behavior, fouling resistance, and mechanism. </w:t>
      </w:r>
      <w:r w:rsidRPr="00CC18EA">
        <w:rPr>
          <w:i/>
        </w:rPr>
        <w:t>Separation Science and Technology</w:t>
      </w:r>
      <w:r w:rsidRPr="00CC18EA">
        <w:t>, 47: 446 - 454.</w:t>
      </w:r>
      <w:bookmarkStart w:id="17" w:name="_ENREF_17"/>
      <w:bookmarkEnd w:id="16"/>
    </w:p>
    <w:p w:rsidR="00CC18EA" w:rsidRDefault="00CC18EA" w:rsidP="00CC18EA">
      <w:pPr>
        <w:pStyle w:val="EndNoteBibliography"/>
        <w:numPr>
          <w:ilvl w:val="0"/>
          <w:numId w:val="4"/>
        </w:numPr>
        <w:ind w:left="360"/>
      </w:pPr>
      <w:r w:rsidRPr="00CC18EA">
        <w:t xml:space="preserve">Lakra, R., Saranya, R., Thuyavan, Y. L., Sugashini, S., Begum, K. M. S. and Arthanareeswaran, G. (2013). Separation of acetic acid and reducing sugars from biomass derived hydrosylate using biopolymer blend polyethersulfone membrane. </w:t>
      </w:r>
      <w:r w:rsidRPr="00CC18EA">
        <w:rPr>
          <w:i/>
        </w:rPr>
        <w:t>Separation and Purification Technology</w:t>
      </w:r>
      <w:r w:rsidRPr="00CC18EA">
        <w:t>, 118: 853 - 861.</w:t>
      </w:r>
      <w:bookmarkStart w:id="18" w:name="_ENREF_18"/>
      <w:bookmarkEnd w:id="17"/>
    </w:p>
    <w:p w:rsidR="00CC18EA" w:rsidRDefault="00CC18EA" w:rsidP="00CC18EA">
      <w:pPr>
        <w:pStyle w:val="EndNoteBibliography"/>
        <w:numPr>
          <w:ilvl w:val="0"/>
          <w:numId w:val="4"/>
        </w:numPr>
        <w:ind w:left="360"/>
      </w:pPr>
      <w:r w:rsidRPr="00CC18EA">
        <w:t>Ribeiro, H. S., Janssen, J. J. M., Kobayashi, I. and Nakajima, M. (2010) Chapter 7: Membrane emulsification for food applications in Peinemann, K.V, Nunes, S. P. and Giorno, L. (eds.) Membrane for food applications: pp. 129 - 131.</w:t>
      </w:r>
      <w:bookmarkStart w:id="19" w:name="_ENREF_19"/>
      <w:bookmarkEnd w:id="18"/>
    </w:p>
    <w:p w:rsidR="00CC18EA" w:rsidRPr="00CC18EA" w:rsidRDefault="00CC18EA" w:rsidP="00CC18EA">
      <w:pPr>
        <w:pStyle w:val="EndNoteBibliography"/>
        <w:numPr>
          <w:ilvl w:val="0"/>
          <w:numId w:val="4"/>
        </w:numPr>
        <w:ind w:left="360"/>
      </w:pPr>
      <w:r w:rsidRPr="00CC18EA">
        <w:t xml:space="preserve">Sirkar, K.K. (2014) Separation of molecules, macromolecules and particles. </w:t>
      </w:r>
      <w:r w:rsidRPr="00CC18EA">
        <w:rPr>
          <w:i/>
        </w:rPr>
        <w:t>Cambridge University</w:t>
      </w:r>
      <w:r w:rsidRPr="00CC18EA">
        <w:t xml:space="preserve"> </w:t>
      </w:r>
      <w:r w:rsidRPr="00CC18EA">
        <w:rPr>
          <w:i/>
        </w:rPr>
        <w:t>Press</w:t>
      </w:r>
      <w:r w:rsidRPr="00CC18EA">
        <w:t>: pp. 295 - 305.</w:t>
      </w:r>
      <w:bookmarkEnd w:id="19"/>
    </w:p>
    <w:p w:rsidR="00A74A7E" w:rsidRPr="00CC18EA" w:rsidRDefault="00CC18EA" w:rsidP="00CC18EA">
      <w:pPr>
        <w:spacing w:after="0" w:line="240" w:lineRule="auto"/>
        <w:ind w:left="360" w:hanging="360"/>
        <w:jc w:val="both"/>
        <w:rPr>
          <w:sz w:val="20"/>
          <w:szCs w:val="20"/>
        </w:rPr>
      </w:pPr>
      <w:r w:rsidRPr="00CC18EA">
        <w:rPr>
          <w:rFonts w:ascii="Times New Roman" w:hAnsi="Times New Roman"/>
          <w:sz w:val="20"/>
          <w:szCs w:val="20"/>
        </w:rPr>
        <w:fldChar w:fldCharType="end"/>
      </w:r>
    </w:p>
    <w:sectPr w:rsidR="00A74A7E" w:rsidRPr="00CC18EA" w:rsidSect="00AC542C">
      <w:headerReference w:type="even" r:id="rId18"/>
      <w:headerReference w:type="default" r:id="rId19"/>
      <w:footerReference w:type="even" r:id="rId20"/>
      <w:footerReference w:type="default" r:id="rId21"/>
      <w:pgSz w:w="12240" w:h="15840" w:code="1"/>
      <w:pgMar w:top="1800" w:right="1469" w:bottom="1699" w:left="1440" w:header="706" w:footer="706" w:gutter="0"/>
      <w:pgNumType w:start="14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1EC" w:rsidRDefault="006D21EC" w:rsidP="00FB4C59">
      <w:pPr>
        <w:spacing w:after="0" w:line="240" w:lineRule="auto"/>
      </w:pPr>
      <w:r>
        <w:separator/>
      </w:r>
    </w:p>
  </w:endnote>
  <w:endnote w:type="continuationSeparator" w:id="0">
    <w:p w:rsidR="006D21EC" w:rsidRDefault="006D21E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C30B4">
      <w:rPr>
        <w:rFonts w:ascii="Times New Roman" w:hAnsi="Times New Roman"/>
        <w:noProof/>
      </w:rPr>
      <w:t>1420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C30B4">
      <w:rPr>
        <w:rFonts w:ascii="Times New Roman" w:hAnsi="Times New Roman"/>
        <w:noProof/>
      </w:rPr>
      <w:t>1413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1EC" w:rsidRDefault="006D21EC" w:rsidP="00FB4C59">
      <w:pPr>
        <w:spacing w:after="0" w:line="240" w:lineRule="auto"/>
      </w:pPr>
      <w:r>
        <w:separator/>
      </w:r>
    </w:p>
  </w:footnote>
  <w:footnote w:type="continuationSeparator" w:id="0">
    <w:p w:rsidR="006D21EC" w:rsidRDefault="006D21E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FB6AB9" w:rsidRDefault="00FB6AB9" w:rsidP="00FB6AB9">
    <w:pPr>
      <w:spacing w:after="0" w:line="240" w:lineRule="auto"/>
      <w:ind w:left="2790" w:hanging="2790"/>
      <w:outlineLvl w:val="0"/>
      <w:rPr>
        <w:rFonts w:ascii="Times New Roman" w:hAnsi="Times New Roman"/>
        <w:sz w:val="20"/>
        <w:szCs w:val="20"/>
      </w:rPr>
    </w:pPr>
    <w:r w:rsidRPr="00FB6AB9">
      <w:rPr>
        <w:rFonts w:ascii="Times New Roman" w:hAnsi="Times New Roman"/>
        <w:sz w:val="20"/>
        <w:szCs w:val="20"/>
      </w:rPr>
      <w:t>Masniroszaime &amp; Abdul Wahab</w:t>
    </w:r>
    <w:r w:rsidR="006B72B0" w:rsidRPr="00FB6AB9">
      <w:rPr>
        <w:rFonts w:ascii="Times New Roman" w:hAnsi="Times New Roman"/>
        <w:sz w:val="20"/>
        <w:szCs w:val="20"/>
      </w:rPr>
      <w:t xml:space="preserve">: </w:t>
    </w:r>
    <w:r w:rsidRPr="00FB6AB9">
      <w:rPr>
        <w:rFonts w:ascii="Times New Roman" w:hAnsi="Times New Roman"/>
        <w:sz w:val="20"/>
        <w:szCs w:val="20"/>
      </w:rPr>
      <w:t xml:space="preserve"> </w:t>
    </w:r>
    <w:r>
      <w:rPr>
        <w:rFonts w:ascii="Times New Roman" w:hAnsi="Times New Roman"/>
        <w:sz w:val="20"/>
        <w:szCs w:val="20"/>
      </w:rPr>
      <w:tab/>
    </w:r>
    <w:r w:rsidRPr="00FB6AB9">
      <w:rPr>
        <w:rFonts w:ascii="Times New Roman" w:hAnsi="Times New Roman"/>
        <w:sz w:val="20"/>
        <w:szCs w:val="20"/>
      </w:rPr>
      <w:t xml:space="preserve">EFFECT OF pH ON FLUX DECLINE DURING FRACTIONATION OF GLUCOSE FROM CELLULOSE HYDROLYSATE THROUGH A POLYSULFONE MEMBRANE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A91EFF">
      <w:rPr>
        <w:rFonts w:ascii="Times New Roman" w:hAnsi="Times New Roman"/>
        <w:i/>
        <w:lang w:val="en-US"/>
      </w:rPr>
      <w:t>No 6</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AC542C">
      <w:rPr>
        <w:rFonts w:ascii="Times New Roman" w:hAnsi="Times New Roman"/>
        <w:i/>
        <w:lang w:val="en-US"/>
      </w:rPr>
      <w:t>1413</w:t>
    </w:r>
    <w:r>
      <w:rPr>
        <w:rFonts w:ascii="Times New Roman" w:hAnsi="Times New Roman"/>
        <w:i/>
        <w:lang w:val="en-US"/>
      </w:rPr>
      <w:t xml:space="preserve"> </w:t>
    </w:r>
    <w:r w:rsidR="007A0583">
      <w:rPr>
        <w:rFonts w:ascii="Times New Roman" w:hAnsi="Times New Roman"/>
        <w:i/>
        <w:lang w:val="en-US"/>
      </w:rPr>
      <w:t>-</w:t>
    </w:r>
    <w:r w:rsidR="00AC542C">
      <w:rPr>
        <w:rFonts w:ascii="Times New Roman" w:hAnsi="Times New Roman"/>
        <w:i/>
        <w:lang w:val="en-US"/>
      </w:rPr>
      <w:t xml:space="preserve"> 1420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w:t>
    </w:r>
    <w:r w:rsidR="003D4CDD">
      <w:rPr>
        <w:rFonts w:ascii="Times New Roman" w:hAnsi="Times New Roman"/>
        <w:i/>
        <w:lang w:val="en-US"/>
      </w:rPr>
      <w:t>6</w:t>
    </w:r>
    <w:r w:rsidR="00AC542C">
      <w:rPr>
        <w:rFonts w:ascii="Times New Roman" w:hAnsi="Times New Roman"/>
        <w:i/>
        <w:lang w:val="en-US"/>
      </w:rPr>
      <w:t>-21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A853AA6"/>
    <w:multiLevelType w:val="hybridMultilevel"/>
    <w:tmpl w:val="5302D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savePreviewPicture/>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55E47"/>
    <w:rsid w:val="00084936"/>
    <w:rsid w:val="000C49FF"/>
    <w:rsid w:val="000D16A1"/>
    <w:rsid w:val="000D2B0C"/>
    <w:rsid w:val="000E50F6"/>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760D4"/>
    <w:rsid w:val="00494C46"/>
    <w:rsid w:val="004B43FF"/>
    <w:rsid w:val="004D7E25"/>
    <w:rsid w:val="00502641"/>
    <w:rsid w:val="005C6768"/>
    <w:rsid w:val="005E4871"/>
    <w:rsid w:val="00601C8A"/>
    <w:rsid w:val="006257E5"/>
    <w:rsid w:val="00634C25"/>
    <w:rsid w:val="006416AB"/>
    <w:rsid w:val="006768E9"/>
    <w:rsid w:val="00687982"/>
    <w:rsid w:val="006B3EC8"/>
    <w:rsid w:val="006B72B0"/>
    <w:rsid w:val="006D21EC"/>
    <w:rsid w:val="006D286E"/>
    <w:rsid w:val="006D695E"/>
    <w:rsid w:val="00725A6A"/>
    <w:rsid w:val="007943F3"/>
    <w:rsid w:val="007A0583"/>
    <w:rsid w:val="007A27AC"/>
    <w:rsid w:val="007A738C"/>
    <w:rsid w:val="007B1349"/>
    <w:rsid w:val="007D45AC"/>
    <w:rsid w:val="007E25BD"/>
    <w:rsid w:val="007E6127"/>
    <w:rsid w:val="00802C35"/>
    <w:rsid w:val="0082181A"/>
    <w:rsid w:val="00825624"/>
    <w:rsid w:val="0083587A"/>
    <w:rsid w:val="008671FA"/>
    <w:rsid w:val="00883CC3"/>
    <w:rsid w:val="008B470E"/>
    <w:rsid w:val="008B5904"/>
    <w:rsid w:val="008C178B"/>
    <w:rsid w:val="008D29BF"/>
    <w:rsid w:val="008E1211"/>
    <w:rsid w:val="008E5BBF"/>
    <w:rsid w:val="008E6968"/>
    <w:rsid w:val="009211AF"/>
    <w:rsid w:val="009357B8"/>
    <w:rsid w:val="0098107E"/>
    <w:rsid w:val="009866F6"/>
    <w:rsid w:val="009D030D"/>
    <w:rsid w:val="00A14DB9"/>
    <w:rsid w:val="00A157E6"/>
    <w:rsid w:val="00A4762A"/>
    <w:rsid w:val="00A74A7E"/>
    <w:rsid w:val="00A91EFF"/>
    <w:rsid w:val="00AC542C"/>
    <w:rsid w:val="00AD1B8A"/>
    <w:rsid w:val="00AE713F"/>
    <w:rsid w:val="00AF2305"/>
    <w:rsid w:val="00AF2821"/>
    <w:rsid w:val="00B1121C"/>
    <w:rsid w:val="00B11A75"/>
    <w:rsid w:val="00B25B65"/>
    <w:rsid w:val="00B2770A"/>
    <w:rsid w:val="00B314AD"/>
    <w:rsid w:val="00B75BF6"/>
    <w:rsid w:val="00B7735A"/>
    <w:rsid w:val="00B91DE7"/>
    <w:rsid w:val="00BA1F7B"/>
    <w:rsid w:val="00BB58AF"/>
    <w:rsid w:val="00BE7C30"/>
    <w:rsid w:val="00C055BF"/>
    <w:rsid w:val="00C2226A"/>
    <w:rsid w:val="00C94D92"/>
    <w:rsid w:val="00C97340"/>
    <w:rsid w:val="00CA513F"/>
    <w:rsid w:val="00CB3AA6"/>
    <w:rsid w:val="00CC18EA"/>
    <w:rsid w:val="00CC30B4"/>
    <w:rsid w:val="00CF05FF"/>
    <w:rsid w:val="00D340BB"/>
    <w:rsid w:val="00D505D5"/>
    <w:rsid w:val="00D75B35"/>
    <w:rsid w:val="00D76BA4"/>
    <w:rsid w:val="00D76E09"/>
    <w:rsid w:val="00D9736F"/>
    <w:rsid w:val="00D9792A"/>
    <w:rsid w:val="00DD377F"/>
    <w:rsid w:val="00E25547"/>
    <w:rsid w:val="00E3287E"/>
    <w:rsid w:val="00E54D12"/>
    <w:rsid w:val="00E66197"/>
    <w:rsid w:val="00EB749F"/>
    <w:rsid w:val="00EF708E"/>
    <w:rsid w:val="00F31093"/>
    <w:rsid w:val="00F412AF"/>
    <w:rsid w:val="00F43667"/>
    <w:rsid w:val="00F447A7"/>
    <w:rsid w:val="00F4760B"/>
    <w:rsid w:val="00FA6D81"/>
    <w:rsid w:val="00FB4C59"/>
    <w:rsid w:val="00FB6AB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7E6127"/>
    <w:rPr>
      <w:color w:val="0000FF" w:themeColor="hyperlink"/>
      <w:u w:val="single"/>
    </w:rPr>
  </w:style>
  <w:style w:type="paragraph" w:styleId="BodyText">
    <w:name w:val="Body Text"/>
    <w:basedOn w:val="Normal"/>
    <w:link w:val="BodyTextChar"/>
    <w:uiPriority w:val="99"/>
    <w:rsid w:val="007E6127"/>
    <w:pPr>
      <w:tabs>
        <w:tab w:val="left" w:pos="288"/>
      </w:tabs>
      <w:spacing w:after="120" w:line="228" w:lineRule="auto"/>
      <w:ind w:firstLine="288"/>
      <w:jc w:val="both"/>
    </w:pPr>
    <w:rPr>
      <w:rFonts w:ascii="Times New Roman" w:eastAsia="MS Mincho" w:hAnsi="Times New Roman"/>
      <w:spacing w:val="-1"/>
      <w:sz w:val="20"/>
      <w:szCs w:val="20"/>
      <w:lang w:bidi="ar-SA"/>
    </w:rPr>
  </w:style>
  <w:style w:type="character" w:customStyle="1" w:styleId="BodyTextChar">
    <w:name w:val="Body Text Char"/>
    <w:basedOn w:val="DefaultParagraphFont"/>
    <w:link w:val="BodyText"/>
    <w:uiPriority w:val="99"/>
    <w:rsid w:val="007E6127"/>
    <w:rPr>
      <w:rFonts w:ascii="Times New Roman" w:eastAsia="MS Mincho" w:hAnsi="Times New Roman"/>
      <w:spacing w:val="-1"/>
    </w:rPr>
  </w:style>
  <w:style w:type="paragraph" w:customStyle="1" w:styleId="bulletlist">
    <w:name w:val="bullet list"/>
    <w:basedOn w:val="BodyText"/>
    <w:rsid w:val="00FB6AB9"/>
    <w:pPr>
      <w:numPr>
        <w:numId w:val="2"/>
      </w:numPr>
      <w:tabs>
        <w:tab w:val="clear" w:pos="648"/>
      </w:tabs>
      <w:ind w:left="576" w:hanging="288"/>
    </w:pPr>
  </w:style>
  <w:style w:type="paragraph" w:customStyle="1" w:styleId="SubSection">
    <w:name w:val="SubSection"/>
    <w:basedOn w:val="Normal"/>
    <w:rsid w:val="00FB6AB9"/>
    <w:pPr>
      <w:keepNext/>
      <w:tabs>
        <w:tab w:val="left" w:pos="284"/>
      </w:tabs>
      <w:spacing w:before="240" w:after="160" w:line="240" w:lineRule="auto"/>
      <w:jc w:val="both"/>
    </w:pPr>
    <w:rPr>
      <w:rFonts w:ascii="Times New Roman" w:hAnsi="Times New Roman"/>
      <w:b/>
      <w:sz w:val="20"/>
      <w:szCs w:val="20"/>
      <w:lang w:val="en-GB" w:bidi="ar-SA"/>
    </w:rPr>
  </w:style>
  <w:style w:type="paragraph" w:customStyle="1" w:styleId="Section">
    <w:name w:val="Section"/>
    <w:basedOn w:val="Normal"/>
    <w:next w:val="Normal"/>
    <w:rsid w:val="00CC18EA"/>
    <w:pPr>
      <w:tabs>
        <w:tab w:val="left" w:pos="284"/>
      </w:tabs>
      <w:spacing w:before="240" w:after="160" w:line="240" w:lineRule="auto"/>
      <w:jc w:val="both"/>
    </w:pPr>
    <w:rPr>
      <w:rFonts w:ascii="Times New Roman" w:hAnsi="Times New Roman"/>
      <w:b/>
      <w:sz w:val="24"/>
      <w:szCs w:val="20"/>
      <w:lang w:val="en-GB" w:bidi="ar-SA"/>
    </w:rPr>
  </w:style>
  <w:style w:type="paragraph" w:customStyle="1" w:styleId="EndNoteBibliography">
    <w:name w:val="EndNote Bibliography"/>
    <w:basedOn w:val="Normal"/>
    <w:link w:val="EndNoteBibliographyChar"/>
    <w:rsid w:val="00CC18EA"/>
    <w:pPr>
      <w:spacing w:after="0" w:line="240" w:lineRule="auto"/>
      <w:jc w:val="both"/>
    </w:pPr>
    <w:rPr>
      <w:rFonts w:ascii="Times New Roman" w:hAnsi="Times New Roman"/>
      <w:noProof/>
      <w:sz w:val="20"/>
      <w:szCs w:val="20"/>
      <w:lang w:bidi="ar-SA"/>
    </w:rPr>
  </w:style>
  <w:style w:type="character" w:customStyle="1" w:styleId="EndNoteBibliographyChar">
    <w:name w:val="EndNote Bibliography Char"/>
    <w:basedOn w:val="DefaultParagraphFont"/>
    <w:link w:val="EndNoteBibliography"/>
    <w:rsid w:val="00CC18EA"/>
    <w:rPr>
      <w:rFonts w:ascii="Times New Roman" w:eastAsia="Times New Roman" w:hAnsi="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7E6127"/>
    <w:rPr>
      <w:color w:val="0000FF" w:themeColor="hyperlink"/>
      <w:u w:val="single"/>
    </w:rPr>
  </w:style>
  <w:style w:type="paragraph" w:styleId="BodyText">
    <w:name w:val="Body Text"/>
    <w:basedOn w:val="Normal"/>
    <w:link w:val="BodyTextChar"/>
    <w:uiPriority w:val="99"/>
    <w:rsid w:val="007E6127"/>
    <w:pPr>
      <w:tabs>
        <w:tab w:val="left" w:pos="288"/>
      </w:tabs>
      <w:spacing w:after="120" w:line="228" w:lineRule="auto"/>
      <w:ind w:firstLine="288"/>
      <w:jc w:val="both"/>
    </w:pPr>
    <w:rPr>
      <w:rFonts w:ascii="Times New Roman" w:eastAsia="MS Mincho" w:hAnsi="Times New Roman"/>
      <w:spacing w:val="-1"/>
      <w:sz w:val="20"/>
      <w:szCs w:val="20"/>
      <w:lang w:bidi="ar-SA"/>
    </w:rPr>
  </w:style>
  <w:style w:type="character" w:customStyle="1" w:styleId="BodyTextChar">
    <w:name w:val="Body Text Char"/>
    <w:basedOn w:val="DefaultParagraphFont"/>
    <w:link w:val="BodyText"/>
    <w:uiPriority w:val="99"/>
    <w:rsid w:val="007E6127"/>
    <w:rPr>
      <w:rFonts w:ascii="Times New Roman" w:eastAsia="MS Mincho" w:hAnsi="Times New Roman"/>
      <w:spacing w:val="-1"/>
    </w:rPr>
  </w:style>
  <w:style w:type="paragraph" w:customStyle="1" w:styleId="bulletlist">
    <w:name w:val="bullet list"/>
    <w:basedOn w:val="BodyText"/>
    <w:rsid w:val="00FB6AB9"/>
    <w:pPr>
      <w:numPr>
        <w:numId w:val="2"/>
      </w:numPr>
      <w:tabs>
        <w:tab w:val="clear" w:pos="648"/>
      </w:tabs>
      <w:ind w:left="576" w:hanging="288"/>
    </w:pPr>
  </w:style>
  <w:style w:type="paragraph" w:customStyle="1" w:styleId="SubSection">
    <w:name w:val="SubSection"/>
    <w:basedOn w:val="Normal"/>
    <w:rsid w:val="00FB6AB9"/>
    <w:pPr>
      <w:keepNext/>
      <w:tabs>
        <w:tab w:val="left" w:pos="284"/>
      </w:tabs>
      <w:spacing w:before="240" w:after="160" w:line="240" w:lineRule="auto"/>
      <w:jc w:val="both"/>
    </w:pPr>
    <w:rPr>
      <w:rFonts w:ascii="Times New Roman" w:hAnsi="Times New Roman"/>
      <w:b/>
      <w:sz w:val="20"/>
      <w:szCs w:val="20"/>
      <w:lang w:val="en-GB" w:bidi="ar-SA"/>
    </w:rPr>
  </w:style>
  <w:style w:type="paragraph" w:customStyle="1" w:styleId="Section">
    <w:name w:val="Section"/>
    <w:basedOn w:val="Normal"/>
    <w:next w:val="Normal"/>
    <w:rsid w:val="00CC18EA"/>
    <w:pPr>
      <w:tabs>
        <w:tab w:val="left" w:pos="284"/>
      </w:tabs>
      <w:spacing w:before="240" w:after="160" w:line="240" w:lineRule="auto"/>
      <w:jc w:val="both"/>
    </w:pPr>
    <w:rPr>
      <w:rFonts w:ascii="Times New Roman" w:hAnsi="Times New Roman"/>
      <w:b/>
      <w:sz w:val="24"/>
      <w:szCs w:val="20"/>
      <w:lang w:val="en-GB" w:bidi="ar-SA"/>
    </w:rPr>
  </w:style>
  <w:style w:type="paragraph" w:customStyle="1" w:styleId="EndNoteBibliography">
    <w:name w:val="EndNote Bibliography"/>
    <w:basedOn w:val="Normal"/>
    <w:link w:val="EndNoteBibliographyChar"/>
    <w:rsid w:val="00CC18EA"/>
    <w:pPr>
      <w:spacing w:after="0" w:line="240" w:lineRule="auto"/>
      <w:jc w:val="both"/>
    </w:pPr>
    <w:rPr>
      <w:rFonts w:ascii="Times New Roman" w:hAnsi="Times New Roman"/>
      <w:noProof/>
      <w:sz w:val="20"/>
      <w:szCs w:val="20"/>
      <w:lang w:bidi="ar-SA"/>
    </w:rPr>
  </w:style>
  <w:style w:type="character" w:customStyle="1" w:styleId="EndNoteBibliographyChar">
    <w:name w:val="EndNote Bibliography Char"/>
    <w:basedOn w:val="DefaultParagraphFont"/>
    <w:link w:val="EndNoteBibliography"/>
    <w:rsid w:val="00CC18EA"/>
    <w:rPr>
      <w:rFonts w:ascii="Times New Roman" w:eastAsia="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tif"/><Relationship Id="rId17" Type="http://schemas.openxmlformats.org/officeDocument/2006/relationships/image" Target="media/image9.tif"/><Relationship Id="rId2" Type="http://schemas.openxmlformats.org/officeDocument/2006/relationships/numbering" Target="numbering.xml"/><Relationship Id="rId16" Type="http://schemas.openxmlformats.org/officeDocument/2006/relationships/image" Target="media/image8.t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Relationship Id="rId5" Type="http://schemas.openxmlformats.org/officeDocument/2006/relationships/settings" Target="settings.xml"/><Relationship Id="rId15" Type="http://schemas.openxmlformats.org/officeDocument/2006/relationships/image" Target="media/image7.ti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t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70FD8-C3D1-4517-8703-B560025D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5410</Words>
  <Characters>30245</Characters>
  <Application>Microsoft Office Word</Application>
  <DocSecurity>0</DocSecurity>
  <Lines>549</Lines>
  <Paragraphs>203</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MJAS Vol 20 No 6 (2016)</vt:lpstr>
      <vt:lpstr>EFFECT OF pH ON FLUX DECLINE DURING FRACTIONATION OF GLUCOSE FROM CELLULOSE HYDR</vt:lpstr>
      <vt:lpstr/>
      <vt:lpstr>(Kesan pH pada Penurunan Fluks bagi Pemeringkatan Glukosa daripada Hidrolisis Se</vt:lpstr>
      <vt:lpstr>Masniroszaime Md Zain and Abdul Wahab Mohammad*</vt:lpstr>
      <vt:lpstr>Department of Chemical Engineering and Process, Faculty of Engineering and Built</vt:lpstr>
      <vt:lpstr>Concentrating glucose after enzymatic hydrolysis of lignocellulosic biomass is a</vt:lpstr>
      <vt:lpstr/>
      <vt:lpstr>Keywords:  enzyme hydrolysis, lignocellulosic biomass, ultrafiltration, polysulf</vt:lpstr>
      <vt:lpstr/>
      <vt:lpstr>Abstrak</vt:lpstr>
      <vt:lpstr>Pemekatan glukosa selepas hidrolisis enzim bagi penghasilan bioetanol daripada b</vt:lpstr>
      <vt:lpstr/>
      <vt:lpstr>Kata kunci:  hidrolisis enzim, biojisim lignoselulosa, penuras ultra, polisulfon</vt:lpstr>
      <vt:lpstr/>
      <vt:lpstr>Materials and Methods</vt:lpstr>
      <vt:lpstr>    Materials</vt:lpstr>
      <vt:lpstr>    Polysulfone commercial ultrafiltration (UF) membranes were chosen in order to mi</vt:lpstr>
      <vt:lpstr>    </vt:lpstr>
      <vt:lpstr>    Characterization of model cellulose hydrolysate </vt:lpstr>
      <vt:lpstr>    In this study, a model of cellulose hydrolysate was formed by mixing microcrysta</vt:lpstr>
      <vt:lpstr>    </vt:lpstr>
      <vt:lpstr>    Ultrafiltration process </vt:lpstr>
      <vt:lpstr>    The 20 kDa polysulfone membrane purchase from Koch was employed throughout the p</vt:lpstr>
      <vt:lpstr>    Analytical Methods</vt:lpstr>
      <vt:lpstr>    Glucose content was analysed by HPLC (Agilent G1311A) equipped with refractive i</vt:lpstr>
      <vt:lpstr>    Characterisation of cellulose hydrolysate </vt:lpstr>
      <vt:lpstr>    Fractionation is controlled by the membrane pore size and the operating paramete</vt:lpstr>
      <vt:lpstr>    Effect of pH</vt:lpstr>
      <vt:lpstr>    The interaction between membrane and solute in different pH was studied in the d</vt:lpstr>
      <vt:lpstr/>
      <vt:lpstr>//</vt:lpstr>
      <vt:lpstr/>
      <vt:lpstr>It may be observed from the figure that the fitting of experimental data to the </vt:lpstr>
      <vt:lpstr/>
      <vt:lpstr/>
      <vt:lpstr/>
      <vt:lpstr/>
      <vt:lpstr>Similar results have also been observed for glucose permeation in hollow fibre m</vt:lpstr>
      <vt:lpstr>Conclusion</vt:lpstr>
    </vt:vector>
  </TitlesOfParts>
  <Company>UKM</Company>
  <LinksUpToDate>false</LinksUpToDate>
  <CharactersWithSpaces>35452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11</cp:revision>
  <cp:lastPrinted>2016-12-02T01:27:00Z</cp:lastPrinted>
  <dcterms:created xsi:type="dcterms:W3CDTF">2016-10-28T00:02:00Z</dcterms:created>
  <dcterms:modified xsi:type="dcterms:W3CDTF">2016-12-02T01:27:00Z</dcterms:modified>
</cp:coreProperties>
</file>