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8F160B" w:rsidRPr="00E54431" w:rsidRDefault="008F160B" w:rsidP="008F160B">
      <w:pPr>
        <w:spacing w:after="0" w:line="240" w:lineRule="auto"/>
        <w:jc w:val="center"/>
        <w:rPr>
          <w:rFonts w:ascii="Times New Roman" w:hAnsi="Times New Roman"/>
          <w:caps/>
          <w:sz w:val="28"/>
        </w:rPr>
      </w:pPr>
      <w:r w:rsidRPr="004D0F4F">
        <w:rPr>
          <w:rFonts w:ascii="Times New Roman" w:hAnsi="Times New Roman"/>
          <w:caps/>
          <w:sz w:val="28"/>
        </w:rPr>
        <w:t xml:space="preserve">Effects of rain </w:t>
      </w:r>
      <w:r w:rsidRPr="004D0F4F">
        <w:rPr>
          <w:rFonts w:ascii="Times New Roman" w:hAnsi="Times New Roman"/>
          <w:sz w:val="28"/>
        </w:rPr>
        <w:t>p</w:t>
      </w:r>
      <w:r w:rsidRPr="004D0F4F">
        <w:rPr>
          <w:rFonts w:ascii="Times New Roman" w:hAnsi="Times New Roman"/>
          <w:caps/>
          <w:sz w:val="28"/>
        </w:rPr>
        <w:t>H, soil organic matter, cation exchange capacity</w:t>
      </w:r>
      <w:r>
        <w:rPr>
          <w:rFonts w:ascii="Times New Roman" w:hAnsi="Times New Roman"/>
          <w:caps/>
          <w:sz w:val="28"/>
        </w:rPr>
        <w:t xml:space="preserve"> </w:t>
      </w:r>
      <w:r w:rsidRPr="004D0F4F">
        <w:rPr>
          <w:rFonts w:ascii="Times New Roman" w:hAnsi="Times New Roman"/>
          <w:caps/>
          <w:sz w:val="28"/>
        </w:rPr>
        <w:t>and total lead content in shooting range soil on the concentration of lead in leachate</w:t>
      </w:r>
    </w:p>
    <w:p w:rsidR="006768E9" w:rsidRPr="00F447A7" w:rsidRDefault="006768E9" w:rsidP="008F160B">
      <w:pPr>
        <w:spacing w:after="0" w:line="240" w:lineRule="auto"/>
        <w:jc w:val="center"/>
        <w:rPr>
          <w:rFonts w:ascii="Times New Roman" w:hAnsi="Times New Roman"/>
          <w:noProof/>
          <w:sz w:val="24"/>
          <w:szCs w:val="24"/>
          <w:lang w:bidi="ar-SA"/>
        </w:rPr>
      </w:pPr>
    </w:p>
    <w:p w:rsidR="008F160B" w:rsidRPr="008F160B" w:rsidRDefault="008F160B" w:rsidP="008F160B">
      <w:pPr>
        <w:spacing w:after="0" w:line="240" w:lineRule="auto"/>
        <w:jc w:val="center"/>
        <w:rPr>
          <w:rFonts w:ascii="Times New Roman" w:hAnsi="Times New Roman"/>
          <w:sz w:val="24"/>
          <w:szCs w:val="24"/>
        </w:rPr>
      </w:pPr>
      <w:r w:rsidRPr="008F160B">
        <w:rPr>
          <w:rFonts w:ascii="Times New Roman" w:hAnsi="Times New Roman"/>
          <w:sz w:val="24"/>
          <w:szCs w:val="24"/>
        </w:rPr>
        <w:t>(Kesan pH Hujan, Jirim Organik Tanah, Kapasiti Tukaran Kation dan Kandungan Plumbum di dalam Tanah Lapang Sasar ke atas Kepekatan Plumbum di dalam Air Larut Lesap)</w:t>
      </w:r>
    </w:p>
    <w:p w:rsidR="006768E9" w:rsidRPr="00F447A7" w:rsidRDefault="006768E9" w:rsidP="008F160B">
      <w:pPr>
        <w:spacing w:after="0" w:line="240" w:lineRule="auto"/>
        <w:jc w:val="center"/>
        <w:rPr>
          <w:rFonts w:ascii="Times New Roman" w:hAnsi="Times New Roman"/>
          <w:noProof/>
          <w:sz w:val="20"/>
          <w:szCs w:val="20"/>
          <w:lang w:bidi="ar-SA"/>
        </w:rPr>
      </w:pPr>
    </w:p>
    <w:p w:rsidR="008F160B" w:rsidRPr="00E54431" w:rsidRDefault="008F160B" w:rsidP="008F160B">
      <w:pPr>
        <w:spacing w:after="0" w:line="240" w:lineRule="auto"/>
        <w:jc w:val="center"/>
        <w:rPr>
          <w:rFonts w:ascii="Times New Roman" w:eastAsia="PMingLiU" w:hAnsi="Times New Roman"/>
          <w:sz w:val="20"/>
          <w:szCs w:val="20"/>
          <w:vertAlign w:val="superscript"/>
          <w:lang w:eastAsia="zh-TW"/>
        </w:rPr>
      </w:pPr>
      <w:r w:rsidRPr="00E54431">
        <w:rPr>
          <w:rFonts w:ascii="Times New Roman" w:hAnsi="Times New Roman"/>
          <w:sz w:val="20"/>
          <w:szCs w:val="20"/>
        </w:rPr>
        <w:t>Soon Kong Yong</w:t>
      </w:r>
      <w:r w:rsidRPr="00E54431">
        <w:rPr>
          <w:rFonts w:ascii="Times New Roman" w:eastAsia="PMingLiU" w:hAnsi="Times New Roman"/>
          <w:sz w:val="20"/>
          <w:szCs w:val="20"/>
          <w:vertAlign w:val="superscript"/>
          <w:lang w:eastAsia="zh-TW"/>
        </w:rPr>
        <w:t>1</w:t>
      </w:r>
      <w:r w:rsidRPr="00E54431">
        <w:rPr>
          <w:rFonts w:ascii="Times New Roman" w:eastAsia="PMingLiU" w:hAnsi="Times New Roman"/>
          <w:sz w:val="20"/>
          <w:szCs w:val="20"/>
          <w:lang w:eastAsia="zh-TW"/>
        </w:rPr>
        <w:t>*</w:t>
      </w:r>
      <w:r>
        <w:rPr>
          <w:rFonts w:ascii="Times New Roman" w:eastAsia="PMingLiU" w:hAnsi="Times New Roman"/>
          <w:sz w:val="20"/>
          <w:szCs w:val="20"/>
          <w:lang w:eastAsia="zh-TW"/>
        </w:rPr>
        <w:t xml:space="preserve">, </w:t>
      </w:r>
      <w:r w:rsidRPr="004D0F4F">
        <w:rPr>
          <w:rFonts w:ascii="Times New Roman" w:hAnsi="Times New Roman"/>
          <w:sz w:val="20"/>
          <w:szCs w:val="20"/>
        </w:rPr>
        <w:t>Siti Norazieyana Mohd Zin</w:t>
      </w:r>
      <w:r w:rsidRPr="004D0F4F">
        <w:rPr>
          <w:rFonts w:ascii="Times New Roman" w:hAnsi="Times New Roman"/>
          <w:sz w:val="20"/>
          <w:szCs w:val="20"/>
          <w:vertAlign w:val="superscript"/>
        </w:rPr>
        <w:t>1</w:t>
      </w:r>
      <w:r w:rsidRPr="004D0F4F">
        <w:rPr>
          <w:rFonts w:ascii="Times New Roman" w:hAnsi="Times New Roman"/>
          <w:sz w:val="20"/>
          <w:szCs w:val="20"/>
        </w:rPr>
        <w:t>, Madinah Jaafar Mad Ariff</w:t>
      </w:r>
      <w:r w:rsidRPr="004D0F4F">
        <w:rPr>
          <w:rFonts w:ascii="Times New Roman" w:hAnsi="Times New Roman"/>
          <w:sz w:val="20"/>
          <w:szCs w:val="20"/>
          <w:vertAlign w:val="superscript"/>
        </w:rPr>
        <w:t>2</w:t>
      </w:r>
      <w:r>
        <w:rPr>
          <w:rFonts w:ascii="Times New Roman" w:hAnsi="Times New Roman"/>
          <w:sz w:val="20"/>
          <w:szCs w:val="20"/>
        </w:rPr>
        <w:t xml:space="preserve"> </w:t>
      </w:r>
    </w:p>
    <w:p w:rsidR="006768E9" w:rsidRPr="00F447A7" w:rsidRDefault="006768E9" w:rsidP="008F160B">
      <w:pPr>
        <w:spacing w:after="0" w:line="240" w:lineRule="auto"/>
        <w:jc w:val="center"/>
        <w:rPr>
          <w:rFonts w:ascii="Times New Roman" w:hAnsi="Times New Roman"/>
          <w:noProof/>
          <w:sz w:val="18"/>
          <w:szCs w:val="18"/>
          <w:lang w:bidi="ar-SA"/>
        </w:rPr>
      </w:pPr>
    </w:p>
    <w:p w:rsidR="008F160B" w:rsidRDefault="008F160B" w:rsidP="008F160B">
      <w:pPr>
        <w:spacing w:after="0" w:line="240" w:lineRule="auto"/>
        <w:jc w:val="center"/>
        <w:rPr>
          <w:rFonts w:ascii="Times New Roman" w:hAnsi="Times New Roman"/>
          <w:i/>
          <w:sz w:val="18"/>
          <w:szCs w:val="18"/>
        </w:rPr>
      </w:pPr>
      <w:r w:rsidRPr="00E54431">
        <w:rPr>
          <w:rFonts w:ascii="Times New Roman" w:hAnsi="Times New Roman"/>
          <w:i/>
          <w:sz w:val="18"/>
          <w:szCs w:val="18"/>
          <w:vertAlign w:val="superscript"/>
        </w:rPr>
        <w:t>1</w:t>
      </w:r>
      <w:r w:rsidRPr="00E54431">
        <w:rPr>
          <w:rFonts w:ascii="Times New Roman" w:hAnsi="Times New Roman"/>
          <w:i/>
          <w:sz w:val="18"/>
          <w:szCs w:val="18"/>
        </w:rPr>
        <w:t xml:space="preserve">Faculty of Applied Sciences, </w:t>
      </w:r>
    </w:p>
    <w:p w:rsidR="008F160B" w:rsidRDefault="008F160B" w:rsidP="008F160B">
      <w:pPr>
        <w:spacing w:after="0" w:line="240" w:lineRule="auto"/>
        <w:jc w:val="center"/>
        <w:rPr>
          <w:rFonts w:ascii="Times New Roman" w:hAnsi="Times New Roman"/>
          <w:i/>
          <w:sz w:val="18"/>
          <w:szCs w:val="18"/>
        </w:rPr>
      </w:pPr>
      <w:r w:rsidRPr="00E54431">
        <w:rPr>
          <w:rFonts w:ascii="Times New Roman" w:hAnsi="Times New Roman"/>
          <w:i/>
          <w:sz w:val="18"/>
          <w:szCs w:val="18"/>
        </w:rPr>
        <w:t xml:space="preserve">Universiti Teknologi MARA, 40450 Shah Alam, </w:t>
      </w:r>
      <w:r>
        <w:rPr>
          <w:rFonts w:ascii="Times New Roman" w:hAnsi="Times New Roman"/>
          <w:i/>
          <w:sz w:val="18"/>
          <w:szCs w:val="18"/>
        </w:rPr>
        <w:t xml:space="preserve">Selangor, </w:t>
      </w:r>
      <w:r w:rsidRPr="00E54431">
        <w:rPr>
          <w:rFonts w:ascii="Times New Roman" w:hAnsi="Times New Roman"/>
          <w:i/>
          <w:sz w:val="18"/>
          <w:szCs w:val="18"/>
        </w:rPr>
        <w:t>Malaysia</w:t>
      </w:r>
    </w:p>
    <w:p w:rsidR="008F160B" w:rsidRDefault="008F160B" w:rsidP="008F160B">
      <w:pPr>
        <w:spacing w:after="0" w:line="240" w:lineRule="auto"/>
        <w:jc w:val="center"/>
        <w:rPr>
          <w:rFonts w:ascii="Times New Roman" w:hAnsi="Times New Roman"/>
          <w:i/>
          <w:sz w:val="18"/>
          <w:szCs w:val="18"/>
        </w:rPr>
      </w:pPr>
      <w:r w:rsidRPr="009F7E06">
        <w:rPr>
          <w:rFonts w:ascii="Times New Roman" w:hAnsi="Times New Roman"/>
          <w:i/>
          <w:sz w:val="18"/>
          <w:szCs w:val="18"/>
          <w:vertAlign w:val="superscript"/>
        </w:rPr>
        <w:t>2</w:t>
      </w:r>
      <w:r>
        <w:rPr>
          <w:rFonts w:ascii="Times New Roman" w:hAnsi="Times New Roman"/>
          <w:i/>
          <w:sz w:val="18"/>
          <w:szCs w:val="18"/>
        </w:rPr>
        <w:t xml:space="preserve">Centre for Foundation Studies, </w:t>
      </w:r>
    </w:p>
    <w:p w:rsidR="008F160B" w:rsidRPr="00E54431" w:rsidRDefault="008F160B" w:rsidP="008F160B">
      <w:pPr>
        <w:spacing w:after="0" w:line="240" w:lineRule="auto"/>
        <w:jc w:val="center"/>
        <w:rPr>
          <w:rFonts w:ascii="Times New Roman" w:hAnsi="Times New Roman"/>
          <w:i/>
          <w:sz w:val="18"/>
          <w:szCs w:val="18"/>
        </w:rPr>
      </w:pPr>
      <w:r w:rsidRPr="009F7E06">
        <w:rPr>
          <w:rFonts w:ascii="Times New Roman" w:hAnsi="Times New Roman"/>
          <w:i/>
          <w:sz w:val="18"/>
          <w:szCs w:val="18"/>
        </w:rPr>
        <w:t>Universiti Pertahanan Nasional Malaysia,</w:t>
      </w:r>
      <w:r>
        <w:rPr>
          <w:rFonts w:ascii="Times New Roman" w:hAnsi="Times New Roman"/>
          <w:i/>
          <w:sz w:val="18"/>
          <w:szCs w:val="18"/>
        </w:rPr>
        <w:t xml:space="preserve"> Kem Sungai Besi, 57000</w:t>
      </w:r>
      <w:r w:rsidRPr="009F7E06">
        <w:rPr>
          <w:rFonts w:ascii="Times New Roman" w:hAnsi="Times New Roman"/>
          <w:i/>
          <w:sz w:val="18"/>
          <w:szCs w:val="18"/>
        </w:rPr>
        <w:t xml:space="preserve"> Kuala Lumpur, Malaysia</w:t>
      </w:r>
    </w:p>
    <w:p w:rsidR="006768E9" w:rsidRPr="00F447A7" w:rsidRDefault="006768E9" w:rsidP="008F160B">
      <w:pPr>
        <w:spacing w:after="0" w:line="240" w:lineRule="auto"/>
        <w:jc w:val="center"/>
        <w:rPr>
          <w:rFonts w:ascii="Times New Roman" w:hAnsi="Times New Roman"/>
          <w:noProof/>
          <w:sz w:val="18"/>
          <w:szCs w:val="18"/>
          <w:lang w:bidi="ar-SA"/>
        </w:rPr>
      </w:pPr>
    </w:p>
    <w:p w:rsidR="006768E9" w:rsidRPr="008F160B" w:rsidRDefault="006768E9" w:rsidP="008F160B">
      <w:pPr>
        <w:spacing w:after="0" w:line="240" w:lineRule="auto"/>
        <w:jc w:val="center"/>
        <w:rPr>
          <w:rFonts w:ascii="Times New Roman" w:hAnsi="Times New Roman"/>
          <w:sz w:val="18"/>
          <w:szCs w:val="18"/>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8F160B" w:rsidRPr="00476C51">
        <w:rPr>
          <w:rFonts w:ascii="Times New Roman" w:hAnsi="Times New Roman"/>
          <w:i/>
          <w:sz w:val="18"/>
          <w:szCs w:val="18"/>
        </w:rPr>
        <w:t>yongsk@salam.uitm.edu.my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0F07FF">
        <w:rPr>
          <w:rFonts w:ascii="Times New Roman" w:hAnsi="Times New Roman"/>
          <w:noProof/>
          <w:sz w:val="18"/>
          <w:szCs w:val="18"/>
          <w:lang w:bidi="ar-SA"/>
        </w:rPr>
        <w:t>17 August 2015</w:t>
      </w:r>
      <w:r>
        <w:rPr>
          <w:rFonts w:ascii="Times New Roman" w:hAnsi="Times New Roman"/>
          <w:noProof/>
          <w:sz w:val="18"/>
          <w:szCs w:val="18"/>
          <w:lang w:bidi="ar-SA"/>
        </w:rPr>
        <w:t xml:space="preserve">; Accepted: </w:t>
      </w:r>
      <w:r w:rsidR="000F07FF">
        <w:rPr>
          <w:rFonts w:ascii="Times New Roman" w:hAnsi="Times New Roman"/>
          <w:noProof/>
          <w:sz w:val="18"/>
          <w:szCs w:val="18"/>
          <w:lang w:bidi="ar-SA"/>
        </w:rPr>
        <w:t>23 May 2016</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D70887" w:rsidRPr="009F7E06" w:rsidRDefault="00D70887" w:rsidP="00D70887">
      <w:pPr>
        <w:spacing w:after="0" w:line="240" w:lineRule="auto"/>
        <w:jc w:val="both"/>
        <w:rPr>
          <w:rFonts w:ascii="Times New Roman" w:hAnsi="Times New Roman"/>
          <w:sz w:val="18"/>
          <w:szCs w:val="18"/>
        </w:rPr>
      </w:pPr>
      <w:r w:rsidRPr="009F7E06">
        <w:rPr>
          <w:rFonts w:ascii="Times New Roman" w:hAnsi="Times New Roman"/>
          <w:sz w:val="18"/>
          <w:szCs w:val="18"/>
        </w:rPr>
        <w:t xml:space="preserve">Leaching of </w:t>
      </w:r>
      <w:r>
        <w:rPr>
          <w:rFonts w:ascii="Times New Roman" w:hAnsi="Times New Roman"/>
          <w:sz w:val="18"/>
          <w:szCs w:val="18"/>
        </w:rPr>
        <w:t>lead (</w:t>
      </w:r>
      <w:r w:rsidRPr="009F7E06">
        <w:rPr>
          <w:rFonts w:ascii="Times New Roman" w:hAnsi="Times New Roman"/>
          <w:sz w:val="18"/>
          <w:szCs w:val="18"/>
        </w:rPr>
        <w:t>Pb</w:t>
      </w:r>
      <w:r>
        <w:rPr>
          <w:rFonts w:ascii="Times New Roman" w:hAnsi="Times New Roman"/>
          <w:sz w:val="18"/>
          <w:szCs w:val="18"/>
        </w:rPr>
        <w:t>)</w:t>
      </w:r>
      <w:r w:rsidRPr="009F7E06">
        <w:rPr>
          <w:rFonts w:ascii="Times New Roman" w:hAnsi="Times New Roman"/>
          <w:sz w:val="18"/>
          <w:szCs w:val="18"/>
        </w:rPr>
        <w:t xml:space="preserve"> from the shooting range soil may contaminate water resource</w:t>
      </w:r>
      <w:r>
        <w:rPr>
          <w:rFonts w:ascii="Times New Roman" w:hAnsi="Times New Roman"/>
          <w:sz w:val="18"/>
          <w:szCs w:val="18"/>
        </w:rPr>
        <w:t xml:space="preserve"> if rain </w:t>
      </w:r>
      <w:r w:rsidRPr="009F7E06">
        <w:rPr>
          <w:rFonts w:ascii="Times New Roman" w:hAnsi="Times New Roman"/>
          <w:sz w:val="18"/>
          <w:szCs w:val="18"/>
        </w:rPr>
        <w:t>pH decreases</w:t>
      </w:r>
      <w:r>
        <w:rPr>
          <w:rFonts w:ascii="Times New Roman" w:hAnsi="Times New Roman"/>
          <w:sz w:val="18"/>
          <w:szCs w:val="18"/>
        </w:rPr>
        <w:t xml:space="preserve"> and </w:t>
      </w:r>
      <w:r w:rsidRPr="009F7E06">
        <w:rPr>
          <w:rFonts w:ascii="Times New Roman" w:hAnsi="Times New Roman"/>
          <w:sz w:val="18"/>
          <w:szCs w:val="18"/>
        </w:rPr>
        <w:t xml:space="preserve">soil has a low </w:t>
      </w:r>
      <w:r>
        <w:rPr>
          <w:rFonts w:ascii="Times New Roman" w:hAnsi="Times New Roman"/>
          <w:sz w:val="18"/>
          <w:szCs w:val="18"/>
        </w:rPr>
        <w:t>cation exchange capacity (CEC)</w:t>
      </w:r>
      <w:r w:rsidRPr="009F7E06">
        <w:rPr>
          <w:rFonts w:ascii="Times New Roman" w:hAnsi="Times New Roman"/>
          <w:sz w:val="18"/>
          <w:szCs w:val="18"/>
        </w:rPr>
        <w:t xml:space="preserve">. </w:t>
      </w:r>
      <w:r>
        <w:rPr>
          <w:rFonts w:ascii="Times New Roman" w:hAnsi="Times New Roman"/>
          <w:sz w:val="18"/>
          <w:szCs w:val="18"/>
        </w:rPr>
        <w:t>Over e</w:t>
      </w:r>
      <w:r w:rsidRPr="009F7E06">
        <w:rPr>
          <w:rFonts w:ascii="Times New Roman" w:hAnsi="Times New Roman"/>
          <w:sz w:val="18"/>
          <w:szCs w:val="18"/>
        </w:rPr>
        <w:t xml:space="preserve">xposure </w:t>
      </w:r>
      <w:r>
        <w:rPr>
          <w:rFonts w:ascii="Times New Roman" w:hAnsi="Times New Roman"/>
          <w:sz w:val="18"/>
          <w:szCs w:val="18"/>
        </w:rPr>
        <w:t xml:space="preserve">of </w:t>
      </w:r>
      <w:r w:rsidRPr="009F7E06">
        <w:rPr>
          <w:rFonts w:ascii="Times New Roman" w:hAnsi="Times New Roman"/>
          <w:sz w:val="18"/>
          <w:szCs w:val="18"/>
        </w:rPr>
        <w:t xml:space="preserve">Pb </w:t>
      </w:r>
      <w:r>
        <w:rPr>
          <w:rFonts w:ascii="Times New Roman" w:hAnsi="Times New Roman"/>
          <w:sz w:val="18"/>
          <w:szCs w:val="18"/>
        </w:rPr>
        <w:t>may cause brain injury</w:t>
      </w:r>
      <w:r w:rsidRPr="009F7E06">
        <w:rPr>
          <w:rFonts w:ascii="Times New Roman" w:hAnsi="Times New Roman"/>
          <w:sz w:val="18"/>
          <w:szCs w:val="18"/>
        </w:rPr>
        <w:t xml:space="preserve"> and death. In this study, leaching of Pb from shooting range soil was simulated with column leaching test using artificial rain at pH 4 and 7. Soil </w:t>
      </w:r>
      <w:r>
        <w:rPr>
          <w:rFonts w:ascii="Times New Roman" w:hAnsi="Times New Roman"/>
          <w:sz w:val="18"/>
          <w:szCs w:val="18"/>
        </w:rPr>
        <w:t xml:space="preserve">physico-chemical </w:t>
      </w:r>
      <w:r w:rsidRPr="009F7E06">
        <w:rPr>
          <w:rFonts w:ascii="Times New Roman" w:hAnsi="Times New Roman"/>
          <w:sz w:val="18"/>
          <w:szCs w:val="18"/>
        </w:rPr>
        <w:t>parame</w:t>
      </w:r>
      <w:r>
        <w:rPr>
          <w:rFonts w:ascii="Times New Roman" w:hAnsi="Times New Roman"/>
          <w:sz w:val="18"/>
          <w:szCs w:val="18"/>
        </w:rPr>
        <w:t>ters (i.e.</w:t>
      </w:r>
      <w:r w:rsidRPr="009F7E06">
        <w:rPr>
          <w:rFonts w:ascii="Times New Roman" w:hAnsi="Times New Roman"/>
          <w:sz w:val="18"/>
          <w:szCs w:val="18"/>
        </w:rPr>
        <w:t xml:space="preserve"> pH, </w:t>
      </w:r>
      <w:r>
        <w:rPr>
          <w:rFonts w:ascii="Times New Roman" w:hAnsi="Times New Roman"/>
          <w:sz w:val="18"/>
          <w:szCs w:val="18"/>
        </w:rPr>
        <w:t>organic matter (OM)</w:t>
      </w:r>
      <w:r w:rsidRPr="009F7E06">
        <w:rPr>
          <w:rFonts w:ascii="Times New Roman" w:hAnsi="Times New Roman"/>
          <w:sz w:val="18"/>
          <w:szCs w:val="18"/>
        </w:rPr>
        <w:t>, and CEC</w:t>
      </w:r>
      <w:r>
        <w:rPr>
          <w:rFonts w:ascii="Times New Roman" w:hAnsi="Times New Roman"/>
          <w:sz w:val="18"/>
          <w:szCs w:val="18"/>
        </w:rPr>
        <w:t>) were determined, and it</w:t>
      </w:r>
      <w:r w:rsidRPr="009F7E06">
        <w:rPr>
          <w:rFonts w:ascii="Times New Roman" w:hAnsi="Times New Roman"/>
          <w:sz w:val="18"/>
          <w:szCs w:val="18"/>
        </w:rPr>
        <w:t>s</w:t>
      </w:r>
      <w:r>
        <w:rPr>
          <w:rFonts w:ascii="Times New Roman" w:hAnsi="Times New Roman"/>
          <w:sz w:val="18"/>
          <w:szCs w:val="18"/>
        </w:rPr>
        <w:t>’</w:t>
      </w:r>
      <w:r w:rsidRPr="009F7E06">
        <w:rPr>
          <w:rFonts w:ascii="Times New Roman" w:hAnsi="Times New Roman"/>
          <w:sz w:val="18"/>
          <w:szCs w:val="18"/>
        </w:rPr>
        <w:t xml:space="preserve"> correlation </w:t>
      </w:r>
      <w:r>
        <w:rPr>
          <w:rFonts w:ascii="Times New Roman" w:hAnsi="Times New Roman"/>
          <w:sz w:val="18"/>
          <w:szCs w:val="18"/>
        </w:rPr>
        <w:t>with</w:t>
      </w:r>
      <w:r w:rsidRPr="009F7E06">
        <w:rPr>
          <w:rFonts w:ascii="Times New Roman" w:hAnsi="Times New Roman"/>
          <w:sz w:val="18"/>
          <w:szCs w:val="18"/>
        </w:rPr>
        <w:t xml:space="preserve"> Pb concentrations in soil (</w:t>
      </w:r>
      <w:r w:rsidRPr="00FD7DC7">
        <w:rPr>
          <w:rFonts w:ascii="Times New Roman" w:hAnsi="Times New Roman"/>
          <w:sz w:val="18"/>
          <w:szCs w:val="18"/>
        </w:rPr>
        <w:t>Soil Pb) and leachate (Leachate Pb)</w:t>
      </w:r>
      <w:r w:rsidRPr="009F7E06">
        <w:rPr>
          <w:rFonts w:ascii="Times New Roman" w:hAnsi="Times New Roman"/>
          <w:sz w:val="18"/>
          <w:szCs w:val="18"/>
        </w:rPr>
        <w:t xml:space="preserve"> were studied using Pearson’s correlation. Compare to control soil, shooting range soil has higher contents </w:t>
      </w:r>
      <w:r>
        <w:rPr>
          <w:rFonts w:ascii="Times New Roman" w:hAnsi="Times New Roman"/>
          <w:sz w:val="18"/>
          <w:szCs w:val="18"/>
        </w:rPr>
        <w:t xml:space="preserve">of </w:t>
      </w:r>
      <w:r w:rsidRPr="009F7E06">
        <w:rPr>
          <w:rFonts w:ascii="Times New Roman" w:hAnsi="Times New Roman"/>
          <w:sz w:val="18"/>
          <w:szCs w:val="18"/>
        </w:rPr>
        <w:t>Pb</w:t>
      </w:r>
      <w:r>
        <w:rPr>
          <w:rFonts w:ascii="Times New Roman" w:hAnsi="Times New Roman"/>
          <w:sz w:val="18"/>
          <w:szCs w:val="18"/>
        </w:rPr>
        <w:t xml:space="preserve"> (12,163 – 17,278 </w:t>
      </w:r>
      <w:r w:rsidRPr="009F7E06">
        <w:rPr>
          <w:rFonts w:ascii="Times New Roman" w:hAnsi="Times New Roman"/>
          <w:sz w:val="18"/>
          <w:szCs w:val="18"/>
        </w:rPr>
        <w:t>mg/kg</w:t>
      </w:r>
      <w:r>
        <w:rPr>
          <w:rFonts w:ascii="Times New Roman" w:hAnsi="Times New Roman"/>
          <w:sz w:val="18"/>
          <w:szCs w:val="18"/>
        </w:rPr>
        <w:t>,</w:t>
      </w:r>
      <w:r w:rsidRPr="009F7E06">
        <w:rPr>
          <w:rFonts w:ascii="Times New Roman" w:hAnsi="Times New Roman"/>
          <w:sz w:val="18"/>
          <w:szCs w:val="18"/>
        </w:rPr>
        <w:t xml:space="preserve"> dry weight basis) and sand </w:t>
      </w:r>
      <w:r>
        <w:rPr>
          <w:rFonts w:ascii="Times New Roman" w:hAnsi="Times New Roman"/>
          <w:sz w:val="18"/>
          <w:szCs w:val="18"/>
        </w:rPr>
        <w:t xml:space="preserve">(64 – </w:t>
      </w:r>
      <w:r w:rsidRPr="009F7E06">
        <w:rPr>
          <w:rFonts w:ascii="Times New Roman" w:hAnsi="Times New Roman"/>
          <w:sz w:val="18"/>
          <w:szCs w:val="18"/>
        </w:rPr>
        <w:t>68</w:t>
      </w:r>
      <w:r>
        <w:rPr>
          <w:rFonts w:ascii="Times New Roman" w:hAnsi="Times New Roman"/>
          <w:sz w:val="18"/>
          <w:szCs w:val="18"/>
        </w:rPr>
        <w:t xml:space="preserve"> </w:t>
      </w:r>
      <w:r w:rsidRPr="009F7E06">
        <w:rPr>
          <w:rFonts w:ascii="Times New Roman" w:hAnsi="Times New Roman"/>
          <w:sz w:val="18"/>
          <w:szCs w:val="18"/>
        </w:rPr>
        <w:t>%). The CEC va</w:t>
      </w:r>
      <w:r>
        <w:rPr>
          <w:rFonts w:ascii="Times New Roman" w:hAnsi="Times New Roman"/>
          <w:sz w:val="18"/>
          <w:szCs w:val="18"/>
        </w:rPr>
        <w:t xml:space="preserve">lue of shooting range soil (193 </w:t>
      </w:r>
      <w:r w:rsidRPr="009F7E06">
        <w:rPr>
          <w:rFonts w:ascii="Times New Roman" w:hAnsi="Times New Roman"/>
          <w:sz w:val="18"/>
          <w:szCs w:val="18"/>
        </w:rPr>
        <w:t>cmol/kg at pH 7) is lower</w:t>
      </w:r>
      <w:r>
        <w:rPr>
          <w:rFonts w:ascii="Times New Roman" w:hAnsi="Times New Roman"/>
          <w:sz w:val="18"/>
          <w:szCs w:val="18"/>
        </w:rPr>
        <w:t xml:space="preserve"> than those in control soil (85 – 140 </w:t>
      </w:r>
      <w:r w:rsidRPr="009F7E06">
        <w:rPr>
          <w:rFonts w:ascii="Times New Roman" w:hAnsi="Times New Roman"/>
          <w:sz w:val="18"/>
          <w:szCs w:val="18"/>
        </w:rPr>
        <w:t xml:space="preserve">cmol/kg at pH 7), possibly due to low contents of clay and OM. There is positive correlation between </w:t>
      </w:r>
      <w:r w:rsidRPr="00381055">
        <w:rPr>
          <w:rFonts w:ascii="Times New Roman" w:hAnsi="Times New Roman"/>
          <w:sz w:val="18"/>
          <w:szCs w:val="18"/>
        </w:rPr>
        <w:t>Soil Pb and Leachate Pb</w:t>
      </w:r>
      <w:r w:rsidRPr="009F7E06">
        <w:rPr>
          <w:rFonts w:ascii="Times New Roman" w:hAnsi="Times New Roman"/>
          <w:sz w:val="18"/>
          <w:szCs w:val="18"/>
        </w:rPr>
        <w:t xml:space="preserve"> </w:t>
      </w:r>
      <w:r>
        <w:rPr>
          <w:rFonts w:ascii="Times New Roman" w:hAnsi="Times New Roman"/>
          <w:sz w:val="18"/>
          <w:szCs w:val="18"/>
        </w:rPr>
        <w:t>variable pair (</w:t>
      </w:r>
      <w:r w:rsidRPr="00AF20E1">
        <w:rPr>
          <w:rFonts w:ascii="Times New Roman" w:hAnsi="Times New Roman"/>
          <w:i/>
          <w:sz w:val="18"/>
          <w:szCs w:val="18"/>
        </w:rPr>
        <w:t>r</w:t>
      </w:r>
      <w:r>
        <w:rPr>
          <w:rFonts w:ascii="Times New Roman" w:hAnsi="Times New Roman"/>
          <w:i/>
          <w:sz w:val="18"/>
          <w:szCs w:val="18"/>
        </w:rPr>
        <w:t xml:space="preserve"> </w:t>
      </w:r>
      <w:r>
        <w:rPr>
          <w:rFonts w:ascii="Times New Roman" w:hAnsi="Times New Roman"/>
          <w:sz w:val="18"/>
          <w:szCs w:val="18"/>
        </w:rPr>
        <w:t xml:space="preserve">= 0.94; </w:t>
      </w:r>
      <w:r w:rsidRPr="00AF20E1">
        <w:rPr>
          <w:rFonts w:ascii="Times New Roman" w:hAnsi="Times New Roman"/>
          <w:i/>
          <w:sz w:val="18"/>
          <w:szCs w:val="18"/>
        </w:rPr>
        <w:t>p</w:t>
      </w:r>
      <w:r>
        <w:rPr>
          <w:rFonts w:ascii="Times New Roman" w:hAnsi="Times New Roman"/>
          <w:i/>
          <w:sz w:val="18"/>
          <w:szCs w:val="18"/>
        </w:rPr>
        <w:t xml:space="preserve"> </w:t>
      </w:r>
      <w:r w:rsidRPr="009F7E06">
        <w:rPr>
          <w:rFonts w:ascii="Times New Roman" w:hAnsi="Times New Roman"/>
          <w:sz w:val="18"/>
          <w:szCs w:val="18"/>
        </w:rPr>
        <w:t xml:space="preserve">= 0.06); while </w:t>
      </w:r>
      <w:r w:rsidRPr="00381055">
        <w:rPr>
          <w:rFonts w:ascii="Times New Roman" w:hAnsi="Times New Roman"/>
          <w:sz w:val="18"/>
          <w:szCs w:val="18"/>
        </w:rPr>
        <w:t>Soil OM</w:t>
      </w:r>
      <w:r w:rsidRPr="009F7E06">
        <w:rPr>
          <w:rFonts w:ascii="Times New Roman" w:hAnsi="Times New Roman"/>
          <w:sz w:val="18"/>
          <w:szCs w:val="18"/>
        </w:rPr>
        <w:t xml:space="preserve"> and </w:t>
      </w:r>
      <w:r w:rsidRPr="00381055">
        <w:rPr>
          <w:rFonts w:ascii="Times New Roman" w:hAnsi="Times New Roman"/>
          <w:sz w:val="18"/>
          <w:szCs w:val="18"/>
        </w:rPr>
        <w:t>Leachate Pb</w:t>
      </w:r>
      <w:r w:rsidRPr="009F7E06">
        <w:rPr>
          <w:rFonts w:ascii="Times New Roman" w:hAnsi="Times New Roman"/>
          <w:sz w:val="18"/>
          <w:szCs w:val="18"/>
        </w:rPr>
        <w:t xml:space="preserve"> </w:t>
      </w:r>
      <w:r>
        <w:rPr>
          <w:rFonts w:ascii="Times New Roman" w:hAnsi="Times New Roman"/>
          <w:sz w:val="18"/>
          <w:szCs w:val="18"/>
        </w:rPr>
        <w:t>variable pair has a negative correlation (</w:t>
      </w:r>
      <w:r w:rsidRPr="00AF20E1">
        <w:rPr>
          <w:rFonts w:ascii="Times New Roman" w:hAnsi="Times New Roman"/>
          <w:i/>
          <w:sz w:val="18"/>
          <w:szCs w:val="18"/>
        </w:rPr>
        <w:t>r</w:t>
      </w:r>
      <w:r>
        <w:rPr>
          <w:rFonts w:ascii="Times New Roman" w:hAnsi="Times New Roman"/>
          <w:i/>
          <w:sz w:val="18"/>
          <w:szCs w:val="18"/>
        </w:rPr>
        <w:t xml:space="preserve"> </w:t>
      </w:r>
      <w:r>
        <w:rPr>
          <w:rFonts w:ascii="Times New Roman" w:hAnsi="Times New Roman"/>
          <w:sz w:val="18"/>
          <w:szCs w:val="18"/>
        </w:rPr>
        <w:t xml:space="preserve">= -0.94; </w:t>
      </w:r>
      <w:r w:rsidRPr="00AF20E1">
        <w:rPr>
          <w:rFonts w:ascii="Times New Roman" w:hAnsi="Times New Roman"/>
          <w:i/>
          <w:sz w:val="18"/>
          <w:szCs w:val="18"/>
        </w:rPr>
        <w:t>p</w:t>
      </w:r>
      <w:r>
        <w:rPr>
          <w:rFonts w:ascii="Times New Roman" w:hAnsi="Times New Roman"/>
          <w:i/>
          <w:sz w:val="18"/>
          <w:szCs w:val="18"/>
        </w:rPr>
        <w:t xml:space="preserve"> </w:t>
      </w:r>
      <w:r w:rsidRPr="009F7E06">
        <w:rPr>
          <w:rFonts w:ascii="Times New Roman" w:hAnsi="Times New Roman"/>
          <w:sz w:val="18"/>
          <w:szCs w:val="18"/>
        </w:rPr>
        <w:t>= 0.06). In conclusion, the combination of high soil Pb content, low CEC, and low rain pH increases leaching of Pb from shooting range soil.</w:t>
      </w:r>
    </w:p>
    <w:p w:rsidR="00D70887" w:rsidRDefault="00D70887" w:rsidP="00D70887">
      <w:pPr>
        <w:spacing w:after="0" w:line="240" w:lineRule="auto"/>
        <w:jc w:val="both"/>
        <w:rPr>
          <w:rFonts w:ascii="Times New Roman" w:hAnsi="Times New Roman"/>
          <w:b/>
          <w:sz w:val="18"/>
          <w:szCs w:val="18"/>
        </w:rPr>
      </w:pPr>
    </w:p>
    <w:p w:rsidR="00D70887" w:rsidRPr="00476C51" w:rsidRDefault="00D70887" w:rsidP="00D70887">
      <w:pPr>
        <w:spacing w:after="0" w:line="240" w:lineRule="auto"/>
        <w:jc w:val="both"/>
        <w:rPr>
          <w:rFonts w:ascii="Times New Roman" w:hAnsi="Times New Roman"/>
          <w:sz w:val="18"/>
          <w:szCs w:val="18"/>
        </w:rPr>
      </w:pPr>
      <w:r w:rsidRPr="000C7CD0">
        <w:rPr>
          <w:rFonts w:ascii="Times New Roman" w:hAnsi="Times New Roman"/>
          <w:b/>
          <w:sz w:val="18"/>
          <w:szCs w:val="18"/>
        </w:rPr>
        <w:t>Keywords</w:t>
      </w:r>
      <w:r w:rsidRPr="00476C51">
        <w:rPr>
          <w:rFonts w:ascii="Times New Roman" w:hAnsi="Times New Roman"/>
          <w:sz w:val="18"/>
          <w:szCs w:val="18"/>
        </w:rPr>
        <w:t xml:space="preserve">: </w:t>
      </w:r>
      <w:r>
        <w:rPr>
          <w:rFonts w:ascii="Times New Roman" w:hAnsi="Times New Roman"/>
          <w:sz w:val="18"/>
          <w:szCs w:val="18"/>
        </w:rPr>
        <w:t xml:space="preserve"> lead shots</w:t>
      </w:r>
      <w:r w:rsidRPr="00476C51">
        <w:rPr>
          <w:rFonts w:ascii="Times New Roman" w:hAnsi="Times New Roman"/>
          <w:sz w:val="18"/>
          <w:szCs w:val="18"/>
        </w:rPr>
        <w:t xml:space="preserve">, heavy metal, </w:t>
      </w:r>
      <w:r>
        <w:rPr>
          <w:rFonts w:ascii="Times New Roman" w:hAnsi="Times New Roman"/>
          <w:sz w:val="18"/>
          <w:szCs w:val="18"/>
        </w:rPr>
        <w:t>groundwater</w:t>
      </w:r>
      <w:r w:rsidRPr="00476C51">
        <w:rPr>
          <w:rFonts w:ascii="Times New Roman" w:hAnsi="Times New Roman"/>
          <w:sz w:val="18"/>
          <w:szCs w:val="18"/>
        </w:rPr>
        <w:t xml:space="preserve">, </w:t>
      </w:r>
      <w:r>
        <w:rPr>
          <w:rFonts w:ascii="Times New Roman" w:hAnsi="Times New Roman"/>
          <w:sz w:val="18"/>
          <w:szCs w:val="18"/>
        </w:rPr>
        <w:t>acid rain</w:t>
      </w:r>
      <w:r w:rsidRPr="00476C51">
        <w:rPr>
          <w:rFonts w:ascii="Times New Roman" w:hAnsi="Times New Roman"/>
          <w:sz w:val="18"/>
          <w:szCs w:val="18"/>
        </w:rPr>
        <w:t xml:space="preserve">, </w:t>
      </w:r>
      <w:r>
        <w:rPr>
          <w:rFonts w:ascii="Times New Roman" w:hAnsi="Times New Roman"/>
          <w:sz w:val="18"/>
          <w:szCs w:val="18"/>
        </w:rPr>
        <w:t>sorption</w:t>
      </w:r>
    </w:p>
    <w:p w:rsidR="00DD377F" w:rsidRDefault="00DD377F" w:rsidP="00AE713F">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D70887" w:rsidRPr="00AE4CF7" w:rsidRDefault="00D70887" w:rsidP="00D70887">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18"/>
          <w:szCs w:val="18"/>
        </w:rPr>
      </w:pPr>
      <w:r w:rsidRPr="00AE4CF7">
        <w:rPr>
          <w:rFonts w:ascii="Times New Roman" w:hAnsi="Times New Roman"/>
          <w:sz w:val="18"/>
          <w:szCs w:val="18"/>
        </w:rPr>
        <w:t xml:space="preserve">Larut lesap </w:t>
      </w:r>
      <w:r>
        <w:rPr>
          <w:rFonts w:ascii="Times New Roman" w:hAnsi="Times New Roman"/>
          <w:sz w:val="18"/>
          <w:szCs w:val="18"/>
        </w:rPr>
        <w:t xml:space="preserve">Pb daripada </w:t>
      </w:r>
      <w:r w:rsidRPr="00AE4CF7">
        <w:rPr>
          <w:rFonts w:ascii="Times New Roman" w:hAnsi="Times New Roman"/>
          <w:sz w:val="18"/>
          <w:szCs w:val="18"/>
        </w:rPr>
        <w:t xml:space="preserve">tanah </w:t>
      </w:r>
      <w:r>
        <w:rPr>
          <w:rFonts w:ascii="Times New Roman" w:hAnsi="Times New Roman"/>
          <w:sz w:val="18"/>
          <w:szCs w:val="18"/>
        </w:rPr>
        <w:t xml:space="preserve">lapang sasar </w:t>
      </w:r>
      <w:r w:rsidRPr="00AE4CF7">
        <w:rPr>
          <w:rFonts w:ascii="Times New Roman" w:hAnsi="Times New Roman"/>
          <w:sz w:val="18"/>
          <w:szCs w:val="18"/>
        </w:rPr>
        <w:t>boleh mencemarkan sumber air</w:t>
      </w:r>
      <w:r>
        <w:rPr>
          <w:rFonts w:ascii="Times New Roman" w:hAnsi="Times New Roman"/>
          <w:sz w:val="18"/>
          <w:szCs w:val="18"/>
        </w:rPr>
        <w:t xml:space="preserve"> </w:t>
      </w:r>
      <w:r w:rsidRPr="00AE4CF7">
        <w:rPr>
          <w:rFonts w:ascii="Times New Roman" w:hAnsi="Times New Roman"/>
          <w:sz w:val="18"/>
          <w:szCs w:val="18"/>
        </w:rPr>
        <w:t>jika nilai pH hujan menurun dan tanah mempunyai keupayaan pertukaran kation (CEC)</w:t>
      </w:r>
      <w:r>
        <w:rPr>
          <w:rFonts w:ascii="Times New Roman" w:hAnsi="Times New Roman"/>
          <w:sz w:val="18"/>
          <w:szCs w:val="18"/>
        </w:rPr>
        <w:t xml:space="preserve"> </w:t>
      </w:r>
      <w:r w:rsidRPr="00AE4CF7">
        <w:rPr>
          <w:rFonts w:ascii="Times New Roman" w:hAnsi="Times New Roman"/>
          <w:sz w:val="18"/>
          <w:szCs w:val="18"/>
        </w:rPr>
        <w:t xml:space="preserve">yang rendah. </w:t>
      </w:r>
      <w:r>
        <w:rPr>
          <w:rFonts w:ascii="Times New Roman" w:hAnsi="Times New Roman"/>
          <w:sz w:val="18"/>
          <w:szCs w:val="18"/>
        </w:rPr>
        <w:t>P</w:t>
      </w:r>
      <w:r w:rsidRPr="00AE4CF7">
        <w:rPr>
          <w:rFonts w:ascii="Times New Roman" w:hAnsi="Times New Roman"/>
          <w:sz w:val="18"/>
          <w:szCs w:val="18"/>
        </w:rPr>
        <w:t xml:space="preserve">endedahan Pb </w:t>
      </w:r>
      <w:r>
        <w:rPr>
          <w:rFonts w:ascii="Times New Roman" w:hAnsi="Times New Roman"/>
          <w:sz w:val="18"/>
          <w:szCs w:val="18"/>
        </w:rPr>
        <w:t xml:space="preserve">yang keterlaluan </w:t>
      </w:r>
      <w:r w:rsidRPr="00AE4CF7">
        <w:rPr>
          <w:rFonts w:ascii="Times New Roman" w:hAnsi="Times New Roman"/>
          <w:sz w:val="18"/>
          <w:szCs w:val="18"/>
        </w:rPr>
        <w:t xml:space="preserve">boleh menyebabkan kecederaan otak dan kematian. Dalam kajian ini, larut lesap Pb dari tanah </w:t>
      </w:r>
      <w:r>
        <w:rPr>
          <w:rFonts w:ascii="Times New Roman" w:hAnsi="Times New Roman"/>
          <w:sz w:val="18"/>
          <w:szCs w:val="18"/>
        </w:rPr>
        <w:t>lapang sasar</w:t>
      </w:r>
      <w:r w:rsidRPr="00AE4CF7">
        <w:rPr>
          <w:rFonts w:ascii="Times New Roman" w:hAnsi="Times New Roman"/>
          <w:sz w:val="18"/>
          <w:szCs w:val="18"/>
        </w:rPr>
        <w:t xml:space="preserve"> telah disimulasikan dengan ujian larut lesap</w:t>
      </w:r>
      <w:r>
        <w:rPr>
          <w:rFonts w:ascii="Times New Roman" w:hAnsi="Times New Roman"/>
          <w:sz w:val="18"/>
          <w:szCs w:val="18"/>
        </w:rPr>
        <w:t xml:space="preserve"> turus</w:t>
      </w:r>
      <w:r w:rsidRPr="00AE4CF7">
        <w:rPr>
          <w:rFonts w:ascii="Times New Roman" w:hAnsi="Times New Roman"/>
          <w:sz w:val="18"/>
          <w:szCs w:val="18"/>
        </w:rPr>
        <w:t xml:space="preserve"> menggunakan air hujan tiruan pada pH 4 </w:t>
      </w:r>
      <w:r>
        <w:rPr>
          <w:rFonts w:ascii="Times New Roman" w:hAnsi="Times New Roman"/>
          <w:sz w:val="18"/>
          <w:szCs w:val="18"/>
        </w:rPr>
        <w:t xml:space="preserve">dan </w:t>
      </w:r>
      <w:r w:rsidRPr="00AE4CF7">
        <w:rPr>
          <w:rFonts w:ascii="Times New Roman" w:hAnsi="Times New Roman"/>
          <w:sz w:val="18"/>
          <w:szCs w:val="18"/>
        </w:rPr>
        <w:t xml:space="preserve">7. </w:t>
      </w:r>
      <w:r>
        <w:rPr>
          <w:rFonts w:ascii="Times New Roman" w:hAnsi="Times New Roman"/>
          <w:sz w:val="18"/>
          <w:szCs w:val="18"/>
        </w:rPr>
        <w:t>Parameter tanah (</w:t>
      </w:r>
      <w:r w:rsidRPr="00AE4CF7">
        <w:rPr>
          <w:rFonts w:ascii="Times New Roman" w:hAnsi="Times New Roman"/>
          <w:sz w:val="18"/>
          <w:szCs w:val="18"/>
        </w:rPr>
        <w:t xml:space="preserve">iaitu, pH, </w:t>
      </w:r>
      <w:r>
        <w:rPr>
          <w:rFonts w:ascii="Times New Roman" w:hAnsi="Times New Roman"/>
          <w:sz w:val="18"/>
          <w:szCs w:val="18"/>
        </w:rPr>
        <w:t>jirim organik (</w:t>
      </w:r>
      <w:r w:rsidRPr="00AE4CF7">
        <w:rPr>
          <w:rFonts w:ascii="Times New Roman" w:hAnsi="Times New Roman"/>
          <w:sz w:val="18"/>
          <w:szCs w:val="18"/>
        </w:rPr>
        <w:t>OM</w:t>
      </w:r>
      <w:r>
        <w:rPr>
          <w:rFonts w:ascii="Times New Roman" w:hAnsi="Times New Roman"/>
          <w:sz w:val="18"/>
          <w:szCs w:val="18"/>
        </w:rPr>
        <w:t>)</w:t>
      </w:r>
      <w:r w:rsidRPr="00AE4CF7">
        <w:rPr>
          <w:rFonts w:ascii="Times New Roman" w:hAnsi="Times New Roman"/>
          <w:sz w:val="18"/>
          <w:szCs w:val="18"/>
        </w:rPr>
        <w:t xml:space="preserve">, dan CEC) telah ditentukan, dan </w:t>
      </w:r>
      <w:r>
        <w:rPr>
          <w:rFonts w:ascii="Times New Roman" w:hAnsi="Times New Roman"/>
          <w:sz w:val="18"/>
          <w:szCs w:val="18"/>
        </w:rPr>
        <w:t xml:space="preserve">dikaji </w:t>
      </w:r>
      <w:r w:rsidRPr="00AE4CF7">
        <w:rPr>
          <w:rFonts w:ascii="Times New Roman" w:hAnsi="Times New Roman"/>
          <w:sz w:val="18"/>
          <w:szCs w:val="18"/>
        </w:rPr>
        <w:t>korelasi</w:t>
      </w:r>
      <w:r>
        <w:rPr>
          <w:rFonts w:ascii="Times New Roman" w:hAnsi="Times New Roman"/>
          <w:sz w:val="18"/>
          <w:szCs w:val="18"/>
        </w:rPr>
        <w:t>nya</w:t>
      </w:r>
      <w:r w:rsidRPr="00AE4CF7">
        <w:rPr>
          <w:rFonts w:ascii="Times New Roman" w:hAnsi="Times New Roman"/>
          <w:sz w:val="18"/>
          <w:szCs w:val="18"/>
        </w:rPr>
        <w:t xml:space="preserve"> </w:t>
      </w:r>
      <w:r>
        <w:rPr>
          <w:rFonts w:ascii="Times New Roman" w:hAnsi="Times New Roman"/>
          <w:sz w:val="18"/>
          <w:szCs w:val="18"/>
        </w:rPr>
        <w:t>dengan</w:t>
      </w:r>
      <w:r w:rsidRPr="00AE4CF7">
        <w:rPr>
          <w:rFonts w:ascii="Times New Roman" w:hAnsi="Times New Roman"/>
          <w:sz w:val="18"/>
          <w:szCs w:val="18"/>
        </w:rPr>
        <w:t xml:space="preserve"> kepekatan Pb </w:t>
      </w:r>
      <w:r>
        <w:rPr>
          <w:rFonts w:ascii="Times New Roman" w:hAnsi="Times New Roman"/>
          <w:sz w:val="18"/>
          <w:szCs w:val="18"/>
        </w:rPr>
        <w:t>di dalam tanah dan larut resap</w:t>
      </w:r>
      <w:r w:rsidRPr="00AE4CF7">
        <w:rPr>
          <w:rFonts w:ascii="Times New Roman" w:hAnsi="Times New Roman"/>
          <w:sz w:val="18"/>
          <w:szCs w:val="18"/>
        </w:rPr>
        <w:t xml:space="preserve"> dengan menggunakan korelasi Pearson. </w:t>
      </w:r>
      <w:r>
        <w:rPr>
          <w:rFonts w:ascii="Times New Roman" w:hAnsi="Times New Roman"/>
          <w:sz w:val="18"/>
          <w:szCs w:val="18"/>
        </w:rPr>
        <w:t>Berbanding dengan tanah kawalan, kandungan Pb (12163 – 17278 mg/</w:t>
      </w:r>
      <w:r w:rsidRPr="00AE4CF7">
        <w:rPr>
          <w:rFonts w:ascii="Times New Roman" w:hAnsi="Times New Roman"/>
          <w:sz w:val="18"/>
          <w:szCs w:val="18"/>
        </w:rPr>
        <w:t>kg</w:t>
      </w:r>
      <w:r>
        <w:rPr>
          <w:rFonts w:ascii="Times New Roman" w:hAnsi="Times New Roman"/>
          <w:sz w:val="18"/>
          <w:szCs w:val="18"/>
        </w:rPr>
        <w:t>,</w:t>
      </w:r>
      <w:r w:rsidRPr="00AE4CF7">
        <w:rPr>
          <w:rFonts w:ascii="Times New Roman" w:hAnsi="Times New Roman"/>
          <w:sz w:val="18"/>
          <w:szCs w:val="18"/>
        </w:rPr>
        <w:t xml:space="preserve"> secara berat kering) </w:t>
      </w:r>
      <w:r>
        <w:rPr>
          <w:rFonts w:ascii="Times New Roman" w:hAnsi="Times New Roman"/>
          <w:sz w:val="18"/>
          <w:szCs w:val="18"/>
        </w:rPr>
        <w:t xml:space="preserve">dan pasir </w:t>
      </w:r>
      <w:r w:rsidRPr="00AE4CF7">
        <w:rPr>
          <w:rFonts w:ascii="Times New Roman" w:hAnsi="Times New Roman"/>
          <w:sz w:val="18"/>
          <w:szCs w:val="18"/>
        </w:rPr>
        <w:t>(64</w:t>
      </w:r>
      <w:r>
        <w:rPr>
          <w:rFonts w:ascii="Times New Roman" w:hAnsi="Times New Roman"/>
          <w:sz w:val="18"/>
          <w:szCs w:val="18"/>
        </w:rPr>
        <w:t xml:space="preserve"> – </w:t>
      </w:r>
      <w:r w:rsidRPr="00AE4CF7">
        <w:rPr>
          <w:rFonts w:ascii="Times New Roman" w:hAnsi="Times New Roman"/>
          <w:sz w:val="18"/>
          <w:szCs w:val="18"/>
        </w:rPr>
        <w:t>68</w:t>
      </w:r>
      <w:r>
        <w:rPr>
          <w:rFonts w:ascii="Times New Roman" w:hAnsi="Times New Roman"/>
          <w:sz w:val="18"/>
          <w:szCs w:val="18"/>
        </w:rPr>
        <w:t xml:space="preserve"> </w:t>
      </w:r>
      <w:r w:rsidRPr="00AE4CF7">
        <w:rPr>
          <w:rFonts w:ascii="Times New Roman" w:hAnsi="Times New Roman"/>
          <w:sz w:val="18"/>
          <w:szCs w:val="18"/>
        </w:rPr>
        <w:t>%)</w:t>
      </w:r>
      <w:r>
        <w:rPr>
          <w:rFonts w:ascii="Times New Roman" w:hAnsi="Times New Roman"/>
          <w:sz w:val="18"/>
          <w:szCs w:val="18"/>
        </w:rPr>
        <w:t xml:space="preserve"> pada </w:t>
      </w:r>
      <w:r w:rsidRPr="00AE4CF7">
        <w:rPr>
          <w:rFonts w:ascii="Times New Roman" w:hAnsi="Times New Roman"/>
          <w:sz w:val="18"/>
          <w:szCs w:val="18"/>
        </w:rPr>
        <w:t xml:space="preserve">tanah </w:t>
      </w:r>
      <w:r>
        <w:rPr>
          <w:rFonts w:ascii="Times New Roman" w:hAnsi="Times New Roman"/>
          <w:sz w:val="18"/>
          <w:szCs w:val="18"/>
        </w:rPr>
        <w:t>lapang sasar adalah lebih tinggi</w:t>
      </w:r>
      <w:r w:rsidRPr="00AE4CF7">
        <w:rPr>
          <w:rFonts w:ascii="Times New Roman" w:hAnsi="Times New Roman"/>
          <w:sz w:val="18"/>
          <w:szCs w:val="18"/>
        </w:rPr>
        <w:t>. Nilai C</w:t>
      </w:r>
      <w:r>
        <w:rPr>
          <w:rFonts w:ascii="Times New Roman" w:hAnsi="Times New Roman"/>
          <w:sz w:val="18"/>
          <w:szCs w:val="18"/>
        </w:rPr>
        <w:t>EC tanah lapang sasar (193 cmol/</w:t>
      </w:r>
      <w:r w:rsidRPr="00AE4CF7">
        <w:rPr>
          <w:rFonts w:ascii="Times New Roman" w:hAnsi="Times New Roman"/>
          <w:sz w:val="18"/>
          <w:szCs w:val="18"/>
        </w:rPr>
        <w:t xml:space="preserve">kg pada pH 7) adalah lebih rendah daripada </w:t>
      </w:r>
      <w:r>
        <w:rPr>
          <w:rFonts w:ascii="Times New Roman" w:hAnsi="Times New Roman"/>
          <w:sz w:val="18"/>
          <w:szCs w:val="18"/>
        </w:rPr>
        <w:t>tanah kawalan (85 – 140 cmol/</w:t>
      </w:r>
      <w:r w:rsidRPr="00AE4CF7">
        <w:rPr>
          <w:rFonts w:ascii="Times New Roman" w:hAnsi="Times New Roman"/>
          <w:sz w:val="18"/>
          <w:szCs w:val="18"/>
        </w:rPr>
        <w:t>kg pada pH 7), mungkin disebabkan oleh ka</w:t>
      </w:r>
      <w:r>
        <w:rPr>
          <w:rFonts w:ascii="Times New Roman" w:hAnsi="Times New Roman"/>
          <w:sz w:val="18"/>
          <w:szCs w:val="18"/>
        </w:rPr>
        <w:t>ndungan rendah tanah liat dan jirim organik</w:t>
      </w:r>
      <w:r w:rsidRPr="00AE4CF7">
        <w:rPr>
          <w:rFonts w:ascii="Times New Roman" w:hAnsi="Times New Roman"/>
          <w:sz w:val="18"/>
          <w:szCs w:val="18"/>
        </w:rPr>
        <w:t xml:space="preserve">. Terdapat hubungan yang positif antara </w:t>
      </w:r>
      <w:r>
        <w:rPr>
          <w:rFonts w:ascii="Times New Roman" w:hAnsi="Times New Roman"/>
          <w:sz w:val="18"/>
          <w:szCs w:val="18"/>
        </w:rPr>
        <w:t xml:space="preserve">pasangan pemboleh ubah </w:t>
      </w:r>
      <w:r w:rsidRPr="00381055">
        <w:rPr>
          <w:rFonts w:ascii="Times New Roman" w:hAnsi="Times New Roman"/>
          <w:sz w:val="18"/>
          <w:szCs w:val="18"/>
        </w:rPr>
        <w:t>Pb tanah dan Pb larut lesap</w:t>
      </w:r>
      <w:r>
        <w:rPr>
          <w:rFonts w:ascii="Times New Roman" w:hAnsi="Times New Roman"/>
          <w:sz w:val="18"/>
          <w:szCs w:val="18"/>
        </w:rPr>
        <w:t xml:space="preserve"> (</w:t>
      </w:r>
      <w:r w:rsidRPr="00D0486B">
        <w:rPr>
          <w:rFonts w:ascii="Times New Roman" w:hAnsi="Times New Roman"/>
          <w:i/>
          <w:sz w:val="18"/>
          <w:szCs w:val="18"/>
        </w:rPr>
        <w:t>r</w:t>
      </w:r>
      <w:r>
        <w:rPr>
          <w:rFonts w:ascii="Times New Roman" w:hAnsi="Times New Roman"/>
          <w:i/>
          <w:sz w:val="18"/>
          <w:szCs w:val="18"/>
        </w:rPr>
        <w:t xml:space="preserve"> </w:t>
      </w:r>
      <w:r w:rsidRPr="00AE4CF7">
        <w:rPr>
          <w:rFonts w:ascii="Times New Roman" w:hAnsi="Times New Roman"/>
          <w:sz w:val="18"/>
          <w:szCs w:val="18"/>
        </w:rPr>
        <w:t xml:space="preserve">= 0.94; </w:t>
      </w:r>
      <w:r w:rsidRPr="00D0486B">
        <w:rPr>
          <w:rFonts w:ascii="Times New Roman" w:hAnsi="Times New Roman"/>
          <w:i/>
          <w:sz w:val="18"/>
          <w:szCs w:val="18"/>
        </w:rPr>
        <w:t>p</w:t>
      </w:r>
      <w:r>
        <w:rPr>
          <w:rFonts w:ascii="Times New Roman" w:hAnsi="Times New Roman"/>
          <w:i/>
          <w:sz w:val="18"/>
          <w:szCs w:val="18"/>
        </w:rPr>
        <w:t xml:space="preserve"> </w:t>
      </w:r>
      <w:r w:rsidRPr="00AE4CF7">
        <w:rPr>
          <w:rFonts w:ascii="Times New Roman" w:hAnsi="Times New Roman"/>
          <w:sz w:val="18"/>
          <w:szCs w:val="18"/>
        </w:rPr>
        <w:t xml:space="preserve">= 0.06); manakala </w:t>
      </w:r>
      <w:r>
        <w:rPr>
          <w:rFonts w:ascii="Times New Roman" w:hAnsi="Times New Roman"/>
          <w:sz w:val="18"/>
          <w:szCs w:val="18"/>
        </w:rPr>
        <w:t xml:space="preserve">pasangan pemboleh </w:t>
      </w:r>
      <w:r w:rsidRPr="00381055">
        <w:rPr>
          <w:rFonts w:ascii="Times New Roman" w:hAnsi="Times New Roman"/>
          <w:sz w:val="18"/>
          <w:szCs w:val="18"/>
        </w:rPr>
        <w:t xml:space="preserve">ubah jirim </w:t>
      </w:r>
      <w:r>
        <w:rPr>
          <w:rFonts w:ascii="Times New Roman" w:hAnsi="Times New Roman"/>
          <w:sz w:val="18"/>
          <w:szCs w:val="18"/>
        </w:rPr>
        <w:t>organik</w:t>
      </w:r>
      <w:r w:rsidRPr="00381055">
        <w:rPr>
          <w:rFonts w:ascii="Times New Roman" w:hAnsi="Times New Roman"/>
          <w:sz w:val="18"/>
          <w:szCs w:val="18"/>
        </w:rPr>
        <w:t xml:space="preserve"> tanah</w:t>
      </w:r>
      <w:r>
        <w:rPr>
          <w:rFonts w:ascii="Times New Roman" w:hAnsi="Times New Roman"/>
          <w:sz w:val="18"/>
          <w:szCs w:val="18"/>
        </w:rPr>
        <w:t xml:space="preserve"> dan </w:t>
      </w:r>
      <w:r w:rsidRPr="00381055">
        <w:rPr>
          <w:rFonts w:ascii="Times New Roman" w:hAnsi="Times New Roman"/>
          <w:sz w:val="18"/>
          <w:szCs w:val="18"/>
        </w:rPr>
        <w:t>Pb</w:t>
      </w:r>
      <w:r>
        <w:rPr>
          <w:rFonts w:ascii="Times New Roman" w:hAnsi="Times New Roman"/>
          <w:sz w:val="18"/>
          <w:szCs w:val="18"/>
        </w:rPr>
        <w:t xml:space="preserve"> larut lesap mempunyai korelasi negatif (</w:t>
      </w:r>
      <w:r w:rsidRPr="00AF20E1">
        <w:rPr>
          <w:rFonts w:ascii="Times New Roman" w:hAnsi="Times New Roman"/>
          <w:i/>
          <w:sz w:val="18"/>
          <w:szCs w:val="18"/>
        </w:rPr>
        <w:t>r</w:t>
      </w:r>
      <w:r>
        <w:rPr>
          <w:rFonts w:ascii="Times New Roman" w:hAnsi="Times New Roman"/>
          <w:i/>
          <w:sz w:val="18"/>
          <w:szCs w:val="18"/>
        </w:rPr>
        <w:t xml:space="preserve"> </w:t>
      </w:r>
      <w:r w:rsidRPr="00AE4CF7">
        <w:rPr>
          <w:rFonts w:ascii="Times New Roman" w:hAnsi="Times New Roman"/>
          <w:sz w:val="18"/>
          <w:szCs w:val="18"/>
        </w:rPr>
        <w:t xml:space="preserve">= -0,94; </w:t>
      </w:r>
      <w:r w:rsidRPr="00AF20E1">
        <w:rPr>
          <w:rFonts w:ascii="Times New Roman" w:hAnsi="Times New Roman"/>
          <w:i/>
          <w:sz w:val="18"/>
          <w:szCs w:val="18"/>
        </w:rPr>
        <w:t>p</w:t>
      </w:r>
      <w:r>
        <w:rPr>
          <w:rFonts w:ascii="Times New Roman" w:hAnsi="Times New Roman"/>
          <w:i/>
          <w:sz w:val="18"/>
          <w:szCs w:val="18"/>
        </w:rPr>
        <w:t xml:space="preserve"> </w:t>
      </w:r>
      <w:r w:rsidRPr="00AE4CF7">
        <w:rPr>
          <w:rFonts w:ascii="Times New Roman" w:hAnsi="Times New Roman"/>
          <w:sz w:val="18"/>
          <w:szCs w:val="18"/>
        </w:rPr>
        <w:t xml:space="preserve">= 0.06). Kesimpulannya, gabungan </w:t>
      </w:r>
      <w:r>
        <w:rPr>
          <w:rFonts w:ascii="Times New Roman" w:hAnsi="Times New Roman"/>
          <w:sz w:val="18"/>
          <w:szCs w:val="18"/>
        </w:rPr>
        <w:t xml:space="preserve">faktor-faktor seperti </w:t>
      </w:r>
      <w:r w:rsidRPr="00AE4CF7">
        <w:rPr>
          <w:rFonts w:ascii="Times New Roman" w:hAnsi="Times New Roman"/>
          <w:sz w:val="18"/>
          <w:szCs w:val="18"/>
        </w:rPr>
        <w:t>kandungan Pb</w:t>
      </w:r>
      <w:r>
        <w:rPr>
          <w:rFonts w:ascii="Times New Roman" w:hAnsi="Times New Roman"/>
          <w:sz w:val="18"/>
          <w:szCs w:val="18"/>
        </w:rPr>
        <w:t xml:space="preserve"> yang tinggi di dalam tanah</w:t>
      </w:r>
      <w:r w:rsidRPr="00AE4CF7">
        <w:rPr>
          <w:rFonts w:ascii="Times New Roman" w:hAnsi="Times New Roman"/>
          <w:sz w:val="18"/>
          <w:szCs w:val="18"/>
        </w:rPr>
        <w:t xml:space="preserve">, </w:t>
      </w:r>
      <w:r>
        <w:rPr>
          <w:rFonts w:ascii="Times New Roman" w:hAnsi="Times New Roman"/>
          <w:sz w:val="18"/>
          <w:szCs w:val="18"/>
        </w:rPr>
        <w:t xml:space="preserve">nilai </w:t>
      </w:r>
      <w:r w:rsidRPr="00AE4CF7">
        <w:rPr>
          <w:rFonts w:ascii="Times New Roman" w:hAnsi="Times New Roman"/>
          <w:sz w:val="18"/>
          <w:szCs w:val="18"/>
        </w:rPr>
        <w:t xml:space="preserve">CEC </w:t>
      </w:r>
      <w:r>
        <w:rPr>
          <w:rFonts w:ascii="Times New Roman" w:hAnsi="Times New Roman"/>
          <w:sz w:val="18"/>
          <w:szCs w:val="18"/>
        </w:rPr>
        <w:t xml:space="preserve">tanah yang rendah </w:t>
      </w:r>
      <w:r w:rsidRPr="00AE4CF7">
        <w:rPr>
          <w:rFonts w:ascii="Times New Roman" w:hAnsi="Times New Roman"/>
          <w:sz w:val="18"/>
          <w:szCs w:val="18"/>
        </w:rPr>
        <w:t xml:space="preserve">dan nilai pH hujan </w:t>
      </w:r>
      <w:r>
        <w:rPr>
          <w:rFonts w:ascii="Times New Roman" w:hAnsi="Times New Roman"/>
          <w:sz w:val="18"/>
          <w:szCs w:val="18"/>
        </w:rPr>
        <w:t xml:space="preserve">yang </w:t>
      </w:r>
      <w:r w:rsidRPr="00AE4CF7">
        <w:rPr>
          <w:rFonts w:ascii="Times New Roman" w:hAnsi="Times New Roman"/>
          <w:sz w:val="18"/>
          <w:szCs w:val="18"/>
        </w:rPr>
        <w:t xml:space="preserve">rendah </w:t>
      </w:r>
      <w:r>
        <w:rPr>
          <w:rFonts w:ascii="Times New Roman" w:hAnsi="Times New Roman"/>
          <w:sz w:val="18"/>
          <w:szCs w:val="18"/>
        </w:rPr>
        <w:t xml:space="preserve">boleh </w:t>
      </w:r>
      <w:r w:rsidRPr="00AE4CF7">
        <w:rPr>
          <w:rFonts w:ascii="Times New Roman" w:hAnsi="Times New Roman"/>
          <w:sz w:val="18"/>
          <w:szCs w:val="18"/>
        </w:rPr>
        <w:t>meningkatkan risiko larut lesap Pb dari tanah lapang sasar.</w:t>
      </w:r>
    </w:p>
    <w:p w:rsidR="00D70887" w:rsidRPr="00114E1A" w:rsidRDefault="00D70887" w:rsidP="00D70887">
      <w:pPr>
        <w:shd w:val="clear" w:color="auto" w:fill="FFFFFF"/>
        <w:spacing w:after="0" w:line="240" w:lineRule="auto"/>
        <w:jc w:val="both"/>
        <w:rPr>
          <w:rFonts w:ascii="Times New Roman" w:hAnsi="Times New Roman"/>
          <w:sz w:val="18"/>
          <w:szCs w:val="18"/>
          <w:lang w:val="en-MY" w:eastAsia="en-MY"/>
        </w:rPr>
      </w:pPr>
    </w:p>
    <w:p w:rsidR="006768E9" w:rsidRPr="00D70887" w:rsidRDefault="00D70887" w:rsidP="00D70887">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18"/>
          <w:szCs w:val="18"/>
        </w:rPr>
      </w:pPr>
      <w:r w:rsidRPr="00114E1A">
        <w:rPr>
          <w:rFonts w:ascii="Times New Roman" w:hAnsi="Times New Roman" w:cs="Times New Roman"/>
          <w:b/>
          <w:sz w:val="18"/>
          <w:szCs w:val="18"/>
        </w:rPr>
        <w:t>Kata kunci</w:t>
      </w:r>
      <w:r w:rsidRPr="00114E1A">
        <w:rPr>
          <w:rFonts w:ascii="Times New Roman" w:hAnsi="Times New Roman" w:cs="Times New Roman"/>
          <w:sz w:val="18"/>
          <w:szCs w:val="18"/>
        </w:rPr>
        <w:t xml:space="preserve">: </w:t>
      </w:r>
      <w:r>
        <w:rPr>
          <w:rFonts w:ascii="Times New Roman" w:hAnsi="Times New Roman" w:cs="Times New Roman"/>
          <w:sz w:val="18"/>
          <w:szCs w:val="18"/>
        </w:rPr>
        <w:t>peluru plumbum</w:t>
      </w:r>
      <w:r w:rsidRPr="00114E1A">
        <w:rPr>
          <w:rFonts w:ascii="Times New Roman" w:hAnsi="Times New Roman" w:cs="Times New Roman"/>
          <w:sz w:val="18"/>
          <w:szCs w:val="18"/>
        </w:rPr>
        <w:t xml:space="preserve">, logam berat, </w:t>
      </w:r>
      <w:r>
        <w:rPr>
          <w:rFonts w:ascii="Times New Roman" w:hAnsi="Times New Roman" w:cs="Times New Roman"/>
          <w:sz w:val="18"/>
          <w:szCs w:val="18"/>
        </w:rPr>
        <w:t>air bawah tanah</w:t>
      </w:r>
      <w:r w:rsidRPr="00114E1A">
        <w:rPr>
          <w:rFonts w:ascii="Times New Roman" w:hAnsi="Times New Roman" w:cs="Times New Roman"/>
          <w:sz w:val="18"/>
          <w:szCs w:val="18"/>
        </w:rPr>
        <w:t xml:space="preserve">, </w:t>
      </w:r>
      <w:r>
        <w:rPr>
          <w:rFonts w:ascii="Times New Roman" w:hAnsi="Times New Roman" w:cs="Times New Roman"/>
          <w:sz w:val="18"/>
          <w:szCs w:val="18"/>
        </w:rPr>
        <w:t>hujan berasid</w:t>
      </w:r>
      <w:r w:rsidRPr="00114E1A">
        <w:rPr>
          <w:rFonts w:ascii="Times New Roman" w:hAnsi="Times New Roman" w:cs="Times New Roman"/>
          <w:sz w:val="18"/>
          <w:szCs w:val="18"/>
        </w:rPr>
        <w:t>, jerapan</w:t>
      </w: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D70887" w:rsidRPr="00D34FED" w:rsidRDefault="00D70887" w:rsidP="00D70887">
      <w:pPr>
        <w:pStyle w:val="Default"/>
        <w:jc w:val="both"/>
        <w:rPr>
          <w:sz w:val="20"/>
          <w:szCs w:val="20"/>
        </w:rPr>
      </w:pPr>
      <w:r w:rsidRPr="00D34FED">
        <w:rPr>
          <w:sz w:val="20"/>
          <w:szCs w:val="20"/>
        </w:rPr>
        <w:t xml:space="preserve">Soils are reservoirs for many harmful </w:t>
      </w:r>
      <w:r>
        <w:rPr>
          <w:sz w:val="20"/>
          <w:szCs w:val="20"/>
        </w:rPr>
        <w:t>heavy metal</w:t>
      </w:r>
      <w:r w:rsidRPr="0038508C">
        <w:rPr>
          <w:sz w:val="20"/>
          <w:szCs w:val="20"/>
        </w:rPr>
        <w:t xml:space="preserve"> </w:t>
      </w:r>
      <w:r>
        <w:rPr>
          <w:sz w:val="20"/>
          <w:szCs w:val="20"/>
        </w:rPr>
        <w:t>pollutants, such as</w:t>
      </w:r>
      <w:r w:rsidRPr="00D34FED">
        <w:rPr>
          <w:sz w:val="20"/>
          <w:szCs w:val="20"/>
        </w:rPr>
        <w:t xml:space="preserve"> copper, lead, cadmium, aluminium, </w:t>
      </w:r>
      <w:r>
        <w:rPr>
          <w:sz w:val="20"/>
          <w:szCs w:val="20"/>
        </w:rPr>
        <w:t xml:space="preserve">and </w:t>
      </w:r>
      <w:r w:rsidRPr="00D34FED">
        <w:rPr>
          <w:sz w:val="20"/>
          <w:szCs w:val="20"/>
        </w:rPr>
        <w:t>etc. These metals are released by anthropogenic activities such as mining, s</w:t>
      </w:r>
      <w:r>
        <w:rPr>
          <w:sz w:val="20"/>
          <w:szCs w:val="20"/>
        </w:rPr>
        <w:t>melting, traffic emission and</w:t>
      </w:r>
      <w:r w:rsidRPr="00D34FED">
        <w:rPr>
          <w:sz w:val="20"/>
          <w:szCs w:val="20"/>
        </w:rPr>
        <w:t xml:space="preserve"> firearm shooting</w:t>
      </w:r>
      <w:r w:rsidRPr="000B2DB9">
        <w:rPr>
          <w:color w:val="auto"/>
          <w:sz w:val="20"/>
          <w:szCs w:val="20"/>
        </w:rPr>
        <w:t xml:space="preserve">. </w:t>
      </w:r>
      <w:r>
        <w:rPr>
          <w:sz w:val="20"/>
          <w:szCs w:val="20"/>
        </w:rPr>
        <w:t>Bullet</w:t>
      </w:r>
      <w:r w:rsidRPr="00D34FED">
        <w:rPr>
          <w:sz w:val="20"/>
          <w:szCs w:val="20"/>
        </w:rPr>
        <w:t xml:space="preserve"> contains lead (90</w:t>
      </w:r>
      <w:r>
        <w:rPr>
          <w:sz w:val="20"/>
          <w:szCs w:val="20"/>
        </w:rPr>
        <w:t xml:space="preserve"> – </w:t>
      </w:r>
      <w:r w:rsidRPr="00D34FED">
        <w:rPr>
          <w:sz w:val="20"/>
          <w:szCs w:val="20"/>
        </w:rPr>
        <w:t>99</w:t>
      </w:r>
      <w:r>
        <w:rPr>
          <w:sz w:val="20"/>
          <w:szCs w:val="20"/>
        </w:rPr>
        <w:t xml:space="preserve"> </w:t>
      </w:r>
      <w:r w:rsidRPr="00D34FED">
        <w:rPr>
          <w:sz w:val="20"/>
          <w:szCs w:val="20"/>
        </w:rPr>
        <w:t>%), antimony (1</w:t>
      </w:r>
      <w:r>
        <w:rPr>
          <w:sz w:val="20"/>
          <w:szCs w:val="20"/>
        </w:rPr>
        <w:t xml:space="preserve"> – </w:t>
      </w:r>
      <w:r w:rsidRPr="00D34FED">
        <w:rPr>
          <w:sz w:val="20"/>
          <w:szCs w:val="20"/>
        </w:rPr>
        <w:t>10.5</w:t>
      </w:r>
      <w:r>
        <w:rPr>
          <w:sz w:val="20"/>
          <w:szCs w:val="20"/>
        </w:rPr>
        <w:t xml:space="preserve"> </w:t>
      </w:r>
      <w:r w:rsidRPr="00D34FED">
        <w:rPr>
          <w:sz w:val="20"/>
          <w:szCs w:val="20"/>
        </w:rPr>
        <w:t>%), and copper (0.1</w:t>
      </w:r>
      <w:r>
        <w:rPr>
          <w:sz w:val="20"/>
          <w:szCs w:val="20"/>
        </w:rPr>
        <w:t xml:space="preserve"> </w:t>
      </w:r>
      <w:r w:rsidRPr="00D34FED">
        <w:rPr>
          <w:sz w:val="20"/>
          <w:szCs w:val="20"/>
        </w:rPr>
        <w:t>%)</w:t>
      </w:r>
      <w:r>
        <w:rPr>
          <w:sz w:val="20"/>
          <w:szCs w:val="20"/>
        </w:rPr>
        <w:t xml:space="preserve"> may be</w:t>
      </w:r>
      <w:r w:rsidRPr="00D34FED">
        <w:rPr>
          <w:sz w:val="20"/>
          <w:szCs w:val="20"/>
        </w:rPr>
        <w:t xml:space="preserve"> </w:t>
      </w:r>
      <w:r>
        <w:rPr>
          <w:sz w:val="20"/>
          <w:szCs w:val="20"/>
        </w:rPr>
        <w:t>a point source</w:t>
      </w:r>
      <w:r w:rsidRPr="00D34FED">
        <w:rPr>
          <w:sz w:val="20"/>
          <w:szCs w:val="20"/>
        </w:rPr>
        <w:t xml:space="preserve"> </w:t>
      </w:r>
      <w:r>
        <w:rPr>
          <w:sz w:val="20"/>
          <w:szCs w:val="20"/>
        </w:rPr>
        <w:t>for</w:t>
      </w:r>
      <w:r w:rsidRPr="00D34FED">
        <w:rPr>
          <w:sz w:val="20"/>
          <w:szCs w:val="20"/>
        </w:rPr>
        <w:t xml:space="preserve"> lead </w:t>
      </w:r>
      <w:r>
        <w:rPr>
          <w:sz w:val="20"/>
          <w:szCs w:val="20"/>
        </w:rPr>
        <w:t xml:space="preserve">contamination in the shooting range </w:t>
      </w:r>
      <w:r>
        <w:rPr>
          <w:sz w:val="20"/>
          <w:szCs w:val="20"/>
        </w:rPr>
        <w:fldChar w:fldCharType="begin"/>
      </w:r>
      <w:r>
        <w:rPr>
          <w:sz w:val="20"/>
          <w:szCs w:val="20"/>
        </w:rPr>
        <w:instrText xml:space="preserve"> ADDIN EN.CITE &lt;EndNote&gt;&lt;Cite&gt;&lt;Author&gt;Clausen&lt;/Author&gt;&lt;Year&gt;2011&lt;/Year&gt;&lt;RecNum&gt;3141&lt;/RecNum&gt;&lt;DisplayText&gt;[1]&lt;/DisplayText&gt;&lt;record&gt;&lt;rec-number&gt;3141&lt;/rec-number&gt;&lt;foreign-keys&gt;&lt;key app="EN" db-id="sr0twxwzpw9azuefz59vrzalex2r5r0e005r"&gt;3141&lt;/key&gt;&lt;/foreign-keys&gt;&lt;ref-type name="Journal Article"&gt;17&lt;/ref-type&gt;&lt;contributors&gt;&lt;authors&gt;&lt;author&gt;Clausen, JL&lt;/author&gt;&lt;author&gt;Bostick, B&lt;/author&gt;&lt;author&gt;Korte, N&lt;/author&gt;&lt;/authors&gt;&lt;/contributors&gt;&lt;titles&gt;&lt;title&gt;Migration of lead in surface water, pore water, and groundwater with a focus on firing ranges&lt;/title&gt;&lt;secondary-title&gt;Critical Reviews in Environmental Science and Technology&lt;/secondary-title&gt;&lt;/titles&gt;&lt;periodical&gt;&lt;full-title&gt;Critical Reviews in Environmental Science and Technology&lt;/full-title&gt;&lt;/periodical&gt;&lt;pages&gt;1397-1448&lt;/pages&gt;&lt;volume&gt;41&lt;/volume&gt;&lt;number&gt;15&lt;/number&gt;&lt;dates&gt;&lt;year&gt;2011&lt;/year&gt;&lt;/dates&gt;&lt;publisher&gt;Taylor &amp;amp; Francis&lt;/publisher&gt;&lt;isbn&gt;1064-3389&lt;/isbn&gt;&lt;urls&gt;&lt;/urls&gt;&lt;/record&gt;&lt;/Cite&gt;&lt;/EndNote&gt;</w:instrText>
      </w:r>
      <w:r>
        <w:rPr>
          <w:sz w:val="20"/>
          <w:szCs w:val="20"/>
        </w:rPr>
        <w:fldChar w:fldCharType="separate"/>
      </w:r>
      <w:r>
        <w:rPr>
          <w:noProof/>
          <w:sz w:val="20"/>
          <w:szCs w:val="20"/>
        </w:rPr>
        <w:t>[1]</w:t>
      </w:r>
      <w:r>
        <w:rPr>
          <w:sz w:val="20"/>
          <w:szCs w:val="20"/>
        </w:rPr>
        <w:fldChar w:fldCharType="end"/>
      </w:r>
      <w:r w:rsidRPr="00D34FED">
        <w:rPr>
          <w:sz w:val="20"/>
          <w:szCs w:val="20"/>
        </w:rPr>
        <w:t xml:space="preserve">. </w:t>
      </w:r>
      <w:r>
        <w:rPr>
          <w:sz w:val="20"/>
          <w:szCs w:val="20"/>
        </w:rPr>
        <w:t>T</w:t>
      </w:r>
      <w:r w:rsidRPr="00D34FED">
        <w:rPr>
          <w:sz w:val="20"/>
          <w:szCs w:val="20"/>
        </w:rPr>
        <w:t xml:space="preserve">otal lead concentration in shooting range soils </w:t>
      </w:r>
      <w:r>
        <w:rPr>
          <w:sz w:val="20"/>
          <w:szCs w:val="20"/>
        </w:rPr>
        <w:t>may be as high as</w:t>
      </w:r>
      <w:r w:rsidRPr="00D34FED">
        <w:rPr>
          <w:sz w:val="20"/>
          <w:szCs w:val="20"/>
        </w:rPr>
        <w:t xml:space="preserve"> 54,000 mg/kg</w:t>
      </w:r>
      <w:r>
        <w:rPr>
          <w:sz w:val="20"/>
          <w:szCs w:val="20"/>
        </w:rPr>
        <w:t xml:space="preserve"> </w:t>
      </w:r>
      <w:r>
        <w:rPr>
          <w:sz w:val="20"/>
          <w:szCs w:val="20"/>
        </w:rPr>
        <w:fldChar w:fldCharType="begin"/>
      </w:r>
      <w:r>
        <w:rPr>
          <w:sz w:val="20"/>
          <w:szCs w:val="20"/>
        </w:rPr>
        <w:instrText xml:space="preserve"> ADDIN EN.CITE &lt;EndNote&gt;&lt;Cite&gt;&lt;Author&gt;Hardison Jr&lt;/Author&gt;&lt;Year&gt;2004&lt;/Year&gt;&lt;RecNum&gt;2951&lt;/RecNum&gt;&lt;DisplayText&gt;[2]&lt;/DisplayText&gt;&lt;record&gt;&lt;rec-number&gt;2951&lt;/rec-number&gt;&lt;foreign-keys&gt;&lt;key app="EN" db-id="sr0twxwzpw9azuefz59vrzalex2r5r0e005r" timestamp="1406206349"&gt;2951&lt;/key&gt;&lt;/foreign-keys&gt;&lt;ref-type name="Journal Article"&gt;17&lt;/ref-type&gt;&lt;contributors&gt;&lt;authors&gt;&lt;author&gt;Hardison Jr, Donald W.&lt;/author&gt;&lt;author&gt;Ma, Lena Q.&lt;/author&gt;&lt;author&gt;Luongo, Thomas&lt;/author&gt;&lt;author&gt;Harris, Willie G.&lt;/author&gt;&lt;/authors&gt;&lt;/contributors&gt;&lt;titles&gt;&lt;title&gt;Lead contamination in shooting range soils from abrasion of lead bullets and subsequent weathering&lt;/title&gt;&lt;secondary-title&gt;Science of the Total Environment&lt;/secondary-title&gt;&lt;/titles&gt;&lt;periodical&gt;&lt;full-title&gt;Science of the Total Environment&lt;/full-title&gt;&lt;/periodical&gt;&lt;pages&gt;175-183&lt;/pages&gt;&lt;volume&gt;328&lt;/volume&gt;&lt;number&gt;1–3&lt;/number&gt;&lt;keywords&gt;&lt;keyword&gt;Metal contamination&lt;/keyword&gt;&lt;keyword&gt;Weathering&lt;/keyword&gt;&lt;keyword&gt;Shooting range&lt;/keyword&gt;&lt;keyword&gt;Lead&lt;/keyword&gt;&lt;keyword&gt;Hydrocerussite&lt;/keyword&gt;&lt;keyword&gt;Abrasion&lt;/keyword&gt;&lt;/keywords&gt;&lt;dates&gt;&lt;year&gt;2004&lt;/year&gt;&lt;/dates&gt;&lt;isbn&gt;0048-9697&lt;/isbn&gt;&lt;urls&gt;&lt;related-urls&gt;&lt;url&gt;http://www.sciencedirect.com/science/article/pii/S0048969704000713&lt;/url&gt;&lt;/related-urls&gt;&lt;/urls&gt;&lt;electronic-resource-num&gt;http://dx.doi.org/10.1016/j.scitotenv.2003.12.013&lt;/electronic-resource-num&gt;&lt;/record&gt;&lt;/Cite&gt;&lt;/EndNote&gt;</w:instrText>
      </w:r>
      <w:r>
        <w:rPr>
          <w:sz w:val="20"/>
          <w:szCs w:val="20"/>
        </w:rPr>
        <w:fldChar w:fldCharType="separate"/>
      </w:r>
      <w:r>
        <w:rPr>
          <w:noProof/>
          <w:sz w:val="20"/>
          <w:szCs w:val="20"/>
        </w:rPr>
        <w:t>[2]</w:t>
      </w:r>
      <w:r>
        <w:rPr>
          <w:sz w:val="20"/>
          <w:szCs w:val="20"/>
        </w:rPr>
        <w:fldChar w:fldCharType="end"/>
      </w:r>
      <w:r w:rsidRPr="00D34FED">
        <w:rPr>
          <w:sz w:val="20"/>
          <w:szCs w:val="20"/>
        </w:rPr>
        <w:t xml:space="preserve">. </w:t>
      </w:r>
      <w:r>
        <w:rPr>
          <w:sz w:val="20"/>
          <w:szCs w:val="20"/>
        </w:rPr>
        <w:t xml:space="preserve">Lead in </w:t>
      </w:r>
      <w:r w:rsidRPr="00D34FED">
        <w:rPr>
          <w:sz w:val="20"/>
          <w:szCs w:val="20"/>
        </w:rPr>
        <w:t xml:space="preserve">bullet is subjected </w:t>
      </w:r>
      <w:r>
        <w:rPr>
          <w:sz w:val="20"/>
          <w:szCs w:val="20"/>
        </w:rPr>
        <w:t>to</w:t>
      </w:r>
      <w:r w:rsidRPr="00D34FED">
        <w:rPr>
          <w:sz w:val="20"/>
          <w:szCs w:val="20"/>
        </w:rPr>
        <w:t xml:space="preserve"> weathering and </w:t>
      </w:r>
      <w:r>
        <w:rPr>
          <w:sz w:val="20"/>
          <w:szCs w:val="20"/>
        </w:rPr>
        <w:t xml:space="preserve">may </w:t>
      </w:r>
      <w:r w:rsidRPr="00D34FED">
        <w:rPr>
          <w:sz w:val="20"/>
          <w:szCs w:val="20"/>
        </w:rPr>
        <w:t>le</w:t>
      </w:r>
      <w:r>
        <w:rPr>
          <w:sz w:val="20"/>
          <w:szCs w:val="20"/>
        </w:rPr>
        <w:t>a</w:t>
      </w:r>
      <w:r w:rsidRPr="00D34FED">
        <w:rPr>
          <w:sz w:val="20"/>
          <w:szCs w:val="20"/>
        </w:rPr>
        <w:t>d to accumulation in soil</w:t>
      </w:r>
      <w:r>
        <w:rPr>
          <w:sz w:val="20"/>
          <w:szCs w:val="20"/>
        </w:rPr>
        <w:t xml:space="preserve"> </w:t>
      </w:r>
      <w:r>
        <w:rPr>
          <w:sz w:val="20"/>
          <w:szCs w:val="20"/>
        </w:rPr>
        <w:fldChar w:fldCharType="begin"/>
      </w:r>
      <w:r>
        <w:rPr>
          <w:sz w:val="20"/>
          <w:szCs w:val="20"/>
        </w:rPr>
        <w:instrText xml:space="preserve"> ADDIN EN.CITE &lt;EndNote&gt;&lt;Cite&gt;&lt;Author&gt;Cao&lt;/Author&gt;&lt;Year&gt;2003&lt;/Year&gt;&lt;RecNum&gt;3076&lt;/RecNum&gt;&lt;DisplayText&gt;[3]&lt;/DisplayText&gt;&lt;record&gt;&lt;rec-number&gt;3076&lt;/rec-number&gt;&lt;foreign-keys&gt;&lt;key app="EN" db-id="sr0twxwzpw9azuefz59vrzalex2r5r0e005r" timestamp="1433405997"&gt;3076&lt;/key&gt;&lt;/foreign-keys&gt;&lt;ref-type name="Journal Article"&gt;17&lt;/ref-type&gt;&lt;contributors&gt;&lt;authors&gt;&lt;author&gt;Cao, Xinde&lt;/author&gt;&lt;author&gt;Ma, Lena Q&lt;/author&gt;&lt;author&gt;Chen, Ming&lt;/author&gt;&lt;author&gt;Hardison, Donald W&lt;/author&gt;&lt;author&gt;Harris, Willie G&lt;/author&gt;&lt;/authors&gt;&lt;/contributors&gt;&lt;titles&gt;&lt;title&gt;Lead transformation and distribution in the soils of shooting ranges in Florida, USA&lt;/title&gt;&lt;secondary-title&gt;Science of the Total Environment&lt;/secondary-title&gt;&lt;/titles&gt;&lt;periodical&gt;&lt;full-title&gt;Science of the Total Environment&lt;/full-title&gt;&lt;/periodical&gt;&lt;pages&gt;179-189&lt;/pages&gt;&lt;volume&gt;307&lt;/volume&gt;&lt;number&gt;1&lt;/number&gt;&lt;dates&gt;&lt;year&gt;2003&lt;/year&gt;&lt;/dates&gt;&lt;publisher&gt;Elsevier&lt;/publisher&gt;&lt;isbn&gt;0048-9697&lt;/isbn&gt;&lt;urls&gt;&lt;/urls&gt;&lt;/record&gt;&lt;/Cite&gt;&lt;/EndNote&gt;</w:instrText>
      </w:r>
      <w:r>
        <w:rPr>
          <w:sz w:val="20"/>
          <w:szCs w:val="20"/>
        </w:rPr>
        <w:fldChar w:fldCharType="separate"/>
      </w:r>
      <w:r>
        <w:rPr>
          <w:noProof/>
          <w:sz w:val="20"/>
          <w:szCs w:val="20"/>
        </w:rPr>
        <w:t>[3]</w:t>
      </w:r>
      <w:r>
        <w:rPr>
          <w:sz w:val="20"/>
          <w:szCs w:val="20"/>
        </w:rPr>
        <w:fldChar w:fldCharType="end"/>
      </w:r>
      <w:r w:rsidRPr="00D34FED">
        <w:rPr>
          <w:sz w:val="20"/>
          <w:szCs w:val="20"/>
        </w:rPr>
        <w:t>.</w:t>
      </w:r>
      <w:r>
        <w:rPr>
          <w:sz w:val="20"/>
          <w:szCs w:val="20"/>
        </w:rPr>
        <w:t xml:space="preserve"> M</w:t>
      </w:r>
      <w:r w:rsidRPr="00D34FED">
        <w:rPr>
          <w:sz w:val="20"/>
          <w:szCs w:val="20"/>
        </w:rPr>
        <w:t xml:space="preserve">etallic lead </w:t>
      </w:r>
      <w:r>
        <w:rPr>
          <w:sz w:val="20"/>
          <w:szCs w:val="20"/>
        </w:rPr>
        <w:t>will be</w:t>
      </w:r>
      <w:r w:rsidRPr="00D34FED">
        <w:rPr>
          <w:sz w:val="20"/>
          <w:szCs w:val="20"/>
        </w:rPr>
        <w:t xml:space="preserve"> converted to hydrocerussite (Pb</w:t>
      </w:r>
      <w:r w:rsidRPr="00AE4CF7">
        <w:rPr>
          <w:sz w:val="20"/>
          <w:szCs w:val="20"/>
          <w:vertAlign w:val="subscript"/>
        </w:rPr>
        <w:t>3</w:t>
      </w:r>
      <w:r w:rsidRPr="00D34FED">
        <w:rPr>
          <w:sz w:val="20"/>
          <w:szCs w:val="20"/>
        </w:rPr>
        <w:t>(CO</w:t>
      </w:r>
      <w:r w:rsidRPr="00AE4CF7">
        <w:rPr>
          <w:sz w:val="20"/>
          <w:szCs w:val="20"/>
          <w:vertAlign w:val="subscript"/>
        </w:rPr>
        <w:t>3</w:t>
      </w:r>
      <w:r w:rsidRPr="00D34FED">
        <w:rPr>
          <w:sz w:val="20"/>
          <w:szCs w:val="20"/>
        </w:rPr>
        <w:t>)</w:t>
      </w:r>
      <w:r w:rsidRPr="00AE4CF7">
        <w:rPr>
          <w:sz w:val="20"/>
          <w:szCs w:val="20"/>
          <w:vertAlign w:val="subscript"/>
        </w:rPr>
        <w:t>2</w:t>
      </w:r>
      <w:r w:rsidRPr="00D34FED">
        <w:rPr>
          <w:sz w:val="20"/>
          <w:szCs w:val="20"/>
        </w:rPr>
        <w:t>(OH)</w:t>
      </w:r>
      <w:r w:rsidRPr="00AE4CF7">
        <w:rPr>
          <w:sz w:val="20"/>
          <w:szCs w:val="20"/>
          <w:vertAlign w:val="subscript"/>
        </w:rPr>
        <w:t>2</w:t>
      </w:r>
      <w:r w:rsidRPr="00D34FED">
        <w:rPr>
          <w:sz w:val="20"/>
          <w:szCs w:val="20"/>
        </w:rPr>
        <w:t>), cerussite (PbCO</w:t>
      </w:r>
      <w:r w:rsidRPr="00AE4CF7">
        <w:rPr>
          <w:sz w:val="20"/>
          <w:szCs w:val="20"/>
          <w:vertAlign w:val="subscript"/>
        </w:rPr>
        <w:t>3</w:t>
      </w:r>
      <w:r w:rsidRPr="00D34FED">
        <w:rPr>
          <w:sz w:val="20"/>
          <w:szCs w:val="20"/>
        </w:rPr>
        <w:t>)</w:t>
      </w:r>
      <w:r>
        <w:rPr>
          <w:sz w:val="20"/>
          <w:szCs w:val="20"/>
        </w:rPr>
        <w:t>,</w:t>
      </w:r>
      <w:r w:rsidRPr="00D34FED">
        <w:rPr>
          <w:sz w:val="20"/>
          <w:szCs w:val="20"/>
        </w:rPr>
        <w:t xml:space="preserve"> and </w:t>
      </w:r>
      <w:r>
        <w:rPr>
          <w:sz w:val="20"/>
          <w:szCs w:val="20"/>
        </w:rPr>
        <w:t xml:space="preserve">massicot (PbO) within one week </w:t>
      </w:r>
      <w:r>
        <w:rPr>
          <w:sz w:val="20"/>
          <w:szCs w:val="20"/>
        </w:rPr>
        <w:fldChar w:fldCharType="begin"/>
      </w:r>
      <w:r>
        <w:rPr>
          <w:sz w:val="20"/>
          <w:szCs w:val="20"/>
        </w:rPr>
        <w:instrText xml:space="preserve"> ADDIN EN.CITE &lt;EndNote&gt;&lt;Cite&gt;&lt;Author&gt;Hardison Jr&lt;/Author&gt;&lt;Year&gt;2004&lt;/Year&gt;&lt;RecNum&gt;2951&lt;/RecNum&gt;&lt;DisplayText&gt;[2]&lt;/DisplayText&gt;&lt;record&gt;&lt;rec-number&gt;2951&lt;/rec-number&gt;&lt;foreign-keys&gt;&lt;key app="EN" db-id="sr0twxwzpw9azuefz59vrzalex2r5r0e005r" timestamp="1406206349"&gt;2951&lt;/key&gt;&lt;/foreign-keys&gt;&lt;ref-type name="Journal Article"&gt;17&lt;/ref-type&gt;&lt;contributors&gt;&lt;authors&gt;&lt;author&gt;Hardison Jr, Donald W.&lt;/author&gt;&lt;author&gt;Ma, Lena Q.&lt;/author&gt;&lt;author&gt;Luongo, Thomas&lt;/author&gt;&lt;author&gt;Harris, Willie G.&lt;/author&gt;&lt;/authors&gt;&lt;/contributors&gt;&lt;titles&gt;&lt;title&gt;Lead contamination in shooting range soils from abrasion of lead bullets and subsequent weathering&lt;/title&gt;&lt;secondary-title&gt;Science of the Total Environment&lt;/secondary-title&gt;&lt;/titles&gt;&lt;periodical&gt;&lt;full-title&gt;Science of the Total Environment&lt;/full-title&gt;&lt;/periodical&gt;&lt;pages&gt;175-183&lt;/pages&gt;&lt;volume&gt;328&lt;/volume&gt;&lt;number&gt;1–3&lt;/number&gt;&lt;keywords&gt;&lt;keyword&gt;Metal contamination&lt;/keyword&gt;&lt;keyword&gt;Weathering&lt;/keyword&gt;&lt;keyword&gt;Shooting range&lt;/keyword&gt;&lt;keyword&gt;Lead&lt;/keyword&gt;&lt;keyword&gt;Hydrocerussite&lt;/keyword&gt;&lt;keyword&gt;Abrasion&lt;/keyword&gt;&lt;/keywords&gt;&lt;dates&gt;&lt;year&gt;2004&lt;/year&gt;&lt;/dates&gt;&lt;isbn&gt;0048-9697&lt;/isbn&gt;&lt;urls&gt;&lt;related-urls&gt;&lt;url&gt;http://www.sciencedirect.com/science/article/pii/S0048969704000713&lt;/url&gt;&lt;/related-urls&gt;&lt;/urls&gt;&lt;electronic-resource-num&gt;http://dx.doi.org/10.1016/j.scitotenv.2003.12.013&lt;/electronic-resource-num&gt;&lt;/record&gt;&lt;/Cite&gt;&lt;/EndNote&gt;</w:instrText>
      </w:r>
      <w:r>
        <w:rPr>
          <w:sz w:val="20"/>
          <w:szCs w:val="20"/>
        </w:rPr>
        <w:fldChar w:fldCharType="separate"/>
      </w:r>
      <w:r>
        <w:rPr>
          <w:noProof/>
          <w:sz w:val="20"/>
          <w:szCs w:val="20"/>
        </w:rPr>
        <w:t>[2]</w:t>
      </w:r>
      <w:r>
        <w:rPr>
          <w:sz w:val="20"/>
          <w:szCs w:val="20"/>
        </w:rPr>
        <w:fldChar w:fldCharType="end"/>
      </w:r>
      <w:r w:rsidRPr="00D34FED">
        <w:rPr>
          <w:sz w:val="20"/>
          <w:szCs w:val="20"/>
        </w:rPr>
        <w:t xml:space="preserve">. </w:t>
      </w:r>
    </w:p>
    <w:p w:rsidR="00D70887" w:rsidRDefault="00D70887" w:rsidP="00D70887">
      <w:pPr>
        <w:pStyle w:val="Default"/>
        <w:jc w:val="both"/>
        <w:rPr>
          <w:sz w:val="20"/>
          <w:szCs w:val="20"/>
        </w:rPr>
      </w:pPr>
    </w:p>
    <w:p w:rsidR="00D70887" w:rsidRDefault="00D70887" w:rsidP="00D70887">
      <w:pPr>
        <w:pStyle w:val="Default"/>
        <w:jc w:val="both"/>
        <w:rPr>
          <w:sz w:val="20"/>
          <w:szCs w:val="20"/>
        </w:rPr>
      </w:pPr>
      <w:r w:rsidRPr="00D34FED">
        <w:rPr>
          <w:sz w:val="20"/>
          <w:szCs w:val="20"/>
        </w:rPr>
        <w:t xml:space="preserve">Lead </w:t>
      </w:r>
      <w:r>
        <w:rPr>
          <w:sz w:val="20"/>
          <w:szCs w:val="20"/>
        </w:rPr>
        <w:t>is toxic to</w:t>
      </w:r>
      <w:r w:rsidRPr="00D34FED">
        <w:rPr>
          <w:sz w:val="20"/>
          <w:szCs w:val="20"/>
        </w:rPr>
        <w:t xml:space="preserve"> human health</w:t>
      </w:r>
      <w:r>
        <w:rPr>
          <w:sz w:val="20"/>
          <w:szCs w:val="20"/>
        </w:rPr>
        <w:t xml:space="preserve"> especially for children, as it</w:t>
      </w:r>
      <w:r w:rsidRPr="00D34FED">
        <w:rPr>
          <w:sz w:val="20"/>
          <w:szCs w:val="20"/>
        </w:rPr>
        <w:t xml:space="preserve"> attacks the brain and central nervous system</w:t>
      </w:r>
      <w:r>
        <w:rPr>
          <w:sz w:val="20"/>
          <w:szCs w:val="20"/>
        </w:rPr>
        <w:t xml:space="preserve">. High level </w:t>
      </w:r>
      <w:r w:rsidRPr="00D34FED">
        <w:rPr>
          <w:sz w:val="20"/>
          <w:szCs w:val="20"/>
        </w:rPr>
        <w:t>expos</w:t>
      </w:r>
      <w:r>
        <w:rPr>
          <w:sz w:val="20"/>
          <w:szCs w:val="20"/>
        </w:rPr>
        <w:t xml:space="preserve">ure of lead may </w:t>
      </w:r>
      <w:r w:rsidRPr="00D34FED">
        <w:rPr>
          <w:sz w:val="20"/>
          <w:szCs w:val="20"/>
        </w:rPr>
        <w:t>caus</w:t>
      </w:r>
      <w:r>
        <w:rPr>
          <w:sz w:val="20"/>
          <w:szCs w:val="20"/>
        </w:rPr>
        <w:t>e</w:t>
      </w:r>
      <w:r w:rsidRPr="00D34FED">
        <w:rPr>
          <w:sz w:val="20"/>
          <w:szCs w:val="20"/>
        </w:rPr>
        <w:t xml:space="preserve"> coma, convulsions and even death. </w:t>
      </w:r>
      <w:r>
        <w:rPr>
          <w:sz w:val="20"/>
          <w:szCs w:val="20"/>
        </w:rPr>
        <w:t>E</w:t>
      </w:r>
      <w:r w:rsidRPr="00D34FED">
        <w:rPr>
          <w:sz w:val="20"/>
          <w:szCs w:val="20"/>
        </w:rPr>
        <w:t>cological risks of lead</w:t>
      </w:r>
      <w:r>
        <w:rPr>
          <w:sz w:val="20"/>
          <w:szCs w:val="20"/>
        </w:rPr>
        <w:t xml:space="preserve"> a</w:t>
      </w:r>
      <w:r w:rsidRPr="00D34FED">
        <w:rPr>
          <w:sz w:val="20"/>
          <w:szCs w:val="20"/>
        </w:rPr>
        <w:t xml:space="preserve">t shooting range may also be significant. </w:t>
      </w:r>
      <w:r>
        <w:rPr>
          <w:sz w:val="20"/>
          <w:szCs w:val="20"/>
        </w:rPr>
        <w:t xml:space="preserve">High level of lead may affect </w:t>
      </w:r>
      <w:r w:rsidRPr="00D34FED">
        <w:rPr>
          <w:sz w:val="20"/>
          <w:szCs w:val="20"/>
        </w:rPr>
        <w:t>local and migratory,</w:t>
      </w:r>
      <w:r>
        <w:rPr>
          <w:sz w:val="20"/>
          <w:szCs w:val="20"/>
        </w:rPr>
        <w:t xml:space="preserve"> aquatic and terrestrial biota. The risk of lead contamination in </w:t>
      </w:r>
      <w:r w:rsidRPr="00D34FED">
        <w:rPr>
          <w:sz w:val="20"/>
          <w:szCs w:val="20"/>
        </w:rPr>
        <w:t>groundwater system</w:t>
      </w:r>
      <w:r>
        <w:rPr>
          <w:sz w:val="20"/>
          <w:szCs w:val="20"/>
        </w:rPr>
        <w:t xml:space="preserve"> is higher with high content of l</w:t>
      </w:r>
      <w:r w:rsidRPr="00D34FED">
        <w:rPr>
          <w:sz w:val="20"/>
          <w:szCs w:val="20"/>
        </w:rPr>
        <w:t xml:space="preserve">ead </w:t>
      </w:r>
      <w:r>
        <w:rPr>
          <w:sz w:val="20"/>
          <w:szCs w:val="20"/>
        </w:rPr>
        <w:t xml:space="preserve">in </w:t>
      </w:r>
      <w:r w:rsidRPr="00D34FED">
        <w:rPr>
          <w:sz w:val="20"/>
          <w:szCs w:val="20"/>
        </w:rPr>
        <w:t xml:space="preserve">shooting range </w:t>
      </w:r>
      <w:r>
        <w:rPr>
          <w:sz w:val="20"/>
          <w:szCs w:val="20"/>
        </w:rPr>
        <w:t xml:space="preserve">soil </w:t>
      </w:r>
      <w:r>
        <w:rPr>
          <w:sz w:val="20"/>
          <w:szCs w:val="20"/>
        </w:rPr>
        <w:fldChar w:fldCharType="begin"/>
      </w:r>
      <w:r>
        <w:rPr>
          <w:sz w:val="20"/>
          <w:szCs w:val="20"/>
        </w:rPr>
        <w:instrText xml:space="preserve"> ADDIN EN.CITE &lt;EndNote&gt;&lt;Cite&gt;&lt;Author&gt;Sorvari&lt;/Author&gt;&lt;Year&gt;2006&lt;/Year&gt;&lt;RecNum&gt;2954&lt;/RecNum&gt;&lt;DisplayText&gt;[4]&lt;/DisplayText&gt;&lt;record&gt;&lt;rec-number&gt;2954&lt;/rec-number&gt;&lt;foreign-keys&gt;&lt;key app="EN" db-id="sr0twxwzpw9azuefz59vrzalex2r5r0e005r" timestamp="1406206635"&gt;2954&lt;/key&gt;&lt;/foreign-keys&gt;&lt;ref-type name="Journal Article"&gt;17&lt;/ref-type&gt;&lt;contributors&gt;&lt;authors&gt;&lt;author&gt;Sorvari, Jaana&lt;/author&gt;&lt;author&gt;Antikainen, Riina&lt;/author&gt;&lt;author&gt;Pyy, Outi&lt;/author&gt;&lt;/authors&gt;&lt;/contributors&gt;&lt;titles&gt;&lt;title&gt;Environmental contamination at Finnish shooting ranges—the scope of the problem and management options&lt;/title&gt;&lt;secondary-title&gt;Science of the Total Environment&lt;/secondary-title&gt;&lt;/titles&gt;&lt;periodical&gt;&lt;full-title&gt;Science of the Total Environment&lt;/full-title&gt;&lt;/periodical&gt;&lt;pages&gt;21-31&lt;/pages&gt;&lt;volume&gt;366&lt;/volume&gt;&lt;number&gt;1&lt;/number&gt;&lt;keywords&gt;&lt;keyword&gt;Shooting range&lt;/keyword&gt;&lt;keyword&gt;Lead&lt;/keyword&gt;&lt;keyword&gt;Contamination&lt;/keyword&gt;&lt;keyword&gt;Survey&lt;/keyword&gt;&lt;keyword&gt;Risk management&lt;/keyword&gt;&lt;/keywords&gt;&lt;dates&gt;&lt;year&gt;2006&lt;/year&gt;&lt;/dates&gt;&lt;isbn&gt;0048-9697&lt;/isbn&gt;&lt;urls&gt;&lt;related-urls&gt;&lt;url&gt;http://www.sciencedirect.com/science/article/pii/S004896970500923X&lt;/url&gt;&lt;/related-urls&gt;&lt;/urls&gt;&lt;electronic-resource-num&gt;http://dx.doi.org/10.1016/j.scitotenv.2005.12.019&lt;/electronic-resource-num&gt;&lt;/record&gt;&lt;/Cite&gt;&lt;/EndNote&gt;</w:instrText>
      </w:r>
      <w:r>
        <w:rPr>
          <w:sz w:val="20"/>
          <w:szCs w:val="20"/>
        </w:rPr>
        <w:fldChar w:fldCharType="separate"/>
      </w:r>
      <w:r>
        <w:rPr>
          <w:noProof/>
          <w:sz w:val="20"/>
          <w:szCs w:val="20"/>
        </w:rPr>
        <w:t>[4]</w:t>
      </w:r>
      <w:r>
        <w:rPr>
          <w:sz w:val="20"/>
          <w:szCs w:val="20"/>
        </w:rPr>
        <w:fldChar w:fldCharType="end"/>
      </w:r>
      <w:r>
        <w:rPr>
          <w:sz w:val="20"/>
          <w:szCs w:val="20"/>
        </w:rPr>
        <w:t>, and close proximity</w:t>
      </w:r>
      <w:r w:rsidRPr="00D34FED">
        <w:rPr>
          <w:sz w:val="20"/>
          <w:szCs w:val="20"/>
        </w:rPr>
        <w:t xml:space="preserve"> of groundwater table to the surface of shooting range soil. As groundwater is used as daily drinking w</w:t>
      </w:r>
      <w:r>
        <w:rPr>
          <w:sz w:val="20"/>
          <w:szCs w:val="20"/>
        </w:rPr>
        <w:t>ater, these contaminations may affect</w:t>
      </w:r>
      <w:r w:rsidRPr="00D34FED">
        <w:rPr>
          <w:sz w:val="20"/>
          <w:szCs w:val="20"/>
        </w:rPr>
        <w:t xml:space="preserve"> human health. </w:t>
      </w:r>
    </w:p>
    <w:p w:rsidR="00D70887" w:rsidRDefault="00D70887" w:rsidP="00D70887">
      <w:pPr>
        <w:pStyle w:val="Default"/>
        <w:jc w:val="both"/>
        <w:rPr>
          <w:sz w:val="20"/>
          <w:szCs w:val="20"/>
        </w:rPr>
      </w:pPr>
    </w:p>
    <w:p w:rsidR="00D70887" w:rsidRDefault="00D70887" w:rsidP="00D70887">
      <w:pPr>
        <w:pStyle w:val="Default"/>
        <w:jc w:val="both"/>
        <w:rPr>
          <w:sz w:val="20"/>
          <w:szCs w:val="20"/>
        </w:rPr>
      </w:pPr>
      <w:r>
        <w:rPr>
          <w:sz w:val="20"/>
          <w:szCs w:val="20"/>
        </w:rPr>
        <w:t xml:space="preserve">To the best of our knowledge, </w:t>
      </w:r>
      <w:r w:rsidRPr="00D34FED">
        <w:rPr>
          <w:sz w:val="20"/>
          <w:szCs w:val="20"/>
        </w:rPr>
        <w:t xml:space="preserve">there is no study on the </w:t>
      </w:r>
      <w:r>
        <w:rPr>
          <w:sz w:val="20"/>
          <w:szCs w:val="20"/>
        </w:rPr>
        <w:t xml:space="preserve">risk of lead contamination in groundwater from </w:t>
      </w:r>
      <w:r w:rsidRPr="00D34FED">
        <w:rPr>
          <w:sz w:val="20"/>
          <w:szCs w:val="20"/>
        </w:rPr>
        <w:t xml:space="preserve">shooting range </w:t>
      </w:r>
      <w:r>
        <w:rPr>
          <w:sz w:val="20"/>
          <w:szCs w:val="20"/>
        </w:rPr>
        <w:t xml:space="preserve">soil </w:t>
      </w:r>
      <w:r w:rsidRPr="00D34FED">
        <w:rPr>
          <w:sz w:val="20"/>
          <w:szCs w:val="20"/>
        </w:rPr>
        <w:t xml:space="preserve">in Malaysia. </w:t>
      </w:r>
      <w:r>
        <w:rPr>
          <w:sz w:val="20"/>
          <w:szCs w:val="20"/>
        </w:rPr>
        <w:t>L</w:t>
      </w:r>
      <w:r w:rsidRPr="00D34FED">
        <w:rPr>
          <w:sz w:val="20"/>
          <w:szCs w:val="20"/>
        </w:rPr>
        <w:t>ead conta</w:t>
      </w:r>
      <w:r>
        <w:rPr>
          <w:sz w:val="20"/>
          <w:szCs w:val="20"/>
        </w:rPr>
        <w:t>mination in</w:t>
      </w:r>
      <w:r w:rsidRPr="00D34FED">
        <w:rPr>
          <w:sz w:val="20"/>
          <w:szCs w:val="20"/>
        </w:rPr>
        <w:t xml:space="preserve"> groundwater </w:t>
      </w:r>
      <w:r>
        <w:rPr>
          <w:sz w:val="20"/>
          <w:szCs w:val="20"/>
        </w:rPr>
        <w:t xml:space="preserve">may </w:t>
      </w:r>
      <w:r w:rsidRPr="00D34FED">
        <w:rPr>
          <w:sz w:val="20"/>
          <w:szCs w:val="20"/>
        </w:rPr>
        <w:t xml:space="preserve">depends on the </w:t>
      </w:r>
      <w:r>
        <w:rPr>
          <w:sz w:val="20"/>
          <w:szCs w:val="20"/>
        </w:rPr>
        <w:t xml:space="preserve">several </w:t>
      </w:r>
      <w:r w:rsidRPr="00D34FED">
        <w:rPr>
          <w:sz w:val="20"/>
          <w:szCs w:val="20"/>
        </w:rPr>
        <w:t>soil physico</w:t>
      </w:r>
      <w:r>
        <w:rPr>
          <w:sz w:val="20"/>
          <w:szCs w:val="20"/>
        </w:rPr>
        <w:t>-</w:t>
      </w:r>
      <w:r w:rsidRPr="00D34FED">
        <w:rPr>
          <w:sz w:val="20"/>
          <w:szCs w:val="20"/>
        </w:rPr>
        <w:t xml:space="preserve">chemical </w:t>
      </w:r>
      <w:r>
        <w:rPr>
          <w:sz w:val="20"/>
          <w:szCs w:val="20"/>
        </w:rPr>
        <w:t>parameters (i.e.</w:t>
      </w:r>
      <w:r w:rsidRPr="00D34FED">
        <w:rPr>
          <w:sz w:val="20"/>
          <w:szCs w:val="20"/>
        </w:rPr>
        <w:t xml:space="preserve"> soil pH, CEC and OM)</w:t>
      </w:r>
      <w:r>
        <w:rPr>
          <w:sz w:val="20"/>
          <w:szCs w:val="20"/>
        </w:rPr>
        <w:t>,</w:t>
      </w:r>
      <w:r w:rsidRPr="00D34FED">
        <w:rPr>
          <w:sz w:val="20"/>
          <w:szCs w:val="20"/>
        </w:rPr>
        <w:t xml:space="preserve"> and </w:t>
      </w:r>
      <w:r>
        <w:rPr>
          <w:sz w:val="20"/>
          <w:szCs w:val="20"/>
        </w:rPr>
        <w:t xml:space="preserve">the pH of </w:t>
      </w:r>
      <w:r w:rsidRPr="00D34FED">
        <w:rPr>
          <w:sz w:val="20"/>
          <w:szCs w:val="20"/>
        </w:rPr>
        <w:t>rain water.</w:t>
      </w:r>
      <w:r>
        <w:rPr>
          <w:sz w:val="20"/>
          <w:szCs w:val="20"/>
        </w:rPr>
        <w:t xml:space="preserve"> The objectives of this study</w:t>
      </w:r>
      <w:r w:rsidRPr="00D34FED">
        <w:rPr>
          <w:sz w:val="20"/>
          <w:szCs w:val="20"/>
        </w:rPr>
        <w:t xml:space="preserve"> to</w:t>
      </w:r>
      <w:r>
        <w:rPr>
          <w:sz w:val="20"/>
          <w:szCs w:val="20"/>
        </w:rPr>
        <w:t xml:space="preserve"> determine the </w:t>
      </w:r>
      <w:r w:rsidRPr="00D34FED">
        <w:rPr>
          <w:sz w:val="20"/>
          <w:szCs w:val="20"/>
        </w:rPr>
        <w:t>soil physico</w:t>
      </w:r>
      <w:r>
        <w:rPr>
          <w:sz w:val="20"/>
          <w:szCs w:val="20"/>
        </w:rPr>
        <w:t>-</w:t>
      </w:r>
      <w:r w:rsidRPr="00D34FED">
        <w:rPr>
          <w:sz w:val="20"/>
          <w:szCs w:val="20"/>
        </w:rPr>
        <w:t xml:space="preserve">chemical </w:t>
      </w:r>
      <w:r>
        <w:rPr>
          <w:sz w:val="20"/>
          <w:szCs w:val="20"/>
        </w:rPr>
        <w:t>parameters and the soil lead content</w:t>
      </w:r>
      <w:r w:rsidRPr="00391754">
        <w:rPr>
          <w:sz w:val="20"/>
          <w:szCs w:val="20"/>
        </w:rPr>
        <w:t xml:space="preserve"> </w:t>
      </w:r>
      <w:r w:rsidRPr="00D34FED">
        <w:rPr>
          <w:sz w:val="20"/>
          <w:szCs w:val="20"/>
        </w:rPr>
        <w:t xml:space="preserve">at </w:t>
      </w:r>
      <w:r>
        <w:rPr>
          <w:sz w:val="20"/>
          <w:szCs w:val="20"/>
        </w:rPr>
        <w:t xml:space="preserve">the Kem Sungai Besi </w:t>
      </w:r>
      <w:r w:rsidRPr="00D34FED">
        <w:rPr>
          <w:sz w:val="20"/>
          <w:szCs w:val="20"/>
        </w:rPr>
        <w:t>shooting range</w:t>
      </w:r>
      <w:r>
        <w:rPr>
          <w:sz w:val="20"/>
          <w:szCs w:val="20"/>
        </w:rPr>
        <w:t xml:space="preserve">, and to simulate </w:t>
      </w:r>
      <w:r w:rsidRPr="00D34FED">
        <w:rPr>
          <w:sz w:val="20"/>
          <w:szCs w:val="20"/>
        </w:rPr>
        <w:t xml:space="preserve">the </w:t>
      </w:r>
      <w:r>
        <w:rPr>
          <w:sz w:val="20"/>
          <w:szCs w:val="20"/>
        </w:rPr>
        <w:t>leaching process using artificial</w:t>
      </w:r>
      <w:r w:rsidRPr="00D34FED">
        <w:rPr>
          <w:sz w:val="20"/>
          <w:szCs w:val="20"/>
        </w:rPr>
        <w:t xml:space="preserve"> </w:t>
      </w:r>
      <w:r>
        <w:rPr>
          <w:sz w:val="20"/>
          <w:szCs w:val="20"/>
        </w:rPr>
        <w:t>rain at various pH values</w:t>
      </w:r>
      <w:r w:rsidRPr="00D34FED">
        <w:rPr>
          <w:sz w:val="20"/>
          <w:szCs w:val="20"/>
        </w:rPr>
        <w:t>.</w:t>
      </w:r>
      <w:r>
        <w:rPr>
          <w:sz w:val="20"/>
          <w:szCs w:val="20"/>
        </w:rPr>
        <w:t xml:space="preserve"> A</w:t>
      </w:r>
      <w:r w:rsidRPr="00D34FED">
        <w:rPr>
          <w:sz w:val="20"/>
          <w:szCs w:val="20"/>
        </w:rPr>
        <w:t xml:space="preserve"> </w:t>
      </w:r>
      <w:r>
        <w:rPr>
          <w:sz w:val="20"/>
          <w:szCs w:val="20"/>
        </w:rPr>
        <w:t>correlation study was conducted to determine</w:t>
      </w:r>
      <w:r w:rsidRPr="00D34FED">
        <w:rPr>
          <w:sz w:val="20"/>
          <w:szCs w:val="20"/>
        </w:rPr>
        <w:t xml:space="preserve"> </w:t>
      </w:r>
      <w:r>
        <w:rPr>
          <w:sz w:val="20"/>
          <w:szCs w:val="20"/>
        </w:rPr>
        <w:t xml:space="preserve">the risk factors for </w:t>
      </w:r>
      <w:r w:rsidRPr="00D34FED">
        <w:rPr>
          <w:sz w:val="20"/>
          <w:szCs w:val="20"/>
        </w:rPr>
        <w:t xml:space="preserve">lead </w:t>
      </w:r>
      <w:r>
        <w:rPr>
          <w:sz w:val="20"/>
          <w:szCs w:val="20"/>
        </w:rPr>
        <w:t>contamination</w:t>
      </w:r>
      <w:r w:rsidRPr="00D34FED">
        <w:rPr>
          <w:sz w:val="20"/>
          <w:szCs w:val="20"/>
        </w:rPr>
        <w:t xml:space="preserve"> in the groundwater.</w:t>
      </w:r>
    </w:p>
    <w:p w:rsidR="006768E9" w:rsidRPr="00F447A7" w:rsidRDefault="006768E9" w:rsidP="00D7088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D70887" w:rsidRPr="00D70887" w:rsidRDefault="00D70887" w:rsidP="00D70887">
      <w:pPr>
        <w:pStyle w:val="Default"/>
        <w:jc w:val="both"/>
        <w:rPr>
          <w:sz w:val="20"/>
          <w:szCs w:val="20"/>
        </w:rPr>
      </w:pPr>
      <w:r w:rsidRPr="00D70887">
        <w:rPr>
          <w:b/>
          <w:bCs/>
          <w:sz w:val="20"/>
          <w:szCs w:val="20"/>
        </w:rPr>
        <w:t xml:space="preserve">Soil collection and preparation </w:t>
      </w:r>
    </w:p>
    <w:p w:rsidR="00D70887" w:rsidRPr="00D70887" w:rsidRDefault="00D70887" w:rsidP="00D70887">
      <w:pPr>
        <w:spacing w:after="0" w:line="240" w:lineRule="auto"/>
        <w:jc w:val="both"/>
        <w:rPr>
          <w:rFonts w:ascii="Times New Roman" w:hAnsi="Times New Roman"/>
          <w:sz w:val="20"/>
          <w:szCs w:val="20"/>
        </w:rPr>
      </w:pPr>
      <w:r w:rsidRPr="00D70887">
        <w:rPr>
          <w:rFonts w:ascii="Times New Roman" w:hAnsi="Times New Roman"/>
          <w:sz w:val="20"/>
          <w:szCs w:val="20"/>
        </w:rPr>
        <w:t xml:space="preserve">Soil samples were collected using the coring technique at a sampling site (3° 3' 0" North, 101° 42' 0" East) located at Kem Sungai Besi, Kuala Lumpur, Malaysia. Baseline soil was taken at the boundary of the shooting range, and is free of the bullets and lead shots. Target 4, 6 and 8 located at the center of the berm were chosen as sampling points. Little vegetation was observed on the target soils (Figure 1a). Three soils replicates were collected at the top, middle and bottom of each targets, and were homogenized to form composite sample (Figure 2). </w:t>
      </w:r>
    </w:p>
    <w:p w:rsidR="00D70887" w:rsidRPr="00D70887" w:rsidRDefault="00D70887" w:rsidP="00D70887">
      <w:pPr>
        <w:spacing w:after="0" w:line="240" w:lineRule="auto"/>
        <w:jc w:val="both"/>
        <w:rPr>
          <w:rFonts w:ascii="Times New Roman" w:hAnsi="Times New Roman"/>
          <w:sz w:val="20"/>
          <w:szCs w:val="20"/>
        </w:rPr>
      </w:pPr>
    </w:p>
    <w:p w:rsidR="00D70887" w:rsidRPr="00D70887" w:rsidRDefault="00D70887" w:rsidP="00D70887">
      <w:pPr>
        <w:spacing w:after="0" w:line="240" w:lineRule="auto"/>
        <w:jc w:val="both"/>
        <w:rPr>
          <w:rFonts w:ascii="Times New Roman" w:hAnsi="Times New Roman"/>
          <w:sz w:val="20"/>
          <w:szCs w:val="20"/>
        </w:rPr>
      </w:pPr>
      <w:r w:rsidRPr="00D70887">
        <w:rPr>
          <w:rFonts w:ascii="Times New Roman" w:hAnsi="Times New Roman"/>
          <w:sz w:val="20"/>
          <w:szCs w:val="20"/>
        </w:rPr>
        <w:t xml:space="preserve">The soil samples were air dried for 6 days before being sieved to 2 mm. After sieving, the fragment of bullets was hand-picked from the soil sample. The fragments were visibly corroded and have reduced in size, indicating the weathering process of lead shots in the soil (Figure 1b). The soil samples were kept in air-tight plastic container to avoid contact with moisture. </w:t>
      </w:r>
    </w:p>
    <w:p w:rsidR="00D70887" w:rsidRDefault="00D70887" w:rsidP="00D70887">
      <w:pPr>
        <w:spacing w:after="0" w:line="240" w:lineRule="auto"/>
        <w:jc w:val="both"/>
        <w:rPr>
          <w:rFonts w:ascii="Times New Roman" w:hAnsi="Times New Roman"/>
          <w:sz w:val="20"/>
          <w:szCs w:val="20"/>
        </w:rPr>
      </w:pPr>
    </w:p>
    <w:p w:rsidR="00D70887" w:rsidRPr="00D70887" w:rsidRDefault="00D70887" w:rsidP="00D70887">
      <w:pPr>
        <w:spacing w:after="0" w:line="240" w:lineRule="auto"/>
        <w:jc w:val="both"/>
        <w:rPr>
          <w:rFonts w:ascii="Times New Roman" w:hAnsi="Times New Roman"/>
          <w:sz w:val="20"/>
          <w:szCs w:val="20"/>
        </w:rPr>
      </w:pPr>
    </w:p>
    <w:p w:rsidR="00D70887" w:rsidRPr="00D70887" w:rsidRDefault="00EA6446" w:rsidP="007516C8">
      <w:pPr>
        <w:spacing w:after="0" w:line="240" w:lineRule="auto"/>
        <w:jc w:val="center"/>
        <w:rPr>
          <w:rFonts w:ascii="Times New Roman" w:hAnsi="Times New Roman"/>
          <w:color w:val="000000" w:themeColor="text1"/>
          <w:sz w:val="20"/>
          <w:szCs w:val="20"/>
        </w:rPr>
      </w:pPr>
      <w:r>
        <w:rPr>
          <w:rFonts w:ascii="Times New Roman" w:hAnsi="Times New Roman"/>
          <w:noProof/>
          <w:color w:val="000000" w:themeColor="text1"/>
          <w:sz w:val="20"/>
          <w:szCs w:val="20"/>
          <w:lang w:bidi="ar-SA"/>
        </w:rPr>
        <w:drawing>
          <wp:inline distT="0" distB="0" distL="0" distR="0">
            <wp:extent cx="2813144" cy="1828800"/>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A.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13144" cy="1828800"/>
                    </a:xfrm>
                    <a:prstGeom prst="rect">
                      <a:avLst/>
                    </a:prstGeom>
                  </pic:spPr>
                </pic:pic>
              </a:graphicData>
            </a:graphic>
          </wp:inline>
        </w:drawing>
      </w:r>
      <w:r w:rsidR="007516C8">
        <w:rPr>
          <w:rFonts w:ascii="Times New Roman" w:hAnsi="Times New Roman"/>
          <w:color w:val="000000" w:themeColor="text1"/>
          <w:sz w:val="20"/>
          <w:szCs w:val="20"/>
        </w:rPr>
        <w:t xml:space="preserve">   </w:t>
      </w:r>
      <w:r>
        <w:rPr>
          <w:rFonts w:ascii="Times New Roman" w:hAnsi="Times New Roman"/>
          <w:noProof/>
          <w:color w:val="000000" w:themeColor="text1"/>
          <w:sz w:val="20"/>
          <w:szCs w:val="20"/>
          <w:lang w:bidi="ar-SA"/>
        </w:rPr>
        <w:drawing>
          <wp:inline distT="0" distB="0" distL="0" distR="0">
            <wp:extent cx="1717330" cy="1828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B.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17330" cy="1828800"/>
                    </a:xfrm>
                    <a:prstGeom prst="rect">
                      <a:avLst/>
                    </a:prstGeom>
                  </pic:spPr>
                </pic:pic>
              </a:graphicData>
            </a:graphic>
          </wp:inline>
        </w:drawing>
      </w:r>
    </w:p>
    <w:p w:rsidR="00D70887" w:rsidRPr="00D70887" w:rsidRDefault="00D70887" w:rsidP="00D70887">
      <w:pPr>
        <w:spacing w:after="0" w:line="240" w:lineRule="auto"/>
        <w:ind w:firstLine="720"/>
        <w:jc w:val="both"/>
        <w:rPr>
          <w:rFonts w:ascii="Times New Roman" w:hAnsi="Times New Roman"/>
          <w:sz w:val="20"/>
          <w:szCs w:val="20"/>
        </w:rPr>
      </w:pPr>
      <w:r w:rsidRPr="00D70887">
        <w:rPr>
          <w:rFonts w:ascii="Times New Roman" w:hAnsi="Times New Roman"/>
          <w:sz w:val="20"/>
          <w:szCs w:val="20"/>
        </w:rPr>
        <w:tab/>
      </w:r>
      <w:r w:rsidRPr="00D70887">
        <w:rPr>
          <w:rFonts w:ascii="Times New Roman" w:hAnsi="Times New Roman"/>
          <w:sz w:val="20"/>
          <w:szCs w:val="20"/>
        </w:rPr>
        <w:tab/>
      </w:r>
      <w:r w:rsidRPr="00D70887">
        <w:rPr>
          <w:rFonts w:ascii="Times New Roman" w:hAnsi="Times New Roman"/>
          <w:sz w:val="20"/>
          <w:szCs w:val="20"/>
        </w:rPr>
        <w:tab/>
      </w:r>
      <w:r>
        <w:rPr>
          <w:rFonts w:ascii="Times New Roman" w:hAnsi="Times New Roman"/>
          <w:sz w:val="20"/>
          <w:szCs w:val="20"/>
        </w:rPr>
        <w:t xml:space="preserve">      (a)</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r w:rsidRPr="00D70887">
        <w:rPr>
          <w:rFonts w:ascii="Times New Roman" w:hAnsi="Times New Roman"/>
          <w:sz w:val="20"/>
          <w:szCs w:val="20"/>
        </w:rPr>
        <w:t>(b)</w:t>
      </w:r>
    </w:p>
    <w:p w:rsidR="00D70887" w:rsidRPr="00D70887" w:rsidRDefault="00D70887" w:rsidP="00D70887">
      <w:pPr>
        <w:spacing w:after="0" w:line="240" w:lineRule="auto"/>
        <w:jc w:val="both"/>
        <w:rPr>
          <w:rFonts w:ascii="Times New Roman" w:hAnsi="Times New Roman"/>
          <w:sz w:val="20"/>
          <w:szCs w:val="20"/>
        </w:rPr>
      </w:pPr>
    </w:p>
    <w:p w:rsidR="00D70887" w:rsidRPr="00D70887" w:rsidRDefault="00D70887" w:rsidP="00D70887">
      <w:pPr>
        <w:spacing w:after="0" w:line="240" w:lineRule="auto"/>
        <w:jc w:val="center"/>
        <w:rPr>
          <w:rFonts w:ascii="Times New Roman" w:hAnsi="Times New Roman"/>
          <w:sz w:val="20"/>
          <w:szCs w:val="20"/>
        </w:rPr>
      </w:pPr>
      <w:r w:rsidRPr="00D70887">
        <w:rPr>
          <w:rFonts w:ascii="Times New Roman" w:hAnsi="Times New Roman"/>
          <w:sz w:val="20"/>
          <w:szCs w:val="20"/>
        </w:rPr>
        <w:t>Figure 1</w:t>
      </w:r>
      <w:r>
        <w:rPr>
          <w:rFonts w:ascii="Times New Roman" w:hAnsi="Times New Roman"/>
          <w:sz w:val="20"/>
          <w:szCs w:val="20"/>
        </w:rPr>
        <w:t xml:space="preserve">.  </w:t>
      </w:r>
      <w:r w:rsidRPr="00D70887">
        <w:rPr>
          <w:rFonts w:ascii="Times New Roman" w:hAnsi="Times New Roman"/>
          <w:sz w:val="20"/>
          <w:szCs w:val="20"/>
        </w:rPr>
        <w:t xml:space="preserve">Shooting range (a) and </w:t>
      </w:r>
      <w:r w:rsidRPr="00D70887">
        <w:rPr>
          <w:rFonts w:ascii="Times New Roman" w:hAnsi="Times New Roman"/>
          <w:color w:val="000000" w:themeColor="text1"/>
          <w:sz w:val="20"/>
          <w:szCs w:val="20"/>
        </w:rPr>
        <w:t xml:space="preserve">bullet fragments (b) </w:t>
      </w:r>
      <w:r w:rsidRPr="00D70887">
        <w:rPr>
          <w:rFonts w:ascii="Times New Roman" w:hAnsi="Times New Roman"/>
          <w:sz w:val="20"/>
          <w:szCs w:val="20"/>
        </w:rPr>
        <w:t>at Kem Sungai Besi, Kuala Lumpur</w:t>
      </w:r>
    </w:p>
    <w:p w:rsidR="00D70887" w:rsidRDefault="00D70887" w:rsidP="00D70887">
      <w:pPr>
        <w:spacing w:after="0" w:line="240" w:lineRule="auto"/>
        <w:jc w:val="both"/>
        <w:rPr>
          <w:rFonts w:ascii="Times New Roman" w:hAnsi="Times New Roman"/>
          <w:sz w:val="20"/>
          <w:szCs w:val="20"/>
        </w:rPr>
      </w:pPr>
    </w:p>
    <w:p w:rsidR="00D70887" w:rsidRDefault="00D70887" w:rsidP="00D70887">
      <w:pPr>
        <w:spacing w:after="0" w:line="240" w:lineRule="auto"/>
        <w:jc w:val="both"/>
        <w:rPr>
          <w:rFonts w:ascii="Times New Roman" w:hAnsi="Times New Roman"/>
          <w:sz w:val="20"/>
          <w:szCs w:val="20"/>
        </w:rPr>
      </w:pPr>
    </w:p>
    <w:p w:rsidR="00D70887" w:rsidRPr="00D70887" w:rsidRDefault="00D70887" w:rsidP="00D70887">
      <w:pPr>
        <w:spacing w:after="0" w:line="240" w:lineRule="auto"/>
        <w:jc w:val="both"/>
        <w:rPr>
          <w:rFonts w:ascii="Times New Roman" w:hAnsi="Times New Roman"/>
          <w:sz w:val="20"/>
          <w:szCs w:val="20"/>
        </w:rPr>
      </w:pPr>
    </w:p>
    <w:p w:rsidR="00D70887" w:rsidRPr="00D70887" w:rsidRDefault="00EA6446" w:rsidP="00EA6446">
      <w:pPr>
        <w:spacing w:after="0" w:line="240" w:lineRule="auto"/>
        <w:jc w:val="center"/>
        <w:rPr>
          <w:rFonts w:ascii="Times New Roman" w:hAnsi="Times New Roman"/>
          <w:sz w:val="20"/>
          <w:szCs w:val="20"/>
        </w:rPr>
      </w:pPr>
      <w:r>
        <w:rPr>
          <w:rFonts w:ascii="Times New Roman" w:hAnsi="Times New Roman"/>
          <w:noProof/>
          <w:sz w:val="20"/>
          <w:szCs w:val="20"/>
          <w:lang w:bidi="ar-SA"/>
        </w:rPr>
        <w:drawing>
          <wp:inline distT="0" distB="0" distL="0" distR="0">
            <wp:extent cx="5925185" cy="22574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2.jpg"/>
                    <pic:cNvPicPr/>
                  </pic:nvPicPr>
                  <pic:blipFill>
                    <a:blip r:embed="rId13">
                      <a:extLst>
                        <a:ext uri="{28A0092B-C50C-407E-A947-70E740481C1C}">
                          <a14:useLocalDpi xmlns:a14="http://schemas.microsoft.com/office/drawing/2010/main" val="0"/>
                        </a:ext>
                      </a:extLst>
                    </a:blip>
                    <a:stretch>
                      <a:fillRect/>
                    </a:stretch>
                  </pic:blipFill>
                  <pic:spPr>
                    <a:xfrm>
                      <a:off x="0" y="0"/>
                      <a:ext cx="5925185" cy="2257425"/>
                    </a:xfrm>
                    <a:prstGeom prst="rect">
                      <a:avLst/>
                    </a:prstGeom>
                  </pic:spPr>
                </pic:pic>
              </a:graphicData>
            </a:graphic>
          </wp:inline>
        </w:drawing>
      </w:r>
    </w:p>
    <w:p w:rsidR="00162C40" w:rsidRDefault="00162C40" w:rsidP="0053607B">
      <w:pPr>
        <w:spacing w:after="0" w:line="240" w:lineRule="auto"/>
        <w:jc w:val="center"/>
        <w:rPr>
          <w:rFonts w:ascii="Times New Roman" w:hAnsi="Times New Roman"/>
          <w:sz w:val="20"/>
          <w:szCs w:val="20"/>
        </w:rPr>
      </w:pPr>
    </w:p>
    <w:p w:rsidR="00D70887" w:rsidRPr="00D70887" w:rsidRDefault="00D70887" w:rsidP="0053607B">
      <w:pPr>
        <w:spacing w:after="0" w:line="240" w:lineRule="auto"/>
        <w:jc w:val="center"/>
        <w:rPr>
          <w:rFonts w:ascii="Times New Roman" w:hAnsi="Times New Roman"/>
          <w:sz w:val="20"/>
          <w:szCs w:val="20"/>
        </w:rPr>
      </w:pPr>
      <w:bookmarkStart w:id="0" w:name="_GoBack"/>
      <w:bookmarkEnd w:id="0"/>
      <w:r w:rsidRPr="00D70887">
        <w:rPr>
          <w:rFonts w:ascii="Times New Roman" w:hAnsi="Times New Roman"/>
          <w:sz w:val="20"/>
          <w:szCs w:val="20"/>
        </w:rPr>
        <w:t xml:space="preserve">Figure 2. </w:t>
      </w:r>
      <w:r w:rsidR="0053607B">
        <w:rPr>
          <w:rFonts w:ascii="Times New Roman" w:hAnsi="Times New Roman"/>
          <w:sz w:val="20"/>
          <w:szCs w:val="20"/>
        </w:rPr>
        <w:t xml:space="preserve"> </w:t>
      </w:r>
      <w:r w:rsidRPr="00D70887">
        <w:rPr>
          <w:rFonts w:ascii="Times New Roman" w:hAnsi="Times New Roman"/>
          <w:sz w:val="20"/>
          <w:szCs w:val="20"/>
        </w:rPr>
        <w:t>The location of soil sampling points at target 4, 6, and 8</w:t>
      </w:r>
    </w:p>
    <w:p w:rsidR="00D70887" w:rsidRDefault="00D70887" w:rsidP="00D70887">
      <w:pPr>
        <w:spacing w:after="0" w:line="240" w:lineRule="auto"/>
        <w:jc w:val="both"/>
        <w:rPr>
          <w:rFonts w:ascii="Times New Roman" w:hAnsi="Times New Roman"/>
          <w:b/>
          <w:sz w:val="20"/>
          <w:szCs w:val="20"/>
        </w:rPr>
      </w:pPr>
    </w:p>
    <w:p w:rsidR="0053607B" w:rsidRPr="00D70887" w:rsidRDefault="0053607B" w:rsidP="00D70887">
      <w:pPr>
        <w:spacing w:after="0" w:line="240" w:lineRule="auto"/>
        <w:jc w:val="both"/>
        <w:rPr>
          <w:rFonts w:ascii="Times New Roman" w:hAnsi="Times New Roman"/>
          <w:b/>
          <w:sz w:val="20"/>
          <w:szCs w:val="20"/>
        </w:rPr>
      </w:pPr>
    </w:p>
    <w:p w:rsidR="00D70887" w:rsidRPr="00D70887" w:rsidRDefault="00D70887" w:rsidP="00D70887">
      <w:pPr>
        <w:spacing w:after="0" w:line="240" w:lineRule="auto"/>
        <w:jc w:val="both"/>
        <w:rPr>
          <w:rFonts w:ascii="Times New Roman" w:hAnsi="Times New Roman"/>
          <w:b/>
          <w:sz w:val="20"/>
          <w:szCs w:val="20"/>
        </w:rPr>
      </w:pPr>
      <w:r w:rsidRPr="00D70887">
        <w:rPr>
          <w:rFonts w:ascii="Times New Roman" w:hAnsi="Times New Roman"/>
          <w:b/>
          <w:sz w:val="20"/>
          <w:szCs w:val="20"/>
        </w:rPr>
        <w:t>Soil pH</w:t>
      </w:r>
    </w:p>
    <w:p w:rsidR="00D70887" w:rsidRPr="00D70887" w:rsidRDefault="00D70887" w:rsidP="00D70887">
      <w:pPr>
        <w:spacing w:after="0" w:line="240" w:lineRule="auto"/>
        <w:jc w:val="both"/>
        <w:rPr>
          <w:rFonts w:ascii="Times New Roman" w:hAnsi="Times New Roman"/>
          <w:sz w:val="20"/>
          <w:szCs w:val="20"/>
        </w:rPr>
      </w:pPr>
      <w:r w:rsidRPr="00D70887">
        <w:rPr>
          <w:rFonts w:ascii="Times New Roman" w:hAnsi="Times New Roman"/>
          <w:sz w:val="20"/>
          <w:szCs w:val="20"/>
        </w:rPr>
        <w:t xml:space="preserve">Soil pH was measured on a soil-deionized water suspension (1:1 w/v ratio) using a calibrated pH meter. Twenty grams of soil samples from shooting target were suspended in 20 mL deionized water in a 100 mL beaker. The suspension was mixed using a glass rod and allowed to stand for 30 min with interval stirring </w:t>
      </w:r>
      <w:r w:rsidR="007516C8">
        <w:rPr>
          <w:rFonts w:ascii="Times New Roman" w:hAnsi="Times New Roman"/>
          <w:sz w:val="20"/>
          <w:szCs w:val="20"/>
        </w:rPr>
        <w:t>at 10 min and again after 1 h</w:t>
      </w:r>
      <w:r w:rsidRPr="00D70887">
        <w:rPr>
          <w:rFonts w:ascii="Times New Roman" w:hAnsi="Times New Roman"/>
          <w:sz w:val="20"/>
          <w:szCs w:val="20"/>
        </w:rPr>
        <w:t xml:space="preserve"> to ensure complete homogeneity. The pH reading was taken after immersing the pH meter into the suspension (at about 3 cm depth) for 30 sec at 25 °C.</w:t>
      </w:r>
    </w:p>
    <w:p w:rsidR="00D70887" w:rsidRPr="00D70887" w:rsidRDefault="00D70887" w:rsidP="00D70887">
      <w:pPr>
        <w:spacing w:after="0" w:line="240" w:lineRule="auto"/>
        <w:jc w:val="both"/>
        <w:rPr>
          <w:rFonts w:ascii="Times New Roman" w:hAnsi="Times New Roman"/>
          <w:sz w:val="20"/>
          <w:szCs w:val="20"/>
        </w:rPr>
      </w:pPr>
    </w:p>
    <w:p w:rsidR="00D70887" w:rsidRPr="00D70887" w:rsidRDefault="00D70887" w:rsidP="00D70887">
      <w:pPr>
        <w:spacing w:after="0" w:line="240" w:lineRule="auto"/>
        <w:jc w:val="both"/>
        <w:rPr>
          <w:rFonts w:ascii="Times New Roman" w:hAnsi="Times New Roman"/>
          <w:b/>
          <w:bCs/>
          <w:sz w:val="20"/>
          <w:szCs w:val="20"/>
        </w:rPr>
      </w:pPr>
      <w:r w:rsidRPr="00D70887">
        <w:rPr>
          <w:rFonts w:ascii="Times New Roman" w:hAnsi="Times New Roman"/>
          <w:b/>
          <w:bCs/>
          <w:sz w:val="20"/>
          <w:szCs w:val="20"/>
        </w:rPr>
        <w:t>Soil particle distribution</w:t>
      </w:r>
    </w:p>
    <w:p w:rsidR="00D70887" w:rsidRPr="00D70887" w:rsidRDefault="00D70887" w:rsidP="00D70887">
      <w:pPr>
        <w:spacing w:after="0" w:line="240" w:lineRule="auto"/>
        <w:jc w:val="both"/>
        <w:rPr>
          <w:rFonts w:ascii="Times New Roman" w:hAnsi="Times New Roman"/>
          <w:sz w:val="20"/>
          <w:szCs w:val="20"/>
        </w:rPr>
      </w:pPr>
      <w:r w:rsidRPr="00D70887">
        <w:rPr>
          <w:rFonts w:ascii="Times New Roman" w:hAnsi="Times New Roman"/>
          <w:sz w:val="20"/>
          <w:szCs w:val="20"/>
        </w:rPr>
        <w:t>Soil particles distribution was determined through the hydrometer method. A dispersing solution was prepared by dissolving 40 g sodium hexametaphosphate [(NaPO</w:t>
      </w:r>
      <w:r w:rsidRPr="00D70887">
        <w:rPr>
          <w:rFonts w:ascii="Times New Roman" w:hAnsi="Times New Roman"/>
          <w:sz w:val="20"/>
          <w:szCs w:val="20"/>
          <w:vertAlign w:val="subscript"/>
        </w:rPr>
        <w:t>3</w:t>
      </w:r>
      <w:r w:rsidRPr="00D70887">
        <w:rPr>
          <w:rFonts w:ascii="Times New Roman" w:hAnsi="Times New Roman"/>
          <w:sz w:val="20"/>
          <w:szCs w:val="20"/>
        </w:rPr>
        <w:t>)</w:t>
      </w:r>
      <w:r w:rsidRPr="00D70887">
        <w:rPr>
          <w:rFonts w:ascii="Times New Roman" w:hAnsi="Times New Roman"/>
          <w:sz w:val="20"/>
          <w:szCs w:val="20"/>
          <w:vertAlign w:val="subscript"/>
        </w:rPr>
        <w:t>6</w:t>
      </w:r>
      <w:r w:rsidRPr="00D70887">
        <w:rPr>
          <w:rFonts w:ascii="Times New Roman" w:hAnsi="Times New Roman"/>
          <w:sz w:val="20"/>
          <w:szCs w:val="20"/>
        </w:rPr>
        <w:t>] and 10 g of sodium carbonate (Na</w:t>
      </w:r>
      <w:r w:rsidRPr="00D70887">
        <w:rPr>
          <w:rFonts w:ascii="Times New Roman" w:hAnsi="Times New Roman"/>
          <w:sz w:val="20"/>
          <w:szCs w:val="20"/>
          <w:vertAlign w:val="subscript"/>
        </w:rPr>
        <w:t>2</w:t>
      </w:r>
      <w:r w:rsidRPr="00D70887">
        <w:rPr>
          <w:rFonts w:ascii="Times New Roman" w:hAnsi="Times New Roman"/>
          <w:sz w:val="20"/>
          <w:szCs w:val="20"/>
        </w:rPr>
        <w:t>CO</w:t>
      </w:r>
      <w:r w:rsidRPr="00D70887">
        <w:rPr>
          <w:rFonts w:ascii="Times New Roman" w:hAnsi="Times New Roman"/>
          <w:sz w:val="20"/>
          <w:szCs w:val="20"/>
          <w:vertAlign w:val="subscript"/>
        </w:rPr>
        <w:t>3</w:t>
      </w:r>
      <w:r w:rsidRPr="00D70887">
        <w:rPr>
          <w:rFonts w:ascii="Times New Roman" w:hAnsi="Times New Roman"/>
          <w:sz w:val="20"/>
          <w:szCs w:val="20"/>
        </w:rPr>
        <w:t>) in 1 L of volume with deionized water. Sixty millilitres of dispersing solution was poured into a 600 mL beaker containing 40 g of soil sample. The beaker was covered with watch glass and left overnight. The content was stirred for 3 min and then transferred quantitatively into a 1 L calibrated cylinder and was brought to volume with deionized water. To determine the distribution of a mixture of silt and clay, the suspension was mixed in the hydrometer jar. After the paddle is withdrawn, the hydrometer was inserted into the jar and the reading (</w:t>
      </w:r>
      <w:r w:rsidRPr="00D70887">
        <w:rPr>
          <w:rFonts w:ascii="Times New Roman" w:hAnsi="Times New Roman"/>
          <w:i/>
          <w:iCs/>
          <w:sz w:val="20"/>
          <w:szCs w:val="20"/>
        </w:rPr>
        <w:t>R</w:t>
      </w:r>
      <w:r w:rsidRPr="00D70887">
        <w:rPr>
          <w:rFonts w:ascii="Times New Roman" w:hAnsi="Times New Roman"/>
          <w:i/>
          <w:iCs/>
          <w:sz w:val="20"/>
          <w:szCs w:val="20"/>
          <w:vertAlign w:val="subscript"/>
        </w:rPr>
        <w:t>sc</w:t>
      </w:r>
      <w:r w:rsidRPr="00D70887">
        <w:rPr>
          <w:rFonts w:ascii="Times New Roman" w:hAnsi="Times New Roman"/>
          <w:sz w:val="20"/>
          <w:szCs w:val="20"/>
        </w:rPr>
        <w:t>) was taken after 40 sec. For clay particle distribution determination, the solution was left undisturbed for 4 h before the reading (</w:t>
      </w:r>
      <w:r w:rsidRPr="00D70887">
        <w:rPr>
          <w:rFonts w:ascii="Times New Roman" w:hAnsi="Times New Roman"/>
          <w:i/>
          <w:iCs/>
          <w:sz w:val="20"/>
          <w:szCs w:val="20"/>
        </w:rPr>
        <w:t>R</w:t>
      </w:r>
      <w:r w:rsidRPr="00D70887">
        <w:rPr>
          <w:rFonts w:ascii="Times New Roman" w:hAnsi="Times New Roman"/>
          <w:i/>
          <w:iCs/>
          <w:sz w:val="20"/>
          <w:szCs w:val="20"/>
          <w:vertAlign w:val="subscript"/>
        </w:rPr>
        <w:t>c</w:t>
      </w:r>
      <w:r w:rsidRPr="00D70887">
        <w:rPr>
          <w:rFonts w:ascii="Times New Roman" w:hAnsi="Times New Roman"/>
          <w:sz w:val="20"/>
          <w:szCs w:val="20"/>
        </w:rPr>
        <w:t>) was recorded. For the determination of silt in the soil, the suspension was sieved into 50 μm sieve. The sieved soil was washed with water until the sieve is clear. The sand was quantitatively transferred to crucible of known weight. The crucible then was dried in the oven at 105 °C overnight. The crucible was cooled in desiccator and weighed.</w:t>
      </w:r>
    </w:p>
    <w:p w:rsidR="00D70887" w:rsidRPr="00D70887" w:rsidRDefault="00D70887" w:rsidP="00D70887">
      <w:pPr>
        <w:spacing w:after="0" w:line="240" w:lineRule="auto"/>
        <w:jc w:val="both"/>
        <w:rPr>
          <w:rFonts w:ascii="Times New Roman" w:hAnsi="Times New Roman"/>
          <w:sz w:val="20"/>
          <w:szCs w:val="20"/>
        </w:rPr>
      </w:pPr>
    </w:p>
    <w:p w:rsidR="00D70887" w:rsidRPr="00D70887" w:rsidRDefault="00D70887" w:rsidP="00D70887">
      <w:pPr>
        <w:pStyle w:val="Default"/>
        <w:jc w:val="both"/>
        <w:rPr>
          <w:sz w:val="20"/>
          <w:szCs w:val="20"/>
        </w:rPr>
      </w:pPr>
      <w:r w:rsidRPr="00D70887">
        <w:rPr>
          <w:b/>
          <w:bCs/>
          <w:sz w:val="20"/>
          <w:szCs w:val="20"/>
        </w:rPr>
        <w:t xml:space="preserve">Soil organic matter </w:t>
      </w:r>
    </w:p>
    <w:p w:rsidR="00D70887" w:rsidRPr="00D70887" w:rsidRDefault="00D70887" w:rsidP="00D70887">
      <w:pPr>
        <w:spacing w:after="0" w:line="240" w:lineRule="auto"/>
        <w:jc w:val="both"/>
        <w:rPr>
          <w:rFonts w:ascii="Times New Roman" w:hAnsi="Times New Roman"/>
          <w:sz w:val="20"/>
          <w:szCs w:val="20"/>
        </w:rPr>
      </w:pPr>
      <w:r w:rsidRPr="00D70887">
        <w:rPr>
          <w:rFonts w:ascii="Times New Roman" w:hAnsi="Times New Roman"/>
          <w:sz w:val="20"/>
          <w:szCs w:val="20"/>
        </w:rPr>
        <w:t>The organic matter (OM) in the soil was estimated as soil organic carbon (SOC), using the loss-on-ignition method (LOI). Crucibles were dried at 105 °C for at least 1 h and cooled in dessicator for 30 min. About 5.0 g of soil was transferred into the crucible; oven dried overnight at 105 °C, cooled in dessicator and reweighed using an analytical balance. The crucible was placed into a furnace at 450 °C for 4 h, and reweigh after proper cooling. The percentage of LOI and SOC were determined using Eq. 1 and Eq. 2, respectively.</w:t>
      </w:r>
    </w:p>
    <w:p w:rsidR="00D70887" w:rsidRPr="00D70887" w:rsidRDefault="00D70887" w:rsidP="00D70887">
      <w:pPr>
        <w:spacing w:after="0" w:line="240" w:lineRule="auto"/>
        <w:jc w:val="both"/>
        <w:rPr>
          <w:rFonts w:ascii="Times New Roman" w:hAnsi="Times New Roman"/>
          <w:sz w:val="20"/>
          <w:szCs w:val="20"/>
        </w:rPr>
      </w:pPr>
    </w:p>
    <w:p w:rsidR="00D70887" w:rsidRPr="00D70887" w:rsidRDefault="00D70887" w:rsidP="00D70887">
      <w:pPr>
        <w:spacing w:after="0" w:line="240" w:lineRule="auto"/>
        <w:jc w:val="both"/>
        <w:rPr>
          <w:rFonts w:ascii="Times New Roman" w:hAnsi="Times New Roman"/>
          <w:color w:val="000000"/>
          <w:sz w:val="20"/>
          <w:szCs w:val="20"/>
        </w:rPr>
      </w:pPr>
      <w:r w:rsidRPr="00D70887">
        <w:rPr>
          <w:rFonts w:ascii="Times New Roman" w:hAnsi="Times New Roman"/>
          <w:color w:val="000000"/>
          <w:sz w:val="20"/>
          <w:szCs w:val="20"/>
        </w:rPr>
        <w:tab/>
        <w:t xml:space="preserve">LOI = </w:t>
      </w:r>
      <w:r w:rsidRPr="00D70887">
        <w:rPr>
          <w:rFonts w:ascii="Times New Roman" w:hAnsi="Times New Roman"/>
          <w:color w:val="000000"/>
          <w:position w:val="-30"/>
          <w:sz w:val="20"/>
          <w:szCs w:val="20"/>
        </w:rPr>
        <w:object w:dxaOrig="2659"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26.25pt" o:ole="">
            <v:imagedata r:id="rId14" o:title=""/>
          </v:shape>
          <o:OLEObject Type="Embed" ProgID="Equation.3" ShapeID="_x0000_i1025" DrawAspect="Content" ObjectID="_1536549782" r:id="rId15"/>
        </w:object>
      </w:r>
      <w:r w:rsidRPr="00D70887">
        <w:rPr>
          <w:rFonts w:ascii="Times New Roman" w:hAnsi="Times New Roman"/>
          <w:color w:val="000000"/>
          <w:sz w:val="20"/>
          <w:szCs w:val="20"/>
        </w:rPr>
        <w:tab/>
      </w:r>
      <w:r w:rsidRPr="00D70887">
        <w:rPr>
          <w:rFonts w:ascii="Times New Roman" w:hAnsi="Times New Roman"/>
          <w:color w:val="000000"/>
          <w:sz w:val="20"/>
          <w:szCs w:val="20"/>
        </w:rPr>
        <w:tab/>
      </w:r>
      <w:r w:rsidRPr="00D70887">
        <w:rPr>
          <w:rFonts w:ascii="Times New Roman" w:hAnsi="Times New Roman"/>
          <w:color w:val="000000"/>
          <w:sz w:val="20"/>
          <w:szCs w:val="20"/>
        </w:rPr>
        <w:tab/>
        <w:t xml:space="preserve">                                                                         </w:t>
      </w:r>
      <w:r w:rsidR="0053607B">
        <w:rPr>
          <w:rFonts w:ascii="Times New Roman" w:hAnsi="Times New Roman"/>
          <w:color w:val="000000"/>
          <w:sz w:val="20"/>
          <w:szCs w:val="20"/>
        </w:rPr>
        <w:t xml:space="preserve">     </w:t>
      </w:r>
      <w:r w:rsidRPr="00D70887">
        <w:rPr>
          <w:rFonts w:ascii="Times New Roman" w:hAnsi="Times New Roman"/>
          <w:color w:val="000000"/>
          <w:sz w:val="20"/>
          <w:szCs w:val="20"/>
        </w:rPr>
        <w:t xml:space="preserve">  </w:t>
      </w:r>
      <w:r w:rsidR="0053607B">
        <w:rPr>
          <w:rFonts w:ascii="Times New Roman" w:hAnsi="Times New Roman"/>
          <w:color w:val="000000"/>
          <w:sz w:val="20"/>
          <w:szCs w:val="20"/>
        </w:rPr>
        <w:t xml:space="preserve"> </w:t>
      </w:r>
      <w:r w:rsidRPr="00D70887">
        <w:rPr>
          <w:rFonts w:ascii="Times New Roman" w:hAnsi="Times New Roman"/>
          <w:color w:val="000000"/>
          <w:sz w:val="20"/>
          <w:szCs w:val="20"/>
        </w:rPr>
        <w:t>(1)</w:t>
      </w:r>
    </w:p>
    <w:p w:rsidR="00D70887" w:rsidRPr="00D70887" w:rsidRDefault="00D70887" w:rsidP="00D70887">
      <w:pPr>
        <w:spacing w:after="0" w:line="240" w:lineRule="auto"/>
        <w:jc w:val="both"/>
        <w:rPr>
          <w:rFonts w:ascii="Times New Roman" w:hAnsi="Times New Roman"/>
          <w:color w:val="000000"/>
          <w:sz w:val="20"/>
          <w:szCs w:val="20"/>
        </w:rPr>
      </w:pPr>
    </w:p>
    <w:p w:rsidR="00D70887" w:rsidRPr="00D70887" w:rsidRDefault="00D70887" w:rsidP="00D70887">
      <w:pPr>
        <w:spacing w:after="0" w:line="240" w:lineRule="auto"/>
        <w:ind w:firstLine="720"/>
        <w:jc w:val="both"/>
        <w:rPr>
          <w:rFonts w:ascii="Times New Roman" w:hAnsi="Times New Roman"/>
          <w:color w:val="000000"/>
          <w:sz w:val="20"/>
          <w:szCs w:val="20"/>
        </w:rPr>
      </w:pPr>
      <w:r w:rsidRPr="00D70887">
        <w:rPr>
          <w:rFonts w:ascii="Times New Roman" w:hAnsi="Times New Roman"/>
          <w:color w:val="000000"/>
          <w:sz w:val="20"/>
          <w:szCs w:val="20"/>
        </w:rPr>
        <w:lastRenderedPageBreak/>
        <w:t xml:space="preserve">SOC = </w:t>
      </w:r>
      <w:r w:rsidRPr="00D70887">
        <w:rPr>
          <w:rFonts w:ascii="Times New Roman" w:hAnsi="Times New Roman"/>
          <w:color w:val="000000"/>
          <w:position w:val="-10"/>
          <w:sz w:val="20"/>
          <w:szCs w:val="20"/>
        </w:rPr>
        <w:object w:dxaOrig="180" w:dyaOrig="340">
          <v:shape id="_x0000_i1026" type="#_x0000_t75" style="width:8.25pt;height:18pt" o:ole="">
            <v:imagedata r:id="rId16" o:title=""/>
          </v:shape>
          <o:OLEObject Type="Embed" ProgID="Equation.3" ShapeID="_x0000_i1026" DrawAspect="Content" ObjectID="_1536549783" r:id="rId17"/>
        </w:object>
      </w:r>
      <w:r w:rsidRPr="00D70887">
        <w:rPr>
          <w:rFonts w:ascii="Times New Roman" w:hAnsi="Times New Roman"/>
          <w:color w:val="000000"/>
          <w:position w:val="-24"/>
          <w:sz w:val="20"/>
          <w:szCs w:val="20"/>
        </w:rPr>
        <w:object w:dxaOrig="540" w:dyaOrig="620">
          <v:shape id="_x0000_i1027" type="#_x0000_t75" style="width:21.75pt;height:25.5pt" o:ole="">
            <v:imagedata r:id="rId18" o:title=""/>
          </v:shape>
          <o:OLEObject Type="Embed" ProgID="Equation.3" ShapeID="_x0000_i1027" DrawAspect="Content" ObjectID="_1536549784" r:id="rId19"/>
        </w:object>
      </w:r>
      <w:r w:rsidRPr="00D70887">
        <w:rPr>
          <w:rFonts w:ascii="Times New Roman" w:hAnsi="Times New Roman"/>
          <w:color w:val="000000"/>
          <w:sz w:val="20"/>
          <w:szCs w:val="20"/>
        </w:rPr>
        <w:tab/>
      </w:r>
      <w:r w:rsidRPr="00D70887">
        <w:rPr>
          <w:rFonts w:ascii="Times New Roman" w:hAnsi="Times New Roman"/>
          <w:color w:val="000000"/>
          <w:sz w:val="20"/>
          <w:szCs w:val="20"/>
        </w:rPr>
        <w:tab/>
      </w:r>
      <w:r w:rsidRPr="00D70887">
        <w:rPr>
          <w:rFonts w:ascii="Times New Roman" w:hAnsi="Times New Roman"/>
          <w:color w:val="000000"/>
          <w:sz w:val="20"/>
          <w:szCs w:val="20"/>
        </w:rPr>
        <w:tab/>
      </w:r>
      <w:r w:rsidRPr="00D70887">
        <w:rPr>
          <w:rFonts w:ascii="Times New Roman" w:hAnsi="Times New Roman"/>
          <w:color w:val="000000"/>
          <w:sz w:val="20"/>
          <w:szCs w:val="20"/>
        </w:rPr>
        <w:tab/>
      </w:r>
      <w:r w:rsidRPr="00D70887">
        <w:rPr>
          <w:rFonts w:ascii="Times New Roman" w:hAnsi="Times New Roman"/>
          <w:color w:val="000000"/>
          <w:sz w:val="20"/>
          <w:szCs w:val="20"/>
        </w:rPr>
        <w:tab/>
      </w:r>
      <w:r w:rsidRPr="00D70887">
        <w:rPr>
          <w:rFonts w:ascii="Times New Roman" w:hAnsi="Times New Roman"/>
          <w:color w:val="000000"/>
          <w:sz w:val="20"/>
          <w:szCs w:val="20"/>
        </w:rPr>
        <w:tab/>
        <w:t xml:space="preserve">                                                           </w:t>
      </w:r>
      <w:r w:rsidR="0053607B">
        <w:rPr>
          <w:rFonts w:ascii="Times New Roman" w:hAnsi="Times New Roman"/>
          <w:color w:val="000000"/>
          <w:sz w:val="20"/>
          <w:szCs w:val="20"/>
        </w:rPr>
        <w:t xml:space="preserve">      </w:t>
      </w:r>
      <w:r w:rsidRPr="00D70887">
        <w:rPr>
          <w:rFonts w:ascii="Times New Roman" w:hAnsi="Times New Roman"/>
          <w:color w:val="000000"/>
          <w:sz w:val="20"/>
          <w:szCs w:val="20"/>
        </w:rPr>
        <w:t xml:space="preserve"> (2)</w:t>
      </w:r>
    </w:p>
    <w:p w:rsidR="00D70887" w:rsidRPr="00D70887" w:rsidRDefault="00D70887" w:rsidP="00D70887">
      <w:pPr>
        <w:spacing w:after="0" w:line="240" w:lineRule="auto"/>
        <w:ind w:left="1440"/>
        <w:jc w:val="both"/>
        <w:rPr>
          <w:rFonts w:ascii="Times New Roman" w:hAnsi="Times New Roman"/>
          <w:color w:val="000000"/>
          <w:sz w:val="20"/>
          <w:szCs w:val="20"/>
        </w:rPr>
      </w:pPr>
    </w:p>
    <w:p w:rsidR="00D70887" w:rsidRPr="00D70887" w:rsidRDefault="0053607B" w:rsidP="00D70887">
      <w:pPr>
        <w:spacing w:after="0" w:line="240" w:lineRule="auto"/>
        <w:jc w:val="both"/>
        <w:rPr>
          <w:rFonts w:ascii="Times New Roman" w:hAnsi="Times New Roman"/>
          <w:color w:val="000000"/>
          <w:sz w:val="20"/>
          <w:szCs w:val="20"/>
        </w:rPr>
      </w:pPr>
      <w:r>
        <w:rPr>
          <w:rFonts w:ascii="Times New Roman" w:hAnsi="Times New Roman"/>
          <w:color w:val="000000"/>
          <w:sz w:val="20"/>
          <w:szCs w:val="20"/>
        </w:rPr>
        <w:t>w</w:t>
      </w:r>
      <w:r w:rsidR="00D70887" w:rsidRPr="00D70887">
        <w:rPr>
          <w:rFonts w:ascii="Times New Roman" w:hAnsi="Times New Roman"/>
          <w:color w:val="000000"/>
          <w:sz w:val="20"/>
          <w:szCs w:val="20"/>
        </w:rPr>
        <w:t xml:space="preserve">here </w:t>
      </w:r>
      <w:r w:rsidR="00D70887" w:rsidRPr="00D70887">
        <w:rPr>
          <w:rFonts w:ascii="Times New Roman" w:hAnsi="Times New Roman"/>
          <w:i/>
          <w:color w:val="000000"/>
          <w:sz w:val="20"/>
          <w:szCs w:val="20"/>
        </w:rPr>
        <w:t>W</w:t>
      </w:r>
      <w:r w:rsidR="00D70887" w:rsidRPr="00D70887">
        <w:rPr>
          <w:rFonts w:ascii="Times New Roman" w:hAnsi="Times New Roman"/>
          <w:color w:val="000000"/>
          <w:sz w:val="20"/>
          <w:szCs w:val="20"/>
          <w:vertAlign w:val="subscript"/>
        </w:rPr>
        <w:t>1</w:t>
      </w:r>
      <w:r w:rsidR="00D70887" w:rsidRPr="00D70887">
        <w:rPr>
          <w:rFonts w:ascii="Times New Roman" w:hAnsi="Times New Roman"/>
          <w:color w:val="000000"/>
          <w:sz w:val="20"/>
          <w:szCs w:val="20"/>
        </w:rPr>
        <w:t xml:space="preserve"> is the weight of empty crucible; </w:t>
      </w:r>
      <w:r w:rsidR="00D70887" w:rsidRPr="00D70887">
        <w:rPr>
          <w:rFonts w:ascii="Times New Roman" w:hAnsi="Times New Roman"/>
          <w:i/>
          <w:color w:val="000000"/>
          <w:sz w:val="20"/>
          <w:szCs w:val="20"/>
        </w:rPr>
        <w:t>W</w:t>
      </w:r>
      <w:r w:rsidR="00D70887" w:rsidRPr="00D70887">
        <w:rPr>
          <w:rFonts w:ascii="Times New Roman" w:hAnsi="Times New Roman"/>
          <w:color w:val="000000"/>
          <w:sz w:val="20"/>
          <w:szCs w:val="20"/>
          <w:vertAlign w:val="subscript"/>
        </w:rPr>
        <w:t>2</w:t>
      </w:r>
      <w:r w:rsidR="00D70887" w:rsidRPr="00D70887">
        <w:rPr>
          <w:rFonts w:ascii="Times New Roman" w:hAnsi="Times New Roman"/>
          <w:color w:val="000000"/>
          <w:sz w:val="20"/>
          <w:szCs w:val="20"/>
        </w:rPr>
        <w:t xml:space="preserve"> is the weight of crucible and soil samples before ignition; and </w:t>
      </w:r>
      <w:r w:rsidR="00D70887" w:rsidRPr="00D70887">
        <w:rPr>
          <w:rFonts w:ascii="Times New Roman" w:hAnsi="Times New Roman"/>
          <w:i/>
          <w:color w:val="000000"/>
          <w:sz w:val="20"/>
          <w:szCs w:val="20"/>
        </w:rPr>
        <w:t>W</w:t>
      </w:r>
      <w:r w:rsidR="00D70887" w:rsidRPr="00D70887">
        <w:rPr>
          <w:rFonts w:ascii="Times New Roman" w:hAnsi="Times New Roman"/>
          <w:color w:val="000000"/>
          <w:sz w:val="20"/>
          <w:szCs w:val="20"/>
          <w:vertAlign w:val="subscript"/>
        </w:rPr>
        <w:t>3</w:t>
      </w:r>
      <w:r w:rsidR="00D70887" w:rsidRPr="00D70887">
        <w:rPr>
          <w:rFonts w:ascii="Times New Roman" w:hAnsi="Times New Roman"/>
          <w:color w:val="000000"/>
          <w:sz w:val="20"/>
          <w:szCs w:val="20"/>
        </w:rPr>
        <w:t xml:space="preserve"> is the weight of crucible and soil samples after ignition. </w:t>
      </w:r>
    </w:p>
    <w:p w:rsidR="00D70887" w:rsidRPr="00D70887" w:rsidRDefault="00D70887" w:rsidP="00D70887">
      <w:pPr>
        <w:spacing w:after="0" w:line="240" w:lineRule="auto"/>
        <w:jc w:val="both"/>
        <w:rPr>
          <w:rFonts w:ascii="Times New Roman" w:hAnsi="Times New Roman"/>
          <w:sz w:val="20"/>
          <w:szCs w:val="20"/>
        </w:rPr>
      </w:pPr>
    </w:p>
    <w:p w:rsidR="00D70887" w:rsidRPr="00D70887" w:rsidRDefault="00D70887" w:rsidP="00D70887">
      <w:pPr>
        <w:pStyle w:val="Default"/>
        <w:jc w:val="both"/>
        <w:rPr>
          <w:sz w:val="20"/>
          <w:szCs w:val="20"/>
        </w:rPr>
      </w:pPr>
      <w:r w:rsidRPr="00D70887">
        <w:rPr>
          <w:b/>
          <w:bCs/>
          <w:sz w:val="20"/>
          <w:szCs w:val="20"/>
        </w:rPr>
        <w:t>Cation exchange capacity</w:t>
      </w:r>
    </w:p>
    <w:p w:rsidR="00D70887" w:rsidRPr="00D70887" w:rsidRDefault="00D70887" w:rsidP="00D70887">
      <w:pPr>
        <w:pStyle w:val="Default"/>
        <w:jc w:val="both"/>
        <w:rPr>
          <w:sz w:val="20"/>
          <w:szCs w:val="20"/>
        </w:rPr>
      </w:pPr>
      <w:r w:rsidRPr="00D70887">
        <w:rPr>
          <w:sz w:val="20"/>
          <w:szCs w:val="20"/>
          <w:lang w:val="en-AU"/>
        </w:rPr>
        <w:t xml:space="preserve">The CEC values were determined with the sodium acetate method. </w:t>
      </w:r>
      <w:r w:rsidRPr="00D70887">
        <w:rPr>
          <w:sz w:val="20"/>
          <w:szCs w:val="20"/>
        </w:rPr>
        <w:t>Four grams of soil sample was mixed with 30 mL of 1.0 N sodium acetate (NaOAc) solution in a 50 mL centrifuge tube for 5 min using a mechanical shaker. Then the content was centrifuged and the supernatant was decanted. The step was repeated thrice using NaOAc solution. Thirty three millilitres of 99 % isopropyl alcohol was added to the centrifuge tube. Then, the tube was shaken in mechanical shaker for 5 min and centrifuged to decant the liquid. This step was repeated for twice. Next, 33 mL of ammonium acetate (NH</w:t>
      </w:r>
      <w:r w:rsidRPr="00D70887">
        <w:rPr>
          <w:sz w:val="20"/>
          <w:szCs w:val="20"/>
          <w:vertAlign w:val="subscript"/>
        </w:rPr>
        <w:t>4</w:t>
      </w:r>
      <w:r w:rsidRPr="00D70887">
        <w:rPr>
          <w:sz w:val="20"/>
          <w:szCs w:val="20"/>
        </w:rPr>
        <w:t>OAc) solution was added into the tube. Then, the tube is shaken for 5 min. The liquid was centrifuged and the supernatant was decanted into a 100 mL volumetric flask. The procedure was repeated twice. The combined washing was diluted to 100 mL with NH</w:t>
      </w:r>
      <w:r w:rsidRPr="00D70887">
        <w:rPr>
          <w:sz w:val="20"/>
          <w:szCs w:val="20"/>
          <w:vertAlign w:val="subscript"/>
        </w:rPr>
        <w:t>4</w:t>
      </w:r>
      <w:r w:rsidRPr="00D70887">
        <w:rPr>
          <w:sz w:val="20"/>
          <w:szCs w:val="20"/>
        </w:rPr>
        <w:t xml:space="preserve">OAc solution and the solution was analysed using Inductively Couple Plasma- Optical Emission Spectrometry (ICP-OES) for sodium concentration. </w:t>
      </w:r>
    </w:p>
    <w:p w:rsidR="00D70887" w:rsidRPr="00D70887" w:rsidRDefault="00D70887" w:rsidP="00D70887">
      <w:pPr>
        <w:spacing w:after="0" w:line="240" w:lineRule="auto"/>
        <w:jc w:val="both"/>
        <w:rPr>
          <w:rFonts w:ascii="Times New Roman" w:hAnsi="Times New Roman"/>
          <w:b/>
          <w:bCs/>
          <w:sz w:val="20"/>
          <w:szCs w:val="20"/>
        </w:rPr>
      </w:pPr>
    </w:p>
    <w:p w:rsidR="00D70887" w:rsidRPr="00D70887" w:rsidRDefault="00D70887" w:rsidP="00D70887">
      <w:pPr>
        <w:pStyle w:val="Default"/>
        <w:jc w:val="both"/>
        <w:rPr>
          <w:sz w:val="20"/>
          <w:szCs w:val="20"/>
        </w:rPr>
      </w:pPr>
      <w:r w:rsidRPr="00D70887">
        <w:rPr>
          <w:b/>
          <w:bCs/>
          <w:sz w:val="20"/>
          <w:szCs w:val="20"/>
        </w:rPr>
        <w:t xml:space="preserve">Acid digestion of soil sample </w:t>
      </w:r>
    </w:p>
    <w:p w:rsidR="00D70887" w:rsidRPr="00D70887" w:rsidRDefault="00D70887" w:rsidP="00D70887">
      <w:pPr>
        <w:spacing w:after="0" w:line="240" w:lineRule="auto"/>
        <w:jc w:val="both"/>
        <w:rPr>
          <w:rFonts w:ascii="Times New Roman" w:hAnsi="Times New Roman"/>
          <w:sz w:val="20"/>
          <w:szCs w:val="20"/>
        </w:rPr>
      </w:pPr>
      <w:r w:rsidRPr="00D70887">
        <w:rPr>
          <w:rFonts w:ascii="Times New Roman" w:hAnsi="Times New Roman"/>
          <w:sz w:val="20"/>
          <w:szCs w:val="20"/>
        </w:rPr>
        <w:t>About 0.5 g of soil sample was digested in 100 mL beaker using aqua regia solution. The content of the beaker was heated at 100 °C until the volume of acid is decreased to about 5 mL without precipitation. Digested solution was cooled, filtered and diluted to 50 mL in a volumetric flask. The metal composition of the digested solution was analysed using ICP-OES.</w:t>
      </w:r>
    </w:p>
    <w:p w:rsidR="00D70887" w:rsidRPr="00D70887" w:rsidRDefault="00D70887" w:rsidP="00D70887">
      <w:pPr>
        <w:spacing w:after="0" w:line="240" w:lineRule="auto"/>
        <w:jc w:val="both"/>
        <w:rPr>
          <w:rFonts w:ascii="Times New Roman" w:hAnsi="Times New Roman"/>
          <w:sz w:val="20"/>
          <w:szCs w:val="20"/>
        </w:rPr>
      </w:pPr>
    </w:p>
    <w:p w:rsidR="00D70887" w:rsidRPr="00D70887" w:rsidRDefault="00D70887" w:rsidP="00D70887">
      <w:pPr>
        <w:pStyle w:val="Default"/>
        <w:jc w:val="both"/>
        <w:rPr>
          <w:sz w:val="20"/>
          <w:szCs w:val="20"/>
        </w:rPr>
      </w:pPr>
      <w:r w:rsidRPr="00D70887">
        <w:rPr>
          <w:b/>
          <w:bCs/>
          <w:sz w:val="20"/>
          <w:szCs w:val="20"/>
        </w:rPr>
        <w:t xml:space="preserve">Soil column leaching test </w:t>
      </w:r>
    </w:p>
    <w:p w:rsidR="00D70887" w:rsidRPr="00D70887" w:rsidRDefault="00D70887" w:rsidP="00D70887">
      <w:pPr>
        <w:spacing w:after="0" w:line="240" w:lineRule="auto"/>
        <w:jc w:val="both"/>
        <w:rPr>
          <w:rFonts w:ascii="Times New Roman" w:hAnsi="Times New Roman"/>
          <w:sz w:val="20"/>
          <w:szCs w:val="20"/>
        </w:rPr>
      </w:pPr>
      <w:r w:rsidRPr="00D70887">
        <w:rPr>
          <w:rFonts w:ascii="Times New Roman" w:hAnsi="Times New Roman"/>
          <w:sz w:val="20"/>
          <w:szCs w:val="20"/>
        </w:rPr>
        <w:t>A glass column with 13 cm height and 4 cm diameter was used in the column leaching test. This column was packed to about 10 cm height, using composite of soil samples from three targets at the shooting range. The soil composite was transferred to the glass column in small portions to obtain uniform packing. The soil column was pre-wetted with artificial rain (0.01 M CaCl</w:t>
      </w:r>
      <w:r w:rsidRPr="00D70887">
        <w:rPr>
          <w:rFonts w:ascii="Times New Roman" w:hAnsi="Times New Roman"/>
          <w:sz w:val="20"/>
          <w:szCs w:val="20"/>
          <w:vertAlign w:val="subscript"/>
        </w:rPr>
        <w:t>2</w:t>
      </w:r>
      <w:r w:rsidRPr="00D70887">
        <w:rPr>
          <w:rFonts w:ascii="Times New Roman" w:hAnsi="Times New Roman"/>
          <w:sz w:val="20"/>
          <w:szCs w:val="20"/>
        </w:rPr>
        <w:t>, pH 7) from the top to bottom in order to displace the air in the soil pores. The soil then was allowed to equilibrate and the excess water was drained off by gravity. Then, 200 mL artificial rainwater was applied to the soil column. To obtain homogenous distribution the solution, the artificial rainwater was applied evenly over the surface of the soil column. The surface of the soil column was covered with a gauze cloth to ensure even distribution of the artificial rain, and to avoid the disturbance of the soil surface by the rain drops. With the aid of peristaltic pump, a total of 600 mL artificial rain was added drop-wise on to the top of the soil column. Soil leaching test was repeated using 0.01 M CaCl</w:t>
      </w:r>
      <w:r w:rsidRPr="00D70887">
        <w:rPr>
          <w:rFonts w:ascii="Times New Roman" w:hAnsi="Times New Roman"/>
          <w:sz w:val="20"/>
          <w:szCs w:val="20"/>
          <w:vertAlign w:val="subscript"/>
        </w:rPr>
        <w:t>2</w:t>
      </w:r>
      <w:r w:rsidRPr="00D70887">
        <w:rPr>
          <w:rFonts w:ascii="Times New Roman" w:hAnsi="Times New Roman"/>
          <w:sz w:val="20"/>
          <w:szCs w:val="20"/>
        </w:rPr>
        <w:t xml:space="preserve"> at pH 4. Leachates were collected in three successive fractions, and were analysed with ICP-OES.</w:t>
      </w:r>
    </w:p>
    <w:p w:rsidR="00D70887" w:rsidRPr="00D70887" w:rsidRDefault="00D70887" w:rsidP="00D70887">
      <w:pPr>
        <w:autoSpaceDE w:val="0"/>
        <w:autoSpaceDN w:val="0"/>
        <w:adjustRightInd w:val="0"/>
        <w:spacing w:after="0" w:line="240" w:lineRule="auto"/>
        <w:jc w:val="both"/>
        <w:rPr>
          <w:rFonts w:ascii="Times New Roman" w:hAnsi="Times New Roman"/>
          <w:sz w:val="20"/>
          <w:szCs w:val="20"/>
        </w:rPr>
      </w:pPr>
    </w:p>
    <w:p w:rsidR="00D70887" w:rsidRPr="00D70887" w:rsidRDefault="00D70887" w:rsidP="00D70887">
      <w:pPr>
        <w:autoSpaceDE w:val="0"/>
        <w:autoSpaceDN w:val="0"/>
        <w:adjustRightInd w:val="0"/>
        <w:spacing w:after="0" w:line="240" w:lineRule="auto"/>
        <w:jc w:val="both"/>
        <w:rPr>
          <w:rFonts w:ascii="Times New Roman" w:hAnsi="Times New Roman"/>
          <w:b/>
          <w:sz w:val="20"/>
          <w:szCs w:val="20"/>
        </w:rPr>
      </w:pPr>
      <w:r w:rsidRPr="00D70887">
        <w:rPr>
          <w:rFonts w:ascii="Times New Roman" w:hAnsi="Times New Roman"/>
          <w:b/>
          <w:sz w:val="20"/>
          <w:szCs w:val="20"/>
        </w:rPr>
        <w:t>Correlation studies</w:t>
      </w:r>
    </w:p>
    <w:p w:rsidR="00D70887" w:rsidRPr="00D70887" w:rsidRDefault="00D70887" w:rsidP="00D70887">
      <w:pPr>
        <w:autoSpaceDE w:val="0"/>
        <w:autoSpaceDN w:val="0"/>
        <w:adjustRightInd w:val="0"/>
        <w:spacing w:after="0" w:line="240" w:lineRule="auto"/>
        <w:jc w:val="both"/>
        <w:rPr>
          <w:rFonts w:ascii="Times New Roman" w:hAnsi="Times New Roman"/>
          <w:sz w:val="20"/>
          <w:szCs w:val="20"/>
        </w:rPr>
      </w:pPr>
      <w:r w:rsidRPr="00D70887">
        <w:rPr>
          <w:rFonts w:ascii="Times New Roman" w:hAnsi="Times New Roman"/>
          <w:sz w:val="20"/>
          <w:szCs w:val="20"/>
        </w:rPr>
        <w:t>Correlation of Pb concentrations in leachate fractions (i.e. Leachate Pb) and soil physico-chemical parameters (i.e., Soil Pb, Soil pH, Soil OM, CEC) were analysed with Pearson correlation using SPSS version 13.</w:t>
      </w:r>
    </w:p>
    <w:p w:rsidR="006768E9" w:rsidRPr="00F447A7" w:rsidRDefault="006768E9" w:rsidP="00D7088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53607B" w:rsidRPr="0053607B" w:rsidRDefault="0053607B" w:rsidP="0053607B">
      <w:pPr>
        <w:pStyle w:val="Default"/>
        <w:jc w:val="both"/>
        <w:rPr>
          <w:sz w:val="20"/>
          <w:szCs w:val="20"/>
        </w:rPr>
      </w:pPr>
      <w:r w:rsidRPr="0053607B">
        <w:rPr>
          <w:b/>
          <w:bCs/>
          <w:sz w:val="20"/>
          <w:szCs w:val="20"/>
        </w:rPr>
        <w:t xml:space="preserve">Physico-chemical properties of shooting range soil </w:t>
      </w:r>
    </w:p>
    <w:p w:rsidR="0053607B" w:rsidRPr="0053607B" w:rsidRDefault="0053607B" w:rsidP="0053607B">
      <w:pPr>
        <w:pStyle w:val="Default"/>
        <w:jc w:val="both"/>
        <w:rPr>
          <w:sz w:val="20"/>
          <w:szCs w:val="20"/>
        </w:rPr>
      </w:pPr>
      <w:r w:rsidRPr="0053607B">
        <w:rPr>
          <w:sz w:val="20"/>
          <w:szCs w:val="20"/>
        </w:rPr>
        <w:t xml:space="preserve">The physico-chemical properties (i.e., pH, OM, CEC), soil composition and lead concentration in shooting range soil are shown in Table 1. The pH of the soil is slightly acidic (i.e. 5.55 to 6.34). The acidity may be due to acid deposition from the atmosphere in Kuala Lumpur </w:t>
      </w:r>
      <w:r w:rsidRPr="0053607B">
        <w:rPr>
          <w:sz w:val="20"/>
          <w:szCs w:val="20"/>
        </w:rPr>
        <w:fldChar w:fldCharType="begin"/>
      </w:r>
      <w:r w:rsidRPr="0053607B">
        <w:rPr>
          <w:sz w:val="20"/>
          <w:szCs w:val="20"/>
        </w:rPr>
        <w:instrText xml:space="preserve"> ADDIN EN.CITE &lt;EndNote&gt;&lt;Cite&gt;&lt;Author&gt;Ayers&lt;/Author&gt;&lt;Year&gt;2002&lt;/Year&gt;&lt;RecNum&gt;3133&lt;/RecNum&gt;&lt;DisplayText&gt;[5]&lt;/DisplayText&gt;&lt;record&gt;&lt;rec-number&gt;3133&lt;/rec-number&gt;&lt;foreign-keys&gt;&lt;key app="EN" db-id="sr0twxwzpw9azuefz59vrzalex2r5r0e005r"&gt;3133&lt;/key&gt;&lt;/foreign-keys&gt;&lt;ref-type name="Journal Article"&gt;17&lt;/ref-type&gt;&lt;contributors&gt;&lt;authors&gt;&lt;author&gt;Ayers, GP&lt;/author&gt;&lt;author&gt;Peng, Leong Chow&lt;/author&gt;&lt;author&gt;Gillett, RW&lt;/author&gt;&lt;author&gt;Fook, Lim Sze&lt;/author&gt;&lt;/authors&gt;&lt;/contributors&gt;&lt;titles&gt;&lt;title&gt;Rainwater composition and acidity at five sites in Malaysia, in 1996&lt;/title&gt;&lt;secondary-title&gt;Water, Air, and Soil Pollution&lt;/secondary-title&gt;&lt;/titles&gt;&lt;periodical&gt;&lt;full-title&gt;Water, Air, and Soil Pollution&lt;/full-title&gt;&lt;abbr-1&gt;Water Air Soil Pollut&lt;/abbr-1&gt;&lt;/periodical&gt;&lt;pages&gt;15-30&lt;/pages&gt;&lt;volume&gt;133&lt;/volume&gt;&lt;number&gt;1-4&lt;/number&gt;&lt;dates&gt;&lt;year&gt;2002&lt;/year&gt;&lt;/dates&gt;&lt;publisher&gt;Springer&lt;/publisher&gt;&lt;isbn&gt;0049-6979&lt;/isbn&gt;&lt;urls&gt;&lt;/urls&gt;&lt;/record&gt;&lt;/Cite&gt;&lt;/EndNote&gt;</w:instrText>
      </w:r>
      <w:r w:rsidRPr="0053607B">
        <w:rPr>
          <w:sz w:val="20"/>
          <w:szCs w:val="20"/>
        </w:rPr>
        <w:fldChar w:fldCharType="separate"/>
      </w:r>
      <w:r w:rsidRPr="0053607B">
        <w:rPr>
          <w:noProof/>
          <w:sz w:val="20"/>
          <w:szCs w:val="20"/>
        </w:rPr>
        <w:t>[5]</w:t>
      </w:r>
      <w:r w:rsidRPr="0053607B">
        <w:rPr>
          <w:sz w:val="20"/>
          <w:szCs w:val="20"/>
        </w:rPr>
        <w:fldChar w:fldCharType="end"/>
      </w:r>
      <w:r w:rsidRPr="0053607B">
        <w:rPr>
          <w:sz w:val="20"/>
          <w:szCs w:val="20"/>
        </w:rPr>
        <w:t xml:space="preserve">. Baseline soil has a similar pH value (5.54) with those at the targets. The percentage of the silt, sand, and clay in the soil are 9%, 66% and 27%, respectively. The soil texture is of sandy clay loam according to United States Department of Agriculture (USDA) soil textural diagram. The OM content for baseline soil is 5.40 %, which is higher than those at the targets (i.e. 1.32 to 1.55 %). Vegetation on top of the baseline soil may have contributed to higher plant biomass and OM contents. Moreover, baseline soil has higher CEC value compared to those at three targets, possibly due to the higher OM contents in baseline soil </w:t>
      </w:r>
      <w:r w:rsidRPr="0053607B">
        <w:rPr>
          <w:sz w:val="20"/>
          <w:szCs w:val="20"/>
        </w:rPr>
        <w:fldChar w:fldCharType="begin"/>
      </w:r>
      <w:r w:rsidRPr="0053607B">
        <w:rPr>
          <w:sz w:val="20"/>
          <w:szCs w:val="20"/>
        </w:rPr>
        <w:instrText xml:space="preserve"> ADDIN EN.CITE &lt;EndNote&gt;&lt;Cite&gt;&lt;Author&gt;Asadu&lt;/Author&gt;&lt;Year&gt;1997&lt;/Year&gt;&lt;RecNum&gt;3134&lt;/RecNum&gt;&lt;DisplayText&gt;[6]&lt;/DisplayText&gt;&lt;record&gt;&lt;rec-number&gt;3134&lt;/rec-number&gt;&lt;foreign-keys&gt;&lt;key app="EN" db-id="sr0twxwzpw9azuefz59vrzalex2r5r0e005r"&gt;3134&lt;/key&gt;&lt;/foreign-keys&gt;&lt;ref-type name="Journal Article"&gt;17&lt;/ref-type&gt;&lt;contributors&gt;&lt;authors&gt;&lt;author&gt;Asadu, C. L. A.&lt;/author&gt;&lt;author&gt;Diels, J.&lt;/author&gt;&lt;author&gt;Vanlauwe, B.&lt;/author&gt;&lt;/authors&gt;&lt;/contributors&gt;&lt;titles&gt;&lt;title&gt;A comparison of the contributions of clay, silt, and organic matter to the effective CEC of soils of Subsaharian Africa&lt;/title&gt;&lt;secondary-title&gt;Soil Science&lt;/secondary-title&gt;&lt;/titles&gt;&lt;periodical&gt;&lt;full-title&gt;Soil Science&lt;/full-title&gt;&lt;/periodical&gt;&lt;pages&gt;785-794&lt;/pages&gt;&lt;volume&gt;162&lt;/volume&gt;&lt;number&gt;11&lt;/number&gt;&lt;dates&gt;&lt;year&gt;1997&lt;/year&gt;&lt;/dates&gt;&lt;isbn&gt;0038-075X&lt;/isbn&gt;&lt;accession-num&gt;00010694-199711000-00003&lt;/accession-num&gt;&lt;urls&gt;&lt;related-urls&gt;&lt;url&gt;http://journals.lww.com/soilsci/Fulltext/1997/11000/A_COMPARISON_OF_THE_CONTRIBUTIONS_OF_CLAY,_SILT,.3.aspx&lt;/url&gt;&lt;/related-urls&gt;&lt;/urls&gt;&lt;/record&gt;&lt;/Cite&gt;&lt;/EndNote&gt;</w:instrText>
      </w:r>
      <w:r w:rsidRPr="0053607B">
        <w:rPr>
          <w:sz w:val="20"/>
          <w:szCs w:val="20"/>
        </w:rPr>
        <w:fldChar w:fldCharType="separate"/>
      </w:r>
      <w:r w:rsidRPr="0053607B">
        <w:rPr>
          <w:noProof/>
          <w:sz w:val="20"/>
          <w:szCs w:val="20"/>
        </w:rPr>
        <w:t>[6]</w:t>
      </w:r>
      <w:r w:rsidRPr="0053607B">
        <w:rPr>
          <w:sz w:val="20"/>
          <w:szCs w:val="20"/>
        </w:rPr>
        <w:fldChar w:fldCharType="end"/>
      </w:r>
      <w:r w:rsidRPr="0053607B">
        <w:rPr>
          <w:sz w:val="20"/>
          <w:szCs w:val="20"/>
        </w:rPr>
        <w:t xml:space="preserve">. However, the CEC value of all soil samples decreased with decreasing pH value. A large CEC value of the soil samples is crucial for holding large amounts of lead cations. However, a combination of low rain pH, low clay </w:t>
      </w:r>
      <w:r w:rsidRPr="0053607B">
        <w:rPr>
          <w:sz w:val="20"/>
          <w:szCs w:val="20"/>
        </w:rPr>
        <w:lastRenderedPageBreak/>
        <w:t xml:space="preserve">content and OM content in soil may increase the risk for dissolution and mobilization of lead from shooting range soils into groundwater </w:t>
      </w:r>
      <w:r w:rsidRPr="0053607B">
        <w:rPr>
          <w:sz w:val="20"/>
          <w:szCs w:val="20"/>
        </w:rPr>
        <w:fldChar w:fldCharType="begin"/>
      </w:r>
      <w:r w:rsidRPr="0053607B">
        <w:rPr>
          <w:sz w:val="20"/>
          <w:szCs w:val="20"/>
        </w:rPr>
        <w:instrText xml:space="preserve"> ADDIN EN.CITE &lt;EndNote&gt;&lt;Cite&gt;&lt;Author&gt;Darling&lt;/Author&gt;&lt;Year&gt;2003&lt;/Year&gt;&lt;RecNum&gt;2955&lt;/RecNum&gt;&lt;DisplayText&gt;[7]&lt;/DisplayText&gt;&lt;record&gt;&lt;rec-number&gt;2955&lt;/rec-number&gt;&lt;foreign-keys&gt;&lt;key app="EN" db-id="sr0twxwzpw9azuefz59vrzalex2r5r0e005r" timestamp="1406206708"&gt;2955&lt;/key&gt;&lt;/foreign-keys&gt;&lt;ref-type name="Journal Article"&gt;17&lt;/ref-type&gt;&lt;contributors&gt;&lt;authors&gt;&lt;author&gt;Darling, Colin T. R.&lt;/author&gt;&lt;author&gt;Thomas, Vernon G.&lt;/author&gt;&lt;/authors&gt;&lt;/contributors&gt;&lt;titles&gt;&lt;title&gt;The distribution of outdoor shooting ranges in Ontario and the potential for lead pollution of soil and water&lt;/title&gt;&lt;secondary-title&gt;Science of the Total Environment&lt;/secondary-title&gt;&lt;/titles&gt;&lt;periodical&gt;&lt;full-title&gt;Science of the Total Environment&lt;/full-title&gt;&lt;/periodical&gt;&lt;pages&gt;235-243&lt;/pages&gt;&lt;volume&gt;313&lt;/volume&gt;&lt;number&gt;1–3&lt;/number&gt;&lt;keywords&gt;&lt;keyword&gt;Lead&lt;/keyword&gt;&lt;keyword&gt;Ontario&lt;/keyword&gt;&lt;keyword&gt;Pollution&lt;/keyword&gt;&lt;keyword&gt;Shooting ranges&lt;/keyword&gt;&lt;keyword&gt;Soil&lt;/keyword&gt;&lt;keyword&gt;Spatial distribution&lt;/keyword&gt;&lt;keyword&gt;Water&lt;/keyword&gt;&lt;/keywords&gt;&lt;dates&gt;&lt;year&gt;2003&lt;/year&gt;&lt;/dates&gt;&lt;isbn&gt;0048-9697&lt;/isbn&gt;&lt;urls&gt;&lt;related-urls&gt;&lt;url&gt;http://www.sciencedirect.com/science/article/pii/S0048969703003280&lt;/url&gt;&lt;/related-urls&gt;&lt;/urls&gt;&lt;electronic-resource-num&gt;http://dx.doi.org/10.1016/S0048-9697(03)00328-0&lt;/electronic-resource-num&gt;&lt;/record&gt;&lt;/Cite&gt;&lt;/EndNote&gt;</w:instrText>
      </w:r>
      <w:r w:rsidRPr="0053607B">
        <w:rPr>
          <w:sz w:val="20"/>
          <w:szCs w:val="20"/>
        </w:rPr>
        <w:fldChar w:fldCharType="separate"/>
      </w:r>
      <w:r w:rsidRPr="0053607B">
        <w:rPr>
          <w:noProof/>
          <w:sz w:val="20"/>
          <w:szCs w:val="20"/>
        </w:rPr>
        <w:t>[7]</w:t>
      </w:r>
      <w:r w:rsidRPr="0053607B">
        <w:rPr>
          <w:sz w:val="20"/>
          <w:szCs w:val="20"/>
        </w:rPr>
        <w:fldChar w:fldCharType="end"/>
      </w:r>
      <w:r w:rsidRPr="0053607B">
        <w:rPr>
          <w:sz w:val="20"/>
          <w:szCs w:val="20"/>
        </w:rPr>
        <w:t>.</w:t>
      </w:r>
    </w:p>
    <w:p w:rsidR="0053607B" w:rsidRDefault="0053607B" w:rsidP="0053607B">
      <w:pPr>
        <w:pStyle w:val="Default"/>
        <w:jc w:val="both"/>
        <w:rPr>
          <w:sz w:val="20"/>
          <w:szCs w:val="20"/>
        </w:rPr>
      </w:pPr>
    </w:p>
    <w:p w:rsidR="0053607B" w:rsidRPr="0053607B" w:rsidRDefault="0053607B" w:rsidP="0053607B">
      <w:pPr>
        <w:pStyle w:val="Default"/>
        <w:jc w:val="both"/>
        <w:rPr>
          <w:sz w:val="20"/>
          <w:szCs w:val="20"/>
        </w:rPr>
      </w:pPr>
    </w:p>
    <w:p w:rsidR="0053607B" w:rsidRDefault="0053607B" w:rsidP="0053607B">
      <w:pPr>
        <w:spacing w:after="0" w:line="240" w:lineRule="auto"/>
        <w:ind w:left="706" w:hanging="706"/>
        <w:jc w:val="center"/>
        <w:rPr>
          <w:rFonts w:ascii="Times New Roman" w:hAnsi="Times New Roman"/>
          <w:sz w:val="20"/>
          <w:szCs w:val="20"/>
        </w:rPr>
      </w:pPr>
      <w:r w:rsidRPr="0053607B">
        <w:rPr>
          <w:rFonts w:ascii="Times New Roman" w:hAnsi="Times New Roman"/>
          <w:sz w:val="20"/>
          <w:szCs w:val="20"/>
        </w:rPr>
        <w:t>Table 1</w:t>
      </w:r>
      <w:r w:rsidRPr="0053607B">
        <w:rPr>
          <w:rFonts w:ascii="Times New Roman" w:hAnsi="Times New Roman"/>
          <w:b/>
          <w:sz w:val="20"/>
          <w:szCs w:val="20"/>
        </w:rPr>
        <w:t xml:space="preserve">. </w:t>
      </w:r>
      <w:r>
        <w:rPr>
          <w:rFonts w:ascii="Times New Roman" w:hAnsi="Times New Roman"/>
          <w:b/>
          <w:sz w:val="20"/>
          <w:szCs w:val="20"/>
        </w:rPr>
        <w:t xml:space="preserve"> </w:t>
      </w:r>
      <w:r w:rsidRPr="0053607B">
        <w:rPr>
          <w:rFonts w:ascii="Times New Roman" w:hAnsi="Times New Roman"/>
          <w:sz w:val="20"/>
          <w:szCs w:val="20"/>
        </w:rPr>
        <w:t xml:space="preserve">Physico-chemical properties, particle size distribution and concentrations of Pb, Al, Fe, Ca, and K </w:t>
      </w:r>
    </w:p>
    <w:p w:rsidR="0053607B" w:rsidRPr="0053607B" w:rsidRDefault="0053607B" w:rsidP="0053607B">
      <w:pPr>
        <w:spacing w:after="120" w:line="240" w:lineRule="auto"/>
        <w:ind w:left="706" w:hanging="706"/>
        <w:jc w:val="center"/>
        <w:rPr>
          <w:rFonts w:ascii="Times New Roman" w:hAnsi="Times New Roman"/>
          <w:sz w:val="20"/>
          <w:szCs w:val="20"/>
        </w:rPr>
      </w:pPr>
      <w:r w:rsidRPr="0053607B">
        <w:rPr>
          <w:rFonts w:ascii="Times New Roman" w:hAnsi="Times New Roman"/>
          <w:sz w:val="20"/>
          <w:szCs w:val="20"/>
        </w:rPr>
        <w:t>in shooting range soil at target 4, 6 and 8.</w:t>
      </w:r>
    </w:p>
    <w:tbl>
      <w:tblPr>
        <w:tblStyle w:val="TableGrid"/>
        <w:tblW w:w="6312" w:type="dxa"/>
        <w:jc w:val="center"/>
        <w:tblLook w:val="04A0" w:firstRow="1" w:lastRow="0" w:firstColumn="1" w:lastColumn="0" w:noHBand="0" w:noVBand="1"/>
      </w:tblPr>
      <w:tblGrid>
        <w:gridCol w:w="2482"/>
        <w:gridCol w:w="947"/>
        <w:gridCol w:w="961"/>
        <w:gridCol w:w="961"/>
        <w:gridCol w:w="961"/>
      </w:tblGrid>
      <w:tr w:rsidR="0053607B" w:rsidRPr="0053607B" w:rsidTr="00FB4AE5">
        <w:trPr>
          <w:jc w:val="center"/>
        </w:trPr>
        <w:tc>
          <w:tcPr>
            <w:tcW w:w="2482" w:type="dxa"/>
            <w:vMerge w:val="restart"/>
            <w:tcBorders>
              <w:left w:val="nil"/>
              <w:right w:val="nil"/>
            </w:tcBorders>
            <w:vAlign w:val="center"/>
          </w:tcPr>
          <w:p w:rsidR="0053607B" w:rsidRPr="0053607B" w:rsidRDefault="0053607B" w:rsidP="0053607B">
            <w:pPr>
              <w:spacing w:after="0" w:line="240" w:lineRule="auto"/>
              <w:rPr>
                <w:rFonts w:ascii="Times New Roman" w:hAnsi="Times New Roman"/>
                <w:b/>
                <w:sz w:val="20"/>
                <w:szCs w:val="20"/>
              </w:rPr>
            </w:pPr>
            <w:r w:rsidRPr="0053607B">
              <w:rPr>
                <w:rFonts w:ascii="Times New Roman" w:hAnsi="Times New Roman"/>
                <w:b/>
                <w:sz w:val="20"/>
                <w:szCs w:val="20"/>
              </w:rPr>
              <w:t xml:space="preserve">Variable </w:t>
            </w:r>
          </w:p>
        </w:tc>
        <w:tc>
          <w:tcPr>
            <w:tcW w:w="3830" w:type="dxa"/>
            <w:gridSpan w:val="4"/>
            <w:tcBorders>
              <w:left w:val="nil"/>
              <w:right w:val="nil"/>
            </w:tcBorders>
            <w:vAlign w:val="center"/>
          </w:tcPr>
          <w:p w:rsidR="0053607B" w:rsidRPr="0053607B" w:rsidRDefault="0053607B" w:rsidP="0053607B">
            <w:pPr>
              <w:spacing w:before="60" w:after="0" w:line="240" w:lineRule="auto"/>
              <w:jc w:val="center"/>
              <w:rPr>
                <w:rFonts w:ascii="Times New Roman" w:hAnsi="Times New Roman"/>
                <w:b/>
                <w:sz w:val="20"/>
                <w:szCs w:val="20"/>
              </w:rPr>
            </w:pPr>
            <w:r w:rsidRPr="0053607B">
              <w:rPr>
                <w:rFonts w:ascii="Times New Roman" w:hAnsi="Times New Roman"/>
                <w:b/>
                <w:sz w:val="20"/>
                <w:szCs w:val="20"/>
              </w:rPr>
              <w:t>Field soil</w:t>
            </w:r>
          </w:p>
        </w:tc>
      </w:tr>
      <w:tr w:rsidR="0053607B" w:rsidRPr="0053607B" w:rsidTr="00FB4AE5">
        <w:trPr>
          <w:jc w:val="center"/>
        </w:trPr>
        <w:tc>
          <w:tcPr>
            <w:tcW w:w="2482" w:type="dxa"/>
            <w:vMerge/>
            <w:tcBorders>
              <w:left w:val="nil"/>
              <w:bottom w:val="single" w:sz="4" w:space="0" w:color="auto"/>
              <w:right w:val="nil"/>
            </w:tcBorders>
            <w:vAlign w:val="center"/>
          </w:tcPr>
          <w:p w:rsidR="0053607B" w:rsidRPr="0053607B" w:rsidRDefault="0053607B" w:rsidP="0053607B">
            <w:pPr>
              <w:spacing w:after="0" w:line="240" w:lineRule="auto"/>
              <w:rPr>
                <w:rFonts w:ascii="Times New Roman" w:hAnsi="Times New Roman"/>
                <w:b/>
                <w:sz w:val="20"/>
                <w:szCs w:val="20"/>
              </w:rPr>
            </w:pPr>
          </w:p>
        </w:tc>
        <w:tc>
          <w:tcPr>
            <w:tcW w:w="947" w:type="dxa"/>
            <w:tcBorders>
              <w:left w:val="nil"/>
              <w:bottom w:val="single" w:sz="4" w:space="0" w:color="auto"/>
              <w:right w:val="nil"/>
            </w:tcBorders>
            <w:vAlign w:val="center"/>
          </w:tcPr>
          <w:p w:rsidR="0053607B" w:rsidRPr="0053607B" w:rsidRDefault="0053607B" w:rsidP="0053607B">
            <w:pPr>
              <w:spacing w:after="60" w:line="240" w:lineRule="auto"/>
              <w:jc w:val="center"/>
              <w:rPr>
                <w:rFonts w:ascii="Times New Roman" w:hAnsi="Times New Roman"/>
                <w:b/>
                <w:sz w:val="20"/>
                <w:szCs w:val="20"/>
              </w:rPr>
            </w:pPr>
            <w:r w:rsidRPr="0053607B">
              <w:rPr>
                <w:rFonts w:ascii="Times New Roman" w:hAnsi="Times New Roman"/>
                <w:b/>
                <w:sz w:val="20"/>
                <w:szCs w:val="20"/>
              </w:rPr>
              <w:t>Baseline</w:t>
            </w:r>
          </w:p>
        </w:tc>
        <w:tc>
          <w:tcPr>
            <w:tcW w:w="961" w:type="dxa"/>
            <w:tcBorders>
              <w:left w:val="nil"/>
              <w:bottom w:val="single" w:sz="4" w:space="0" w:color="auto"/>
              <w:right w:val="nil"/>
            </w:tcBorders>
            <w:vAlign w:val="center"/>
          </w:tcPr>
          <w:p w:rsidR="0053607B" w:rsidRPr="0053607B" w:rsidRDefault="0053607B" w:rsidP="0053607B">
            <w:pPr>
              <w:spacing w:after="0" w:line="240" w:lineRule="auto"/>
              <w:jc w:val="center"/>
              <w:rPr>
                <w:rFonts w:ascii="Times New Roman" w:hAnsi="Times New Roman"/>
                <w:b/>
                <w:sz w:val="20"/>
                <w:szCs w:val="20"/>
              </w:rPr>
            </w:pPr>
            <w:r w:rsidRPr="0053607B">
              <w:rPr>
                <w:rFonts w:ascii="Times New Roman" w:hAnsi="Times New Roman"/>
                <w:b/>
                <w:sz w:val="20"/>
                <w:szCs w:val="20"/>
              </w:rPr>
              <w:t>Target 4</w:t>
            </w:r>
          </w:p>
        </w:tc>
        <w:tc>
          <w:tcPr>
            <w:tcW w:w="961" w:type="dxa"/>
            <w:tcBorders>
              <w:left w:val="nil"/>
              <w:bottom w:val="single" w:sz="4" w:space="0" w:color="auto"/>
              <w:right w:val="nil"/>
            </w:tcBorders>
            <w:vAlign w:val="center"/>
          </w:tcPr>
          <w:p w:rsidR="0053607B" w:rsidRPr="0053607B" w:rsidRDefault="0053607B" w:rsidP="0053607B">
            <w:pPr>
              <w:spacing w:after="0" w:line="240" w:lineRule="auto"/>
              <w:jc w:val="center"/>
              <w:rPr>
                <w:rFonts w:ascii="Times New Roman" w:hAnsi="Times New Roman"/>
                <w:b/>
                <w:sz w:val="20"/>
                <w:szCs w:val="20"/>
              </w:rPr>
            </w:pPr>
            <w:r w:rsidRPr="0053607B">
              <w:rPr>
                <w:rFonts w:ascii="Times New Roman" w:hAnsi="Times New Roman"/>
                <w:b/>
                <w:sz w:val="20"/>
                <w:szCs w:val="20"/>
              </w:rPr>
              <w:t>Target 6</w:t>
            </w:r>
          </w:p>
        </w:tc>
        <w:tc>
          <w:tcPr>
            <w:tcW w:w="961" w:type="dxa"/>
            <w:tcBorders>
              <w:left w:val="nil"/>
              <w:bottom w:val="single" w:sz="4" w:space="0" w:color="auto"/>
              <w:right w:val="nil"/>
            </w:tcBorders>
            <w:vAlign w:val="center"/>
          </w:tcPr>
          <w:p w:rsidR="0053607B" w:rsidRPr="0053607B" w:rsidRDefault="0053607B" w:rsidP="0053607B">
            <w:pPr>
              <w:spacing w:after="0" w:line="240" w:lineRule="auto"/>
              <w:jc w:val="center"/>
              <w:rPr>
                <w:rFonts w:ascii="Times New Roman" w:hAnsi="Times New Roman"/>
                <w:b/>
                <w:sz w:val="20"/>
                <w:szCs w:val="20"/>
              </w:rPr>
            </w:pPr>
            <w:r w:rsidRPr="0053607B">
              <w:rPr>
                <w:rFonts w:ascii="Times New Roman" w:hAnsi="Times New Roman"/>
                <w:b/>
                <w:sz w:val="20"/>
                <w:szCs w:val="20"/>
              </w:rPr>
              <w:t>Target 8</w:t>
            </w:r>
          </w:p>
        </w:tc>
      </w:tr>
      <w:tr w:rsidR="0053607B" w:rsidRPr="0053607B" w:rsidTr="00FB4AE5">
        <w:trPr>
          <w:jc w:val="center"/>
        </w:trPr>
        <w:tc>
          <w:tcPr>
            <w:tcW w:w="2482" w:type="dxa"/>
            <w:tcBorders>
              <w:left w:val="nil"/>
              <w:bottom w:val="nil"/>
              <w:right w:val="nil"/>
            </w:tcBorders>
            <w:vAlign w:val="center"/>
          </w:tcPr>
          <w:p w:rsidR="0053607B" w:rsidRPr="0053607B" w:rsidRDefault="0053607B" w:rsidP="0053607B">
            <w:pPr>
              <w:spacing w:before="60" w:after="0" w:line="240" w:lineRule="auto"/>
              <w:rPr>
                <w:rFonts w:ascii="Times New Roman" w:hAnsi="Times New Roman"/>
                <w:sz w:val="20"/>
                <w:szCs w:val="20"/>
              </w:rPr>
            </w:pPr>
            <w:r w:rsidRPr="0053607B">
              <w:rPr>
                <w:rFonts w:ascii="Times New Roman" w:hAnsi="Times New Roman"/>
                <w:sz w:val="20"/>
                <w:szCs w:val="20"/>
              </w:rPr>
              <w:t>pH</w:t>
            </w:r>
          </w:p>
        </w:tc>
        <w:tc>
          <w:tcPr>
            <w:tcW w:w="947" w:type="dxa"/>
            <w:tcBorders>
              <w:left w:val="nil"/>
              <w:bottom w:val="nil"/>
              <w:right w:val="nil"/>
            </w:tcBorders>
            <w:vAlign w:val="center"/>
          </w:tcPr>
          <w:p w:rsidR="0053607B" w:rsidRPr="0053607B" w:rsidRDefault="0053607B" w:rsidP="0053607B">
            <w:pPr>
              <w:spacing w:before="60" w:after="0" w:line="240" w:lineRule="auto"/>
              <w:jc w:val="center"/>
              <w:rPr>
                <w:rFonts w:ascii="Times New Roman" w:hAnsi="Times New Roman"/>
                <w:sz w:val="20"/>
                <w:szCs w:val="20"/>
              </w:rPr>
            </w:pPr>
            <w:r w:rsidRPr="0053607B">
              <w:rPr>
                <w:rFonts w:ascii="Times New Roman" w:hAnsi="Times New Roman"/>
                <w:sz w:val="20"/>
                <w:szCs w:val="20"/>
              </w:rPr>
              <w:t>5.54</w:t>
            </w:r>
          </w:p>
        </w:tc>
        <w:tc>
          <w:tcPr>
            <w:tcW w:w="961" w:type="dxa"/>
            <w:tcBorders>
              <w:left w:val="nil"/>
              <w:bottom w:val="nil"/>
              <w:right w:val="nil"/>
            </w:tcBorders>
            <w:vAlign w:val="center"/>
          </w:tcPr>
          <w:p w:rsidR="0053607B" w:rsidRPr="0053607B" w:rsidRDefault="0053607B" w:rsidP="0053607B">
            <w:pPr>
              <w:spacing w:before="60" w:after="0" w:line="240" w:lineRule="auto"/>
              <w:jc w:val="center"/>
              <w:rPr>
                <w:rFonts w:ascii="Times New Roman" w:hAnsi="Times New Roman"/>
                <w:sz w:val="20"/>
                <w:szCs w:val="20"/>
              </w:rPr>
            </w:pPr>
            <w:r w:rsidRPr="0053607B">
              <w:rPr>
                <w:rFonts w:ascii="Times New Roman" w:hAnsi="Times New Roman"/>
                <w:sz w:val="20"/>
                <w:szCs w:val="20"/>
              </w:rPr>
              <w:t>5.85</w:t>
            </w:r>
          </w:p>
        </w:tc>
        <w:tc>
          <w:tcPr>
            <w:tcW w:w="961" w:type="dxa"/>
            <w:tcBorders>
              <w:left w:val="nil"/>
              <w:bottom w:val="nil"/>
              <w:right w:val="nil"/>
            </w:tcBorders>
            <w:vAlign w:val="center"/>
          </w:tcPr>
          <w:p w:rsidR="0053607B" w:rsidRPr="0053607B" w:rsidRDefault="0053607B" w:rsidP="0053607B">
            <w:pPr>
              <w:spacing w:before="60" w:after="0" w:line="240" w:lineRule="auto"/>
              <w:jc w:val="center"/>
              <w:rPr>
                <w:rFonts w:ascii="Times New Roman" w:hAnsi="Times New Roman"/>
                <w:sz w:val="20"/>
                <w:szCs w:val="20"/>
              </w:rPr>
            </w:pPr>
            <w:r w:rsidRPr="0053607B">
              <w:rPr>
                <w:rFonts w:ascii="Times New Roman" w:hAnsi="Times New Roman"/>
                <w:sz w:val="20"/>
                <w:szCs w:val="20"/>
              </w:rPr>
              <w:t>6.34</w:t>
            </w:r>
          </w:p>
        </w:tc>
        <w:tc>
          <w:tcPr>
            <w:tcW w:w="961" w:type="dxa"/>
            <w:tcBorders>
              <w:left w:val="nil"/>
              <w:bottom w:val="nil"/>
              <w:right w:val="nil"/>
            </w:tcBorders>
            <w:vAlign w:val="center"/>
          </w:tcPr>
          <w:p w:rsidR="0053607B" w:rsidRPr="0053607B" w:rsidRDefault="0053607B" w:rsidP="0053607B">
            <w:pPr>
              <w:spacing w:before="60" w:after="0" w:line="240" w:lineRule="auto"/>
              <w:jc w:val="center"/>
              <w:rPr>
                <w:rFonts w:ascii="Times New Roman" w:hAnsi="Times New Roman"/>
                <w:sz w:val="20"/>
                <w:szCs w:val="20"/>
              </w:rPr>
            </w:pPr>
            <w:r w:rsidRPr="0053607B">
              <w:rPr>
                <w:rFonts w:ascii="Times New Roman" w:hAnsi="Times New Roman"/>
                <w:sz w:val="20"/>
                <w:szCs w:val="20"/>
              </w:rPr>
              <w:t>5.55</w:t>
            </w:r>
          </w:p>
        </w:tc>
      </w:tr>
      <w:tr w:rsidR="0053607B" w:rsidRPr="0053607B" w:rsidTr="00FB4AE5">
        <w:trPr>
          <w:jc w:val="center"/>
        </w:trPr>
        <w:tc>
          <w:tcPr>
            <w:tcW w:w="2482" w:type="dxa"/>
            <w:tcBorders>
              <w:top w:val="nil"/>
              <w:left w:val="nil"/>
              <w:bottom w:val="nil"/>
              <w:right w:val="nil"/>
            </w:tcBorders>
            <w:vAlign w:val="center"/>
          </w:tcPr>
          <w:p w:rsidR="0053607B" w:rsidRPr="0053607B" w:rsidRDefault="0053607B" w:rsidP="0053607B">
            <w:pPr>
              <w:spacing w:before="60" w:after="0" w:line="240" w:lineRule="auto"/>
              <w:rPr>
                <w:rFonts w:ascii="Times New Roman" w:hAnsi="Times New Roman"/>
                <w:sz w:val="20"/>
                <w:szCs w:val="20"/>
              </w:rPr>
            </w:pPr>
            <w:r w:rsidRPr="0053607B">
              <w:rPr>
                <w:rFonts w:ascii="Times New Roman" w:hAnsi="Times New Roman"/>
                <w:sz w:val="20"/>
                <w:szCs w:val="20"/>
              </w:rPr>
              <w:t>OM (%LOI)</w:t>
            </w:r>
          </w:p>
        </w:tc>
        <w:tc>
          <w:tcPr>
            <w:tcW w:w="947" w:type="dxa"/>
            <w:tcBorders>
              <w:top w:val="nil"/>
              <w:left w:val="nil"/>
              <w:bottom w:val="nil"/>
              <w:right w:val="nil"/>
            </w:tcBorders>
            <w:vAlign w:val="center"/>
          </w:tcPr>
          <w:p w:rsidR="0053607B" w:rsidRPr="0053607B" w:rsidRDefault="0053607B" w:rsidP="0053607B">
            <w:pPr>
              <w:spacing w:before="60" w:after="0" w:line="240" w:lineRule="auto"/>
              <w:jc w:val="center"/>
              <w:rPr>
                <w:rFonts w:ascii="Times New Roman" w:hAnsi="Times New Roman"/>
                <w:sz w:val="20"/>
                <w:szCs w:val="20"/>
              </w:rPr>
            </w:pPr>
            <w:r w:rsidRPr="0053607B">
              <w:rPr>
                <w:rFonts w:ascii="Times New Roman" w:hAnsi="Times New Roman"/>
                <w:sz w:val="20"/>
                <w:szCs w:val="20"/>
              </w:rPr>
              <w:t>5.40</w:t>
            </w:r>
          </w:p>
        </w:tc>
        <w:tc>
          <w:tcPr>
            <w:tcW w:w="961" w:type="dxa"/>
            <w:tcBorders>
              <w:top w:val="nil"/>
              <w:left w:val="nil"/>
              <w:bottom w:val="nil"/>
              <w:right w:val="nil"/>
            </w:tcBorders>
            <w:vAlign w:val="center"/>
          </w:tcPr>
          <w:p w:rsidR="0053607B" w:rsidRPr="0053607B" w:rsidRDefault="0053607B" w:rsidP="0053607B">
            <w:pPr>
              <w:spacing w:before="60" w:after="0" w:line="240" w:lineRule="auto"/>
              <w:jc w:val="center"/>
              <w:rPr>
                <w:rFonts w:ascii="Times New Roman" w:hAnsi="Times New Roman"/>
                <w:sz w:val="20"/>
                <w:szCs w:val="20"/>
              </w:rPr>
            </w:pPr>
            <w:r w:rsidRPr="0053607B">
              <w:rPr>
                <w:rFonts w:ascii="Times New Roman" w:hAnsi="Times New Roman"/>
                <w:sz w:val="20"/>
                <w:szCs w:val="20"/>
              </w:rPr>
              <w:t>1.55</w:t>
            </w:r>
          </w:p>
        </w:tc>
        <w:tc>
          <w:tcPr>
            <w:tcW w:w="961" w:type="dxa"/>
            <w:tcBorders>
              <w:top w:val="nil"/>
              <w:left w:val="nil"/>
              <w:bottom w:val="nil"/>
              <w:right w:val="nil"/>
            </w:tcBorders>
            <w:vAlign w:val="center"/>
          </w:tcPr>
          <w:p w:rsidR="0053607B" w:rsidRPr="0053607B" w:rsidRDefault="0053607B" w:rsidP="0053607B">
            <w:pPr>
              <w:spacing w:before="60" w:after="0" w:line="240" w:lineRule="auto"/>
              <w:jc w:val="center"/>
              <w:rPr>
                <w:rFonts w:ascii="Times New Roman" w:hAnsi="Times New Roman"/>
                <w:sz w:val="20"/>
                <w:szCs w:val="20"/>
              </w:rPr>
            </w:pPr>
            <w:r w:rsidRPr="0053607B">
              <w:rPr>
                <w:rFonts w:ascii="Times New Roman" w:hAnsi="Times New Roman"/>
                <w:sz w:val="20"/>
                <w:szCs w:val="20"/>
              </w:rPr>
              <w:t>1.37</w:t>
            </w:r>
          </w:p>
        </w:tc>
        <w:tc>
          <w:tcPr>
            <w:tcW w:w="961" w:type="dxa"/>
            <w:tcBorders>
              <w:top w:val="nil"/>
              <w:left w:val="nil"/>
              <w:bottom w:val="nil"/>
              <w:right w:val="nil"/>
            </w:tcBorders>
            <w:vAlign w:val="center"/>
          </w:tcPr>
          <w:p w:rsidR="0053607B" w:rsidRPr="0053607B" w:rsidRDefault="0053607B" w:rsidP="0053607B">
            <w:pPr>
              <w:spacing w:before="60" w:after="0" w:line="240" w:lineRule="auto"/>
              <w:jc w:val="center"/>
              <w:rPr>
                <w:rFonts w:ascii="Times New Roman" w:hAnsi="Times New Roman"/>
                <w:sz w:val="20"/>
                <w:szCs w:val="20"/>
              </w:rPr>
            </w:pPr>
            <w:r w:rsidRPr="0053607B">
              <w:rPr>
                <w:rFonts w:ascii="Times New Roman" w:hAnsi="Times New Roman"/>
                <w:sz w:val="20"/>
                <w:szCs w:val="20"/>
              </w:rPr>
              <w:t>1.32</w:t>
            </w:r>
          </w:p>
        </w:tc>
      </w:tr>
      <w:tr w:rsidR="0053607B" w:rsidRPr="0053607B" w:rsidTr="00FB4AE5">
        <w:trPr>
          <w:trHeight w:val="105"/>
          <w:jc w:val="center"/>
        </w:trPr>
        <w:tc>
          <w:tcPr>
            <w:tcW w:w="2482" w:type="dxa"/>
            <w:tcBorders>
              <w:top w:val="nil"/>
              <w:left w:val="nil"/>
              <w:bottom w:val="nil"/>
              <w:right w:val="nil"/>
            </w:tcBorders>
            <w:shd w:val="clear" w:color="auto" w:fill="FFFFFF" w:themeFill="background1"/>
            <w:vAlign w:val="center"/>
          </w:tcPr>
          <w:p w:rsidR="0053607B" w:rsidRPr="0053607B" w:rsidRDefault="0053607B" w:rsidP="0053607B">
            <w:pPr>
              <w:spacing w:before="60" w:after="0" w:line="240" w:lineRule="auto"/>
              <w:rPr>
                <w:rFonts w:ascii="Times New Roman" w:hAnsi="Times New Roman"/>
                <w:sz w:val="20"/>
                <w:szCs w:val="20"/>
              </w:rPr>
            </w:pPr>
            <w:r w:rsidRPr="0053607B">
              <w:rPr>
                <w:rFonts w:ascii="Times New Roman" w:hAnsi="Times New Roman"/>
                <w:sz w:val="20"/>
                <w:szCs w:val="20"/>
              </w:rPr>
              <w:t>% Clay</w:t>
            </w:r>
          </w:p>
        </w:tc>
        <w:tc>
          <w:tcPr>
            <w:tcW w:w="947" w:type="dxa"/>
            <w:tcBorders>
              <w:top w:val="nil"/>
              <w:left w:val="nil"/>
              <w:bottom w:val="nil"/>
              <w:right w:val="nil"/>
            </w:tcBorders>
            <w:shd w:val="clear" w:color="auto" w:fill="FFFFFF" w:themeFill="background1"/>
            <w:vAlign w:val="center"/>
          </w:tcPr>
          <w:p w:rsidR="0053607B" w:rsidRPr="0053607B" w:rsidRDefault="0053607B" w:rsidP="0053607B">
            <w:pPr>
              <w:spacing w:before="60" w:after="0" w:line="240" w:lineRule="auto"/>
              <w:jc w:val="center"/>
              <w:rPr>
                <w:rFonts w:ascii="Times New Roman" w:hAnsi="Times New Roman"/>
                <w:sz w:val="20"/>
                <w:szCs w:val="20"/>
              </w:rPr>
            </w:pPr>
            <w:r w:rsidRPr="0053607B">
              <w:rPr>
                <w:rFonts w:ascii="Times New Roman" w:hAnsi="Times New Roman"/>
                <w:sz w:val="20"/>
                <w:szCs w:val="20"/>
              </w:rPr>
              <w:t>32</w:t>
            </w:r>
          </w:p>
        </w:tc>
        <w:tc>
          <w:tcPr>
            <w:tcW w:w="961" w:type="dxa"/>
            <w:tcBorders>
              <w:top w:val="nil"/>
              <w:left w:val="nil"/>
              <w:bottom w:val="nil"/>
              <w:right w:val="nil"/>
            </w:tcBorders>
            <w:shd w:val="clear" w:color="auto" w:fill="FFFFFF" w:themeFill="background1"/>
            <w:vAlign w:val="center"/>
          </w:tcPr>
          <w:p w:rsidR="0053607B" w:rsidRPr="0053607B" w:rsidRDefault="0053607B" w:rsidP="0053607B">
            <w:pPr>
              <w:spacing w:before="60" w:after="0" w:line="240" w:lineRule="auto"/>
              <w:jc w:val="center"/>
              <w:rPr>
                <w:rFonts w:ascii="Times New Roman" w:hAnsi="Times New Roman"/>
                <w:sz w:val="20"/>
                <w:szCs w:val="20"/>
              </w:rPr>
            </w:pPr>
            <w:r w:rsidRPr="0053607B">
              <w:rPr>
                <w:rFonts w:ascii="Times New Roman" w:hAnsi="Times New Roman"/>
                <w:sz w:val="20"/>
                <w:szCs w:val="20"/>
              </w:rPr>
              <w:t>23</w:t>
            </w:r>
          </w:p>
        </w:tc>
        <w:tc>
          <w:tcPr>
            <w:tcW w:w="961" w:type="dxa"/>
            <w:tcBorders>
              <w:top w:val="nil"/>
              <w:left w:val="nil"/>
              <w:bottom w:val="nil"/>
              <w:right w:val="nil"/>
            </w:tcBorders>
            <w:shd w:val="clear" w:color="auto" w:fill="FFFFFF" w:themeFill="background1"/>
            <w:vAlign w:val="center"/>
          </w:tcPr>
          <w:p w:rsidR="0053607B" w:rsidRPr="0053607B" w:rsidRDefault="0053607B" w:rsidP="0053607B">
            <w:pPr>
              <w:spacing w:before="60" w:after="0" w:line="240" w:lineRule="auto"/>
              <w:jc w:val="center"/>
              <w:rPr>
                <w:rFonts w:ascii="Times New Roman" w:hAnsi="Times New Roman"/>
                <w:sz w:val="20"/>
                <w:szCs w:val="20"/>
              </w:rPr>
            </w:pPr>
            <w:r w:rsidRPr="0053607B">
              <w:rPr>
                <w:rFonts w:ascii="Times New Roman" w:hAnsi="Times New Roman"/>
                <w:sz w:val="20"/>
                <w:szCs w:val="20"/>
              </w:rPr>
              <w:t>26</w:t>
            </w:r>
          </w:p>
        </w:tc>
        <w:tc>
          <w:tcPr>
            <w:tcW w:w="961" w:type="dxa"/>
            <w:tcBorders>
              <w:top w:val="nil"/>
              <w:left w:val="nil"/>
              <w:bottom w:val="nil"/>
              <w:right w:val="nil"/>
            </w:tcBorders>
            <w:shd w:val="clear" w:color="auto" w:fill="FFFFFF" w:themeFill="background1"/>
            <w:vAlign w:val="center"/>
          </w:tcPr>
          <w:p w:rsidR="0053607B" w:rsidRPr="0053607B" w:rsidRDefault="0053607B" w:rsidP="0053607B">
            <w:pPr>
              <w:spacing w:before="60" w:after="0" w:line="240" w:lineRule="auto"/>
              <w:jc w:val="center"/>
              <w:rPr>
                <w:rFonts w:ascii="Times New Roman" w:hAnsi="Times New Roman"/>
                <w:sz w:val="20"/>
                <w:szCs w:val="20"/>
              </w:rPr>
            </w:pPr>
            <w:r w:rsidRPr="0053607B">
              <w:rPr>
                <w:rFonts w:ascii="Times New Roman" w:hAnsi="Times New Roman"/>
                <w:sz w:val="20"/>
                <w:szCs w:val="20"/>
              </w:rPr>
              <w:t>25</w:t>
            </w:r>
          </w:p>
        </w:tc>
      </w:tr>
      <w:tr w:rsidR="0053607B" w:rsidRPr="0053607B" w:rsidTr="00FB4AE5">
        <w:trPr>
          <w:jc w:val="center"/>
        </w:trPr>
        <w:tc>
          <w:tcPr>
            <w:tcW w:w="2482" w:type="dxa"/>
            <w:tcBorders>
              <w:top w:val="nil"/>
              <w:left w:val="nil"/>
              <w:bottom w:val="nil"/>
              <w:right w:val="nil"/>
            </w:tcBorders>
            <w:shd w:val="clear" w:color="auto" w:fill="FFFFFF" w:themeFill="background1"/>
            <w:vAlign w:val="center"/>
          </w:tcPr>
          <w:p w:rsidR="0053607B" w:rsidRPr="0053607B" w:rsidRDefault="0053607B" w:rsidP="0053607B">
            <w:pPr>
              <w:spacing w:before="60" w:after="0" w:line="240" w:lineRule="auto"/>
              <w:rPr>
                <w:rFonts w:ascii="Times New Roman" w:hAnsi="Times New Roman"/>
                <w:sz w:val="20"/>
                <w:szCs w:val="20"/>
              </w:rPr>
            </w:pPr>
            <w:r w:rsidRPr="0053607B">
              <w:rPr>
                <w:rFonts w:ascii="Times New Roman" w:hAnsi="Times New Roman"/>
                <w:sz w:val="20"/>
                <w:szCs w:val="20"/>
              </w:rPr>
              <w:t>% Silt</w:t>
            </w:r>
          </w:p>
        </w:tc>
        <w:tc>
          <w:tcPr>
            <w:tcW w:w="947" w:type="dxa"/>
            <w:tcBorders>
              <w:top w:val="nil"/>
              <w:left w:val="nil"/>
              <w:bottom w:val="nil"/>
              <w:right w:val="nil"/>
            </w:tcBorders>
            <w:shd w:val="clear" w:color="auto" w:fill="FFFFFF" w:themeFill="background1"/>
            <w:vAlign w:val="center"/>
          </w:tcPr>
          <w:p w:rsidR="0053607B" w:rsidRPr="0053607B" w:rsidRDefault="0053607B" w:rsidP="0053607B">
            <w:pPr>
              <w:spacing w:before="60" w:after="0" w:line="240" w:lineRule="auto"/>
              <w:jc w:val="center"/>
              <w:rPr>
                <w:rFonts w:ascii="Times New Roman" w:hAnsi="Times New Roman"/>
                <w:sz w:val="20"/>
                <w:szCs w:val="20"/>
              </w:rPr>
            </w:pPr>
            <w:r w:rsidRPr="0053607B">
              <w:rPr>
                <w:rFonts w:ascii="Times New Roman" w:hAnsi="Times New Roman"/>
                <w:sz w:val="20"/>
                <w:szCs w:val="20"/>
              </w:rPr>
              <w:t>13</w:t>
            </w:r>
          </w:p>
        </w:tc>
        <w:tc>
          <w:tcPr>
            <w:tcW w:w="961" w:type="dxa"/>
            <w:tcBorders>
              <w:top w:val="nil"/>
              <w:left w:val="nil"/>
              <w:bottom w:val="nil"/>
              <w:right w:val="nil"/>
            </w:tcBorders>
            <w:shd w:val="clear" w:color="auto" w:fill="FFFFFF" w:themeFill="background1"/>
            <w:vAlign w:val="center"/>
          </w:tcPr>
          <w:p w:rsidR="0053607B" w:rsidRPr="0053607B" w:rsidRDefault="0053607B" w:rsidP="0053607B">
            <w:pPr>
              <w:spacing w:before="60" w:after="0" w:line="240" w:lineRule="auto"/>
              <w:jc w:val="center"/>
              <w:rPr>
                <w:rFonts w:ascii="Times New Roman" w:hAnsi="Times New Roman"/>
                <w:sz w:val="20"/>
                <w:szCs w:val="20"/>
              </w:rPr>
            </w:pPr>
            <w:r w:rsidRPr="0053607B">
              <w:rPr>
                <w:rFonts w:ascii="Times New Roman" w:hAnsi="Times New Roman"/>
                <w:sz w:val="20"/>
                <w:szCs w:val="20"/>
              </w:rPr>
              <w:t>9</w:t>
            </w:r>
          </w:p>
        </w:tc>
        <w:tc>
          <w:tcPr>
            <w:tcW w:w="961" w:type="dxa"/>
            <w:tcBorders>
              <w:top w:val="nil"/>
              <w:left w:val="nil"/>
              <w:bottom w:val="nil"/>
              <w:right w:val="nil"/>
            </w:tcBorders>
            <w:shd w:val="clear" w:color="auto" w:fill="FFFFFF" w:themeFill="background1"/>
            <w:vAlign w:val="center"/>
          </w:tcPr>
          <w:p w:rsidR="0053607B" w:rsidRPr="0053607B" w:rsidRDefault="0053607B" w:rsidP="0053607B">
            <w:pPr>
              <w:spacing w:before="60" w:after="0" w:line="240" w:lineRule="auto"/>
              <w:jc w:val="center"/>
              <w:rPr>
                <w:rFonts w:ascii="Times New Roman" w:hAnsi="Times New Roman"/>
                <w:sz w:val="20"/>
                <w:szCs w:val="20"/>
              </w:rPr>
            </w:pPr>
            <w:r w:rsidRPr="0053607B">
              <w:rPr>
                <w:rFonts w:ascii="Times New Roman" w:hAnsi="Times New Roman"/>
                <w:sz w:val="20"/>
                <w:szCs w:val="20"/>
              </w:rPr>
              <w:t>10</w:t>
            </w:r>
          </w:p>
        </w:tc>
        <w:tc>
          <w:tcPr>
            <w:tcW w:w="961" w:type="dxa"/>
            <w:tcBorders>
              <w:top w:val="nil"/>
              <w:left w:val="nil"/>
              <w:bottom w:val="nil"/>
              <w:right w:val="nil"/>
            </w:tcBorders>
            <w:shd w:val="clear" w:color="auto" w:fill="FFFFFF" w:themeFill="background1"/>
            <w:vAlign w:val="center"/>
          </w:tcPr>
          <w:p w:rsidR="0053607B" w:rsidRPr="0053607B" w:rsidRDefault="0053607B" w:rsidP="0053607B">
            <w:pPr>
              <w:spacing w:before="60" w:after="0" w:line="240" w:lineRule="auto"/>
              <w:jc w:val="center"/>
              <w:rPr>
                <w:rFonts w:ascii="Times New Roman" w:hAnsi="Times New Roman"/>
                <w:sz w:val="20"/>
                <w:szCs w:val="20"/>
              </w:rPr>
            </w:pPr>
            <w:r w:rsidRPr="0053607B">
              <w:rPr>
                <w:rFonts w:ascii="Times New Roman" w:hAnsi="Times New Roman"/>
                <w:sz w:val="20"/>
                <w:szCs w:val="20"/>
              </w:rPr>
              <w:t>8</w:t>
            </w:r>
          </w:p>
        </w:tc>
      </w:tr>
      <w:tr w:rsidR="0053607B" w:rsidRPr="0053607B" w:rsidTr="00FB4AE5">
        <w:trPr>
          <w:jc w:val="center"/>
        </w:trPr>
        <w:tc>
          <w:tcPr>
            <w:tcW w:w="2482" w:type="dxa"/>
            <w:tcBorders>
              <w:top w:val="nil"/>
              <w:left w:val="nil"/>
              <w:bottom w:val="nil"/>
              <w:right w:val="nil"/>
            </w:tcBorders>
            <w:shd w:val="clear" w:color="auto" w:fill="FFFFFF" w:themeFill="background1"/>
            <w:vAlign w:val="center"/>
          </w:tcPr>
          <w:p w:rsidR="0053607B" w:rsidRPr="0053607B" w:rsidRDefault="0053607B" w:rsidP="0053607B">
            <w:pPr>
              <w:spacing w:before="60" w:after="0" w:line="240" w:lineRule="auto"/>
              <w:rPr>
                <w:rFonts w:ascii="Times New Roman" w:hAnsi="Times New Roman"/>
                <w:sz w:val="20"/>
                <w:szCs w:val="20"/>
              </w:rPr>
            </w:pPr>
            <w:r w:rsidRPr="0053607B">
              <w:rPr>
                <w:rFonts w:ascii="Times New Roman" w:hAnsi="Times New Roman"/>
                <w:sz w:val="20"/>
                <w:szCs w:val="20"/>
              </w:rPr>
              <w:t>% Sand</w:t>
            </w:r>
          </w:p>
        </w:tc>
        <w:tc>
          <w:tcPr>
            <w:tcW w:w="947" w:type="dxa"/>
            <w:tcBorders>
              <w:top w:val="nil"/>
              <w:left w:val="nil"/>
              <w:bottom w:val="nil"/>
              <w:right w:val="nil"/>
            </w:tcBorders>
            <w:shd w:val="clear" w:color="auto" w:fill="FFFFFF" w:themeFill="background1"/>
            <w:vAlign w:val="center"/>
          </w:tcPr>
          <w:p w:rsidR="0053607B" w:rsidRPr="0053607B" w:rsidRDefault="0053607B" w:rsidP="0053607B">
            <w:pPr>
              <w:spacing w:before="60" w:after="0" w:line="240" w:lineRule="auto"/>
              <w:jc w:val="center"/>
              <w:rPr>
                <w:rFonts w:ascii="Times New Roman" w:hAnsi="Times New Roman"/>
                <w:sz w:val="20"/>
                <w:szCs w:val="20"/>
              </w:rPr>
            </w:pPr>
            <w:r w:rsidRPr="0053607B">
              <w:rPr>
                <w:rFonts w:ascii="Times New Roman" w:hAnsi="Times New Roman"/>
                <w:sz w:val="20"/>
                <w:szCs w:val="20"/>
              </w:rPr>
              <w:t>55</w:t>
            </w:r>
          </w:p>
        </w:tc>
        <w:tc>
          <w:tcPr>
            <w:tcW w:w="961" w:type="dxa"/>
            <w:tcBorders>
              <w:top w:val="nil"/>
              <w:left w:val="nil"/>
              <w:bottom w:val="nil"/>
              <w:right w:val="nil"/>
            </w:tcBorders>
            <w:shd w:val="clear" w:color="auto" w:fill="FFFFFF" w:themeFill="background1"/>
            <w:vAlign w:val="center"/>
          </w:tcPr>
          <w:p w:rsidR="0053607B" w:rsidRPr="0053607B" w:rsidRDefault="0053607B" w:rsidP="0053607B">
            <w:pPr>
              <w:spacing w:before="60" w:after="0" w:line="240" w:lineRule="auto"/>
              <w:jc w:val="center"/>
              <w:rPr>
                <w:rFonts w:ascii="Times New Roman" w:hAnsi="Times New Roman"/>
                <w:sz w:val="20"/>
                <w:szCs w:val="20"/>
              </w:rPr>
            </w:pPr>
            <w:r w:rsidRPr="0053607B">
              <w:rPr>
                <w:rFonts w:ascii="Times New Roman" w:hAnsi="Times New Roman"/>
                <w:sz w:val="20"/>
                <w:szCs w:val="20"/>
              </w:rPr>
              <w:t>68</w:t>
            </w:r>
          </w:p>
        </w:tc>
        <w:tc>
          <w:tcPr>
            <w:tcW w:w="961" w:type="dxa"/>
            <w:tcBorders>
              <w:top w:val="nil"/>
              <w:left w:val="nil"/>
              <w:bottom w:val="nil"/>
              <w:right w:val="nil"/>
            </w:tcBorders>
            <w:shd w:val="clear" w:color="auto" w:fill="FFFFFF" w:themeFill="background1"/>
            <w:vAlign w:val="center"/>
          </w:tcPr>
          <w:p w:rsidR="0053607B" w:rsidRPr="0053607B" w:rsidRDefault="0053607B" w:rsidP="0053607B">
            <w:pPr>
              <w:spacing w:before="60" w:after="0" w:line="240" w:lineRule="auto"/>
              <w:jc w:val="center"/>
              <w:rPr>
                <w:rFonts w:ascii="Times New Roman" w:hAnsi="Times New Roman"/>
                <w:sz w:val="20"/>
                <w:szCs w:val="20"/>
              </w:rPr>
            </w:pPr>
            <w:r w:rsidRPr="0053607B">
              <w:rPr>
                <w:rFonts w:ascii="Times New Roman" w:hAnsi="Times New Roman"/>
                <w:sz w:val="20"/>
                <w:szCs w:val="20"/>
              </w:rPr>
              <w:t>64</w:t>
            </w:r>
          </w:p>
        </w:tc>
        <w:tc>
          <w:tcPr>
            <w:tcW w:w="961" w:type="dxa"/>
            <w:tcBorders>
              <w:top w:val="nil"/>
              <w:left w:val="nil"/>
              <w:bottom w:val="nil"/>
              <w:right w:val="nil"/>
            </w:tcBorders>
            <w:shd w:val="clear" w:color="auto" w:fill="FFFFFF" w:themeFill="background1"/>
            <w:vAlign w:val="center"/>
          </w:tcPr>
          <w:p w:rsidR="0053607B" w:rsidRPr="0053607B" w:rsidRDefault="0053607B" w:rsidP="0053607B">
            <w:pPr>
              <w:spacing w:before="60" w:after="0" w:line="240" w:lineRule="auto"/>
              <w:jc w:val="center"/>
              <w:rPr>
                <w:rFonts w:ascii="Times New Roman" w:hAnsi="Times New Roman"/>
                <w:sz w:val="20"/>
                <w:szCs w:val="20"/>
              </w:rPr>
            </w:pPr>
            <w:r w:rsidRPr="0053607B">
              <w:rPr>
                <w:rFonts w:ascii="Times New Roman" w:hAnsi="Times New Roman"/>
                <w:sz w:val="20"/>
                <w:szCs w:val="20"/>
              </w:rPr>
              <w:t>67</w:t>
            </w:r>
          </w:p>
        </w:tc>
      </w:tr>
      <w:tr w:rsidR="0053607B" w:rsidRPr="0053607B" w:rsidTr="00FB4AE5">
        <w:trPr>
          <w:jc w:val="center"/>
        </w:trPr>
        <w:tc>
          <w:tcPr>
            <w:tcW w:w="2482" w:type="dxa"/>
            <w:tcBorders>
              <w:top w:val="nil"/>
              <w:left w:val="nil"/>
              <w:bottom w:val="nil"/>
              <w:right w:val="nil"/>
            </w:tcBorders>
            <w:vAlign w:val="center"/>
          </w:tcPr>
          <w:p w:rsidR="0053607B" w:rsidRPr="0053607B" w:rsidRDefault="0053607B" w:rsidP="0053607B">
            <w:pPr>
              <w:spacing w:before="60" w:after="0" w:line="240" w:lineRule="auto"/>
              <w:rPr>
                <w:rFonts w:ascii="Times New Roman" w:hAnsi="Times New Roman"/>
                <w:sz w:val="20"/>
                <w:szCs w:val="20"/>
              </w:rPr>
            </w:pPr>
            <w:r w:rsidRPr="0053607B">
              <w:rPr>
                <w:rFonts w:ascii="Times New Roman" w:hAnsi="Times New Roman"/>
                <w:sz w:val="20"/>
                <w:szCs w:val="20"/>
              </w:rPr>
              <w:t>CEC- pH 7, (cmol/kg)</w:t>
            </w:r>
          </w:p>
        </w:tc>
        <w:tc>
          <w:tcPr>
            <w:tcW w:w="947" w:type="dxa"/>
            <w:tcBorders>
              <w:top w:val="nil"/>
              <w:left w:val="nil"/>
              <w:bottom w:val="nil"/>
              <w:right w:val="nil"/>
            </w:tcBorders>
            <w:vAlign w:val="center"/>
          </w:tcPr>
          <w:p w:rsidR="0053607B" w:rsidRPr="0053607B" w:rsidRDefault="0053607B" w:rsidP="0053607B">
            <w:pPr>
              <w:spacing w:before="60" w:after="0" w:line="240" w:lineRule="auto"/>
              <w:jc w:val="center"/>
              <w:rPr>
                <w:rFonts w:ascii="Times New Roman" w:hAnsi="Times New Roman"/>
                <w:sz w:val="20"/>
                <w:szCs w:val="20"/>
              </w:rPr>
            </w:pPr>
            <w:r w:rsidRPr="0053607B">
              <w:rPr>
                <w:rFonts w:ascii="Times New Roman" w:hAnsi="Times New Roman"/>
                <w:sz w:val="20"/>
                <w:szCs w:val="20"/>
              </w:rPr>
              <w:t>193.85</w:t>
            </w:r>
          </w:p>
        </w:tc>
        <w:tc>
          <w:tcPr>
            <w:tcW w:w="961" w:type="dxa"/>
            <w:tcBorders>
              <w:top w:val="nil"/>
              <w:left w:val="nil"/>
              <w:bottom w:val="nil"/>
              <w:right w:val="nil"/>
            </w:tcBorders>
            <w:vAlign w:val="center"/>
          </w:tcPr>
          <w:p w:rsidR="0053607B" w:rsidRPr="0053607B" w:rsidRDefault="0053607B" w:rsidP="0053607B">
            <w:pPr>
              <w:spacing w:before="60" w:after="0" w:line="240" w:lineRule="auto"/>
              <w:jc w:val="center"/>
              <w:rPr>
                <w:rFonts w:ascii="Times New Roman" w:hAnsi="Times New Roman"/>
                <w:sz w:val="20"/>
                <w:szCs w:val="20"/>
              </w:rPr>
            </w:pPr>
            <w:r w:rsidRPr="0053607B">
              <w:rPr>
                <w:rFonts w:ascii="Times New Roman" w:hAnsi="Times New Roman"/>
                <w:sz w:val="20"/>
                <w:szCs w:val="20"/>
              </w:rPr>
              <w:t>140.21</w:t>
            </w:r>
          </w:p>
        </w:tc>
        <w:tc>
          <w:tcPr>
            <w:tcW w:w="961" w:type="dxa"/>
            <w:tcBorders>
              <w:top w:val="nil"/>
              <w:left w:val="nil"/>
              <w:bottom w:val="nil"/>
              <w:right w:val="nil"/>
            </w:tcBorders>
            <w:vAlign w:val="center"/>
          </w:tcPr>
          <w:p w:rsidR="0053607B" w:rsidRPr="0053607B" w:rsidRDefault="0053607B" w:rsidP="0053607B">
            <w:pPr>
              <w:spacing w:before="60" w:after="0" w:line="240" w:lineRule="auto"/>
              <w:jc w:val="center"/>
              <w:rPr>
                <w:rFonts w:ascii="Times New Roman" w:hAnsi="Times New Roman"/>
                <w:sz w:val="20"/>
                <w:szCs w:val="20"/>
              </w:rPr>
            </w:pPr>
            <w:r w:rsidRPr="0053607B">
              <w:rPr>
                <w:rFonts w:ascii="Times New Roman" w:hAnsi="Times New Roman"/>
                <w:sz w:val="20"/>
                <w:szCs w:val="20"/>
              </w:rPr>
              <w:t>85.51</w:t>
            </w:r>
          </w:p>
        </w:tc>
        <w:tc>
          <w:tcPr>
            <w:tcW w:w="961" w:type="dxa"/>
            <w:tcBorders>
              <w:top w:val="nil"/>
              <w:left w:val="nil"/>
              <w:bottom w:val="nil"/>
              <w:right w:val="nil"/>
            </w:tcBorders>
            <w:vAlign w:val="center"/>
          </w:tcPr>
          <w:p w:rsidR="0053607B" w:rsidRPr="0053607B" w:rsidRDefault="0053607B" w:rsidP="0053607B">
            <w:pPr>
              <w:spacing w:before="60" w:after="0" w:line="240" w:lineRule="auto"/>
              <w:jc w:val="center"/>
              <w:rPr>
                <w:rFonts w:ascii="Times New Roman" w:hAnsi="Times New Roman"/>
                <w:sz w:val="20"/>
                <w:szCs w:val="20"/>
              </w:rPr>
            </w:pPr>
            <w:r w:rsidRPr="0053607B">
              <w:rPr>
                <w:rFonts w:ascii="Times New Roman" w:hAnsi="Times New Roman"/>
                <w:sz w:val="20"/>
                <w:szCs w:val="20"/>
              </w:rPr>
              <w:t>85.25</w:t>
            </w:r>
          </w:p>
        </w:tc>
      </w:tr>
      <w:tr w:rsidR="0053607B" w:rsidRPr="0053607B" w:rsidTr="00FB4AE5">
        <w:trPr>
          <w:jc w:val="center"/>
        </w:trPr>
        <w:tc>
          <w:tcPr>
            <w:tcW w:w="2482" w:type="dxa"/>
            <w:tcBorders>
              <w:top w:val="nil"/>
              <w:left w:val="nil"/>
              <w:bottom w:val="nil"/>
              <w:right w:val="nil"/>
            </w:tcBorders>
            <w:vAlign w:val="center"/>
          </w:tcPr>
          <w:p w:rsidR="0053607B" w:rsidRPr="0053607B" w:rsidRDefault="0053607B" w:rsidP="0053607B">
            <w:pPr>
              <w:spacing w:before="60" w:after="0" w:line="240" w:lineRule="auto"/>
              <w:rPr>
                <w:rFonts w:ascii="Times New Roman" w:hAnsi="Times New Roman"/>
                <w:sz w:val="20"/>
                <w:szCs w:val="20"/>
              </w:rPr>
            </w:pPr>
            <w:r w:rsidRPr="0053607B">
              <w:rPr>
                <w:rFonts w:ascii="Times New Roman" w:hAnsi="Times New Roman"/>
                <w:sz w:val="20"/>
                <w:szCs w:val="20"/>
              </w:rPr>
              <w:t>CEC- pH 4, (cmol/kg)</w:t>
            </w:r>
          </w:p>
        </w:tc>
        <w:tc>
          <w:tcPr>
            <w:tcW w:w="947" w:type="dxa"/>
            <w:tcBorders>
              <w:top w:val="nil"/>
              <w:left w:val="nil"/>
              <w:bottom w:val="nil"/>
              <w:right w:val="nil"/>
            </w:tcBorders>
            <w:vAlign w:val="center"/>
          </w:tcPr>
          <w:p w:rsidR="0053607B" w:rsidRPr="0053607B" w:rsidRDefault="0053607B" w:rsidP="0053607B">
            <w:pPr>
              <w:spacing w:before="60" w:after="0" w:line="240" w:lineRule="auto"/>
              <w:jc w:val="center"/>
              <w:rPr>
                <w:rFonts w:ascii="Times New Roman" w:hAnsi="Times New Roman"/>
                <w:sz w:val="20"/>
                <w:szCs w:val="20"/>
              </w:rPr>
            </w:pPr>
            <w:r w:rsidRPr="0053607B">
              <w:rPr>
                <w:rFonts w:ascii="Times New Roman" w:hAnsi="Times New Roman"/>
                <w:sz w:val="20"/>
                <w:szCs w:val="20"/>
              </w:rPr>
              <w:t>112.15</w:t>
            </w:r>
          </w:p>
        </w:tc>
        <w:tc>
          <w:tcPr>
            <w:tcW w:w="961" w:type="dxa"/>
            <w:tcBorders>
              <w:top w:val="nil"/>
              <w:left w:val="nil"/>
              <w:bottom w:val="nil"/>
              <w:right w:val="nil"/>
            </w:tcBorders>
            <w:vAlign w:val="center"/>
          </w:tcPr>
          <w:p w:rsidR="0053607B" w:rsidRPr="0053607B" w:rsidRDefault="0053607B" w:rsidP="0053607B">
            <w:pPr>
              <w:spacing w:before="60" w:after="0" w:line="240" w:lineRule="auto"/>
              <w:jc w:val="center"/>
              <w:rPr>
                <w:rFonts w:ascii="Times New Roman" w:hAnsi="Times New Roman"/>
                <w:sz w:val="20"/>
                <w:szCs w:val="20"/>
              </w:rPr>
            </w:pPr>
            <w:r w:rsidRPr="0053607B">
              <w:rPr>
                <w:rFonts w:ascii="Times New Roman" w:hAnsi="Times New Roman"/>
                <w:sz w:val="20"/>
                <w:szCs w:val="20"/>
              </w:rPr>
              <w:t>62.70</w:t>
            </w:r>
          </w:p>
        </w:tc>
        <w:tc>
          <w:tcPr>
            <w:tcW w:w="961" w:type="dxa"/>
            <w:tcBorders>
              <w:top w:val="nil"/>
              <w:left w:val="nil"/>
              <w:bottom w:val="nil"/>
              <w:right w:val="nil"/>
            </w:tcBorders>
            <w:vAlign w:val="center"/>
          </w:tcPr>
          <w:p w:rsidR="0053607B" w:rsidRPr="0053607B" w:rsidRDefault="0053607B" w:rsidP="0053607B">
            <w:pPr>
              <w:spacing w:before="60" w:after="0" w:line="240" w:lineRule="auto"/>
              <w:jc w:val="center"/>
              <w:rPr>
                <w:rFonts w:ascii="Times New Roman" w:hAnsi="Times New Roman"/>
                <w:sz w:val="20"/>
                <w:szCs w:val="20"/>
              </w:rPr>
            </w:pPr>
            <w:r w:rsidRPr="0053607B">
              <w:rPr>
                <w:rFonts w:ascii="Times New Roman" w:hAnsi="Times New Roman"/>
                <w:sz w:val="20"/>
                <w:szCs w:val="20"/>
              </w:rPr>
              <w:t>54.76</w:t>
            </w:r>
          </w:p>
        </w:tc>
        <w:tc>
          <w:tcPr>
            <w:tcW w:w="961" w:type="dxa"/>
            <w:tcBorders>
              <w:top w:val="nil"/>
              <w:left w:val="nil"/>
              <w:bottom w:val="nil"/>
              <w:right w:val="nil"/>
            </w:tcBorders>
            <w:vAlign w:val="center"/>
          </w:tcPr>
          <w:p w:rsidR="0053607B" w:rsidRPr="0053607B" w:rsidRDefault="0053607B" w:rsidP="0053607B">
            <w:pPr>
              <w:spacing w:before="60" w:after="0" w:line="240" w:lineRule="auto"/>
              <w:jc w:val="center"/>
              <w:rPr>
                <w:rFonts w:ascii="Times New Roman" w:hAnsi="Times New Roman"/>
                <w:sz w:val="20"/>
                <w:szCs w:val="20"/>
              </w:rPr>
            </w:pPr>
            <w:r w:rsidRPr="0053607B">
              <w:rPr>
                <w:rFonts w:ascii="Times New Roman" w:hAnsi="Times New Roman"/>
                <w:sz w:val="20"/>
                <w:szCs w:val="20"/>
              </w:rPr>
              <w:t>57.00</w:t>
            </w:r>
          </w:p>
        </w:tc>
      </w:tr>
      <w:tr w:rsidR="0053607B" w:rsidRPr="0053607B" w:rsidTr="00FB4AE5">
        <w:trPr>
          <w:jc w:val="center"/>
        </w:trPr>
        <w:tc>
          <w:tcPr>
            <w:tcW w:w="2482" w:type="dxa"/>
            <w:tcBorders>
              <w:top w:val="nil"/>
              <w:left w:val="nil"/>
              <w:bottom w:val="nil"/>
              <w:right w:val="nil"/>
            </w:tcBorders>
            <w:vAlign w:val="center"/>
          </w:tcPr>
          <w:p w:rsidR="0053607B" w:rsidRPr="0053607B" w:rsidRDefault="0053607B" w:rsidP="0053607B">
            <w:pPr>
              <w:spacing w:before="60" w:after="0" w:line="240" w:lineRule="auto"/>
              <w:rPr>
                <w:rFonts w:ascii="Times New Roman" w:hAnsi="Times New Roman"/>
                <w:sz w:val="20"/>
                <w:szCs w:val="20"/>
              </w:rPr>
            </w:pPr>
            <w:r w:rsidRPr="0053607B">
              <w:rPr>
                <w:rFonts w:ascii="Times New Roman" w:hAnsi="Times New Roman"/>
                <w:sz w:val="20"/>
                <w:szCs w:val="20"/>
              </w:rPr>
              <w:t>Pb, (mg/kg, dw)</w:t>
            </w:r>
          </w:p>
        </w:tc>
        <w:tc>
          <w:tcPr>
            <w:tcW w:w="947" w:type="dxa"/>
            <w:tcBorders>
              <w:top w:val="nil"/>
              <w:left w:val="nil"/>
              <w:bottom w:val="nil"/>
              <w:right w:val="nil"/>
            </w:tcBorders>
            <w:vAlign w:val="center"/>
          </w:tcPr>
          <w:p w:rsidR="0053607B" w:rsidRPr="0053607B" w:rsidRDefault="0053607B" w:rsidP="0053607B">
            <w:pPr>
              <w:spacing w:before="60" w:after="0" w:line="240" w:lineRule="auto"/>
              <w:jc w:val="center"/>
              <w:rPr>
                <w:rFonts w:ascii="Times New Roman" w:hAnsi="Times New Roman"/>
                <w:sz w:val="20"/>
                <w:szCs w:val="20"/>
              </w:rPr>
            </w:pPr>
            <w:r w:rsidRPr="0053607B">
              <w:rPr>
                <w:rFonts w:ascii="Times New Roman" w:hAnsi="Times New Roman"/>
                <w:sz w:val="20"/>
                <w:szCs w:val="20"/>
              </w:rPr>
              <w:t>4.4</w:t>
            </w:r>
          </w:p>
        </w:tc>
        <w:tc>
          <w:tcPr>
            <w:tcW w:w="961" w:type="dxa"/>
            <w:tcBorders>
              <w:top w:val="nil"/>
              <w:left w:val="nil"/>
              <w:bottom w:val="nil"/>
              <w:right w:val="nil"/>
            </w:tcBorders>
            <w:vAlign w:val="center"/>
          </w:tcPr>
          <w:p w:rsidR="0053607B" w:rsidRPr="0053607B" w:rsidRDefault="0053607B" w:rsidP="0053607B">
            <w:pPr>
              <w:spacing w:before="60" w:after="0" w:line="240" w:lineRule="auto"/>
              <w:jc w:val="center"/>
              <w:rPr>
                <w:rFonts w:ascii="Times New Roman" w:hAnsi="Times New Roman"/>
                <w:color w:val="000000"/>
                <w:sz w:val="20"/>
                <w:szCs w:val="20"/>
              </w:rPr>
            </w:pPr>
            <w:r w:rsidRPr="0053607B">
              <w:rPr>
                <w:rFonts w:ascii="Times New Roman" w:hAnsi="Times New Roman"/>
                <w:color w:val="000000"/>
                <w:sz w:val="20"/>
                <w:szCs w:val="20"/>
              </w:rPr>
              <w:t>17278</w:t>
            </w:r>
          </w:p>
        </w:tc>
        <w:tc>
          <w:tcPr>
            <w:tcW w:w="961" w:type="dxa"/>
            <w:tcBorders>
              <w:top w:val="nil"/>
              <w:left w:val="nil"/>
              <w:bottom w:val="nil"/>
              <w:right w:val="nil"/>
            </w:tcBorders>
            <w:vAlign w:val="center"/>
          </w:tcPr>
          <w:p w:rsidR="0053607B" w:rsidRPr="0053607B" w:rsidRDefault="0053607B" w:rsidP="0053607B">
            <w:pPr>
              <w:spacing w:before="60" w:after="0" w:line="240" w:lineRule="auto"/>
              <w:jc w:val="center"/>
              <w:rPr>
                <w:rFonts w:ascii="Times New Roman" w:hAnsi="Times New Roman"/>
                <w:color w:val="000000"/>
                <w:sz w:val="20"/>
                <w:szCs w:val="20"/>
              </w:rPr>
            </w:pPr>
            <w:r w:rsidRPr="0053607B">
              <w:rPr>
                <w:rFonts w:ascii="Times New Roman" w:hAnsi="Times New Roman"/>
                <w:color w:val="000000"/>
                <w:sz w:val="20"/>
                <w:szCs w:val="20"/>
              </w:rPr>
              <w:t>14126</w:t>
            </w:r>
          </w:p>
        </w:tc>
        <w:tc>
          <w:tcPr>
            <w:tcW w:w="961" w:type="dxa"/>
            <w:tcBorders>
              <w:top w:val="nil"/>
              <w:left w:val="nil"/>
              <w:bottom w:val="nil"/>
              <w:right w:val="nil"/>
            </w:tcBorders>
            <w:vAlign w:val="center"/>
          </w:tcPr>
          <w:p w:rsidR="0053607B" w:rsidRPr="0053607B" w:rsidRDefault="0053607B" w:rsidP="0053607B">
            <w:pPr>
              <w:spacing w:before="60" w:after="0" w:line="240" w:lineRule="auto"/>
              <w:jc w:val="center"/>
              <w:rPr>
                <w:rFonts w:ascii="Times New Roman" w:hAnsi="Times New Roman"/>
                <w:color w:val="000000"/>
                <w:sz w:val="20"/>
                <w:szCs w:val="20"/>
              </w:rPr>
            </w:pPr>
            <w:r w:rsidRPr="0053607B">
              <w:rPr>
                <w:rFonts w:ascii="Times New Roman" w:hAnsi="Times New Roman"/>
                <w:color w:val="000000"/>
                <w:sz w:val="20"/>
                <w:szCs w:val="20"/>
              </w:rPr>
              <w:t>12163</w:t>
            </w:r>
          </w:p>
        </w:tc>
      </w:tr>
      <w:tr w:rsidR="0053607B" w:rsidRPr="0053607B" w:rsidTr="00FB4AE5">
        <w:trPr>
          <w:jc w:val="center"/>
        </w:trPr>
        <w:tc>
          <w:tcPr>
            <w:tcW w:w="2482" w:type="dxa"/>
            <w:tcBorders>
              <w:top w:val="nil"/>
              <w:left w:val="nil"/>
              <w:bottom w:val="nil"/>
              <w:right w:val="nil"/>
            </w:tcBorders>
            <w:vAlign w:val="center"/>
          </w:tcPr>
          <w:p w:rsidR="0053607B" w:rsidRPr="0053607B" w:rsidRDefault="0053607B" w:rsidP="0053607B">
            <w:pPr>
              <w:spacing w:before="60" w:after="0" w:line="240" w:lineRule="auto"/>
              <w:rPr>
                <w:rFonts w:ascii="Times New Roman" w:hAnsi="Times New Roman"/>
                <w:sz w:val="20"/>
                <w:szCs w:val="20"/>
              </w:rPr>
            </w:pPr>
            <w:r w:rsidRPr="0053607B">
              <w:rPr>
                <w:rFonts w:ascii="Times New Roman" w:hAnsi="Times New Roman"/>
                <w:sz w:val="20"/>
                <w:szCs w:val="20"/>
              </w:rPr>
              <w:t>Al, (mg/kg, dw)</w:t>
            </w:r>
          </w:p>
        </w:tc>
        <w:tc>
          <w:tcPr>
            <w:tcW w:w="947" w:type="dxa"/>
            <w:tcBorders>
              <w:top w:val="nil"/>
              <w:left w:val="nil"/>
              <w:bottom w:val="nil"/>
              <w:right w:val="nil"/>
            </w:tcBorders>
            <w:vAlign w:val="center"/>
          </w:tcPr>
          <w:p w:rsidR="0053607B" w:rsidRPr="0053607B" w:rsidRDefault="0053607B" w:rsidP="0053607B">
            <w:pPr>
              <w:spacing w:before="60" w:after="0" w:line="240" w:lineRule="auto"/>
              <w:jc w:val="center"/>
              <w:rPr>
                <w:rFonts w:ascii="Times New Roman" w:hAnsi="Times New Roman"/>
                <w:sz w:val="20"/>
                <w:szCs w:val="20"/>
              </w:rPr>
            </w:pPr>
            <w:r w:rsidRPr="0053607B">
              <w:rPr>
                <w:rFonts w:ascii="Times New Roman" w:hAnsi="Times New Roman"/>
                <w:sz w:val="20"/>
                <w:szCs w:val="20"/>
              </w:rPr>
              <w:t>380</w:t>
            </w:r>
          </w:p>
        </w:tc>
        <w:tc>
          <w:tcPr>
            <w:tcW w:w="961" w:type="dxa"/>
            <w:tcBorders>
              <w:top w:val="nil"/>
              <w:left w:val="nil"/>
              <w:bottom w:val="nil"/>
              <w:right w:val="nil"/>
            </w:tcBorders>
            <w:vAlign w:val="center"/>
          </w:tcPr>
          <w:p w:rsidR="0053607B" w:rsidRPr="0053607B" w:rsidRDefault="0053607B" w:rsidP="0053607B">
            <w:pPr>
              <w:spacing w:before="60" w:after="0" w:line="240" w:lineRule="auto"/>
              <w:jc w:val="center"/>
              <w:rPr>
                <w:rFonts w:ascii="Times New Roman" w:hAnsi="Times New Roman"/>
                <w:sz w:val="20"/>
                <w:szCs w:val="20"/>
              </w:rPr>
            </w:pPr>
            <w:r w:rsidRPr="0053607B">
              <w:rPr>
                <w:rFonts w:ascii="Times New Roman" w:hAnsi="Times New Roman"/>
                <w:sz w:val="20"/>
                <w:szCs w:val="20"/>
              </w:rPr>
              <w:t>372</w:t>
            </w:r>
          </w:p>
        </w:tc>
        <w:tc>
          <w:tcPr>
            <w:tcW w:w="961" w:type="dxa"/>
            <w:tcBorders>
              <w:top w:val="nil"/>
              <w:left w:val="nil"/>
              <w:bottom w:val="nil"/>
              <w:right w:val="nil"/>
            </w:tcBorders>
            <w:vAlign w:val="center"/>
          </w:tcPr>
          <w:p w:rsidR="0053607B" w:rsidRPr="0053607B" w:rsidRDefault="0053607B" w:rsidP="0053607B">
            <w:pPr>
              <w:spacing w:before="60" w:after="0" w:line="240" w:lineRule="auto"/>
              <w:jc w:val="center"/>
              <w:rPr>
                <w:rFonts w:ascii="Times New Roman" w:hAnsi="Times New Roman"/>
                <w:sz w:val="20"/>
                <w:szCs w:val="20"/>
              </w:rPr>
            </w:pPr>
            <w:r w:rsidRPr="0053607B">
              <w:rPr>
                <w:rFonts w:ascii="Times New Roman" w:hAnsi="Times New Roman"/>
                <w:sz w:val="20"/>
                <w:szCs w:val="20"/>
              </w:rPr>
              <w:t>347</w:t>
            </w:r>
          </w:p>
        </w:tc>
        <w:tc>
          <w:tcPr>
            <w:tcW w:w="961" w:type="dxa"/>
            <w:tcBorders>
              <w:top w:val="nil"/>
              <w:left w:val="nil"/>
              <w:bottom w:val="nil"/>
              <w:right w:val="nil"/>
            </w:tcBorders>
            <w:vAlign w:val="center"/>
          </w:tcPr>
          <w:p w:rsidR="0053607B" w:rsidRPr="0053607B" w:rsidRDefault="0053607B" w:rsidP="0053607B">
            <w:pPr>
              <w:spacing w:before="60" w:after="0" w:line="240" w:lineRule="auto"/>
              <w:jc w:val="center"/>
              <w:rPr>
                <w:rFonts w:ascii="Times New Roman" w:hAnsi="Times New Roman"/>
                <w:sz w:val="20"/>
                <w:szCs w:val="20"/>
              </w:rPr>
            </w:pPr>
            <w:r w:rsidRPr="0053607B">
              <w:rPr>
                <w:rFonts w:ascii="Times New Roman" w:hAnsi="Times New Roman"/>
                <w:sz w:val="20"/>
                <w:szCs w:val="20"/>
              </w:rPr>
              <w:t>333</w:t>
            </w:r>
          </w:p>
        </w:tc>
      </w:tr>
      <w:tr w:rsidR="0053607B" w:rsidRPr="0053607B" w:rsidTr="00FB4AE5">
        <w:trPr>
          <w:jc w:val="center"/>
        </w:trPr>
        <w:tc>
          <w:tcPr>
            <w:tcW w:w="2482" w:type="dxa"/>
            <w:tcBorders>
              <w:top w:val="nil"/>
              <w:left w:val="nil"/>
              <w:bottom w:val="nil"/>
              <w:right w:val="nil"/>
            </w:tcBorders>
            <w:vAlign w:val="center"/>
          </w:tcPr>
          <w:p w:rsidR="0053607B" w:rsidRPr="0053607B" w:rsidRDefault="0053607B" w:rsidP="0053607B">
            <w:pPr>
              <w:spacing w:before="60" w:after="0" w:line="240" w:lineRule="auto"/>
              <w:rPr>
                <w:rFonts w:ascii="Times New Roman" w:hAnsi="Times New Roman"/>
                <w:sz w:val="20"/>
                <w:szCs w:val="20"/>
              </w:rPr>
            </w:pPr>
            <w:r w:rsidRPr="0053607B">
              <w:rPr>
                <w:rFonts w:ascii="Times New Roman" w:hAnsi="Times New Roman"/>
                <w:sz w:val="20"/>
                <w:szCs w:val="20"/>
              </w:rPr>
              <w:t>Fe, (mg/kg, dw)</w:t>
            </w:r>
          </w:p>
        </w:tc>
        <w:tc>
          <w:tcPr>
            <w:tcW w:w="947" w:type="dxa"/>
            <w:tcBorders>
              <w:top w:val="nil"/>
              <w:left w:val="nil"/>
              <w:bottom w:val="nil"/>
              <w:right w:val="nil"/>
            </w:tcBorders>
            <w:vAlign w:val="center"/>
          </w:tcPr>
          <w:p w:rsidR="0053607B" w:rsidRPr="0053607B" w:rsidRDefault="0053607B" w:rsidP="0053607B">
            <w:pPr>
              <w:spacing w:before="60" w:after="0" w:line="240" w:lineRule="auto"/>
              <w:jc w:val="center"/>
              <w:rPr>
                <w:rFonts w:ascii="Times New Roman" w:hAnsi="Times New Roman"/>
                <w:sz w:val="20"/>
                <w:szCs w:val="20"/>
              </w:rPr>
            </w:pPr>
            <w:r w:rsidRPr="0053607B">
              <w:rPr>
                <w:rFonts w:ascii="Times New Roman" w:hAnsi="Times New Roman"/>
                <w:sz w:val="20"/>
                <w:szCs w:val="20"/>
              </w:rPr>
              <w:t>178</w:t>
            </w:r>
          </w:p>
        </w:tc>
        <w:tc>
          <w:tcPr>
            <w:tcW w:w="961" w:type="dxa"/>
            <w:tcBorders>
              <w:top w:val="nil"/>
              <w:left w:val="nil"/>
              <w:bottom w:val="nil"/>
              <w:right w:val="nil"/>
            </w:tcBorders>
            <w:vAlign w:val="center"/>
          </w:tcPr>
          <w:p w:rsidR="0053607B" w:rsidRPr="0053607B" w:rsidRDefault="0053607B" w:rsidP="0053607B">
            <w:pPr>
              <w:spacing w:before="60" w:after="0" w:line="240" w:lineRule="auto"/>
              <w:jc w:val="center"/>
              <w:rPr>
                <w:rFonts w:ascii="Times New Roman" w:hAnsi="Times New Roman"/>
                <w:sz w:val="20"/>
                <w:szCs w:val="20"/>
              </w:rPr>
            </w:pPr>
            <w:r w:rsidRPr="0053607B">
              <w:rPr>
                <w:rFonts w:ascii="Times New Roman" w:hAnsi="Times New Roman"/>
                <w:sz w:val="20"/>
                <w:szCs w:val="20"/>
              </w:rPr>
              <w:t>152</w:t>
            </w:r>
          </w:p>
        </w:tc>
        <w:tc>
          <w:tcPr>
            <w:tcW w:w="961" w:type="dxa"/>
            <w:tcBorders>
              <w:top w:val="nil"/>
              <w:left w:val="nil"/>
              <w:bottom w:val="nil"/>
              <w:right w:val="nil"/>
            </w:tcBorders>
            <w:vAlign w:val="center"/>
          </w:tcPr>
          <w:p w:rsidR="0053607B" w:rsidRPr="0053607B" w:rsidRDefault="0053607B" w:rsidP="0053607B">
            <w:pPr>
              <w:spacing w:before="60" w:after="0" w:line="240" w:lineRule="auto"/>
              <w:jc w:val="center"/>
              <w:rPr>
                <w:rFonts w:ascii="Times New Roman" w:hAnsi="Times New Roman"/>
                <w:sz w:val="20"/>
                <w:szCs w:val="20"/>
              </w:rPr>
            </w:pPr>
            <w:r w:rsidRPr="0053607B">
              <w:rPr>
                <w:rFonts w:ascii="Times New Roman" w:hAnsi="Times New Roman"/>
                <w:sz w:val="20"/>
                <w:szCs w:val="20"/>
              </w:rPr>
              <w:t>172</w:t>
            </w:r>
          </w:p>
        </w:tc>
        <w:tc>
          <w:tcPr>
            <w:tcW w:w="961" w:type="dxa"/>
            <w:tcBorders>
              <w:top w:val="nil"/>
              <w:left w:val="nil"/>
              <w:bottom w:val="nil"/>
              <w:right w:val="nil"/>
            </w:tcBorders>
            <w:vAlign w:val="center"/>
          </w:tcPr>
          <w:p w:rsidR="0053607B" w:rsidRPr="0053607B" w:rsidRDefault="0053607B" w:rsidP="0053607B">
            <w:pPr>
              <w:spacing w:before="60" w:after="0" w:line="240" w:lineRule="auto"/>
              <w:jc w:val="center"/>
              <w:rPr>
                <w:rFonts w:ascii="Times New Roman" w:hAnsi="Times New Roman"/>
                <w:sz w:val="20"/>
                <w:szCs w:val="20"/>
              </w:rPr>
            </w:pPr>
            <w:r w:rsidRPr="0053607B">
              <w:rPr>
                <w:rFonts w:ascii="Times New Roman" w:hAnsi="Times New Roman"/>
                <w:sz w:val="20"/>
                <w:szCs w:val="20"/>
              </w:rPr>
              <w:t>154</w:t>
            </w:r>
          </w:p>
        </w:tc>
      </w:tr>
      <w:tr w:rsidR="0053607B" w:rsidRPr="0053607B" w:rsidTr="00FB4AE5">
        <w:trPr>
          <w:jc w:val="center"/>
        </w:trPr>
        <w:tc>
          <w:tcPr>
            <w:tcW w:w="2482" w:type="dxa"/>
            <w:tcBorders>
              <w:top w:val="nil"/>
              <w:left w:val="nil"/>
              <w:bottom w:val="nil"/>
              <w:right w:val="nil"/>
            </w:tcBorders>
            <w:vAlign w:val="center"/>
          </w:tcPr>
          <w:p w:rsidR="0053607B" w:rsidRPr="0053607B" w:rsidRDefault="0053607B" w:rsidP="0053607B">
            <w:pPr>
              <w:spacing w:before="60" w:after="0" w:line="240" w:lineRule="auto"/>
              <w:rPr>
                <w:rFonts w:ascii="Times New Roman" w:hAnsi="Times New Roman"/>
                <w:sz w:val="20"/>
                <w:szCs w:val="20"/>
              </w:rPr>
            </w:pPr>
            <w:r w:rsidRPr="0053607B">
              <w:rPr>
                <w:rFonts w:ascii="Times New Roman" w:hAnsi="Times New Roman"/>
                <w:sz w:val="20"/>
                <w:szCs w:val="20"/>
              </w:rPr>
              <w:t>Ca, (mg/kg, dw)</w:t>
            </w:r>
          </w:p>
        </w:tc>
        <w:tc>
          <w:tcPr>
            <w:tcW w:w="947" w:type="dxa"/>
            <w:tcBorders>
              <w:top w:val="nil"/>
              <w:left w:val="nil"/>
              <w:bottom w:val="nil"/>
              <w:right w:val="nil"/>
            </w:tcBorders>
            <w:vAlign w:val="center"/>
          </w:tcPr>
          <w:p w:rsidR="0053607B" w:rsidRPr="0053607B" w:rsidRDefault="0053607B" w:rsidP="0053607B">
            <w:pPr>
              <w:spacing w:before="60" w:after="0" w:line="240" w:lineRule="auto"/>
              <w:jc w:val="center"/>
              <w:rPr>
                <w:rFonts w:ascii="Times New Roman" w:hAnsi="Times New Roman"/>
                <w:sz w:val="20"/>
                <w:szCs w:val="20"/>
              </w:rPr>
            </w:pPr>
            <w:r w:rsidRPr="0053607B">
              <w:rPr>
                <w:rFonts w:ascii="Times New Roman" w:hAnsi="Times New Roman"/>
                <w:sz w:val="20"/>
                <w:szCs w:val="20"/>
              </w:rPr>
              <w:t>132</w:t>
            </w:r>
          </w:p>
        </w:tc>
        <w:tc>
          <w:tcPr>
            <w:tcW w:w="961" w:type="dxa"/>
            <w:tcBorders>
              <w:top w:val="nil"/>
              <w:left w:val="nil"/>
              <w:bottom w:val="nil"/>
              <w:right w:val="nil"/>
            </w:tcBorders>
            <w:vAlign w:val="center"/>
          </w:tcPr>
          <w:p w:rsidR="0053607B" w:rsidRPr="0053607B" w:rsidRDefault="0053607B" w:rsidP="0053607B">
            <w:pPr>
              <w:spacing w:before="60" w:after="0" w:line="240" w:lineRule="auto"/>
              <w:jc w:val="center"/>
              <w:rPr>
                <w:rFonts w:ascii="Times New Roman" w:hAnsi="Times New Roman"/>
                <w:sz w:val="20"/>
                <w:szCs w:val="20"/>
              </w:rPr>
            </w:pPr>
            <w:r w:rsidRPr="0053607B">
              <w:rPr>
                <w:rFonts w:ascii="Times New Roman" w:hAnsi="Times New Roman"/>
                <w:sz w:val="20"/>
                <w:szCs w:val="20"/>
              </w:rPr>
              <w:t>106</w:t>
            </w:r>
          </w:p>
        </w:tc>
        <w:tc>
          <w:tcPr>
            <w:tcW w:w="961" w:type="dxa"/>
            <w:tcBorders>
              <w:top w:val="nil"/>
              <w:left w:val="nil"/>
              <w:bottom w:val="nil"/>
              <w:right w:val="nil"/>
            </w:tcBorders>
            <w:vAlign w:val="center"/>
          </w:tcPr>
          <w:p w:rsidR="0053607B" w:rsidRPr="0053607B" w:rsidRDefault="0053607B" w:rsidP="0053607B">
            <w:pPr>
              <w:spacing w:before="60" w:after="0" w:line="240" w:lineRule="auto"/>
              <w:jc w:val="center"/>
              <w:rPr>
                <w:rFonts w:ascii="Times New Roman" w:hAnsi="Times New Roman"/>
                <w:sz w:val="20"/>
                <w:szCs w:val="20"/>
              </w:rPr>
            </w:pPr>
            <w:r w:rsidRPr="0053607B">
              <w:rPr>
                <w:rFonts w:ascii="Times New Roman" w:hAnsi="Times New Roman"/>
                <w:sz w:val="20"/>
                <w:szCs w:val="20"/>
              </w:rPr>
              <w:t>112</w:t>
            </w:r>
          </w:p>
        </w:tc>
        <w:tc>
          <w:tcPr>
            <w:tcW w:w="961" w:type="dxa"/>
            <w:tcBorders>
              <w:top w:val="nil"/>
              <w:left w:val="nil"/>
              <w:bottom w:val="nil"/>
              <w:right w:val="nil"/>
            </w:tcBorders>
            <w:vAlign w:val="center"/>
          </w:tcPr>
          <w:p w:rsidR="0053607B" w:rsidRPr="0053607B" w:rsidRDefault="0053607B" w:rsidP="0053607B">
            <w:pPr>
              <w:spacing w:before="60" w:after="0" w:line="240" w:lineRule="auto"/>
              <w:jc w:val="center"/>
              <w:rPr>
                <w:rFonts w:ascii="Times New Roman" w:hAnsi="Times New Roman"/>
                <w:sz w:val="20"/>
                <w:szCs w:val="20"/>
              </w:rPr>
            </w:pPr>
            <w:r w:rsidRPr="0053607B">
              <w:rPr>
                <w:rFonts w:ascii="Times New Roman" w:hAnsi="Times New Roman"/>
                <w:sz w:val="20"/>
                <w:szCs w:val="20"/>
              </w:rPr>
              <w:t>16</w:t>
            </w:r>
          </w:p>
        </w:tc>
      </w:tr>
      <w:tr w:rsidR="0053607B" w:rsidRPr="0053607B" w:rsidTr="00FB4AE5">
        <w:trPr>
          <w:jc w:val="center"/>
        </w:trPr>
        <w:tc>
          <w:tcPr>
            <w:tcW w:w="2482" w:type="dxa"/>
            <w:tcBorders>
              <w:top w:val="nil"/>
              <w:left w:val="nil"/>
              <w:bottom w:val="single" w:sz="4" w:space="0" w:color="auto"/>
              <w:right w:val="nil"/>
            </w:tcBorders>
            <w:vAlign w:val="center"/>
          </w:tcPr>
          <w:p w:rsidR="0053607B" w:rsidRPr="0053607B" w:rsidRDefault="0053607B" w:rsidP="0053607B">
            <w:pPr>
              <w:spacing w:before="60" w:after="60" w:line="240" w:lineRule="auto"/>
              <w:rPr>
                <w:rFonts w:ascii="Times New Roman" w:hAnsi="Times New Roman"/>
                <w:sz w:val="20"/>
                <w:szCs w:val="20"/>
              </w:rPr>
            </w:pPr>
            <w:r w:rsidRPr="0053607B">
              <w:rPr>
                <w:rFonts w:ascii="Times New Roman" w:hAnsi="Times New Roman"/>
                <w:sz w:val="20"/>
                <w:szCs w:val="20"/>
              </w:rPr>
              <w:t>K, (mg/kg, dw)</w:t>
            </w:r>
          </w:p>
        </w:tc>
        <w:tc>
          <w:tcPr>
            <w:tcW w:w="947" w:type="dxa"/>
            <w:tcBorders>
              <w:top w:val="nil"/>
              <w:left w:val="nil"/>
              <w:bottom w:val="single" w:sz="4" w:space="0" w:color="auto"/>
              <w:right w:val="nil"/>
            </w:tcBorders>
            <w:vAlign w:val="center"/>
          </w:tcPr>
          <w:p w:rsidR="0053607B" w:rsidRPr="0053607B" w:rsidRDefault="0053607B" w:rsidP="0053607B">
            <w:pPr>
              <w:spacing w:before="60" w:after="0" w:line="240" w:lineRule="auto"/>
              <w:jc w:val="center"/>
              <w:rPr>
                <w:rFonts w:ascii="Times New Roman" w:hAnsi="Times New Roman"/>
                <w:sz w:val="20"/>
                <w:szCs w:val="20"/>
              </w:rPr>
            </w:pPr>
            <w:r w:rsidRPr="0053607B">
              <w:rPr>
                <w:rFonts w:ascii="Times New Roman" w:hAnsi="Times New Roman"/>
                <w:sz w:val="20"/>
                <w:szCs w:val="20"/>
              </w:rPr>
              <w:t>27</w:t>
            </w:r>
          </w:p>
        </w:tc>
        <w:tc>
          <w:tcPr>
            <w:tcW w:w="961" w:type="dxa"/>
            <w:tcBorders>
              <w:top w:val="nil"/>
              <w:left w:val="nil"/>
              <w:bottom w:val="single" w:sz="4" w:space="0" w:color="auto"/>
              <w:right w:val="nil"/>
            </w:tcBorders>
            <w:vAlign w:val="center"/>
          </w:tcPr>
          <w:p w:rsidR="0053607B" w:rsidRPr="0053607B" w:rsidRDefault="0053607B" w:rsidP="0053607B">
            <w:pPr>
              <w:spacing w:before="60" w:after="0" w:line="240" w:lineRule="auto"/>
              <w:jc w:val="center"/>
              <w:rPr>
                <w:rFonts w:ascii="Times New Roman" w:hAnsi="Times New Roman"/>
                <w:sz w:val="20"/>
                <w:szCs w:val="20"/>
              </w:rPr>
            </w:pPr>
            <w:r w:rsidRPr="0053607B">
              <w:rPr>
                <w:rFonts w:ascii="Times New Roman" w:hAnsi="Times New Roman"/>
                <w:sz w:val="20"/>
                <w:szCs w:val="20"/>
              </w:rPr>
              <w:t>13</w:t>
            </w:r>
          </w:p>
        </w:tc>
        <w:tc>
          <w:tcPr>
            <w:tcW w:w="961" w:type="dxa"/>
            <w:tcBorders>
              <w:top w:val="nil"/>
              <w:left w:val="nil"/>
              <w:bottom w:val="single" w:sz="4" w:space="0" w:color="auto"/>
              <w:right w:val="nil"/>
            </w:tcBorders>
            <w:vAlign w:val="center"/>
          </w:tcPr>
          <w:p w:rsidR="0053607B" w:rsidRPr="0053607B" w:rsidRDefault="0053607B" w:rsidP="0053607B">
            <w:pPr>
              <w:spacing w:before="60" w:after="0" w:line="240" w:lineRule="auto"/>
              <w:jc w:val="center"/>
              <w:rPr>
                <w:rFonts w:ascii="Times New Roman" w:hAnsi="Times New Roman"/>
                <w:sz w:val="20"/>
                <w:szCs w:val="20"/>
              </w:rPr>
            </w:pPr>
            <w:r w:rsidRPr="0053607B">
              <w:rPr>
                <w:rFonts w:ascii="Times New Roman" w:hAnsi="Times New Roman"/>
                <w:sz w:val="20"/>
                <w:szCs w:val="20"/>
              </w:rPr>
              <w:t>11</w:t>
            </w:r>
          </w:p>
        </w:tc>
        <w:tc>
          <w:tcPr>
            <w:tcW w:w="961" w:type="dxa"/>
            <w:tcBorders>
              <w:top w:val="nil"/>
              <w:left w:val="nil"/>
              <w:bottom w:val="single" w:sz="4" w:space="0" w:color="auto"/>
              <w:right w:val="nil"/>
            </w:tcBorders>
            <w:vAlign w:val="center"/>
          </w:tcPr>
          <w:p w:rsidR="0053607B" w:rsidRPr="0053607B" w:rsidRDefault="0053607B" w:rsidP="0053607B">
            <w:pPr>
              <w:spacing w:before="60" w:after="0" w:line="240" w:lineRule="auto"/>
              <w:jc w:val="center"/>
              <w:rPr>
                <w:rFonts w:ascii="Times New Roman" w:hAnsi="Times New Roman"/>
                <w:sz w:val="20"/>
                <w:szCs w:val="20"/>
              </w:rPr>
            </w:pPr>
            <w:r w:rsidRPr="0053607B">
              <w:rPr>
                <w:rFonts w:ascii="Times New Roman" w:hAnsi="Times New Roman"/>
                <w:sz w:val="20"/>
                <w:szCs w:val="20"/>
              </w:rPr>
              <w:t>13</w:t>
            </w:r>
          </w:p>
        </w:tc>
      </w:tr>
    </w:tbl>
    <w:p w:rsidR="0053607B" w:rsidRDefault="0053607B" w:rsidP="0053607B">
      <w:pPr>
        <w:spacing w:after="0" w:line="240" w:lineRule="auto"/>
        <w:jc w:val="both"/>
        <w:rPr>
          <w:rFonts w:ascii="Times New Roman" w:hAnsi="Times New Roman"/>
          <w:sz w:val="20"/>
          <w:szCs w:val="20"/>
        </w:rPr>
      </w:pPr>
    </w:p>
    <w:p w:rsidR="0053607B" w:rsidRPr="0053607B" w:rsidRDefault="0053607B" w:rsidP="0053607B">
      <w:pPr>
        <w:spacing w:after="0" w:line="240" w:lineRule="auto"/>
        <w:jc w:val="both"/>
        <w:rPr>
          <w:rFonts w:ascii="Times New Roman" w:hAnsi="Times New Roman"/>
          <w:sz w:val="20"/>
          <w:szCs w:val="20"/>
        </w:rPr>
      </w:pPr>
    </w:p>
    <w:p w:rsidR="0053607B" w:rsidRPr="0053607B" w:rsidRDefault="0053607B" w:rsidP="0053607B">
      <w:pPr>
        <w:spacing w:after="0" w:line="240" w:lineRule="auto"/>
        <w:jc w:val="both"/>
        <w:rPr>
          <w:rFonts w:ascii="Times New Roman" w:hAnsi="Times New Roman"/>
          <w:sz w:val="20"/>
          <w:szCs w:val="20"/>
        </w:rPr>
      </w:pPr>
      <w:r w:rsidRPr="0053607B">
        <w:rPr>
          <w:rFonts w:ascii="Times New Roman" w:hAnsi="Times New Roman"/>
          <w:sz w:val="20"/>
          <w:szCs w:val="20"/>
        </w:rPr>
        <w:t xml:space="preserve">The concentration of the lead and other metal in shooting range soil is shown in Table 1. The average total lead contents at the targets are 14522 ± 2580 mg/kg, significantly higher than those at the baseline (4.4 mg/kg). The concentration of lead in soil is also the highest compare to other metals, indicating the excessive enrichment of lead in the shooting range soil. The average lead concentration in target soils is 36 times higher than the limits set by United States Environment Protection Agency (USEPA) </w:t>
      </w:r>
      <w:r w:rsidRPr="0053607B">
        <w:rPr>
          <w:rFonts w:ascii="Times New Roman" w:hAnsi="Times New Roman"/>
          <w:sz w:val="20"/>
          <w:szCs w:val="20"/>
        </w:rPr>
        <w:fldChar w:fldCharType="begin"/>
      </w:r>
      <w:r w:rsidRPr="0053607B">
        <w:rPr>
          <w:rFonts w:ascii="Times New Roman" w:hAnsi="Times New Roman"/>
          <w:sz w:val="20"/>
          <w:szCs w:val="20"/>
        </w:rPr>
        <w:instrText xml:space="preserve"> ADDIN EN.CITE &lt;EndNote&gt;&lt;Cite&gt;&lt;Author&gt;USEPA&lt;/Author&gt;&lt;Year&gt;2002&lt;/Year&gt;&lt;RecNum&gt;3135&lt;/RecNum&gt;&lt;DisplayText&gt;[8]&lt;/DisplayText&gt;&lt;record&gt;&lt;rec-number&gt;3135&lt;/rec-number&gt;&lt;foreign-keys&gt;&lt;key app="EN" db-id="sr0twxwzpw9azuefz59vrzalex2r5r0e005r"&gt;3135&lt;/key&gt;&lt;/foreign-keys&gt;&lt;ref-type name="Generic"&gt;13&lt;/ref-type&gt;&lt;contributors&gt;&lt;authors&gt;&lt;author&gt;USEPA&lt;/author&gt;&lt;/authors&gt;&lt;/contributors&gt;&lt;titles&gt;&lt;title&gt;Supplemental guidance for developing soil screening levels for superfund sites&lt;/title&gt;&lt;/titles&gt;&lt;dates&gt;&lt;year&gt;2002&lt;/year&gt;&lt;/dates&gt;&lt;pub-location&gt;Washington, D.C&lt;/pub-location&gt;&lt;publisher&gt;Office of Solid Waste and Emergency Response, USEPA&lt;/publisher&gt;&lt;urls&gt;&lt;related-urls&gt;&lt;url&gt;http://www.epa.gov/superfund/health/conmedia/soil/index.htm&lt;/url&gt;&lt;/related-urls&gt;&lt;/urls&gt;&lt;/record&gt;&lt;/Cite&gt;&lt;/EndNote&gt;</w:instrText>
      </w:r>
      <w:r w:rsidRPr="0053607B">
        <w:rPr>
          <w:rFonts w:ascii="Times New Roman" w:hAnsi="Times New Roman"/>
          <w:sz w:val="20"/>
          <w:szCs w:val="20"/>
        </w:rPr>
        <w:fldChar w:fldCharType="separate"/>
      </w:r>
      <w:r w:rsidRPr="0053607B">
        <w:rPr>
          <w:rFonts w:ascii="Times New Roman" w:hAnsi="Times New Roman"/>
          <w:noProof/>
          <w:sz w:val="20"/>
          <w:szCs w:val="20"/>
        </w:rPr>
        <w:t>[8]</w:t>
      </w:r>
      <w:r w:rsidRPr="0053607B">
        <w:rPr>
          <w:rFonts w:ascii="Times New Roman" w:hAnsi="Times New Roman"/>
          <w:sz w:val="20"/>
          <w:szCs w:val="20"/>
        </w:rPr>
        <w:fldChar w:fldCharType="end"/>
      </w:r>
      <w:r w:rsidRPr="0053607B">
        <w:rPr>
          <w:rFonts w:ascii="Times New Roman" w:hAnsi="Times New Roman"/>
          <w:sz w:val="20"/>
          <w:szCs w:val="20"/>
        </w:rPr>
        <w:t>.</w:t>
      </w:r>
    </w:p>
    <w:p w:rsidR="0053607B" w:rsidRPr="0053607B" w:rsidRDefault="0053607B" w:rsidP="0053607B">
      <w:pPr>
        <w:spacing w:after="0" w:line="240" w:lineRule="auto"/>
        <w:jc w:val="both"/>
        <w:rPr>
          <w:rFonts w:ascii="Times New Roman" w:hAnsi="Times New Roman"/>
          <w:sz w:val="20"/>
          <w:szCs w:val="20"/>
        </w:rPr>
      </w:pPr>
    </w:p>
    <w:p w:rsidR="0053607B" w:rsidRPr="0053607B" w:rsidRDefault="0053607B" w:rsidP="0053607B">
      <w:pPr>
        <w:pStyle w:val="Default"/>
        <w:jc w:val="both"/>
        <w:rPr>
          <w:sz w:val="20"/>
          <w:szCs w:val="20"/>
        </w:rPr>
      </w:pPr>
      <w:r w:rsidRPr="0053607B">
        <w:rPr>
          <w:b/>
          <w:bCs/>
          <w:sz w:val="20"/>
          <w:szCs w:val="20"/>
        </w:rPr>
        <w:t xml:space="preserve">Soil column leaching test </w:t>
      </w:r>
    </w:p>
    <w:p w:rsidR="0053607B" w:rsidRPr="0053607B" w:rsidRDefault="0053607B" w:rsidP="0053607B">
      <w:pPr>
        <w:spacing w:after="0" w:line="240" w:lineRule="auto"/>
        <w:jc w:val="both"/>
        <w:rPr>
          <w:rFonts w:ascii="Times New Roman" w:hAnsi="Times New Roman"/>
          <w:sz w:val="20"/>
          <w:szCs w:val="20"/>
        </w:rPr>
      </w:pPr>
      <w:r w:rsidRPr="0053607B">
        <w:rPr>
          <w:rFonts w:ascii="Times New Roman" w:hAnsi="Times New Roman"/>
          <w:sz w:val="20"/>
          <w:szCs w:val="20"/>
        </w:rPr>
        <w:t xml:space="preserve">Figure 3 shows the average lead concentration in leachate from baseline and target soils, eluted with artificial rain water at pH 7 and 4. Overall, the lead concentration in leachate is higher than the safe limit (0.10 mg/L) set by the Ministry of Natural Resources and Environment </w:t>
      </w:r>
      <w:r w:rsidRPr="0053607B">
        <w:rPr>
          <w:rFonts w:ascii="Times New Roman" w:hAnsi="Times New Roman"/>
          <w:sz w:val="20"/>
          <w:szCs w:val="20"/>
        </w:rPr>
        <w:fldChar w:fldCharType="begin"/>
      </w:r>
      <w:r w:rsidRPr="0053607B">
        <w:rPr>
          <w:rFonts w:ascii="Times New Roman" w:hAnsi="Times New Roman"/>
          <w:sz w:val="20"/>
          <w:szCs w:val="20"/>
        </w:rPr>
        <w:instrText xml:space="preserve"> ADDIN EN.CITE &lt;EndNote&gt;&lt;Cite&gt;&lt;Author&gt;DOE&lt;/Author&gt;&lt;Year&gt;2009&lt;/Year&gt;&lt;RecNum&gt;3138&lt;/RecNum&gt;&lt;DisplayText&gt;[9]&lt;/DisplayText&gt;&lt;record&gt;&lt;rec-number&gt;3138&lt;/rec-number&gt;&lt;foreign-keys&gt;&lt;key app="EN" db-id="sr0twxwzpw9azuefz59vrzalex2r5r0e005r"&gt;3138&lt;/key&gt;&lt;/foreign-keys&gt;&lt;ref-type name="Journal Article"&gt;17&lt;/ref-type&gt;&lt;contributors&gt;&lt;authors&gt;&lt;author&gt;DOE&lt;/author&gt;&lt;/authors&gt;&lt;secondary-authors&gt;&lt;author&gt;Ministry of Natural Resources and Environment&lt;/author&gt;&lt;/secondary-authors&gt;&lt;/contributors&gt;&lt;titles&gt;&lt;title&gt;Environmental Quality (Control of Pollution From Solid Waste Transfer Station and Landfill) Regulations&lt;/title&gt;&lt;secondary-title&gt;PU(A) 433&lt;/secondary-title&gt;&lt;/titles&gt;&lt;dates&gt;&lt;year&gt;2009&lt;/year&gt;&lt;/dates&gt;&lt;urls&gt;&lt;/urls&gt;&lt;/record&gt;&lt;/Cite&gt;&lt;/EndNote&gt;</w:instrText>
      </w:r>
      <w:r w:rsidRPr="0053607B">
        <w:rPr>
          <w:rFonts w:ascii="Times New Roman" w:hAnsi="Times New Roman"/>
          <w:sz w:val="20"/>
          <w:szCs w:val="20"/>
        </w:rPr>
        <w:fldChar w:fldCharType="separate"/>
      </w:r>
      <w:r w:rsidRPr="0053607B">
        <w:rPr>
          <w:rFonts w:ascii="Times New Roman" w:hAnsi="Times New Roman"/>
          <w:noProof/>
          <w:sz w:val="20"/>
          <w:szCs w:val="20"/>
        </w:rPr>
        <w:t>[9]</w:t>
      </w:r>
      <w:r w:rsidRPr="0053607B">
        <w:rPr>
          <w:rFonts w:ascii="Times New Roman" w:hAnsi="Times New Roman"/>
          <w:sz w:val="20"/>
          <w:szCs w:val="20"/>
        </w:rPr>
        <w:fldChar w:fldCharType="end"/>
      </w:r>
      <w:r w:rsidRPr="0053607B">
        <w:rPr>
          <w:rFonts w:ascii="Times New Roman" w:hAnsi="Times New Roman"/>
          <w:sz w:val="20"/>
          <w:szCs w:val="20"/>
        </w:rPr>
        <w:t xml:space="preserve">. The lead concentration in leachate decreased with successive fractions for all soil samples. The highest lead concentration was recorded in the leachate of target soil at pH 4. Lead concentrations of leachates from target soil are higher than those of baselines soil at pH 4 and 7. High lead content of target soils increases the amount of soluble lead ions in leachate. The concentration of lead is further increased by acidic rain water, possible due to: (1) decrease of CEC of soil, and (2) increased solubility of lead in the soil </w:t>
      </w:r>
      <w:r w:rsidRPr="0053607B">
        <w:rPr>
          <w:rFonts w:ascii="Times New Roman" w:hAnsi="Times New Roman"/>
          <w:sz w:val="20"/>
          <w:szCs w:val="20"/>
        </w:rPr>
        <w:fldChar w:fldCharType="begin"/>
      </w:r>
      <w:r w:rsidRPr="0053607B">
        <w:rPr>
          <w:rFonts w:ascii="Times New Roman" w:hAnsi="Times New Roman"/>
          <w:sz w:val="20"/>
          <w:szCs w:val="20"/>
        </w:rPr>
        <w:instrText xml:space="preserve"> ADDIN EN.CITE &lt;EndNote&gt;&lt;Cite&gt;&lt;Author&gt;Sauvé&lt;/Author&gt;&lt;Year&gt;1998&lt;/Year&gt;&lt;RecNum&gt;3136&lt;/RecNum&gt;&lt;DisplayText&gt;[10]&lt;/DisplayText&gt;&lt;record&gt;&lt;rec-number&gt;3136&lt;/rec-number&gt;&lt;foreign-keys&gt;&lt;key app="EN" db-id="sr0twxwzpw9azuefz59vrzalex2r5r0e005r"&gt;3136&lt;/key&gt;&lt;/foreign-keys&gt;&lt;ref-type name="Journal Article"&gt;17&lt;/ref-type&gt;&lt;contributors&gt;&lt;authors&gt;&lt;author&gt;Sauvé, Sébastien&lt;/author&gt;&lt;author&gt;McBride, Murray&lt;/author&gt;&lt;author&gt;Hendershot, William&lt;/author&gt;&lt;/authors&gt;&lt;/contributors&gt;&lt;titles&gt;&lt;title&gt;Soil Solution Speciation of Lead(II): Effects of Organic Matter and pH&lt;/title&gt;&lt;secondary-title&gt;Soil Science Society of America Journal&lt;/secondary-title&gt;&lt;/titles&gt;&lt;periodical&gt;&lt;full-title&gt;Soil Science Society of America Journal&lt;/full-title&gt;&lt;/periodical&gt;&lt;pages&gt;618-621&lt;/pages&gt;&lt;volume&gt;62&lt;/volume&gt;&lt;number&gt;3&lt;/number&gt;&lt;dates&gt;&lt;year&gt;1998&lt;/year&gt;&lt;/dates&gt;&lt;pub-location&gt;Madison, WI&lt;/pub-location&gt;&lt;publisher&gt;Soil Science Society of America&lt;/publisher&gt;&lt;urls&gt;&lt;related-urls&gt;&lt;url&gt;http://dx.doi.org/10.2136/sssaj1998.03615995006200030010x&lt;/url&gt;&lt;/related-urls&gt;&lt;/urls&gt;&lt;electronic-resource-num&gt;10.2136/sssaj1998.03615995006200030010x&lt;/electronic-resource-num&gt;&lt;language&gt;English&lt;/language&gt;&lt;/record&gt;&lt;/Cite&gt;&lt;/EndNote&gt;</w:instrText>
      </w:r>
      <w:r w:rsidRPr="0053607B">
        <w:rPr>
          <w:rFonts w:ascii="Times New Roman" w:hAnsi="Times New Roman"/>
          <w:sz w:val="20"/>
          <w:szCs w:val="20"/>
        </w:rPr>
        <w:fldChar w:fldCharType="separate"/>
      </w:r>
      <w:r w:rsidRPr="0053607B">
        <w:rPr>
          <w:rFonts w:ascii="Times New Roman" w:hAnsi="Times New Roman"/>
          <w:noProof/>
          <w:sz w:val="20"/>
          <w:szCs w:val="20"/>
        </w:rPr>
        <w:t>[10]</w:t>
      </w:r>
      <w:r w:rsidRPr="0053607B">
        <w:rPr>
          <w:rFonts w:ascii="Times New Roman" w:hAnsi="Times New Roman"/>
          <w:sz w:val="20"/>
          <w:szCs w:val="20"/>
        </w:rPr>
        <w:fldChar w:fldCharType="end"/>
      </w:r>
      <w:r w:rsidRPr="0053607B">
        <w:rPr>
          <w:rFonts w:ascii="Times New Roman" w:hAnsi="Times New Roman"/>
          <w:sz w:val="20"/>
          <w:szCs w:val="20"/>
        </w:rPr>
        <w:t xml:space="preserve">. This leaching behaviour shows that the risk of leaching of lead is significantly increased in the event of acid rain. </w:t>
      </w:r>
    </w:p>
    <w:p w:rsidR="0053607B" w:rsidRDefault="0053607B" w:rsidP="0053607B">
      <w:pPr>
        <w:spacing w:after="0" w:line="240" w:lineRule="auto"/>
        <w:jc w:val="both"/>
        <w:rPr>
          <w:rFonts w:ascii="Times New Roman" w:hAnsi="Times New Roman"/>
          <w:sz w:val="20"/>
          <w:szCs w:val="20"/>
        </w:rPr>
      </w:pPr>
    </w:p>
    <w:p w:rsidR="00D65C2A" w:rsidRPr="0053607B" w:rsidRDefault="00D65C2A" w:rsidP="00D65C2A">
      <w:pPr>
        <w:spacing w:after="0" w:line="240" w:lineRule="auto"/>
        <w:jc w:val="both"/>
        <w:rPr>
          <w:rFonts w:ascii="Times New Roman" w:hAnsi="Times New Roman"/>
          <w:sz w:val="20"/>
          <w:szCs w:val="20"/>
        </w:rPr>
      </w:pPr>
      <w:r w:rsidRPr="0053607B">
        <w:rPr>
          <w:rFonts w:ascii="Times New Roman" w:hAnsi="Times New Roman"/>
          <w:sz w:val="20"/>
          <w:szCs w:val="20"/>
        </w:rPr>
        <w:t>In Table 2, the Pearson’s correlation coefficient (</w:t>
      </w:r>
      <w:r w:rsidRPr="0053607B">
        <w:rPr>
          <w:rFonts w:ascii="Times New Roman" w:hAnsi="Times New Roman"/>
          <w:i/>
          <w:iCs/>
          <w:sz w:val="20"/>
          <w:szCs w:val="20"/>
        </w:rPr>
        <w:t>r</w:t>
      </w:r>
      <w:r w:rsidRPr="0053607B">
        <w:rPr>
          <w:rFonts w:ascii="Times New Roman" w:hAnsi="Times New Roman"/>
          <w:iCs/>
          <w:sz w:val="20"/>
          <w:szCs w:val="20"/>
        </w:rPr>
        <w:t>)</w:t>
      </w:r>
      <w:r w:rsidRPr="0053607B">
        <w:rPr>
          <w:rFonts w:ascii="Times New Roman" w:hAnsi="Times New Roman"/>
          <w:i/>
          <w:iCs/>
          <w:sz w:val="20"/>
          <w:szCs w:val="20"/>
        </w:rPr>
        <w:t xml:space="preserve"> </w:t>
      </w:r>
      <w:r w:rsidRPr="0053607B">
        <w:rPr>
          <w:rFonts w:ascii="Times New Roman" w:hAnsi="Times New Roman"/>
          <w:sz w:val="20"/>
          <w:szCs w:val="20"/>
        </w:rPr>
        <w:t>value for lead concentration in soil (Soil Pb) and leachate (Leachate Pb) variables pair is 0.938, which means the concentration of lead in leachate increases with increasing of lead concentration in soil. The CEC and Soil OM variables pair has positive correlation (</w:t>
      </w:r>
      <w:r w:rsidRPr="0053607B">
        <w:rPr>
          <w:rFonts w:ascii="Times New Roman" w:hAnsi="Times New Roman"/>
          <w:i/>
          <w:iCs/>
          <w:sz w:val="20"/>
          <w:szCs w:val="20"/>
        </w:rPr>
        <w:t xml:space="preserve">r </w:t>
      </w:r>
      <w:r w:rsidRPr="0053607B">
        <w:rPr>
          <w:rFonts w:ascii="Times New Roman" w:hAnsi="Times New Roman"/>
          <w:sz w:val="20"/>
          <w:szCs w:val="20"/>
        </w:rPr>
        <w:t xml:space="preserve">= 0.891). The surface of OM may contain negatively-charged polar functional groups (i.e. carboxylate or phenolic groups) that can attract cations and help increase the CEC value of the soil </w:t>
      </w:r>
      <w:r w:rsidRPr="0053607B">
        <w:rPr>
          <w:rFonts w:ascii="Times New Roman" w:hAnsi="Times New Roman"/>
          <w:sz w:val="20"/>
          <w:szCs w:val="20"/>
        </w:rPr>
        <w:fldChar w:fldCharType="begin"/>
      </w:r>
      <w:r w:rsidRPr="0053607B">
        <w:rPr>
          <w:rFonts w:ascii="Times New Roman" w:hAnsi="Times New Roman"/>
          <w:sz w:val="20"/>
          <w:szCs w:val="20"/>
        </w:rPr>
        <w:instrText xml:space="preserve"> ADDIN EN.CITE &lt;EndNote&gt;&lt;Cite&gt;&lt;Author&gt;Liang&lt;/Author&gt;&lt;Year&gt;2006&lt;/Year&gt;&lt;RecNum&gt;3426&lt;/RecNum&gt;&lt;DisplayText&gt;[11]&lt;/DisplayText&gt;&lt;record&gt;&lt;rec-number&gt;3426&lt;/rec-number&gt;&lt;foreign-keys&gt;&lt;key app="EN" db-id="sr0twxwzpw9azuefz59vrzalex2r5r0e005r" timestamp="1463473284"&gt;3426&lt;/key&gt;&lt;/foreign-keys&gt;&lt;ref-type name="Journal Article"&gt;17&lt;/ref-type&gt;&lt;contributors&gt;&lt;authors&gt;&lt;author&gt;Liang, B&lt;/author&gt;&lt;author&gt;Lehmann, Johannes&lt;/author&gt;&lt;author&gt;Solomon, Dawit&lt;/author&gt;&lt;author&gt;Kinyangi, James&lt;/author&gt;&lt;author&gt;Grossman, Jonathan&lt;/author&gt;&lt;author&gt;O&amp;apos;neill, B&lt;/author&gt;&lt;author&gt;Skjemstad, JO&lt;/author&gt;&lt;author&gt;Thies, J&lt;/author&gt;&lt;author&gt;Luizao, FJ&lt;/author&gt;&lt;author&gt;Petersen, J&lt;/author&gt;&lt;/authors&gt;&lt;/contributors&gt;&lt;titles&gt;&lt;title&gt;Black carbon increases cation exchange capacity in soils&lt;/title&gt;&lt;secondary-title&gt;Soil Science Society of America Journal&lt;/secondary-title&gt;&lt;/titles&gt;&lt;periodical&gt;&lt;full-title&gt;Soil Science Society of America Journal&lt;/full-title&gt;&lt;/periodical&gt;&lt;pages&gt;1719-1730&lt;/pages&gt;&lt;volume&gt;70&lt;/volume&gt;&lt;number&gt;5&lt;/number&gt;&lt;dates&gt;&lt;year&gt;2006&lt;/year&gt;&lt;/dates&gt;&lt;isbn&gt;1435-0661&lt;/isbn&gt;&lt;urls&gt;&lt;/urls&gt;&lt;/record&gt;&lt;/Cite&gt;&lt;/EndNote&gt;</w:instrText>
      </w:r>
      <w:r w:rsidRPr="0053607B">
        <w:rPr>
          <w:rFonts w:ascii="Times New Roman" w:hAnsi="Times New Roman"/>
          <w:sz w:val="20"/>
          <w:szCs w:val="20"/>
        </w:rPr>
        <w:fldChar w:fldCharType="separate"/>
      </w:r>
      <w:r w:rsidRPr="0053607B">
        <w:rPr>
          <w:rFonts w:ascii="Times New Roman" w:hAnsi="Times New Roman"/>
          <w:noProof/>
          <w:sz w:val="20"/>
          <w:szCs w:val="20"/>
        </w:rPr>
        <w:t>[11]</w:t>
      </w:r>
      <w:r w:rsidRPr="0053607B">
        <w:rPr>
          <w:rFonts w:ascii="Times New Roman" w:hAnsi="Times New Roman"/>
          <w:sz w:val="20"/>
          <w:szCs w:val="20"/>
        </w:rPr>
        <w:fldChar w:fldCharType="end"/>
      </w:r>
      <w:r w:rsidRPr="0053607B">
        <w:rPr>
          <w:rFonts w:ascii="Times New Roman" w:hAnsi="Times New Roman"/>
          <w:sz w:val="20"/>
          <w:szCs w:val="20"/>
        </w:rPr>
        <w:t xml:space="preserve">. The negative </w:t>
      </w:r>
      <w:r w:rsidRPr="0053607B">
        <w:rPr>
          <w:rFonts w:ascii="Times New Roman" w:hAnsi="Times New Roman"/>
          <w:i/>
          <w:sz w:val="20"/>
          <w:szCs w:val="20"/>
        </w:rPr>
        <w:t>r</w:t>
      </w:r>
      <w:r w:rsidRPr="0053607B">
        <w:rPr>
          <w:rFonts w:ascii="Times New Roman" w:hAnsi="Times New Roman"/>
          <w:sz w:val="20"/>
          <w:szCs w:val="20"/>
        </w:rPr>
        <w:t xml:space="preserve"> values for Leachate Pb variable with both CEC and Soil OM variables show negative correlations. Decreasing OM and CEC values may depletes the capacity of the soil for retaining Pb ion, thereby, increasing the Pb concentration in leachate. Leachate Pb variable is positively-correlated with Soil Pb variable (</w:t>
      </w:r>
      <w:r w:rsidRPr="0053607B">
        <w:rPr>
          <w:rFonts w:ascii="Times New Roman" w:hAnsi="Times New Roman"/>
          <w:i/>
          <w:sz w:val="20"/>
          <w:szCs w:val="20"/>
        </w:rPr>
        <w:t xml:space="preserve">r </w:t>
      </w:r>
      <w:r w:rsidRPr="0053607B">
        <w:rPr>
          <w:rFonts w:ascii="Times New Roman" w:hAnsi="Times New Roman"/>
          <w:sz w:val="20"/>
          <w:szCs w:val="20"/>
        </w:rPr>
        <w:t xml:space="preserve">= 0.94; </w:t>
      </w:r>
      <w:r w:rsidRPr="0053607B">
        <w:rPr>
          <w:rFonts w:ascii="Times New Roman" w:hAnsi="Times New Roman"/>
          <w:i/>
          <w:sz w:val="20"/>
          <w:szCs w:val="20"/>
        </w:rPr>
        <w:t xml:space="preserve">p </w:t>
      </w:r>
      <w:r w:rsidRPr="0053607B">
        <w:rPr>
          <w:rFonts w:ascii="Times New Roman" w:hAnsi="Times New Roman"/>
          <w:sz w:val="20"/>
          <w:szCs w:val="20"/>
        </w:rPr>
        <w:t>= 0.06); but is negatively-correlated with the Soil OM variable (</w:t>
      </w:r>
      <w:r w:rsidRPr="0053607B">
        <w:rPr>
          <w:rFonts w:ascii="Times New Roman" w:hAnsi="Times New Roman"/>
          <w:i/>
          <w:sz w:val="20"/>
          <w:szCs w:val="20"/>
        </w:rPr>
        <w:t xml:space="preserve">r </w:t>
      </w:r>
      <w:r w:rsidRPr="0053607B">
        <w:rPr>
          <w:rFonts w:ascii="Times New Roman" w:hAnsi="Times New Roman"/>
          <w:sz w:val="20"/>
          <w:szCs w:val="20"/>
        </w:rPr>
        <w:t xml:space="preserve">= -0.94; </w:t>
      </w:r>
      <w:r w:rsidRPr="0053607B">
        <w:rPr>
          <w:rFonts w:ascii="Times New Roman" w:hAnsi="Times New Roman"/>
          <w:i/>
          <w:sz w:val="20"/>
          <w:szCs w:val="20"/>
        </w:rPr>
        <w:t xml:space="preserve">p </w:t>
      </w:r>
      <w:r w:rsidRPr="0053607B">
        <w:rPr>
          <w:rFonts w:ascii="Times New Roman" w:hAnsi="Times New Roman"/>
          <w:sz w:val="20"/>
          <w:szCs w:val="20"/>
        </w:rPr>
        <w:t xml:space="preserve">= 0.06). This indicate that Pb in shooting range soil is the source for Pb ions in the leachate, </w:t>
      </w:r>
      <w:r w:rsidRPr="0053607B">
        <w:rPr>
          <w:rFonts w:ascii="Times New Roman" w:hAnsi="Times New Roman"/>
          <w:sz w:val="20"/>
          <w:szCs w:val="20"/>
        </w:rPr>
        <w:lastRenderedPageBreak/>
        <w:t xml:space="preserve">and increasing Pb in soil causes higher concentration of Pb in the leachate. High soil OM content may reduce leaching of Pb through sorption with polar functional groups in the OM </w:t>
      </w:r>
      <w:r w:rsidRPr="0053607B">
        <w:rPr>
          <w:rFonts w:ascii="Times New Roman" w:hAnsi="Times New Roman"/>
          <w:sz w:val="20"/>
          <w:szCs w:val="20"/>
        </w:rPr>
        <w:fldChar w:fldCharType="begin">
          <w:fldData xml:space="preserve">PEVuZE5vdGU+PENpdGU+PEF1dGhvcj5Zb25nPC9BdXRob3I+PFllYXI+MjAxNTwvWWVhcj48UmVj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</w:fldData>
        </w:fldChar>
      </w:r>
      <w:r w:rsidRPr="0053607B">
        <w:rPr>
          <w:rFonts w:ascii="Times New Roman" w:hAnsi="Times New Roman"/>
          <w:sz w:val="20"/>
          <w:szCs w:val="20"/>
        </w:rPr>
        <w:instrText xml:space="preserve"> ADDIN EN.CITE </w:instrText>
      </w:r>
      <w:r w:rsidRPr="0053607B">
        <w:rPr>
          <w:rFonts w:ascii="Times New Roman" w:hAnsi="Times New Roman"/>
          <w:sz w:val="20"/>
          <w:szCs w:val="20"/>
        </w:rPr>
        <w:fldChar w:fldCharType="begin">
          <w:fldData xml:space="preserve">PEVuZE5vdGU+PENpdGU+PEF1dGhvcj5Zb25nPC9BdXRob3I+PFllYXI+MjAxNTwvWWVhcj48UmVj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</w:fldData>
        </w:fldChar>
      </w:r>
      <w:r w:rsidRPr="0053607B">
        <w:rPr>
          <w:rFonts w:ascii="Times New Roman" w:hAnsi="Times New Roman"/>
          <w:sz w:val="20"/>
          <w:szCs w:val="20"/>
        </w:rPr>
        <w:instrText xml:space="preserve"> ADDIN EN.CITE.DATA </w:instrText>
      </w:r>
      <w:r w:rsidRPr="0053607B">
        <w:rPr>
          <w:rFonts w:ascii="Times New Roman" w:hAnsi="Times New Roman"/>
          <w:sz w:val="20"/>
          <w:szCs w:val="20"/>
        </w:rPr>
      </w:r>
      <w:r w:rsidRPr="0053607B">
        <w:rPr>
          <w:rFonts w:ascii="Times New Roman" w:hAnsi="Times New Roman"/>
          <w:sz w:val="20"/>
          <w:szCs w:val="20"/>
        </w:rPr>
        <w:fldChar w:fldCharType="end"/>
      </w:r>
      <w:r w:rsidRPr="0053607B">
        <w:rPr>
          <w:rFonts w:ascii="Times New Roman" w:hAnsi="Times New Roman"/>
          <w:sz w:val="20"/>
          <w:szCs w:val="20"/>
        </w:rPr>
      </w:r>
      <w:r w:rsidRPr="0053607B">
        <w:rPr>
          <w:rFonts w:ascii="Times New Roman" w:hAnsi="Times New Roman"/>
          <w:sz w:val="20"/>
          <w:szCs w:val="20"/>
        </w:rPr>
        <w:fldChar w:fldCharType="separate"/>
      </w:r>
      <w:r w:rsidRPr="0053607B">
        <w:rPr>
          <w:rFonts w:ascii="Times New Roman" w:hAnsi="Times New Roman"/>
          <w:noProof/>
          <w:sz w:val="20"/>
          <w:szCs w:val="20"/>
        </w:rPr>
        <w:t>[12, 13]</w:t>
      </w:r>
      <w:r w:rsidRPr="0053607B">
        <w:rPr>
          <w:rFonts w:ascii="Times New Roman" w:hAnsi="Times New Roman"/>
          <w:sz w:val="20"/>
          <w:szCs w:val="20"/>
        </w:rPr>
        <w:fldChar w:fldCharType="end"/>
      </w:r>
      <w:r w:rsidRPr="0053607B">
        <w:rPr>
          <w:rFonts w:ascii="Times New Roman" w:hAnsi="Times New Roman"/>
          <w:sz w:val="20"/>
          <w:szCs w:val="20"/>
        </w:rPr>
        <w:t>.</w:t>
      </w:r>
    </w:p>
    <w:p w:rsidR="00D65C2A" w:rsidRDefault="00D65C2A" w:rsidP="0053607B">
      <w:pPr>
        <w:spacing w:after="0" w:line="240" w:lineRule="auto"/>
        <w:jc w:val="both"/>
        <w:rPr>
          <w:rFonts w:ascii="Times New Roman" w:hAnsi="Times New Roman"/>
          <w:sz w:val="20"/>
          <w:szCs w:val="20"/>
        </w:rPr>
      </w:pPr>
    </w:p>
    <w:p w:rsidR="00D65C2A" w:rsidRPr="0053607B" w:rsidRDefault="00D65C2A" w:rsidP="0053607B">
      <w:pPr>
        <w:spacing w:after="0" w:line="240" w:lineRule="auto"/>
        <w:jc w:val="both"/>
        <w:rPr>
          <w:rFonts w:ascii="Times New Roman" w:hAnsi="Times New Roman"/>
          <w:sz w:val="20"/>
          <w:szCs w:val="20"/>
        </w:rPr>
      </w:pPr>
    </w:p>
    <w:p w:rsidR="0053607B" w:rsidRDefault="0053607B" w:rsidP="0053607B">
      <w:pPr>
        <w:spacing w:after="0" w:line="240" w:lineRule="auto"/>
        <w:jc w:val="center"/>
        <w:rPr>
          <w:rFonts w:ascii="Times New Roman" w:hAnsi="Times New Roman"/>
          <w:sz w:val="20"/>
          <w:szCs w:val="20"/>
        </w:rPr>
      </w:pPr>
      <w:r w:rsidRPr="00A901F0">
        <w:rPr>
          <w:rFonts w:ascii="Times New Roman" w:hAnsi="Times New Roman"/>
          <w:noProof/>
          <w:sz w:val="20"/>
          <w:szCs w:val="20"/>
          <w:lang w:bidi="ar-SA"/>
        </w:rPr>
        <w:drawing>
          <wp:inline distT="0" distB="0" distL="0" distR="0" wp14:anchorId="43978A87" wp14:editId="27AA2EDE">
            <wp:extent cx="3259667" cy="2319866"/>
            <wp:effectExtent l="0" t="0" r="17145" b="2349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53607B" w:rsidRPr="0053607B" w:rsidRDefault="0053607B" w:rsidP="0053607B">
      <w:pPr>
        <w:spacing w:after="0" w:line="240" w:lineRule="auto"/>
        <w:jc w:val="both"/>
        <w:rPr>
          <w:rFonts w:ascii="Times New Roman" w:hAnsi="Times New Roman"/>
          <w:sz w:val="20"/>
          <w:szCs w:val="20"/>
        </w:rPr>
      </w:pPr>
    </w:p>
    <w:p w:rsidR="0053607B" w:rsidRPr="0053607B" w:rsidRDefault="0053607B" w:rsidP="0053607B">
      <w:pPr>
        <w:spacing w:after="0" w:line="240" w:lineRule="auto"/>
        <w:ind w:left="851" w:hanging="851"/>
        <w:jc w:val="both"/>
        <w:rPr>
          <w:rFonts w:ascii="Times New Roman" w:hAnsi="Times New Roman"/>
          <w:sz w:val="20"/>
          <w:szCs w:val="20"/>
        </w:rPr>
      </w:pPr>
      <w:r w:rsidRPr="0053607B">
        <w:rPr>
          <w:rFonts w:ascii="Times New Roman" w:hAnsi="Times New Roman"/>
          <w:sz w:val="20"/>
          <w:szCs w:val="20"/>
        </w:rPr>
        <w:t xml:space="preserve">Figure 3. </w:t>
      </w:r>
      <w:r>
        <w:rPr>
          <w:rFonts w:ascii="Times New Roman" w:hAnsi="Times New Roman"/>
          <w:sz w:val="20"/>
          <w:szCs w:val="20"/>
        </w:rPr>
        <w:tab/>
      </w:r>
      <w:r w:rsidRPr="0053607B">
        <w:rPr>
          <w:rFonts w:ascii="Times New Roman" w:hAnsi="Times New Roman"/>
          <w:sz w:val="20"/>
          <w:szCs w:val="20"/>
        </w:rPr>
        <w:t>Concentration of lead in leachate (mg/L) from baseline and target soil at pH 4 and 7 as a function of leachate fraction</w:t>
      </w:r>
    </w:p>
    <w:p w:rsidR="0053607B" w:rsidRDefault="0053607B" w:rsidP="0053607B">
      <w:pPr>
        <w:spacing w:after="0" w:line="240" w:lineRule="auto"/>
        <w:jc w:val="both"/>
        <w:rPr>
          <w:rFonts w:ascii="Times New Roman" w:hAnsi="Times New Roman"/>
          <w:sz w:val="20"/>
          <w:szCs w:val="20"/>
        </w:rPr>
      </w:pPr>
    </w:p>
    <w:p w:rsidR="0053607B" w:rsidRPr="0053607B" w:rsidRDefault="0053607B" w:rsidP="0053607B">
      <w:pPr>
        <w:spacing w:after="0" w:line="240" w:lineRule="auto"/>
        <w:jc w:val="both"/>
        <w:rPr>
          <w:rFonts w:ascii="Times New Roman" w:hAnsi="Times New Roman"/>
          <w:sz w:val="20"/>
          <w:szCs w:val="20"/>
        </w:rPr>
      </w:pPr>
    </w:p>
    <w:p w:rsidR="0053607B" w:rsidRPr="0053607B" w:rsidRDefault="0053607B" w:rsidP="0053607B">
      <w:pPr>
        <w:spacing w:after="120" w:line="240" w:lineRule="auto"/>
        <w:jc w:val="center"/>
        <w:rPr>
          <w:rFonts w:ascii="Times New Roman" w:hAnsi="Times New Roman"/>
          <w:sz w:val="20"/>
          <w:szCs w:val="20"/>
        </w:rPr>
      </w:pPr>
      <w:r w:rsidRPr="0053607B">
        <w:rPr>
          <w:rFonts w:ascii="Times New Roman" w:hAnsi="Times New Roman"/>
          <w:sz w:val="20"/>
          <w:szCs w:val="20"/>
        </w:rPr>
        <w:t xml:space="preserve">Table 2. </w:t>
      </w:r>
      <w:r>
        <w:rPr>
          <w:rFonts w:ascii="Times New Roman" w:hAnsi="Times New Roman"/>
          <w:sz w:val="20"/>
          <w:szCs w:val="20"/>
        </w:rPr>
        <w:t xml:space="preserve"> </w:t>
      </w:r>
      <w:r w:rsidRPr="0053607B">
        <w:rPr>
          <w:rFonts w:ascii="Times New Roman" w:hAnsi="Times New Roman"/>
          <w:sz w:val="20"/>
          <w:szCs w:val="20"/>
        </w:rPr>
        <w:t>Pearson’s correlation coeffeicient (</w:t>
      </w:r>
      <w:r w:rsidRPr="0053607B">
        <w:rPr>
          <w:rFonts w:ascii="Times New Roman" w:hAnsi="Times New Roman"/>
          <w:i/>
          <w:iCs/>
          <w:sz w:val="20"/>
          <w:szCs w:val="20"/>
        </w:rPr>
        <w:t>r</w:t>
      </w:r>
      <w:r w:rsidRPr="0053607B">
        <w:rPr>
          <w:rFonts w:ascii="Times New Roman" w:hAnsi="Times New Roman"/>
          <w:iCs/>
          <w:sz w:val="20"/>
          <w:szCs w:val="20"/>
        </w:rPr>
        <w:t>)</w:t>
      </w:r>
      <w:r w:rsidRPr="0053607B">
        <w:rPr>
          <w:rFonts w:ascii="Times New Roman" w:hAnsi="Times New Roman"/>
          <w:sz w:val="20"/>
          <w:szCs w:val="20"/>
        </w:rPr>
        <w:t xml:space="preserve"> and significance level (</w:t>
      </w:r>
      <w:r w:rsidRPr="0053607B">
        <w:rPr>
          <w:rFonts w:ascii="Times New Roman" w:hAnsi="Times New Roman"/>
          <w:i/>
          <w:sz w:val="20"/>
          <w:szCs w:val="20"/>
        </w:rPr>
        <w:t>p</w:t>
      </w:r>
      <w:r w:rsidRPr="0053607B">
        <w:rPr>
          <w:rFonts w:ascii="Times New Roman" w:hAnsi="Times New Roman"/>
          <w:sz w:val="20"/>
          <w:szCs w:val="20"/>
        </w:rPr>
        <w:t>) for variables pairs</w:t>
      </w:r>
    </w:p>
    <w:tbl>
      <w:tblPr>
        <w:tblW w:w="0" w:type="auto"/>
        <w:jc w:val="center"/>
        <w:tblCellMar>
          <w:left w:w="0" w:type="dxa"/>
          <w:right w:w="0" w:type="dxa"/>
        </w:tblCellMar>
        <w:tblLook w:val="0000" w:firstRow="0" w:lastRow="0" w:firstColumn="0" w:lastColumn="0" w:noHBand="0" w:noVBand="0"/>
      </w:tblPr>
      <w:tblGrid>
        <w:gridCol w:w="1103"/>
        <w:gridCol w:w="1015"/>
        <w:gridCol w:w="726"/>
        <w:gridCol w:w="760"/>
        <w:gridCol w:w="837"/>
        <w:gridCol w:w="637"/>
        <w:gridCol w:w="1181"/>
      </w:tblGrid>
      <w:tr w:rsidR="0053607B" w:rsidRPr="0053607B" w:rsidTr="00FB4AE5">
        <w:trPr>
          <w:cantSplit/>
          <w:trHeight w:val="271"/>
          <w:jc w:val="center"/>
        </w:trPr>
        <w:tc>
          <w:tcPr>
            <w:tcW w:w="0" w:type="auto"/>
            <w:gridSpan w:val="2"/>
            <w:tcBorders>
              <w:top w:val="single" w:sz="4" w:space="0" w:color="000000"/>
              <w:bottom w:val="single" w:sz="4" w:space="0" w:color="000000"/>
            </w:tcBorders>
            <w:shd w:val="clear" w:color="auto" w:fill="auto"/>
          </w:tcPr>
          <w:p w:rsidR="0053607B" w:rsidRPr="0053607B" w:rsidRDefault="0053607B" w:rsidP="0006596C">
            <w:pPr>
              <w:autoSpaceDE w:val="0"/>
              <w:autoSpaceDN w:val="0"/>
              <w:adjustRightInd w:val="0"/>
              <w:spacing w:after="0" w:line="240" w:lineRule="auto"/>
              <w:ind w:left="60" w:right="60"/>
              <w:rPr>
                <w:rFonts w:ascii="Times New Roman" w:hAnsi="Times New Roman"/>
                <w:b/>
                <w:color w:val="000000"/>
                <w:sz w:val="20"/>
                <w:szCs w:val="20"/>
              </w:rPr>
            </w:pPr>
            <w:r w:rsidRPr="0053607B">
              <w:rPr>
                <w:rFonts w:ascii="Times New Roman" w:hAnsi="Times New Roman"/>
                <w:b/>
                <w:color w:val="000000"/>
                <w:sz w:val="20"/>
                <w:szCs w:val="20"/>
              </w:rPr>
              <w:t xml:space="preserve">Variable </w:t>
            </w:r>
          </w:p>
        </w:tc>
        <w:tc>
          <w:tcPr>
            <w:tcW w:w="0" w:type="auto"/>
            <w:tcBorders>
              <w:top w:val="single" w:sz="4" w:space="0" w:color="000000"/>
              <w:bottom w:val="single" w:sz="4" w:space="0" w:color="000000"/>
            </w:tcBorders>
            <w:shd w:val="clear" w:color="auto" w:fill="auto"/>
          </w:tcPr>
          <w:p w:rsidR="0053607B" w:rsidRPr="0053607B" w:rsidRDefault="0053607B" w:rsidP="0006596C">
            <w:pPr>
              <w:autoSpaceDE w:val="0"/>
              <w:autoSpaceDN w:val="0"/>
              <w:adjustRightInd w:val="0"/>
              <w:spacing w:after="0" w:line="240" w:lineRule="auto"/>
              <w:ind w:left="60" w:right="60"/>
              <w:jc w:val="center"/>
              <w:rPr>
                <w:rFonts w:ascii="Times New Roman" w:hAnsi="Times New Roman"/>
                <w:b/>
                <w:color w:val="000000"/>
                <w:sz w:val="20"/>
                <w:szCs w:val="20"/>
              </w:rPr>
            </w:pPr>
            <w:r w:rsidRPr="0053607B">
              <w:rPr>
                <w:rFonts w:ascii="Times New Roman" w:hAnsi="Times New Roman"/>
                <w:b/>
                <w:color w:val="000000"/>
                <w:sz w:val="20"/>
                <w:szCs w:val="20"/>
              </w:rPr>
              <w:t>Soil Pb</w:t>
            </w:r>
          </w:p>
        </w:tc>
        <w:tc>
          <w:tcPr>
            <w:tcW w:w="0" w:type="auto"/>
            <w:tcBorders>
              <w:top w:val="single" w:sz="4" w:space="0" w:color="000000"/>
              <w:bottom w:val="single" w:sz="4" w:space="0" w:color="000000"/>
            </w:tcBorders>
            <w:shd w:val="clear" w:color="auto" w:fill="auto"/>
          </w:tcPr>
          <w:p w:rsidR="0053607B" w:rsidRPr="0053607B" w:rsidRDefault="0053607B" w:rsidP="0006596C">
            <w:pPr>
              <w:autoSpaceDE w:val="0"/>
              <w:autoSpaceDN w:val="0"/>
              <w:adjustRightInd w:val="0"/>
              <w:spacing w:after="0" w:line="240" w:lineRule="auto"/>
              <w:ind w:left="60" w:right="60"/>
              <w:jc w:val="center"/>
              <w:rPr>
                <w:rFonts w:ascii="Times New Roman" w:hAnsi="Times New Roman"/>
                <w:b/>
                <w:color w:val="000000"/>
                <w:sz w:val="20"/>
                <w:szCs w:val="20"/>
              </w:rPr>
            </w:pPr>
            <w:r w:rsidRPr="0053607B">
              <w:rPr>
                <w:rFonts w:ascii="Times New Roman" w:hAnsi="Times New Roman"/>
                <w:b/>
                <w:color w:val="000000"/>
                <w:sz w:val="20"/>
                <w:szCs w:val="20"/>
              </w:rPr>
              <w:t>Soil pH</w:t>
            </w:r>
          </w:p>
        </w:tc>
        <w:tc>
          <w:tcPr>
            <w:tcW w:w="0" w:type="auto"/>
            <w:tcBorders>
              <w:top w:val="single" w:sz="4" w:space="0" w:color="000000"/>
              <w:bottom w:val="single" w:sz="4" w:space="0" w:color="000000"/>
            </w:tcBorders>
            <w:shd w:val="clear" w:color="auto" w:fill="auto"/>
          </w:tcPr>
          <w:p w:rsidR="0053607B" w:rsidRPr="0053607B" w:rsidRDefault="0053607B" w:rsidP="0006596C">
            <w:pPr>
              <w:autoSpaceDE w:val="0"/>
              <w:autoSpaceDN w:val="0"/>
              <w:adjustRightInd w:val="0"/>
              <w:spacing w:after="0" w:line="240" w:lineRule="auto"/>
              <w:ind w:left="60" w:right="60"/>
              <w:jc w:val="center"/>
              <w:rPr>
                <w:rFonts w:ascii="Times New Roman" w:hAnsi="Times New Roman"/>
                <w:b/>
                <w:color w:val="000000"/>
                <w:sz w:val="20"/>
                <w:szCs w:val="20"/>
              </w:rPr>
            </w:pPr>
            <w:r w:rsidRPr="0053607B">
              <w:rPr>
                <w:rFonts w:ascii="Times New Roman" w:hAnsi="Times New Roman"/>
                <w:b/>
                <w:color w:val="000000"/>
                <w:sz w:val="20"/>
                <w:szCs w:val="20"/>
              </w:rPr>
              <w:t>Soil OM</w:t>
            </w:r>
          </w:p>
        </w:tc>
        <w:tc>
          <w:tcPr>
            <w:tcW w:w="0" w:type="auto"/>
            <w:tcBorders>
              <w:top w:val="single" w:sz="4" w:space="0" w:color="000000"/>
              <w:bottom w:val="single" w:sz="4" w:space="0" w:color="000000"/>
            </w:tcBorders>
            <w:shd w:val="clear" w:color="auto" w:fill="auto"/>
          </w:tcPr>
          <w:p w:rsidR="0053607B" w:rsidRPr="0053607B" w:rsidRDefault="0053607B" w:rsidP="0006596C">
            <w:pPr>
              <w:autoSpaceDE w:val="0"/>
              <w:autoSpaceDN w:val="0"/>
              <w:adjustRightInd w:val="0"/>
              <w:spacing w:after="0" w:line="240" w:lineRule="auto"/>
              <w:ind w:left="60" w:right="60"/>
              <w:jc w:val="center"/>
              <w:rPr>
                <w:rFonts w:ascii="Times New Roman" w:hAnsi="Times New Roman"/>
                <w:b/>
                <w:color w:val="000000"/>
                <w:sz w:val="20"/>
                <w:szCs w:val="20"/>
              </w:rPr>
            </w:pPr>
            <w:r w:rsidRPr="0053607B">
              <w:rPr>
                <w:rFonts w:ascii="Times New Roman" w:hAnsi="Times New Roman"/>
                <w:b/>
                <w:color w:val="000000"/>
                <w:sz w:val="20"/>
                <w:szCs w:val="20"/>
              </w:rPr>
              <w:t>CEC</w:t>
            </w:r>
          </w:p>
        </w:tc>
        <w:tc>
          <w:tcPr>
            <w:tcW w:w="0" w:type="auto"/>
            <w:tcBorders>
              <w:top w:val="single" w:sz="4" w:space="0" w:color="000000"/>
              <w:bottom w:val="single" w:sz="4" w:space="0" w:color="000000"/>
            </w:tcBorders>
            <w:shd w:val="clear" w:color="auto" w:fill="auto"/>
          </w:tcPr>
          <w:p w:rsidR="0053607B" w:rsidRPr="0053607B" w:rsidRDefault="0053607B" w:rsidP="0006596C">
            <w:pPr>
              <w:autoSpaceDE w:val="0"/>
              <w:autoSpaceDN w:val="0"/>
              <w:adjustRightInd w:val="0"/>
              <w:spacing w:after="0" w:line="240" w:lineRule="auto"/>
              <w:ind w:left="60" w:right="60"/>
              <w:jc w:val="center"/>
              <w:rPr>
                <w:rFonts w:ascii="Times New Roman" w:hAnsi="Times New Roman"/>
                <w:b/>
                <w:color w:val="000000"/>
                <w:sz w:val="20"/>
                <w:szCs w:val="20"/>
              </w:rPr>
            </w:pPr>
            <w:r w:rsidRPr="0053607B">
              <w:rPr>
                <w:rFonts w:ascii="Times New Roman" w:hAnsi="Times New Roman"/>
                <w:b/>
                <w:color w:val="000000"/>
                <w:sz w:val="20"/>
                <w:szCs w:val="20"/>
              </w:rPr>
              <w:t>Leachate Pb</w:t>
            </w:r>
          </w:p>
        </w:tc>
      </w:tr>
      <w:tr w:rsidR="0053607B" w:rsidRPr="0053607B" w:rsidTr="00FB4AE5">
        <w:trPr>
          <w:cantSplit/>
          <w:trHeight w:val="457"/>
          <w:jc w:val="center"/>
        </w:trPr>
        <w:tc>
          <w:tcPr>
            <w:tcW w:w="0" w:type="auto"/>
            <w:vMerge w:val="restart"/>
            <w:tcBorders>
              <w:top w:val="single" w:sz="4" w:space="0" w:color="000000"/>
            </w:tcBorders>
            <w:shd w:val="clear" w:color="auto" w:fill="auto"/>
            <w:vAlign w:val="center"/>
          </w:tcPr>
          <w:p w:rsidR="0053607B" w:rsidRPr="0053607B" w:rsidRDefault="0053607B" w:rsidP="0006596C">
            <w:pPr>
              <w:autoSpaceDE w:val="0"/>
              <w:autoSpaceDN w:val="0"/>
              <w:adjustRightInd w:val="0"/>
              <w:spacing w:after="0" w:line="240" w:lineRule="auto"/>
              <w:ind w:left="60" w:right="60"/>
              <w:rPr>
                <w:rFonts w:ascii="Times New Roman" w:hAnsi="Times New Roman"/>
                <w:color w:val="000000"/>
                <w:sz w:val="20"/>
                <w:szCs w:val="20"/>
              </w:rPr>
            </w:pPr>
            <w:r w:rsidRPr="0053607B">
              <w:rPr>
                <w:rFonts w:ascii="Times New Roman" w:hAnsi="Times New Roman"/>
                <w:color w:val="000000"/>
                <w:sz w:val="20"/>
                <w:szCs w:val="20"/>
              </w:rPr>
              <w:t>Soil Pb</w:t>
            </w:r>
          </w:p>
        </w:tc>
        <w:tc>
          <w:tcPr>
            <w:tcW w:w="0" w:type="auto"/>
            <w:tcBorders>
              <w:top w:val="single" w:sz="4" w:space="0" w:color="000000"/>
            </w:tcBorders>
            <w:shd w:val="clear" w:color="auto" w:fill="auto"/>
            <w:vAlign w:val="center"/>
          </w:tcPr>
          <w:p w:rsidR="0053607B" w:rsidRPr="0053607B" w:rsidRDefault="0053607B" w:rsidP="0006596C">
            <w:pPr>
              <w:autoSpaceDE w:val="0"/>
              <w:autoSpaceDN w:val="0"/>
              <w:adjustRightInd w:val="0"/>
              <w:spacing w:after="0" w:line="240" w:lineRule="auto"/>
              <w:ind w:left="60" w:right="60"/>
              <w:rPr>
                <w:rFonts w:ascii="Times New Roman" w:hAnsi="Times New Roman"/>
                <w:i/>
                <w:color w:val="000000"/>
                <w:sz w:val="20"/>
                <w:szCs w:val="20"/>
              </w:rPr>
            </w:pPr>
            <w:r w:rsidRPr="0053607B">
              <w:rPr>
                <w:rFonts w:ascii="Times New Roman" w:hAnsi="Times New Roman"/>
                <w:i/>
                <w:color w:val="000000"/>
                <w:sz w:val="20"/>
                <w:szCs w:val="20"/>
              </w:rPr>
              <w:t>r</w:t>
            </w:r>
          </w:p>
        </w:tc>
        <w:tc>
          <w:tcPr>
            <w:tcW w:w="0" w:type="auto"/>
            <w:tcBorders>
              <w:top w:val="single" w:sz="4" w:space="0" w:color="000000"/>
            </w:tcBorders>
            <w:shd w:val="clear" w:color="auto" w:fill="auto"/>
            <w:vAlign w:val="center"/>
          </w:tcPr>
          <w:p w:rsidR="0053607B" w:rsidRPr="0053607B" w:rsidRDefault="0053607B" w:rsidP="0006596C">
            <w:pPr>
              <w:autoSpaceDE w:val="0"/>
              <w:autoSpaceDN w:val="0"/>
              <w:adjustRightInd w:val="0"/>
              <w:spacing w:after="0" w:line="240" w:lineRule="auto"/>
              <w:ind w:left="60" w:right="60"/>
              <w:jc w:val="center"/>
              <w:rPr>
                <w:rFonts w:ascii="Times New Roman" w:hAnsi="Times New Roman"/>
                <w:color w:val="000000"/>
                <w:sz w:val="20"/>
                <w:szCs w:val="20"/>
              </w:rPr>
            </w:pPr>
            <w:r w:rsidRPr="0053607B">
              <w:rPr>
                <w:rFonts w:ascii="Times New Roman" w:hAnsi="Times New Roman"/>
                <w:color w:val="000000"/>
                <w:sz w:val="20"/>
                <w:szCs w:val="20"/>
              </w:rPr>
              <w:t>1</w:t>
            </w:r>
          </w:p>
        </w:tc>
        <w:tc>
          <w:tcPr>
            <w:tcW w:w="0" w:type="auto"/>
            <w:tcBorders>
              <w:top w:val="single" w:sz="4" w:space="0" w:color="000000"/>
            </w:tcBorders>
            <w:shd w:val="clear" w:color="auto" w:fill="auto"/>
            <w:vAlign w:val="center"/>
          </w:tcPr>
          <w:p w:rsidR="0053607B" w:rsidRPr="0053607B" w:rsidRDefault="0053607B" w:rsidP="0006596C">
            <w:pPr>
              <w:autoSpaceDE w:val="0"/>
              <w:autoSpaceDN w:val="0"/>
              <w:adjustRightInd w:val="0"/>
              <w:spacing w:after="0" w:line="240" w:lineRule="auto"/>
              <w:ind w:left="60" w:right="60"/>
              <w:jc w:val="center"/>
              <w:rPr>
                <w:rFonts w:ascii="Times New Roman" w:hAnsi="Times New Roman"/>
                <w:color w:val="000000"/>
                <w:sz w:val="20"/>
                <w:szCs w:val="20"/>
              </w:rPr>
            </w:pPr>
            <w:r w:rsidRPr="0053607B">
              <w:rPr>
                <w:rFonts w:ascii="Times New Roman" w:hAnsi="Times New Roman"/>
                <w:color w:val="000000"/>
                <w:sz w:val="20"/>
                <w:szCs w:val="20"/>
              </w:rPr>
              <w:t>0.550</w:t>
            </w:r>
          </w:p>
        </w:tc>
        <w:tc>
          <w:tcPr>
            <w:tcW w:w="0" w:type="auto"/>
            <w:tcBorders>
              <w:top w:val="single" w:sz="4" w:space="0" w:color="000000"/>
            </w:tcBorders>
            <w:shd w:val="clear" w:color="auto" w:fill="auto"/>
            <w:vAlign w:val="center"/>
          </w:tcPr>
          <w:p w:rsidR="0053607B" w:rsidRPr="0053607B" w:rsidRDefault="0053607B" w:rsidP="0006596C">
            <w:pPr>
              <w:autoSpaceDE w:val="0"/>
              <w:autoSpaceDN w:val="0"/>
              <w:adjustRightInd w:val="0"/>
              <w:spacing w:after="0" w:line="240" w:lineRule="auto"/>
              <w:ind w:left="60" w:right="60"/>
              <w:jc w:val="center"/>
              <w:rPr>
                <w:rFonts w:ascii="Times New Roman" w:hAnsi="Times New Roman"/>
                <w:color w:val="000000"/>
                <w:sz w:val="20"/>
                <w:szCs w:val="20"/>
              </w:rPr>
            </w:pPr>
            <w:r w:rsidRPr="0053607B">
              <w:rPr>
                <w:rFonts w:ascii="Times New Roman" w:hAnsi="Times New Roman"/>
                <w:color w:val="000000"/>
                <w:sz w:val="20"/>
                <w:szCs w:val="20"/>
              </w:rPr>
              <w:t>-0.946</w:t>
            </w:r>
          </w:p>
        </w:tc>
        <w:tc>
          <w:tcPr>
            <w:tcW w:w="0" w:type="auto"/>
            <w:tcBorders>
              <w:top w:val="single" w:sz="4" w:space="0" w:color="000000"/>
            </w:tcBorders>
            <w:shd w:val="clear" w:color="auto" w:fill="auto"/>
            <w:vAlign w:val="center"/>
          </w:tcPr>
          <w:p w:rsidR="0053607B" w:rsidRPr="0053607B" w:rsidRDefault="0053607B" w:rsidP="0006596C">
            <w:pPr>
              <w:autoSpaceDE w:val="0"/>
              <w:autoSpaceDN w:val="0"/>
              <w:adjustRightInd w:val="0"/>
              <w:spacing w:after="0" w:line="240" w:lineRule="auto"/>
              <w:ind w:left="60" w:right="60"/>
              <w:jc w:val="center"/>
              <w:rPr>
                <w:rFonts w:ascii="Times New Roman" w:hAnsi="Times New Roman"/>
                <w:color w:val="000000"/>
                <w:sz w:val="20"/>
                <w:szCs w:val="20"/>
              </w:rPr>
            </w:pPr>
            <w:r w:rsidRPr="0053607B">
              <w:rPr>
                <w:rFonts w:ascii="Times New Roman" w:hAnsi="Times New Roman"/>
                <w:color w:val="000000"/>
                <w:sz w:val="20"/>
                <w:szCs w:val="20"/>
              </w:rPr>
              <w:t>-0.705</w:t>
            </w:r>
          </w:p>
        </w:tc>
        <w:tc>
          <w:tcPr>
            <w:tcW w:w="0" w:type="auto"/>
            <w:tcBorders>
              <w:top w:val="single" w:sz="4" w:space="0" w:color="000000"/>
            </w:tcBorders>
            <w:shd w:val="clear" w:color="auto" w:fill="auto"/>
            <w:vAlign w:val="center"/>
          </w:tcPr>
          <w:p w:rsidR="0053607B" w:rsidRPr="0053607B" w:rsidRDefault="0053607B" w:rsidP="0006596C">
            <w:pPr>
              <w:autoSpaceDE w:val="0"/>
              <w:autoSpaceDN w:val="0"/>
              <w:adjustRightInd w:val="0"/>
              <w:spacing w:after="0" w:line="240" w:lineRule="auto"/>
              <w:ind w:left="60" w:right="60"/>
              <w:jc w:val="center"/>
              <w:rPr>
                <w:rFonts w:ascii="Times New Roman" w:hAnsi="Times New Roman"/>
                <w:color w:val="000000"/>
                <w:sz w:val="20"/>
                <w:szCs w:val="20"/>
              </w:rPr>
            </w:pPr>
            <w:r w:rsidRPr="0053607B">
              <w:rPr>
                <w:rFonts w:ascii="Times New Roman" w:hAnsi="Times New Roman"/>
                <w:color w:val="000000"/>
                <w:sz w:val="20"/>
                <w:szCs w:val="20"/>
              </w:rPr>
              <w:t>0.938</w:t>
            </w:r>
          </w:p>
        </w:tc>
      </w:tr>
      <w:tr w:rsidR="0053607B" w:rsidRPr="0053607B" w:rsidTr="00FB4AE5">
        <w:trPr>
          <w:cantSplit/>
          <w:trHeight w:val="228"/>
          <w:jc w:val="center"/>
        </w:trPr>
        <w:tc>
          <w:tcPr>
            <w:tcW w:w="0" w:type="auto"/>
            <w:vMerge/>
            <w:shd w:val="clear" w:color="auto" w:fill="auto"/>
            <w:vAlign w:val="center"/>
          </w:tcPr>
          <w:p w:rsidR="0053607B" w:rsidRPr="0053607B" w:rsidRDefault="0053607B" w:rsidP="0006596C">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auto"/>
            <w:vAlign w:val="center"/>
          </w:tcPr>
          <w:p w:rsidR="0053607B" w:rsidRPr="0053607B" w:rsidRDefault="0053607B" w:rsidP="0006596C">
            <w:pPr>
              <w:autoSpaceDE w:val="0"/>
              <w:autoSpaceDN w:val="0"/>
              <w:adjustRightInd w:val="0"/>
              <w:spacing w:after="0" w:line="240" w:lineRule="auto"/>
              <w:ind w:left="60" w:right="60"/>
              <w:rPr>
                <w:rFonts w:ascii="Times New Roman" w:hAnsi="Times New Roman"/>
                <w:color w:val="000000"/>
                <w:sz w:val="20"/>
                <w:szCs w:val="20"/>
              </w:rPr>
            </w:pPr>
            <w:r w:rsidRPr="0053607B">
              <w:rPr>
                <w:rFonts w:ascii="Times New Roman" w:hAnsi="Times New Roman"/>
                <w:i/>
                <w:color w:val="000000"/>
                <w:sz w:val="20"/>
                <w:szCs w:val="20"/>
              </w:rPr>
              <w:t>p</w:t>
            </w:r>
            <w:r w:rsidRPr="0053607B">
              <w:rPr>
                <w:rFonts w:ascii="Times New Roman" w:hAnsi="Times New Roman"/>
                <w:color w:val="000000"/>
                <w:sz w:val="20"/>
                <w:szCs w:val="20"/>
              </w:rPr>
              <w:t xml:space="preserve"> (2-tailed)</w:t>
            </w:r>
          </w:p>
        </w:tc>
        <w:tc>
          <w:tcPr>
            <w:tcW w:w="0" w:type="auto"/>
            <w:shd w:val="clear" w:color="auto" w:fill="auto"/>
          </w:tcPr>
          <w:p w:rsidR="0053607B" w:rsidRPr="0053607B" w:rsidRDefault="0053607B" w:rsidP="0006596C">
            <w:pPr>
              <w:autoSpaceDE w:val="0"/>
              <w:autoSpaceDN w:val="0"/>
              <w:adjustRightInd w:val="0"/>
              <w:spacing w:after="0" w:line="240" w:lineRule="auto"/>
              <w:jc w:val="center"/>
              <w:rPr>
                <w:rFonts w:ascii="Times New Roman" w:hAnsi="Times New Roman"/>
                <w:sz w:val="20"/>
                <w:szCs w:val="20"/>
              </w:rPr>
            </w:pPr>
          </w:p>
        </w:tc>
        <w:tc>
          <w:tcPr>
            <w:tcW w:w="0" w:type="auto"/>
            <w:shd w:val="clear" w:color="auto" w:fill="auto"/>
            <w:vAlign w:val="center"/>
          </w:tcPr>
          <w:p w:rsidR="0053607B" w:rsidRPr="0053607B" w:rsidRDefault="0053607B" w:rsidP="0006596C">
            <w:pPr>
              <w:autoSpaceDE w:val="0"/>
              <w:autoSpaceDN w:val="0"/>
              <w:adjustRightInd w:val="0"/>
              <w:spacing w:after="0" w:line="240" w:lineRule="auto"/>
              <w:ind w:left="60" w:right="60"/>
              <w:jc w:val="center"/>
              <w:rPr>
                <w:rFonts w:ascii="Times New Roman" w:hAnsi="Times New Roman"/>
                <w:color w:val="000000"/>
                <w:sz w:val="20"/>
                <w:szCs w:val="20"/>
              </w:rPr>
            </w:pPr>
            <w:r w:rsidRPr="0053607B">
              <w:rPr>
                <w:rFonts w:ascii="Times New Roman" w:hAnsi="Times New Roman"/>
                <w:color w:val="000000"/>
                <w:sz w:val="20"/>
                <w:szCs w:val="20"/>
              </w:rPr>
              <w:t>0.450</w:t>
            </w:r>
          </w:p>
        </w:tc>
        <w:tc>
          <w:tcPr>
            <w:tcW w:w="0" w:type="auto"/>
            <w:shd w:val="clear" w:color="auto" w:fill="auto"/>
            <w:vAlign w:val="center"/>
          </w:tcPr>
          <w:p w:rsidR="0053607B" w:rsidRPr="0053607B" w:rsidRDefault="0053607B" w:rsidP="0006596C">
            <w:pPr>
              <w:autoSpaceDE w:val="0"/>
              <w:autoSpaceDN w:val="0"/>
              <w:adjustRightInd w:val="0"/>
              <w:spacing w:after="0" w:line="240" w:lineRule="auto"/>
              <w:ind w:left="60" w:right="60"/>
              <w:jc w:val="center"/>
              <w:rPr>
                <w:rFonts w:ascii="Times New Roman" w:hAnsi="Times New Roman"/>
                <w:color w:val="000000"/>
                <w:sz w:val="20"/>
                <w:szCs w:val="20"/>
              </w:rPr>
            </w:pPr>
            <w:r w:rsidRPr="0053607B">
              <w:rPr>
                <w:rFonts w:ascii="Times New Roman" w:hAnsi="Times New Roman"/>
                <w:color w:val="000000"/>
                <w:sz w:val="20"/>
                <w:szCs w:val="20"/>
              </w:rPr>
              <w:t>0.054</w:t>
            </w:r>
          </w:p>
        </w:tc>
        <w:tc>
          <w:tcPr>
            <w:tcW w:w="0" w:type="auto"/>
            <w:shd w:val="clear" w:color="auto" w:fill="auto"/>
            <w:vAlign w:val="center"/>
          </w:tcPr>
          <w:p w:rsidR="0053607B" w:rsidRPr="0053607B" w:rsidRDefault="0053607B" w:rsidP="0006596C">
            <w:pPr>
              <w:autoSpaceDE w:val="0"/>
              <w:autoSpaceDN w:val="0"/>
              <w:adjustRightInd w:val="0"/>
              <w:spacing w:after="0" w:line="240" w:lineRule="auto"/>
              <w:ind w:left="60" w:right="60"/>
              <w:jc w:val="center"/>
              <w:rPr>
                <w:rFonts w:ascii="Times New Roman" w:hAnsi="Times New Roman"/>
                <w:color w:val="000000"/>
                <w:sz w:val="20"/>
                <w:szCs w:val="20"/>
              </w:rPr>
            </w:pPr>
            <w:r w:rsidRPr="0053607B">
              <w:rPr>
                <w:rFonts w:ascii="Times New Roman" w:hAnsi="Times New Roman"/>
                <w:color w:val="000000"/>
                <w:sz w:val="20"/>
                <w:szCs w:val="20"/>
              </w:rPr>
              <w:t>0.295</w:t>
            </w:r>
          </w:p>
        </w:tc>
        <w:tc>
          <w:tcPr>
            <w:tcW w:w="0" w:type="auto"/>
            <w:shd w:val="clear" w:color="auto" w:fill="auto"/>
            <w:vAlign w:val="center"/>
          </w:tcPr>
          <w:p w:rsidR="0053607B" w:rsidRPr="0053607B" w:rsidRDefault="0053607B" w:rsidP="0006596C">
            <w:pPr>
              <w:autoSpaceDE w:val="0"/>
              <w:autoSpaceDN w:val="0"/>
              <w:adjustRightInd w:val="0"/>
              <w:spacing w:after="0" w:line="240" w:lineRule="auto"/>
              <w:ind w:left="60" w:right="60"/>
              <w:jc w:val="center"/>
              <w:rPr>
                <w:rFonts w:ascii="Times New Roman" w:hAnsi="Times New Roman"/>
                <w:color w:val="000000"/>
                <w:sz w:val="20"/>
                <w:szCs w:val="20"/>
              </w:rPr>
            </w:pPr>
            <w:r w:rsidRPr="0053607B">
              <w:rPr>
                <w:rFonts w:ascii="Times New Roman" w:hAnsi="Times New Roman"/>
                <w:color w:val="000000"/>
                <w:sz w:val="20"/>
                <w:szCs w:val="20"/>
              </w:rPr>
              <w:t>0.062</w:t>
            </w:r>
          </w:p>
        </w:tc>
      </w:tr>
      <w:tr w:rsidR="0053607B" w:rsidRPr="0053607B" w:rsidTr="00FB4AE5">
        <w:trPr>
          <w:cantSplit/>
          <w:trHeight w:val="457"/>
          <w:jc w:val="center"/>
        </w:trPr>
        <w:tc>
          <w:tcPr>
            <w:tcW w:w="0" w:type="auto"/>
            <w:vMerge w:val="restart"/>
            <w:shd w:val="clear" w:color="auto" w:fill="auto"/>
            <w:vAlign w:val="center"/>
          </w:tcPr>
          <w:p w:rsidR="0053607B" w:rsidRPr="0053607B" w:rsidRDefault="0053607B" w:rsidP="0006596C">
            <w:pPr>
              <w:autoSpaceDE w:val="0"/>
              <w:autoSpaceDN w:val="0"/>
              <w:adjustRightInd w:val="0"/>
              <w:spacing w:after="0" w:line="240" w:lineRule="auto"/>
              <w:ind w:left="60" w:right="60"/>
              <w:rPr>
                <w:rFonts w:ascii="Times New Roman" w:hAnsi="Times New Roman"/>
                <w:color w:val="000000"/>
                <w:sz w:val="20"/>
                <w:szCs w:val="20"/>
              </w:rPr>
            </w:pPr>
            <w:r w:rsidRPr="0053607B">
              <w:rPr>
                <w:rFonts w:ascii="Times New Roman" w:hAnsi="Times New Roman"/>
                <w:color w:val="000000"/>
                <w:sz w:val="20"/>
                <w:szCs w:val="20"/>
              </w:rPr>
              <w:t>Soil pH</w:t>
            </w:r>
          </w:p>
        </w:tc>
        <w:tc>
          <w:tcPr>
            <w:tcW w:w="0" w:type="auto"/>
            <w:shd w:val="clear" w:color="auto" w:fill="auto"/>
            <w:vAlign w:val="center"/>
          </w:tcPr>
          <w:p w:rsidR="0053607B" w:rsidRPr="0053607B" w:rsidRDefault="0053607B" w:rsidP="0006596C">
            <w:pPr>
              <w:autoSpaceDE w:val="0"/>
              <w:autoSpaceDN w:val="0"/>
              <w:adjustRightInd w:val="0"/>
              <w:spacing w:after="0" w:line="240" w:lineRule="auto"/>
              <w:ind w:left="60" w:right="60"/>
              <w:rPr>
                <w:rFonts w:ascii="Times New Roman" w:hAnsi="Times New Roman"/>
                <w:i/>
                <w:color w:val="000000"/>
                <w:sz w:val="20"/>
                <w:szCs w:val="20"/>
              </w:rPr>
            </w:pPr>
            <w:r w:rsidRPr="0053607B">
              <w:rPr>
                <w:rFonts w:ascii="Times New Roman" w:hAnsi="Times New Roman"/>
                <w:i/>
                <w:color w:val="000000"/>
                <w:sz w:val="20"/>
                <w:szCs w:val="20"/>
              </w:rPr>
              <w:t>r</w:t>
            </w:r>
          </w:p>
        </w:tc>
        <w:tc>
          <w:tcPr>
            <w:tcW w:w="0" w:type="auto"/>
            <w:shd w:val="clear" w:color="auto" w:fill="auto"/>
            <w:vAlign w:val="center"/>
          </w:tcPr>
          <w:p w:rsidR="0053607B" w:rsidRPr="0053607B" w:rsidRDefault="0053607B" w:rsidP="0006596C">
            <w:pPr>
              <w:autoSpaceDE w:val="0"/>
              <w:autoSpaceDN w:val="0"/>
              <w:adjustRightInd w:val="0"/>
              <w:spacing w:after="0" w:line="240" w:lineRule="auto"/>
              <w:ind w:left="60" w:right="60"/>
              <w:jc w:val="center"/>
              <w:rPr>
                <w:rFonts w:ascii="Times New Roman" w:hAnsi="Times New Roman"/>
                <w:color w:val="000000"/>
                <w:sz w:val="20"/>
                <w:szCs w:val="20"/>
              </w:rPr>
            </w:pPr>
            <w:r w:rsidRPr="0053607B">
              <w:rPr>
                <w:rFonts w:ascii="Times New Roman" w:hAnsi="Times New Roman"/>
                <w:color w:val="000000"/>
                <w:sz w:val="20"/>
                <w:szCs w:val="20"/>
              </w:rPr>
              <w:t>0.550</w:t>
            </w:r>
          </w:p>
        </w:tc>
        <w:tc>
          <w:tcPr>
            <w:tcW w:w="0" w:type="auto"/>
            <w:shd w:val="clear" w:color="auto" w:fill="auto"/>
            <w:vAlign w:val="center"/>
          </w:tcPr>
          <w:p w:rsidR="0053607B" w:rsidRPr="0053607B" w:rsidRDefault="0053607B" w:rsidP="0006596C">
            <w:pPr>
              <w:autoSpaceDE w:val="0"/>
              <w:autoSpaceDN w:val="0"/>
              <w:adjustRightInd w:val="0"/>
              <w:spacing w:after="0" w:line="240" w:lineRule="auto"/>
              <w:ind w:left="60" w:right="60"/>
              <w:jc w:val="center"/>
              <w:rPr>
                <w:rFonts w:ascii="Times New Roman" w:hAnsi="Times New Roman"/>
                <w:color w:val="000000"/>
                <w:sz w:val="20"/>
                <w:szCs w:val="20"/>
              </w:rPr>
            </w:pPr>
            <w:r w:rsidRPr="0053607B">
              <w:rPr>
                <w:rFonts w:ascii="Times New Roman" w:hAnsi="Times New Roman"/>
                <w:color w:val="000000"/>
                <w:sz w:val="20"/>
                <w:szCs w:val="20"/>
              </w:rPr>
              <w:t>1</w:t>
            </w:r>
          </w:p>
        </w:tc>
        <w:tc>
          <w:tcPr>
            <w:tcW w:w="0" w:type="auto"/>
            <w:shd w:val="clear" w:color="auto" w:fill="auto"/>
            <w:vAlign w:val="center"/>
          </w:tcPr>
          <w:p w:rsidR="0053607B" w:rsidRPr="0053607B" w:rsidRDefault="0053607B" w:rsidP="0006596C">
            <w:pPr>
              <w:autoSpaceDE w:val="0"/>
              <w:autoSpaceDN w:val="0"/>
              <w:adjustRightInd w:val="0"/>
              <w:spacing w:after="0" w:line="240" w:lineRule="auto"/>
              <w:ind w:left="60" w:right="60"/>
              <w:jc w:val="center"/>
              <w:rPr>
                <w:rFonts w:ascii="Times New Roman" w:hAnsi="Times New Roman"/>
                <w:color w:val="000000"/>
                <w:sz w:val="20"/>
                <w:szCs w:val="20"/>
              </w:rPr>
            </w:pPr>
            <w:r w:rsidRPr="0053607B">
              <w:rPr>
                <w:rFonts w:ascii="Times New Roman" w:hAnsi="Times New Roman"/>
                <w:color w:val="000000"/>
                <w:sz w:val="20"/>
                <w:szCs w:val="20"/>
              </w:rPr>
              <w:t>-0.500</w:t>
            </w:r>
          </w:p>
        </w:tc>
        <w:tc>
          <w:tcPr>
            <w:tcW w:w="0" w:type="auto"/>
            <w:shd w:val="clear" w:color="auto" w:fill="auto"/>
            <w:vAlign w:val="center"/>
          </w:tcPr>
          <w:p w:rsidR="0053607B" w:rsidRPr="0053607B" w:rsidRDefault="0053607B" w:rsidP="0006596C">
            <w:pPr>
              <w:autoSpaceDE w:val="0"/>
              <w:autoSpaceDN w:val="0"/>
              <w:adjustRightInd w:val="0"/>
              <w:spacing w:after="0" w:line="240" w:lineRule="auto"/>
              <w:ind w:left="60" w:right="60"/>
              <w:jc w:val="center"/>
              <w:rPr>
                <w:rFonts w:ascii="Times New Roman" w:hAnsi="Times New Roman"/>
                <w:color w:val="000000"/>
                <w:sz w:val="20"/>
                <w:szCs w:val="20"/>
              </w:rPr>
            </w:pPr>
            <w:r w:rsidRPr="0053607B">
              <w:rPr>
                <w:rFonts w:ascii="Times New Roman" w:hAnsi="Times New Roman"/>
                <w:color w:val="000000"/>
                <w:sz w:val="20"/>
                <w:szCs w:val="20"/>
              </w:rPr>
              <w:t>-0.485</w:t>
            </w:r>
          </w:p>
        </w:tc>
        <w:tc>
          <w:tcPr>
            <w:tcW w:w="0" w:type="auto"/>
            <w:shd w:val="clear" w:color="auto" w:fill="auto"/>
            <w:vAlign w:val="center"/>
          </w:tcPr>
          <w:p w:rsidR="0053607B" w:rsidRPr="0053607B" w:rsidRDefault="0053607B" w:rsidP="0006596C">
            <w:pPr>
              <w:autoSpaceDE w:val="0"/>
              <w:autoSpaceDN w:val="0"/>
              <w:adjustRightInd w:val="0"/>
              <w:spacing w:after="0" w:line="240" w:lineRule="auto"/>
              <w:ind w:left="60" w:right="60"/>
              <w:jc w:val="center"/>
              <w:rPr>
                <w:rFonts w:ascii="Times New Roman" w:hAnsi="Times New Roman"/>
                <w:color w:val="000000"/>
                <w:sz w:val="20"/>
                <w:szCs w:val="20"/>
              </w:rPr>
            </w:pPr>
            <w:r w:rsidRPr="0053607B">
              <w:rPr>
                <w:rFonts w:ascii="Times New Roman" w:hAnsi="Times New Roman"/>
                <w:color w:val="000000"/>
                <w:sz w:val="20"/>
                <w:szCs w:val="20"/>
              </w:rPr>
              <w:t>0.250</w:t>
            </w:r>
          </w:p>
        </w:tc>
      </w:tr>
      <w:tr w:rsidR="0053607B" w:rsidRPr="0053607B" w:rsidTr="00FB4AE5">
        <w:trPr>
          <w:cantSplit/>
          <w:trHeight w:val="228"/>
          <w:jc w:val="center"/>
        </w:trPr>
        <w:tc>
          <w:tcPr>
            <w:tcW w:w="0" w:type="auto"/>
            <w:vMerge/>
            <w:shd w:val="clear" w:color="auto" w:fill="auto"/>
            <w:vAlign w:val="center"/>
          </w:tcPr>
          <w:p w:rsidR="0053607B" w:rsidRPr="0053607B" w:rsidRDefault="0053607B" w:rsidP="0006596C">
            <w:pPr>
              <w:autoSpaceDE w:val="0"/>
              <w:autoSpaceDN w:val="0"/>
              <w:adjustRightInd w:val="0"/>
              <w:spacing w:after="0" w:line="240" w:lineRule="auto"/>
              <w:ind w:left="60" w:right="60"/>
              <w:rPr>
                <w:rFonts w:ascii="Times New Roman" w:hAnsi="Times New Roman"/>
                <w:color w:val="000000"/>
                <w:sz w:val="20"/>
                <w:szCs w:val="20"/>
              </w:rPr>
            </w:pPr>
          </w:p>
        </w:tc>
        <w:tc>
          <w:tcPr>
            <w:tcW w:w="0" w:type="auto"/>
            <w:shd w:val="clear" w:color="auto" w:fill="auto"/>
            <w:vAlign w:val="center"/>
          </w:tcPr>
          <w:p w:rsidR="0053607B" w:rsidRPr="0053607B" w:rsidRDefault="0053607B" w:rsidP="0006596C">
            <w:pPr>
              <w:autoSpaceDE w:val="0"/>
              <w:autoSpaceDN w:val="0"/>
              <w:adjustRightInd w:val="0"/>
              <w:spacing w:after="60" w:line="240" w:lineRule="auto"/>
              <w:ind w:left="60" w:right="60"/>
              <w:rPr>
                <w:rFonts w:ascii="Times New Roman" w:hAnsi="Times New Roman"/>
                <w:color w:val="000000"/>
                <w:sz w:val="20"/>
                <w:szCs w:val="20"/>
              </w:rPr>
            </w:pPr>
            <w:r w:rsidRPr="0053607B">
              <w:rPr>
                <w:rFonts w:ascii="Times New Roman" w:hAnsi="Times New Roman"/>
                <w:i/>
                <w:color w:val="000000"/>
                <w:sz w:val="20"/>
                <w:szCs w:val="20"/>
              </w:rPr>
              <w:t>p</w:t>
            </w:r>
            <w:r w:rsidRPr="0053607B">
              <w:rPr>
                <w:rFonts w:ascii="Times New Roman" w:hAnsi="Times New Roman"/>
                <w:color w:val="000000"/>
                <w:sz w:val="20"/>
                <w:szCs w:val="20"/>
              </w:rPr>
              <w:t xml:space="preserve"> (2-tailed)</w:t>
            </w:r>
          </w:p>
        </w:tc>
        <w:tc>
          <w:tcPr>
            <w:tcW w:w="0" w:type="auto"/>
            <w:shd w:val="clear" w:color="auto" w:fill="auto"/>
            <w:vAlign w:val="center"/>
          </w:tcPr>
          <w:p w:rsidR="0053607B" w:rsidRPr="0053607B" w:rsidRDefault="0053607B" w:rsidP="0006596C">
            <w:pPr>
              <w:autoSpaceDE w:val="0"/>
              <w:autoSpaceDN w:val="0"/>
              <w:adjustRightInd w:val="0"/>
              <w:spacing w:after="60" w:line="240" w:lineRule="auto"/>
              <w:ind w:left="60" w:right="60"/>
              <w:jc w:val="center"/>
              <w:rPr>
                <w:rFonts w:ascii="Times New Roman" w:hAnsi="Times New Roman"/>
                <w:color w:val="000000"/>
                <w:sz w:val="20"/>
                <w:szCs w:val="20"/>
              </w:rPr>
            </w:pPr>
            <w:r w:rsidRPr="0053607B">
              <w:rPr>
                <w:rFonts w:ascii="Times New Roman" w:hAnsi="Times New Roman"/>
                <w:color w:val="000000"/>
                <w:sz w:val="20"/>
                <w:szCs w:val="20"/>
              </w:rPr>
              <w:t>0.450</w:t>
            </w:r>
          </w:p>
        </w:tc>
        <w:tc>
          <w:tcPr>
            <w:tcW w:w="0" w:type="auto"/>
            <w:shd w:val="clear" w:color="auto" w:fill="auto"/>
          </w:tcPr>
          <w:p w:rsidR="0053607B" w:rsidRPr="0053607B" w:rsidRDefault="0053607B" w:rsidP="0006596C">
            <w:pPr>
              <w:autoSpaceDE w:val="0"/>
              <w:autoSpaceDN w:val="0"/>
              <w:adjustRightInd w:val="0"/>
              <w:spacing w:after="60" w:line="240" w:lineRule="auto"/>
              <w:jc w:val="center"/>
              <w:rPr>
                <w:rFonts w:ascii="Times New Roman" w:hAnsi="Times New Roman"/>
                <w:sz w:val="20"/>
                <w:szCs w:val="20"/>
              </w:rPr>
            </w:pPr>
          </w:p>
        </w:tc>
        <w:tc>
          <w:tcPr>
            <w:tcW w:w="0" w:type="auto"/>
            <w:shd w:val="clear" w:color="auto" w:fill="auto"/>
            <w:vAlign w:val="center"/>
          </w:tcPr>
          <w:p w:rsidR="0053607B" w:rsidRPr="0053607B" w:rsidRDefault="0053607B" w:rsidP="0006596C">
            <w:pPr>
              <w:autoSpaceDE w:val="0"/>
              <w:autoSpaceDN w:val="0"/>
              <w:adjustRightInd w:val="0"/>
              <w:spacing w:after="60" w:line="240" w:lineRule="auto"/>
              <w:ind w:left="60" w:right="60"/>
              <w:jc w:val="center"/>
              <w:rPr>
                <w:rFonts w:ascii="Times New Roman" w:hAnsi="Times New Roman"/>
                <w:color w:val="000000"/>
                <w:sz w:val="20"/>
                <w:szCs w:val="20"/>
              </w:rPr>
            </w:pPr>
            <w:r w:rsidRPr="0053607B">
              <w:rPr>
                <w:rFonts w:ascii="Times New Roman" w:hAnsi="Times New Roman"/>
                <w:color w:val="000000"/>
                <w:sz w:val="20"/>
                <w:szCs w:val="20"/>
              </w:rPr>
              <w:t>0.500</w:t>
            </w:r>
          </w:p>
        </w:tc>
        <w:tc>
          <w:tcPr>
            <w:tcW w:w="0" w:type="auto"/>
            <w:shd w:val="clear" w:color="auto" w:fill="auto"/>
            <w:vAlign w:val="center"/>
          </w:tcPr>
          <w:p w:rsidR="0053607B" w:rsidRPr="0053607B" w:rsidRDefault="0053607B" w:rsidP="0006596C">
            <w:pPr>
              <w:autoSpaceDE w:val="0"/>
              <w:autoSpaceDN w:val="0"/>
              <w:adjustRightInd w:val="0"/>
              <w:spacing w:after="60" w:line="240" w:lineRule="auto"/>
              <w:ind w:left="60" w:right="60"/>
              <w:jc w:val="center"/>
              <w:rPr>
                <w:rFonts w:ascii="Times New Roman" w:hAnsi="Times New Roman"/>
                <w:color w:val="000000"/>
                <w:sz w:val="20"/>
                <w:szCs w:val="20"/>
              </w:rPr>
            </w:pPr>
            <w:r w:rsidRPr="0053607B">
              <w:rPr>
                <w:rFonts w:ascii="Times New Roman" w:hAnsi="Times New Roman"/>
                <w:color w:val="000000"/>
                <w:sz w:val="20"/>
                <w:szCs w:val="20"/>
              </w:rPr>
              <w:t>0.515</w:t>
            </w:r>
          </w:p>
        </w:tc>
        <w:tc>
          <w:tcPr>
            <w:tcW w:w="0" w:type="auto"/>
            <w:shd w:val="clear" w:color="auto" w:fill="auto"/>
            <w:vAlign w:val="center"/>
          </w:tcPr>
          <w:p w:rsidR="0053607B" w:rsidRPr="0053607B" w:rsidRDefault="0053607B" w:rsidP="0006596C">
            <w:pPr>
              <w:autoSpaceDE w:val="0"/>
              <w:autoSpaceDN w:val="0"/>
              <w:adjustRightInd w:val="0"/>
              <w:spacing w:after="60" w:line="240" w:lineRule="auto"/>
              <w:ind w:left="60" w:right="60"/>
              <w:jc w:val="center"/>
              <w:rPr>
                <w:rFonts w:ascii="Times New Roman" w:hAnsi="Times New Roman"/>
                <w:color w:val="000000"/>
                <w:sz w:val="20"/>
                <w:szCs w:val="20"/>
              </w:rPr>
            </w:pPr>
            <w:r w:rsidRPr="0053607B">
              <w:rPr>
                <w:rFonts w:ascii="Times New Roman" w:hAnsi="Times New Roman"/>
                <w:color w:val="000000"/>
                <w:sz w:val="20"/>
                <w:szCs w:val="20"/>
              </w:rPr>
              <w:t>0.750</w:t>
            </w:r>
          </w:p>
        </w:tc>
      </w:tr>
      <w:tr w:rsidR="0053607B" w:rsidRPr="0053607B" w:rsidTr="00FB4AE5">
        <w:trPr>
          <w:cantSplit/>
          <w:trHeight w:val="228"/>
          <w:jc w:val="center"/>
        </w:trPr>
        <w:tc>
          <w:tcPr>
            <w:tcW w:w="0" w:type="auto"/>
            <w:vMerge w:val="restart"/>
            <w:shd w:val="clear" w:color="auto" w:fill="auto"/>
            <w:vAlign w:val="center"/>
          </w:tcPr>
          <w:p w:rsidR="0053607B" w:rsidRPr="0053607B" w:rsidRDefault="0053607B" w:rsidP="0006596C">
            <w:pPr>
              <w:autoSpaceDE w:val="0"/>
              <w:autoSpaceDN w:val="0"/>
              <w:adjustRightInd w:val="0"/>
              <w:spacing w:after="0" w:line="240" w:lineRule="auto"/>
              <w:ind w:left="62" w:right="62"/>
              <w:rPr>
                <w:rFonts w:ascii="Times New Roman" w:hAnsi="Times New Roman"/>
                <w:color w:val="000000"/>
                <w:sz w:val="20"/>
                <w:szCs w:val="20"/>
              </w:rPr>
            </w:pPr>
            <w:r w:rsidRPr="0053607B">
              <w:rPr>
                <w:rFonts w:ascii="Times New Roman" w:hAnsi="Times New Roman"/>
                <w:color w:val="000000"/>
                <w:sz w:val="20"/>
                <w:szCs w:val="20"/>
              </w:rPr>
              <w:t>Soil OM</w:t>
            </w:r>
          </w:p>
        </w:tc>
        <w:tc>
          <w:tcPr>
            <w:tcW w:w="0" w:type="auto"/>
            <w:shd w:val="clear" w:color="auto" w:fill="auto"/>
            <w:vAlign w:val="center"/>
          </w:tcPr>
          <w:p w:rsidR="0053607B" w:rsidRPr="0053607B" w:rsidRDefault="0053607B" w:rsidP="0006596C">
            <w:pPr>
              <w:autoSpaceDE w:val="0"/>
              <w:autoSpaceDN w:val="0"/>
              <w:adjustRightInd w:val="0"/>
              <w:spacing w:before="60" w:after="0" w:line="240" w:lineRule="auto"/>
              <w:ind w:left="58" w:right="58"/>
              <w:rPr>
                <w:rFonts w:ascii="Times New Roman" w:hAnsi="Times New Roman"/>
                <w:i/>
                <w:color w:val="000000"/>
                <w:sz w:val="20"/>
                <w:szCs w:val="20"/>
              </w:rPr>
            </w:pPr>
            <w:r w:rsidRPr="0053607B">
              <w:rPr>
                <w:rFonts w:ascii="Times New Roman" w:hAnsi="Times New Roman"/>
                <w:i/>
                <w:color w:val="000000"/>
                <w:sz w:val="20"/>
                <w:szCs w:val="20"/>
              </w:rPr>
              <w:t>r</w:t>
            </w:r>
          </w:p>
        </w:tc>
        <w:tc>
          <w:tcPr>
            <w:tcW w:w="0" w:type="auto"/>
            <w:shd w:val="clear" w:color="auto" w:fill="auto"/>
            <w:vAlign w:val="center"/>
          </w:tcPr>
          <w:p w:rsidR="0053607B" w:rsidRPr="0053607B" w:rsidRDefault="0053607B" w:rsidP="0006596C">
            <w:pPr>
              <w:autoSpaceDE w:val="0"/>
              <w:autoSpaceDN w:val="0"/>
              <w:adjustRightInd w:val="0"/>
              <w:spacing w:before="60" w:after="0" w:line="240" w:lineRule="auto"/>
              <w:ind w:left="58" w:right="58"/>
              <w:jc w:val="center"/>
              <w:rPr>
                <w:rFonts w:ascii="Times New Roman" w:hAnsi="Times New Roman"/>
                <w:color w:val="000000"/>
                <w:sz w:val="20"/>
                <w:szCs w:val="20"/>
              </w:rPr>
            </w:pPr>
            <w:r w:rsidRPr="0053607B">
              <w:rPr>
                <w:rFonts w:ascii="Times New Roman" w:hAnsi="Times New Roman"/>
                <w:color w:val="000000"/>
                <w:sz w:val="20"/>
                <w:szCs w:val="20"/>
              </w:rPr>
              <w:t>-0.946</w:t>
            </w:r>
          </w:p>
        </w:tc>
        <w:tc>
          <w:tcPr>
            <w:tcW w:w="0" w:type="auto"/>
            <w:shd w:val="clear" w:color="auto" w:fill="auto"/>
            <w:vAlign w:val="center"/>
          </w:tcPr>
          <w:p w:rsidR="0053607B" w:rsidRPr="0053607B" w:rsidRDefault="0053607B" w:rsidP="0006596C">
            <w:pPr>
              <w:autoSpaceDE w:val="0"/>
              <w:autoSpaceDN w:val="0"/>
              <w:adjustRightInd w:val="0"/>
              <w:spacing w:before="60" w:after="0" w:line="240" w:lineRule="auto"/>
              <w:ind w:left="58" w:right="58"/>
              <w:jc w:val="center"/>
              <w:rPr>
                <w:rFonts w:ascii="Times New Roman" w:hAnsi="Times New Roman"/>
                <w:color w:val="000000"/>
                <w:sz w:val="20"/>
                <w:szCs w:val="20"/>
              </w:rPr>
            </w:pPr>
            <w:r w:rsidRPr="0053607B">
              <w:rPr>
                <w:rFonts w:ascii="Times New Roman" w:hAnsi="Times New Roman"/>
                <w:color w:val="000000"/>
                <w:sz w:val="20"/>
                <w:szCs w:val="20"/>
              </w:rPr>
              <w:t>-0.500</w:t>
            </w:r>
          </w:p>
        </w:tc>
        <w:tc>
          <w:tcPr>
            <w:tcW w:w="0" w:type="auto"/>
            <w:shd w:val="clear" w:color="auto" w:fill="auto"/>
            <w:vAlign w:val="center"/>
          </w:tcPr>
          <w:p w:rsidR="0053607B" w:rsidRPr="0053607B" w:rsidRDefault="0053607B" w:rsidP="0006596C">
            <w:pPr>
              <w:autoSpaceDE w:val="0"/>
              <w:autoSpaceDN w:val="0"/>
              <w:adjustRightInd w:val="0"/>
              <w:spacing w:before="60" w:after="0" w:line="240" w:lineRule="auto"/>
              <w:ind w:left="58" w:right="58"/>
              <w:jc w:val="center"/>
              <w:rPr>
                <w:rFonts w:ascii="Times New Roman" w:hAnsi="Times New Roman"/>
                <w:color w:val="000000"/>
                <w:sz w:val="20"/>
                <w:szCs w:val="20"/>
              </w:rPr>
            </w:pPr>
            <w:r w:rsidRPr="0053607B">
              <w:rPr>
                <w:rFonts w:ascii="Times New Roman" w:hAnsi="Times New Roman"/>
                <w:color w:val="000000"/>
                <w:sz w:val="20"/>
                <w:szCs w:val="20"/>
              </w:rPr>
              <w:t>1</w:t>
            </w:r>
          </w:p>
        </w:tc>
        <w:tc>
          <w:tcPr>
            <w:tcW w:w="0" w:type="auto"/>
            <w:shd w:val="clear" w:color="auto" w:fill="auto"/>
            <w:vAlign w:val="center"/>
          </w:tcPr>
          <w:p w:rsidR="0053607B" w:rsidRPr="0053607B" w:rsidRDefault="0053607B" w:rsidP="0006596C">
            <w:pPr>
              <w:autoSpaceDE w:val="0"/>
              <w:autoSpaceDN w:val="0"/>
              <w:adjustRightInd w:val="0"/>
              <w:spacing w:before="60" w:after="0" w:line="240" w:lineRule="auto"/>
              <w:ind w:left="58" w:right="58"/>
              <w:jc w:val="center"/>
              <w:rPr>
                <w:rFonts w:ascii="Times New Roman" w:hAnsi="Times New Roman"/>
                <w:color w:val="000000"/>
                <w:sz w:val="20"/>
                <w:szCs w:val="20"/>
              </w:rPr>
            </w:pPr>
            <w:r w:rsidRPr="0053607B">
              <w:rPr>
                <w:rFonts w:ascii="Times New Roman" w:hAnsi="Times New Roman"/>
                <w:color w:val="000000"/>
                <w:sz w:val="20"/>
                <w:szCs w:val="20"/>
              </w:rPr>
              <w:t>0.891</w:t>
            </w:r>
          </w:p>
        </w:tc>
        <w:tc>
          <w:tcPr>
            <w:tcW w:w="0" w:type="auto"/>
            <w:shd w:val="clear" w:color="auto" w:fill="auto"/>
            <w:vAlign w:val="center"/>
          </w:tcPr>
          <w:p w:rsidR="0053607B" w:rsidRPr="0053607B" w:rsidRDefault="0053607B" w:rsidP="0006596C">
            <w:pPr>
              <w:autoSpaceDE w:val="0"/>
              <w:autoSpaceDN w:val="0"/>
              <w:adjustRightInd w:val="0"/>
              <w:spacing w:before="60" w:after="0" w:line="240" w:lineRule="auto"/>
              <w:ind w:left="58" w:right="58"/>
              <w:jc w:val="center"/>
              <w:rPr>
                <w:rFonts w:ascii="Times New Roman" w:hAnsi="Times New Roman"/>
                <w:color w:val="000000"/>
                <w:sz w:val="20"/>
                <w:szCs w:val="20"/>
              </w:rPr>
            </w:pPr>
            <w:r w:rsidRPr="0053607B">
              <w:rPr>
                <w:rFonts w:ascii="Times New Roman" w:hAnsi="Times New Roman"/>
                <w:color w:val="000000"/>
                <w:sz w:val="20"/>
                <w:szCs w:val="20"/>
              </w:rPr>
              <w:t>-0.939</w:t>
            </w:r>
          </w:p>
        </w:tc>
      </w:tr>
      <w:tr w:rsidR="0053607B" w:rsidRPr="0053607B" w:rsidTr="00FB4AE5">
        <w:trPr>
          <w:cantSplit/>
          <w:trHeight w:val="228"/>
          <w:jc w:val="center"/>
        </w:trPr>
        <w:tc>
          <w:tcPr>
            <w:tcW w:w="0" w:type="auto"/>
            <w:vMerge/>
            <w:shd w:val="clear" w:color="auto" w:fill="auto"/>
            <w:vAlign w:val="center"/>
          </w:tcPr>
          <w:p w:rsidR="0053607B" w:rsidRPr="0053607B" w:rsidRDefault="0053607B" w:rsidP="0006596C">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auto"/>
            <w:vAlign w:val="center"/>
          </w:tcPr>
          <w:p w:rsidR="0053607B" w:rsidRPr="0053607B" w:rsidRDefault="0053607B" w:rsidP="0006596C">
            <w:pPr>
              <w:autoSpaceDE w:val="0"/>
              <w:autoSpaceDN w:val="0"/>
              <w:adjustRightInd w:val="0"/>
              <w:spacing w:before="60" w:after="60" w:line="240" w:lineRule="auto"/>
              <w:ind w:left="60" w:right="60"/>
              <w:rPr>
                <w:rFonts w:ascii="Times New Roman" w:hAnsi="Times New Roman"/>
                <w:color w:val="000000"/>
                <w:sz w:val="20"/>
                <w:szCs w:val="20"/>
              </w:rPr>
            </w:pPr>
            <w:r w:rsidRPr="0053607B">
              <w:rPr>
                <w:rFonts w:ascii="Times New Roman" w:hAnsi="Times New Roman"/>
                <w:i/>
                <w:color w:val="000000"/>
                <w:sz w:val="20"/>
                <w:szCs w:val="20"/>
              </w:rPr>
              <w:t>p</w:t>
            </w:r>
            <w:r w:rsidRPr="0053607B">
              <w:rPr>
                <w:rFonts w:ascii="Times New Roman" w:hAnsi="Times New Roman"/>
                <w:color w:val="000000"/>
                <w:sz w:val="20"/>
                <w:szCs w:val="20"/>
              </w:rPr>
              <w:t xml:space="preserve"> (2-tailed)</w:t>
            </w:r>
          </w:p>
        </w:tc>
        <w:tc>
          <w:tcPr>
            <w:tcW w:w="0" w:type="auto"/>
            <w:shd w:val="clear" w:color="auto" w:fill="auto"/>
            <w:vAlign w:val="center"/>
          </w:tcPr>
          <w:p w:rsidR="0053607B" w:rsidRPr="0053607B" w:rsidRDefault="0053607B" w:rsidP="0006596C">
            <w:pPr>
              <w:autoSpaceDE w:val="0"/>
              <w:autoSpaceDN w:val="0"/>
              <w:adjustRightInd w:val="0"/>
              <w:spacing w:before="60" w:after="60" w:line="240" w:lineRule="auto"/>
              <w:ind w:left="60" w:right="60"/>
              <w:jc w:val="center"/>
              <w:rPr>
                <w:rFonts w:ascii="Times New Roman" w:hAnsi="Times New Roman"/>
                <w:color w:val="000000"/>
                <w:sz w:val="20"/>
                <w:szCs w:val="20"/>
              </w:rPr>
            </w:pPr>
            <w:r w:rsidRPr="0053607B">
              <w:rPr>
                <w:rFonts w:ascii="Times New Roman" w:hAnsi="Times New Roman"/>
                <w:color w:val="000000"/>
                <w:sz w:val="20"/>
                <w:szCs w:val="20"/>
              </w:rPr>
              <w:t>0.054</w:t>
            </w:r>
          </w:p>
        </w:tc>
        <w:tc>
          <w:tcPr>
            <w:tcW w:w="0" w:type="auto"/>
            <w:shd w:val="clear" w:color="auto" w:fill="auto"/>
            <w:vAlign w:val="center"/>
          </w:tcPr>
          <w:p w:rsidR="0053607B" w:rsidRPr="0053607B" w:rsidRDefault="0053607B" w:rsidP="0006596C">
            <w:pPr>
              <w:autoSpaceDE w:val="0"/>
              <w:autoSpaceDN w:val="0"/>
              <w:adjustRightInd w:val="0"/>
              <w:spacing w:before="60" w:after="60" w:line="240" w:lineRule="auto"/>
              <w:ind w:left="60" w:right="60"/>
              <w:jc w:val="center"/>
              <w:rPr>
                <w:rFonts w:ascii="Times New Roman" w:hAnsi="Times New Roman"/>
                <w:color w:val="000000"/>
                <w:sz w:val="20"/>
                <w:szCs w:val="20"/>
              </w:rPr>
            </w:pPr>
            <w:r w:rsidRPr="0053607B">
              <w:rPr>
                <w:rFonts w:ascii="Times New Roman" w:hAnsi="Times New Roman"/>
                <w:color w:val="000000"/>
                <w:sz w:val="20"/>
                <w:szCs w:val="20"/>
              </w:rPr>
              <w:t>0.500</w:t>
            </w:r>
          </w:p>
        </w:tc>
        <w:tc>
          <w:tcPr>
            <w:tcW w:w="0" w:type="auto"/>
            <w:shd w:val="clear" w:color="auto" w:fill="auto"/>
          </w:tcPr>
          <w:p w:rsidR="0053607B" w:rsidRPr="0053607B" w:rsidRDefault="0053607B" w:rsidP="0006596C">
            <w:pPr>
              <w:autoSpaceDE w:val="0"/>
              <w:autoSpaceDN w:val="0"/>
              <w:adjustRightInd w:val="0"/>
              <w:spacing w:before="60" w:after="60" w:line="240" w:lineRule="auto"/>
              <w:jc w:val="center"/>
              <w:rPr>
                <w:rFonts w:ascii="Times New Roman" w:hAnsi="Times New Roman"/>
                <w:sz w:val="20"/>
                <w:szCs w:val="20"/>
              </w:rPr>
            </w:pPr>
          </w:p>
        </w:tc>
        <w:tc>
          <w:tcPr>
            <w:tcW w:w="0" w:type="auto"/>
            <w:shd w:val="clear" w:color="auto" w:fill="auto"/>
            <w:vAlign w:val="center"/>
          </w:tcPr>
          <w:p w:rsidR="0053607B" w:rsidRPr="0053607B" w:rsidRDefault="0053607B" w:rsidP="0006596C">
            <w:pPr>
              <w:autoSpaceDE w:val="0"/>
              <w:autoSpaceDN w:val="0"/>
              <w:adjustRightInd w:val="0"/>
              <w:spacing w:before="60" w:after="60" w:line="240" w:lineRule="auto"/>
              <w:ind w:left="60" w:right="60"/>
              <w:jc w:val="center"/>
              <w:rPr>
                <w:rFonts w:ascii="Times New Roman" w:hAnsi="Times New Roman"/>
                <w:color w:val="000000"/>
                <w:sz w:val="20"/>
                <w:szCs w:val="20"/>
              </w:rPr>
            </w:pPr>
            <w:r w:rsidRPr="0053607B">
              <w:rPr>
                <w:rFonts w:ascii="Times New Roman" w:hAnsi="Times New Roman"/>
                <w:color w:val="000000"/>
                <w:sz w:val="20"/>
                <w:szCs w:val="20"/>
              </w:rPr>
              <w:t>0.109</w:t>
            </w:r>
          </w:p>
        </w:tc>
        <w:tc>
          <w:tcPr>
            <w:tcW w:w="0" w:type="auto"/>
            <w:shd w:val="clear" w:color="auto" w:fill="auto"/>
            <w:vAlign w:val="center"/>
          </w:tcPr>
          <w:p w:rsidR="0053607B" w:rsidRPr="0053607B" w:rsidRDefault="0053607B" w:rsidP="0006596C">
            <w:pPr>
              <w:autoSpaceDE w:val="0"/>
              <w:autoSpaceDN w:val="0"/>
              <w:adjustRightInd w:val="0"/>
              <w:spacing w:before="60" w:after="60" w:line="240" w:lineRule="auto"/>
              <w:ind w:left="60" w:right="60"/>
              <w:jc w:val="center"/>
              <w:rPr>
                <w:rFonts w:ascii="Times New Roman" w:hAnsi="Times New Roman"/>
                <w:color w:val="000000"/>
                <w:sz w:val="20"/>
                <w:szCs w:val="20"/>
              </w:rPr>
            </w:pPr>
            <w:r w:rsidRPr="0053607B">
              <w:rPr>
                <w:rFonts w:ascii="Times New Roman" w:hAnsi="Times New Roman"/>
                <w:color w:val="000000"/>
                <w:sz w:val="20"/>
                <w:szCs w:val="20"/>
              </w:rPr>
              <w:t>0.061</w:t>
            </w:r>
          </w:p>
        </w:tc>
      </w:tr>
      <w:tr w:rsidR="0053607B" w:rsidRPr="0053607B" w:rsidTr="00FB4AE5">
        <w:trPr>
          <w:cantSplit/>
          <w:trHeight w:val="228"/>
          <w:jc w:val="center"/>
        </w:trPr>
        <w:tc>
          <w:tcPr>
            <w:tcW w:w="0" w:type="auto"/>
            <w:vMerge w:val="restart"/>
            <w:shd w:val="clear" w:color="auto" w:fill="auto"/>
            <w:vAlign w:val="center"/>
          </w:tcPr>
          <w:p w:rsidR="0053607B" w:rsidRPr="0053607B" w:rsidRDefault="0053607B" w:rsidP="0006596C">
            <w:pPr>
              <w:autoSpaceDE w:val="0"/>
              <w:autoSpaceDN w:val="0"/>
              <w:adjustRightInd w:val="0"/>
              <w:spacing w:after="0" w:line="240" w:lineRule="auto"/>
              <w:ind w:left="60" w:right="60"/>
              <w:rPr>
                <w:rFonts w:ascii="Times New Roman" w:hAnsi="Times New Roman"/>
                <w:color w:val="000000"/>
                <w:sz w:val="20"/>
                <w:szCs w:val="20"/>
              </w:rPr>
            </w:pPr>
            <w:r w:rsidRPr="0053607B">
              <w:rPr>
                <w:rFonts w:ascii="Times New Roman" w:hAnsi="Times New Roman"/>
                <w:color w:val="000000"/>
                <w:sz w:val="20"/>
                <w:szCs w:val="20"/>
              </w:rPr>
              <w:t>CEC</w:t>
            </w:r>
          </w:p>
        </w:tc>
        <w:tc>
          <w:tcPr>
            <w:tcW w:w="0" w:type="auto"/>
            <w:shd w:val="clear" w:color="auto" w:fill="auto"/>
            <w:vAlign w:val="center"/>
          </w:tcPr>
          <w:p w:rsidR="0053607B" w:rsidRPr="0053607B" w:rsidRDefault="0053607B" w:rsidP="0006596C">
            <w:pPr>
              <w:autoSpaceDE w:val="0"/>
              <w:autoSpaceDN w:val="0"/>
              <w:adjustRightInd w:val="0"/>
              <w:spacing w:before="60" w:after="0" w:line="240" w:lineRule="auto"/>
              <w:ind w:left="58" w:right="58"/>
              <w:rPr>
                <w:rFonts w:ascii="Times New Roman" w:hAnsi="Times New Roman"/>
                <w:i/>
                <w:color w:val="000000"/>
                <w:sz w:val="20"/>
                <w:szCs w:val="20"/>
              </w:rPr>
            </w:pPr>
            <w:r w:rsidRPr="0053607B">
              <w:rPr>
                <w:rFonts w:ascii="Times New Roman" w:hAnsi="Times New Roman"/>
                <w:i/>
                <w:color w:val="000000"/>
                <w:sz w:val="20"/>
                <w:szCs w:val="20"/>
              </w:rPr>
              <w:t>r</w:t>
            </w:r>
          </w:p>
        </w:tc>
        <w:tc>
          <w:tcPr>
            <w:tcW w:w="0" w:type="auto"/>
            <w:shd w:val="clear" w:color="auto" w:fill="auto"/>
            <w:vAlign w:val="center"/>
          </w:tcPr>
          <w:p w:rsidR="0053607B" w:rsidRPr="0053607B" w:rsidRDefault="0053607B" w:rsidP="0006596C">
            <w:pPr>
              <w:autoSpaceDE w:val="0"/>
              <w:autoSpaceDN w:val="0"/>
              <w:adjustRightInd w:val="0"/>
              <w:spacing w:before="60" w:after="0" w:line="240" w:lineRule="auto"/>
              <w:ind w:left="58" w:right="58"/>
              <w:jc w:val="center"/>
              <w:rPr>
                <w:rFonts w:ascii="Times New Roman" w:hAnsi="Times New Roman"/>
                <w:color w:val="000000"/>
                <w:sz w:val="20"/>
                <w:szCs w:val="20"/>
              </w:rPr>
            </w:pPr>
            <w:r w:rsidRPr="0053607B">
              <w:rPr>
                <w:rFonts w:ascii="Times New Roman" w:hAnsi="Times New Roman"/>
                <w:color w:val="000000"/>
                <w:sz w:val="20"/>
                <w:szCs w:val="20"/>
              </w:rPr>
              <w:t>-0.705</w:t>
            </w:r>
          </w:p>
        </w:tc>
        <w:tc>
          <w:tcPr>
            <w:tcW w:w="0" w:type="auto"/>
            <w:shd w:val="clear" w:color="auto" w:fill="auto"/>
            <w:vAlign w:val="center"/>
          </w:tcPr>
          <w:p w:rsidR="0053607B" w:rsidRPr="0053607B" w:rsidRDefault="0053607B" w:rsidP="0006596C">
            <w:pPr>
              <w:autoSpaceDE w:val="0"/>
              <w:autoSpaceDN w:val="0"/>
              <w:adjustRightInd w:val="0"/>
              <w:spacing w:before="60" w:after="0" w:line="240" w:lineRule="auto"/>
              <w:ind w:left="58" w:right="58"/>
              <w:jc w:val="center"/>
              <w:rPr>
                <w:rFonts w:ascii="Times New Roman" w:hAnsi="Times New Roman"/>
                <w:color w:val="000000"/>
                <w:sz w:val="20"/>
                <w:szCs w:val="20"/>
              </w:rPr>
            </w:pPr>
            <w:r w:rsidRPr="0053607B">
              <w:rPr>
                <w:rFonts w:ascii="Times New Roman" w:hAnsi="Times New Roman"/>
                <w:color w:val="000000"/>
                <w:sz w:val="20"/>
                <w:szCs w:val="20"/>
              </w:rPr>
              <w:t>-0.485</w:t>
            </w:r>
          </w:p>
        </w:tc>
        <w:tc>
          <w:tcPr>
            <w:tcW w:w="0" w:type="auto"/>
            <w:shd w:val="clear" w:color="auto" w:fill="auto"/>
            <w:vAlign w:val="center"/>
          </w:tcPr>
          <w:p w:rsidR="0053607B" w:rsidRPr="0053607B" w:rsidRDefault="0053607B" w:rsidP="0006596C">
            <w:pPr>
              <w:autoSpaceDE w:val="0"/>
              <w:autoSpaceDN w:val="0"/>
              <w:adjustRightInd w:val="0"/>
              <w:spacing w:before="60" w:after="0" w:line="240" w:lineRule="auto"/>
              <w:ind w:left="58" w:right="58"/>
              <w:jc w:val="center"/>
              <w:rPr>
                <w:rFonts w:ascii="Times New Roman" w:hAnsi="Times New Roman"/>
                <w:color w:val="000000"/>
                <w:sz w:val="20"/>
                <w:szCs w:val="20"/>
              </w:rPr>
            </w:pPr>
            <w:r w:rsidRPr="0053607B">
              <w:rPr>
                <w:rFonts w:ascii="Times New Roman" w:hAnsi="Times New Roman"/>
                <w:color w:val="000000"/>
                <w:sz w:val="20"/>
                <w:szCs w:val="20"/>
              </w:rPr>
              <w:t>0.891</w:t>
            </w:r>
          </w:p>
        </w:tc>
        <w:tc>
          <w:tcPr>
            <w:tcW w:w="0" w:type="auto"/>
            <w:shd w:val="clear" w:color="auto" w:fill="auto"/>
            <w:vAlign w:val="center"/>
          </w:tcPr>
          <w:p w:rsidR="0053607B" w:rsidRPr="0053607B" w:rsidRDefault="0053607B" w:rsidP="0006596C">
            <w:pPr>
              <w:autoSpaceDE w:val="0"/>
              <w:autoSpaceDN w:val="0"/>
              <w:adjustRightInd w:val="0"/>
              <w:spacing w:before="60" w:after="0" w:line="240" w:lineRule="auto"/>
              <w:ind w:left="58" w:right="58"/>
              <w:jc w:val="center"/>
              <w:rPr>
                <w:rFonts w:ascii="Times New Roman" w:hAnsi="Times New Roman"/>
                <w:color w:val="000000"/>
                <w:sz w:val="20"/>
                <w:szCs w:val="20"/>
              </w:rPr>
            </w:pPr>
            <w:r w:rsidRPr="0053607B">
              <w:rPr>
                <w:rFonts w:ascii="Times New Roman" w:hAnsi="Times New Roman"/>
                <w:color w:val="000000"/>
                <w:sz w:val="20"/>
                <w:szCs w:val="20"/>
              </w:rPr>
              <w:t>1</w:t>
            </w:r>
          </w:p>
        </w:tc>
        <w:tc>
          <w:tcPr>
            <w:tcW w:w="0" w:type="auto"/>
            <w:shd w:val="clear" w:color="auto" w:fill="auto"/>
            <w:vAlign w:val="center"/>
          </w:tcPr>
          <w:p w:rsidR="0053607B" w:rsidRPr="0053607B" w:rsidRDefault="0053607B" w:rsidP="0006596C">
            <w:pPr>
              <w:autoSpaceDE w:val="0"/>
              <w:autoSpaceDN w:val="0"/>
              <w:adjustRightInd w:val="0"/>
              <w:spacing w:before="60" w:after="0" w:line="240" w:lineRule="auto"/>
              <w:ind w:left="58" w:right="58"/>
              <w:jc w:val="center"/>
              <w:rPr>
                <w:rFonts w:ascii="Times New Roman" w:hAnsi="Times New Roman"/>
                <w:color w:val="000000"/>
                <w:sz w:val="20"/>
                <w:szCs w:val="20"/>
              </w:rPr>
            </w:pPr>
            <w:r w:rsidRPr="0053607B">
              <w:rPr>
                <w:rFonts w:ascii="Times New Roman" w:hAnsi="Times New Roman"/>
                <w:color w:val="000000"/>
                <w:sz w:val="20"/>
                <w:szCs w:val="20"/>
              </w:rPr>
              <w:t>-0.721</w:t>
            </w:r>
          </w:p>
        </w:tc>
      </w:tr>
      <w:tr w:rsidR="0053607B" w:rsidRPr="0053607B" w:rsidTr="00FB4AE5">
        <w:trPr>
          <w:cantSplit/>
          <w:trHeight w:val="228"/>
          <w:jc w:val="center"/>
        </w:trPr>
        <w:tc>
          <w:tcPr>
            <w:tcW w:w="0" w:type="auto"/>
            <w:vMerge/>
            <w:shd w:val="clear" w:color="auto" w:fill="auto"/>
            <w:vAlign w:val="center"/>
          </w:tcPr>
          <w:p w:rsidR="0053607B" w:rsidRPr="0053607B" w:rsidRDefault="0053607B" w:rsidP="0006596C">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auto"/>
            <w:vAlign w:val="center"/>
          </w:tcPr>
          <w:p w:rsidR="0053607B" w:rsidRPr="0053607B" w:rsidRDefault="0053607B" w:rsidP="0006596C">
            <w:pPr>
              <w:autoSpaceDE w:val="0"/>
              <w:autoSpaceDN w:val="0"/>
              <w:adjustRightInd w:val="0"/>
              <w:spacing w:before="60" w:after="0" w:line="240" w:lineRule="auto"/>
              <w:ind w:left="60" w:right="60"/>
              <w:rPr>
                <w:rFonts w:ascii="Times New Roman" w:hAnsi="Times New Roman"/>
                <w:color w:val="000000"/>
                <w:sz w:val="20"/>
                <w:szCs w:val="20"/>
              </w:rPr>
            </w:pPr>
            <w:r w:rsidRPr="0053607B">
              <w:rPr>
                <w:rFonts w:ascii="Times New Roman" w:hAnsi="Times New Roman"/>
                <w:i/>
                <w:color w:val="000000"/>
                <w:sz w:val="20"/>
                <w:szCs w:val="20"/>
              </w:rPr>
              <w:t>p</w:t>
            </w:r>
            <w:r w:rsidRPr="0053607B">
              <w:rPr>
                <w:rFonts w:ascii="Times New Roman" w:hAnsi="Times New Roman"/>
                <w:color w:val="000000"/>
                <w:sz w:val="20"/>
                <w:szCs w:val="20"/>
              </w:rPr>
              <w:t xml:space="preserve"> (2-tailed)</w:t>
            </w:r>
          </w:p>
        </w:tc>
        <w:tc>
          <w:tcPr>
            <w:tcW w:w="0" w:type="auto"/>
            <w:shd w:val="clear" w:color="auto" w:fill="auto"/>
            <w:vAlign w:val="center"/>
          </w:tcPr>
          <w:p w:rsidR="0053607B" w:rsidRPr="0053607B" w:rsidRDefault="0053607B" w:rsidP="0006596C">
            <w:pPr>
              <w:autoSpaceDE w:val="0"/>
              <w:autoSpaceDN w:val="0"/>
              <w:adjustRightInd w:val="0"/>
              <w:spacing w:before="60" w:after="0" w:line="240" w:lineRule="auto"/>
              <w:ind w:left="60" w:right="60"/>
              <w:jc w:val="center"/>
              <w:rPr>
                <w:rFonts w:ascii="Times New Roman" w:hAnsi="Times New Roman"/>
                <w:color w:val="000000"/>
                <w:sz w:val="20"/>
                <w:szCs w:val="20"/>
              </w:rPr>
            </w:pPr>
            <w:r w:rsidRPr="0053607B">
              <w:rPr>
                <w:rFonts w:ascii="Times New Roman" w:hAnsi="Times New Roman"/>
                <w:color w:val="000000"/>
                <w:sz w:val="20"/>
                <w:szCs w:val="20"/>
              </w:rPr>
              <w:t>0.295</w:t>
            </w:r>
          </w:p>
        </w:tc>
        <w:tc>
          <w:tcPr>
            <w:tcW w:w="0" w:type="auto"/>
            <w:shd w:val="clear" w:color="auto" w:fill="auto"/>
            <w:vAlign w:val="center"/>
          </w:tcPr>
          <w:p w:rsidR="0053607B" w:rsidRPr="0053607B" w:rsidRDefault="0053607B" w:rsidP="0006596C">
            <w:pPr>
              <w:autoSpaceDE w:val="0"/>
              <w:autoSpaceDN w:val="0"/>
              <w:adjustRightInd w:val="0"/>
              <w:spacing w:before="60" w:after="0" w:line="240" w:lineRule="auto"/>
              <w:ind w:left="60" w:right="60"/>
              <w:jc w:val="center"/>
              <w:rPr>
                <w:rFonts w:ascii="Times New Roman" w:hAnsi="Times New Roman"/>
                <w:color w:val="000000"/>
                <w:sz w:val="20"/>
                <w:szCs w:val="20"/>
              </w:rPr>
            </w:pPr>
            <w:r w:rsidRPr="0053607B">
              <w:rPr>
                <w:rFonts w:ascii="Times New Roman" w:hAnsi="Times New Roman"/>
                <w:color w:val="000000"/>
                <w:sz w:val="20"/>
                <w:szCs w:val="20"/>
              </w:rPr>
              <w:t>0.515</w:t>
            </w:r>
          </w:p>
        </w:tc>
        <w:tc>
          <w:tcPr>
            <w:tcW w:w="0" w:type="auto"/>
            <w:shd w:val="clear" w:color="auto" w:fill="auto"/>
            <w:vAlign w:val="center"/>
          </w:tcPr>
          <w:p w:rsidR="0053607B" w:rsidRPr="0053607B" w:rsidRDefault="0053607B" w:rsidP="0006596C">
            <w:pPr>
              <w:autoSpaceDE w:val="0"/>
              <w:autoSpaceDN w:val="0"/>
              <w:adjustRightInd w:val="0"/>
              <w:spacing w:before="60" w:after="0" w:line="240" w:lineRule="auto"/>
              <w:ind w:left="60" w:right="60"/>
              <w:jc w:val="center"/>
              <w:rPr>
                <w:rFonts w:ascii="Times New Roman" w:hAnsi="Times New Roman"/>
                <w:color w:val="000000"/>
                <w:sz w:val="20"/>
                <w:szCs w:val="20"/>
              </w:rPr>
            </w:pPr>
            <w:r w:rsidRPr="0053607B">
              <w:rPr>
                <w:rFonts w:ascii="Times New Roman" w:hAnsi="Times New Roman"/>
                <w:color w:val="000000"/>
                <w:sz w:val="20"/>
                <w:szCs w:val="20"/>
              </w:rPr>
              <w:t>0.109</w:t>
            </w:r>
          </w:p>
        </w:tc>
        <w:tc>
          <w:tcPr>
            <w:tcW w:w="0" w:type="auto"/>
            <w:shd w:val="clear" w:color="auto" w:fill="auto"/>
          </w:tcPr>
          <w:p w:rsidR="0053607B" w:rsidRPr="0053607B" w:rsidRDefault="0053607B" w:rsidP="0006596C">
            <w:pPr>
              <w:autoSpaceDE w:val="0"/>
              <w:autoSpaceDN w:val="0"/>
              <w:adjustRightInd w:val="0"/>
              <w:spacing w:before="60" w:after="0" w:line="240" w:lineRule="auto"/>
              <w:jc w:val="center"/>
              <w:rPr>
                <w:rFonts w:ascii="Times New Roman" w:hAnsi="Times New Roman"/>
                <w:sz w:val="20"/>
                <w:szCs w:val="20"/>
              </w:rPr>
            </w:pPr>
          </w:p>
        </w:tc>
        <w:tc>
          <w:tcPr>
            <w:tcW w:w="0" w:type="auto"/>
            <w:shd w:val="clear" w:color="auto" w:fill="auto"/>
            <w:vAlign w:val="center"/>
          </w:tcPr>
          <w:p w:rsidR="0053607B" w:rsidRPr="0053607B" w:rsidRDefault="0053607B" w:rsidP="0006596C">
            <w:pPr>
              <w:autoSpaceDE w:val="0"/>
              <w:autoSpaceDN w:val="0"/>
              <w:adjustRightInd w:val="0"/>
              <w:spacing w:before="60" w:after="0" w:line="240" w:lineRule="auto"/>
              <w:ind w:left="60" w:right="60"/>
              <w:jc w:val="center"/>
              <w:rPr>
                <w:rFonts w:ascii="Times New Roman" w:hAnsi="Times New Roman"/>
                <w:color w:val="000000"/>
                <w:sz w:val="20"/>
                <w:szCs w:val="20"/>
              </w:rPr>
            </w:pPr>
            <w:r w:rsidRPr="0053607B">
              <w:rPr>
                <w:rFonts w:ascii="Times New Roman" w:hAnsi="Times New Roman"/>
                <w:color w:val="000000"/>
                <w:sz w:val="20"/>
                <w:szCs w:val="20"/>
              </w:rPr>
              <w:t>0.279</w:t>
            </w:r>
          </w:p>
        </w:tc>
      </w:tr>
      <w:tr w:rsidR="0053607B" w:rsidRPr="0053607B" w:rsidTr="00FB4AE5">
        <w:trPr>
          <w:cantSplit/>
          <w:trHeight w:val="457"/>
          <w:jc w:val="center"/>
        </w:trPr>
        <w:tc>
          <w:tcPr>
            <w:tcW w:w="0" w:type="auto"/>
            <w:vMerge w:val="restart"/>
            <w:shd w:val="clear" w:color="auto" w:fill="auto"/>
            <w:vAlign w:val="center"/>
          </w:tcPr>
          <w:p w:rsidR="0053607B" w:rsidRPr="0053607B" w:rsidRDefault="0053607B" w:rsidP="0006596C">
            <w:pPr>
              <w:autoSpaceDE w:val="0"/>
              <w:autoSpaceDN w:val="0"/>
              <w:adjustRightInd w:val="0"/>
              <w:spacing w:after="0" w:line="240" w:lineRule="auto"/>
              <w:ind w:left="60" w:right="60"/>
              <w:rPr>
                <w:rFonts w:ascii="Times New Roman" w:hAnsi="Times New Roman"/>
                <w:color w:val="000000"/>
                <w:sz w:val="20"/>
                <w:szCs w:val="20"/>
              </w:rPr>
            </w:pPr>
            <w:r w:rsidRPr="0053607B">
              <w:rPr>
                <w:rFonts w:ascii="Times New Roman" w:hAnsi="Times New Roman"/>
                <w:color w:val="000000"/>
                <w:sz w:val="20"/>
                <w:szCs w:val="20"/>
              </w:rPr>
              <w:t>Leachate Pb</w:t>
            </w:r>
          </w:p>
        </w:tc>
        <w:tc>
          <w:tcPr>
            <w:tcW w:w="0" w:type="auto"/>
            <w:shd w:val="clear" w:color="auto" w:fill="auto"/>
            <w:vAlign w:val="center"/>
          </w:tcPr>
          <w:p w:rsidR="0053607B" w:rsidRPr="0053607B" w:rsidRDefault="0053607B" w:rsidP="0006596C">
            <w:pPr>
              <w:autoSpaceDE w:val="0"/>
              <w:autoSpaceDN w:val="0"/>
              <w:adjustRightInd w:val="0"/>
              <w:spacing w:after="0" w:line="240" w:lineRule="auto"/>
              <w:ind w:left="60" w:right="60"/>
              <w:rPr>
                <w:rFonts w:ascii="Times New Roman" w:hAnsi="Times New Roman"/>
                <w:i/>
                <w:color w:val="000000"/>
                <w:sz w:val="20"/>
                <w:szCs w:val="20"/>
              </w:rPr>
            </w:pPr>
            <w:r w:rsidRPr="0053607B">
              <w:rPr>
                <w:rFonts w:ascii="Times New Roman" w:hAnsi="Times New Roman"/>
                <w:i/>
                <w:color w:val="000000"/>
                <w:sz w:val="20"/>
                <w:szCs w:val="20"/>
              </w:rPr>
              <w:t>r</w:t>
            </w:r>
          </w:p>
        </w:tc>
        <w:tc>
          <w:tcPr>
            <w:tcW w:w="0" w:type="auto"/>
            <w:shd w:val="clear" w:color="auto" w:fill="auto"/>
            <w:vAlign w:val="center"/>
          </w:tcPr>
          <w:p w:rsidR="0053607B" w:rsidRPr="0053607B" w:rsidRDefault="0053607B" w:rsidP="0006596C">
            <w:pPr>
              <w:autoSpaceDE w:val="0"/>
              <w:autoSpaceDN w:val="0"/>
              <w:adjustRightInd w:val="0"/>
              <w:spacing w:after="0" w:line="240" w:lineRule="auto"/>
              <w:ind w:left="60" w:right="60"/>
              <w:jc w:val="center"/>
              <w:rPr>
                <w:rFonts w:ascii="Times New Roman" w:hAnsi="Times New Roman"/>
                <w:color w:val="000000"/>
                <w:sz w:val="20"/>
                <w:szCs w:val="20"/>
              </w:rPr>
            </w:pPr>
            <w:r w:rsidRPr="0053607B">
              <w:rPr>
                <w:rFonts w:ascii="Times New Roman" w:hAnsi="Times New Roman"/>
                <w:color w:val="000000"/>
                <w:sz w:val="20"/>
                <w:szCs w:val="20"/>
              </w:rPr>
              <w:t>0.938</w:t>
            </w:r>
          </w:p>
        </w:tc>
        <w:tc>
          <w:tcPr>
            <w:tcW w:w="0" w:type="auto"/>
            <w:shd w:val="clear" w:color="auto" w:fill="auto"/>
            <w:vAlign w:val="center"/>
          </w:tcPr>
          <w:p w:rsidR="0053607B" w:rsidRPr="0053607B" w:rsidRDefault="0053607B" w:rsidP="0006596C">
            <w:pPr>
              <w:autoSpaceDE w:val="0"/>
              <w:autoSpaceDN w:val="0"/>
              <w:adjustRightInd w:val="0"/>
              <w:spacing w:after="0" w:line="240" w:lineRule="auto"/>
              <w:ind w:left="60" w:right="60"/>
              <w:jc w:val="center"/>
              <w:rPr>
                <w:rFonts w:ascii="Times New Roman" w:hAnsi="Times New Roman"/>
                <w:color w:val="000000"/>
                <w:sz w:val="20"/>
                <w:szCs w:val="20"/>
              </w:rPr>
            </w:pPr>
            <w:r w:rsidRPr="0053607B">
              <w:rPr>
                <w:rFonts w:ascii="Times New Roman" w:hAnsi="Times New Roman"/>
                <w:color w:val="000000"/>
                <w:sz w:val="20"/>
                <w:szCs w:val="20"/>
              </w:rPr>
              <w:t>0.250</w:t>
            </w:r>
          </w:p>
        </w:tc>
        <w:tc>
          <w:tcPr>
            <w:tcW w:w="0" w:type="auto"/>
            <w:shd w:val="clear" w:color="auto" w:fill="auto"/>
            <w:vAlign w:val="center"/>
          </w:tcPr>
          <w:p w:rsidR="0053607B" w:rsidRPr="0053607B" w:rsidRDefault="0053607B" w:rsidP="0006596C">
            <w:pPr>
              <w:autoSpaceDE w:val="0"/>
              <w:autoSpaceDN w:val="0"/>
              <w:adjustRightInd w:val="0"/>
              <w:spacing w:after="0" w:line="240" w:lineRule="auto"/>
              <w:ind w:left="60" w:right="60"/>
              <w:jc w:val="center"/>
              <w:rPr>
                <w:rFonts w:ascii="Times New Roman" w:hAnsi="Times New Roman"/>
                <w:color w:val="000000"/>
                <w:sz w:val="20"/>
                <w:szCs w:val="20"/>
              </w:rPr>
            </w:pPr>
            <w:r w:rsidRPr="0053607B">
              <w:rPr>
                <w:rFonts w:ascii="Times New Roman" w:hAnsi="Times New Roman"/>
                <w:color w:val="000000"/>
                <w:sz w:val="20"/>
                <w:szCs w:val="20"/>
              </w:rPr>
              <w:t>-0.939</w:t>
            </w:r>
          </w:p>
        </w:tc>
        <w:tc>
          <w:tcPr>
            <w:tcW w:w="0" w:type="auto"/>
            <w:shd w:val="clear" w:color="auto" w:fill="auto"/>
            <w:vAlign w:val="center"/>
          </w:tcPr>
          <w:p w:rsidR="0053607B" w:rsidRPr="0053607B" w:rsidRDefault="0053607B" w:rsidP="0006596C">
            <w:pPr>
              <w:autoSpaceDE w:val="0"/>
              <w:autoSpaceDN w:val="0"/>
              <w:adjustRightInd w:val="0"/>
              <w:spacing w:after="0" w:line="240" w:lineRule="auto"/>
              <w:ind w:left="60" w:right="60"/>
              <w:jc w:val="center"/>
              <w:rPr>
                <w:rFonts w:ascii="Times New Roman" w:hAnsi="Times New Roman"/>
                <w:color w:val="000000"/>
                <w:sz w:val="20"/>
                <w:szCs w:val="20"/>
              </w:rPr>
            </w:pPr>
            <w:r w:rsidRPr="0053607B">
              <w:rPr>
                <w:rFonts w:ascii="Times New Roman" w:hAnsi="Times New Roman"/>
                <w:color w:val="000000"/>
                <w:sz w:val="20"/>
                <w:szCs w:val="20"/>
              </w:rPr>
              <w:t>-0.721</w:t>
            </w:r>
          </w:p>
        </w:tc>
        <w:tc>
          <w:tcPr>
            <w:tcW w:w="0" w:type="auto"/>
            <w:shd w:val="clear" w:color="auto" w:fill="auto"/>
            <w:vAlign w:val="center"/>
          </w:tcPr>
          <w:p w:rsidR="0053607B" w:rsidRPr="0053607B" w:rsidRDefault="0053607B" w:rsidP="0006596C">
            <w:pPr>
              <w:autoSpaceDE w:val="0"/>
              <w:autoSpaceDN w:val="0"/>
              <w:adjustRightInd w:val="0"/>
              <w:spacing w:after="0" w:line="240" w:lineRule="auto"/>
              <w:ind w:left="60" w:right="60"/>
              <w:jc w:val="center"/>
              <w:rPr>
                <w:rFonts w:ascii="Times New Roman" w:hAnsi="Times New Roman"/>
                <w:color w:val="000000"/>
                <w:sz w:val="20"/>
                <w:szCs w:val="20"/>
              </w:rPr>
            </w:pPr>
            <w:r w:rsidRPr="0053607B">
              <w:rPr>
                <w:rFonts w:ascii="Times New Roman" w:hAnsi="Times New Roman"/>
                <w:color w:val="000000"/>
                <w:sz w:val="20"/>
                <w:szCs w:val="20"/>
              </w:rPr>
              <w:t>1</w:t>
            </w:r>
          </w:p>
        </w:tc>
      </w:tr>
      <w:tr w:rsidR="0053607B" w:rsidRPr="0053607B" w:rsidTr="00FB4AE5">
        <w:trPr>
          <w:cantSplit/>
          <w:trHeight w:val="228"/>
          <w:jc w:val="center"/>
        </w:trPr>
        <w:tc>
          <w:tcPr>
            <w:tcW w:w="0" w:type="auto"/>
            <w:vMerge/>
            <w:tcBorders>
              <w:bottom w:val="single" w:sz="4" w:space="0" w:color="000000"/>
            </w:tcBorders>
            <w:shd w:val="clear" w:color="auto" w:fill="auto"/>
            <w:vAlign w:val="center"/>
          </w:tcPr>
          <w:p w:rsidR="0053607B" w:rsidRPr="0053607B" w:rsidRDefault="0053607B" w:rsidP="0053607B">
            <w:pPr>
              <w:autoSpaceDE w:val="0"/>
              <w:autoSpaceDN w:val="0"/>
              <w:adjustRightInd w:val="0"/>
              <w:spacing w:after="0" w:line="240" w:lineRule="auto"/>
              <w:jc w:val="both"/>
              <w:rPr>
                <w:rFonts w:ascii="Times New Roman" w:hAnsi="Times New Roman"/>
                <w:color w:val="000000"/>
                <w:sz w:val="20"/>
                <w:szCs w:val="20"/>
              </w:rPr>
            </w:pPr>
          </w:p>
        </w:tc>
        <w:tc>
          <w:tcPr>
            <w:tcW w:w="0" w:type="auto"/>
            <w:tcBorders>
              <w:bottom w:val="single" w:sz="4" w:space="0" w:color="000000"/>
            </w:tcBorders>
            <w:shd w:val="clear" w:color="auto" w:fill="auto"/>
            <w:vAlign w:val="center"/>
          </w:tcPr>
          <w:p w:rsidR="0053607B" w:rsidRPr="0053607B" w:rsidRDefault="0053607B" w:rsidP="0006596C">
            <w:pPr>
              <w:autoSpaceDE w:val="0"/>
              <w:autoSpaceDN w:val="0"/>
              <w:adjustRightInd w:val="0"/>
              <w:spacing w:after="60" w:line="240" w:lineRule="auto"/>
              <w:ind w:left="58" w:right="58"/>
              <w:rPr>
                <w:rFonts w:ascii="Times New Roman" w:hAnsi="Times New Roman"/>
                <w:color w:val="000000"/>
                <w:sz w:val="20"/>
                <w:szCs w:val="20"/>
              </w:rPr>
            </w:pPr>
            <w:r w:rsidRPr="0053607B">
              <w:rPr>
                <w:rFonts w:ascii="Times New Roman" w:hAnsi="Times New Roman"/>
                <w:i/>
                <w:color w:val="000000"/>
                <w:sz w:val="20"/>
                <w:szCs w:val="20"/>
              </w:rPr>
              <w:t>p</w:t>
            </w:r>
            <w:r w:rsidRPr="0053607B">
              <w:rPr>
                <w:rFonts w:ascii="Times New Roman" w:hAnsi="Times New Roman"/>
                <w:color w:val="000000"/>
                <w:sz w:val="20"/>
                <w:szCs w:val="20"/>
              </w:rPr>
              <w:t xml:space="preserve"> (2-tailed)</w:t>
            </w:r>
          </w:p>
        </w:tc>
        <w:tc>
          <w:tcPr>
            <w:tcW w:w="0" w:type="auto"/>
            <w:tcBorders>
              <w:bottom w:val="single" w:sz="4" w:space="0" w:color="000000"/>
            </w:tcBorders>
            <w:shd w:val="clear" w:color="auto" w:fill="auto"/>
            <w:vAlign w:val="center"/>
          </w:tcPr>
          <w:p w:rsidR="0053607B" w:rsidRPr="0053607B" w:rsidRDefault="0053607B" w:rsidP="0006596C">
            <w:pPr>
              <w:autoSpaceDE w:val="0"/>
              <w:autoSpaceDN w:val="0"/>
              <w:adjustRightInd w:val="0"/>
              <w:spacing w:after="60" w:line="240" w:lineRule="auto"/>
              <w:ind w:left="58" w:right="58"/>
              <w:jc w:val="center"/>
              <w:rPr>
                <w:rFonts w:ascii="Times New Roman" w:hAnsi="Times New Roman"/>
                <w:color w:val="000000"/>
                <w:sz w:val="20"/>
                <w:szCs w:val="20"/>
              </w:rPr>
            </w:pPr>
            <w:r w:rsidRPr="0053607B">
              <w:rPr>
                <w:rFonts w:ascii="Times New Roman" w:hAnsi="Times New Roman"/>
                <w:color w:val="000000"/>
                <w:sz w:val="20"/>
                <w:szCs w:val="20"/>
              </w:rPr>
              <w:t>0.062</w:t>
            </w:r>
          </w:p>
        </w:tc>
        <w:tc>
          <w:tcPr>
            <w:tcW w:w="0" w:type="auto"/>
            <w:tcBorders>
              <w:bottom w:val="single" w:sz="4" w:space="0" w:color="000000"/>
            </w:tcBorders>
            <w:shd w:val="clear" w:color="auto" w:fill="auto"/>
            <w:vAlign w:val="center"/>
          </w:tcPr>
          <w:p w:rsidR="0053607B" w:rsidRPr="0053607B" w:rsidRDefault="0053607B" w:rsidP="0006596C">
            <w:pPr>
              <w:autoSpaceDE w:val="0"/>
              <w:autoSpaceDN w:val="0"/>
              <w:adjustRightInd w:val="0"/>
              <w:spacing w:after="60" w:line="240" w:lineRule="auto"/>
              <w:ind w:left="58" w:right="58"/>
              <w:jc w:val="center"/>
              <w:rPr>
                <w:rFonts w:ascii="Times New Roman" w:hAnsi="Times New Roman"/>
                <w:color w:val="000000"/>
                <w:sz w:val="20"/>
                <w:szCs w:val="20"/>
              </w:rPr>
            </w:pPr>
            <w:r w:rsidRPr="0053607B">
              <w:rPr>
                <w:rFonts w:ascii="Times New Roman" w:hAnsi="Times New Roman"/>
                <w:color w:val="000000"/>
                <w:sz w:val="20"/>
                <w:szCs w:val="20"/>
              </w:rPr>
              <w:t>0.750</w:t>
            </w:r>
          </w:p>
        </w:tc>
        <w:tc>
          <w:tcPr>
            <w:tcW w:w="0" w:type="auto"/>
            <w:tcBorders>
              <w:bottom w:val="single" w:sz="4" w:space="0" w:color="000000"/>
            </w:tcBorders>
            <w:shd w:val="clear" w:color="auto" w:fill="auto"/>
            <w:vAlign w:val="center"/>
          </w:tcPr>
          <w:p w:rsidR="0053607B" w:rsidRPr="0053607B" w:rsidRDefault="0053607B" w:rsidP="0006596C">
            <w:pPr>
              <w:autoSpaceDE w:val="0"/>
              <w:autoSpaceDN w:val="0"/>
              <w:adjustRightInd w:val="0"/>
              <w:spacing w:after="60" w:line="240" w:lineRule="auto"/>
              <w:ind w:left="58" w:right="58"/>
              <w:jc w:val="center"/>
              <w:rPr>
                <w:rFonts w:ascii="Times New Roman" w:hAnsi="Times New Roman"/>
                <w:color w:val="000000"/>
                <w:sz w:val="20"/>
                <w:szCs w:val="20"/>
              </w:rPr>
            </w:pPr>
            <w:r w:rsidRPr="0053607B">
              <w:rPr>
                <w:rFonts w:ascii="Times New Roman" w:hAnsi="Times New Roman"/>
                <w:color w:val="000000"/>
                <w:sz w:val="20"/>
                <w:szCs w:val="20"/>
              </w:rPr>
              <w:t>0.061</w:t>
            </w:r>
          </w:p>
        </w:tc>
        <w:tc>
          <w:tcPr>
            <w:tcW w:w="0" w:type="auto"/>
            <w:tcBorders>
              <w:bottom w:val="single" w:sz="4" w:space="0" w:color="000000"/>
            </w:tcBorders>
            <w:shd w:val="clear" w:color="auto" w:fill="auto"/>
            <w:vAlign w:val="center"/>
          </w:tcPr>
          <w:p w:rsidR="0053607B" w:rsidRPr="0053607B" w:rsidRDefault="0053607B" w:rsidP="0006596C">
            <w:pPr>
              <w:autoSpaceDE w:val="0"/>
              <w:autoSpaceDN w:val="0"/>
              <w:adjustRightInd w:val="0"/>
              <w:spacing w:after="60" w:line="240" w:lineRule="auto"/>
              <w:ind w:left="58" w:right="58"/>
              <w:jc w:val="center"/>
              <w:rPr>
                <w:rFonts w:ascii="Times New Roman" w:hAnsi="Times New Roman"/>
                <w:color w:val="000000"/>
                <w:sz w:val="20"/>
                <w:szCs w:val="20"/>
              </w:rPr>
            </w:pPr>
            <w:r w:rsidRPr="0053607B">
              <w:rPr>
                <w:rFonts w:ascii="Times New Roman" w:hAnsi="Times New Roman"/>
                <w:color w:val="000000"/>
                <w:sz w:val="20"/>
                <w:szCs w:val="20"/>
              </w:rPr>
              <w:t>0.279</w:t>
            </w:r>
          </w:p>
        </w:tc>
        <w:tc>
          <w:tcPr>
            <w:tcW w:w="0" w:type="auto"/>
            <w:tcBorders>
              <w:bottom w:val="single" w:sz="4" w:space="0" w:color="000000"/>
            </w:tcBorders>
            <w:shd w:val="clear" w:color="auto" w:fill="auto"/>
          </w:tcPr>
          <w:p w:rsidR="0053607B" w:rsidRPr="0053607B" w:rsidRDefault="0053607B" w:rsidP="0006596C">
            <w:pPr>
              <w:autoSpaceDE w:val="0"/>
              <w:autoSpaceDN w:val="0"/>
              <w:adjustRightInd w:val="0"/>
              <w:spacing w:after="0" w:line="240" w:lineRule="auto"/>
              <w:jc w:val="center"/>
              <w:rPr>
                <w:rFonts w:ascii="Times New Roman" w:hAnsi="Times New Roman"/>
                <w:sz w:val="20"/>
                <w:szCs w:val="20"/>
              </w:rPr>
            </w:pPr>
          </w:p>
        </w:tc>
      </w:tr>
    </w:tbl>
    <w:p w:rsidR="0053607B" w:rsidRPr="0053607B" w:rsidRDefault="0053607B" w:rsidP="0053607B">
      <w:pPr>
        <w:spacing w:after="0" w:line="240" w:lineRule="auto"/>
        <w:jc w:val="both"/>
        <w:rPr>
          <w:rFonts w:ascii="Times New Roman" w:hAnsi="Times New Roman"/>
          <w:sz w:val="20"/>
          <w:szCs w:val="20"/>
        </w:rPr>
      </w:pP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06596C" w:rsidRDefault="0006596C" w:rsidP="0006596C">
      <w:pPr>
        <w:pStyle w:val="Default"/>
        <w:jc w:val="both"/>
        <w:rPr>
          <w:sz w:val="20"/>
          <w:szCs w:val="20"/>
        </w:rPr>
      </w:pPr>
      <w:r>
        <w:rPr>
          <w:sz w:val="20"/>
          <w:szCs w:val="20"/>
        </w:rPr>
        <w:t>T</w:t>
      </w:r>
      <w:r w:rsidRPr="00D34FED">
        <w:rPr>
          <w:sz w:val="20"/>
          <w:szCs w:val="20"/>
        </w:rPr>
        <w:t xml:space="preserve">he </w:t>
      </w:r>
      <w:r>
        <w:rPr>
          <w:sz w:val="20"/>
          <w:szCs w:val="20"/>
        </w:rPr>
        <w:t xml:space="preserve">risk of </w:t>
      </w:r>
      <w:r w:rsidRPr="00D34FED">
        <w:rPr>
          <w:sz w:val="20"/>
          <w:szCs w:val="20"/>
        </w:rPr>
        <w:t xml:space="preserve">leaching of the lead </w:t>
      </w:r>
      <w:r>
        <w:rPr>
          <w:sz w:val="20"/>
          <w:szCs w:val="20"/>
        </w:rPr>
        <w:t xml:space="preserve">from the shooting range soil at Kem Sungai Besi is a concern due to (1) </w:t>
      </w:r>
      <w:r w:rsidRPr="00D34FED">
        <w:rPr>
          <w:sz w:val="20"/>
          <w:szCs w:val="20"/>
        </w:rPr>
        <w:t>high concentration of lead in shooting range soil</w:t>
      </w:r>
      <w:r>
        <w:rPr>
          <w:sz w:val="20"/>
          <w:szCs w:val="20"/>
        </w:rPr>
        <w:t>, (2)</w:t>
      </w:r>
      <w:r w:rsidRPr="00D34FED">
        <w:rPr>
          <w:sz w:val="20"/>
          <w:szCs w:val="20"/>
        </w:rPr>
        <w:t xml:space="preserve"> </w:t>
      </w:r>
      <w:r>
        <w:rPr>
          <w:sz w:val="20"/>
          <w:szCs w:val="20"/>
        </w:rPr>
        <w:t xml:space="preserve">high </w:t>
      </w:r>
      <w:r w:rsidRPr="00D34FED">
        <w:rPr>
          <w:sz w:val="20"/>
          <w:szCs w:val="20"/>
        </w:rPr>
        <w:t xml:space="preserve">percentage of sand </w:t>
      </w:r>
      <w:r>
        <w:rPr>
          <w:sz w:val="20"/>
          <w:szCs w:val="20"/>
        </w:rPr>
        <w:t xml:space="preserve">in </w:t>
      </w:r>
      <w:r w:rsidRPr="00D34FED">
        <w:rPr>
          <w:sz w:val="20"/>
          <w:szCs w:val="20"/>
        </w:rPr>
        <w:t xml:space="preserve">the </w:t>
      </w:r>
      <w:r>
        <w:rPr>
          <w:sz w:val="20"/>
          <w:szCs w:val="20"/>
        </w:rPr>
        <w:t xml:space="preserve">shooting range </w:t>
      </w:r>
      <w:r w:rsidRPr="00D34FED">
        <w:rPr>
          <w:sz w:val="20"/>
          <w:szCs w:val="20"/>
        </w:rPr>
        <w:t>soil</w:t>
      </w:r>
      <w:r>
        <w:rPr>
          <w:sz w:val="20"/>
          <w:szCs w:val="20"/>
        </w:rPr>
        <w:t>, (3) low</w:t>
      </w:r>
      <w:r w:rsidRPr="00D34FED">
        <w:rPr>
          <w:sz w:val="20"/>
          <w:szCs w:val="20"/>
        </w:rPr>
        <w:t xml:space="preserve">er </w:t>
      </w:r>
      <w:r>
        <w:rPr>
          <w:sz w:val="20"/>
          <w:szCs w:val="20"/>
        </w:rPr>
        <w:t xml:space="preserve">rain </w:t>
      </w:r>
      <w:r w:rsidRPr="00D34FED">
        <w:rPr>
          <w:sz w:val="20"/>
          <w:szCs w:val="20"/>
        </w:rPr>
        <w:t>pH</w:t>
      </w:r>
      <w:r>
        <w:rPr>
          <w:sz w:val="20"/>
          <w:szCs w:val="20"/>
        </w:rPr>
        <w:t xml:space="preserve"> value</w:t>
      </w:r>
      <w:r w:rsidRPr="00F66615">
        <w:rPr>
          <w:sz w:val="20"/>
          <w:szCs w:val="20"/>
        </w:rPr>
        <w:t xml:space="preserve"> </w:t>
      </w:r>
      <w:r w:rsidRPr="00D34FED">
        <w:rPr>
          <w:sz w:val="20"/>
          <w:szCs w:val="20"/>
        </w:rPr>
        <w:t xml:space="preserve">at Kuala Lumpur and Selangor </w:t>
      </w:r>
      <w:r>
        <w:rPr>
          <w:sz w:val="20"/>
          <w:szCs w:val="20"/>
        </w:rPr>
        <w:fldChar w:fldCharType="begin"/>
      </w:r>
      <w:r>
        <w:rPr>
          <w:sz w:val="20"/>
          <w:szCs w:val="20"/>
        </w:rPr>
        <w:instrText xml:space="preserve"> ADDIN EN.CITE &lt;EndNote&gt;&lt;Cite&gt;&lt;Author&gt;Makmom Abdullah&lt;/Author&gt;&lt;Year&gt;2012&lt;/Year&gt;&lt;RecNum&gt;3140&lt;/RecNum&gt;&lt;DisplayText&gt;[14]&lt;/DisplayText&gt;&lt;record&gt;&lt;rec-number&gt;3140&lt;/rec-number&gt;&lt;foreign-keys&gt;&lt;key app="EN" db-id="sr0twxwzpw9azuefz59vrzalex2r5r0e005r"&gt;3140&lt;/key&gt;&lt;/foreign-keys&gt;&lt;ref-type name="Journal Article"&gt;17&lt;/ref-type&gt;&lt;contributors&gt;&lt;authors&gt;&lt;author&gt;Makmom Abdullah, Ahmad&lt;/author&gt;&lt;author&gt;Armi Abu Samah, Mohd&lt;/author&gt;&lt;author&gt;Yee Jun, Tham&lt;/author&gt;&lt;/authors&gt;&lt;/contributors&gt;&lt;titles&gt;&lt;title&gt;An overview of the air pollution trend in Klang Valley, Malaysia&lt;/title&gt;&lt;secondary-title&gt;Open Environmental Sciences&lt;/secondary-title&gt;&lt;/titles&gt;&lt;periodical&gt;&lt;full-title&gt;Open Environmental Sciences&lt;/full-title&gt;&lt;/periodical&gt;&lt;pages&gt;13-19&lt;/pages&gt;&lt;volume&gt;6&lt;/volume&gt;&lt;number&gt;1&lt;/number&gt;&lt;dates&gt;&lt;year&gt;2012&lt;/year&gt;&lt;/dates&gt;&lt;urls&gt;&lt;/urls&gt;&lt;/record&gt;&lt;/Cite&gt;&lt;/EndNote&gt;</w:instrText>
      </w:r>
      <w:r>
        <w:rPr>
          <w:sz w:val="20"/>
          <w:szCs w:val="20"/>
        </w:rPr>
        <w:fldChar w:fldCharType="separate"/>
      </w:r>
      <w:r>
        <w:rPr>
          <w:noProof/>
          <w:sz w:val="20"/>
          <w:szCs w:val="20"/>
        </w:rPr>
        <w:t>[14]</w:t>
      </w:r>
      <w:r>
        <w:rPr>
          <w:sz w:val="20"/>
          <w:szCs w:val="20"/>
        </w:rPr>
        <w:fldChar w:fldCharType="end"/>
      </w:r>
      <w:r>
        <w:rPr>
          <w:sz w:val="20"/>
          <w:szCs w:val="20"/>
        </w:rPr>
        <w:t>, and (4) low CEC value from low soil OM content</w:t>
      </w:r>
      <w:r w:rsidRPr="00D34FED">
        <w:rPr>
          <w:sz w:val="20"/>
          <w:szCs w:val="20"/>
        </w:rPr>
        <w:t xml:space="preserve">. </w:t>
      </w:r>
      <w:r>
        <w:rPr>
          <w:sz w:val="20"/>
          <w:szCs w:val="20"/>
        </w:rPr>
        <w:t>On normal radiation practice, soil liming is employed to increase</w:t>
      </w:r>
      <w:r w:rsidRPr="00D34FED">
        <w:rPr>
          <w:sz w:val="20"/>
          <w:szCs w:val="20"/>
        </w:rPr>
        <w:t xml:space="preserve"> </w:t>
      </w:r>
      <w:r>
        <w:rPr>
          <w:sz w:val="20"/>
          <w:szCs w:val="20"/>
        </w:rPr>
        <w:t>soil pH, and converts</w:t>
      </w:r>
      <w:r w:rsidRPr="00D34FED">
        <w:rPr>
          <w:sz w:val="20"/>
          <w:szCs w:val="20"/>
        </w:rPr>
        <w:t xml:space="preserve"> </w:t>
      </w:r>
      <w:r>
        <w:rPr>
          <w:sz w:val="20"/>
          <w:szCs w:val="20"/>
        </w:rPr>
        <w:t>lead</w:t>
      </w:r>
      <w:r w:rsidRPr="00D34FED">
        <w:rPr>
          <w:sz w:val="20"/>
          <w:szCs w:val="20"/>
        </w:rPr>
        <w:t xml:space="preserve"> ions to insoluble hydroxide complexes. </w:t>
      </w:r>
      <w:r>
        <w:rPr>
          <w:sz w:val="20"/>
          <w:szCs w:val="20"/>
        </w:rPr>
        <w:t>However, increasing</w:t>
      </w:r>
      <w:r w:rsidRPr="00D34FED">
        <w:rPr>
          <w:sz w:val="20"/>
          <w:szCs w:val="20"/>
        </w:rPr>
        <w:t xml:space="preserve"> </w:t>
      </w:r>
      <w:r>
        <w:rPr>
          <w:sz w:val="20"/>
          <w:szCs w:val="20"/>
        </w:rPr>
        <w:t xml:space="preserve">soil </w:t>
      </w:r>
      <w:r w:rsidRPr="00D34FED">
        <w:rPr>
          <w:sz w:val="20"/>
          <w:szCs w:val="20"/>
        </w:rPr>
        <w:t xml:space="preserve">pH </w:t>
      </w:r>
      <w:r>
        <w:rPr>
          <w:sz w:val="20"/>
          <w:szCs w:val="20"/>
        </w:rPr>
        <w:t>may also increase</w:t>
      </w:r>
      <w:r w:rsidRPr="00D34FED">
        <w:rPr>
          <w:sz w:val="20"/>
          <w:szCs w:val="20"/>
        </w:rPr>
        <w:t xml:space="preserve"> </w:t>
      </w:r>
      <w:r>
        <w:rPr>
          <w:sz w:val="20"/>
          <w:szCs w:val="20"/>
        </w:rPr>
        <w:t xml:space="preserve">the soluble fraction of the </w:t>
      </w:r>
      <w:r w:rsidRPr="00D34FED">
        <w:rPr>
          <w:sz w:val="20"/>
          <w:szCs w:val="20"/>
        </w:rPr>
        <w:t>soil OM</w:t>
      </w:r>
      <w:r>
        <w:rPr>
          <w:sz w:val="20"/>
          <w:szCs w:val="20"/>
        </w:rPr>
        <w:t xml:space="preserve"> (i.e. DOM). Lead concentration in leachate may be increased due to an increased formation of soluble lead-DOM complex</w:t>
      </w:r>
      <w:r w:rsidRPr="00D34FED">
        <w:rPr>
          <w:sz w:val="20"/>
          <w:szCs w:val="20"/>
        </w:rPr>
        <w:t>.</w:t>
      </w:r>
      <w:r>
        <w:rPr>
          <w:sz w:val="20"/>
          <w:szCs w:val="20"/>
        </w:rPr>
        <w:t xml:space="preserve"> </w:t>
      </w:r>
      <w:r w:rsidRPr="00D34FED">
        <w:rPr>
          <w:sz w:val="20"/>
          <w:szCs w:val="20"/>
        </w:rPr>
        <w:t>In situ remediation method can be used to reduce the possibility of leaching of lead to groundwater.</w:t>
      </w:r>
      <w:r>
        <w:rPr>
          <w:sz w:val="20"/>
          <w:szCs w:val="20"/>
        </w:rPr>
        <w:t xml:space="preserve"> </w:t>
      </w:r>
      <w:r w:rsidRPr="005045F6">
        <w:rPr>
          <w:sz w:val="20"/>
          <w:szCs w:val="20"/>
          <w:lang w:val="en-AU"/>
        </w:rPr>
        <w:t xml:space="preserve">An immediate and economic </w:t>
      </w:r>
      <w:r w:rsidRPr="005045F6">
        <w:rPr>
          <w:sz w:val="20"/>
          <w:szCs w:val="20"/>
          <w:lang w:val="en-AU"/>
        </w:rPr>
        <w:lastRenderedPageBreak/>
        <w:t xml:space="preserve">solution to this problem is by artificially increasing </w:t>
      </w:r>
      <w:r>
        <w:rPr>
          <w:sz w:val="20"/>
          <w:szCs w:val="20"/>
          <w:lang w:val="en-AU"/>
        </w:rPr>
        <w:t xml:space="preserve">recalcitrant </w:t>
      </w:r>
      <w:r w:rsidRPr="005045F6">
        <w:rPr>
          <w:sz w:val="20"/>
          <w:szCs w:val="20"/>
          <w:lang w:val="en-AU"/>
        </w:rPr>
        <w:t xml:space="preserve">soil OM (i.e., activated carbon, biochar) to increase immobilization of soil Pb. </w:t>
      </w:r>
      <w:r>
        <w:rPr>
          <w:sz w:val="20"/>
          <w:szCs w:val="20"/>
        </w:rPr>
        <w:t>F</w:t>
      </w:r>
      <w:r w:rsidRPr="005045F6">
        <w:rPr>
          <w:sz w:val="20"/>
          <w:szCs w:val="20"/>
          <w:lang w:val="en-AU"/>
        </w:rPr>
        <w:t xml:space="preserve">urther study on the bore waters and air borne particles at the shooting range is warranted to understand the </w:t>
      </w:r>
      <w:r>
        <w:rPr>
          <w:sz w:val="20"/>
          <w:szCs w:val="20"/>
          <w:lang w:val="en-AU"/>
        </w:rPr>
        <w:t xml:space="preserve">actual </w:t>
      </w:r>
      <w:r w:rsidRPr="005045F6">
        <w:rPr>
          <w:sz w:val="20"/>
          <w:szCs w:val="20"/>
          <w:lang w:val="en-AU"/>
        </w:rPr>
        <w:t xml:space="preserve">migration and impact of soil Pb to </w:t>
      </w:r>
      <w:r>
        <w:rPr>
          <w:sz w:val="20"/>
          <w:szCs w:val="20"/>
          <w:lang w:val="en-AU"/>
        </w:rPr>
        <w:t>water resources</w:t>
      </w:r>
      <w:r w:rsidRPr="00D34FED">
        <w:rPr>
          <w:sz w:val="20"/>
          <w:szCs w:val="20"/>
        </w:rPr>
        <w:t xml:space="preserve">. </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06596C" w:rsidRDefault="0006596C" w:rsidP="0006596C">
      <w:pPr>
        <w:spacing w:after="0" w:line="240" w:lineRule="auto"/>
        <w:jc w:val="both"/>
        <w:rPr>
          <w:rFonts w:ascii="Times New Roman" w:eastAsiaTheme="minorHAnsi" w:hAnsi="Times New Roman"/>
          <w:sz w:val="20"/>
          <w:szCs w:val="20"/>
        </w:rPr>
      </w:pPr>
      <w:r w:rsidRPr="00AE4CF7">
        <w:rPr>
          <w:rFonts w:ascii="Times New Roman" w:eastAsiaTheme="minorHAnsi" w:hAnsi="Times New Roman"/>
          <w:sz w:val="20"/>
          <w:szCs w:val="20"/>
        </w:rPr>
        <w:t xml:space="preserve">The authors would like to thank the </w:t>
      </w:r>
      <w:r>
        <w:rPr>
          <w:rFonts w:ascii="Times New Roman" w:eastAsiaTheme="minorHAnsi" w:hAnsi="Times New Roman"/>
          <w:sz w:val="20"/>
          <w:szCs w:val="20"/>
        </w:rPr>
        <w:t xml:space="preserve">Ministry of Higher Education, Malaysia for financing this project under the Research Acculturation Collaborative Effort (RACE) Grant [600-RMI RACE 16/6/2 (2/2014)], and the </w:t>
      </w:r>
      <w:r w:rsidRPr="00AE4CF7">
        <w:rPr>
          <w:rFonts w:ascii="Times New Roman" w:eastAsiaTheme="minorHAnsi" w:hAnsi="Times New Roman"/>
          <w:sz w:val="20"/>
          <w:szCs w:val="20"/>
        </w:rPr>
        <w:t xml:space="preserve">Universiti Teknologi MARA for the </w:t>
      </w:r>
      <w:r>
        <w:rPr>
          <w:rFonts w:ascii="Times New Roman" w:eastAsiaTheme="minorHAnsi" w:hAnsi="Times New Roman"/>
          <w:sz w:val="20"/>
          <w:szCs w:val="20"/>
        </w:rPr>
        <w:t>financial assistance for participation in the SKAM28 conference</w:t>
      </w:r>
      <w:r w:rsidRPr="00AE4CF7">
        <w:rPr>
          <w:rFonts w:ascii="Times New Roman" w:eastAsiaTheme="minorHAnsi" w:hAnsi="Times New Roman"/>
          <w:sz w:val="20"/>
          <w:szCs w:val="20"/>
        </w:rPr>
        <w:t>.</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06596C" w:rsidRDefault="0006596C" w:rsidP="0006596C">
      <w:pPr>
        <w:pStyle w:val="EndNoteBibliography"/>
        <w:numPr>
          <w:ilvl w:val="0"/>
          <w:numId w:val="2"/>
        </w:numPr>
        <w:spacing w:after="0"/>
        <w:ind w:left="360" w:hanging="360"/>
        <w:jc w:val="both"/>
        <w:rPr>
          <w:sz w:val="20"/>
          <w:szCs w:val="20"/>
        </w:rPr>
      </w:pPr>
      <w:r w:rsidRPr="006300E2">
        <w:rPr>
          <w:sz w:val="20"/>
          <w:szCs w:val="20"/>
        </w:rPr>
        <w:fldChar w:fldCharType="begin"/>
      </w:r>
      <w:r w:rsidRPr="006300E2">
        <w:rPr>
          <w:sz w:val="20"/>
          <w:szCs w:val="20"/>
        </w:rPr>
        <w:instrText xml:space="preserve"> ADDIN EN.REFLIST </w:instrText>
      </w:r>
      <w:r w:rsidRPr="006300E2">
        <w:rPr>
          <w:sz w:val="20"/>
          <w:szCs w:val="20"/>
        </w:rPr>
        <w:fldChar w:fldCharType="end"/>
      </w:r>
      <w:r>
        <w:rPr>
          <w:sz w:val="20"/>
          <w:szCs w:val="20"/>
        </w:rPr>
        <w:t>Clausen, J., Bostick, B. and</w:t>
      </w:r>
      <w:r w:rsidRPr="006300E2">
        <w:rPr>
          <w:sz w:val="20"/>
          <w:szCs w:val="20"/>
        </w:rPr>
        <w:t xml:space="preserve"> Korte, N. (2011). Migration of lead in surface water, pore water, and groundwater with a focus on firing ranges</w:t>
      </w:r>
      <w:r w:rsidRPr="006300E2">
        <w:rPr>
          <w:i/>
          <w:sz w:val="20"/>
          <w:szCs w:val="20"/>
        </w:rPr>
        <w:t>.</w:t>
      </w:r>
      <w:r w:rsidRPr="006300E2">
        <w:rPr>
          <w:sz w:val="20"/>
          <w:szCs w:val="20"/>
        </w:rPr>
        <w:t xml:space="preserve"> </w:t>
      </w:r>
      <w:r w:rsidRPr="006300E2">
        <w:rPr>
          <w:i/>
          <w:sz w:val="20"/>
          <w:szCs w:val="20"/>
        </w:rPr>
        <w:t>Critical Reviews in Environmental Science and Technology</w:t>
      </w:r>
      <w:r w:rsidRPr="006300E2">
        <w:rPr>
          <w:sz w:val="20"/>
          <w:szCs w:val="20"/>
        </w:rPr>
        <w:t>, 41(15): 1397</w:t>
      </w:r>
      <w:r>
        <w:rPr>
          <w:sz w:val="20"/>
          <w:szCs w:val="20"/>
        </w:rPr>
        <w:t xml:space="preserve"> – </w:t>
      </w:r>
      <w:r w:rsidRPr="006300E2">
        <w:rPr>
          <w:sz w:val="20"/>
          <w:szCs w:val="20"/>
        </w:rPr>
        <w:t>1448.</w:t>
      </w:r>
    </w:p>
    <w:p w:rsidR="0006596C" w:rsidRDefault="0006596C" w:rsidP="0006596C">
      <w:pPr>
        <w:pStyle w:val="EndNoteBibliography"/>
        <w:numPr>
          <w:ilvl w:val="0"/>
          <w:numId w:val="2"/>
        </w:numPr>
        <w:spacing w:after="0"/>
        <w:ind w:left="360" w:hanging="360"/>
        <w:jc w:val="both"/>
        <w:rPr>
          <w:sz w:val="20"/>
          <w:szCs w:val="20"/>
        </w:rPr>
      </w:pPr>
      <w:r w:rsidRPr="000C6B67">
        <w:rPr>
          <w:sz w:val="20"/>
          <w:szCs w:val="20"/>
        </w:rPr>
        <w:t>Hardison Jr</w:t>
      </w:r>
      <w:r>
        <w:rPr>
          <w:sz w:val="20"/>
          <w:szCs w:val="20"/>
        </w:rPr>
        <w:t>, D. W., Ma, L. Q., Luongo, T. and</w:t>
      </w:r>
      <w:r w:rsidRPr="000C6B67">
        <w:rPr>
          <w:sz w:val="20"/>
          <w:szCs w:val="20"/>
        </w:rPr>
        <w:t xml:space="preserve"> Harris, W. G. (2004). Lead contamination in shooting range soils from abrasion of lead bullets and subsequent weathering</w:t>
      </w:r>
      <w:r w:rsidRPr="000C6B67">
        <w:rPr>
          <w:i/>
          <w:sz w:val="20"/>
          <w:szCs w:val="20"/>
        </w:rPr>
        <w:t>.</w:t>
      </w:r>
      <w:r w:rsidRPr="000C6B67">
        <w:rPr>
          <w:sz w:val="20"/>
          <w:szCs w:val="20"/>
        </w:rPr>
        <w:t xml:space="preserve"> </w:t>
      </w:r>
      <w:r w:rsidRPr="000C6B67">
        <w:rPr>
          <w:i/>
          <w:sz w:val="20"/>
          <w:szCs w:val="20"/>
        </w:rPr>
        <w:t>Science of the Total Environment</w:t>
      </w:r>
      <w:r w:rsidRPr="000C6B67">
        <w:rPr>
          <w:sz w:val="20"/>
          <w:szCs w:val="20"/>
        </w:rPr>
        <w:t>, 328(1–3): 175</w:t>
      </w:r>
      <w:r>
        <w:rPr>
          <w:sz w:val="20"/>
          <w:szCs w:val="20"/>
        </w:rPr>
        <w:t xml:space="preserve"> – </w:t>
      </w:r>
      <w:r w:rsidRPr="000C6B67">
        <w:rPr>
          <w:sz w:val="20"/>
          <w:szCs w:val="20"/>
        </w:rPr>
        <w:t>183.</w:t>
      </w:r>
    </w:p>
    <w:p w:rsidR="0006596C" w:rsidRDefault="0006596C" w:rsidP="0006596C">
      <w:pPr>
        <w:pStyle w:val="EndNoteBibliography"/>
        <w:numPr>
          <w:ilvl w:val="0"/>
          <w:numId w:val="2"/>
        </w:numPr>
        <w:spacing w:after="0"/>
        <w:ind w:left="360" w:hanging="360"/>
        <w:jc w:val="both"/>
        <w:rPr>
          <w:sz w:val="20"/>
          <w:szCs w:val="20"/>
        </w:rPr>
      </w:pPr>
      <w:r w:rsidRPr="000C6B67">
        <w:rPr>
          <w:sz w:val="20"/>
          <w:szCs w:val="20"/>
        </w:rPr>
        <w:t>Cao, X., Ma, L. Q.</w:t>
      </w:r>
      <w:r>
        <w:rPr>
          <w:sz w:val="20"/>
          <w:szCs w:val="20"/>
        </w:rPr>
        <w:t>, Chen, M., Hardison, D. W. and</w:t>
      </w:r>
      <w:r w:rsidRPr="000C6B67">
        <w:rPr>
          <w:sz w:val="20"/>
          <w:szCs w:val="20"/>
        </w:rPr>
        <w:t xml:space="preserve"> Harris, W. G. (2003). Lead transformation and distribution in the soils of shooting ranges in Florida, USA</w:t>
      </w:r>
      <w:r w:rsidRPr="000C6B67">
        <w:rPr>
          <w:i/>
          <w:sz w:val="20"/>
          <w:szCs w:val="20"/>
        </w:rPr>
        <w:t>.</w:t>
      </w:r>
      <w:r w:rsidRPr="000C6B67">
        <w:rPr>
          <w:sz w:val="20"/>
          <w:szCs w:val="20"/>
        </w:rPr>
        <w:t xml:space="preserve"> </w:t>
      </w:r>
      <w:r w:rsidRPr="000C6B67">
        <w:rPr>
          <w:i/>
          <w:sz w:val="20"/>
          <w:szCs w:val="20"/>
        </w:rPr>
        <w:t>Science of the Total Environment</w:t>
      </w:r>
      <w:r w:rsidRPr="000C6B67">
        <w:rPr>
          <w:sz w:val="20"/>
          <w:szCs w:val="20"/>
        </w:rPr>
        <w:t>, 307(1): 179</w:t>
      </w:r>
      <w:r>
        <w:rPr>
          <w:sz w:val="20"/>
          <w:szCs w:val="20"/>
        </w:rPr>
        <w:t xml:space="preserve"> – </w:t>
      </w:r>
      <w:r w:rsidRPr="000C6B67">
        <w:rPr>
          <w:sz w:val="20"/>
          <w:szCs w:val="20"/>
        </w:rPr>
        <w:t>189.</w:t>
      </w:r>
    </w:p>
    <w:p w:rsidR="0006596C" w:rsidRDefault="0006596C" w:rsidP="0006596C">
      <w:pPr>
        <w:pStyle w:val="EndNoteBibliography"/>
        <w:numPr>
          <w:ilvl w:val="0"/>
          <w:numId w:val="2"/>
        </w:numPr>
        <w:spacing w:after="0"/>
        <w:ind w:left="360" w:hanging="360"/>
        <w:jc w:val="both"/>
        <w:rPr>
          <w:sz w:val="20"/>
          <w:szCs w:val="20"/>
        </w:rPr>
      </w:pPr>
      <w:r>
        <w:rPr>
          <w:sz w:val="20"/>
          <w:szCs w:val="20"/>
        </w:rPr>
        <w:t>Sorvari, J., Antikainen, R. and</w:t>
      </w:r>
      <w:r w:rsidRPr="000C6B67">
        <w:rPr>
          <w:sz w:val="20"/>
          <w:szCs w:val="20"/>
        </w:rPr>
        <w:t xml:space="preserve"> Pyy, O. (2006). Environmental contamination at Finnish shooting ranges</w:t>
      </w:r>
      <w:r>
        <w:rPr>
          <w:sz w:val="20"/>
          <w:szCs w:val="20"/>
        </w:rPr>
        <w:t xml:space="preserve"> </w:t>
      </w:r>
      <w:r w:rsidRPr="000C6B67">
        <w:rPr>
          <w:sz w:val="20"/>
          <w:szCs w:val="20"/>
        </w:rPr>
        <w:t>the scope of the problem and management options</w:t>
      </w:r>
      <w:r w:rsidRPr="000C6B67">
        <w:rPr>
          <w:i/>
          <w:sz w:val="20"/>
          <w:szCs w:val="20"/>
        </w:rPr>
        <w:t>.</w:t>
      </w:r>
      <w:r w:rsidRPr="000C6B67">
        <w:rPr>
          <w:sz w:val="20"/>
          <w:szCs w:val="20"/>
        </w:rPr>
        <w:t xml:space="preserve"> </w:t>
      </w:r>
      <w:r w:rsidRPr="000C6B67">
        <w:rPr>
          <w:i/>
          <w:sz w:val="20"/>
          <w:szCs w:val="20"/>
        </w:rPr>
        <w:t>Science of the Total Environment</w:t>
      </w:r>
      <w:r w:rsidRPr="000C6B67">
        <w:rPr>
          <w:sz w:val="20"/>
          <w:szCs w:val="20"/>
        </w:rPr>
        <w:t>, 366(1): 21</w:t>
      </w:r>
      <w:r>
        <w:rPr>
          <w:sz w:val="20"/>
          <w:szCs w:val="20"/>
        </w:rPr>
        <w:t xml:space="preserve"> – </w:t>
      </w:r>
      <w:r w:rsidRPr="000C6B67">
        <w:rPr>
          <w:sz w:val="20"/>
          <w:szCs w:val="20"/>
        </w:rPr>
        <w:t>31.</w:t>
      </w:r>
    </w:p>
    <w:p w:rsidR="0006596C" w:rsidRDefault="0006596C" w:rsidP="0006596C">
      <w:pPr>
        <w:pStyle w:val="EndNoteBibliography"/>
        <w:numPr>
          <w:ilvl w:val="0"/>
          <w:numId w:val="2"/>
        </w:numPr>
        <w:spacing w:after="0"/>
        <w:ind w:left="360" w:hanging="360"/>
        <w:jc w:val="both"/>
        <w:rPr>
          <w:sz w:val="20"/>
          <w:szCs w:val="20"/>
        </w:rPr>
      </w:pPr>
      <w:r w:rsidRPr="000C6B67">
        <w:rPr>
          <w:sz w:val="20"/>
          <w:szCs w:val="20"/>
        </w:rPr>
        <w:t>Ayers</w:t>
      </w:r>
      <w:r>
        <w:rPr>
          <w:sz w:val="20"/>
          <w:szCs w:val="20"/>
        </w:rPr>
        <w:t>, G., Peng, L. C., Gillett, R. and</w:t>
      </w:r>
      <w:r w:rsidRPr="000C6B67">
        <w:rPr>
          <w:sz w:val="20"/>
          <w:szCs w:val="20"/>
        </w:rPr>
        <w:t xml:space="preserve"> Fook, L. S. (2002). Rainwater composition and acidity at five sites in Malaysia, in 1996</w:t>
      </w:r>
      <w:r w:rsidRPr="000C6B67">
        <w:rPr>
          <w:i/>
          <w:sz w:val="20"/>
          <w:szCs w:val="20"/>
        </w:rPr>
        <w:t>.</w:t>
      </w:r>
      <w:r w:rsidRPr="000C6B67">
        <w:rPr>
          <w:sz w:val="20"/>
          <w:szCs w:val="20"/>
        </w:rPr>
        <w:t xml:space="preserve"> </w:t>
      </w:r>
      <w:r w:rsidRPr="000C6B67">
        <w:rPr>
          <w:i/>
          <w:sz w:val="20"/>
          <w:szCs w:val="20"/>
        </w:rPr>
        <w:t>Water, Air, and Soil Pollution</w:t>
      </w:r>
      <w:r w:rsidRPr="000C6B67">
        <w:rPr>
          <w:sz w:val="20"/>
          <w:szCs w:val="20"/>
        </w:rPr>
        <w:t>, 133(1-4): 15</w:t>
      </w:r>
      <w:r>
        <w:rPr>
          <w:sz w:val="20"/>
          <w:szCs w:val="20"/>
        </w:rPr>
        <w:t xml:space="preserve"> – </w:t>
      </w:r>
      <w:r w:rsidRPr="000C6B67">
        <w:rPr>
          <w:sz w:val="20"/>
          <w:szCs w:val="20"/>
        </w:rPr>
        <w:t>30.</w:t>
      </w:r>
    </w:p>
    <w:p w:rsidR="0006596C" w:rsidRDefault="0006596C" w:rsidP="0006596C">
      <w:pPr>
        <w:pStyle w:val="EndNoteBibliography"/>
        <w:numPr>
          <w:ilvl w:val="0"/>
          <w:numId w:val="2"/>
        </w:numPr>
        <w:spacing w:after="0"/>
        <w:ind w:left="360" w:hanging="360"/>
        <w:jc w:val="both"/>
        <w:rPr>
          <w:sz w:val="20"/>
          <w:szCs w:val="20"/>
        </w:rPr>
      </w:pPr>
      <w:r>
        <w:rPr>
          <w:sz w:val="20"/>
          <w:szCs w:val="20"/>
        </w:rPr>
        <w:t>Asadu, C. L. A., Diels, J. and</w:t>
      </w:r>
      <w:r w:rsidRPr="000C6B67">
        <w:rPr>
          <w:sz w:val="20"/>
          <w:szCs w:val="20"/>
        </w:rPr>
        <w:t xml:space="preserve"> Vanlauwe, B. (1997). A comparison of the contributions of clay, silt, and organic matter to the effective CEC of soils of Subsaharian Africa</w:t>
      </w:r>
      <w:r w:rsidRPr="000C6B67">
        <w:rPr>
          <w:i/>
          <w:sz w:val="20"/>
          <w:szCs w:val="20"/>
        </w:rPr>
        <w:t>.</w:t>
      </w:r>
      <w:r w:rsidRPr="000C6B67">
        <w:rPr>
          <w:sz w:val="20"/>
          <w:szCs w:val="20"/>
        </w:rPr>
        <w:t xml:space="preserve"> </w:t>
      </w:r>
      <w:r w:rsidRPr="000C6B67">
        <w:rPr>
          <w:i/>
          <w:sz w:val="20"/>
          <w:szCs w:val="20"/>
        </w:rPr>
        <w:t>Soil Science</w:t>
      </w:r>
      <w:r w:rsidRPr="000C6B67">
        <w:rPr>
          <w:sz w:val="20"/>
          <w:szCs w:val="20"/>
        </w:rPr>
        <w:t>, 162(11): 785</w:t>
      </w:r>
      <w:r>
        <w:rPr>
          <w:sz w:val="20"/>
          <w:szCs w:val="20"/>
        </w:rPr>
        <w:t xml:space="preserve"> – </w:t>
      </w:r>
      <w:r w:rsidRPr="000C6B67">
        <w:rPr>
          <w:sz w:val="20"/>
          <w:szCs w:val="20"/>
        </w:rPr>
        <w:t>794.</w:t>
      </w:r>
    </w:p>
    <w:p w:rsidR="0006596C" w:rsidRDefault="0006596C" w:rsidP="0006596C">
      <w:pPr>
        <w:pStyle w:val="EndNoteBibliography"/>
        <w:numPr>
          <w:ilvl w:val="0"/>
          <w:numId w:val="2"/>
        </w:numPr>
        <w:spacing w:after="0"/>
        <w:ind w:left="360" w:hanging="360"/>
        <w:jc w:val="both"/>
        <w:rPr>
          <w:sz w:val="20"/>
          <w:szCs w:val="20"/>
        </w:rPr>
      </w:pPr>
      <w:r>
        <w:rPr>
          <w:sz w:val="20"/>
          <w:szCs w:val="20"/>
        </w:rPr>
        <w:t>Darling, C. T. R. and</w:t>
      </w:r>
      <w:r w:rsidRPr="000C6B67">
        <w:rPr>
          <w:sz w:val="20"/>
          <w:szCs w:val="20"/>
        </w:rPr>
        <w:t xml:space="preserve"> Thomas, V. G. (2003). The distribution of outdoor shooting ranges in Ontario and the potential for lead pollution of soil and water</w:t>
      </w:r>
      <w:r w:rsidRPr="000C6B67">
        <w:rPr>
          <w:i/>
          <w:sz w:val="20"/>
          <w:szCs w:val="20"/>
        </w:rPr>
        <w:t>.</w:t>
      </w:r>
      <w:r w:rsidRPr="000C6B67">
        <w:rPr>
          <w:sz w:val="20"/>
          <w:szCs w:val="20"/>
        </w:rPr>
        <w:t xml:space="preserve"> </w:t>
      </w:r>
      <w:r w:rsidRPr="000C6B67">
        <w:rPr>
          <w:i/>
          <w:sz w:val="20"/>
          <w:szCs w:val="20"/>
        </w:rPr>
        <w:t>Science of the Total Environment</w:t>
      </w:r>
      <w:r w:rsidRPr="000C6B67">
        <w:rPr>
          <w:sz w:val="20"/>
          <w:szCs w:val="20"/>
        </w:rPr>
        <w:t>, 313(1–3): 235</w:t>
      </w:r>
      <w:r>
        <w:rPr>
          <w:sz w:val="20"/>
          <w:szCs w:val="20"/>
        </w:rPr>
        <w:t xml:space="preserve"> – </w:t>
      </w:r>
      <w:r w:rsidRPr="000C6B67">
        <w:rPr>
          <w:sz w:val="20"/>
          <w:szCs w:val="20"/>
        </w:rPr>
        <w:t>243.</w:t>
      </w:r>
    </w:p>
    <w:p w:rsidR="0006596C" w:rsidRDefault="0006596C" w:rsidP="0006596C">
      <w:pPr>
        <w:pStyle w:val="EndNoteBibliography"/>
        <w:numPr>
          <w:ilvl w:val="0"/>
          <w:numId w:val="2"/>
        </w:numPr>
        <w:spacing w:after="0"/>
        <w:ind w:left="360" w:hanging="360"/>
        <w:jc w:val="both"/>
        <w:rPr>
          <w:sz w:val="20"/>
          <w:szCs w:val="20"/>
        </w:rPr>
      </w:pPr>
      <w:r w:rsidRPr="000C6B67">
        <w:rPr>
          <w:sz w:val="20"/>
          <w:szCs w:val="20"/>
        </w:rPr>
        <w:t xml:space="preserve">USEPA, </w:t>
      </w:r>
      <w:r>
        <w:rPr>
          <w:sz w:val="20"/>
          <w:szCs w:val="20"/>
        </w:rPr>
        <w:t xml:space="preserve">(2002). </w:t>
      </w:r>
      <w:r w:rsidRPr="000C6B67">
        <w:rPr>
          <w:sz w:val="20"/>
          <w:szCs w:val="20"/>
        </w:rPr>
        <w:t>Supplemental guidance for developing soil screening levels for superfund sites</w:t>
      </w:r>
      <w:r>
        <w:rPr>
          <w:sz w:val="20"/>
          <w:szCs w:val="20"/>
        </w:rPr>
        <w:t>.</w:t>
      </w:r>
      <w:r w:rsidRPr="000C6B67">
        <w:rPr>
          <w:sz w:val="20"/>
          <w:szCs w:val="20"/>
        </w:rPr>
        <w:t xml:space="preserve"> Office of Solid Waste and Emergency Response, USEPA: Washington, D.C.</w:t>
      </w:r>
    </w:p>
    <w:p w:rsidR="0006596C" w:rsidRDefault="0006596C" w:rsidP="0006596C">
      <w:pPr>
        <w:pStyle w:val="EndNoteBibliography"/>
        <w:numPr>
          <w:ilvl w:val="0"/>
          <w:numId w:val="2"/>
        </w:numPr>
        <w:spacing w:after="0"/>
        <w:ind w:left="360" w:hanging="360"/>
        <w:jc w:val="both"/>
        <w:rPr>
          <w:sz w:val="20"/>
          <w:szCs w:val="20"/>
        </w:rPr>
      </w:pPr>
      <w:r w:rsidRPr="000C6B67">
        <w:rPr>
          <w:sz w:val="20"/>
          <w:szCs w:val="20"/>
        </w:rPr>
        <w:t>D</w:t>
      </w:r>
      <w:r>
        <w:rPr>
          <w:sz w:val="20"/>
          <w:szCs w:val="20"/>
        </w:rPr>
        <w:t xml:space="preserve">epartment of </w:t>
      </w:r>
      <w:r w:rsidRPr="000C6B67">
        <w:rPr>
          <w:sz w:val="20"/>
          <w:szCs w:val="20"/>
        </w:rPr>
        <w:t>E</w:t>
      </w:r>
      <w:r>
        <w:rPr>
          <w:sz w:val="20"/>
          <w:szCs w:val="20"/>
        </w:rPr>
        <w:t>nvironment</w:t>
      </w:r>
      <w:r w:rsidRPr="000C6B67">
        <w:rPr>
          <w:sz w:val="20"/>
          <w:szCs w:val="20"/>
        </w:rPr>
        <w:t xml:space="preserve"> (2009). Environmental quality (control of pollution from solid waste transfer station and landfill) regulations</w:t>
      </w:r>
      <w:r w:rsidRPr="000C6B67">
        <w:rPr>
          <w:i/>
          <w:sz w:val="20"/>
          <w:szCs w:val="20"/>
        </w:rPr>
        <w:t>.</w:t>
      </w:r>
      <w:r w:rsidRPr="000C6B67">
        <w:rPr>
          <w:sz w:val="20"/>
          <w:szCs w:val="20"/>
        </w:rPr>
        <w:t xml:space="preserve"> </w:t>
      </w:r>
      <w:r w:rsidRPr="000C6B67">
        <w:rPr>
          <w:i/>
          <w:sz w:val="20"/>
          <w:szCs w:val="20"/>
        </w:rPr>
        <w:t>PU(A) 433</w:t>
      </w:r>
      <w:r w:rsidRPr="000C6B67">
        <w:rPr>
          <w:sz w:val="20"/>
          <w:szCs w:val="20"/>
        </w:rPr>
        <w:t>.</w:t>
      </w:r>
    </w:p>
    <w:p w:rsidR="0006596C" w:rsidRDefault="0006596C" w:rsidP="0006596C">
      <w:pPr>
        <w:pStyle w:val="EndNoteBibliography"/>
        <w:numPr>
          <w:ilvl w:val="0"/>
          <w:numId w:val="2"/>
        </w:numPr>
        <w:spacing w:after="0"/>
        <w:ind w:left="360" w:hanging="360"/>
        <w:jc w:val="both"/>
        <w:rPr>
          <w:sz w:val="20"/>
          <w:szCs w:val="20"/>
        </w:rPr>
      </w:pPr>
      <w:r>
        <w:rPr>
          <w:sz w:val="20"/>
          <w:szCs w:val="20"/>
        </w:rPr>
        <w:t>Sauvé, S., McBride, M. and</w:t>
      </w:r>
      <w:r w:rsidRPr="000C6B67">
        <w:rPr>
          <w:sz w:val="20"/>
          <w:szCs w:val="20"/>
        </w:rPr>
        <w:t xml:space="preserve"> Hendershot, W. (1998). Soil solution speciation </w:t>
      </w:r>
      <w:r>
        <w:rPr>
          <w:sz w:val="20"/>
          <w:szCs w:val="20"/>
        </w:rPr>
        <w:t>of lead(II): Effects of o</w:t>
      </w:r>
      <w:r w:rsidRPr="000C6B67">
        <w:rPr>
          <w:sz w:val="20"/>
          <w:szCs w:val="20"/>
        </w:rPr>
        <w:t>rganic matter and pH</w:t>
      </w:r>
      <w:r w:rsidRPr="000C6B67">
        <w:rPr>
          <w:i/>
          <w:sz w:val="20"/>
          <w:szCs w:val="20"/>
        </w:rPr>
        <w:t>.</w:t>
      </w:r>
      <w:r w:rsidRPr="000C6B67">
        <w:rPr>
          <w:sz w:val="20"/>
          <w:szCs w:val="20"/>
        </w:rPr>
        <w:t xml:space="preserve"> </w:t>
      </w:r>
      <w:r w:rsidRPr="000C6B67">
        <w:rPr>
          <w:i/>
          <w:sz w:val="20"/>
          <w:szCs w:val="20"/>
        </w:rPr>
        <w:t>Soil Science Society of America Journal</w:t>
      </w:r>
      <w:r w:rsidRPr="000C6B67">
        <w:rPr>
          <w:sz w:val="20"/>
          <w:szCs w:val="20"/>
        </w:rPr>
        <w:t>, 62(3): 618</w:t>
      </w:r>
      <w:r>
        <w:rPr>
          <w:sz w:val="20"/>
          <w:szCs w:val="20"/>
        </w:rPr>
        <w:t xml:space="preserve"> – </w:t>
      </w:r>
      <w:r w:rsidRPr="000C6B67">
        <w:rPr>
          <w:sz w:val="20"/>
          <w:szCs w:val="20"/>
        </w:rPr>
        <w:t>621.</w:t>
      </w:r>
    </w:p>
    <w:p w:rsidR="0006596C" w:rsidRDefault="0006596C" w:rsidP="0006596C">
      <w:pPr>
        <w:pStyle w:val="EndNoteBibliography"/>
        <w:numPr>
          <w:ilvl w:val="0"/>
          <w:numId w:val="2"/>
        </w:numPr>
        <w:spacing w:after="0"/>
        <w:ind w:left="360" w:hanging="360"/>
        <w:jc w:val="both"/>
        <w:rPr>
          <w:sz w:val="20"/>
          <w:szCs w:val="20"/>
        </w:rPr>
      </w:pPr>
      <w:r w:rsidRPr="000C6B67">
        <w:rPr>
          <w:sz w:val="20"/>
          <w:szCs w:val="20"/>
        </w:rPr>
        <w:t>Liang, B., Lehmann, J., Solomon, D., Kinyangi, J., Grossman, J., O'neill, B., Skjems</w:t>
      </w:r>
      <w:r>
        <w:rPr>
          <w:sz w:val="20"/>
          <w:szCs w:val="20"/>
        </w:rPr>
        <w:t>tad, J., Thies, J., Luizao, F. and</w:t>
      </w:r>
      <w:r w:rsidRPr="000C6B67">
        <w:rPr>
          <w:sz w:val="20"/>
          <w:szCs w:val="20"/>
        </w:rPr>
        <w:t xml:space="preserve"> Petersen, J. (2006). Black carbon increases cation exchange capacity in soils</w:t>
      </w:r>
      <w:r w:rsidRPr="000C6B67">
        <w:rPr>
          <w:i/>
          <w:sz w:val="20"/>
          <w:szCs w:val="20"/>
        </w:rPr>
        <w:t>.</w:t>
      </w:r>
      <w:r w:rsidRPr="000C6B67">
        <w:rPr>
          <w:sz w:val="20"/>
          <w:szCs w:val="20"/>
        </w:rPr>
        <w:t xml:space="preserve"> </w:t>
      </w:r>
      <w:r w:rsidRPr="000C6B67">
        <w:rPr>
          <w:i/>
          <w:sz w:val="20"/>
          <w:szCs w:val="20"/>
        </w:rPr>
        <w:t>Soil Science Society of America Journal</w:t>
      </w:r>
      <w:r w:rsidRPr="000C6B67">
        <w:rPr>
          <w:sz w:val="20"/>
          <w:szCs w:val="20"/>
        </w:rPr>
        <w:t>, 70(5): 1719</w:t>
      </w:r>
      <w:r>
        <w:rPr>
          <w:sz w:val="20"/>
          <w:szCs w:val="20"/>
        </w:rPr>
        <w:t xml:space="preserve"> – </w:t>
      </w:r>
      <w:r w:rsidRPr="000C6B67">
        <w:rPr>
          <w:sz w:val="20"/>
          <w:szCs w:val="20"/>
        </w:rPr>
        <w:t>1730.</w:t>
      </w:r>
    </w:p>
    <w:p w:rsidR="0006596C" w:rsidRPr="0006596C" w:rsidRDefault="0006596C" w:rsidP="0006596C">
      <w:pPr>
        <w:pStyle w:val="EndNoteBibliography"/>
        <w:numPr>
          <w:ilvl w:val="0"/>
          <w:numId w:val="2"/>
        </w:numPr>
        <w:spacing w:after="0"/>
        <w:ind w:left="360" w:hanging="360"/>
        <w:jc w:val="both"/>
        <w:rPr>
          <w:sz w:val="20"/>
          <w:szCs w:val="20"/>
        </w:rPr>
      </w:pPr>
      <w:r w:rsidRPr="000C6B67">
        <w:rPr>
          <w:sz w:val="20"/>
          <w:szCs w:val="20"/>
        </w:rPr>
        <w:t>Yon</w:t>
      </w:r>
      <w:r>
        <w:rPr>
          <w:sz w:val="20"/>
          <w:szCs w:val="20"/>
        </w:rPr>
        <w:t>g, S. K., Bolan, N., Lombi, E. and</w:t>
      </w:r>
      <w:r w:rsidRPr="000C6B67">
        <w:rPr>
          <w:sz w:val="20"/>
          <w:szCs w:val="20"/>
        </w:rPr>
        <w:t xml:space="preserve"> Skinner, W. (2015). Enhanced Zn(II) and Pb(II) removal from wastewater using thiolated chitosan beads (ETB)</w:t>
      </w:r>
      <w:r w:rsidRPr="000C6B67">
        <w:rPr>
          <w:i/>
          <w:sz w:val="20"/>
          <w:szCs w:val="20"/>
        </w:rPr>
        <w:t>.</w:t>
      </w:r>
      <w:r w:rsidRPr="000C6B67">
        <w:rPr>
          <w:sz w:val="20"/>
          <w:szCs w:val="20"/>
        </w:rPr>
        <w:t xml:space="preserve"> </w:t>
      </w:r>
      <w:r w:rsidRPr="000C6B67">
        <w:rPr>
          <w:i/>
          <w:sz w:val="20"/>
          <w:szCs w:val="20"/>
        </w:rPr>
        <w:t>Malaysian Journal of Analytical Sciences</w:t>
      </w:r>
      <w:r w:rsidRPr="000C6B67">
        <w:rPr>
          <w:sz w:val="20"/>
          <w:szCs w:val="20"/>
        </w:rPr>
        <w:t>, 19(3): 586</w:t>
      </w:r>
      <w:r>
        <w:rPr>
          <w:sz w:val="20"/>
          <w:szCs w:val="20"/>
        </w:rPr>
        <w:t xml:space="preserve"> – </w:t>
      </w:r>
      <w:r w:rsidRPr="0006596C">
        <w:rPr>
          <w:sz w:val="20"/>
          <w:szCs w:val="20"/>
        </w:rPr>
        <w:t>594.</w:t>
      </w:r>
    </w:p>
    <w:p w:rsidR="0006596C" w:rsidRDefault="0006596C" w:rsidP="0006596C">
      <w:pPr>
        <w:pStyle w:val="EndNoteBibliography"/>
        <w:numPr>
          <w:ilvl w:val="0"/>
          <w:numId w:val="2"/>
        </w:numPr>
        <w:spacing w:after="0"/>
        <w:ind w:left="360" w:hanging="360"/>
        <w:jc w:val="both"/>
        <w:rPr>
          <w:sz w:val="20"/>
          <w:szCs w:val="20"/>
        </w:rPr>
      </w:pPr>
      <w:r w:rsidRPr="006300E2">
        <w:rPr>
          <w:sz w:val="20"/>
          <w:szCs w:val="20"/>
        </w:rPr>
        <w:t>Liew, H. H., Tay,</w:t>
      </w:r>
      <w:r>
        <w:rPr>
          <w:sz w:val="20"/>
          <w:szCs w:val="20"/>
        </w:rPr>
        <w:t xml:space="preserve"> C. C., Yong, S. K., Surif, S. and</w:t>
      </w:r>
      <w:r w:rsidRPr="006300E2">
        <w:rPr>
          <w:sz w:val="20"/>
          <w:szCs w:val="20"/>
        </w:rPr>
        <w:t xml:space="preserve"> Abdul Talib, S. (2010). Biosorption characteristics of lead [Pb(II)] by Pleurotus ostreatus biomass. </w:t>
      </w:r>
      <w:r w:rsidRPr="006300E2">
        <w:rPr>
          <w:i/>
          <w:sz w:val="20"/>
          <w:szCs w:val="20"/>
        </w:rPr>
        <w:t xml:space="preserve">Proceedings of </w:t>
      </w:r>
      <w:r w:rsidRPr="006300E2">
        <w:rPr>
          <w:sz w:val="20"/>
          <w:szCs w:val="20"/>
        </w:rPr>
        <w:t xml:space="preserve"> </w:t>
      </w:r>
      <w:r w:rsidRPr="006300E2">
        <w:rPr>
          <w:i/>
          <w:sz w:val="20"/>
          <w:szCs w:val="20"/>
        </w:rPr>
        <w:t>International Conference on Science and Social Research (CSSR)</w:t>
      </w:r>
      <w:r w:rsidRPr="006300E2">
        <w:rPr>
          <w:sz w:val="20"/>
          <w:szCs w:val="20"/>
        </w:rPr>
        <w:t>. 2010. Kuala Lumpur.</w:t>
      </w:r>
    </w:p>
    <w:p w:rsidR="0006596C" w:rsidRPr="000C6B67" w:rsidRDefault="0006596C" w:rsidP="0006596C">
      <w:pPr>
        <w:pStyle w:val="EndNoteBibliography"/>
        <w:numPr>
          <w:ilvl w:val="0"/>
          <w:numId w:val="2"/>
        </w:numPr>
        <w:spacing w:after="0"/>
        <w:ind w:left="360" w:hanging="360"/>
        <w:jc w:val="both"/>
        <w:rPr>
          <w:sz w:val="20"/>
          <w:szCs w:val="20"/>
        </w:rPr>
      </w:pPr>
      <w:r w:rsidRPr="000C6B67">
        <w:rPr>
          <w:sz w:val="20"/>
          <w:szCs w:val="20"/>
        </w:rPr>
        <w:t>Makmom Ab</w:t>
      </w:r>
      <w:r>
        <w:rPr>
          <w:sz w:val="20"/>
          <w:szCs w:val="20"/>
        </w:rPr>
        <w:t>dullah, A., Armi Abu Samah, M. and</w:t>
      </w:r>
      <w:r w:rsidRPr="000C6B67">
        <w:rPr>
          <w:sz w:val="20"/>
          <w:szCs w:val="20"/>
        </w:rPr>
        <w:t xml:space="preserve"> Yee Jun, T. (2012). An overview of the air pollution trend in Klang Valley, Malaysia</w:t>
      </w:r>
      <w:r w:rsidRPr="000C6B67">
        <w:rPr>
          <w:i/>
          <w:sz w:val="20"/>
          <w:szCs w:val="20"/>
        </w:rPr>
        <w:t>.</w:t>
      </w:r>
      <w:r w:rsidRPr="000C6B67">
        <w:rPr>
          <w:sz w:val="20"/>
          <w:szCs w:val="20"/>
        </w:rPr>
        <w:t xml:space="preserve"> </w:t>
      </w:r>
      <w:r w:rsidRPr="000C6B67">
        <w:rPr>
          <w:i/>
          <w:sz w:val="20"/>
          <w:szCs w:val="20"/>
        </w:rPr>
        <w:t>Open Environmental Sciences</w:t>
      </w:r>
      <w:r w:rsidRPr="000C6B67">
        <w:rPr>
          <w:sz w:val="20"/>
          <w:szCs w:val="20"/>
        </w:rPr>
        <w:t>, 6(1): 13</w:t>
      </w:r>
      <w:r>
        <w:rPr>
          <w:sz w:val="20"/>
          <w:szCs w:val="20"/>
        </w:rPr>
        <w:t xml:space="preserve"> – </w:t>
      </w:r>
      <w:r w:rsidRPr="000C6B67">
        <w:rPr>
          <w:sz w:val="20"/>
          <w:szCs w:val="20"/>
        </w:rPr>
        <w:t>19.</w:t>
      </w:r>
    </w:p>
    <w:p w:rsidR="00A74A7E" w:rsidRPr="007A738C" w:rsidRDefault="00A74A7E" w:rsidP="0006596C">
      <w:pPr>
        <w:spacing w:after="0" w:line="240" w:lineRule="auto"/>
        <w:jc w:val="both"/>
        <w:rPr>
          <w:rFonts w:ascii="Times New Roman" w:hAnsi="Times New Roman"/>
          <w:noProof/>
          <w:lang w:bidi="ar-SA"/>
        </w:rPr>
      </w:pPr>
    </w:p>
    <w:sectPr w:rsidR="00A74A7E" w:rsidRPr="007A738C" w:rsidSect="00803142">
      <w:headerReference w:type="even" r:id="rId21"/>
      <w:headerReference w:type="default" r:id="rId22"/>
      <w:footerReference w:type="even" r:id="rId23"/>
      <w:footerReference w:type="default" r:id="rId24"/>
      <w:pgSz w:w="12240" w:h="15840" w:code="1"/>
      <w:pgMar w:top="1800" w:right="1469" w:bottom="1699" w:left="1440" w:header="706" w:footer="706" w:gutter="0"/>
      <w:pgNumType w:start="106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4E4644">
          <w:rPr>
            <w:rFonts w:ascii="Times New Roman" w:hAnsi="Times New Roman"/>
            <w:noProof/>
          </w:rPr>
          <w:t>1072</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4E4644">
          <w:rPr>
            <w:rFonts w:ascii="Times New Roman" w:hAnsi="Times New Roman"/>
            <w:noProof/>
          </w:rPr>
          <w:t>1071</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373A9B">
      <w:rPr>
        <w:rFonts w:ascii="Times New Roman" w:hAnsi="Times New Roman"/>
        <w:i/>
        <w:lang w:val="en-US"/>
      </w:rPr>
      <w:t>20</w:t>
    </w:r>
    <w:r w:rsidR="00CF05FF">
      <w:rPr>
        <w:rFonts w:ascii="Times New Roman" w:hAnsi="Times New Roman"/>
        <w:i/>
      </w:rPr>
      <w:t xml:space="preserve"> </w:t>
    </w:r>
    <w:r w:rsidR="00F202C3">
      <w:rPr>
        <w:rFonts w:ascii="Times New Roman" w:hAnsi="Times New Roman"/>
        <w:i/>
        <w:lang w:val="en-US"/>
      </w:rPr>
      <w:t>No 5</w:t>
    </w:r>
    <w:r w:rsidR="00B25B65">
      <w:rPr>
        <w:rFonts w:ascii="Times New Roman" w:hAnsi="Times New Roman"/>
        <w:i/>
      </w:rPr>
      <w:t xml:space="preserve"> (201</w:t>
    </w:r>
    <w:r w:rsidR="00373A9B">
      <w:rPr>
        <w:rFonts w:ascii="Times New Roman" w:hAnsi="Times New Roman"/>
        <w:i/>
        <w:lang w:val="en-US"/>
      </w:rPr>
      <w:t>6</w:t>
    </w:r>
    <w:r w:rsidRPr="00D75B35">
      <w:rPr>
        <w:rFonts w:ascii="Times New Roman" w:hAnsi="Times New Roman"/>
        <w:i/>
      </w:rPr>
      <w:t xml:space="preserve">): </w:t>
    </w:r>
    <w:r w:rsidR="00F0465F">
      <w:rPr>
        <w:rFonts w:ascii="Times New Roman" w:hAnsi="Times New Roman"/>
        <w:i/>
        <w:lang w:val="en-US"/>
      </w:rPr>
      <w:t>1066</w:t>
    </w:r>
    <w:r w:rsidR="004B43FF">
      <w:rPr>
        <w:rFonts w:ascii="Times New Roman" w:hAnsi="Times New Roman"/>
        <w:i/>
        <w:lang w:val="en-US"/>
      </w:rPr>
      <w:t xml:space="preserve"> </w:t>
    </w:r>
    <w:r w:rsidR="00583C85">
      <w:rPr>
        <w:rFonts w:ascii="Times New Roman" w:hAnsi="Times New Roman"/>
        <w:i/>
        <w:lang w:val="en-US"/>
      </w:rPr>
      <w:t>-</w:t>
    </w:r>
    <w:r w:rsidR="00F0465F">
      <w:rPr>
        <w:rFonts w:ascii="Times New Roman" w:hAnsi="Times New Roman"/>
        <w:i/>
        <w:lang w:val="en-US"/>
      </w:rPr>
      <w:t xml:space="preserve"> 1072</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006EBC">
      <w:rPr>
        <w:rFonts w:ascii="Times New Roman" w:hAnsi="Times New Roman"/>
        <w:i/>
        <w:lang w:val="en-US"/>
      </w:rPr>
      <w:t>://dx</w:t>
    </w:r>
    <w:r w:rsidR="00F202C3">
      <w:rPr>
        <w:rFonts w:ascii="Times New Roman" w:hAnsi="Times New Roman"/>
        <w:i/>
        <w:lang w:val="en-US"/>
      </w:rPr>
      <w:t>.doi.org/10.17576/mjas-2016-2005</w:t>
    </w:r>
    <w:r w:rsidR="00F0465F">
      <w:rPr>
        <w:rFonts w:ascii="Times New Roman" w:hAnsi="Times New Roman"/>
        <w:i/>
        <w:lang w:val="en-US"/>
      </w:rPr>
      <w:t>-11</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887" w:rsidRPr="00D70887" w:rsidRDefault="007516C8" w:rsidP="00D70887">
    <w:pPr>
      <w:spacing w:after="0" w:line="240" w:lineRule="auto"/>
      <w:ind w:left="990" w:hanging="990"/>
      <w:rPr>
        <w:rFonts w:ascii="Times New Roman" w:hAnsi="Times New Roman"/>
        <w:caps/>
        <w:sz w:val="20"/>
        <w:szCs w:val="20"/>
      </w:rPr>
    </w:pPr>
    <w:r>
      <w:rPr>
        <w:rFonts w:ascii="Times New Roman" w:hAnsi="Times New Roman"/>
        <w:sz w:val="20"/>
        <w:szCs w:val="20"/>
      </w:rPr>
      <w:t>Yong</w:t>
    </w:r>
    <w:r w:rsidR="00D70887">
      <w:rPr>
        <w:rFonts w:ascii="Times New Roman" w:hAnsi="Times New Roman"/>
        <w:sz w:val="20"/>
        <w:szCs w:val="20"/>
      </w:rPr>
      <w:t xml:space="preserve"> et al</w:t>
    </w:r>
    <w:r w:rsidR="008E6968" w:rsidRPr="00D70887">
      <w:rPr>
        <w:rFonts w:ascii="Times New Roman" w:hAnsi="Times New Roman"/>
        <w:sz w:val="20"/>
        <w:szCs w:val="20"/>
      </w:rPr>
      <w:t xml:space="preserve">: </w:t>
    </w:r>
    <w:r w:rsidR="00D70887" w:rsidRPr="00D70887">
      <w:rPr>
        <w:rFonts w:ascii="Times New Roman" w:hAnsi="Times New Roman"/>
        <w:sz w:val="20"/>
        <w:szCs w:val="20"/>
      </w:rPr>
      <w:t xml:space="preserve"> </w:t>
    </w:r>
    <w:r w:rsidR="008E6968" w:rsidRPr="00D70887">
      <w:rPr>
        <w:rFonts w:ascii="Times New Roman" w:hAnsi="Times New Roman"/>
        <w:sz w:val="20"/>
        <w:szCs w:val="20"/>
      </w:rPr>
      <w:t xml:space="preserve"> </w:t>
    </w:r>
    <w:r w:rsidR="00D70887" w:rsidRPr="00D70887">
      <w:rPr>
        <w:rFonts w:ascii="Times New Roman" w:hAnsi="Times New Roman"/>
        <w:caps/>
        <w:sz w:val="20"/>
        <w:szCs w:val="20"/>
      </w:rPr>
      <w:t xml:space="preserve">Effects of rain </w:t>
    </w:r>
    <w:r w:rsidR="00D70887" w:rsidRPr="00D70887">
      <w:rPr>
        <w:rFonts w:ascii="Times New Roman" w:hAnsi="Times New Roman"/>
        <w:sz w:val="20"/>
        <w:szCs w:val="20"/>
      </w:rPr>
      <w:t>p</w:t>
    </w:r>
    <w:r w:rsidR="00D70887" w:rsidRPr="00D70887">
      <w:rPr>
        <w:rFonts w:ascii="Times New Roman" w:hAnsi="Times New Roman"/>
        <w:caps/>
        <w:sz w:val="20"/>
        <w:szCs w:val="20"/>
      </w:rPr>
      <w:t>H, soil organic matter, cation exchange capacity and total lead content in shooting range soil on the concentration of lead in leachate</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41745"/>
    <w:multiLevelType w:val="hybridMultilevel"/>
    <w:tmpl w:val="EEB8B3E6"/>
    <w:lvl w:ilvl="0" w:tplc="537400F0">
      <w:start w:val="1"/>
      <w:numFmt w:val="decimal"/>
      <w:lvlText w:val="%1."/>
      <w:lvlJc w:val="left"/>
      <w:pPr>
        <w:ind w:left="924" w:hanging="5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41531"/>
    <w:rsid w:val="0006596C"/>
    <w:rsid w:val="00084936"/>
    <w:rsid w:val="000C49FF"/>
    <w:rsid w:val="000E5AF1"/>
    <w:rsid w:val="000F07FF"/>
    <w:rsid w:val="000F77DA"/>
    <w:rsid w:val="001068E8"/>
    <w:rsid w:val="00114428"/>
    <w:rsid w:val="00117BCD"/>
    <w:rsid w:val="00162C40"/>
    <w:rsid w:val="001D035A"/>
    <w:rsid w:val="001D3855"/>
    <w:rsid w:val="001D6F2C"/>
    <w:rsid w:val="00221D39"/>
    <w:rsid w:val="00264C64"/>
    <w:rsid w:val="002B188F"/>
    <w:rsid w:val="002B3BD8"/>
    <w:rsid w:val="002F3F91"/>
    <w:rsid w:val="00304767"/>
    <w:rsid w:val="00304B34"/>
    <w:rsid w:val="00361BAF"/>
    <w:rsid w:val="00367D1F"/>
    <w:rsid w:val="00373A9B"/>
    <w:rsid w:val="00383F26"/>
    <w:rsid w:val="003D585B"/>
    <w:rsid w:val="003E7DA6"/>
    <w:rsid w:val="003F12FF"/>
    <w:rsid w:val="004760D4"/>
    <w:rsid w:val="00483280"/>
    <w:rsid w:val="00494C46"/>
    <w:rsid w:val="004B43FF"/>
    <w:rsid w:val="004E4644"/>
    <w:rsid w:val="00502641"/>
    <w:rsid w:val="0053607B"/>
    <w:rsid w:val="00545363"/>
    <w:rsid w:val="00556E04"/>
    <w:rsid w:val="00583C85"/>
    <w:rsid w:val="005C6768"/>
    <w:rsid w:val="00606FBE"/>
    <w:rsid w:val="00634C25"/>
    <w:rsid w:val="006416AB"/>
    <w:rsid w:val="006768E9"/>
    <w:rsid w:val="00687982"/>
    <w:rsid w:val="00695D0E"/>
    <w:rsid w:val="006A3A0F"/>
    <w:rsid w:val="006B3EC8"/>
    <w:rsid w:val="006D695E"/>
    <w:rsid w:val="00725A6A"/>
    <w:rsid w:val="00730CB3"/>
    <w:rsid w:val="007516C8"/>
    <w:rsid w:val="007943F3"/>
    <w:rsid w:val="007A738C"/>
    <w:rsid w:val="007B1349"/>
    <w:rsid w:val="007E25BD"/>
    <w:rsid w:val="007F2B0C"/>
    <w:rsid w:val="00801E18"/>
    <w:rsid w:val="00802C35"/>
    <w:rsid w:val="00803142"/>
    <w:rsid w:val="0082181A"/>
    <w:rsid w:val="008B470E"/>
    <w:rsid w:val="008C14D6"/>
    <w:rsid w:val="008E1211"/>
    <w:rsid w:val="008E5BBF"/>
    <w:rsid w:val="008E6968"/>
    <w:rsid w:val="008F160B"/>
    <w:rsid w:val="00A14DB9"/>
    <w:rsid w:val="00A4762A"/>
    <w:rsid w:val="00A74A7E"/>
    <w:rsid w:val="00AC296C"/>
    <w:rsid w:val="00AD1B8A"/>
    <w:rsid w:val="00AE713F"/>
    <w:rsid w:val="00B1121C"/>
    <w:rsid w:val="00B25B65"/>
    <w:rsid w:val="00B2770A"/>
    <w:rsid w:val="00B314AD"/>
    <w:rsid w:val="00B34DE6"/>
    <w:rsid w:val="00B75BF6"/>
    <w:rsid w:val="00BA1F7B"/>
    <w:rsid w:val="00BB58AF"/>
    <w:rsid w:val="00BE7C30"/>
    <w:rsid w:val="00C055BF"/>
    <w:rsid w:val="00C0756D"/>
    <w:rsid w:val="00C2226A"/>
    <w:rsid w:val="00C94D92"/>
    <w:rsid w:val="00C97340"/>
    <w:rsid w:val="00CA513F"/>
    <w:rsid w:val="00CF05FF"/>
    <w:rsid w:val="00D340BB"/>
    <w:rsid w:val="00D505D5"/>
    <w:rsid w:val="00D63C28"/>
    <w:rsid w:val="00D65C2A"/>
    <w:rsid w:val="00D70887"/>
    <w:rsid w:val="00D75B35"/>
    <w:rsid w:val="00D76E09"/>
    <w:rsid w:val="00D9736F"/>
    <w:rsid w:val="00D9792A"/>
    <w:rsid w:val="00DD377F"/>
    <w:rsid w:val="00E25547"/>
    <w:rsid w:val="00E2773B"/>
    <w:rsid w:val="00E3287E"/>
    <w:rsid w:val="00E66197"/>
    <w:rsid w:val="00E82D91"/>
    <w:rsid w:val="00EA6446"/>
    <w:rsid w:val="00F0465F"/>
    <w:rsid w:val="00F202C3"/>
    <w:rsid w:val="00F31093"/>
    <w:rsid w:val="00F412AF"/>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HTMLPreformatted">
    <w:name w:val="HTML Preformatted"/>
    <w:basedOn w:val="Normal"/>
    <w:link w:val="HTMLPreformattedChar"/>
    <w:uiPriority w:val="99"/>
    <w:unhideWhenUsed/>
    <w:rsid w:val="00D70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MY" w:eastAsia="en-MY" w:bidi="ar-SA"/>
    </w:rPr>
  </w:style>
  <w:style w:type="character" w:customStyle="1" w:styleId="HTMLPreformattedChar">
    <w:name w:val="HTML Preformatted Char"/>
    <w:basedOn w:val="DefaultParagraphFont"/>
    <w:link w:val="HTMLPreformatted"/>
    <w:uiPriority w:val="99"/>
    <w:rsid w:val="00D70887"/>
    <w:rPr>
      <w:rFonts w:ascii="Courier New" w:eastAsia="Times New Roman" w:hAnsi="Courier New" w:cs="Courier New"/>
      <w:lang w:val="en-MY" w:eastAsia="en-MY"/>
    </w:rPr>
  </w:style>
  <w:style w:type="paragraph" w:customStyle="1" w:styleId="Default">
    <w:name w:val="Default"/>
    <w:rsid w:val="00D70887"/>
    <w:pPr>
      <w:autoSpaceDE w:val="0"/>
      <w:autoSpaceDN w:val="0"/>
      <w:adjustRightInd w:val="0"/>
    </w:pPr>
    <w:rPr>
      <w:rFonts w:ascii="Times New Roman" w:eastAsiaTheme="minorHAnsi" w:hAnsi="Times New Roman"/>
      <w:color w:val="000000"/>
      <w:sz w:val="24"/>
      <w:szCs w:val="24"/>
      <w:lang w:val="en-MY"/>
    </w:rPr>
  </w:style>
  <w:style w:type="table" w:styleId="TableGrid">
    <w:name w:val="Table Grid"/>
    <w:basedOn w:val="TableNormal"/>
    <w:uiPriority w:val="59"/>
    <w:rsid w:val="00D70887"/>
    <w:rPr>
      <w:rFonts w:ascii="Calibri" w:hAnsi="Calibri"/>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06596C"/>
    <w:pPr>
      <w:spacing w:line="240" w:lineRule="auto"/>
    </w:pPr>
    <w:rPr>
      <w:rFonts w:ascii="Times New Roman" w:eastAsia="Calibri" w:hAnsi="Times New Roman"/>
      <w:noProof/>
      <w:sz w:val="18"/>
      <w:lang w:bidi="ar-SA"/>
    </w:rPr>
  </w:style>
  <w:style w:type="character" w:customStyle="1" w:styleId="EndNoteBibliographyChar">
    <w:name w:val="EndNote Bibliography Char"/>
    <w:basedOn w:val="DefaultParagraphFont"/>
    <w:link w:val="EndNoteBibliography"/>
    <w:rsid w:val="0006596C"/>
    <w:rPr>
      <w:rFonts w:ascii="Times New Roman" w:hAnsi="Times New Roman"/>
      <w:noProof/>
      <w:sz w:val="1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HTMLPreformatted">
    <w:name w:val="HTML Preformatted"/>
    <w:basedOn w:val="Normal"/>
    <w:link w:val="HTMLPreformattedChar"/>
    <w:uiPriority w:val="99"/>
    <w:unhideWhenUsed/>
    <w:rsid w:val="00D70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MY" w:eastAsia="en-MY" w:bidi="ar-SA"/>
    </w:rPr>
  </w:style>
  <w:style w:type="character" w:customStyle="1" w:styleId="HTMLPreformattedChar">
    <w:name w:val="HTML Preformatted Char"/>
    <w:basedOn w:val="DefaultParagraphFont"/>
    <w:link w:val="HTMLPreformatted"/>
    <w:uiPriority w:val="99"/>
    <w:rsid w:val="00D70887"/>
    <w:rPr>
      <w:rFonts w:ascii="Courier New" w:eastAsia="Times New Roman" w:hAnsi="Courier New" w:cs="Courier New"/>
      <w:lang w:val="en-MY" w:eastAsia="en-MY"/>
    </w:rPr>
  </w:style>
  <w:style w:type="paragraph" w:customStyle="1" w:styleId="Default">
    <w:name w:val="Default"/>
    <w:rsid w:val="00D70887"/>
    <w:pPr>
      <w:autoSpaceDE w:val="0"/>
      <w:autoSpaceDN w:val="0"/>
      <w:adjustRightInd w:val="0"/>
    </w:pPr>
    <w:rPr>
      <w:rFonts w:ascii="Times New Roman" w:eastAsiaTheme="minorHAnsi" w:hAnsi="Times New Roman"/>
      <w:color w:val="000000"/>
      <w:sz w:val="24"/>
      <w:szCs w:val="24"/>
      <w:lang w:val="en-MY"/>
    </w:rPr>
  </w:style>
  <w:style w:type="table" w:styleId="TableGrid">
    <w:name w:val="Table Grid"/>
    <w:basedOn w:val="TableNormal"/>
    <w:uiPriority w:val="59"/>
    <w:rsid w:val="00D70887"/>
    <w:rPr>
      <w:rFonts w:ascii="Calibri" w:hAnsi="Calibri"/>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06596C"/>
    <w:pPr>
      <w:spacing w:line="240" w:lineRule="auto"/>
    </w:pPr>
    <w:rPr>
      <w:rFonts w:ascii="Times New Roman" w:eastAsia="Calibri" w:hAnsi="Times New Roman"/>
      <w:noProof/>
      <w:sz w:val="18"/>
      <w:lang w:bidi="ar-SA"/>
    </w:rPr>
  </w:style>
  <w:style w:type="character" w:customStyle="1" w:styleId="EndNoteBibliographyChar">
    <w:name w:val="EndNote Bibliography Char"/>
    <w:basedOn w:val="DefaultParagraphFont"/>
    <w:link w:val="EndNoteBibliography"/>
    <w:rsid w:val="0006596C"/>
    <w:rPr>
      <w:rFonts w:ascii="Times New Roman" w:hAnsi="Times New Roman"/>
      <w:noProof/>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18" Type="http://schemas.openxmlformats.org/officeDocument/2006/relationships/image" Target="media/image8.w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oleObject" Target="embeddings/oleObject2.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oleObject" Target="embeddings/oleObject3.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wmf"/><Relationship Id="rId22"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v>Target (pH 7)</c:v>
          </c:tx>
          <c:spPr>
            <a:ln w="28575">
              <a:noFill/>
            </a:ln>
          </c:spPr>
          <c:marker>
            <c:symbol val="diamond"/>
            <c:size val="5"/>
          </c:marker>
          <c:errBars>
            <c:errDir val="y"/>
            <c:errBarType val="both"/>
            <c:errValType val="cust"/>
            <c:noEndCap val="0"/>
            <c:plus>
              <c:numRef>
                <c:f>Sheet1!$F$11:$F$13</c:f>
                <c:numCache>
                  <c:formatCode>General</c:formatCode>
                  <c:ptCount val="3"/>
                  <c:pt idx="0">
                    <c:v>17.260000000000002</c:v>
                  </c:pt>
                  <c:pt idx="1">
                    <c:v>7.843333333333339</c:v>
                  </c:pt>
                  <c:pt idx="2">
                    <c:v>3.0733333333333341</c:v>
                  </c:pt>
                </c:numCache>
              </c:numRef>
            </c:plus>
            <c:minus>
              <c:numRef>
                <c:f>Sheet1!$F$11:$F$13</c:f>
                <c:numCache>
                  <c:formatCode>General</c:formatCode>
                  <c:ptCount val="3"/>
                  <c:pt idx="0">
                    <c:v>17.260000000000002</c:v>
                  </c:pt>
                  <c:pt idx="1">
                    <c:v>7.843333333333339</c:v>
                  </c:pt>
                  <c:pt idx="2">
                    <c:v>3.0733333333333341</c:v>
                  </c:pt>
                </c:numCache>
              </c:numRef>
            </c:minus>
          </c:errBars>
          <c:xVal>
            <c:numRef>
              <c:f>Sheet1!$A$21:$A$23</c:f>
              <c:numCache>
                <c:formatCode>General</c:formatCode>
                <c:ptCount val="3"/>
                <c:pt idx="0">
                  <c:v>1</c:v>
                </c:pt>
                <c:pt idx="1">
                  <c:v>2</c:v>
                </c:pt>
                <c:pt idx="2">
                  <c:v>3</c:v>
                </c:pt>
              </c:numCache>
            </c:numRef>
          </c:xVal>
          <c:yVal>
            <c:numRef>
              <c:f>Sheet1!$F$11:$F$13</c:f>
              <c:numCache>
                <c:formatCode>0.0</c:formatCode>
                <c:ptCount val="3"/>
                <c:pt idx="0">
                  <c:v>17.260000000000002</c:v>
                </c:pt>
                <c:pt idx="1">
                  <c:v>7.843333333333339</c:v>
                </c:pt>
                <c:pt idx="2">
                  <c:v>3.0733333333333341</c:v>
                </c:pt>
              </c:numCache>
            </c:numRef>
          </c:yVal>
          <c:smooth val="0"/>
          <c:extLst xmlns:c16r2="http://schemas.microsoft.com/office/drawing/2015/06/chart">
            <c:ext xmlns:c16="http://schemas.microsoft.com/office/drawing/2014/chart" uri="{C3380CC4-5D6E-409C-BE32-E72D297353CC}">
              <c16:uniqueId val="{00000000-BAB1-4FAA-88D4-E502F84E9250}"/>
            </c:ext>
          </c:extLst>
        </c:ser>
        <c:ser>
          <c:idx val="1"/>
          <c:order val="1"/>
          <c:tx>
            <c:v>Target (pH 4)</c:v>
          </c:tx>
          <c:spPr>
            <a:ln w="28575">
              <a:noFill/>
            </a:ln>
          </c:spPr>
          <c:marker>
            <c:symbol val="square"/>
            <c:size val="5"/>
          </c:marker>
          <c:errBars>
            <c:errDir val="y"/>
            <c:errBarType val="both"/>
            <c:errValType val="cust"/>
            <c:noEndCap val="0"/>
            <c:plus>
              <c:numRef>
                <c:f>Sheet1!$G$14:$G$18</c:f>
                <c:numCache>
                  <c:formatCode>General</c:formatCode>
                  <c:ptCount val="3"/>
                  <c:pt idx="0">
                    <c:v>17.156678971564727</c:v>
                  </c:pt>
                  <c:pt idx="1">
                    <c:v>12.657781532849029</c:v>
                  </c:pt>
                  <c:pt idx="2">
                    <c:v>11.808362855761739</c:v>
                  </c:pt>
                </c:numCache>
              </c:numRef>
            </c:plus>
            <c:minus>
              <c:numRef>
                <c:f>Sheet1!$G$14:$G$18</c:f>
                <c:numCache>
                  <c:formatCode>General</c:formatCode>
                  <c:ptCount val="3"/>
                  <c:pt idx="0">
                    <c:v>17.156678971564727</c:v>
                  </c:pt>
                  <c:pt idx="1">
                    <c:v>12.657781532849029</c:v>
                  </c:pt>
                  <c:pt idx="2">
                    <c:v>11.808362855761739</c:v>
                  </c:pt>
                </c:numCache>
              </c:numRef>
            </c:minus>
          </c:errBars>
          <c:xVal>
            <c:numRef>
              <c:f>Sheet1!$A$21:$A$23</c:f>
              <c:numCache>
                <c:formatCode>General</c:formatCode>
                <c:ptCount val="3"/>
                <c:pt idx="0">
                  <c:v>1</c:v>
                </c:pt>
                <c:pt idx="1">
                  <c:v>2</c:v>
                </c:pt>
                <c:pt idx="2">
                  <c:v>3</c:v>
                </c:pt>
              </c:numCache>
            </c:numRef>
          </c:xVal>
          <c:yVal>
            <c:numRef>
              <c:f>Sheet1!$F$14:$F$18</c:f>
              <c:numCache>
                <c:formatCode>0.0</c:formatCode>
                <c:ptCount val="3"/>
                <c:pt idx="0">
                  <c:v>81.623333333333207</c:v>
                </c:pt>
                <c:pt idx="1">
                  <c:v>57.493333333333332</c:v>
                </c:pt>
                <c:pt idx="2">
                  <c:v>41.586666666666567</c:v>
                </c:pt>
              </c:numCache>
            </c:numRef>
          </c:yVal>
          <c:smooth val="0"/>
          <c:extLst xmlns:c16r2="http://schemas.microsoft.com/office/drawing/2015/06/chart">
            <c:ext xmlns:c16="http://schemas.microsoft.com/office/drawing/2014/chart" uri="{C3380CC4-5D6E-409C-BE32-E72D297353CC}">
              <c16:uniqueId val="{00000001-BAB1-4FAA-88D4-E502F84E9250}"/>
            </c:ext>
          </c:extLst>
        </c:ser>
        <c:ser>
          <c:idx val="2"/>
          <c:order val="2"/>
          <c:tx>
            <c:v>Baseline (pH 7)</c:v>
          </c:tx>
          <c:spPr>
            <a:ln w="28575">
              <a:noFill/>
            </a:ln>
          </c:spPr>
          <c:marker>
            <c:symbol val="triangle"/>
            <c:size val="5"/>
          </c:marker>
          <c:xVal>
            <c:numRef>
              <c:f>Sheet1!$A$21:$A$23</c:f>
              <c:numCache>
                <c:formatCode>General</c:formatCode>
                <c:ptCount val="3"/>
                <c:pt idx="0">
                  <c:v>1</c:v>
                </c:pt>
                <c:pt idx="1">
                  <c:v>2</c:v>
                </c:pt>
                <c:pt idx="2">
                  <c:v>3</c:v>
                </c:pt>
              </c:numCache>
            </c:numRef>
          </c:xVal>
          <c:yVal>
            <c:numRef>
              <c:f>Sheet1!$B$11:$B$13</c:f>
              <c:numCache>
                <c:formatCode>General</c:formatCode>
                <c:ptCount val="3"/>
                <c:pt idx="0">
                  <c:v>2.0000000000000011E-2</c:v>
                </c:pt>
                <c:pt idx="1">
                  <c:v>0</c:v>
                </c:pt>
                <c:pt idx="2">
                  <c:v>0</c:v>
                </c:pt>
              </c:numCache>
            </c:numRef>
          </c:yVal>
          <c:smooth val="0"/>
          <c:extLst xmlns:c16r2="http://schemas.microsoft.com/office/drawing/2015/06/chart">
            <c:ext xmlns:c16="http://schemas.microsoft.com/office/drawing/2014/chart" uri="{C3380CC4-5D6E-409C-BE32-E72D297353CC}">
              <c16:uniqueId val="{00000002-BAB1-4FAA-88D4-E502F84E9250}"/>
            </c:ext>
          </c:extLst>
        </c:ser>
        <c:ser>
          <c:idx val="3"/>
          <c:order val="3"/>
          <c:tx>
            <c:v>Baseline (pH 4)</c:v>
          </c:tx>
          <c:spPr>
            <a:ln w="28575">
              <a:noFill/>
            </a:ln>
          </c:spPr>
          <c:marker>
            <c:symbol val="x"/>
            <c:size val="5"/>
          </c:marker>
          <c:xVal>
            <c:numRef>
              <c:f>Sheet1!$A$21:$A$23</c:f>
              <c:numCache>
                <c:formatCode>General</c:formatCode>
                <c:ptCount val="3"/>
                <c:pt idx="0">
                  <c:v>1</c:v>
                </c:pt>
                <c:pt idx="1">
                  <c:v>2</c:v>
                </c:pt>
                <c:pt idx="2">
                  <c:v>3</c:v>
                </c:pt>
              </c:numCache>
            </c:numRef>
          </c:xVal>
          <c:yVal>
            <c:numRef>
              <c:f>Sheet1!$B$14:$B$18</c:f>
              <c:numCache>
                <c:formatCode>General</c:formatCode>
                <c:ptCount val="3"/>
                <c:pt idx="0">
                  <c:v>0.56000000000000005</c:v>
                </c:pt>
                <c:pt idx="1">
                  <c:v>0.21000000000000013</c:v>
                </c:pt>
                <c:pt idx="2">
                  <c:v>0.13</c:v>
                </c:pt>
              </c:numCache>
            </c:numRef>
          </c:yVal>
          <c:smooth val="0"/>
          <c:extLst xmlns:c16r2="http://schemas.microsoft.com/office/drawing/2015/06/chart">
            <c:ext xmlns:c16="http://schemas.microsoft.com/office/drawing/2014/chart" uri="{C3380CC4-5D6E-409C-BE32-E72D297353CC}">
              <c16:uniqueId val="{00000003-BAB1-4FAA-88D4-E502F84E9250}"/>
            </c:ext>
          </c:extLst>
        </c:ser>
        <c:dLbls>
          <c:showLegendKey val="0"/>
          <c:showVal val="0"/>
          <c:showCatName val="0"/>
          <c:showSerName val="0"/>
          <c:showPercent val="0"/>
          <c:showBubbleSize val="0"/>
        </c:dLbls>
        <c:axId val="35608832"/>
        <c:axId val="35611008"/>
      </c:scatterChart>
      <c:valAx>
        <c:axId val="35608832"/>
        <c:scaling>
          <c:orientation val="minMax"/>
          <c:max val="3"/>
          <c:min val="1"/>
        </c:scaling>
        <c:delete val="0"/>
        <c:axPos val="b"/>
        <c:title>
          <c:tx>
            <c:rich>
              <a:bodyPr/>
              <a:lstStyle/>
              <a:p>
                <a:pPr>
                  <a:defRPr sz="900" b="1"/>
                </a:pPr>
                <a:r>
                  <a:rPr lang="en-MY" sz="900" b="1"/>
                  <a:t>Leachate fraction</a:t>
                </a:r>
              </a:p>
            </c:rich>
          </c:tx>
          <c:layout>
            <c:manualLayout>
              <c:xMode val="edge"/>
              <c:yMode val="edge"/>
              <c:x val="0.27103764279611164"/>
              <c:y val="0.84873181572259671"/>
            </c:manualLayout>
          </c:layout>
          <c:overlay val="0"/>
        </c:title>
        <c:numFmt formatCode="General" sourceLinked="0"/>
        <c:majorTickMark val="out"/>
        <c:minorTickMark val="none"/>
        <c:tickLblPos val="nextTo"/>
        <c:crossAx val="35611008"/>
        <c:crosses val="autoZero"/>
        <c:crossBetween val="midCat"/>
        <c:majorUnit val="1"/>
      </c:valAx>
      <c:valAx>
        <c:axId val="35611008"/>
        <c:scaling>
          <c:orientation val="minMax"/>
          <c:max val="100"/>
          <c:min val="0"/>
        </c:scaling>
        <c:delete val="0"/>
        <c:axPos val="l"/>
        <c:majorGridlines/>
        <c:title>
          <c:tx>
            <c:rich>
              <a:bodyPr rot="-5400000" vert="horz"/>
              <a:lstStyle/>
              <a:p>
                <a:pPr>
                  <a:defRPr sz="900"/>
                </a:pPr>
                <a:r>
                  <a:rPr lang="en-US" sz="900"/>
                  <a:t>Average leachate Pb (mg/L)</a:t>
                </a:r>
              </a:p>
            </c:rich>
          </c:tx>
          <c:layout>
            <c:manualLayout>
              <c:xMode val="edge"/>
              <c:yMode val="edge"/>
              <c:x val="3.110623513745283E-2"/>
              <c:y val="6.2928035158395901E-2"/>
            </c:manualLayout>
          </c:layout>
          <c:overlay val="0"/>
        </c:title>
        <c:numFmt formatCode="0" sourceLinked="0"/>
        <c:majorTickMark val="out"/>
        <c:minorTickMark val="none"/>
        <c:tickLblPos val="nextTo"/>
        <c:crossAx val="35608832"/>
        <c:crosses val="autoZero"/>
        <c:crossBetween val="midCat"/>
      </c:valAx>
    </c:plotArea>
    <c:legend>
      <c:legendPos val="r"/>
      <c:layout>
        <c:manualLayout>
          <c:xMode val="edge"/>
          <c:yMode val="edge"/>
          <c:x val="0.68970671477286838"/>
          <c:y val="5.3217911014135311E-2"/>
          <c:w val="0.26994881046064451"/>
          <c:h val="0.3714783526289881"/>
        </c:manualLayout>
      </c:layout>
      <c:overlay val="0"/>
      <c:txPr>
        <a:bodyPr/>
        <a:lstStyle/>
        <a:p>
          <a:pPr>
            <a:defRPr sz="800"/>
          </a:pPr>
          <a:endParaRPr lang="en-US"/>
        </a:p>
      </c:txPr>
    </c:legend>
    <c:plotVisOnly val="1"/>
    <c:dispBlanksAs val="gap"/>
    <c:showDLblsOverMax val="0"/>
  </c:chart>
  <c:spPr>
    <a:noFill/>
    <a:ln w="6350">
      <a:solidFill>
        <a:schemeClr val="tx1"/>
      </a:solidFill>
    </a:ln>
  </c:spPr>
  <c:txPr>
    <a:bodyPr/>
    <a:lstStyle/>
    <a:p>
      <a:pPr>
        <a:defRPr sz="10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460E8-ACA6-483C-9F38-7CBF6ABE8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3590</Words>
  <Characters>17965</Characters>
  <Application>Microsoft Office Word</Application>
  <DocSecurity>0</DocSecurity>
  <Lines>422</Lines>
  <Paragraphs>207</Paragraphs>
  <ScaleCrop>false</ScaleCrop>
  <HeadingPairs>
    <vt:vector size="2" baseType="variant">
      <vt:variant>
        <vt:lpstr>Title</vt:lpstr>
      </vt:variant>
      <vt:variant>
        <vt:i4>1</vt:i4>
      </vt:variant>
    </vt:vector>
  </HeadingPairs>
  <TitlesOfParts>
    <vt:vector size="1" baseType="lpstr">
      <vt:lpstr>MJAS Vol 20 No 5 (2016)</vt:lpstr>
    </vt:vector>
  </TitlesOfParts>
  <Company>UKM</Company>
  <LinksUpToDate>false</LinksUpToDate>
  <CharactersWithSpaces>21581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5 (2016)</dc:title>
  <dc:creator>Harun Hj Hamzah</dc:creator>
  <cp:lastModifiedBy>Harun Hamzah</cp:lastModifiedBy>
  <cp:revision>20</cp:revision>
  <cp:lastPrinted>2016-09-27T22:36:00Z</cp:lastPrinted>
  <dcterms:created xsi:type="dcterms:W3CDTF">2016-09-01T09:22:00Z</dcterms:created>
  <dcterms:modified xsi:type="dcterms:W3CDTF">2016-09-27T22:36:00Z</dcterms:modified>
</cp:coreProperties>
</file>