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DC6CB1" w:rsidRPr="00A17681" w:rsidRDefault="00DC6CB1" w:rsidP="00DC6CB1">
      <w:pPr>
        <w:adjustRightInd w:val="0"/>
        <w:spacing w:after="0" w:line="240" w:lineRule="auto"/>
        <w:jc w:val="center"/>
        <w:rPr>
          <w:rFonts w:ascii="Times New Roman" w:hAnsi="Times New Roman"/>
          <w:i/>
          <w:sz w:val="28"/>
          <w:szCs w:val="28"/>
        </w:rPr>
      </w:pPr>
      <w:r w:rsidRPr="00A17681">
        <w:rPr>
          <w:rFonts w:ascii="Times New Roman" w:hAnsi="Times New Roman"/>
          <w:sz w:val="28"/>
          <w:szCs w:val="28"/>
        </w:rPr>
        <w:t xml:space="preserve">PHYTOCHEMICAL SCREENING, TOTAL FLAVONOID AND PHENOLIC CONTENT ASSAYS OF VARIOUS SOLVENT EXTRACTS OF TEPAL OF </w:t>
      </w:r>
      <w:r>
        <w:rPr>
          <w:rFonts w:ascii="Times New Roman" w:hAnsi="Times New Roman"/>
          <w:i/>
          <w:sz w:val="28"/>
          <w:szCs w:val="28"/>
        </w:rPr>
        <w:t>Musa p</w:t>
      </w:r>
      <w:r w:rsidRPr="00A17681">
        <w:rPr>
          <w:rFonts w:ascii="Times New Roman" w:hAnsi="Times New Roman"/>
          <w:i/>
          <w:sz w:val="28"/>
          <w:szCs w:val="28"/>
        </w:rPr>
        <w:t>aradisiaca</w:t>
      </w:r>
    </w:p>
    <w:p w:rsidR="006768E9" w:rsidRPr="00F447A7" w:rsidRDefault="006768E9" w:rsidP="00DC6CB1">
      <w:pPr>
        <w:spacing w:after="0" w:line="240" w:lineRule="auto"/>
        <w:jc w:val="center"/>
        <w:rPr>
          <w:rFonts w:ascii="Times New Roman" w:hAnsi="Times New Roman"/>
          <w:noProof/>
          <w:sz w:val="24"/>
          <w:szCs w:val="24"/>
          <w:lang w:bidi="ar-SA"/>
        </w:rPr>
      </w:pPr>
    </w:p>
    <w:p w:rsidR="00DC6CB1" w:rsidRPr="00DC6CB1" w:rsidRDefault="00DC6CB1" w:rsidP="00DC6CB1">
      <w:pPr>
        <w:spacing w:after="0" w:line="240" w:lineRule="auto"/>
        <w:jc w:val="center"/>
        <w:rPr>
          <w:rFonts w:ascii="Times New Roman" w:hAnsi="Times New Roman"/>
          <w:sz w:val="24"/>
          <w:szCs w:val="24"/>
        </w:rPr>
      </w:pPr>
      <w:r w:rsidRPr="00A17681">
        <w:rPr>
          <w:rFonts w:ascii="Times New Roman" w:hAnsi="Times New Roman"/>
          <w:sz w:val="24"/>
          <w:szCs w:val="24"/>
        </w:rPr>
        <w:t xml:space="preserve">(Penyaringan Fitokimia, Jumlah Asai Kandungan Flavonoid dan Fenolik Pelbagai Ekstrak Pelarut Tepal </w:t>
      </w:r>
      <w:r>
        <w:rPr>
          <w:rFonts w:ascii="Times New Roman" w:hAnsi="Times New Roman"/>
          <w:i/>
          <w:sz w:val="24"/>
          <w:szCs w:val="24"/>
        </w:rPr>
        <w:t>Musa p</w:t>
      </w:r>
      <w:r w:rsidRPr="00A17681">
        <w:rPr>
          <w:rFonts w:ascii="Times New Roman" w:hAnsi="Times New Roman"/>
          <w:i/>
          <w:sz w:val="24"/>
          <w:szCs w:val="24"/>
        </w:rPr>
        <w:t>aradisiaca</w:t>
      </w:r>
      <w:r w:rsidRPr="00A17681">
        <w:rPr>
          <w:rFonts w:ascii="Times New Roman" w:hAnsi="Times New Roman"/>
          <w:sz w:val="24"/>
          <w:szCs w:val="24"/>
        </w:rPr>
        <w:t>)</w:t>
      </w:r>
    </w:p>
    <w:p w:rsidR="006768E9" w:rsidRPr="00F447A7" w:rsidRDefault="006768E9" w:rsidP="00DC6CB1">
      <w:pPr>
        <w:spacing w:after="0" w:line="240" w:lineRule="auto"/>
        <w:jc w:val="center"/>
        <w:rPr>
          <w:rFonts w:ascii="Times New Roman" w:hAnsi="Times New Roman"/>
          <w:noProof/>
          <w:sz w:val="20"/>
          <w:szCs w:val="20"/>
          <w:lang w:bidi="ar-SA"/>
        </w:rPr>
      </w:pPr>
    </w:p>
    <w:p w:rsidR="00DC6CB1" w:rsidRPr="00DC6CB1" w:rsidRDefault="00375AA0" w:rsidP="00DC6CB1">
      <w:pPr>
        <w:spacing w:after="0" w:line="240" w:lineRule="auto"/>
        <w:jc w:val="center"/>
        <w:rPr>
          <w:rFonts w:ascii="Times New Roman" w:eastAsia="E-BZ" w:hAnsi="Times New Roman"/>
          <w:sz w:val="20"/>
          <w:szCs w:val="20"/>
        </w:rPr>
      </w:pPr>
      <w:r w:rsidRPr="00DC6CB1">
        <w:rPr>
          <w:rFonts w:ascii="Times New Roman" w:eastAsia="E-BZ" w:hAnsi="Times New Roman"/>
          <w:sz w:val="20"/>
          <w:szCs w:val="20"/>
        </w:rPr>
        <w:t>U.S. Mahadeva Rao</w:t>
      </w:r>
      <w:r w:rsidRPr="00DC6CB1">
        <w:rPr>
          <w:rFonts w:ascii="Times New Roman" w:eastAsia="E-BZ" w:hAnsi="Times New Roman"/>
          <w:sz w:val="20"/>
          <w:szCs w:val="20"/>
          <w:vertAlign w:val="superscript"/>
        </w:rPr>
        <w:t>1</w:t>
      </w:r>
      <w:r>
        <w:rPr>
          <w:rFonts w:ascii="Times New Roman" w:eastAsia="E-BZ" w:hAnsi="Times New Roman"/>
          <w:sz w:val="20"/>
          <w:szCs w:val="20"/>
        </w:rPr>
        <w:t>*</w:t>
      </w:r>
      <w:r w:rsidRPr="00375AA0">
        <w:rPr>
          <w:rFonts w:ascii="Times New Roman" w:eastAsia="E-BZ" w:hAnsi="Times New Roman"/>
          <w:sz w:val="20"/>
          <w:szCs w:val="20"/>
        </w:rPr>
        <w:t xml:space="preserve">, </w:t>
      </w:r>
      <w:r w:rsidR="00DC6CB1" w:rsidRPr="00DC6CB1">
        <w:rPr>
          <w:rFonts w:ascii="Times New Roman" w:eastAsia="E-BZ" w:hAnsi="Times New Roman"/>
          <w:sz w:val="20"/>
          <w:szCs w:val="20"/>
        </w:rPr>
        <w:t>Muhammad Abdurrazak</w:t>
      </w:r>
      <w:r w:rsidR="00DC6CB1" w:rsidRPr="00DC6CB1">
        <w:rPr>
          <w:rFonts w:ascii="Times New Roman" w:eastAsia="E-BZ" w:hAnsi="Times New Roman"/>
          <w:sz w:val="20"/>
          <w:szCs w:val="20"/>
          <w:vertAlign w:val="superscript"/>
        </w:rPr>
        <w:t>1</w:t>
      </w:r>
      <w:r w:rsidR="00DC6CB1" w:rsidRPr="00DC6CB1">
        <w:rPr>
          <w:rFonts w:ascii="Times New Roman" w:eastAsia="E-BZ" w:hAnsi="Times New Roman"/>
          <w:sz w:val="20"/>
          <w:szCs w:val="20"/>
        </w:rPr>
        <w:t>,  Khamsah Suryati Mohd</w:t>
      </w:r>
      <w:r w:rsidR="00DC6CB1" w:rsidRPr="00DC6CB1">
        <w:rPr>
          <w:rFonts w:ascii="Times New Roman" w:eastAsia="E-BZ" w:hAnsi="Times New Roman"/>
          <w:sz w:val="20"/>
          <w:szCs w:val="20"/>
          <w:vertAlign w:val="superscript"/>
        </w:rPr>
        <w:t>2</w:t>
      </w:r>
    </w:p>
    <w:p w:rsidR="00DC6CB1" w:rsidRPr="00A17681" w:rsidRDefault="00DC6CB1" w:rsidP="00375AA0">
      <w:pPr>
        <w:spacing w:after="0" w:line="240" w:lineRule="auto"/>
        <w:rPr>
          <w:rFonts w:ascii="Times New Roman" w:eastAsia="E-BZ" w:hAnsi="Times New Roman"/>
          <w:szCs w:val="20"/>
        </w:rPr>
      </w:pPr>
    </w:p>
    <w:p w:rsidR="00DC6CB1" w:rsidRDefault="00DC6CB1" w:rsidP="00DC6CB1">
      <w:pPr>
        <w:spacing w:after="0" w:line="240" w:lineRule="auto"/>
        <w:jc w:val="center"/>
        <w:rPr>
          <w:rFonts w:ascii="Times New Roman" w:eastAsia="E-BZ" w:hAnsi="Times New Roman"/>
          <w:i/>
          <w:sz w:val="18"/>
          <w:szCs w:val="18"/>
        </w:rPr>
      </w:pPr>
      <w:r w:rsidRPr="00A17681">
        <w:rPr>
          <w:rFonts w:ascii="Times New Roman" w:eastAsia="E-BZ" w:hAnsi="Times New Roman"/>
          <w:i/>
          <w:sz w:val="18"/>
          <w:szCs w:val="18"/>
          <w:vertAlign w:val="superscript"/>
        </w:rPr>
        <w:t>1</w:t>
      </w:r>
      <w:r w:rsidRPr="00A17681">
        <w:rPr>
          <w:rFonts w:ascii="Times New Roman" w:eastAsia="E-BZ" w:hAnsi="Times New Roman"/>
          <w:i/>
          <w:sz w:val="18"/>
          <w:szCs w:val="18"/>
        </w:rPr>
        <w:t xml:space="preserve">Faculty of Medicine, </w:t>
      </w:r>
    </w:p>
    <w:p w:rsidR="00DC6CB1" w:rsidRPr="00A17681" w:rsidRDefault="00DC6CB1" w:rsidP="00DC6CB1">
      <w:pPr>
        <w:spacing w:after="0" w:line="240" w:lineRule="auto"/>
        <w:jc w:val="center"/>
        <w:rPr>
          <w:rFonts w:ascii="Times New Roman" w:eastAsia="E-BZ" w:hAnsi="Times New Roman"/>
          <w:i/>
          <w:sz w:val="18"/>
          <w:szCs w:val="18"/>
        </w:rPr>
      </w:pPr>
      <w:r w:rsidRPr="00A17681">
        <w:rPr>
          <w:rFonts w:ascii="Times New Roman" w:eastAsia="E-BZ" w:hAnsi="Times New Roman"/>
          <w:i/>
          <w:sz w:val="18"/>
          <w:szCs w:val="18"/>
        </w:rPr>
        <w:t>Universiti Sultan Zainal Abidin, Kota Campus, 20400 Kuala</w:t>
      </w:r>
      <w:r>
        <w:rPr>
          <w:rFonts w:ascii="Times New Roman" w:eastAsia="E-BZ" w:hAnsi="Times New Roman"/>
          <w:i/>
          <w:sz w:val="18"/>
          <w:szCs w:val="18"/>
        </w:rPr>
        <w:t xml:space="preserve"> Terenganu, Terenganu, Malaysia</w:t>
      </w:r>
    </w:p>
    <w:p w:rsidR="00DC6CB1" w:rsidRDefault="00DC6CB1" w:rsidP="00DC6CB1">
      <w:pPr>
        <w:spacing w:after="0" w:line="240" w:lineRule="auto"/>
        <w:jc w:val="center"/>
        <w:rPr>
          <w:rFonts w:ascii="Times New Roman" w:eastAsia="E-BZ" w:hAnsi="Times New Roman"/>
          <w:i/>
          <w:sz w:val="18"/>
          <w:szCs w:val="18"/>
        </w:rPr>
      </w:pPr>
      <w:r w:rsidRPr="00A17681">
        <w:rPr>
          <w:rFonts w:ascii="Times New Roman" w:eastAsia="E-BZ" w:hAnsi="Times New Roman"/>
          <w:i/>
          <w:sz w:val="18"/>
          <w:szCs w:val="18"/>
          <w:vertAlign w:val="superscript"/>
        </w:rPr>
        <w:t>2</w:t>
      </w:r>
      <w:r w:rsidRPr="00A17681">
        <w:rPr>
          <w:rFonts w:ascii="Times New Roman" w:eastAsia="E-BZ" w:hAnsi="Times New Roman"/>
          <w:i/>
          <w:sz w:val="18"/>
          <w:szCs w:val="18"/>
        </w:rPr>
        <w:t xml:space="preserve">Faculty of Bioresources and Food Industry, </w:t>
      </w:r>
    </w:p>
    <w:p w:rsidR="00DC6CB1" w:rsidRPr="00A17681" w:rsidRDefault="00DC6CB1" w:rsidP="00DC6CB1">
      <w:pPr>
        <w:spacing w:after="0" w:line="240" w:lineRule="auto"/>
        <w:jc w:val="center"/>
        <w:rPr>
          <w:rFonts w:ascii="Times New Roman" w:eastAsia="E-BZ" w:hAnsi="Times New Roman"/>
          <w:i/>
          <w:sz w:val="18"/>
          <w:szCs w:val="18"/>
        </w:rPr>
      </w:pPr>
      <w:r w:rsidRPr="00A17681">
        <w:rPr>
          <w:rFonts w:ascii="Times New Roman" w:eastAsia="E-BZ" w:hAnsi="Times New Roman"/>
          <w:i/>
          <w:sz w:val="18"/>
          <w:szCs w:val="18"/>
        </w:rPr>
        <w:t xml:space="preserve">Universiti Sultan Zainal Abidin, Tembila Campus, 22200 Besut, Terenganu, </w:t>
      </w:r>
      <w:r>
        <w:rPr>
          <w:rFonts w:ascii="Times New Roman" w:eastAsia="E-BZ" w:hAnsi="Times New Roman"/>
          <w:i/>
          <w:sz w:val="18"/>
          <w:szCs w:val="18"/>
        </w:rPr>
        <w:t>Malaysia</w:t>
      </w:r>
    </w:p>
    <w:p w:rsidR="006768E9" w:rsidRPr="00F447A7" w:rsidRDefault="006768E9" w:rsidP="00DC6CB1">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623DD4">
        <w:rPr>
          <w:rFonts w:ascii="Times New Roman" w:hAnsi="Times New Roman"/>
          <w:i/>
          <w:sz w:val="18"/>
          <w:szCs w:val="18"/>
        </w:rPr>
        <w:t>raousm</w:t>
      </w:r>
      <w:r w:rsidR="00DC6CB1" w:rsidRPr="00DC6CB1">
        <w:rPr>
          <w:rFonts w:ascii="Times New Roman" w:hAnsi="Times New Roman"/>
          <w:i/>
          <w:sz w:val="18"/>
          <w:szCs w:val="18"/>
        </w:rPr>
        <w:t>@gmail.com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D47D81">
        <w:rPr>
          <w:rFonts w:ascii="Times New Roman" w:hAnsi="Times New Roman"/>
          <w:noProof/>
          <w:sz w:val="18"/>
          <w:szCs w:val="18"/>
          <w:lang w:bidi="ar-SA"/>
        </w:rPr>
        <w:t>14 April 2015</w:t>
      </w:r>
      <w:r>
        <w:rPr>
          <w:rFonts w:ascii="Times New Roman" w:hAnsi="Times New Roman"/>
          <w:noProof/>
          <w:sz w:val="18"/>
          <w:szCs w:val="18"/>
          <w:lang w:bidi="ar-SA"/>
        </w:rPr>
        <w:t xml:space="preserve">; Accepted: </w:t>
      </w:r>
      <w:r w:rsidR="00D47D81">
        <w:rPr>
          <w:rFonts w:ascii="Times New Roman" w:hAnsi="Times New Roman"/>
          <w:noProof/>
          <w:sz w:val="18"/>
          <w:szCs w:val="18"/>
          <w:lang w:bidi="ar-SA"/>
        </w:rPr>
        <w:t>3 August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DC6CB1" w:rsidRPr="00A17681" w:rsidRDefault="00DC6CB1" w:rsidP="00DC6CB1">
      <w:pPr>
        <w:pStyle w:val="Default"/>
        <w:jc w:val="both"/>
        <w:rPr>
          <w:color w:val="auto"/>
          <w:sz w:val="18"/>
          <w:szCs w:val="18"/>
        </w:rPr>
      </w:pPr>
      <w:r w:rsidRPr="00A17681">
        <w:rPr>
          <w:rFonts w:ascii="Times New Roman" w:hAnsi="Times New Roman" w:cs="Times New Roman"/>
          <w:color w:val="auto"/>
          <w:sz w:val="18"/>
          <w:szCs w:val="18"/>
        </w:rPr>
        <w:t xml:space="preserve">The objective of this research is to conduct the preliminary phytochemical screening, total flavonoid and phenolic contents assays of various solvent extracts of tepal of </w:t>
      </w:r>
      <w:r w:rsidRPr="00A17681">
        <w:rPr>
          <w:rFonts w:ascii="Times New Roman" w:hAnsi="Times New Roman" w:cs="Times New Roman"/>
          <w:i/>
          <w:color w:val="auto"/>
          <w:sz w:val="18"/>
          <w:szCs w:val="18"/>
        </w:rPr>
        <w:t>Musa paradisiaca</w:t>
      </w:r>
      <w:r w:rsidRPr="00A17681">
        <w:rPr>
          <w:rFonts w:ascii="Times New Roman" w:hAnsi="Times New Roman" w:cs="Times New Roman"/>
          <w:color w:val="auto"/>
          <w:sz w:val="18"/>
          <w:szCs w:val="18"/>
        </w:rPr>
        <w:t xml:space="preserve">. Phytochemical screening was carried out according to the method of Trease and Evans, total flavonoid content was measured by the aluminium chloride colorimetric assay and total phenolic content was estimated spectrophotometrically by Folin-Ciocalteau method. </w:t>
      </w:r>
      <w:r w:rsidRPr="00A17681">
        <w:rPr>
          <w:rFonts w:ascii="Times New Roman" w:hAnsi="Times New Roman" w:cs="Times New Roman"/>
          <w:b/>
          <w:color w:val="auto"/>
          <w:sz w:val="18"/>
          <w:szCs w:val="18"/>
        </w:rPr>
        <w:t>-</w:t>
      </w:r>
      <w:r w:rsidRPr="00A17681">
        <w:rPr>
          <w:rFonts w:ascii="Times New Roman" w:hAnsi="Times New Roman" w:cs="Times New Roman"/>
          <w:color w:val="auto"/>
          <w:sz w:val="18"/>
          <w:szCs w:val="18"/>
        </w:rPr>
        <w:t xml:space="preserve"> Preliminary phytochemical screening reveals the presence of phenolics, flavonoids, alkaloids, tannins, terpenoids in all the three different extracts (methanolic, ethanolic and aqueous). Tepal methanolic extract has the richest content of both phenolics and flavonoids i.e. (4.27 mg GAE/g and 0.25 mg QE/g) respectively, and aqueous extract was the least i.e. (1.32 mg GAE/g and 0.164 mg QE/g). All the extracts were not significantly different with one another (p</w:t>
      </w:r>
      <w:r>
        <w:rPr>
          <w:rFonts w:ascii="Times New Roman" w:hAnsi="Times New Roman" w:cs="Times New Roman"/>
          <w:color w:val="auto"/>
          <w:sz w:val="18"/>
          <w:szCs w:val="18"/>
        </w:rPr>
        <w:t xml:space="preserve"> </w:t>
      </w:r>
      <w:r w:rsidRPr="00A17681">
        <w:rPr>
          <w:rFonts w:ascii="Times New Roman" w:hAnsi="Times New Roman" w:cs="Times New Roman"/>
          <w:color w:val="auto"/>
          <w:sz w:val="18"/>
          <w:szCs w:val="18"/>
        </w:rPr>
        <w:t>&gt;</w:t>
      </w:r>
      <w:r w:rsidR="001155F2">
        <w:rPr>
          <w:rFonts w:ascii="Times New Roman" w:hAnsi="Times New Roman" w:cs="Times New Roman"/>
          <w:color w:val="auto"/>
          <w:sz w:val="18"/>
          <w:szCs w:val="18"/>
        </w:rPr>
        <w:t xml:space="preserve"> </w:t>
      </w:r>
      <w:r w:rsidRPr="00A17681">
        <w:rPr>
          <w:rFonts w:ascii="Times New Roman" w:hAnsi="Times New Roman" w:cs="Times New Roman"/>
          <w:color w:val="auto"/>
          <w:sz w:val="18"/>
          <w:szCs w:val="18"/>
        </w:rPr>
        <w:t xml:space="preserve">0.05). It can be hypothesised that the high contents of phenolic compounds of tepals of </w:t>
      </w:r>
      <w:r w:rsidRPr="00A17681">
        <w:rPr>
          <w:rFonts w:ascii="Times New Roman" w:hAnsi="Times New Roman" w:cs="Times New Roman"/>
          <w:i/>
          <w:color w:val="auto"/>
          <w:sz w:val="18"/>
          <w:szCs w:val="18"/>
        </w:rPr>
        <w:t>Musa paradisiaca</w:t>
      </w:r>
      <w:r w:rsidRPr="00A17681">
        <w:rPr>
          <w:rFonts w:ascii="Times New Roman" w:hAnsi="Times New Roman" w:cs="Times New Roman"/>
          <w:color w:val="auto"/>
          <w:sz w:val="18"/>
          <w:szCs w:val="18"/>
        </w:rPr>
        <w:t xml:space="preserve"> indicated that these compounds contribute to the antioxidant activity and can be regarded as promising plant species for natural sources of radical scavenging activity with potential value for treatment of many life threatening diseases. </w:t>
      </w:r>
    </w:p>
    <w:p w:rsidR="00DC6CB1" w:rsidRPr="00A17681" w:rsidRDefault="00DC6CB1" w:rsidP="00DC6CB1">
      <w:pPr>
        <w:adjustRightInd w:val="0"/>
        <w:spacing w:after="0" w:line="240" w:lineRule="auto"/>
        <w:jc w:val="both"/>
        <w:rPr>
          <w:rFonts w:ascii="Times New Roman" w:hAnsi="Times New Roman"/>
          <w:b/>
          <w:sz w:val="18"/>
          <w:szCs w:val="18"/>
        </w:rPr>
      </w:pPr>
    </w:p>
    <w:p w:rsidR="00DC6CB1" w:rsidRPr="00A17681" w:rsidRDefault="00DC6CB1" w:rsidP="00DC6CB1">
      <w:pPr>
        <w:adjustRightInd w:val="0"/>
        <w:spacing w:after="0" w:line="240" w:lineRule="auto"/>
        <w:jc w:val="both"/>
        <w:rPr>
          <w:rFonts w:ascii="Times New Roman" w:hAnsi="Times New Roman"/>
          <w:i/>
          <w:sz w:val="18"/>
          <w:szCs w:val="18"/>
        </w:rPr>
      </w:pPr>
      <w:r w:rsidRPr="00A17681">
        <w:rPr>
          <w:rFonts w:ascii="Times New Roman" w:hAnsi="Times New Roman"/>
          <w:b/>
          <w:sz w:val="18"/>
          <w:szCs w:val="18"/>
        </w:rPr>
        <w:t xml:space="preserve">Keywords: </w:t>
      </w:r>
      <w:r>
        <w:rPr>
          <w:rFonts w:ascii="Times New Roman" w:hAnsi="Times New Roman"/>
          <w:sz w:val="18"/>
          <w:szCs w:val="18"/>
        </w:rPr>
        <w:t xml:space="preserve"> p</w:t>
      </w:r>
      <w:r w:rsidRPr="00A17681">
        <w:rPr>
          <w:rFonts w:ascii="Times New Roman" w:hAnsi="Times New Roman"/>
          <w:sz w:val="18"/>
          <w:szCs w:val="18"/>
        </w:rPr>
        <w:t xml:space="preserve">hytochemical, </w:t>
      </w:r>
      <w:r>
        <w:rPr>
          <w:rFonts w:ascii="Times New Roman" w:hAnsi="Times New Roman"/>
          <w:sz w:val="18"/>
          <w:szCs w:val="18"/>
        </w:rPr>
        <w:t>f</w:t>
      </w:r>
      <w:r w:rsidRPr="00A17681">
        <w:rPr>
          <w:rFonts w:ascii="Times New Roman" w:hAnsi="Times New Roman"/>
          <w:sz w:val="18"/>
          <w:szCs w:val="18"/>
        </w:rPr>
        <w:t xml:space="preserve">lavonoid, </w:t>
      </w:r>
      <w:r>
        <w:rPr>
          <w:rFonts w:ascii="Times New Roman" w:hAnsi="Times New Roman"/>
          <w:sz w:val="18"/>
          <w:szCs w:val="18"/>
        </w:rPr>
        <w:t>p</w:t>
      </w:r>
      <w:r w:rsidRPr="00A17681">
        <w:rPr>
          <w:rFonts w:ascii="Times New Roman" w:hAnsi="Times New Roman"/>
          <w:sz w:val="18"/>
          <w:szCs w:val="18"/>
        </w:rPr>
        <w:t xml:space="preserve">henolics, </w:t>
      </w:r>
      <w:r>
        <w:rPr>
          <w:rFonts w:ascii="Times New Roman" w:hAnsi="Times New Roman"/>
          <w:i/>
          <w:sz w:val="18"/>
          <w:szCs w:val="18"/>
        </w:rPr>
        <w:t>Musa paradisiaca</w:t>
      </w:r>
    </w:p>
    <w:p w:rsidR="00DC6CB1" w:rsidRPr="00A17681" w:rsidRDefault="00DC6CB1" w:rsidP="00DC6CB1">
      <w:pPr>
        <w:adjustRightInd w:val="0"/>
        <w:spacing w:after="0" w:line="240" w:lineRule="auto"/>
        <w:jc w:val="center"/>
        <w:rPr>
          <w:rFonts w:ascii="Times New Roman" w:hAnsi="Times New Roman"/>
          <w:sz w:val="18"/>
          <w:szCs w:val="18"/>
        </w:rPr>
      </w:pPr>
    </w:p>
    <w:p w:rsidR="00DC6CB1" w:rsidRPr="00A17681" w:rsidRDefault="00DC6CB1" w:rsidP="00DC6CB1">
      <w:pPr>
        <w:spacing w:after="0" w:line="240" w:lineRule="auto"/>
        <w:jc w:val="center"/>
        <w:rPr>
          <w:rFonts w:ascii="Times New Roman" w:hAnsi="Times New Roman"/>
          <w:b/>
          <w:sz w:val="18"/>
          <w:szCs w:val="18"/>
        </w:rPr>
      </w:pPr>
      <w:r w:rsidRPr="00A17681">
        <w:rPr>
          <w:rFonts w:ascii="Times New Roman" w:hAnsi="Times New Roman"/>
          <w:b/>
          <w:sz w:val="18"/>
          <w:szCs w:val="18"/>
        </w:rPr>
        <w:t>Abstrak</w:t>
      </w:r>
    </w:p>
    <w:p w:rsidR="00DC6CB1" w:rsidRPr="00A17681" w:rsidRDefault="00DC6CB1" w:rsidP="00DC6CB1">
      <w:pPr>
        <w:spacing w:after="0" w:line="240" w:lineRule="auto"/>
        <w:jc w:val="both"/>
        <w:rPr>
          <w:rFonts w:ascii="Times New Roman" w:hAnsi="Times New Roman"/>
          <w:sz w:val="18"/>
          <w:szCs w:val="18"/>
        </w:rPr>
      </w:pPr>
      <w:r w:rsidRPr="00A17681">
        <w:rPr>
          <w:rFonts w:ascii="Times New Roman" w:hAnsi="Times New Roman"/>
          <w:sz w:val="18"/>
          <w:szCs w:val="18"/>
        </w:rPr>
        <w:t>Objektif kajian ini adalah untuk menjalankan pemeriksaan awal ke</w:t>
      </w:r>
      <w:r>
        <w:rPr>
          <w:rFonts w:ascii="Times New Roman" w:hAnsi="Times New Roman"/>
          <w:sz w:val="18"/>
          <w:szCs w:val="18"/>
        </w:rPr>
        <w:t xml:space="preserve"> </w:t>
      </w:r>
      <w:r w:rsidRPr="00A17681">
        <w:rPr>
          <w:rFonts w:ascii="Times New Roman" w:hAnsi="Times New Roman"/>
          <w:sz w:val="18"/>
          <w:szCs w:val="18"/>
        </w:rPr>
        <w:t xml:space="preserve">atas ketulenan fitokimia, jumlah kandungan fenolik flavonoid dan pelbagai ekstrak pelarut tepal </w:t>
      </w:r>
      <w:r w:rsidRPr="00A17681">
        <w:rPr>
          <w:rFonts w:ascii="Times New Roman" w:hAnsi="Times New Roman"/>
          <w:i/>
          <w:sz w:val="18"/>
          <w:szCs w:val="18"/>
        </w:rPr>
        <w:t>Musa paradisiaca</w:t>
      </w:r>
      <w:r w:rsidRPr="00A17681">
        <w:rPr>
          <w:rFonts w:ascii="Times New Roman" w:hAnsi="Times New Roman"/>
          <w:b/>
          <w:i/>
          <w:sz w:val="18"/>
          <w:szCs w:val="18"/>
        </w:rPr>
        <w:t xml:space="preserve">. </w:t>
      </w:r>
      <w:r w:rsidRPr="00A17681">
        <w:rPr>
          <w:rFonts w:ascii="Times New Roman" w:hAnsi="Times New Roman"/>
          <w:sz w:val="18"/>
          <w:szCs w:val="18"/>
        </w:rPr>
        <w:t>Penyaringan fitokimia telah dilaksanakan mengikut kaedah Trease dan Evans, dimana jumlah kandungan flavonoid diukur oleh uj</w:t>
      </w:r>
      <w:r>
        <w:rPr>
          <w:rFonts w:ascii="Times New Roman" w:hAnsi="Times New Roman"/>
          <w:sz w:val="18"/>
          <w:szCs w:val="18"/>
        </w:rPr>
        <w:t>ian kalorimetrik aluminium klorida</w:t>
      </w:r>
      <w:r w:rsidRPr="00A17681">
        <w:rPr>
          <w:rFonts w:ascii="Times New Roman" w:hAnsi="Times New Roman"/>
          <w:sz w:val="18"/>
          <w:szCs w:val="18"/>
        </w:rPr>
        <w:t xml:space="preserve"> dan jumlah kandungan fenolik dianggarkan secara spektrofotometer dengan kaedah Folin-Ciocalteau. Penyaringan awal fitokimia menunjukkan kehadiran fenolik, flavonoid, alkaloid, tannin dan terpenoid dalam ketiga</w:t>
      </w:r>
      <w:r w:rsidR="001155F2">
        <w:rPr>
          <w:rFonts w:ascii="Times New Roman" w:hAnsi="Times New Roman"/>
          <w:sz w:val="18"/>
          <w:szCs w:val="18"/>
        </w:rPr>
        <w:t>-</w:t>
      </w:r>
      <w:r w:rsidRPr="00A17681">
        <w:rPr>
          <w:rFonts w:ascii="Times New Roman" w:hAnsi="Times New Roman"/>
          <w:sz w:val="18"/>
          <w:szCs w:val="18"/>
        </w:rPr>
        <w:t>tiga ek</w:t>
      </w:r>
      <w:r>
        <w:rPr>
          <w:rFonts w:ascii="Times New Roman" w:hAnsi="Times New Roman"/>
          <w:sz w:val="18"/>
          <w:szCs w:val="18"/>
        </w:rPr>
        <w:t>strak yang berbeza (metanol, et</w:t>
      </w:r>
      <w:r w:rsidRPr="00A17681">
        <w:rPr>
          <w:rFonts w:ascii="Times New Roman" w:hAnsi="Times New Roman"/>
          <w:sz w:val="18"/>
          <w:szCs w:val="18"/>
        </w:rPr>
        <w:t>anol dan akueus). Ekstrak metanol Tepal mempunyai kandungan yang paling tinggi di antara kedua-dua fenolik dan flavonoid iaitu se</w:t>
      </w:r>
      <w:r>
        <w:rPr>
          <w:rFonts w:ascii="Times New Roman" w:hAnsi="Times New Roman"/>
          <w:sz w:val="18"/>
          <w:szCs w:val="18"/>
        </w:rPr>
        <w:t>banyak 4.27 mg GAE/g dan 0.25 mg QE/</w:t>
      </w:r>
      <w:r w:rsidRPr="00A17681">
        <w:rPr>
          <w:rFonts w:ascii="Times New Roman" w:hAnsi="Times New Roman"/>
          <w:sz w:val="18"/>
          <w:szCs w:val="18"/>
        </w:rPr>
        <w:t>g, manakala ekstrak akueus adalah mempunyai kandungan tere</w:t>
      </w:r>
      <w:r>
        <w:rPr>
          <w:rFonts w:ascii="Times New Roman" w:hAnsi="Times New Roman"/>
          <w:sz w:val="18"/>
          <w:szCs w:val="18"/>
        </w:rPr>
        <w:t>ndah iaitu sebanyak 1.32 mg GAE/g dan 0,164 mg QE/</w:t>
      </w:r>
      <w:r w:rsidRPr="00A17681">
        <w:rPr>
          <w:rFonts w:ascii="Times New Roman" w:hAnsi="Times New Roman"/>
          <w:sz w:val="18"/>
          <w:szCs w:val="18"/>
        </w:rPr>
        <w:t>g. Semua ekstrak tidak berbeza secara ketara antara satu sama lain (p</w:t>
      </w:r>
      <w:r>
        <w:rPr>
          <w:rFonts w:ascii="Times New Roman" w:hAnsi="Times New Roman"/>
          <w:sz w:val="18"/>
          <w:szCs w:val="18"/>
        </w:rPr>
        <w:t xml:space="preserve"> &gt;</w:t>
      </w:r>
      <w:r w:rsidR="001155F2">
        <w:rPr>
          <w:rFonts w:ascii="Times New Roman" w:hAnsi="Times New Roman"/>
          <w:sz w:val="18"/>
          <w:szCs w:val="18"/>
        </w:rPr>
        <w:t xml:space="preserve"> </w:t>
      </w:r>
      <w:r w:rsidRPr="00A17681">
        <w:rPr>
          <w:rFonts w:ascii="Times New Roman" w:hAnsi="Times New Roman"/>
          <w:sz w:val="18"/>
          <w:szCs w:val="18"/>
        </w:rPr>
        <w:t xml:space="preserve">0.05). Oleh itu, hipotesis yang boleh dibuat adalah kandungan yang tinggi sebatian fenolik daripada tepal </w:t>
      </w:r>
      <w:r w:rsidRPr="00A17681">
        <w:rPr>
          <w:rFonts w:ascii="Times New Roman" w:hAnsi="Times New Roman"/>
          <w:i/>
          <w:sz w:val="18"/>
          <w:szCs w:val="18"/>
        </w:rPr>
        <w:t>Musa paradisiaca</w:t>
      </w:r>
      <w:r w:rsidRPr="00A17681">
        <w:rPr>
          <w:rFonts w:ascii="Times New Roman" w:hAnsi="Times New Roman"/>
          <w:sz w:val="18"/>
          <w:szCs w:val="18"/>
        </w:rPr>
        <w:t xml:space="preserve"> menyumbang kepada aktiviti antioksidan dan boleh dianggap sebagai spesies tumbuhan yang berpotensi untuk merawat pelbagai penyakit yang mengancam nyawa.</w:t>
      </w:r>
    </w:p>
    <w:p w:rsidR="00DC6CB1" w:rsidRDefault="00DC6CB1" w:rsidP="00DC6CB1">
      <w:pPr>
        <w:spacing w:after="0" w:line="240" w:lineRule="auto"/>
        <w:jc w:val="both"/>
        <w:rPr>
          <w:rFonts w:ascii="Times New Roman" w:hAnsi="Times New Roman"/>
          <w:b/>
          <w:sz w:val="18"/>
          <w:szCs w:val="18"/>
        </w:rPr>
      </w:pPr>
    </w:p>
    <w:p w:rsidR="00DC6CB1" w:rsidRPr="00DC6CB1" w:rsidRDefault="00DC6CB1" w:rsidP="00DC6CB1">
      <w:pPr>
        <w:adjustRightInd w:val="0"/>
        <w:spacing w:after="0" w:line="240" w:lineRule="auto"/>
        <w:jc w:val="both"/>
        <w:rPr>
          <w:rFonts w:ascii="Times New Roman" w:hAnsi="Times New Roman"/>
          <w:i/>
          <w:sz w:val="18"/>
          <w:szCs w:val="18"/>
        </w:rPr>
      </w:pPr>
      <w:r w:rsidRPr="00A17681">
        <w:rPr>
          <w:rFonts w:ascii="Times New Roman" w:hAnsi="Times New Roman"/>
          <w:b/>
          <w:sz w:val="18"/>
          <w:szCs w:val="18"/>
        </w:rPr>
        <w:t>Kata kunci</w:t>
      </w:r>
      <w:r w:rsidRPr="00A17681">
        <w:rPr>
          <w:rFonts w:ascii="Times New Roman" w:hAnsi="Times New Roman"/>
          <w:sz w:val="18"/>
          <w:szCs w:val="18"/>
        </w:rPr>
        <w:t xml:space="preserve">: </w:t>
      </w:r>
      <w:r>
        <w:rPr>
          <w:rFonts w:ascii="Times New Roman" w:hAnsi="Times New Roman"/>
          <w:sz w:val="18"/>
          <w:szCs w:val="18"/>
        </w:rPr>
        <w:t xml:space="preserve"> </w:t>
      </w:r>
      <w:r w:rsidRPr="00A17681">
        <w:rPr>
          <w:rFonts w:ascii="Times New Roman" w:hAnsi="Times New Roman"/>
          <w:sz w:val="18"/>
          <w:szCs w:val="18"/>
        </w:rPr>
        <w:t>fito</w:t>
      </w:r>
      <w:r w:rsidR="001155F2">
        <w:rPr>
          <w:rFonts w:ascii="Times New Roman" w:hAnsi="Times New Roman"/>
          <w:sz w:val="18"/>
          <w:szCs w:val="18"/>
        </w:rPr>
        <w:t>kimia, flavonoid, f</w:t>
      </w:r>
      <w:r w:rsidRPr="00A17681">
        <w:rPr>
          <w:rFonts w:ascii="Times New Roman" w:hAnsi="Times New Roman"/>
          <w:sz w:val="18"/>
          <w:szCs w:val="18"/>
        </w:rPr>
        <w:t>enoli</w:t>
      </w:r>
      <w:r w:rsidR="001155F2">
        <w:rPr>
          <w:rFonts w:ascii="Times New Roman" w:hAnsi="Times New Roman"/>
          <w:sz w:val="18"/>
          <w:szCs w:val="18"/>
        </w:rPr>
        <w:t>k</w:t>
      </w:r>
      <w:r w:rsidRPr="00A17681">
        <w:rPr>
          <w:rFonts w:ascii="Times New Roman" w:hAnsi="Times New Roman"/>
          <w:sz w:val="18"/>
          <w:szCs w:val="18"/>
        </w:rPr>
        <w:t xml:space="preserve">, </w:t>
      </w:r>
      <w:r>
        <w:rPr>
          <w:rFonts w:ascii="Times New Roman" w:hAnsi="Times New Roman"/>
          <w:i/>
          <w:sz w:val="18"/>
          <w:szCs w:val="18"/>
        </w:rPr>
        <w:t>Musa paradisiaca</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DC6CB1" w:rsidRPr="00DC6CB1" w:rsidRDefault="00DC6CB1" w:rsidP="00DC6CB1">
      <w:pPr>
        <w:adjustRightInd w:val="0"/>
        <w:spacing w:after="0" w:line="240" w:lineRule="auto"/>
        <w:jc w:val="both"/>
        <w:rPr>
          <w:rFonts w:ascii="Times New Roman" w:eastAsia="CaeciliaLTStd-Roman" w:hAnsi="Times New Roman"/>
          <w:sz w:val="20"/>
          <w:szCs w:val="20"/>
        </w:rPr>
      </w:pPr>
      <w:r w:rsidRPr="00DC6CB1">
        <w:rPr>
          <w:rFonts w:ascii="Times New Roman" w:hAnsi="Times New Roman"/>
          <w:sz w:val="20"/>
          <w:szCs w:val="20"/>
        </w:rPr>
        <w:t xml:space="preserve">Consumption of medicinal herbs protects and heals a number of ailments and they have been the principal treatment therapy in prehistoric times until the discovery of synthetic drugs in the nineteenth century [1]. This exploration of biologically active natural products has played an important role in finding new chemical entities (NCEs), for example, approximately 28% of NCEs between 1981and 2002 were natural products or natural product-derived [2]. Health benefits has been derived  from bioactive compounds that are commonly found in edible plant parts such as fruits, vegetables, flowers, leaves and have been shown to confer protection against various ailments [3]. Interestingly, many of them are known to contain large amounts of phenolic antioxidants [4]. Phytchemicals have become an intense focus of research interest because of their perceived beneficial effects for health, including anticarcinogenic, antiatherogenic, antiulcer, anti-thrombotic, anti-inflammatory, immunemodulating, antimicrobial, varodialatory, and analgesic effects. Therefore, the search for exploitation of natural antioxidants, especially of plant origin, has greatly increased in recent years [1]. </w:t>
      </w:r>
      <w:r w:rsidRPr="00DC6CB1">
        <w:rPr>
          <w:rFonts w:ascii="Times New Roman" w:eastAsia="CaeciliaLTStd-Roman" w:hAnsi="Times New Roman"/>
          <w:sz w:val="20"/>
          <w:szCs w:val="20"/>
        </w:rPr>
        <w:t>For example, chard extract (</w:t>
      </w:r>
      <w:r w:rsidRPr="00DC6CB1">
        <w:rPr>
          <w:rFonts w:ascii="Times New Roman" w:eastAsia="CaeciliaLTStd-Roman" w:hAnsi="Times New Roman"/>
          <w:i/>
          <w:iCs/>
          <w:sz w:val="20"/>
          <w:szCs w:val="20"/>
        </w:rPr>
        <w:t xml:space="preserve">Beta vulgaris </w:t>
      </w:r>
      <w:r w:rsidRPr="00DC6CB1">
        <w:rPr>
          <w:rFonts w:ascii="Times New Roman" w:eastAsia="CaeciliaLTStd-Roman" w:hAnsi="Times New Roman"/>
          <w:sz w:val="20"/>
          <w:szCs w:val="20"/>
        </w:rPr>
        <w:t xml:space="preserve">L. var. </w:t>
      </w:r>
      <w:r w:rsidRPr="00DC6CB1">
        <w:rPr>
          <w:rFonts w:ascii="Times New Roman" w:eastAsia="CaeciliaLTStd-Roman" w:hAnsi="Times New Roman"/>
          <w:i/>
          <w:iCs/>
          <w:sz w:val="20"/>
          <w:szCs w:val="20"/>
        </w:rPr>
        <w:t xml:space="preserve">cicla) </w:t>
      </w:r>
      <w:r w:rsidRPr="00DC6CB1">
        <w:rPr>
          <w:rFonts w:ascii="Times New Roman" w:eastAsia="CaeciliaLTStd-Roman" w:hAnsi="Times New Roman"/>
          <w:sz w:val="20"/>
          <w:szCs w:val="20"/>
        </w:rPr>
        <w:t xml:space="preserve">has been used as a hypoglycaemic agent by diabetic mellitus (DM) patients in Turkey [5] and it has been documented that the number of similarly various phytoconstituent such as epicatechin, rutin, quercetin, nymphayol and flavonoid extracts from </w:t>
      </w:r>
      <w:r w:rsidRPr="00DC6CB1">
        <w:rPr>
          <w:rFonts w:ascii="Times New Roman" w:eastAsia="CaeciliaLTStd-Roman" w:hAnsi="Times New Roman"/>
          <w:i/>
          <w:iCs/>
          <w:sz w:val="20"/>
          <w:szCs w:val="20"/>
        </w:rPr>
        <w:t xml:space="preserve">Pterocarpus marsupium </w:t>
      </w:r>
      <w:r w:rsidRPr="00DC6CB1">
        <w:rPr>
          <w:rFonts w:ascii="Times New Roman" w:eastAsia="CaeciliaLTStd-Roman" w:hAnsi="Times New Roman"/>
          <w:sz w:val="20"/>
          <w:szCs w:val="20"/>
        </w:rPr>
        <w:t xml:space="preserve">have shown to possess β-cells regeneration capacity [6]. </w:t>
      </w:r>
    </w:p>
    <w:p w:rsidR="00DC6CB1" w:rsidRPr="00DC6CB1" w:rsidRDefault="00DC6CB1" w:rsidP="00DC6CB1">
      <w:pPr>
        <w:adjustRightInd w:val="0"/>
        <w:spacing w:after="0" w:line="240" w:lineRule="auto"/>
        <w:jc w:val="both"/>
        <w:rPr>
          <w:rFonts w:ascii="Times New Roman" w:eastAsia="CaeciliaLTStd-Roman" w:hAnsi="Times New Roman"/>
          <w:sz w:val="20"/>
          <w:szCs w:val="20"/>
        </w:rPr>
      </w:pPr>
    </w:p>
    <w:p w:rsidR="00DC6CB1" w:rsidRPr="00DC6CB1" w:rsidRDefault="00DC6CB1" w:rsidP="00DC6CB1">
      <w:pPr>
        <w:adjustRightInd w:val="0"/>
        <w:spacing w:after="0" w:line="240" w:lineRule="auto"/>
        <w:jc w:val="both"/>
        <w:rPr>
          <w:rFonts w:ascii="Times New Roman" w:hAnsi="Times New Roman"/>
          <w:sz w:val="20"/>
          <w:szCs w:val="20"/>
        </w:rPr>
      </w:pPr>
      <w:r w:rsidRPr="00DC6CB1">
        <w:rPr>
          <w:rFonts w:ascii="Times New Roman" w:eastAsia="CaeciliaLTStd-Roman" w:hAnsi="Times New Roman"/>
          <w:sz w:val="20"/>
          <w:szCs w:val="20"/>
        </w:rPr>
        <w:t>Flavonoids represent the most common and widely distributed group of plant phenolics [7] and are abundant in foods; quercetin and rutin are the flavonoids most abundantly consumed [8].</w:t>
      </w:r>
      <w:r w:rsidRPr="00DC6CB1">
        <w:rPr>
          <w:rFonts w:ascii="Times New Roman" w:hAnsi="Times New Roman"/>
          <w:sz w:val="20"/>
          <w:szCs w:val="20"/>
        </w:rPr>
        <w:t xml:space="preserve"> </w:t>
      </w:r>
      <w:r w:rsidRPr="00DC6CB1">
        <w:rPr>
          <w:rFonts w:ascii="Times New Roman" w:hAnsi="Times New Roman"/>
          <w:i/>
          <w:iCs/>
          <w:sz w:val="20"/>
          <w:szCs w:val="20"/>
        </w:rPr>
        <w:t xml:space="preserve">Musa paradisiaca </w:t>
      </w:r>
      <w:r w:rsidRPr="00DC6CB1">
        <w:rPr>
          <w:rFonts w:ascii="Times New Roman" w:eastAsia="Times-Roman" w:hAnsi="Times New Roman"/>
          <w:sz w:val="20"/>
          <w:szCs w:val="20"/>
        </w:rPr>
        <w:t xml:space="preserve">is one of the well-known plants of the </w:t>
      </w:r>
      <w:r w:rsidRPr="00DC6CB1">
        <w:rPr>
          <w:rFonts w:ascii="Times New Roman" w:hAnsi="Times New Roman"/>
          <w:i/>
          <w:iCs/>
          <w:sz w:val="20"/>
          <w:szCs w:val="20"/>
        </w:rPr>
        <w:t xml:space="preserve">Musaeae </w:t>
      </w:r>
      <w:r w:rsidRPr="00DC6CB1">
        <w:rPr>
          <w:rFonts w:ascii="Times New Roman" w:eastAsia="Times-Roman" w:hAnsi="Times New Roman"/>
          <w:sz w:val="20"/>
          <w:szCs w:val="20"/>
        </w:rPr>
        <w:t>family that have been used in traditional medicine since hundred years to alleviate various diseases and health problems. Active constituent presence in the plants materials might be responsible to the beneficial of human health. The most important of these bioactive compounds of plants are alkaloids, flavonoids, tannins and phenolic compounds [9].</w:t>
      </w:r>
      <w:r w:rsidRPr="00DC6CB1">
        <w:rPr>
          <w:rFonts w:ascii="Times New Roman" w:hAnsi="Times New Roman"/>
          <w:sz w:val="20"/>
          <w:szCs w:val="20"/>
        </w:rPr>
        <w:t xml:space="preserve"> </w:t>
      </w:r>
      <w:r w:rsidRPr="00DC6CB1">
        <w:rPr>
          <w:rFonts w:ascii="Times New Roman" w:eastAsia="Times-Roman" w:hAnsi="Times New Roman"/>
          <w:sz w:val="20"/>
          <w:szCs w:val="20"/>
        </w:rPr>
        <w:t xml:space="preserve">Ethnomedicinal survey around the world revealed that the flowers of </w:t>
      </w:r>
      <w:r w:rsidRPr="00DC6CB1">
        <w:rPr>
          <w:rFonts w:ascii="Times New Roman" w:eastAsia="Times-Roman" w:hAnsi="Times New Roman"/>
          <w:i/>
          <w:iCs/>
          <w:sz w:val="20"/>
          <w:szCs w:val="20"/>
        </w:rPr>
        <w:t xml:space="preserve">Musa spp. </w:t>
      </w:r>
      <w:r w:rsidRPr="00DC6CB1">
        <w:rPr>
          <w:rFonts w:ascii="Times New Roman" w:eastAsia="Times-Roman" w:hAnsi="Times New Roman"/>
          <w:sz w:val="20"/>
          <w:szCs w:val="20"/>
        </w:rPr>
        <w:t xml:space="preserve">have been used to treat many illnesses. </w:t>
      </w:r>
      <w:r w:rsidRPr="00DC6CB1">
        <w:rPr>
          <w:rFonts w:ascii="Times New Roman" w:eastAsia="Times-Roman" w:hAnsi="Times New Roman"/>
          <w:iCs/>
          <w:sz w:val="20"/>
          <w:szCs w:val="20"/>
        </w:rPr>
        <w:t>Its</w:t>
      </w:r>
      <w:r w:rsidRPr="00DC6CB1">
        <w:rPr>
          <w:rFonts w:ascii="Times New Roman" w:eastAsia="Times-Roman" w:hAnsi="Times New Roman"/>
          <w:i/>
          <w:iCs/>
          <w:sz w:val="20"/>
          <w:szCs w:val="20"/>
        </w:rPr>
        <w:t xml:space="preserve"> </w:t>
      </w:r>
      <w:r w:rsidRPr="00DC6CB1">
        <w:rPr>
          <w:rFonts w:ascii="Times New Roman" w:eastAsia="Times-Roman" w:hAnsi="Times New Roman"/>
          <w:sz w:val="20"/>
          <w:szCs w:val="20"/>
        </w:rPr>
        <w:t>flowers have been traditionally used to alleviate menorrhagia, dysentery, diabetes mellitus [10], heart pain, diarrhea, stomach cramps and infantile malnutrition [11]. It was reported that the extracts of the flowers possess medicinal properties for illness such as diabetes mellitus, anaemia [12] and malaria [13].</w:t>
      </w:r>
      <w:r w:rsidRPr="00DC6CB1">
        <w:rPr>
          <w:rFonts w:ascii="Times New Roman" w:hAnsi="Times New Roman"/>
          <w:sz w:val="20"/>
          <w:szCs w:val="20"/>
        </w:rPr>
        <w:t xml:space="preserve"> Phenolics are the largest group of phytochemicals that account for most of the antioxidant activity in plants or plant products [14]. </w:t>
      </w:r>
    </w:p>
    <w:p w:rsidR="00DC6CB1" w:rsidRPr="00DC6CB1" w:rsidRDefault="00DC6CB1" w:rsidP="00DC6CB1">
      <w:pPr>
        <w:adjustRightInd w:val="0"/>
        <w:spacing w:after="0" w:line="240" w:lineRule="auto"/>
        <w:jc w:val="both"/>
        <w:rPr>
          <w:rFonts w:ascii="Times New Roman" w:hAnsi="Times New Roman"/>
          <w:sz w:val="20"/>
          <w:szCs w:val="20"/>
        </w:rPr>
      </w:pPr>
    </w:p>
    <w:p w:rsidR="00DC6CB1" w:rsidRPr="00DC6CB1" w:rsidRDefault="00DC6CB1" w:rsidP="00DC6CB1">
      <w:pPr>
        <w:adjustRightInd w:val="0"/>
        <w:spacing w:after="0" w:line="240" w:lineRule="auto"/>
        <w:jc w:val="both"/>
        <w:rPr>
          <w:rFonts w:ascii="Times New Roman" w:hAnsi="Times New Roman"/>
          <w:sz w:val="20"/>
          <w:szCs w:val="20"/>
        </w:rPr>
      </w:pPr>
      <w:r w:rsidRPr="00DC6CB1">
        <w:rPr>
          <w:rFonts w:ascii="Times New Roman" w:hAnsi="Times New Roman"/>
          <w:sz w:val="20"/>
          <w:szCs w:val="20"/>
        </w:rPr>
        <w:t xml:space="preserve">More than 4000 polyphenols (flavonoids, monophenols and poly phenols) are found in vascular plants. Phenolic compounds such as quercetin, rutin, narigin, catechin, caffeic acid, gallic acid and chlorogenic acid are very important plant constituents [15]. Flavonoids are the largest group of naturally occurring phenolic compounds, which occurs in different plant parts in Free State and as glycosides [16]. They are found to have many biological activities including antimicrobial, mitochondrial adhesion inhibition, antiulcer, antiarthritic, antiangiogenic, anticancer, protein kinase inhibition etc. The flavones and flavonols are the most widely distributed of all the phenolics [17]. Flavonoids are particularly beneficial, acting as antioxidants and giving protection against cardiovascular disease, certain forms of cancer and age related degeneration of cell components. Their polyphenolic nature enables them to scavenge injurious free radicals such as super oxide and hydroxyl radicals [18]. A variety of dietary plant flavonoids inhibits tumor development in experimental animal models [19]. The bi-flavonoids have the pharmacological effects like their ability to inhibit the release of histamines, the adhesion of blood platelets and the action of lens aldose reductase, to block the inflammatory effects of hepatotoxins, and to act as a heart stimulant [20]. Therefore, the objective of this paper is to carry out the phytochemical screening, total contents of both phenolics and flavonoids of various solvent extracts of </w:t>
      </w:r>
      <w:r w:rsidRPr="00DC6CB1">
        <w:rPr>
          <w:rFonts w:ascii="Times New Roman" w:hAnsi="Times New Roman"/>
          <w:i/>
          <w:sz w:val="20"/>
          <w:szCs w:val="20"/>
        </w:rPr>
        <w:t>Musa paradisiaca.</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DC6CB1" w:rsidRPr="00DC6CB1" w:rsidRDefault="00DC6CB1" w:rsidP="00DC6CB1">
      <w:pPr>
        <w:adjustRightInd w:val="0"/>
        <w:spacing w:after="0" w:line="240" w:lineRule="auto"/>
        <w:jc w:val="both"/>
        <w:rPr>
          <w:rFonts w:ascii="Times New Roman" w:hAnsi="Times New Roman"/>
          <w:b/>
          <w:sz w:val="20"/>
          <w:szCs w:val="20"/>
        </w:rPr>
      </w:pPr>
      <w:r w:rsidRPr="00DC6CB1">
        <w:rPr>
          <w:rFonts w:ascii="Times New Roman" w:hAnsi="Times New Roman"/>
          <w:b/>
          <w:sz w:val="20"/>
          <w:szCs w:val="20"/>
        </w:rPr>
        <w:t>Preparation of plant extract</w:t>
      </w:r>
    </w:p>
    <w:p w:rsidR="00DC6CB1" w:rsidRDefault="00DC6CB1" w:rsidP="00DC6CB1">
      <w:pPr>
        <w:adjustRightInd w:val="0"/>
        <w:spacing w:after="0" w:line="240" w:lineRule="auto"/>
        <w:jc w:val="both"/>
        <w:rPr>
          <w:rFonts w:ascii="Times New Roman" w:hAnsi="Times New Roman"/>
          <w:sz w:val="20"/>
          <w:szCs w:val="20"/>
        </w:rPr>
      </w:pPr>
      <w:r w:rsidRPr="00DC6CB1">
        <w:rPr>
          <w:rFonts w:ascii="Times New Roman" w:hAnsi="Times New Roman"/>
          <w:sz w:val="20"/>
          <w:szCs w:val="20"/>
        </w:rPr>
        <w:t xml:space="preserve">The tepals were selectively removed from the bracts, oven dried for one week. It was then crush grinded to fine powder using an electrical grinder. This was then divided into three portion and each portion was soaked in methanol, ethanol and distilled water for 3 days respectively. Each sample was later filtered using Whatmann’s No. 1 filter paper. The filtrates were then concentrated at 42 °C to yield a dark brown semi solid using a rotary evaporator (N-1100, Shanghai, Eyela. Co. Ltd, Tokyo, China). This was repeated three times. </w:t>
      </w:r>
      <w:r w:rsidRPr="00DC6CB1">
        <w:rPr>
          <w:rFonts w:ascii="Times New Roman" w:eastAsia="TimesNewRomanPSMT" w:hAnsi="Times New Roman"/>
          <w:sz w:val="20"/>
          <w:szCs w:val="20"/>
        </w:rPr>
        <w:t xml:space="preserve">For each extract, the yield was expressed in percentage by dividing the quantity of dry mass obtained after extraction by the dry weight of the powder used before soaking. </w:t>
      </w:r>
      <w:r w:rsidRPr="00DC6CB1">
        <w:rPr>
          <w:rFonts w:ascii="Times New Roman" w:hAnsi="Times New Roman"/>
          <w:sz w:val="20"/>
          <w:szCs w:val="20"/>
        </w:rPr>
        <w:t xml:space="preserve">Dried extracts were weighed and dissolved in 10% dimethylsulphoxide (DMSO) </w:t>
      </w:r>
      <w:r w:rsidRPr="00DC6CB1">
        <w:rPr>
          <w:rFonts w:ascii="Times New Roman" w:hAnsi="Times New Roman"/>
          <w:sz w:val="20"/>
          <w:szCs w:val="20"/>
        </w:rPr>
        <w:lastRenderedPageBreak/>
        <w:t>to yield a stock solution from which lower concentrations were prepared. The filtrate was then concentrated using an electric incubator. The extract appears as semi-solid greenish brown paste. A stock solution to be used was then prepared by dissolving 100 g of the extract in 50 ml of distilled water.</w:t>
      </w:r>
    </w:p>
    <w:p w:rsidR="00DC6CB1" w:rsidRPr="00DC6CB1" w:rsidRDefault="00DC6CB1" w:rsidP="00DC6CB1">
      <w:pPr>
        <w:adjustRightInd w:val="0"/>
        <w:spacing w:after="0" w:line="240" w:lineRule="auto"/>
        <w:jc w:val="both"/>
        <w:rPr>
          <w:rFonts w:ascii="Times New Roman" w:hAnsi="Times New Roman"/>
          <w:b/>
          <w:sz w:val="20"/>
          <w:szCs w:val="20"/>
        </w:rPr>
      </w:pPr>
    </w:p>
    <w:p w:rsidR="00DC6CB1" w:rsidRPr="00DC6CB1" w:rsidRDefault="00727846" w:rsidP="00DC6CB1">
      <w:pPr>
        <w:pStyle w:val="Heading2"/>
        <w:spacing w:before="0" w:line="240" w:lineRule="auto"/>
        <w:jc w:val="both"/>
        <w:rPr>
          <w:rFonts w:ascii="Times New Roman" w:hAnsi="Times New Roman"/>
          <w:b/>
          <w:smallCaps w:val="0"/>
          <w:sz w:val="20"/>
          <w:szCs w:val="20"/>
        </w:rPr>
      </w:pPr>
      <w:bookmarkStart w:id="0" w:name="_Toc407814497"/>
      <w:bookmarkStart w:id="1" w:name="_Toc407814609"/>
      <w:bookmarkStart w:id="2" w:name="_Toc407815037"/>
      <w:r>
        <w:rPr>
          <w:rFonts w:ascii="Times New Roman" w:hAnsi="Times New Roman"/>
          <w:b/>
          <w:smallCaps w:val="0"/>
          <w:sz w:val="20"/>
          <w:szCs w:val="20"/>
        </w:rPr>
        <w:t xml:space="preserve">Preliminary </w:t>
      </w:r>
      <w:r>
        <w:rPr>
          <w:rFonts w:ascii="Times New Roman" w:hAnsi="Times New Roman"/>
          <w:b/>
          <w:smallCaps w:val="0"/>
          <w:sz w:val="20"/>
          <w:szCs w:val="20"/>
          <w:lang w:val="en-US"/>
        </w:rPr>
        <w:t>p</w:t>
      </w:r>
      <w:r>
        <w:rPr>
          <w:rFonts w:ascii="Times New Roman" w:hAnsi="Times New Roman"/>
          <w:b/>
          <w:smallCaps w:val="0"/>
          <w:sz w:val="20"/>
          <w:szCs w:val="20"/>
        </w:rPr>
        <w:t xml:space="preserve">hytochemical </w:t>
      </w:r>
      <w:r>
        <w:rPr>
          <w:rFonts w:ascii="Times New Roman" w:hAnsi="Times New Roman"/>
          <w:b/>
          <w:smallCaps w:val="0"/>
          <w:sz w:val="20"/>
          <w:szCs w:val="20"/>
          <w:lang w:val="en-US"/>
        </w:rPr>
        <w:t>s</w:t>
      </w:r>
      <w:r w:rsidR="00DC6CB1" w:rsidRPr="00DC6CB1">
        <w:rPr>
          <w:rFonts w:ascii="Times New Roman" w:hAnsi="Times New Roman"/>
          <w:b/>
          <w:smallCaps w:val="0"/>
          <w:sz w:val="20"/>
          <w:szCs w:val="20"/>
        </w:rPr>
        <w:t>creening</w:t>
      </w:r>
      <w:bookmarkEnd w:id="0"/>
      <w:bookmarkEnd w:id="1"/>
      <w:bookmarkEnd w:id="2"/>
    </w:p>
    <w:p w:rsidR="00DC6CB1" w:rsidRPr="00DC6CB1" w:rsidRDefault="00DC6CB1" w:rsidP="00DC6CB1">
      <w:pPr>
        <w:adjustRightInd w:val="0"/>
        <w:spacing w:after="0" w:line="240" w:lineRule="auto"/>
        <w:jc w:val="both"/>
        <w:outlineLvl w:val="0"/>
        <w:rPr>
          <w:rFonts w:ascii="Times New Roman" w:hAnsi="Times New Roman"/>
          <w:sz w:val="20"/>
          <w:szCs w:val="20"/>
        </w:rPr>
      </w:pPr>
      <w:r w:rsidRPr="00DC6CB1">
        <w:rPr>
          <w:rFonts w:ascii="Times New Roman" w:hAnsi="Times New Roman"/>
          <w:sz w:val="20"/>
          <w:szCs w:val="20"/>
        </w:rPr>
        <w:t>The phytochemical screening of the extracts was conducted using standard procedures described by Trease and Evans [21]. The following qualitative tests were carried out:</w:t>
      </w:r>
    </w:p>
    <w:p w:rsidR="00DC6CB1" w:rsidRPr="00DC6CB1" w:rsidRDefault="00DC6CB1" w:rsidP="00DC6CB1">
      <w:pPr>
        <w:adjustRightInd w:val="0"/>
        <w:spacing w:after="0" w:line="240" w:lineRule="auto"/>
        <w:jc w:val="both"/>
        <w:outlineLvl w:val="0"/>
        <w:rPr>
          <w:rFonts w:ascii="Times New Roman" w:hAnsi="Times New Roman"/>
          <w:b/>
          <w:bCs/>
          <w:sz w:val="20"/>
          <w:szCs w:val="20"/>
        </w:rPr>
      </w:pPr>
    </w:p>
    <w:p w:rsidR="00DC6CB1" w:rsidRPr="00DC6CB1" w:rsidRDefault="00DC6CB1" w:rsidP="00DC6CB1">
      <w:pPr>
        <w:adjustRightInd w:val="0"/>
        <w:spacing w:after="0" w:line="240" w:lineRule="auto"/>
        <w:jc w:val="both"/>
        <w:outlineLvl w:val="0"/>
        <w:rPr>
          <w:rFonts w:ascii="Times New Roman" w:hAnsi="Times New Roman"/>
          <w:b/>
          <w:bCs/>
          <w:sz w:val="20"/>
          <w:szCs w:val="20"/>
        </w:rPr>
      </w:pPr>
      <w:r w:rsidRPr="00DC6CB1">
        <w:rPr>
          <w:rFonts w:ascii="Times New Roman" w:hAnsi="Times New Roman"/>
          <w:b/>
          <w:bCs/>
          <w:sz w:val="20"/>
          <w:szCs w:val="20"/>
        </w:rPr>
        <w:t>Test for saponins</w:t>
      </w:r>
    </w:p>
    <w:p w:rsidR="00DC6CB1" w:rsidRPr="00DC6CB1" w:rsidRDefault="00DC6CB1" w:rsidP="00DC6CB1">
      <w:pPr>
        <w:adjustRightInd w:val="0"/>
        <w:spacing w:after="0" w:line="240" w:lineRule="auto"/>
        <w:jc w:val="both"/>
        <w:outlineLvl w:val="0"/>
        <w:rPr>
          <w:rFonts w:ascii="Times New Roman" w:hAnsi="Times New Roman"/>
          <w:sz w:val="20"/>
          <w:szCs w:val="20"/>
        </w:rPr>
      </w:pPr>
      <w:r w:rsidRPr="00DC6CB1">
        <w:rPr>
          <w:rFonts w:ascii="Times New Roman" w:hAnsi="Times New Roman"/>
          <w:sz w:val="20"/>
          <w:szCs w:val="20"/>
        </w:rPr>
        <w:t xml:space="preserve">One mL of the tepal extract was diluted with distilled water to 20 mL and shaken in a graduated cylinder for 15 minutes. The formation of one centimeter layer of foam indicates the presence of saponins. </w:t>
      </w:r>
    </w:p>
    <w:p w:rsidR="00DC6CB1" w:rsidRPr="00DC6CB1" w:rsidRDefault="00DC6CB1" w:rsidP="00DC6CB1">
      <w:pPr>
        <w:adjustRightInd w:val="0"/>
        <w:spacing w:after="0" w:line="240" w:lineRule="auto"/>
        <w:jc w:val="both"/>
        <w:outlineLvl w:val="0"/>
        <w:rPr>
          <w:rFonts w:ascii="Times New Roman" w:hAnsi="Times New Roman"/>
          <w:sz w:val="20"/>
          <w:szCs w:val="20"/>
        </w:rPr>
      </w:pPr>
    </w:p>
    <w:p w:rsidR="00DC6CB1" w:rsidRPr="00DC6CB1" w:rsidRDefault="00DC6CB1" w:rsidP="00DC6CB1">
      <w:pPr>
        <w:adjustRightInd w:val="0"/>
        <w:spacing w:after="0" w:line="240" w:lineRule="auto"/>
        <w:jc w:val="both"/>
        <w:outlineLvl w:val="0"/>
        <w:rPr>
          <w:rFonts w:ascii="Times New Roman" w:hAnsi="Times New Roman"/>
          <w:b/>
          <w:sz w:val="20"/>
          <w:szCs w:val="20"/>
        </w:rPr>
      </w:pPr>
      <w:r w:rsidRPr="00DC6CB1">
        <w:rPr>
          <w:rFonts w:ascii="Times New Roman" w:hAnsi="Times New Roman"/>
          <w:b/>
          <w:sz w:val="20"/>
          <w:szCs w:val="20"/>
        </w:rPr>
        <w:t>Test for phenols</w:t>
      </w:r>
    </w:p>
    <w:p w:rsidR="00DC6CB1" w:rsidRPr="00DC6CB1" w:rsidRDefault="00DC6CB1" w:rsidP="00DC6CB1">
      <w:pPr>
        <w:adjustRightInd w:val="0"/>
        <w:spacing w:after="0" w:line="240" w:lineRule="auto"/>
        <w:jc w:val="both"/>
        <w:outlineLvl w:val="0"/>
        <w:rPr>
          <w:rFonts w:ascii="Times New Roman" w:hAnsi="Times New Roman"/>
          <w:b/>
          <w:sz w:val="20"/>
          <w:szCs w:val="20"/>
        </w:rPr>
      </w:pPr>
      <w:r w:rsidRPr="00DC6CB1">
        <w:rPr>
          <w:rFonts w:ascii="Times New Roman" w:hAnsi="Times New Roman"/>
          <w:sz w:val="20"/>
          <w:szCs w:val="20"/>
        </w:rPr>
        <w:t>A small amount of the ethanolic extract was taken with 1 mL of water in a test</w:t>
      </w:r>
      <w:r w:rsidRPr="00DC6CB1">
        <w:rPr>
          <w:rFonts w:ascii="Times New Roman" w:hAnsi="Times New Roman"/>
          <w:b/>
          <w:sz w:val="20"/>
          <w:szCs w:val="20"/>
        </w:rPr>
        <w:t xml:space="preserve"> </w:t>
      </w:r>
      <w:r w:rsidRPr="00DC6CB1">
        <w:rPr>
          <w:rFonts w:ascii="Times New Roman" w:hAnsi="Times New Roman"/>
          <w:sz w:val="20"/>
          <w:szCs w:val="20"/>
        </w:rPr>
        <w:t>tube and 1 to 2 drops of Iron III chloride (FeCl</w:t>
      </w:r>
      <w:r w:rsidRPr="00DC6CB1">
        <w:rPr>
          <w:rFonts w:ascii="Times New Roman" w:hAnsi="Times New Roman"/>
          <w:sz w:val="20"/>
          <w:szCs w:val="20"/>
          <w:vertAlign w:val="subscript"/>
        </w:rPr>
        <w:t>3</w:t>
      </w:r>
      <w:r w:rsidRPr="00DC6CB1">
        <w:rPr>
          <w:rFonts w:ascii="Times New Roman" w:hAnsi="Times New Roman"/>
          <w:sz w:val="20"/>
          <w:szCs w:val="20"/>
        </w:rPr>
        <w:t>) was added. A blue, green, red or purple color is a positive test.</w:t>
      </w:r>
    </w:p>
    <w:p w:rsidR="00DC6CB1" w:rsidRPr="00DC6CB1" w:rsidRDefault="00DC6CB1" w:rsidP="00DC6CB1">
      <w:pPr>
        <w:adjustRightInd w:val="0"/>
        <w:spacing w:after="0" w:line="240" w:lineRule="auto"/>
        <w:jc w:val="both"/>
        <w:outlineLvl w:val="0"/>
        <w:rPr>
          <w:rFonts w:ascii="Times New Roman" w:hAnsi="Times New Roman"/>
          <w:sz w:val="20"/>
          <w:szCs w:val="20"/>
        </w:rPr>
      </w:pPr>
    </w:p>
    <w:p w:rsidR="00DC6CB1" w:rsidRPr="00DC6CB1" w:rsidRDefault="00DC6CB1" w:rsidP="00DC6CB1">
      <w:pPr>
        <w:adjustRightInd w:val="0"/>
        <w:spacing w:after="0" w:line="240" w:lineRule="auto"/>
        <w:jc w:val="both"/>
        <w:outlineLvl w:val="0"/>
        <w:rPr>
          <w:rFonts w:ascii="Times New Roman" w:hAnsi="Times New Roman"/>
          <w:b/>
          <w:bCs/>
          <w:iCs/>
          <w:sz w:val="20"/>
          <w:szCs w:val="20"/>
        </w:rPr>
      </w:pPr>
      <w:r w:rsidRPr="00DC6CB1">
        <w:rPr>
          <w:rFonts w:ascii="Times New Roman" w:hAnsi="Times New Roman"/>
          <w:b/>
          <w:bCs/>
          <w:iCs/>
          <w:sz w:val="20"/>
          <w:szCs w:val="20"/>
        </w:rPr>
        <w:t>Test for glycosides</w:t>
      </w:r>
    </w:p>
    <w:p w:rsidR="00DC6CB1" w:rsidRPr="00DC6CB1" w:rsidRDefault="00DC6CB1" w:rsidP="00DC6CB1">
      <w:pPr>
        <w:adjustRightInd w:val="0"/>
        <w:spacing w:after="0" w:line="240" w:lineRule="auto"/>
        <w:jc w:val="both"/>
        <w:outlineLvl w:val="0"/>
        <w:rPr>
          <w:rFonts w:ascii="Times New Roman" w:hAnsi="Times New Roman"/>
          <w:bCs/>
          <w:iCs/>
          <w:sz w:val="20"/>
          <w:szCs w:val="20"/>
        </w:rPr>
      </w:pPr>
      <w:r w:rsidRPr="00DC6CB1">
        <w:rPr>
          <w:rFonts w:ascii="Times New Roman" w:hAnsi="Times New Roman"/>
          <w:bCs/>
          <w:iCs/>
          <w:sz w:val="20"/>
          <w:szCs w:val="20"/>
        </w:rPr>
        <w:t>A small amount of alcoholic extract was taken in 1 mL of water in a test tube and a few drops of aqueous NaOH were added. A yellow coloration indicates the presence glycosides.</w:t>
      </w:r>
    </w:p>
    <w:p w:rsidR="00DC6CB1" w:rsidRPr="00DC6CB1" w:rsidRDefault="00DC6CB1" w:rsidP="00DC6CB1">
      <w:pPr>
        <w:adjustRightInd w:val="0"/>
        <w:spacing w:after="0" w:line="240" w:lineRule="auto"/>
        <w:jc w:val="both"/>
        <w:outlineLvl w:val="0"/>
        <w:rPr>
          <w:rFonts w:ascii="Times New Roman" w:hAnsi="Times New Roman"/>
          <w:b/>
          <w:bCs/>
          <w:iCs/>
          <w:sz w:val="20"/>
          <w:szCs w:val="20"/>
        </w:rPr>
      </w:pPr>
    </w:p>
    <w:p w:rsidR="00DC6CB1" w:rsidRPr="00DC6CB1" w:rsidRDefault="00DC6CB1" w:rsidP="00DC6CB1">
      <w:pPr>
        <w:adjustRightInd w:val="0"/>
        <w:spacing w:after="0" w:line="240" w:lineRule="auto"/>
        <w:jc w:val="both"/>
        <w:outlineLvl w:val="0"/>
        <w:rPr>
          <w:rFonts w:ascii="Times New Roman" w:hAnsi="Times New Roman"/>
          <w:b/>
          <w:bCs/>
          <w:iCs/>
          <w:sz w:val="20"/>
          <w:szCs w:val="20"/>
        </w:rPr>
      </w:pPr>
      <w:r w:rsidRPr="00DC6CB1">
        <w:rPr>
          <w:rFonts w:ascii="Times New Roman" w:hAnsi="Times New Roman"/>
          <w:b/>
          <w:bCs/>
          <w:iCs/>
          <w:sz w:val="20"/>
          <w:szCs w:val="20"/>
        </w:rPr>
        <w:t>Test for flavonoids</w:t>
      </w:r>
    </w:p>
    <w:p w:rsidR="00DC6CB1" w:rsidRPr="00DC6CB1" w:rsidRDefault="00DC6CB1" w:rsidP="00DC6CB1">
      <w:pPr>
        <w:adjustRightInd w:val="0"/>
        <w:spacing w:after="0" w:line="240" w:lineRule="auto"/>
        <w:jc w:val="both"/>
        <w:outlineLvl w:val="0"/>
        <w:rPr>
          <w:rFonts w:ascii="Times New Roman" w:hAnsi="Times New Roman"/>
          <w:sz w:val="20"/>
          <w:szCs w:val="20"/>
        </w:rPr>
      </w:pPr>
      <w:r w:rsidRPr="00DC6CB1">
        <w:rPr>
          <w:rFonts w:ascii="Times New Roman" w:hAnsi="Times New Roman"/>
          <w:sz w:val="20"/>
          <w:szCs w:val="20"/>
        </w:rPr>
        <w:t>One to five drops of concentrated hydrochloric acid (HCl) were added to little amount of ethanolic extract of the plant material. Immediate development of a red colour indicates the presence of flavonoids.</w:t>
      </w:r>
    </w:p>
    <w:p w:rsidR="00DC6CB1" w:rsidRPr="00DC6CB1" w:rsidRDefault="00DC6CB1" w:rsidP="00DC6CB1">
      <w:pPr>
        <w:adjustRightInd w:val="0"/>
        <w:spacing w:after="0" w:line="240" w:lineRule="auto"/>
        <w:jc w:val="both"/>
        <w:outlineLvl w:val="0"/>
        <w:rPr>
          <w:rFonts w:ascii="Times New Roman" w:hAnsi="Times New Roman"/>
          <w:sz w:val="20"/>
          <w:szCs w:val="20"/>
        </w:rPr>
      </w:pPr>
    </w:p>
    <w:p w:rsidR="00DC6CB1" w:rsidRPr="00DC6CB1" w:rsidRDefault="00DC6CB1" w:rsidP="00DC6CB1">
      <w:pPr>
        <w:adjustRightInd w:val="0"/>
        <w:spacing w:after="0" w:line="240" w:lineRule="auto"/>
        <w:jc w:val="both"/>
        <w:outlineLvl w:val="0"/>
        <w:rPr>
          <w:rFonts w:ascii="Times New Roman" w:hAnsi="Times New Roman"/>
          <w:b/>
          <w:sz w:val="20"/>
          <w:szCs w:val="20"/>
        </w:rPr>
      </w:pPr>
      <w:r w:rsidRPr="00DC6CB1">
        <w:rPr>
          <w:rFonts w:ascii="Times New Roman" w:hAnsi="Times New Roman"/>
          <w:b/>
          <w:sz w:val="20"/>
          <w:szCs w:val="20"/>
        </w:rPr>
        <w:t>Test for alkaloids</w:t>
      </w:r>
    </w:p>
    <w:p w:rsidR="00DC6CB1" w:rsidRPr="00DC6CB1" w:rsidRDefault="00DC6CB1" w:rsidP="00DC6CB1">
      <w:pPr>
        <w:adjustRightInd w:val="0"/>
        <w:spacing w:after="0" w:line="240" w:lineRule="auto"/>
        <w:jc w:val="both"/>
        <w:outlineLvl w:val="0"/>
        <w:rPr>
          <w:rFonts w:ascii="Times New Roman" w:hAnsi="Times New Roman"/>
          <w:sz w:val="20"/>
          <w:szCs w:val="20"/>
        </w:rPr>
      </w:pPr>
      <w:r w:rsidRPr="00DC6CB1">
        <w:rPr>
          <w:rFonts w:ascii="Times New Roman" w:hAnsi="Times New Roman"/>
          <w:sz w:val="20"/>
          <w:szCs w:val="20"/>
        </w:rPr>
        <w:t>Two mL of extract was taken in a test tube and then 0.2 mL dilute HCl was included, followed by 1 mL of Meyer’s reagent. A yellowish coloration indicates alkaloid’s presence.</w:t>
      </w:r>
    </w:p>
    <w:p w:rsidR="00DC6CB1" w:rsidRPr="00DC6CB1" w:rsidRDefault="00DC6CB1" w:rsidP="00DC6CB1">
      <w:pPr>
        <w:adjustRightInd w:val="0"/>
        <w:spacing w:after="0" w:line="240" w:lineRule="auto"/>
        <w:jc w:val="both"/>
        <w:outlineLvl w:val="0"/>
        <w:rPr>
          <w:rFonts w:ascii="Times New Roman" w:hAnsi="Times New Roman"/>
          <w:b/>
          <w:i/>
          <w:sz w:val="20"/>
          <w:szCs w:val="20"/>
        </w:rPr>
      </w:pPr>
    </w:p>
    <w:p w:rsidR="00DC6CB1" w:rsidRPr="00DC6CB1" w:rsidRDefault="00DC6CB1" w:rsidP="00DC6CB1">
      <w:pPr>
        <w:adjustRightInd w:val="0"/>
        <w:spacing w:after="0" w:line="240" w:lineRule="auto"/>
        <w:jc w:val="both"/>
        <w:outlineLvl w:val="0"/>
        <w:rPr>
          <w:rFonts w:ascii="Times New Roman" w:hAnsi="Times New Roman"/>
          <w:b/>
          <w:sz w:val="20"/>
          <w:szCs w:val="20"/>
        </w:rPr>
      </w:pPr>
      <w:r w:rsidRPr="00DC6CB1">
        <w:rPr>
          <w:rFonts w:ascii="Times New Roman" w:hAnsi="Times New Roman"/>
          <w:b/>
          <w:sz w:val="20"/>
          <w:szCs w:val="20"/>
        </w:rPr>
        <w:t>Test for tannins</w:t>
      </w:r>
    </w:p>
    <w:p w:rsidR="00DC6CB1" w:rsidRPr="00DC6CB1" w:rsidRDefault="00DC6CB1" w:rsidP="00DC6CB1">
      <w:pPr>
        <w:adjustRightInd w:val="0"/>
        <w:spacing w:after="0" w:line="240" w:lineRule="auto"/>
        <w:jc w:val="both"/>
        <w:outlineLvl w:val="0"/>
        <w:rPr>
          <w:rFonts w:ascii="Times New Roman" w:hAnsi="Times New Roman"/>
          <w:sz w:val="20"/>
          <w:szCs w:val="20"/>
        </w:rPr>
      </w:pPr>
      <w:r w:rsidRPr="00DC6CB1">
        <w:rPr>
          <w:rFonts w:ascii="Times New Roman" w:hAnsi="Times New Roman"/>
          <w:sz w:val="20"/>
          <w:szCs w:val="20"/>
        </w:rPr>
        <w:t>Five mL of the tepal extract was placed in a test tube and then 2 mL of 5 % of FeCl</w:t>
      </w:r>
      <w:r w:rsidRPr="00DC6CB1">
        <w:rPr>
          <w:rFonts w:ascii="Times New Roman" w:hAnsi="Times New Roman"/>
          <w:sz w:val="20"/>
          <w:szCs w:val="20"/>
          <w:vertAlign w:val="subscript"/>
        </w:rPr>
        <w:t>3</w:t>
      </w:r>
      <w:r w:rsidRPr="00DC6CB1">
        <w:rPr>
          <w:rFonts w:ascii="Times New Roman" w:hAnsi="Times New Roman"/>
          <w:sz w:val="20"/>
          <w:szCs w:val="20"/>
        </w:rPr>
        <w:t xml:space="preserve"> solution was added. A greenish-black precipitate indicates the presence of tannins.</w:t>
      </w:r>
    </w:p>
    <w:p w:rsidR="00DC6CB1" w:rsidRPr="00DC6CB1" w:rsidRDefault="00DC6CB1" w:rsidP="00DC6CB1">
      <w:pPr>
        <w:adjustRightInd w:val="0"/>
        <w:spacing w:after="0" w:line="240" w:lineRule="auto"/>
        <w:jc w:val="both"/>
        <w:outlineLvl w:val="0"/>
        <w:rPr>
          <w:rFonts w:ascii="Times New Roman" w:hAnsi="Times New Roman"/>
          <w:sz w:val="20"/>
          <w:szCs w:val="20"/>
        </w:rPr>
      </w:pPr>
    </w:p>
    <w:p w:rsidR="00DC6CB1" w:rsidRPr="00DC6CB1" w:rsidRDefault="00DC6CB1" w:rsidP="00DC6CB1">
      <w:pPr>
        <w:adjustRightInd w:val="0"/>
        <w:spacing w:after="0" w:line="240" w:lineRule="auto"/>
        <w:jc w:val="both"/>
        <w:outlineLvl w:val="0"/>
        <w:rPr>
          <w:rFonts w:ascii="Times New Roman" w:hAnsi="Times New Roman"/>
          <w:b/>
          <w:sz w:val="20"/>
          <w:szCs w:val="20"/>
        </w:rPr>
      </w:pPr>
      <w:r w:rsidRPr="00DC6CB1">
        <w:rPr>
          <w:rFonts w:ascii="Times New Roman" w:hAnsi="Times New Roman"/>
          <w:b/>
          <w:sz w:val="20"/>
          <w:szCs w:val="20"/>
        </w:rPr>
        <w:t>Test for terpenoids</w:t>
      </w:r>
    </w:p>
    <w:p w:rsidR="00DC6CB1" w:rsidRPr="00DC6CB1" w:rsidRDefault="00DC6CB1" w:rsidP="00DC6CB1">
      <w:pPr>
        <w:adjustRightInd w:val="0"/>
        <w:spacing w:after="0" w:line="240" w:lineRule="auto"/>
        <w:jc w:val="both"/>
        <w:outlineLvl w:val="0"/>
        <w:rPr>
          <w:rFonts w:ascii="Times New Roman" w:hAnsi="Times New Roman"/>
          <w:b/>
          <w:sz w:val="20"/>
          <w:szCs w:val="20"/>
        </w:rPr>
      </w:pPr>
      <w:r w:rsidRPr="00DC6CB1">
        <w:rPr>
          <w:rFonts w:ascii="Times New Roman" w:hAnsi="Times New Roman"/>
          <w:sz w:val="20"/>
          <w:szCs w:val="20"/>
        </w:rPr>
        <w:t>In a test tube containing 2 mL of chloroform, 0.5 mL of extract was added.</w:t>
      </w:r>
      <w:r w:rsidRPr="00DC6CB1">
        <w:rPr>
          <w:rFonts w:ascii="Times New Roman" w:hAnsi="Times New Roman"/>
          <w:b/>
          <w:sz w:val="20"/>
          <w:szCs w:val="20"/>
        </w:rPr>
        <w:t xml:space="preserve"> </w:t>
      </w:r>
      <w:r w:rsidRPr="00DC6CB1">
        <w:rPr>
          <w:rFonts w:ascii="Times New Roman" w:hAnsi="Times New Roman"/>
          <w:sz w:val="20"/>
          <w:szCs w:val="20"/>
        </w:rPr>
        <w:t>This is then followed by the addition of 3 mL conc. H</w:t>
      </w:r>
      <w:r w:rsidRPr="00DC6CB1">
        <w:rPr>
          <w:rFonts w:ascii="Times New Roman" w:hAnsi="Times New Roman"/>
          <w:sz w:val="20"/>
          <w:szCs w:val="20"/>
          <w:vertAlign w:val="subscript"/>
        </w:rPr>
        <w:t>2</w:t>
      </w:r>
      <w:r w:rsidRPr="00DC6CB1">
        <w:rPr>
          <w:rFonts w:ascii="Times New Roman" w:hAnsi="Times New Roman"/>
          <w:sz w:val="20"/>
          <w:szCs w:val="20"/>
        </w:rPr>
        <w:t>SO</w:t>
      </w:r>
      <w:r w:rsidRPr="00DC6CB1">
        <w:rPr>
          <w:rFonts w:ascii="Times New Roman" w:hAnsi="Times New Roman"/>
          <w:sz w:val="20"/>
          <w:szCs w:val="20"/>
          <w:vertAlign w:val="subscript"/>
        </w:rPr>
        <w:t xml:space="preserve">4 </w:t>
      </w:r>
      <w:r w:rsidRPr="00DC6CB1">
        <w:rPr>
          <w:rFonts w:ascii="Times New Roman" w:hAnsi="Times New Roman"/>
          <w:sz w:val="20"/>
          <w:szCs w:val="20"/>
        </w:rPr>
        <w:t xml:space="preserve">which forms a layer. Reddish brown coloration of the interface indicates terpenoids. </w:t>
      </w:r>
    </w:p>
    <w:p w:rsidR="00DC6CB1" w:rsidRPr="00DC6CB1" w:rsidRDefault="00DC6CB1" w:rsidP="00DC6CB1">
      <w:pPr>
        <w:spacing w:after="0" w:line="240" w:lineRule="auto"/>
        <w:jc w:val="both"/>
        <w:outlineLvl w:val="0"/>
        <w:rPr>
          <w:rFonts w:ascii="Times New Roman" w:hAnsi="Times New Roman"/>
          <w:sz w:val="20"/>
          <w:szCs w:val="20"/>
        </w:rPr>
      </w:pPr>
    </w:p>
    <w:p w:rsidR="00DC6CB1" w:rsidRPr="00DC6CB1" w:rsidRDefault="00DC6CB1" w:rsidP="00DC6CB1">
      <w:pPr>
        <w:adjustRightInd w:val="0"/>
        <w:spacing w:after="0" w:line="240" w:lineRule="auto"/>
        <w:jc w:val="both"/>
        <w:outlineLvl w:val="0"/>
        <w:rPr>
          <w:rFonts w:ascii="Times New Roman" w:hAnsi="Times New Roman"/>
          <w:b/>
          <w:bCs/>
          <w:sz w:val="20"/>
          <w:szCs w:val="20"/>
        </w:rPr>
      </w:pPr>
      <w:r w:rsidRPr="00DC6CB1">
        <w:rPr>
          <w:rFonts w:ascii="Times New Roman" w:hAnsi="Times New Roman"/>
          <w:b/>
          <w:bCs/>
          <w:sz w:val="20"/>
          <w:szCs w:val="20"/>
        </w:rPr>
        <w:t xml:space="preserve">Total phenolic content assay </w:t>
      </w:r>
    </w:p>
    <w:p w:rsidR="00DC6CB1" w:rsidRPr="00DC6CB1" w:rsidRDefault="00DC6CB1" w:rsidP="00DC6CB1">
      <w:pPr>
        <w:adjustRightInd w:val="0"/>
        <w:spacing w:after="0" w:line="240" w:lineRule="auto"/>
        <w:jc w:val="both"/>
        <w:outlineLvl w:val="0"/>
        <w:rPr>
          <w:rFonts w:ascii="Times New Roman" w:hAnsi="Times New Roman"/>
          <w:sz w:val="20"/>
          <w:szCs w:val="20"/>
        </w:rPr>
      </w:pPr>
      <w:r w:rsidRPr="00DC6CB1">
        <w:rPr>
          <w:rFonts w:ascii="Times New Roman" w:hAnsi="Times New Roman"/>
          <w:sz w:val="20"/>
          <w:szCs w:val="20"/>
        </w:rPr>
        <w:t xml:space="preserve">The total phenolic content </w:t>
      </w:r>
      <w:r w:rsidRPr="00DC6CB1">
        <w:rPr>
          <w:rFonts w:ascii="Times New Roman" w:hAnsi="Times New Roman"/>
          <w:bCs/>
          <w:sz w:val="20"/>
          <w:szCs w:val="20"/>
        </w:rPr>
        <w:t>(TPC)</w:t>
      </w:r>
      <w:r w:rsidRPr="00DC6CB1">
        <w:rPr>
          <w:rFonts w:ascii="Times New Roman" w:hAnsi="Times New Roman"/>
          <w:b/>
          <w:bCs/>
          <w:sz w:val="20"/>
          <w:szCs w:val="20"/>
        </w:rPr>
        <w:t xml:space="preserve"> </w:t>
      </w:r>
      <w:r w:rsidRPr="00DC6CB1">
        <w:rPr>
          <w:rFonts w:ascii="Times New Roman" w:hAnsi="Times New Roman"/>
          <w:sz w:val="20"/>
          <w:szCs w:val="20"/>
        </w:rPr>
        <w:t>was carried out by using the method of Folin-Ciocalteu. An aliquot (least amount) (1 mL) of extracts or standard solution of gallic acid (100, 200, 300, 400, and 500 μg/mL) was added to 25 mL of volumetric flask, containing 10 ml of decontaminated water. A blank reagent using distilled water was prepared. One mL of Folin-Ciocalteu phenol reagent was added to the mixture and shaken. After 5 mins 10 mL of 7.5% Na</w:t>
      </w:r>
      <w:r w:rsidRPr="00DC6CB1">
        <w:rPr>
          <w:rFonts w:ascii="Times New Roman" w:hAnsi="Times New Roman"/>
          <w:sz w:val="20"/>
          <w:szCs w:val="20"/>
          <w:vertAlign w:val="subscript"/>
        </w:rPr>
        <w:t>2</w:t>
      </w:r>
      <w:r w:rsidRPr="00DC6CB1">
        <w:rPr>
          <w:rFonts w:ascii="Times New Roman" w:hAnsi="Times New Roman"/>
          <w:sz w:val="20"/>
          <w:szCs w:val="20"/>
        </w:rPr>
        <w:t>CO</w:t>
      </w:r>
      <w:r w:rsidRPr="00DC6CB1">
        <w:rPr>
          <w:rFonts w:ascii="Times New Roman" w:hAnsi="Times New Roman"/>
          <w:sz w:val="20"/>
          <w:szCs w:val="20"/>
          <w:vertAlign w:val="subscript"/>
        </w:rPr>
        <w:t xml:space="preserve">3 </w:t>
      </w:r>
      <w:r w:rsidRPr="00DC6CB1">
        <w:rPr>
          <w:rFonts w:ascii="Times New Roman" w:hAnsi="Times New Roman"/>
          <w:sz w:val="20"/>
          <w:szCs w:val="20"/>
        </w:rPr>
        <w:t>solution was added to the mixture. The volume was then made up to the mark. Upon completion of incubation for 30-45 minutes at room temperature, the absorbance against the reagent blank was determined at 760 nm with an UV-Visible (Shimadzu Japan). TPC was expressed as mg gallic acid equivalents (GAE) [22].</w:t>
      </w:r>
    </w:p>
    <w:p w:rsidR="00DC6CB1" w:rsidRPr="00DC6CB1" w:rsidRDefault="00DC6CB1" w:rsidP="00DC6CB1">
      <w:pPr>
        <w:spacing w:after="0" w:line="240" w:lineRule="auto"/>
        <w:jc w:val="both"/>
        <w:outlineLvl w:val="0"/>
        <w:rPr>
          <w:rFonts w:ascii="Times New Roman" w:hAnsi="Times New Roman"/>
          <w:sz w:val="20"/>
          <w:szCs w:val="20"/>
        </w:rPr>
      </w:pPr>
    </w:p>
    <w:p w:rsidR="00DC6CB1" w:rsidRPr="00DC6CB1" w:rsidRDefault="00DC6CB1" w:rsidP="00DC6CB1">
      <w:pPr>
        <w:spacing w:after="0" w:line="240" w:lineRule="auto"/>
        <w:jc w:val="both"/>
        <w:outlineLvl w:val="0"/>
        <w:rPr>
          <w:rFonts w:ascii="Times New Roman" w:hAnsi="Times New Roman"/>
          <w:b/>
          <w:sz w:val="20"/>
          <w:szCs w:val="20"/>
        </w:rPr>
      </w:pPr>
      <w:r w:rsidRPr="00DC6CB1">
        <w:rPr>
          <w:rFonts w:ascii="Times New Roman" w:hAnsi="Times New Roman"/>
          <w:b/>
          <w:sz w:val="20"/>
          <w:szCs w:val="20"/>
        </w:rPr>
        <w:t xml:space="preserve">Total flavonoid content assay </w:t>
      </w:r>
    </w:p>
    <w:p w:rsidR="00DC6CB1" w:rsidRPr="00DC6CB1" w:rsidRDefault="00DC6CB1" w:rsidP="00DC6CB1">
      <w:pPr>
        <w:spacing w:after="0" w:line="240" w:lineRule="auto"/>
        <w:jc w:val="both"/>
        <w:outlineLvl w:val="0"/>
        <w:rPr>
          <w:rFonts w:ascii="Times New Roman" w:hAnsi="Times New Roman"/>
          <w:sz w:val="20"/>
          <w:szCs w:val="20"/>
        </w:rPr>
      </w:pPr>
      <w:r w:rsidRPr="00DC6CB1">
        <w:rPr>
          <w:rFonts w:ascii="Times New Roman" w:hAnsi="Times New Roman"/>
          <w:sz w:val="20"/>
          <w:szCs w:val="20"/>
        </w:rPr>
        <w:t>In this method, quercetin was used as the standard to make the calibration curve. 3.2 mg of quercetin was dissolved in 95% ethanol and then diluted to 5, 10, 20, 40, 80, 160, and 320 μg/mL. A calibration curve was made by measuring the absorbance of the dilutions at 415 nm (λ</w:t>
      </w:r>
      <w:r w:rsidRPr="00DC6CB1">
        <w:rPr>
          <w:rFonts w:ascii="Times New Roman" w:hAnsi="Times New Roman"/>
          <w:sz w:val="20"/>
          <w:szCs w:val="20"/>
          <w:vertAlign w:val="subscript"/>
        </w:rPr>
        <w:t>max</w:t>
      </w:r>
      <w:r w:rsidRPr="00DC6CB1">
        <w:rPr>
          <w:rFonts w:ascii="Times New Roman" w:hAnsi="Times New Roman"/>
          <w:sz w:val="20"/>
          <w:szCs w:val="20"/>
        </w:rPr>
        <w:t xml:space="preserve"> of quercetin) with a UV-1800 spectrophotometer Shimadzu Japan. Aluminium chloride (AlCl</w:t>
      </w:r>
      <w:r w:rsidRPr="00DC6CB1">
        <w:rPr>
          <w:rFonts w:ascii="Times New Roman" w:hAnsi="Times New Roman"/>
          <w:sz w:val="20"/>
          <w:szCs w:val="20"/>
          <w:vertAlign w:val="subscript"/>
        </w:rPr>
        <w:t>3</w:t>
      </w:r>
      <w:r w:rsidRPr="00DC6CB1">
        <w:rPr>
          <w:rFonts w:ascii="Times New Roman" w:hAnsi="Times New Roman"/>
          <w:sz w:val="20"/>
          <w:szCs w:val="20"/>
        </w:rPr>
        <w:t>), 10 % and potassium acetate, 1 M solution was prepared.</w:t>
      </w:r>
      <w:r w:rsidRPr="00DC6CB1">
        <w:rPr>
          <w:rFonts w:ascii="Times New Roman" w:hAnsi="Times New Roman"/>
          <w:b/>
          <w:bCs/>
          <w:sz w:val="20"/>
          <w:szCs w:val="20"/>
        </w:rPr>
        <w:t xml:space="preserve"> </w:t>
      </w:r>
      <w:r w:rsidRPr="00DC6CB1">
        <w:rPr>
          <w:rFonts w:ascii="Times New Roman" w:hAnsi="Times New Roman"/>
          <w:bCs/>
          <w:sz w:val="20"/>
          <w:szCs w:val="20"/>
        </w:rPr>
        <w:t>An amount</w:t>
      </w:r>
      <w:r w:rsidRPr="00DC6CB1">
        <w:rPr>
          <w:rFonts w:ascii="Times New Roman" w:hAnsi="Times New Roman"/>
          <w:b/>
          <w:bCs/>
          <w:sz w:val="20"/>
          <w:szCs w:val="20"/>
        </w:rPr>
        <w:t xml:space="preserve"> </w:t>
      </w:r>
      <w:r w:rsidRPr="00DC6CB1">
        <w:rPr>
          <w:rFonts w:ascii="Times New Roman" w:hAnsi="Times New Roman"/>
          <w:sz w:val="20"/>
          <w:szCs w:val="20"/>
        </w:rPr>
        <w:t xml:space="preserve">50 mg of each extract was accurately weighed and transferred to 10 mL volumetric flask and made up the volume with methanol. </w:t>
      </w:r>
      <w:r w:rsidRPr="00DC6CB1">
        <w:rPr>
          <w:rFonts w:ascii="Times New Roman" w:hAnsi="Times New Roman"/>
          <w:b/>
          <w:bCs/>
          <w:sz w:val="20"/>
          <w:szCs w:val="20"/>
        </w:rPr>
        <w:t xml:space="preserve"> </w:t>
      </w:r>
      <w:r w:rsidRPr="00DC6CB1">
        <w:rPr>
          <w:rFonts w:ascii="Times New Roman" w:hAnsi="Times New Roman"/>
          <w:sz w:val="20"/>
          <w:szCs w:val="20"/>
        </w:rPr>
        <w:t>50 μL of each extract stock solution, 2.15 ml ethanol, 0.1 mL AlCl</w:t>
      </w:r>
      <w:r w:rsidRPr="00DC6CB1">
        <w:rPr>
          <w:rFonts w:ascii="Times New Roman" w:hAnsi="Times New Roman"/>
          <w:sz w:val="20"/>
          <w:szCs w:val="20"/>
          <w:vertAlign w:val="subscript"/>
        </w:rPr>
        <w:t>3</w:t>
      </w:r>
      <w:r w:rsidRPr="00DC6CB1">
        <w:rPr>
          <w:rFonts w:ascii="Times New Roman" w:hAnsi="Times New Roman"/>
          <w:sz w:val="20"/>
          <w:szCs w:val="20"/>
        </w:rPr>
        <w:t xml:space="preserve"> 0.1 ml potassium acetate solution and 2.8 mL distilled water were added and mixed well. Sample blank was prepared in a similar way by </w:t>
      </w:r>
      <w:r w:rsidRPr="00DC6CB1">
        <w:rPr>
          <w:rFonts w:ascii="Times New Roman" w:hAnsi="Times New Roman"/>
          <w:sz w:val="20"/>
          <w:szCs w:val="20"/>
        </w:rPr>
        <w:lastRenderedPageBreak/>
        <w:t>replacing AlCl</w:t>
      </w:r>
      <w:r w:rsidRPr="00DC6CB1">
        <w:rPr>
          <w:rFonts w:ascii="Times New Roman" w:hAnsi="Times New Roman"/>
          <w:sz w:val="20"/>
          <w:szCs w:val="20"/>
          <w:vertAlign w:val="subscript"/>
        </w:rPr>
        <w:t>3</w:t>
      </w:r>
      <w:r w:rsidRPr="00DC6CB1">
        <w:rPr>
          <w:rFonts w:ascii="Times New Roman" w:hAnsi="Times New Roman"/>
          <w:sz w:val="20"/>
          <w:szCs w:val="20"/>
        </w:rPr>
        <w:t xml:space="preserve"> with distilled water. Sample and sample blank of all extracts were prepared and their corresponding absorbances were measured at 415 nm. All prepared solutions were filtered through whatmann filter paper before measuring. Total flavonoid content (TFC) was expressed as mg of quercetin equivalent (QE) [23]. TFC was computed by using the following formula:</w:t>
      </w:r>
    </w:p>
    <w:p w:rsidR="00DC6CB1" w:rsidRPr="00DC6CB1" w:rsidRDefault="00DC6CB1" w:rsidP="00DC6CB1">
      <w:pPr>
        <w:spacing w:after="0" w:line="240" w:lineRule="auto"/>
        <w:jc w:val="both"/>
        <w:outlineLvl w:val="0"/>
        <w:rPr>
          <w:rFonts w:ascii="Times New Roman" w:hAnsi="Times New Roman"/>
          <w:sz w:val="20"/>
          <w:szCs w:val="20"/>
        </w:rPr>
      </w:pPr>
    </w:p>
    <w:p w:rsidR="00DC6CB1" w:rsidRPr="00DC6CB1" w:rsidRDefault="00DC6CB1" w:rsidP="00DC6CB1">
      <w:pPr>
        <w:adjustRightInd w:val="0"/>
        <w:spacing w:after="0" w:line="240" w:lineRule="auto"/>
        <w:jc w:val="both"/>
        <w:outlineLvl w:val="0"/>
        <w:rPr>
          <w:rFonts w:ascii="Times New Roman" w:hAnsi="Times New Roman"/>
          <w:sz w:val="20"/>
          <w:szCs w:val="20"/>
        </w:rPr>
      </w:pPr>
      <w:r w:rsidRPr="00DC6CB1">
        <w:rPr>
          <w:rFonts w:ascii="Times New Roman" w:hAnsi="Times New Roman"/>
          <w:bCs/>
          <w:sz w:val="20"/>
          <w:szCs w:val="20"/>
        </w:rPr>
        <w:t xml:space="preserve">             TFC</w:t>
      </w:r>
      <w:r w:rsidRPr="00DC6CB1">
        <w:rPr>
          <w:rFonts w:ascii="Times New Roman" w:hAnsi="Times New Roman"/>
          <w:b/>
          <w:bCs/>
          <w:sz w:val="20"/>
          <w:szCs w:val="20"/>
        </w:rPr>
        <w:t xml:space="preserve"> </w:t>
      </w:r>
      <w:r w:rsidRPr="00DC6CB1">
        <w:rPr>
          <w:rFonts w:ascii="Times New Roman" w:hAnsi="Times New Roman"/>
          <w:sz w:val="20"/>
          <w:szCs w:val="20"/>
        </w:rPr>
        <w:t>= (</w:t>
      </w:r>
      <w:r w:rsidRPr="00DC6CB1">
        <w:rPr>
          <w:rFonts w:ascii="Times New Roman" w:hAnsi="Times New Roman"/>
          <w:i/>
          <w:sz w:val="20"/>
          <w:szCs w:val="20"/>
        </w:rPr>
        <w:t>R× D. F× V×100</w:t>
      </w:r>
      <w:r w:rsidRPr="00DC6CB1">
        <w:rPr>
          <w:rFonts w:ascii="Times New Roman" w:hAnsi="Times New Roman"/>
          <w:sz w:val="20"/>
          <w:szCs w:val="20"/>
        </w:rPr>
        <w:t xml:space="preserve">) / W.                                                 </w:t>
      </w:r>
      <w:r w:rsidRPr="00DC6CB1">
        <w:rPr>
          <w:rFonts w:ascii="Times New Roman" w:hAnsi="Times New Roman"/>
          <w:sz w:val="20"/>
          <w:szCs w:val="20"/>
        </w:rPr>
        <w:tab/>
      </w:r>
      <w:r w:rsidRPr="00DC6CB1">
        <w:rPr>
          <w:rFonts w:ascii="Times New Roman" w:hAnsi="Times New Roman"/>
          <w:sz w:val="20"/>
          <w:szCs w:val="20"/>
        </w:rPr>
        <w:tab/>
      </w:r>
      <w:r w:rsidRPr="00DC6CB1">
        <w:rPr>
          <w:rFonts w:ascii="Times New Roman" w:hAnsi="Times New Roman"/>
          <w:sz w:val="20"/>
          <w:szCs w:val="20"/>
        </w:rPr>
        <w:tab/>
      </w:r>
      <w:r w:rsidRPr="00DC6CB1">
        <w:rPr>
          <w:rFonts w:ascii="Times New Roman" w:hAnsi="Times New Roman"/>
          <w:sz w:val="20"/>
          <w:szCs w:val="20"/>
        </w:rPr>
        <w:tab/>
        <w:t xml:space="preserve">                </w:t>
      </w:r>
      <w:r>
        <w:rPr>
          <w:rFonts w:ascii="Times New Roman" w:hAnsi="Times New Roman"/>
          <w:sz w:val="20"/>
          <w:szCs w:val="20"/>
        </w:rPr>
        <w:t xml:space="preserve">      </w:t>
      </w:r>
      <w:r w:rsidRPr="00DC6CB1">
        <w:rPr>
          <w:rFonts w:ascii="Times New Roman" w:hAnsi="Times New Roman"/>
          <w:sz w:val="20"/>
          <w:szCs w:val="20"/>
        </w:rPr>
        <w:t xml:space="preserve"> (1)</w:t>
      </w:r>
    </w:p>
    <w:p w:rsidR="00DC6CB1" w:rsidRPr="00DC6CB1" w:rsidRDefault="00DC6CB1" w:rsidP="00DC6CB1">
      <w:pPr>
        <w:adjustRightInd w:val="0"/>
        <w:spacing w:after="0" w:line="240" w:lineRule="auto"/>
        <w:jc w:val="both"/>
        <w:outlineLvl w:val="0"/>
        <w:rPr>
          <w:rFonts w:ascii="Times New Roman" w:hAnsi="Times New Roman"/>
          <w:sz w:val="20"/>
          <w:szCs w:val="20"/>
        </w:rPr>
      </w:pPr>
    </w:p>
    <w:p w:rsidR="00DC6CB1" w:rsidRPr="00DC6CB1" w:rsidRDefault="00DC6CB1" w:rsidP="00DC6CB1">
      <w:pPr>
        <w:adjustRightInd w:val="0"/>
        <w:spacing w:after="0" w:line="240" w:lineRule="auto"/>
        <w:jc w:val="both"/>
        <w:outlineLvl w:val="0"/>
        <w:rPr>
          <w:rFonts w:ascii="Times New Roman" w:hAnsi="Times New Roman"/>
          <w:sz w:val="20"/>
          <w:szCs w:val="20"/>
        </w:rPr>
      </w:pPr>
      <w:r>
        <w:rPr>
          <w:rFonts w:ascii="Times New Roman" w:hAnsi="Times New Roman"/>
          <w:sz w:val="20"/>
          <w:szCs w:val="20"/>
        </w:rPr>
        <w:t>w</w:t>
      </w:r>
      <w:r w:rsidRPr="00DC6CB1">
        <w:rPr>
          <w:rFonts w:ascii="Times New Roman" w:hAnsi="Times New Roman"/>
          <w:sz w:val="20"/>
          <w:szCs w:val="20"/>
        </w:rPr>
        <w:t>here, R - result obtained from the standard curve, D.F - dilution factor, V - volume of stock solution, 100 - For 100 g dried plant, W - weight of plants used in the experiment.</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482D57" w:rsidRPr="00482D57" w:rsidRDefault="00482D57" w:rsidP="00482D57">
      <w:pPr>
        <w:spacing w:after="0" w:line="240" w:lineRule="auto"/>
        <w:jc w:val="both"/>
        <w:outlineLvl w:val="0"/>
        <w:rPr>
          <w:rFonts w:ascii="Times New Roman" w:hAnsi="Times New Roman"/>
          <w:b/>
          <w:sz w:val="20"/>
          <w:szCs w:val="20"/>
        </w:rPr>
      </w:pPr>
      <w:r w:rsidRPr="00482D57">
        <w:rPr>
          <w:rFonts w:ascii="Times New Roman" w:hAnsi="Times New Roman"/>
          <w:b/>
          <w:sz w:val="20"/>
          <w:szCs w:val="20"/>
        </w:rPr>
        <w:t>Percentage yield of extracts</w:t>
      </w:r>
    </w:p>
    <w:p w:rsidR="00482D57" w:rsidRPr="00482D57" w:rsidRDefault="00482D57" w:rsidP="00482D57">
      <w:pPr>
        <w:spacing w:after="0" w:line="240" w:lineRule="auto"/>
        <w:jc w:val="both"/>
        <w:outlineLvl w:val="0"/>
        <w:rPr>
          <w:rFonts w:ascii="Times New Roman" w:hAnsi="Times New Roman"/>
          <w:sz w:val="20"/>
          <w:szCs w:val="20"/>
        </w:rPr>
      </w:pPr>
      <w:r w:rsidRPr="00482D57">
        <w:rPr>
          <w:rFonts w:ascii="Times New Roman" w:hAnsi="Times New Roman"/>
          <w:sz w:val="20"/>
          <w:szCs w:val="20"/>
        </w:rPr>
        <w:t xml:space="preserve">The percentage yield for the various solvent extracts of tepal of </w:t>
      </w:r>
      <w:r w:rsidRPr="00482D57">
        <w:rPr>
          <w:rFonts w:ascii="Times New Roman" w:hAnsi="Times New Roman"/>
          <w:i/>
          <w:sz w:val="20"/>
          <w:szCs w:val="20"/>
        </w:rPr>
        <w:t xml:space="preserve">Musa paradisiaca </w:t>
      </w:r>
      <w:r w:rsidRPr="00482D57">
        <w:rPr>
          <w:rFonts w:ascii="Times New Roman" w:hAnsi="Times New Roman"/>
          <w:sz w:val="20"/>
          <w:szCs w:val="20"/>
        </w:rPr>
        <w:t xml:space="preserve">is shown in Table 1. Ethanolic tepal extract (ETE) has the highest percentage yield when compared to the methanolic and aqueous extract of the flower. </w:t>
      </w:r>
    </w:p>
    <w:p w:rsidR="00482D57" w:rsidRDefault="00482D57" w:rsidP="00482D57">
      <w:pPr>
        <w:spacing w:after="0" w:line="240" w:lineRule="auto"/>
        <w:jc w:val="both"/>
        <w:outlineLvl w:val="0"/>
        <w:rPr>
          <w:rFonts w:ascii="Times New Roman" w:hAnsi="Times New Roman"/>
          <w:sz w:val="20"/>
          <w:szCs w:val="20"/>
        </w:rPr>
      </w:pPr>
    </w:p>
    <w:p w:rsidR="006225F9" w:rsidRPr="00482D57" w:rsidRDefault="006225F9" w:rsidP="00482D57">
      <w:pPr>
        <w:spacing w:after="0" w:line="240" w:lineRule="auto"/>
        <w:jc w:val="both"/>
        <w:outlineLvl w:val="0"/>
        <w:rPr>
          <w:rFonts w:ascii="Times New Roman" w:hAnsi="Times New Roman"/>
          <w:sz w:val="20"/>
          <w:szCs w:val="20"/>
        </w:rPr>
      </w:pPr>
    </w:p>
    <w:p w:rsidR="00482D57" w:rsidRPr="00482D57" w:rsidRDefault="00482D57" w:rsidP="00482D57">
      <w:pPr>
        <w:spacing w:after="120" w:line="240" w:lineRule="auto"/>
        <w:jc w:val="center"/>
        <w:outlineLvl w:val="0"/>
        <w:rPr>
          <w:rFonts w:ascii="Times New Roman" w:hAnsi="Times New Roman"/>
          <w:i/>
          <w:sz w:val="20"/>
          <w:szCs w:val="20"/>
        </w:rPr>
      </w:pPr>
      <w:r w:rsidRPr="00482D57">
        <w:rPr>
          <w:rFonts w:ascii="Times New Roman" w:hAnsi="Times New Roman"/>
          <w:sz w:val="20"/>
          <w:szCs w:val="20"/>
        </w:rPr>
        <w:t xml:space="preserve">Table 1. </w:t>
      </w:r>
      <w:r>
        <w:rPr>
          <w:rFonts w:ascii="Times New Roman" w:hAnsi="Times New Roman"/>
          <w:sz w:val="20"/>
          <w:szCs w:val="20"/>
        </w:rPr>
        <w:t xml:space="preserve"> </w:t>
      </w:r>
      <w:r w:rsidRPr="00482D57">
        <w:rPr>
          <w:rFonts w:ascii="Times New Roman" w:hAnsi="Times New Roman"/>
          <w:sz w:val="20"/>
          <w:szCs w:val="20"/>
        </w:rPr>
        <w:t xml:space="preserve">Percentage yield of various solvent extracts of tepal of </w:t>
      </w:r>
      <w:r w:rsidRPr="00482D57">
        <w:rPr>
          <w:rFonts w:ascii="Times New Roman" w:hAnsi="Times New Roman"/>
          <w:i/>
          <w:sz w:val="20"/>
          <w:szCs w:val="20"/>
        </w:rPr>
        <w:t>Musa paradisiaca</w:t>
      </w:r>
    </w:p>
    <w:tbl>
      <w:tblPr>
        <w:tblW w:w="0" w:type="auto"/>
        <w:jc w:val="center"/>
        <w:tblInd w:w="543" w:type="dxa"/>
        <w:tblLayout w:type="fixed"/>
        <w:tblLook w:val="04A0" w:firstRow="1" w:lastRow="0" w:firstColumn="1" w:lastColumn="0" w:noHBand="0" w:noVBand="1"/>
      </w:tblPr>
      <w:tblGrid>
        <w:gridCol w:w="2430"/>
        <w:gridCol w:w="1530"/>
        <w:gridCol w:w="1530"/>
        <w:gridCol w:w="1741"/>
      </w:tblGrid>
      <w:tr w:rsidR="006225F9" w:rsidRPr="00482D57" w:rsidTr="006225F9">
        <w:trPr>
          <w:jc w:val="center"/>
        </w:trPr>
        <w:tc>
          <w:tcPr>
            <w:tcW w:w="2430" w:type="dxa"/>
            <w:tcBorders>
              <w:top w:val="single" w:sz="4" w:space="0" w:color="auto"/>
              <w:left w:val="nil"/>
              <w:bottom w:val="single" w:sz="4" w:space="0" w:color="auto"/>
              <w:right w:val="nil"/>
            </w:tcBorders>
            <w:hideMark/>
          </w:tcPr>
          <w:p w:rsidR="006225F9" w:rsidRPr="00482D57" w:rsidRDefault="006225F9" w:rsidP="006225F9">
            <w:pPr>
              <w:spacing w:before="60" w:after="60" w:line="240" w:lineRule="auto"/>
              <w:outlineLvl w:val="0"/>
              <w:rPr>
                <w:rFonts w:ascii="Times New Roman" w:hAnsi="Times New Roman"/>
                <w:b/>
                <w:sz w:val="20"/>
                <w:szCs w:val="20"/>
              </w:rPr>
            </w:pPr>
            <w:r w:rsidRPr="00482D57">
              <w:rPr>
                <w:rFonts w:ascii="Times New Roman" w:hAnsi="Times New Roman"/>
                <w:b/>
                <w:sz w:val="20"/>
                <w:szCs w:val="20"/>
              </w:rPr>
              <w:t xml:space="preserve">Extract                                            </w:t>
            </w:r>
          </w:p>
        </w:tc>
        <w:tc>
          <w:tcPr>
            <w:tcW w:w="1530" w:type="dxa"/>
            <w:tcBorders>
              <w:top w:val="single" w:sz="4" w:space="0" w:color="auto"/>
              <w:left w:val="nil"/>
              <w:bottom w:val="single" w:sz="4" w:space="0" w:color="auto"/>
              <w:right w:val="nil"/>
            </w:tcBorders>
          </w:tcPr>
          <w:p w:rsidR="006225F9" w:rsidRPr="00482D57" w:rsidRDefault="006225F9" w:rsidP="006225F9">
            <w:pPr>
              <w:spacing w:before="60" w:after="60" w:line="240" w:lineRule="auto"/>
              <w:jc w:val="center"/>
              <w:outlineLvl w:val="0"/>
              <w:rPr>
                <w:rFonts w:ascii="Times New Roman" w:hAnsi="Times New Roman"/>
                <w:b/>
                <w:sz w:val="20"/>
                <w:szCs w:val="20"/>
              </w:rPr>
            </w:pPr>
            <w:r>
              <w:rPr>
                <w:rFonts w:ascii="Times New Roman" w:hAnsi="Times New Roman"/>
                <w:b/>
                <w:sz w:val="20"/>
                <w:szCs w:val="20"/>
              </w:rPr>
              <w:t>Initial weight</w:t>
            </w:r>
          </w:p>
        </w:tc>
        <w:tc>
          <w:tcPr>
            <w:tcW w:w="1530" w:type="dxa"/>
            <w:tcBorders>
              <w:top w:val="single" w:sz="4" w:space="0" w:color="auto"/>
              <w:left w:val="nil"/>
              <w:bottom w:val="single" w:sz="4" w:space="0" w:color="auto"/>
              <w:right w:val="nil"/>
            </w:tcBorders>
          </w:tcPr>
          <w:p w:rsidR="006225F9" w:rsidRPr="00482D57" w:rsidRDefault="006225F9" w:rsidP="006225F9">
            <w:pPr>
              <w:spacing w:before="60" w:after="60" w:line="240" w:lineRule="auto"/>
              <w:jc w:val="center"/>
              <w:outlineLvl w:val="0"/>
              <w:rPr>
                <w:rFonts w:ascii="Times New Roman" w:hAnsi="Times New Roman"/>
                <w:b/>
                <w:sz w:val="20"/>
                <w:szCs w:val="20"/>
              </w:rPr>
            </w:pPr>
            <w:r>
              <w:rPr>
                <w:rFonts w:ascii="Times New Roman" w:hAnsi="Times New Roman"/>
                <w:b/>
                <w:sz w:val="20"/>
                <w:szCs w:val="20"/>
              </w:rPr>
              <w:t>Final weight</w:t>
            </w:r>
          </w:p>
        </w:tc>
        <w:tc>
          <w:tcPr>
            <w:tcW w:w="1741" w:type="dxa"/>
            <w:tcBorders>
              <w:top w:val="single" w:sz="4" w:space="0" w:color="auto"/>
              <w:left w:val="nil"/>
              <w:bottom w:val="single" w:sz="4" w:space="0" w:color="auto"/>
              <w:right w:val="nil"/>
            </w:tcBorders>
          </w:tcPr>
          <w:p w:rsidR="006225F9" w:rsidRPr="00482D57" w:rsidRDefault="006225F9" w:rsidP="006225F9">
            <w:pPr>
              <w:spacing w:before="60" w:after="60" w:line="240" w:lineRule="auto"/>
              <w:jc w:val="center"/>
              <w:outlineLvl w:val="0"/>
              <w:rPr>
                <w:rFonts w:ascii="Times New Roman" w:hAnsi="Times New Roman"/>
                <w:b/>
                <w:sz w:val="20"/>
                <w:szCs w:val="20"/>
              </w:rPr>
            </w:pPr>
            <w:r>
              <w:rPr>
                <w:rFonts w:ascii="Times New Roman" w:hAnsi="Times New Roman"/>
                <w:b/>
                <w:sz w:val="20"/>
                <w:szCs w:val="20"/>
              </w:rPr>
              <w:t>% Yeild</w:t>
            </w:r>
          </w:p>
        </w:tc>
      </w:tr>
      <w:tr w:rsidR="006225F9" w:rsidRPr="00482D57" w:rsidTr="006225F9">
        <w:trPr>
          <w:jc w:val="center"/>
        </w:trPr>
        <w:tc>
          <w:tcPr>
            <w:tcW w:w="2430" w:type="dxa"/>
            <w:tcBorders>
              <w:top w:val="single" w:sz="4" w:space="0" w:color="auto"/>
              <w:left w:val="nil"/>
              <w:bottom w:val="nil"/>
              <w:right w:val="nil"/>
            </w:tcBorders>
            <w:hideMark/>
          </w:tcPr>
          <w:p w:rsidR="006225F9" w:rsidRPr="00482D57" w:rsidRDefault="006225F9" w:rsidP="006225F9">
            <w:pPr>
              <w:spacing w:before="60" w:after="0" w:line="240" w:lineRule="auto"/>
              <w:outlineLvl w:val="0"/>
              <w:rPr>
                <w:rFonts w:ascii="Times New Roman" w:hAnsi="Times New Roman"/>
                <w:sz w:val="20"/>
                <w:szCs w:val="20"/>
              </w:rPr>
            </w:pPr>
            <w:r w:rsidRPr="00482D57">
              <w:rPr>
                <w:rFonts w:ascii="Times New Roman" w:hAnsi="Times New Roman"/>
                <w:sz w:val="20"/>
                <w:szCs w:val="20"/>
              </w:rPr>
              <w:t xml:space="preserve">Tepal (methanol)               </w:t>
            </w:r>
          </w:p>
        </w:tc>
        <w:tc>
          <w:tcPr>
            <w:tcW w:w="1530" w:type="dxa"/>
            <w:tcBorders>
              <w:top w:val="single" w:sz="4" w:space="0" w:color="auto"/>
              <w:left w:val="nil"/>
              <w:bottom w:val="nil"/>
              <w:right w:val="nil"/>
            </w:tcBorders>
          </w:tcPr>
          <w:p w:rsidR="006225F9" w:rsidRPr="00482D57" w:rsidRDefault="006225F9" w:rsidP="006225F9">
            <w:pPr>
              <w:spacing w:before="60" w:after="0" w:line="240" w:lineRule="auto"/>
              <w:jc w:val="center"/>
              <w:outlineLvl w:val="0"/>
              <w:rPr>
                <w:rFonts w:ascii="Times New Roman" w:hAnsi="Times New Roman"/>
                <w:sz w:val="20"/>
                <w:szCs w:val="20"/>
              </w:rPr>
            </w:pPr>
            <w:r w:rsidRPr="00482D57">
              <w:rPr>
                <w:rFonts w:ascii="Times New Roman" w:hAnsi="Times New Roman"/>
                <w:sz w:val="20"/>
                <w:szCs w:val="20"/>
              </w:rPr>
              <w:t>508.9</w:t>
            </w:r>
          </w:p>
        </w:tc>
        <w:tc>
          <w:tcPr>
            <w:tcW w:w="1530" w:type="dxa"/>
            <w:tcBorders>
              <w:top w:val="single" w:sz="4" w:space="0" w:color="auto"/>
              <w:left w:val="nil"/>
              <w:bottom w:val="nil"/>
              <w:right w:val="nil"/>
            </w:tcBorders>
          </w:tcPr>
          <w:p w:rsidR="006225F9" w:rsidRPr="00482D57" w:rsidRDefault="006225F9" w:rsidP="006225F9">
            <w:pPr>
              <w:spacing w:before="60" w:after="0" w:line="240" w:lineRule="auto"/>
              <w:jc w:val="center"/>
              <w:outlineLvl w:val="0"/>
              <w:rPr>
                <w:rFonts w:ascii="Times New Roman" w:hAnsi="Times New Roman"/>
                <w:sz w:val="20"/>
                <w:szCs w:val="20"/>
              </w:rPr>
            </w:pPr>
            <w:r>
              <w:rPr>
                <w:rFonts w:ascii="Times New Roman" w:hAnsi="Times New Roman"/>
                <w:sz w:val="20"/>
                <w:szCs w:val="20"/>
              </w:rPr>
              <w:t>7.53</w:t>
            </w:r>
          </w:p>
        </w:tc>
        <w:tc>
          <w:tcPr>
            <w:tcW w:w="1741" w:type="dxa"/>
            <w:tcBorders>
              <w:top w:val="single" w:sz="4" w:space="0" w:color="auto"/>
              <w:left w:val="nil"/>
              <w:bottom w:val="nil"/>
              <w:right w:val="nil"/>
            </w:tcBorders>
          </w:tcPr>
          <w:p w:rsidR="006225F9" w:rsidRPr="00482D57" w:rsidRDefault="006225F9" w:rsidP="006225F9">
            <w:pPr>
              <w:spacing w:before="60" w:after="0" w:line="240" w:lineRule="auto"/>
              <w:jc w:val="center"/>
              <w:outlineLvl w:val="0"/>
              <w:rPr>
                <w:rFonts w:ascii="Times New Roman" w:hAnsi="Times New Roman"/>
                <w:sz w:val="20"/>
                <w:szCs w:val="20"/>
              </w:rPr>
            </w:pPr>
            <w:r>
              <w:rPr>
                <w:rFonts w:ascii="Times New Roman" w:hAnsi="Times New Roman"/>
                <w:sz w:val="20"/>
                <w:szCs w:val="20"/>
              </w:rPr>
              <w:t>1.50</w:t>
            </w:r>
          </w:p>
        </w:tc>
      </w:tr>
      <w:tr w:rsidR="006225F9" w:rsidRPr="00482D57" w:rsidTr="006225F9">
        <w:trPr>
          <w:jc w:val="center"/>
        </w:trPr>
        <w:tc>
          <w:tcPr>
            <w:tcW w:w="2430" w:type="dxa"/>
            <w:tcBorders>
              <w:top w:val="nil"/>
              <w:left w:val="nil"/>
              <w:bottom w:val="nil"/>
              <w:right w:val="nil"/>
            </w:tcBorders>
            <w:hideMark/>
          </w:tcPr>
          <w:p w:rsidR="006225F9" w:rsidRPr="00482D57" w:rsidRDefault="006225F9" w:rsidP="006225F9">
            <w:pPr>
              <w:spacing w:before="60" w:after="0" w:line="240" w:lineRule="auto"/>
              <w:outlineLvl w:val="0"/>
              <w:rPr>
                <w:rFonts w:ascii="Times New Roman" w:hAnsi="Times New Roman"/>
                <w:sz w:val="20"/>
                <w:szCs w:val="20"/>
              </w:rPr>
            </w:pPr>
            <w:r w:rsidRPr="00482D57">
              <w:rPr>
                <w:rFonts w:ascii="Times New Roman" w:hAnsi="Times New Roman"/>
                <w:sz w:val="20"/>
                <w:szCs w:val="20"/>
              </w:rPr>
              <w:t xml:space="preserve">Tepal (ethanol)                   </w:t>
            </w:r>
          </w:p>
        </w:tc>
        <w:tc>
          <w:tcPr>
            <w:tcW w:w="1530" w:type="dxa"/>
            <w:tcBorders>
              <w:top w:val="nil"/>
              <w:left w:val="nil"/>
              <w:bottom w:val="nil"/>
              <w:right w:val="nil"/>
            </w:tcBorders>
          </w:tcPr>
          <w:p w:rsidR="006225F9" w:rsidRPr="00482D57" w:rsidRDefault="006225F9" w:rsidP="006225F9">
            <w:pPr>
              <w:spacing w:before="60" w:after="0" w:line="240" w:lineRule="auto"/>
              <w:jc w:val="center"/>
              <w:outlineLvl w:val="0"/>
              <w:rPr>
                <w:rFonts w:ascii="Times New Roman" w:hAnsi="Times New Roman"/>
                <w:sz w:val="20"/>
                <w:szCs w:val="20"/>
              </w:rPr>
            </w:pPr>
            <w:r>
              <w:rPr>
                <w:rFonts w:ascii="Times New Roman" w:hAnsi="Times New Roman"/>
                <w:sz w:val="20"/>
                <w:szCs w:val="20"/>
              </w:rPr>
              <w:t>508.9</w:t>
            </w:r>
          </w:p>
        </w:tc>
        <w:tc>
          <w:tcPr>
            <w:tcW w:w="1530" w:type="dxa"/>
            <w:tcBorders>
              <w:top w:val="nil"/>
              <w:left w:val="nil"/>
              <w:bottom w:val="nil"/>
              <w:right w:val="nil"/>
            </w:tcBorders>
          </w:tcPr>
          <w:p w:rsidR="006225F9" w:rsidRPr="00482D57" w:rsidRDefault="006225F9" w:rsidP="006225F9">
            <w:pPr>
              <w:spacing w:before="60" w:after="0" w:line="240" w:lineRule="auto"/>
              <w:jc w:val="center"/>
              <w:outlineLvl w:val="0"/>
              <w:rPr>
                <w:rFonts w:ascii="Times New Roman" w:hAnsi="Times New Roman"/>
                <w:sz w:val="20"/>
                <w:szCs w:val="20"/>
              </w:rPr>
            </w:pPr>
            <w:r>
              <w:rPr>
                <w:rFonts w:ascii="Times New Roman" w:hAnsi="Times New Roman"/>
                <w:sz w:val="20"/>
                <w:szCs w:val="20"/>
              </w:rPr>
              <w:t>7.54</w:t>
            </w:r>
          </w:p>
        </w:tc>
        <w:tc>
          <w:tcPr>
            <w:tcW w:w="1741" w:type="dxa"/>
            <w:tcBorders>
              <w:top w:val="nil"/>
              <w:left w:val="nil"/>
              <w:bottom w:val="nil"/>
              <w:right w:val="nil"/>
            </w:tcBorders>
          </w:tcPr>
          <w:p w:rsidR="006225F9" w:rsidRPr="00482D57" w:rsidRDefault="006225F9" w:rsidP="006225F9">
            <w:pPr>
              <w:spacing w:before="60" w:after="0" w:line="240" w:lineRule="auto"/>
              <w:jc w:val="center"/>
              <w:outlineLvl w:val="0"/>
              <w:rPr>
                <w:rFonts w:ascii="Times New Roman" w:hAnsi="Times New Roman"/>
                <w:sz w:val="20"/>
                <w:szCs w:val="20"/>
              </w:rPr>
            </w:pPr>
            <w:r>
              <w:rPr>
                <w:rFonts w:ascii="Times New Roman" w:hAnsi="Times New Roman"/>
                <w:sz w:val="20"/>
                <w:szCs w:val="20"/>
              </w:rPr>
              <w:t>1.51</w:t>
            </w:r>
          </w:p>
        </w:tc>
      </w:tr>
      <w:tr w:rsidR="006225F9" w:rsidRPr="00482D57" w:rsidTr="006225F9">
        <w:trPr>
          <w:jc w:val="center"/>
        </w:trPr>
        <w:tc>
          <w:tcPr>
            <w:tcW w:w="2430" w:type="dxa"/>
            <w:tcBorders>
              <w:top w:val="nil"/>
              <w:left w:val="nil"/>
              <w:bottom w:val="single" w:sz="4" w:space="0" w:color="auto"/>
              <w:right w:val="nil"/>
            </w:tcBorders>
            <w:hideMark/>
          </w:tcPr>
          <w:p w:rsidR="006225F9" w:rsidRPr="00482D57" w:rsidRDefault="006225F9" w:rsidP="006225F9">
            <w:pPr>
              <w:spacing w:before="60" w:after="60" w:line="240" w:lineRule="auto"/>
              <w:outlineLvl w:val="0"/>
              <w:rPr>
                <w:rFonts w:ascii="Times New Roman" w:hAnsi="Times New Roman"/>
                <w:sz w:val="20"/>
                <w:szCs w:val="20"/>
              </w:rPr>
            </w:pPr>
            <w:r w:rsidRPr="00482D57">
              <w:rPr>
                <w:rFonts w:ascii="Times New Roman" w:hAnsi="Times New Roman"/>
                <w:sz w:val="20"/>
                <w:szCs w:val="20"/>
              </w:rPr>
              <w:t xml:space="preserve">Tepal (aqueous)                   </w:t>
            </w:r>
          </w:p>
        </w:tc>
        <w:tc>
          <w:tcPr>
            <w:tcW w:w="1530" w:type="dxa"/>
            <w:tcBorders>
              <w:top w:val="nil"/>
              <w:left w:val="nil"/>
              <w:bottom w:val="single" w:sz="4" w:space="0" w:color="auto"/>
              <w:right w:val="nil"/>
            </w:tcBorders>
          </w:tcPr>
          <w:p w:rsidR="006225F9" w:rsidRPr="00482D57" w:rsidRDefault="006225F9" w:rsidP="006225F9">
            <w:pPr>
              <w:spacing w:before="60" w:after="60" w:line="240" w:lineRule="auto"/>
              <w:jc w:val="center"/>
              <w:outlineLvl w:val="0"/>
              <w:rPr>
                <w:rFonts w:ascii="Times New Roman" w:hAnsi="Times New Roman"/>
                <w:sz w:val="20"/>
                <w:szCs w:val="20"/>
              </w:rPr>
            </w:pPr>
            <w:r>
              <w:rPr>
                <w:rFonts w:ascii="Times New Roman" w:hAnsi="Times New Roman"/>
                <w:sz w:val="20"/>
                <w:szCs w:val="20"/>
              </w:rPr>
              <w:t>508.9</w:t>
            </w:r>
          </w:p>
        </w:tc>
        <w:tc>
          <w:tcPr>
            <w:tcW w:w="1530" w:type="dxa"/>
            <w:tcBorders>
              <w:top w:val="nil"/>
              <w:left w:val="nil"/>
              <w:bottom w:val="single" w:sz="4" w:space="0" w:color="auto"/>
              <w:right w:val="nil"/>
            </w:tcBorders>
          </w:tcPr>
          <w:p w:rsidR="006225F9" w:rsidRPr="00482D57" w:rsidRDefault="006225F9" w:rsidP="006225F9">
            <w:pPr>
              <w:spacing w:before="60" w:after="60" w:line="240" w:lineRule="auto"/>
              <w:jc w:val="center"/>
              <w:outlineLvl w:val="0"/>
              <w:rPr>
                <w:rFonts w:ascii="Times New Roman" w:hAnsi="Times New Roman"/>
                <w:sz w:val="20"/>
                <w:szCs w:val="20"/>
              </w:rPr>
            </w:pPr>
            <w:r>
              <w:rPr>
                <w:rFonts w:ascii="Times New Roman" w:hAnsi="Times New Roman"/>
                <w:sz w:val="20"/>
                <w:szCs w:val="20"/>
              </w:rPr>
              <w:t>7.13</w:t>
            </w:r>
          </w:p>
        </w:tc>
        <w:tc>
          <w:tcPr>
            <w:tcW w:w="1741" w:type="dxa"/>
            <w:tcBorders>
              <w:top w:val="nil"/>
              <w:left w:val="nil"/>
              <w:bottom w:val="single" w:sz="4" w:space="0" w:color="auto"/>
              <w:right w:val="nil"/>
            </w:tcBorders>
          </w:tcPr>
          <w:p w:rsidR="006225F9" w:rsidRPr="00482D57" w:rsidRDefault="006225F9" w:rsidP="006225F9">
            <w:pPr>
              <w:spacing w:before="60" w:after="60" w:line="240" w:lineRule="auto"/>
              <w:jc w:val="center"/>
              <w:outlineLvl w:val="0"/>
              <w:rPr>
                <w:rFonts w:ascii="Times New Roman" w:hAnsi="Times New Roman"/>
                <w:sz w:val="20"/>
                <w:szCs w:val="20"/>
              </w:rPr>
            </w:pPr>
            <w:r>
              <w:rPr>
                <w:rFonts w:ascii="Times New Roman" w:hAnsi="Times New Roman"/>
                <w:sz w:val="20"/>
                <w:szCs w:val="20"/>
              </w:rPr>
              <w:t>1.40</w:t>
            </w:r>
          </w:p>
        </w:tc>
      </w:tr>
    </w:tbl>
    <w:p w:rsidR="00482D57" w:rsidRDefault="00482D57" w:rsidP="00482D57">
      <w:pPr>
        <w:spacing w:after="0" w:line="240" w:lineRule="auto"/>
        <w:jc w:val="both"/>
        <w:outlineLvl w:val="0"/>
        <w:rPr>
          <w:rFonts w:ascii="Times New Roman" w:hAnsi="Times New Roman"/>
          <w:b/>
          <w:sz w:val="20"/>
          <w:szCs w:val="20"/>
        </w:rPr>
      </w:pPr>
    </w:p>
    <w:p w:rsidR="00482D57" w:rsidRPr="00482D57" w:rsidRDefault="00482D57" w:rsidP="00482D57">
      <w:pPr>
        <w:spacing w:after="0" w:line="240" w:lineRule="auto"/>
        <w:jc w:val="both"/>
        <w:outlineLvl w:val="0"/>
        <w:rPr>
          <w:rFonts w:ascii="Times New Roman" w:hAnsi="Times New Roman"/>
          <w:b/>
          <w:sz w:val="20"/>
          <w:szCs w:val="20"/>
        </w:rPr>
      </w:pPr>
    </w:p>
    <w:p w:rsidR="00482D57" w:rsidRPr="00482D57" w:rsidRDefault="00482D57" w:rsidP="00482D57">
      <w:pPr>
        <w:spacing w:after="0" w:line="240" w:lineRule="auto"/>
        <w:jc w:val="both"/>
        <w:outlineLvl w:val="0"/>
        <w:rPr>
          <w:rFonts w:ascii="Times New Roman" w:hAnsi="Times New Roman"/>
          <w:b/>
          <w:sz w:val="20"/>
          <w:szCs w:val="20"/>
        </w:rPr>
      </w:pPr>
      <w:r w:rsidRPr="00482D57">
        <w:rPr>
          <w:rFonts w:ascii="Times New Roman" w:hAnsi="Times New Roman"/>
          <w:b/>
          <w:sz w:val="20"/>
          <w:szCs w:val="20"/>
        </w:rPr>
        <w:t>Preliminary phytochemical screening</w:t>
      </w:r>
    </w:p>
    <w:p w:rsidR="00482D57" w:rsidRPr="00482D57" w:rsidRDefault="00482D57" w:rsidP="00482D57">
      <w:pPr>
        <w:spacing w:after="0" w:line="240" w:lineRule="auto"/>
        <w:jc w:val="both"/>
        <w:outlineLvl w:val="0"/>
        <w:rPr>
          <w:rFonts w:ascii="Times New Roman" w:hAnsi="Times New Roman"/>
          <w:sz w:val="20"/>
          <w:szCs w:val="20"/>
        </w:rPr>
      </w:pPr>
      <w:r w:rsidRPr="00482D57">
        <w:rPr>
          <w:rFonts w:ascii="Times New Roman" w:hAnsi="Times New Roman"/>
          <w:sz w:val="20"/>
          <w:szCs w:val="20"/>
        </w:rPr>
        <w:t xml:space="preserve">Preliminary phytochemical screening shows the presence of phenols, glycosides, flavonoids, alkaloids, tannins and terpenoids in all three extracts i.e. methanol, ethanol and aqueous. MTE has the highest contents of phenols, followed by the ETE and aqueous tepal extract (ATE) the least. Nonetheless, the aqueous extract possesses flavonoids in abundance. Glycosides, alkaloids, tannins and terpenoids were all found to be present. All extracts were tested negative for saponins. </w:t>
      </w:r>
    </w:p>
    <w:p w:rsidR="00482D57" w:rsidRDefault="00482D57" w:rsidP="00482D57">
      <w:pPr>
        <w:spacing w:after="0" w:line="240" w:lineRule="auto"/>
        <w:jc w:val="both"/>
        <w:outlineLvl w:val="0"/>
        <w:rPr>
          <w:rFonts w:ascii="Times New Roman" w:hAnsi="Times New Roman"/>
          <w:sz w:val="20"/>
          <w:szCs w:val="20"/>
        </w:rPr>
      </w:pPr>
    </w:p>
    <w:p w:rsidR="00E00E9E" w:rsidRPr="00482D57" w:rsidRDefault="00E00E9E" w:rsidP="00E00E9E">
      <w:pPr>
        <w:spacing w:after="0" w:line="240" w:lineRule="auto"/>
        <w:jc w:val="both"/>
        <w:outlineLvl w:val="0"/>
        <w:rPr>
          <w:rFonts w:ascii="Times New Roman" w:hAnsi="Times New Roman"/>
          <w:b/>
          <w:sz w:val="20"/>
          <w:szCs w:val="20"/>
        </w:rPr>
      </w:pPr>
      <w:r w:rsidRPr="00482D57">
        <w:rPr>
          <w:rFonts w:ascii="Times New Roman" w:hAnsi="Times New Roman"/>
          <w:b/>
          <w:sz w:val="20"/>
          <w:szCs w:val="20"/>
        </w:rPr>
        <w:t>Total phenolic content (TPC)</w:t>
      </w:r>
    </w:p>
    <w:p w:rsidR="00E00E9E" w:rsidRPr="00482D57" w:rsidRDefault="00E00E9E" w:rsidP="00E00E9E">
      <w:pPr>
        <w:spacing w:after="0" w:line="240" w:lineRule="auto"/>
        <w:jc w:val="both"/>
        <w:outlineLvl w:val="0"/>
        <w:rPr>
          <w:rFonts w:ascii="Times New Roman" w:hAnsi="Times New Roman"/>
          <w:sz w:val="20"/>
          <w:szCs w:val="20"/>
        </w:rPr>
      </w:pPr>
      <w:r w:rsidRPr="00482D57">
        <w:rPr>
          <w:rFonts w:ascii="Times New Roman" w:hAnsi="Times New Roman"/>
          <w:sz w:val="20"/>
          <w:szCs w:val="20"/>
        </w:rPr>
        <w:t>The TPC of the extracts was determined by extrapolation from the calibration curve (Y = 0.18x + 0.1039; R</w:t>
      </w:r>
      <w:r w:rsidRPr="00482D57">
        <w:rPr>
          <w:rFonts w:ascii="Times New Roman" w:hAnsi="Times New Roman"/>
          <w:sz w:val="20"/>
          <w:szCs w:val="20"/>
          <w:vertAlign w:val="superscript"/>
        </w:rPr>
        <w:t xml:space="preserve">2 </w:t>
      </w:r>
      <w:r w:rsidRPr="00482D57">
        <w:rPr>
          <w:rFonts w:ascii="Times New Roman" w:hAnsi="Times New Roman"/>
          <w:sz w:val="20"/>
          <w:szCs w:val="20"/>
        </w:rPr>
        <w:t>= 0.994) prepared from the gallic acid concentrations (Figure 1) and expressed in mg of gallic acid equivalence (GAE) per gram. The amount of phenolic compounds in the various extracts was obtained from regression equation and the values were expressed in gallic acid equivalence (Figure 2). There was no significant difference (p &gt;0.05) in all the three different extracts.</w:t>
      </w:r>
    </w:p>
    <w:p w:rsidR="00E00E9E" w:rsidRPr="00482D57" w:rsidRDefault="00E00E9E" w:rsidP="00E00E9E">
      <w:pPr>
        <w:spacing w:after="0" w:line="240" w:lineRule="auto"/>
        <w:jc w:val="both"/>
        <w:outlineLvl w:val="0"/>
        <w:rPr>
          <w:rFonts w:ascii="Times New Roman" w:hAnsi="Times New Roman"/>
          <w:sz w:val="20"/>
          <w:szCs w:val="20"/>
        </w:rPr>
      </w:pPr>
    </w:p>
    <w:p w:rsidR="00E00E9E" w:rsidRPr="00482D57" w:rsidRDefault="00E00E9E" w:rsidP="00E00E9E">
      <w:pPr>
        <w:spacing w:after="0" w:line="240" w:lineRule="auto"/>
        <w:jc w:val="both"/>
        <w:outlineLvl w:val="0"/>
        <w:rPr>
          <w:rFonts w:ascii="Times New Roman" w:hAnsi="Times New Roman"/>
          <w:sz w:val="20"/>
          <w:szCs w:val="20"/>
        </w:rPr>
      </w:pPr>
    </w:p>
    <w:p w:rsidR="00E00E9E" w:rsidRPr="00482D57" w:rsidRDefault="00E00E9E" w:rsidP="00E00E9E">
      <w:pPr>
        <w:spacing w:after="0" w:line="240" w:lineRule="auto"/>
        <w:jc w:val="center"/>
        <w:outlineLvl w:val="0"/>
        <w:rPr>
          <w:rFonts w:ascii="Times New Roman" w:hAnsi="Times New Roman"/>
          <w:sz w:val="20"/>
          <w:szCs w:val="20"/>
        </w:rPr>
      </w:pPr>
      <w:r w:rsidRPr="00482D57">
        <w:rPr>
          <w:rFonts w:ascii="Times New Roman" w:hAnsi="Times New Roman"/>
          <w:noProof/>
          <w:sz w:val="20"/>
          <w:szCs w:val="20"/>
          <w:lang w:bidi="ar-SA"/>
        </w:rPr>
        <w:lastRenderedPageBreak/>
        <w:drawing>
          <wp:inline distT="0" distB="0" distL="0" distR="0" wp14:anchorId="631111E3" wp14:editId="20E82468">
            <wp:extent cx="3975100" cy="2141220"/>
            <wp:effectExtent l="0" t="0" r="6350" b="114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00E9E" w:rsidRPr="00482D57" w:rsidRDefault="00E00E9E" w:rsidP="00E00E9E">
      <w:pPr>
        <w:spacing w:after="0" w:line="240" w:lineRule="auto"/>
        <w:jc w:val="both"/>
        <w:outlineLvl w:val="0"/>
        <w:rPr>
          <w:rFonts w:ascii="Times New Roman" w:hAnsi="Times New Roman"/>
          <w:sz w:val="20"/>
          <w:szCs w:val="20"/>
        </w:rPr>
      </w:pPr>
    </w:p>
    <w:p w:rsidR="00E00E9E" w:rsidRPr="00482D57" w:rsidRDefault="00E00E9E" w:rsidP="00E00E9E">
      <w:pPr>
        <w:spacing w:after="0" w:line="240" w:lineRule="auto"/>
        <w:jc w:val="center"/>
        <w:outlineLvl w:val="0"/>
        <w:rPr>
          <w:rFonts w:ascii="Times New Roman" w:hAnsi="Times New Roman"/>
          <w:sz w:val="20"/>
          <w:szCs w:val="20"/>
        </w:rPr>
      </w:pPr>
      <w:r w:rsidRPr="00482D57">
        <w:rPr>
          <w:rFonts w:ascii="Times New Roman" w:hAnsi="Times New Roman"/>
          <w:sz w:val="20"/>
          <w:szCs w:val="20"/>
        </w:rPr>
        <w:t xml:space="preserve">Figure 1. </w:t>
      </w:r>
      <w:r>
        <w:rPr>
          <w:rFonts w:ascii="Times New Roman" w:hAnsi="Times New Roman"/>
          <w:sz w:val="20"/>
          <w:szCs w:val="20"/>
        </w:rPr>
        <w:t xml:space="preserve"> </w:t>
      </w:r>
      <w:r w:rsidRPr="00482D57">
        <w:rPr>
          <w:rFonts w:ascii="Times New Roman" w:hAnsi="Times New Roman"/>
          <w:sz w:val="20"/>
          <w:szCs w:val="20"/>
        </w:rPr>
        <w:t>Gallic acid calibration curve</w:t>
      </w:r>
    </w:p>
    <w:p w:rsidR="00E00E9E" w:rsidRDefault="00E00E9E" w:rsidP="00E00E9E">
      <w:pPr>
        <w:spacing w:after="0" w:line="240" w:lineRule="auto"/>
        <w:jc w:val="both"/>
        <w:outlineLvl w:val="0"/>
        <w:rPr>
          <w:rFonts w:ascii="Times New Roman" w:hAnsi="Times New Roman"/>
          <w:sz w:val="20"/>
          <w:szCs w:val="20"/>
        </w:rPr>
      </w:pPr>
    </w:p>
    <w:p w:rsidR="00E00E9E" w:rsidRPr="00482D57" w:rsidRDefault="00E00E9E" w:rsidP="00E00E9E">
      <w:pPr>
        <w:spacing w:after="0" w:line="240" w:lineRule="auto"/>
        <w:jc w:val="both"/>
        <w:outlineLvl w:val="0"/>
        <w:rPr>
          <w:rFonts w:ascii="Times New Roman" w:hAnsi="Times New Roman"/>
          <w:sz w:val="20"/>
          <w:szCs w:val="20"/>
        </w:rPr>
      </w:pPr>
    </w:p>
    <w:p w:rsidR="00E00E9E" w:rsidRPr="00482D57" w:rsidRDefault="00E00E9E" w:rsidP="00E00E9E">
      <w:pPr>
        <w:spacing w:after="0" w:line="240" w:lineRule="auto"/>
        <w:jc w:val="center"/>
        <w:outlineLvl w:val="0"/>
        <w:rPr>
          <w:rFonts w:ascii="Times New Roman" w:hAnsi="Times New Roman"/>
          <w:b/>
          <w:sz w:val="20"/>
          <w:szCs w:val="20"/>
        </w:rPr>
      </w:pPr>
      <w:r w:rsidRPr="00482D57">
        <w:rPr>
          <w:rFonts w:ascii="Times New Roman" w:hAnsi="Times New Roman"/>
          <w:noProof/>
          <w:sz w:val="20"/>
          <w:szCs w:val="20"/>
          <w:lang w:bidi="ar-SA"/>
        </w:rPr>
        <w:drawing>
          <wp:inline distT="0" distB="0" distL="0" distR="0" wp14:anchorId="04C975B0" wp14:editId="3FB4947D">
            <wp:extent cx="3947160" cy="2354580"/>
            <wp:effectExtent l="0" t="0" r="15240"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00E9E" w:rsidRPr="00482D57" w:rsidRDefault="00E00E9E" w:rsidP="00E00E9E">
      <w:pPr>
        <w:spacing w:after="0" w:line="240" w:lineRule="auto"/>
        <w:jc w:val="both"/>
        <w:outlineLvl w:val="0"/>
        <w:rPr>
          <w:rFonts w:ascii="Times New Roman" w:hAnsi="Times New Roman"/>
          <w:b/>
          <w:sz w:val="20"/>
          <w:szCs w:val="20"/>
        </w:rPr>
      </w:pPr>
    </w:p>
    <w:p w:rsidR="00E00E9E" w:rsidRPr="00482D57" w:rsidRDefault="00E00E9E" w:rsidP="00E00E9E">
      <w:pPr>
        <w:spacing w:after="0" w:line="240" w:lineRule="auto"/>
        <w:jc w:val="center"/>
        <w:outlineLvl w:val="0"/>
        <w:rPr>
          <w:rFonts w:ascii="Times New Roman" w:hAnsi="Times New Roman"/>
          <w:i/>
          <w:sz w:val="20"/>
          <w:szCs w:val="20"/>
        </w:rPr>
      </w:pPr>
      <w:r w:rsidRPr="00482D57">
        <w:rPr>
          <w:rFonts w:ascii="Times New Roman" w:hAnsi="Times New Roman"/>
          <w:sz w:val="20"/>
          <w:szCs w:val="20"/>
        </w:rPr>
        <w:t xml:space="preserve">Figure 2. </w:t>
      </w:r>
      <w:r>
        <w:rPr>
          <w:rFonts w:ascii="Times New Roman" w:hAnsi="Times New Roman"/>
          <w:sz w:val="20"/>
          <w:szCs w:val="20"/>
        </w:rPr>
        <w:t xml:space="preserve"> </w:t>
      </w:r>
      <w:r w:rsidRPr="00482D57">
        <w:rPr>
          <w:rFonts w:ascii="Times New Roman" w:hAnsi="Times New Roman"/>
          <w:sz w:val="20"/>
          <w:szCs w:val="20"/>
        </w:rPr>
        <w:t xml:space="preserve">Total phenolic content of various solvent extracts of tepal of </w:t>
      </w:r>
      <w:r w:rsidRPr="00482D57">
        <w:rPr>
          <w:rFonts w:ascii="Times New Roman" w:hAnsi="Times New Roman"/>
          <w:i/>
          <w:sz w:val="20"/>
          <w:szCs w:val="20"/>
        </w:rPr>
        <w:t>M. paradisiaca</w:t>
      </w:r>
    </w:p>
    <w:p w:rsidR="00E00E9E" w:rsidRPr="00E00E9E" w:rsidRDefault="00E00E9E" w:rsidP="00E00E9E">
      <w:pPr>
        <w:spacing w:after="0" w:line="240" w:lineRule="auto"/>
        <w:jc w:val="both"/>
        <w:outlineLvl w:val="0"/>
        <w:rPr>
          <w:rFonts w:ascii="Times New Roman" w:hAnsi="Times New Roman"/>
          <w:sz w:val="20"/>
          <w:szCs w:val="20"/>
        </w:rPr>
      </w:pPr>
    </w:p>
    <w:p w:rsidR="003150E1" w:rsidRPr="00482D57" w:rsidRDefault="003150E1" w:rsidP="00482D57">
      <w:pPr>
        <w:spacing w:after="0" w:line="240" w:lineRule="auto"/>
        <w:jc w:val="both"/>
        <w:outlineLvl w:val="0"/>
        <w:rPr>
          <w:rFonts w:ascii="Times New Roman" w:hAnsi="Times New Roman"/>
          <w:b/>
          <w:sz w:val="20"/>
          <w:szCs w:val="20"/>
        </w:rPr>
      </w:pPr>
    </w:p>
    <w:p w:rsidR="00482D57" w:rsidRPr="00482D57" w:rsidRDefault="00482D57" w:rsidP="00482D57">
      <w:pPr>
        <w:spacing w:after="0" w:line="240" w:lineRule="auto"/>
        <w:jc w:val="both"/>
        <w:outlineLvl w:val="0"/>
        <w:rPr>
          <w:rFonts w:ascii="Times New Roman" w:hAnsi="Times New Roman"/>
          <w:b/>
          <w:sz w:val="20"/>
          <w:szCs w:val="20"/>
        </w:rPr>
      </w:pPr>
      <w:r w:rsidRPr="00482D57">
        <w:rPr>
          <w:rFonts w:ascii="Times New Roman" w:hAnsi="Times New Roman"/>
          <w:b/>
          <w:sz w:val="20"/>
          <w:szCs w:val="20"/>
        </w:rPr>
        <w:t>Total flavonoid content (TFC)</w:t>
      </w:r>
    </w:p>
    <w:p w:rsidR="00482D57" w:rsidRPr="00482D57" w:rsidRDefault="00482D57" w:rsidP="00482D57">
      <w:pPr>
        <w:spacing w:after="0" w:line="240" w:lineRule="auto"/>
        <w:jc w:val="both"/>
        <w:outlineLvl w:val="0"/>
        <w:rPr>
          <w:rFonts w:ascii="Times New Roman" w:hAnsi="Times New Roman"/>
          <w:sz w:val="20"/>
          <w:szCs w:val="20"/>
        </w:rPr>
      </w:pPr>
      <w:r w:rsidRPr="00482D57">
        <w:rPr>
          <w:rFonts w:ascii="Times New Roman" w:hAnsi="Times New Roman"/>
          <w:sz w:val="20"/>
          <w:szCs w:val="20"/>
        </w:rPr>
        <w:t>The TFC content of the tepal extracts was also determined by extrapolation from the calibration curve (Y = 0.4638x + 0.0778; R</w:t>
      </w:r>
      <w:r w:rsidRPr="00482D57">
        <w:rPr>
          <w:rFonts w:ascii="Times New Roman" w:hAnsi="Times New Roman"/>
          <w:sz w:val="20"/>
          <w:szCs w:val="20"/>
          <w:vertAlign w:val="superscript"/>
        </w:rPr>
        <w:t xml:space="preserve">2 </w:t>
      </w:r>
      <w:r w:rsidRPr="00482D57">
        <w:rPr>
          <w:rFonts w:ascii="Times New Roman" w:hAnsi="Times New Roman"/>
          <w:sz w:val="20"/>
          <w:szCs w:val="20"/>
        </w:rPr>
        <w:t>= 0.992) prepared from the quercetin concentrations (Figure 3) and expressed in mg of quercetin equivalence (QE) per gram. The amounts of flavanoid compounds in the various extracts were obtained from regression equation and the values were expressed in quercetin equivalence (figure 4). The values from all the extracts were not significantly different (p &gt;</w:t>
      </w:r>
      <w:r w:rsidR="00E00E9E">
        <w:rPr>
          <w:rFonts w:ascii="Times New Roman" w:hAnsi="Times New Roman"/>
          <w:sz w:val="20"/>
          <w:szCs w:val="20"/>
        </w:rPr>
        <w:t xml:space="preserve"> </w:t>
      </w:r>
      <w:r w:rsidRPr="00482D57">
        <w:rPr>
          <w:rFonts w:ascii="Times New Roman" w:hAnsi="Times New Roman"/>
          <w:sz w:val="20"/>
          <w:szCs w:val="20"/>
        </w:rPr>
        <w:t>0.05).</w:t>
      </w:r>
    </w:p>
    <w:p w:rsidR="00482D57" w:rsidRPr="00482D57" w:rsidRDefault="00482D57" w:rsidP="00482D57">
      <w:pPr>
        <w:spacing w:after="0" w:line="240" w:lineRule="auto"/>
        <w:jc w:val="both"/>
        <w:outlineLvl w:val="0"/>
        <w:rPr>
          <w:rFonts w:ascii="Times New Roman" w:hAnsi="Times New Roman"/>
          <w:b/>
          <w:sz w:val="20"/>
          <w:szCs w:val="20"/>
        </w:rPr>
      </w:pPr>
    </w:p>
    <w:p w:rsidR="00482D57" w:rsidRPr="00482D57" w:rsidRDefault="00482D57" w:rsidP="00482D57">
      <w:pPr>
        <w:spacing w:after="0" w:line="240" w:lineRule="auto"/>
        <w:jc w:val="both"/>
        <w:outlineLvl w:val="0"/>
        <w:rPr>
          <w:rFonts w:ascii="Times New Roman" w:hAnsi="Times New Roman"/>
          <w:b/>
          <w:sz w:val="20"/>
          <w:szCs w:val="20"/>
        </w:rPr>
      </w:pPr>
    </w:p>
    <w:p w:rsidR="00482D57" w:rsidRPr="00482D57" w:rsidRDefault="00482D57" w:rsidP="00E00E9E">
      <w:pPr>
        <w:spacing w:after="0" w:line="240" w:lineRule="auto"/>
        <w:jc w:val="center"/>
        <w:outlineLvl w:val="0"/>
        <w:rPr>
          <w:rFonts w:ascii="Times New Roman" w:hAnsi="Times New Roman"/>
          <w:sz w:val="20"/>
          <w:szCs w:val="20"/>
        </w:rPr>
      </w:pPr>
      <w:r w:rsidRPr="00482D57">
        <w:rPr>
          <w:rFonts w:ascii="Times New Roman" w:hAnsi="Times New Roman"/>
          <w:noProof/>
          <w:sz w:val="20"/>
          <w:szCs w:val="20"/>
          <w:lang w:bidi="ar-SA"/>
        </w:rPr>
        <w:lastRenderedPageBreak/>
        <w:drawing>
          <wp:inline distT="0" distB="0" distL="0" distR="0" wp14:anchorId="7A396349" wp14:editId="06A2D7B1">
            <wp:extent cx="3817620" cy="2308860"/>
            <wp:effectExtent l="0" t="0" r="11430" b="1524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82D57" w:rsidRPr="00482D57" w:rsidRDefault="00482D57" w:rsidP="00482D57">
      <w:pPr>
        <w:spacing w:after="0" w:line="240" w:lineRule="auto"/>
        <w:jc w:val="both"/>
        <w:outlineLvl w:val="0"/>
        <w:rPr>
          <w:rFonts w:ascii="Times New Roman" w:hAnsi="Times New Roman"/>
          <w:sz w:val="20"/>
          <w:szCs w:val="20"/>
        </w:rPr>
      </w:pPr>
    </w:p>
    <w:p w:rsidR="00482D57" w:rsidRPr="00482D57" w:rsidRDefault="00482D57" w:rsidP="00E00E9E">
      <w:pPr>
        <w:spacing w:after="0" w:line="240" w:lineRule="auto"/>
        <w:jc w:val="center"/>
        <w:outlineLvl w:val="0"/>
        <w:rPr>
          <w:rFonts w:ascii="Times New Roman" w:hAnsi="Times New Roman"/>
          <w:sz w:val="20"/>
          <w:szCs w:val="20"/>
        </w:rPr>
      </w:pPr>
      <w:r w:rsidRPr="00482D57">
        <w:rPr>
          <w:rFonts w:ascii="Times New Roman" w:hAnsi="Times New Roman"/>
          <w:sz w:val="20"/>
          <w:szCs w:val="20"/>
        </w:rPr>
        <w:t xml:space="preserve">Figure 3. </w:t>
      </w:r>
      <w:r w:rsidR="00E00E9E">
        <w:rPr>
          <w:rFonts w:ascii="Times New Roman" w:hAnsi="Times New Roman"/>
          <w:sz w:val="20"/>
          <w:szCs w:val="20"/>
        </w:rPr>
        <w:t xml:space="preserve"> </w:t>
      </w:r>
      <w:r w:rsidRPr="00482D57">
        <w:rPr>
          <w:rFonts w:ascii="Times New Roman" w:hAnsi="Times New Roman"/>
          <w:sz w:val="20"/>
          <w:szCs w:val="20"/>
        </w:rPr>
        <w:t>Quercetin calibration curve.</w:t>
      </w:r>
    </w:p>
    <w:p w:rsidR="00482D57" w:rsidRDefault="00482D57" w:rsidP="00482D57">
      <w:pPr>
        <w:spacing w:after="0" w:line="240" w:lineRule="auto"/>
        <w:jc w:val="both"/>
        <w:outlineLvl w:val="0"/>
        <w:rPr>
          <w:rFonts w:ascii="Times New Roman" w:hAnsi="Times New Roman"/>
          <w:sz w:val="20"/>
          <w:szCs w:val="20"/>
        </w:rPr>
      </w:pPr>
    </w:p>
    <w:p w:rsidR="00E00E9E" w:rsidRDefault="00E00E9E" w:rsidP="00482D57">
      <w:pPr>
        <w:spacing w:after="0" w:line="240" w:lineRule="auto"/>
        <w:jc w:val="both"/>
        <w:outlineLvl w:val="0"/>
        <w:rPr>
          <w:rFonts w:ascii="Times New Roman" w:hAnsi="Times New Roman"/>
          <w:sz w:val="20"/>
          <w:szCs w:val="20"/>
        </w:rPr>
      </w:pPr>
    </w:p>
    <w:p w:rsidR="00E00E9E" w:rsidRPr="00482D57" w:rsidRDefault="00E00E9E" w:rsidP="00482D57">
      <w:pPr>
        <w:spacing w:after="0" w:line="240" w:lineRule="auto"/>
        <w:jc w:val="both"/>
        <w:outlineLvl w:val="0"/>
        <w:rPr>
          <w:rFonts w:ascii="Times New Roman" w:hAnsi="Times New Roman"/>
          <w:sz w:val="20"/>
          <w:szCs w:val="20"/>
        </w:rPr>
      </w:pPr>
      <w:r w:rsidRPr="00482D57">
        <w:rPr>
          <w:rFonts w:ascii="Times New Roman" w:hAnsi="Times New Roman"/>
          <w:noProof/>
          <w:sz w:val="20"/>
          <w:szCs w:val="20"/>
          <w:lang w:bidi="ar-SA"/>
        </w:rPr>
        <w:drawing>
          <wp:anchor distT="0" distB="0" distL="114300" distR="114300" simplePos="0" relativeHeight="251660800" behindDoc="0" locked="0" layoutInCell="1" allowOverlap="1" wp14:anchorId="180C76A8" wp14:editId="3130C494">
            <wp:simplePos x="0" y="0"/>
            <wp:positionH relativeFrom="column">
              <wp:posOffset>1043940</wp:posOffset>
            </wp:positionH>
            <wp:positionV relativeFrom="paragraph">
              <wp:posOffset>146050</wp:posOffset>
            </wp:positionV>
            <wp:extent cx="3863340" cy="2225040"/>
            <wp:effectExtent l="0" t="0" r="22860" b="22860"/>
            <wp:wrapSquare wrapText="bothSides"/>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482D57" w:rsidRPr="00482D57" w:rsidRDefault="00482D57" w:rsidP="00482D57">
      <w:pPr>
        <w:spacing w:after="0" w:line="240" w:lineRule="auto"/>
        <w:jc w:val="both"/>
        <w:outlineLvl w:val="0"/>
        <w:rPr>
          <w:rFonts w:ascii="Times New Roman" w:hAnsi="Times New Roman"/>
          <w:sz w:val="20"/>
          <w:szCs w:val="20"/>
        </w:rPr>
      </w:pPr>
    </w:p>
    <w:p w:rsidR="00482D57" w:rsidRPr="00482D57" w:rsidRDefault="00482D57" w:rsidP="00482D57">
      <w:pPr>
        <w:spacing w:after="0" w:line="240" w:lineRule="auto"/>
        <w:jc w:val="both"/>
        <w:outlineLvl w:val="0"/>
        <w:rPr>
          <w:rFonts w:ascii="Times New Roman" w:hAnsi="Times New Roman"/>
          <w:sz w:val="20"/>
          <w:szCs w:val="20"/>
        </w:rPr>
      </w:pPr>
    </w:p>
    <w:p w:rsidR="00482D57" w:rsidRPr="00482D57" w:rsidRDefault="00482D57" w:rsidP="00482D57">
      <w:pPr>
        <w:spacing w:after="0" w:line="240" w:lineRule="auto"/>
        <w:jc w:val="both"/>
        <w:outlineLvl w:val="0"/>
        <w:rPr>
          <w:rFonts w:ascii="Times New Roman" w:hAnsi="Times New Roman"/>
          <w:sz w:val="20"/>
          <w:szCs w:val="20"/>
        </w:rPr>
      </w:pPr>
    </w:p>
    <w:p w:rsidR="00482D57" w:rsidRPr="00482D57" w:rsidRDefault="00482D57" w:rsidP="00482D57">
      <w:pPr>
        <w:spacing w:after="0" w:line="240" w:lineRule="auto"/>
        <w:jc w:val="both"/>
        <w:outlineLvl w:val="0"/>
        <w:rPr>
          <w:rFonts w:ascii="Times New Roman" w:hAnsi="Times New Roman"/>
          <w:sz w:val="20"/>
          <w:szCs w:val="20"/>
        </w:rPr>
      </w:pPr>
    </w:p>
    <w:p w:rsidR="00482D57" w:rsidRPr="00482D57" w:rsidRDefault="00482D57" w:rsidP="00482D57">
      <w:pPr>
        <w:spacing w:after="0" w:line="240" w:lineRule="auto"/>
        <w:jc w:val="both"/>
        <w:outlineLvl w:val="0"/>
        <w:rPr>
          <w:rFonts w:ascii="Times New Roman" w:hAnsi="Times New Roman"/>
          <w:sz w:val="20"/>
          <w:szCs w:val="20"/>
        </w:rPr>
      </w:pPr>
    </w:p>
    <w:p w:rsidR="00482D57" w:rsidRPr="00482D57" w:rsidRDefault="00482D57" w:rsidP="00482D57">
      <w:pPr>
        <w:spacing w:after="0" w:line="240" w:lineRule="auto"/>
        <w:jc w:val="both"/>
        <w:outlineLvl w:val="0"/>
        <w:rPr>
          <w:rFonts w:ascii="Times New Roman" w:hAnsi="Times New Roman"/>
          <w:sz w:val="20"/>
          <w:szCs w:val="20"/>
        </w:rPr>
      </w:pPr>
    </w:p>
    <w:p w:rsidR="00482D57" w:rsidRPr="00482D57" w:rsidRDefault="00482D57" w:rsidP="00482D57">
      <w:pPr>
        <w:spacing w:after="0" w:line="240" w:lineRule="auto"/>
        <w:jc w:val="both"/>
        <w:outlineLvl w:val="0"/>
        <w:rPr>
          <w:rFonts w:ascii="Times New Roman" w:hAnsi="Times New Roman"/>
          <w:sz w:val="20"/>
          <w:szCs w:val="20"/>
        </w:rPr>
      </w:pPr>
    </w:p>
    <w:p w:rsidR="00482D57" w:rsidRPr="00482D57" w:rsidRDefault="00482D57" w:rsidP="00482D57">
      <w:pPr>
        <w:spacing w:after="0" w:line="240" w:lineRule="auto"/>
        <w:jc w:val="both"/>
        <w:outlineLvl w:val="0"/>
        <w:rPr>
          <w:rFonts w:ascii="Times New Roman" w:hAnsi="Times New Roman"/>
          <w:sz w:val="20"/>
          <w:szCs w:val="20"/>
        </w:rPr>
      </w:pPr>
    </w:p>
    <w:p w:rsidR="00482D57" w:rsidRPr="00482D57" w:rsidRDefault="00482D57" w:rsidP="00482D57">
      <w:pPr>
        <w:spacing w:after="0" w:line="240" w:lineRule="auto"/>
        <w:jc w:val="both"/>
        <w:outlineLvl w:val="0"/>
        <w:rPr>
          <w:rFonts w:ascii="Times New Roman" w:hAnsi="Times New Roman"/>
          <w:sz w:val="20"/>
          <w:szCs w:val="20"/>
        </w:rPr>
      </w:pPr>
    </w:p>
    <w:p w:rsidR="00482D57" w:rsidRPr="00482D57" w:rsidRDefault="00482D57" w:rsidP="00482D57">
      <w:pPr>
        <w:spacing w:after="0" w:line="240" w:lineRule="auto"/>
        <w:jc w:val="both"/>
        <w:outlineLvl w:val="0"/>
        <w:rPr>
          <w:rFonts w:ascii="Times New Roman" w:hAnsi="Times New Roman"/>
          <w:sz w:val="20"/>
          <w:szCs w:val="20"/>
        </w:rPr>
      </w:pPr>
    </w:p>
    <w:p w:rsidR="00482D57" w:rsidRPr="00482D57" w:rsidRDefault="00482D57" w:rsidP="00482D57">
      <w:pPr>
        <w:spacing w:after="0" w:line="240" w:lineRule="auto"/>
        <w:jc w:val="both"/>
        <w:outlineLvl w:val="0"/>
        <w:rPr>
          <w:rFonts w:ascii="Times New Roman" w:hAnsi="Times New Roman"/>
          <w:sz w:val="20"/>
          <w:szCs w:val="20"/>
        </w:rPr>
      </w:pPr>
    </w:p>
    <w:p w:rsidR="00482D57" w:rsidRPr="00482D57" w:rsidRDefault="00482D57" w:rsidP="00482D57">
      <w:pPr>
        <w:spacing w:after="0" w:line="240" w:lineRule="auto"/>
        <w:jc w:val="both"/>
        <w:outlineLvl w:val="0"/>
        <w:rPr>
          <w:rFonts w:ascii="Times New Roman" w:hAnsi="Times New Roman"/>
          <w:sz w:val="20"/>
          <w:szCs w:val="20"/>
        </w:rPr>
      </w:pPr>
    </w:p>
    <w:p w:rsidR="00482D57" w:rsidRPr="00482D57" w:rsidRDefault="00482D57" w:rsidP="00482D57">
      <w:pPr>
        <w:spacing w:after="0" w:line="240" w:lineRule="auto"/>
        <w:jc w:val="both"/>
        <w:outlineLvl w:val="0"/>
        <w:rPr>
          <w:rFonts w:ascii="Times New Roman" w:hAnsi="Times New Roman"/>
          <w:sz w:val="20"/>
          <w:szCs w:val="20"/>
        </w:rPr>
      </w:pPr>
    </w:p>
    <w:p w:rsidR="00482D57" w:rsidRPr="00482D57" w:rsidRDefault="00482D57" w:rsidP="00482D57">
      <w:pPr>
        <w:spacing w:after="0" w:line="240" w:lineRule="auto"/>
        <w:jc w:val="both"/>
        <w:outlineLvl w:val="0"/>
        <w:rPr>
          <w:rFonts w:ascii="Times New Roman" w:hAnsi="Times New Roman"/>
          <w:sz w:val="20"/>
          <w:szCs w:val="20"/>
        </w:rPr>
      </w:pPr>
    </w:p>
    <w:p w:rsidR="00482D57" w:rsidRPr="00482D57" w:rsidRDefault="00E00E9E" w:rsidP="00482D57">
      <w:pPr>
        <w:spacing w:after="0" w:line="240" w:lineRule="auto"/>
        <w:jc w:val="both"/>
        <w:outlineLvl w:val="0"/>
        <w:rPr>
          <w:rFonts w:ascii="Times New Roman" w:hAnsi="Times New Roman"/>
          <w:sz w:val="20"/>
          <w:szCs w:val="20"/>
        </w:rPr>
      </w:pPr>
      <w:r>
        <w:rPr>
          <w:rFonts w:ascii="Times New Roman" w:hAnsi="Times New Roman"/>
          <w:sz w:val="20"/>
          <w:szCs w:val="20"/>
        </w:rPr>
        <w:t xml:space="preserve"> </w:t>
      </w:r>
    </w:p>
    <w:p w:rsidR="00482D57" w:rsidRPr="00482D57" w:rsidRDefault="00482D57" w:rsidP="00482D57">
      <w:pPr>
        <w:spacing w:after="0" w:line="240" w:lineRule="auto"/>
        <w:jc w:val="both"/>
        <w:outlineLvl w:val="0"/>
        <w:rPr>
          <w:rFonts w:ascii="Times New Roman" w:hAnsi="Times New Roman"/>
          <w:sz w:val="20"/>
          <w:szCs w:val="20"/>
        </w:rPr>
      </w:pPr>
    </w:p>
    <w:p w:rsidR="00482D57" w:rsidRPr="00482D57" w:rsidRDefault="00482D57" w:rsidP="00E00E9E">
      <w:pPr>
        <w:spacing w:after="0" w:line="240" w:lineRule="auto"/>
        <w:jc w:val="center"/>
        <w:outlineLvl w:val="0"/>
        <w:rPr>
          <w:rFonts w:ascii="Times New Roman" w:hAnsi="Times New Roman"/>
          <w:i/>
          <w:sz w:val="20"/>
          <w:szCs w:val="20"/>
        </w:rPr>
      </w:pPr>
      <w:r w:rsidRPr="00482D57">
        <w:rPr>
          <w:rFonts w:ascii="Times New Roman" w:hAnsi="Times New Roman"/>
          <w:sz w:val="20"/>
          <w:szCs w:val="20"/>
        </w:rPr>
        <w:t xml:space="preserve">Figure 4. </w:t>
      </w:r>
      <w:r w:rsidR="00E00E9E">
        <w:rPr>
          <w:rFonts w:ascii="Times New Roman" w:hAnsi="Times New Roman"/>
          <w:sz w:val="20"/>
          <w:szCs w:val="20"/>
        </w:rPr>
        <w:t xml:space="preserve"> </w:t>
      </w:r>
      <w:r w:rsidRPr="00482D57">
        <w:rPr>
          <w:rFonts w:ascii="Times New Roman" w:hAnsi="Times New Roman"/>
          <w:sz w:val="20"/>
          <w:szCs w:val="20"/>
        </w:rPr>
        <w:t xml:space="preserve">Total flavonoid content of various solvent extracts of tepal of </w:t>
      </w:r>
      <w:r w:rsidRPr="00482D57">
        <w:rPr>
          <w:rFonts w:ascii="Times New Roman" w:hAnsi="Times New Roman"/>
          <w:i/>
          <w:sz w:val="20"/>
          <w:szCs w:val="20"/>
        </w:rPr>
        <w:t>M. paradisiaca</w:t>
      </w:r>
    </w:p>
    <w:p w:rsidR="00482D57" w:rsidRPr="00E00E9E" w:rsidRDefault="00482D57" w:rsidP="00482D57">
      <w:pPr>
        <w:spacing w:after="0" w:line="240" w:lineRule="auto"/>
        <w:jc w:val="both"/>
        <w:outlineLvl w:val="0"/>
        <w:rPr>
          <w:rFonts w:ascii="Times New Roman" w:hAnsi="Times New Roman"/>
          <w:sz w:val="20"/>
          <w:szCs w:val="20"/>
        </w:rPr>
      </w:pPr>
    </w:p>
    <w:p w:rsidR="00E00E9E" w:rsidRPr="00E00E9E" w:rsidRDefault="00E00E9E" w:rsidP="00482D57">
      <w:pPr>
        <w:spacing w:after="0" w:line="240" w:lineRule="auto"/>
        <w:jc w:val="both"/>
        <w:outlineLvl w:val="0"/>
        <w:rPr>
          <w:rFonts w:ascii="Times New Roman" w:hAnsi="Times New Roman"/>
          <w:sz w:val="20"/>
          <w:szCs w:val="20"/>
        </w:rPr>
      </w:pPr>
    </w:p>
    <w:p w:rsidR="00E00E9E" w:rsidRPr="00482D57" w:rsidRDefault="00E00E9E" w:rsidP="00E00E9E">
      <w:pPr>
        <w:adjustRightInd w:val="0"/>
        <w:spacing w:after="0" w:line="240" w:lineRule="auto"/>
        <w:jc w:val="both"/>
        <w:outlineLvl w:val="0"/>
        <w:rPr>
          <w:rFonts w:ascii="Times New Roman" w:hAnsi="Times New Roman"/>
          <w:sz w:val="20"/>
          <w:szCs w:val="20"/>
        </w:rPr>
      </w:pPr>
      <w:r w:rsidRPr="00482D57">
        <w:rPr>
          <w:rFonts w:ascii="Times New Roman" w:eastAsia="Times-Roman" w:hAnsi="Times New Roman"/>
          <w:sz w:val="20"/>
          <w:szCs w:val="20"/>
        </w:rPr>
        <w:t xml:space="preserve">Preliminary phytochemical screening reveals the presence of phenols, flavonoids, glycosides, alkaloids, tannins and terpenoids. Saponins were tested negative in all the three different extracts (Table 2). The total phenolic content (TPC) of the tepal (methanolic, ethanolic and aqueous) extracts of </w:t>
      </w:r>
      <w:r w:rsidRPr="00482D57">
        <w:rPr>
          <w:rFonts w:ascii="Times New Roman" w:eastAsia="Times-Roman" w:hAnsi="Times New Roman"/>
          <w:i/>
          <w:sz w:val="20"/>
          <w:szCs w:val="20"/>
        </w:rPr>
        <w:t>Musa paradisiaca</w:t>
      </w:r>
      <w:r w:rsidRPr="00482D57">
        <w:rPr>
          <w:rFonts w:ascii="Times New Roman" w:eastAsia="Times-Roman" w:hAnsi="Times New Roman"/>
          <w:sz w:val="20"/>
          <w:szCs w:val="20"/>
        </w:rPr>
        <w:t xml:space="preserve"> was determined using the Folin-Ciocalteau method. This method allows the estimation of all the flavonoids, anthocyanins and non-flavonoid phenolic compounds of all the phenolics available in the samples [24].</w:t>
      </w:r>
      <w:r w:rsidRPr="00482D57">
        <w:rPr>
          <w:rFonts w:ascii="Times New Roman" w:hAnsi="Times New Roman"/>
          <w:sz w:val="20"/>
          <w:szCs w:val="20"/>
        </w:rPr>
        <w:t xml:space="preserve"> The results for total phenolic content in the studied plant extracts are presented in the graphs (Figure 2). The results show that MTE has the richest source of phenolics, total phenolic content is 4.272 mg GAE/g while on the contrary, ATE possesses the lowest amount of phenolics i.e. 1.32mg GAE/g. The total phenolic contents did not vary significantly (p &gt;</w:t>
      </w:r>
      <w:r w:rsidR="002948E7">
        <w:rPr>
          <w:rFonts w:ascii="Times New Roman" w:hAnsi="Times New Roman"/>
          <w:sz w:val="20"/>
          <w:szCs w:val="20"/>
        </w:rPr>
        <w:t xml:space="preserve"> </w:t>
      </w:r>
      <w:r w:rsidRPr="00482D57">
        <w:rPr>
          <w:rFonts w:ascii="Times New Roman" w:hAnsi="Times New Roman"/>
          <w:sz w:val="20"/>
          <w:szCs w:val="20"/>
        </w:rPr>
        <w:t xml:space="preserve">0.05) in different solvent extracts.  This is in agreement with the researchers [25,26], who found that yield of total phenolic was dependent on the method and choice of solvent. The recovery of polyphenols from plant materials is influenced by the solubility of the phenolic compounds in the solvent used in the extraction process. Furthermore, solvent polarity will play a key role in increasing phenolic solubility [27]. Thus, it is difficult to produce a standard extraction procedure suitable for phenol extraction of all the plant samples. As the results indicated, it is apparent that the recovery of </w:t>
      </w:r>
      <w:r w:rsidRPr="00482D57">
        <w:rPr>
          <w:rFonts w:ascii="Times New Roman" w:hAnsi="Times New Roman"/>
          <w:sz w:val="20"/>
          <w:szCs w:val="20"/>
        </w:rPr>
        <w:lastRenderedPageBreak/>
        <w:t xml:space="preserve">phenolic compounds was dependent on the solvents used and their polarity. This may be attributed to the fact that wide range of phenols can dissolve in aqueous methanol mixtures. On the other hand, methanol is a good solvent system for the extraction of polar antioxidants [28]. There is a strong link between phenolic content and free radical scavenging activity [29,30]. Phenolics possess a broad spectrum of biochemical activities such as antioxidant, antimutagenic, anti-carcinogenic and even the ability to modify the gene expression [31]. Polyphenols are the largest group of phytochemicals that account for most of the therapeutic activity in plants or plant products [32]. This plant is generally reported to contain substantial amounts of polyphenols with pharmacological properties which includes flavonoids and tannins [33]. The results obtained in the present study revealed that the level of phenolic compounds in these extracts was considerable and falls within the values of commonly consumed green vegetables. Hence consumption of these plants will enhance the health benefits by absorbing and neutralizing free radicals, quenching singlet oxygen, or decomposing peroxides [3]. </w:t>
      </w:r>
    </w:p>
    <w:p w:rsidR="00482D57" w:rsidRDefault="00482D57" w:rsidP="00E00E9E">
      <w:pPr>
        <w:adjustRightInd w:val="0"/>
        <w:spacing w:after="0" w:line="240" w:lineRule="auto"/>
        <w:jc w:val="both"/>
        <w:outlineLvl w:val="0"/>
        <w:rPr>
          <w:rFonts w:ascii="Times New Roman" w:hAnsi="Times New Roman"/>
          <w:sz w:val="20"/>
          <w:szCs w:val="20"/>
        </w:rPr>
      </w:pPr>
    </w:p>
    <w:p w:rsidR="00B44C27" w:rsidRDefault="00B44C27" w:rsidP="00E00E9E">
      <w:pPr>
        <w:adjustRightInd w:val="0"/>
        <w:spacing w:after="0" w:line="240" w:lineRule="auto"/>
        <w:jc w:val="both"/>
        <w:outlineLvl w:val="0"/>
        <w:rPr>
          <w:rFonts w:ascii="Times New Roman" w:hAnsi="Times New Roman"/>
          <w:sz w:val="20"/>
          <w:szCs w:val="20"/>
        </w:rPr>
      </w:pPr>
    </w:p>
    <w:p w:rsidR="00B44C27" w:rsidRPr="00B44C27" w:rsidRDefault="00B44C27" w:rsidP="00B44C27">
      <w:pPr>
        <w:spacing w:after="120" w:line="240" w:lineRule="auto"/>
        <w:jc w:val="center"/>
        <w:outlineLvl w:val="0"/>
        <w:rPr>
          <w:rFonts w:ascii="Times New Roman" w:hAnsi="Times New Roman"/>
          <w:i/>
          <w:sz w:val="20"/>
          <w:szCs w:val="20"/>
        </w:rPr>
      </w:pPr>
      <w:r w:rsidRPr="00B44C27">
        <w:rPr>
          <w:rFonts w:ascii="Times New Roman" w:hAnsi="Times New Roman"/>
          <w:sz w:val="20"/>
          <w:szCs w:val="20"/>
        </w:rPr>
        <w:t xml:space="preserve">Table 2. </w:t>
      </w:r>
      <w:r>
        <w:rPr>
          <w:rFonts w:ascii="Times New Roman" w:hAnsi="Times New Roman"/>
          <w:sz w:val="20"/>
          <w:szCs w:val="20"/>
        </w:rPr>
        <w:t xml:space="preserve"> </w:t>
      </w:r>
      <w:r w:rsidRPr="00B44C27">
        <w:rPr>
          <w:rFonts w:ascii="Times New Roman" w:hAnsi="Times New Roman"/>
          <w:sz w:val="20"/>
          <w:szCs w:val="20"/>
        </w:rPr>
        <w:t xml:space="preserve">Preliminary phytochemical screening of various solvent extracts of </w:t>
      </w:r>
      <w:r w:rsidRPr="00B44C27">
        <w:rPr>
          <w:rFonts w:ascii="Times New Roman" w:hAnsi="Times New Roman"/>
          <w:i/>
          <w:sz w:val="20"/>
          <w:szCs w:val="20"/>
        </w:rPr>
        <w:t>Musa paradisiaca</w:t>
      </w:r>
    </w:p>
    <w:tbl>
      <w:tblPr>
        <w:tblW w:w="0" w:type="auto"/>
        <w:jc w:val="center"/>
        <w:tblInd w:w="-620" w:type="dxa"/>
        <w:tblBorders>
          <w:top w:val="single" w:sz="4" w:space="0" w:color="auto"/>
          <w:bottom w:val="single" w:sz="4" w:space="0" w:color="auto"/>
        </w:tblBorders>
        <w:tblLook w:val="04A0" w:firstRow="1" w:lastRow="0" w:firstColumn="1" w:lastColumn="0" w:noHBand="0" w:noVBand="1"/>
      </w:tblPr>
      <w:tblGrid>
        <w:gridCol w:w="962"/>
        <w:gridCol w:w="1346"/>
        <w:gridCol w:w="1122"/>
        <w:gridCol w:w="1044"/>
        <w:gridCol w:w="1567"/>
      </w:tblGrid>
      <w:tr w:rsidR="00B44C27" w:rsidRPr="00727846" w:rsidTr="00B44C27">
        <w:trPr>
          <w:jc w:val="center"/>
        </w:trPr>
        <w:tc>
          <w:tcPr>
            <w:tcW w:w="962" w:type="dxa"/>
            <w:tcBorders>
              <w:top w:val="single" w:sz="4" w:space="0" w:color="auto"/>
              <w:bottom w:val="single" w:sz="4" w:space="0" w:color="auto"/>
            </w:tcBorders>
          </w:tcPr>
          <w:p w:rsidR="00B44C27" w:rsidRPr="00727846" w:rsidRDefault="00B44C27" w:rsidP="00B44C27">
            <w:pPr>
              <w:spacing w:before="60" w:after="60" w:line="240" w:lineRule="auto"/>
              <w:outlineLvl w:val="0"/>
              <w:rPr>
                <w:rFonts w:ascii="Times New Roman" w:hAnsi="Times New Roman"/>
                <w:b/>
                <w:sz w:val="20"/>
                <w:szCs w:val="20"/>
              </w:rPr>
            </w:pPr>
            <w:r w:rsidRPr="00727846">
              <w:rPr>
                <w:rFonts w:ascii="Times New Roman" w:hAnsi="Times New Roman"/>
                <w:b/>
                <w:sz w:val="20"/>
                <w:szCs w:val="20"/>
              </w:rPr>
              <w:t>S.N.</w:t>
            </w:r>
          </w:p>
        </w:tc>
        <w:tc>
          <w:tcPr>
            <w:tcW w:w="1346" w:type="dxa"/>
            <w:tcBorders>
              <w:top w:val="single" w:sz="4" w:space="0" w:color="auto"/>
              <w:bottom w:val="single" w:sz="4" w:space="0" w:color="auto"/>
            </w:tcBorders>
          </w:tcPr>
          <w:p w:rsidR="00B44C27" w:rsidRPr="00727846" w:rsidRDefault="00B44C27" w:rsidP="00B44C27">
            <w:pPr>
              <w:spacing w:before="60" w:after="60" w:line="240" w:lineRule="auto"/>
              <w:outlineLvl w:val="0"/>
              <w:rPr>
                <w:rFonts w:ascii="Times New Roman" w:hAnsi="Times New Roman"/>
                <w:b/>
                <w:sz w:val="20"/>
                <w:szCs w:val="20"/>
              </w:rPr>
            </w:pPr>
            <w:r w:rsidRPr="00727846">
              <w:rPr>
                <w:rFonts w:ascii="Times New Roman" w:hAnsi="Times New Roman"/>
                <w:b/>
                <w:sz w:val="20"/>
                <w:szCs w:val="20"/>
              </w:rPr>
              <w:t>Test</w:t>
            </w:r>
          </w:p>
        </w:tc>
        <w:tc>
          <w:tcPr>
            <w:tcW w:w="0" w:type="auto"/>
            <w:tcBorders>
              <w:top w:val="single" w:sz="4" w:space="0" w:color="auto"/>
              <w:bottom w:val="single" w:sz="4" w:space="0" w:color="auto"/>
            </w:tcBorders>
          </w:tcPr>
          <w:p w:rsidR="00B44C27" w:rsidRPr="00727846" w:rsidRDefault="00B44C27" w:rsidP="00B44C27">
            <w:pPr>
              <w:spacing w:before="60" w:after="60" w:line="240" w:lineRule="auto"/>
              <w:jc w:val="center"/>
              <w:outlineLvl w:val="0"/>
              <w:rPr>
                <w:rFonts w:ascii="Times New Roman" w:hAnsi="Times New Roman"/>
                <w:b/>
                <w:sz w:val="20"/>
                <w:szCs w:val="20"/>
              </w:rPr>
            </w:pPr>
            <w:r w:rsidRPr="00727846">
              <w:rPr>
                <w:rFonts w:ascii="Times New Roman" w:hAnsi="Times New Roman"/>
                <w:b/>
                <w:sz w:val="20"/>
                <w:szCs w:val="20"/>
              </w:rPr>
              <w:t>T (MeOH)</w:t>
            </w:r>
          </w:p>
        </w:tc>
        <w:tc>
          <w:tcPr>
            <w:tcW w:w="0" w:type="auto"/>
            <w:tcBorders>
              <w:top w:val="single" w:sz="4" w:space="0" w:color="auto"/>
              <w:bottom w:val="single" w:sz="4" w:space="0" w:color="auto"/>
            </w:tcBorders>
          </w:tcPr>
          <w:p w:rsidR="00B44C27" w:rsidRPr="00727846" w:rsidRDefault="00B44C27" w:rsidP="00B44C27">
            <w:pPr>
              <w:spacing w:before="60" w:after="60" w:line="240" w:lineRule="auto"/>
              <w:jc w:val="center"/>
              <w:outlineLvl w:val="0"/>
              <w:rPr>
                <w:rFonts w:ascii="Times New Roman" w:hAnsi="Times New Roman"/>
                <w:b/>
                <w:sz w:val="20"/>
                <w:szCs w:val="20"/>
              </w:rPr>
            </w:pPr>
            <w:r w:rsidRPr="00727846">
              <w:rPr>
                <w:rFonts w:ascii="Times New Roman" w:hAnsi="Times New Roman"/>
                <w:b/>
                <w:sz w:val="20"/>
                <w:szCs w:val="20"/>
              </w:rPr>
              <w:t>T (EtOH)</w:t>
            </w:r>
          </w:p>
        </w:tc>
        <w:tc>
          <w:tcPr>
            <w:tcW w:w="1567" w:type="dxa"/>
            <w:tcBorders>
              <w:top w:val="single" w:sz="4" w:space="0" w:color="auto"/>
              <w:bottom w:val="single" w:sz="4" w:space="0" w:color="auto"/>
            </w:tcBorders>
          </w:tcPr>
          <w:p w:rsidR="00B44C27" w:rsidRPr="00727846" w:rsidRDefault="00B44C27" w:rsidP="00B44C27">
            <w:pPr>
              <w:spacing w:before="60" w:after="60" w:line="240" w:lineRule="auto"/>
              <w:jc w:val="center"/>
              <w:outlineLvl w:val="0"/>
              <w:rPr>
                <w:rFonts w:ascii="Times New Roman" w:hAnsi="Times New Roman"/>
                <w:b/>
                <w:sz w:val="20"/>
                <w:szCs w:val="20"/>
              </w:rPr>
            </w:pPr>
            <w:r w:rsidRPr="00727846">
              <w:rPr>
                <w:rFonts w:ascii="Times New Roman" w:hAnsi="Times New Roman"/>
                <w:b/>
                <w:sz w:val="20"/>
                <w:szCs w:val="20"/>
              </w:rPr>
              <w:t>T (aqueous)</w:t>
            </w:r>
          </w:p>
        </w:tc>
      </w:tr>
      <w:tr w:rsidR="00B44C27" w:rsidRPr="00B44C27" w:rsidTr="00B44C27">
        <w:trPr>
          <w:jc w:val="center"/>
        </w:trPr>
        <w:tc>
          <w:tcPr>
            <w:tcW w:w="962" w:type="dxa"/>
            <w:tcBorders>
              <w:top w:val="single" w:sz="4" w:space="0" w:color="auto"/>
            </w:tcBorders>
          </w:tcPr>
          <w:p w:rsidR="00B44C27" w:rsidRPr="00B44C27" w:rsidRDefault="00B44C27" w:rsidP="00B44C27">
            <w:pPr>
              <w:spacing w:after="0" w:line="240" w:lineRule="auto"/>
              <w:outlineLvl w:val="0"/>
              <w:rPr>
                <w:rFonts w:ascii="Times New Roman" w:hAnsi="Times New Roman"/>
                <w:sz w:val="20"/>
                <w:szCs w:val="20"/>
              </w:rPr>
            </w:pPr>
            <w:r w:rsidRPr="00B44C27">
              <w:rPr>
                <w:rFonts w:ascii="Times New Roman" w:hAnsi="Times New Roman"/>
                <w:sz w:val="20"/>
                <w:szCs w:val="20"/>
              </w:rPr>
              <w:t>1</w:t>
            </w:r>
          </w:p>
        </w:tc>
        <w:tc>
          <w:tcPr>
            <w:tcW w:w="1346" w:type="dxa"/>
            <w:tcBorders>
              <w:top w:val="single" w:sz="4" w:space="0" w:color="auto"/>
            </w:tcBorders>
          </w:tcPr>
          <w:p w:rsidR="00B44C27" w:rsidRPr="00B44C27" w:rsidRDefault="00B44C27" w:rsidP="00B44C27">
            <w:pPr>
              <w:spacing w:after="0" w:line="240" w:lineRule="auto"/>
              <w:outlineLvl w:val="0"/>
              <w:rPr>
                <w:rFonts w:ascii="Times New Roman" w:hAnsi="Times New Roman"/>
                <w:sz w:val="20"/>
                <w:szCs w:val="20"/>
              </w:rPr>
            </w:pPr>
            <w:r w:rsidRPr="00B44C27">
              <w:rPr>
                <w:rFonts w:ascii="Times New Roman" w:hAnsi="Times New Roman"/>
                <w:sz w:val="20"/>
                <w:szCs w:val="20"/>
              </w:rPr>
              <w:t>Saponin</w:t>
            </w:r>
          </w:p>
        </w:tc>
        <w:tc>
          <w:tcPr>
            <w:tcW w:w="0" w:type="auto"/>
            <w:tcBorders>
              <w:top w:val="single" w:sz="4" w:space="0" w:color="auto"/>
            </w:tcBorders>
          </w:tcPr>
          <w:p w:rsidR="00B44C27" w:rsidRPr="00B44C27" w:rsidRDefault="00B44C27" w:rsidP="00B44C27">
            <w:pPr>
              <w:spacing w:after="0" w:line="240" w:lineRule="auto"/>
              <w:jc w:val="center"/>
              <w:outlineLvl w:val="0"/>
              <w:rPr>
                <w:rFonts w:ascii="Times New Roman" w:hAnsi="Times New Roman"/>
                <w:sz w:val="20"/>
                <w:szCs w:val="20"/>
              </w:rPr>
            </w:pPr>
            <w:r w:rsidRPr="00B44C27">
              <w:rPr>
                <w:rFonts w:ascii="Times New Roman" w:hAnsi="Times New Roman"/>
                <w:sz w:val="20"/>
                <w:szCs w:val="20"/>
              </w:rPr>
              <w:t>_</w:t>
            </w:r>
          </w:p>
        </w:tc>
        <w:tc>
          <w:tcPr>
            <w:tcW w:w="0" w:type="auto"/>
            <w:tcBorders>
              <w:top w:val="single" w:sz="4" w:space="0" w:color="auto"/>
            </w:tcBorders>
          </w:tcPr>
          <w:p w:rsidR="00B44C27" w:rsidRPr="00B44C27" w:rsidRDefault="00B44C27" w:rsidP="00B44C27">
            <w:pPr>
              <w:spacing w:after="0" w:line="240" w:lineRule="auto"/>
              <w:jc w:val="center"/>
              <w:outlineLvl w:val="0"/>
              <w:rPr>
                <w:rFonts w:ascii="Times New Roman" w:hAnsi="Times New Roman"/>
                <w:sz w:val="20"/>
                <w:szCs w:val="20"/>
              </w:rPr>
            </w:pPr>
            <w:r w:rsidRPr="00B44C27">
              <w:rPr>
                <w:rFonts w:ascii="Times New Roman" w:hAnsi="Times New Roman"/>
                <w:sz w:val="20"/>
                <w:szCs w:val="20"/>
              </w:rPr>
              <w:t>_</w:t>
            </w:r>
          </w:p>
        </w:tc>
        <w:tc>
          <w:tcPr>
            <w:tcW w:w="1567" w:type="dxa"/>
            <w:tcBorders>
              <w:top w:val="single" w:sz="4" w:space="0" w:color="auto"/>
            </w:tcBorders>
          </w:tcPr>
          <w:p w:rsidR="00B44C27" w:rsidRPr="00B44C27" w:rsidRDefault="00B44C27" w:rsidP="00B44C27">
            <w:pPr>
              <w:spacing w:after="0" w:line="240" w:lineRule="auto"/>
              <w:jc w:val="center"/>
              <w:outlineLvl w:val="0"/>
              <w:rPr>
                <w:rFonts w:ascii="Times New Roman" w:hAnsi="Times New Roman"/>
                <w:sz w:val="20"/>
                <w:szCs w:val="20"/>
              </w:rPr>
            </w:pPr>
            <w:r w:rsidRPr="00B44C27">
              <w:rPr>
                <w:rFonts w:ascii="Times New Roman" w:hAnsi="Times New Roman"/>
                <w:sz w:val="20"/>
                <w:szCs w:val="20"/>
              </w:rPr>
              <w:t>_</w:t>
            </w:r>
          </w:p>
        </w:tc>
      </w:tr>
      <w:tr w:rsidR="00B44C27" w:rsidRPr="00B44C27" w:rsidTr="00B44C27">
        <w:trPr>
          <w:jc w:val="center"/>
        </w:trPr>
        <w:tc>
          <w:tcPr>
            <w:tcW w:w="962" w:type="dxa"/>
          </w:tcPr>
          <w:p w:rsidR="00B44C27" w:rsidRPr="00B44C27" w:rsidRDefault="00B44C27" w:rsidP="00B44C27">
            <w:pPr>
              <w:spacing w:after="0" w:line="240" w:lineRule="auto"/>
              <w:outlineLvl w:val="0"/>
              <w:rPr>
                <w:rFonts w:ascii="Times New Roman" w:hAnsi="Times New Roman"/>
                <w:sz w:val="20"/>
                <w:szCs w:val="20"/>
              </w:rPr>
            </w:pPr>
            <w:r w:rsidRPr="00B44C27">
              <w:rPr>
                <w:rFonts w:ascii="Times New Roman" w:hAnsi="Times New Roman"/>
                <w:sz w:val="20"/>
                <w:szCs w:val="20"/>
              </w:rPr>
              <w:t>2</w:t>
            </w:r>
          </w:p>
        </w:tc>
        <w:tc>
          <w:tcPr>
            <w:tcW w:w="1346" w:type="dxa"/>
          </w:tcPr>
          <w:p w:rsidR="00B44C27" w:rsidRPr="00B44C27" w:rsidRDefault="00B44C27" w:rsidP="00B44C27">
            <w:pPr>
              <w:spacing w:after="0" w:line="240" w:lineRule="auto"/>
              <w:outlineLvl w:val="0"/>
              <w:rPr>
                <w:rFonts w:ascii="Times New Roman" w:hAnsi="Times New Roman"/>
                <w:sz w:val="20"/>
                <w:szCs w:val="20"/>
              </w:rPr>
            </w:pPr>
            <w:r w:rsidRPr="00B44C27">
              <w:rPr>
                <w:rFonts w:ascii="Times New Roman" w:hAnsi="Times New Roman"/>
                <w:sz w:val="20"/>
                <w:szCs w:val="20"/>
              </w:rPr>
              <w:t>Phenols</w:t>
            </w:r>
          </w:p>
        </w:tc>
        <w:tc>
          <w:tcPr>
            <w:tcW w:w="0" w:type="auto"/>
          </w:tcPr>
          <w:p w:rsidR="00B44C27" w:rsidRPr="00B44C27" w:rsidRDefault="00B44C27" w:rsidP="00B44C27">
            <w:pPr>
              <w:spacing w:after="0" w:line="240" w:lineRule="auto"/>
              <w:jc w:val="center"/>
              <w:outlineLvl w:val="0"/>
              <w:rPr>
                <w:rFonts w:ascii="Times New Roman" w:hAnsi="Times New Roman"/>
                <w:sz w:val="20"/>
                <w:szCs w:val="20"/>
              </w:rPr>
            </w:pPr>
            <w:r w:rsidRPr="00B44C27">
              <w:rPr>
                <w:rFonts w:ascii="Times New Roman" w:hAnsi="Times New Roman"/>
                <w:sz w:val="20"/>
                <w:szCs w:val="20"/>
              </w:rPr>
              <w:t>+++</w:t>
            </w:r>
          </w:p>
        </w:tc>
        <w:tc>
          <w:tcPr>
            <w:tcW w:w="0" w:type="auto"/>
          </w:tcPr>
          <w:p w:rsidR="00B44C27" w:rsidRPr="00B44C27" w:rsidRDefault="00B44C27" w:rsidP="00B44C27">
            <w:pPr>
              <w:spacing w:after="0" w:line="240" w:lineRule="auto"/>
              <w:jc w:val="center"/>
              <w:outlineLvl w:val="0"/>
              <w:rPr>
                <w:rFonts w:ascii="Times New Roman" w:hAnsi="Times New Roman"/>
                <w:sz w:val="20"/>
                <w:szCs w:val="20"/>
              </w:rPr>
            </w:pPr>
            <w:r w:rsidRPr="00B44C27">
              <w:rPr>
                <w:rFonts w:ascii="Times New Roman" w:hAnsi="Times New Roman"/>
                <w:sz w:val="20"/>
                <w:szCs w:val="20"/>
              </w:rPr>
              <w:t>++</w:t>
            </w:r>
          </w:p>
        </w:tc>
        <w:tc>
          <w:tcPr>
            <w:tcW w:w="1567" w:type="dxa"/>
          </w:tcPr>
          <w:p w:rsidR="00B44C27" w:rsidRPr="00B44C27" w:rsidRDefault="00B44C27" w:rsidP="00B44C27">
            <w:pPr>
              <w:spacing w:after="0" w:line="240" w:lineRule="auto"/>
              <w:jc w:val="center"/>
              <w:outlineLvl w:val="0"/>
              <w:rPr>
                <w:rFonts w:ascii="Times New Roman" w:hAnsi="Times New Roman"/>
                <w:sz w:val="20"/>
                <w:szCs w:val="20"/>
              </w:rPr>
            </w:pPr>
            <w:r w:rsidRPr="00B44C27">
              <w:rPr>
                <w:rFonts w:ascii="Times New Roman" w:hAnsi="Times New Roman"/>
                <w:sz w:val="20"/>
                <w:szCs w:val="20"/>
              </w:rPr>
              <w:t>+</w:t>
            </w:r>
          </w:p>
        </w:tc>
      </w:tr>
      <w:tr w:rsidR="00B44C27" w:rsidRPr="00B44C27" w:rsidTr="00B44C27">
        <w:trPr>
          <w:jc w:val="center"/>
        </w:trPr>
        <w:tc>
          <w:tcPr>
            <w:tcW w:w="962" w:type="dxa"/>
          </w:tcPr>
          <w:p w:rsidR="00B44C27" w:rsidRPr="00B44C27" w:rsidRDefault="00B44C27" w:rsidP="00B44C27">
            <w:pPr>
              <w:spacing w:after="0" w:line="240" w:lineRule="auto"/>
              <w:outlineLvl w:val="0"/>
              <w:rPr>
                <w:rFonts w:ascii="Times New Roman" w:hAnsi="Times New Roman"/>
                <w:sz w:val="20"/>
                <w:szCs w:val="20"/>
              </w:rPr>
            </w:pPr>
            <w:r w:rsidRPr="00B44C27">
              <w:rPr>
                <w:rFonts w:ascii="Times New Roman" w:hAnsi="Times New Roman"/>
                <w:sz w:val="20"/>
                <w:szCs w:val="20"/>
              </w:rPr>
              <w:t>3</w:t>
            </w:r>
          </w:p>
        </w:tc>
        <w:tc>
          <w:tcPr>
            <w:tcW w:w="1346" w:type="dxa"/>
          </w:tcPr>
          <w:p w:rsidR="00B44C27" w:rsidRPr="00B44C27" w:rsidRDefault="00B44C27" w:rsidP="00B44C27">
            <w:pPr>
              <w:spacing w:after="0" w:line="240" w:lineRule="auto"/>
              <w:outlineLvl w:val="0"/>
              <w:rPr>
                <w:rFonts w:ascii="Times New Roman" w:hAnsi="Times New Roman"/>
                <w:sz w:val="20"/>
                <w:szCs w:val="20"/>
              </w:rPr>
            </w:pPr>
            <w:r w:rsidRPr="00B44C27">
              <w:rPr>
                <w:rFonts w:ascii="Times New Roman" w:hAnsi="Times New Roman"/>
                <w:sz w:val="20"/>
                <w:szCs w:val="20"/>
              </w:rPr>
              <w:t>Glycosides</w:t>
            </w:r>
          </w:p>
        </w:tc>
        <w:tc>
          <w:tcPr>
            <w:tcW w:w="0" w:type="auto"/>
          </w:tcPr>
          <w:p w:rsidR="00B44C27" w:rsidRPr="00B44C27" w:rsidRDefault="00B44C27" w:rsidP="00B44C27">
            <w:pPr>
              <w:spacing w:after="0" w:line="240" w:lineRule="auto"/>
              <w:jc w:val="center"/>
              <w:outlineLvl w:val="0"/>
              <w:rPr>
                <w:rFonts w:ascii="Times New Roman" w:hAnsi="Times New Roman"/>
                <w:sz w:val="20"/>
                <w:szCs w:val="20"/>
              </w:rPr>
            </w:pPr>
            <w:r w:rsidRPr="00B44C27">
              <w:rPr>
                <w:rFonts w:ascii="Times New Roman" w:hAnsi="Times New Roman"/>
                <w:sz w:val="20"/>
                <w:szCs w:val="20"/>
              </w:rPr>
              <w:t>++</w:t>
            </w:r>
          </w:p>
        </w:tc>
        <w:tc>
          <w:tcPr>
            <w:tcW w:w="0" w:type="auto"/>
          </w:tcPr>
          <w:p w:rsidR="00B44C27" w:rsidRPr="00B44C27" w:rsidRDefault="00B44C27" w:rsidP="00B44C27">
            <w:pPr>
              <w:spacing w:after="0" w:line="240" w:lineRule="auto"/>
              <w:jc w:val="center"/>
              <w:outlineLvl w:val="0"/>
              <w:rPr>
                <w:rFonts w:ascii="Times New Roman" w:hAnsi="Times New Roman"/>
                <w:sz w:val="20"/>
                <w:szCs w:val="20"/>
              </w:rPr>
            </w:pPr>
            <w:r w:rsidRPr="00B44C27">
              <w:rPr>
                <w:rFonts w:ascii="Times New Roman" w:hAnsi="Times New Roman"/>
                <w:sz w:val="20"/>
                <w:szCs w:val="20"/>
              </w:rPr>
              <w:t>++</w:t>
            </w:r>
          </w:p>
        </w:tc>
        <w:tc>
          <w:tcPr>
            <w:tcW w:w="1567" w:type="dxa"/>
          </w:tcPr>
          <w:p w:rsidR="00B44C27" w:rsidRPr="00B44C27" w:rsidRDefault="00B44C27" w:rsidP="00B44C27">
            <w:pPr>
              <w:spacing w:after="0" w:line="240" w:lineRule="auto"/>
              <w:jc w:val="center"/>
              <w:outlineLvl w:val="0"/>
              <w:rPr>
                <w:rFonts w:ascii="Times New Roman" w:hAnsi="Times New Roman"/>
                <w:sz w:val="20"/>
                <w:szCs w:val="20"/>
              </w:rPr>
            </w:pPr>
            <w:r w:rsidRPr="00B44C27">
              <w:rPr>
                <w:rFonts w:ascii="Times New Roman" w:hAnsi="Times New Roman"/>
                <w:sz w:val="20"/>
                <w:szCs w:val="20"/>
              </w:rPr>
              <w:t>+</w:t>
            </w:r>
          </w:p>
        </w:tc>
      </w:tr>
      <w:tr w:rsidR="00B44C27" w:rsidRPr="00B44C27" w:rsidTr="00B44C27">
        <w:trPr>
          <w:jc w:val="center"/>
        </w:trPr>
        <w:tc>
          <w:tcPr>
            <w:tcW w:w="962" w:type="dxa"/>
          </w:tcPr>
          <w:p w:rsidR="00B44C27" w:rsidRPr="00B44C27" w:rsidRDefault="00B44C27" w:rsidP="00B44C27">
            <w:pPr>
              <w:spacing w:after="0" w:line="240" w:lineRule="auto"/>
              <w:outlineLvl w:val="0"/>
              <w:rPr>
                <w:rFonts w:ascii="Times New Roman" w:hAnsi="Times New Roman"/>
                <w:sz w:val="20"/>
                <w:szCs w:val="20"/>
              </w:rPr>
            </w:pPr>
            <w:r w:rsidRPr="00B44C27">
              <w:rPr>
                <w:rFonts w:ascii="Times New Roman" w:hAnsi="Times New Roman"/>
                <w:sz w:val="20"/>
                <w:szCs w:val="20"/>
              </w:rPr>
              <w:t>4</w:t>
            </w:r>
          </w:p>
        </w:tc>
        <w:tc>
          <w:tcPr>
            <w:tcW w:w="1346" w:type="dxa"/>
          </w:tcPr>
          <w:p w:rsidR="00B44C27" w:rsidRPr="00B44C27" w:rsidRDefault="00B44C27" w:rsidP="00B44C27">
            <w:pPr>
              <w:spacing w:after="0" w:line="240" w:lineRule="auto"/>
              <w:outlineLvl w:val="0"/>
              <w:rPr>
                <w:rFonts w:ascii="Times New Roman" w:hAnsi="Times New Roman"/>
                <w:sz w:val="20"/>
                <w:szCs w:val="20"/>
              </w:rPr>
            </w:pPr>
            <w:r w:rsidRPr="00B44C27">
              <w:rPr>
                <w:rFonts w:ascii="Times New Roman" w:hAnsi="Times New Roman"/>
                <w:sz w:val="20"/>
                <w:szCs w:val="20"/>
              </w:rPr>
              <w:t>Flavonoids</w:t>
            </w:r>
          </w:p>
        </w:tc>
        <w:tc>
          <w:tcPr>
            <w:tcW w:w="0" w:type="auto"/>
          </w:tcPr>
          <w:p w:rsidR="00B44C27" w:rsidRPr="00B44C27" w:rsidRDefault="00B44C27" w:rsidP="00B44C27">
            <w:pPr>
              <w:spacing w:after="0" w:line="240" w:lineRule="auto"/>
              <w:jc w:val="center"/>
              <w:outlineLvl w:val="0"/>
              <w:rPr>
                <w:rFonts w:ascii="Times New Roman" w:hAnsi="Times New Roman"/>
                <w:sz w:val="20"/>
                <w:szCs w:val="20"/>
              </w:rPr>
            </w:pPr>
            <w:r w:rsidRPr="00B44C27">
              <w:rPr>
                <w:rFonts w:ascii="Times New Roman" w:hAnsi="Times New Roman"/>
                <w:sz w:val="20"/>
                <w:szCs w:val="20"/>
              </w:rPr>
              <w:t>+</w:t>
            </w:r>
          </w:p>
        </w:tc>
        <w:tc>
          <w:tcPr>
            <w:tcW w:w="0" w:type="auto"/>
          </w:tcPr>
          <w:p w:rsidR="00B44C27" w:rsidRPr="00B44C27" w:rsidRDefault="00B44C27" w:rsidP="00B44C27">
            <w:pPr>
              <w:spacing w:after="0" w:line="240" w:lineRule="auto"/>
              <w:jc w:val="center"/>
              <w:outlineLvl w:val="0"/>
              <w:rPr>
                <w:rFonts w:ascii="Times New Roman" w:hAnsi="Times New Roman"/>
                <w:sz w:val="20"/>
                <w:szCs w:val="20"/>
              </w:rPr>
            </w:pPr>
            <w:r w:rsidRPr="00B44C27">
              <w:rPr>
                <w:rFonts w:ascii="Times New Roman" w:hAnsi="Times New Roman"/>
                <w:sz w:val="20"/>
                <w:szCs w:val="20"/>
              </w:rPr>
              <w:t>+</w:t>
            </w:r>
          </w:p>
        </w:tc>
        <w:tc>
          <w:tcPr>
            <w:tcW w:w="1567" w:type="dxa"/>
          </w:tcPr>
          <w:p w:rsidR="00B44C27" w:rsidRPr="00B44C27" w:rsidRDefault="00B44C27" w:rsidP="00B44C27">
            <w:pPr>
              <w:spacing w:after="0" w:line="240" w:lineRule="auto"/>
              <w:jc w:val="center"/>
              <w:outlineLvl w:val="0"/>
              <w:rPr>
                <w:rFonts w:ascii="Times New Roman" w:hAnsi="Times New Roman"/>
                <w:sz w:val="20"/>
                <w:szCs w:val="20"/>
              </w:rPr>
            </w:pPr>
            <w:r w:rsidRPr="00B44C27">
              <w:rPr>
                <w:rFonts w:ascii="Times New Roman" w:hAnsi="Times New Roman"/>
                <w:sz w:val="20"/>
                <w:szCs w:val="20"/>
              </w:rPr>
              <w:t>++</w:t>
            </w:r>
          </w:p>
        </w:tc>
      </w:tr>
      <w:tr w:rsidR="00B44C27" w:rsidRPr="00B44C27" w:rsidTr="00B44C27">
        <w:trPr>
          <w:jc w:val="center"/>
        </w:trPr>
        <w:tc>
          <w:tcPr>
            <w:tcW w:w="962" w:type="dxa"/>
          </w:tcPr>
          <w:p w:rsidR="00B44C27" w:rsidRPr="00B44C27" w:rsidRDefault="00B44C27" w:rsidP="00B44C27">
            <w:pPr>
              <w:spacing w:after="0" w:line="240" w:lineRule="auto"/>
              <w:outlineLvl w:val="0"/>
              <w:rPr>
                <w:rFonts w:ascii="Times New Roman" w:hAnsi="Times New Roman"/>
                <w:sz w:val="20"/>
                <w:szCs w:val="20"/>
              </w:rPr>
            </w:pPr>
            <w:r w:rsidRPr="00B44C27">
              <w:rPr>
                <w:rFonts w:ascii="Times New Roman" w:hAnsi="Times New Roman"/>
                <w:sz w:val="20"/>
                <w:szCs w:val="20"/>
              </w:rPr>
              <w:t>5</w:t>
            </w:r>
          </w:p>
        </w:tc>
        <w:tc>
          <w:tcPr>
            <w:tcW w:w="1346" w:type="dxa"/>
          </w:tcPr>
          <w:p w:rsidR="00B44C27" w:rsidRPr="00B44C27" w:rsidRDefault="00B44C27" w:rsidP="00B44C27">
            <w:pPr>
              <w:spacing w:after="0" w:line="240" w:lineRule="auto"/>
              <w:outlineLvl w:val="0"/>
              <w:rPr>
                <w:rFonts w:ascii="Times New Roman" w:hAnsi="Times New Roman"/>
                <w:sz w:val="20"/>
                <w:szCs w:val="20"/>
              </w:rPr>
            </w:pPr>
            <w:r w:rsidRPr="00B44C27">
              <w:rPr>
                <w:rFonts w:ascii="Times New Roman" w:hAnsi="Times New Roman"/>
                <w:sz w:val="20"/>
                <w:szCs w:val="20"/>
              </w:rPr>
              <w:t>Alkaloids</w:t>
            </w:r>
          </w:p>
        </w:tc>
        <w:tc>
          <w:tcPr>
            <w:tcW w:w="0" w:type="auto"/>
          </w:tcPr>
          <w:p w:rsidR="00B44C27" w:rsidRPr="00B44C27" w:rsidRDefault="00B44C27" w:rsidP="00B44C27">
            <w:pPr>
              <w:spacing w:after="0" w:line="240" w:lineRule="auto"/>
              <w:jc w:val="center"/>
              <w:outlineLvl w:val="0"/>
              <w:rPr>
                <w:rFonts w:ascii="Times New Roman" w:hAnsi="Times New Roman"/>
                <w:sz w:val="20"/>
                <w:szCs w:val="20"/>
              </w:rPr>
            </w:pPr>
            <w:r w:rsidRPr="00B44C27">
              <w:rPr>
                <w:rFonts w:ascii="Times New Roman" w:hAnsi="Times New Roman"/>
                <w:sz w:val="20"/>
                <w:szCs w:val="20"/>
              </w:rPr>
              <w:t>+</w:t>
            </w:r>
          </w:p>
        </w:tc>
        <w:tc>
          <w:tcPr>
            <w:tcW w:w="0" w:type="auto"/>
          </w:tcPr>
          <w:p w:rsidR="00B44C27" w:rsidRPr="00B44C27" w:rsidRDefault="00B44C27" w:rsidP="00B44C27">
            <w:pPr>
              <w:spacing w:after="0" w:line="240" w:lineRule="auto"/>
              <w:jc w:val="center"/>
              <w:outlineLvl w:val="0"/>
              <w:rPr>
                <w:rFonts w:ascii="Times New Roman" w:hAnsi="Times New Roman"/>
                <w:sz w:val="20"/>
                <w:szCs w:val="20"/>
              </w:rPr>
            </w:pPr>
            <w:r w:rsidRPr="00B44C27">
              <w:rPr>
                <w:rFonts w:ascii="Times New Roman" w:hAnsi="Times New Roman"/>
                <w:sz w:val="20"/>
                <w:szCs w:val="20"/>
              </w:rPr>
              <w:t>+</w:t>
            </w:r>
          </w:p>
        </w:tc>
        <w:tc>
          <w:tcPr>
            <w:tcW w:w="1567" w:type="dxa"/>
          </w:tcPr>
          <w:p w:rsidR="00B44C27" w:rsidRPr="00B44C27" w:rsidRDefault="00B44C27" w:rsidP="00B44C27">
            <w:pPr>
              <w:spacing w:after="0" w:line="240" w:lineRule="auto"/>
              <w:jc w:val="center"/>
              <w:outlineLvl w:val="0"/>
              <w:rPr>
                <w:rFonts w:ascii="Times New Roman" w:hAnsi="Times New Roman"/>
                <w:sz w:val="20"/>
                <w:szCs w:val="20"/>
              </w:rPr>
            </w:pPr>
            <w:r w:rsidRPr="00B44C27">
              <w:rPr>
                <w:rFonts w:ascii="Times New Roman" w:hAnsi="Times New Roman"/>
                <w:sz w:val="20"/>
                <w:szCs w:val="20"/>
              </w:rPr>
              <w:t>+</w:t>
            </w:r>
          </w:p>
        </w:tc>
      </w:tr>
      <w:tr w:rsidR="00B44C27" w:rsidRPr="00B44C27" w:rsidTr="00B44C27">
        <w:trPr>
          <w:jc w:val="center"/>
        </w:trPr>
        <w:tc>
          <w:tcPr>
            <w:tcW w:w="962" w:type="dxa"/>
          </w:tcPr>
          <w:p w:rsidR="00B44C27" w:rsidRPr="00B44C27" w:rsidRDefault="00B44C27" w:rsidP="00B44C27">
            <w:pPr>
              <w:spacing w:after="0" w:line="240" w:lineRule="auto"/>
              <w:outlineLvl w:val="0"/>
              <w:rPr>
                <w:rFonts w:ascii="Times New Roman" w:hAnsi="Times New Roman"/>
                <w:sz w:val="20"/>
                <w:szCs w:val="20"/>
              </w:rPr>
            </w:pPr>
            <w:r w:rsidRPr="00B44C27">
              <w:rPr>
                <w:rFonts w:ascii="Times New Roman" w:hAnsi="Times New Roman"/>
                <w:sz w:val="20"/>
                <w:szCs w:val="20"/>
              </w:rPr>
              <w:t>6</w:t>
            </w:r>
          </w:p>
        </w:tc>
        <w:tc>
          <w:tcPr>
            <w:tcW w:w="1346" w:type="dxa"/>
          </w:tcPr>
          <w:p w:rsidR="00B44C27" w:rsidRPr="00B44C27" w:rsidRDefault="00B44C27" w:rsidP="00B44C27">
            <w:pPr>
              <w:spacing w:after="0" w:line="240" w:lineRule="auto"/>
              <w:outlineLvl w:val="0"/>
              <w:rPr>
                <w:rFonts w:ascii="Times New Roman" w:hAnsi="Times New Roman"/>
                <w:sz w:val="20"/>
                <w:szCs w:val="20"/>
              </w:rPr>
            </w:pPr>
            <w:r w:rsidRPr="00B44C27">
              <w:rPr>
                <w:rFonts w:ascii="Times New Roman" w:hAnsi="Times New Roman"/>
                <w:sz w:val="20"/>
                <w:szCs w:val="20"/>
              </w:rPr>
              <w:t>Tannins</w:t>
            </w:r>
          </w:p>
        </w:tc>
        <w:tc>
          <w:tcPr>
            <w:tcW w:w="0" w:type="auto"/>
          </w:tcPr>
          <w:p w:rsidR="00B44C27" w:rsidRPr="00B44C27" w:rsidRDefault="00B44C27" w:rsidP="00B44C27">
            <w:pPr>
              <w:spacing w:after="0" w:line="240" w:lineRule="auto"/>
              <w:jc w:val="center"/>
              <w:outlineLvl w:val="0"/>
              <w:rPr>
                <w:rFonts w:ascii="Times New Roman" w:hAnsi="Times New Roman"/>
                <w:sz w:val="20"/>
                <w:szCs w:val="20"/>
              </w:rPr>
            </w:pPr>
            <w:r w:rsidRPr="00B44C27">
              <w:rPr>
                <w:rFonts w:ascii="Times New Roman" w:hAnsi="Times New Roman"/>
                <w:sz w:val="20"/>
                <w:szCs w:val="20"/>
              </w:rPr>
              <w:t>++</w:t>
            </w:r>
          </w:p>
        </w:tc>
        <w:tc>
          <w:tcPr>
            <w:tcW w:w="0" w:type="auto"/>
          </w:tcPr>
          <w:p w:rsidR="00B44C27" w:rsidRPr="00B44C27" w:rsidRDefault="00B44C27" w:rsidP="00B44C27">
            <w:pPr>
              <w:spacing w:after="0" w:line="240" w:lineRule="auto"/>
              <w:jc w:val="center"/>
              <w:outlineLvl w:val="0"/>
              <w:rPr>
                <w:rFonts w:ascii="Times New Roman" w:hAnsi="Times New Roman"/>
                <w:sz w:val="20"/>
                <w:szCs w:val="20"/>
              </w:rPr>
            </w:pPr>
            <w:r w:rsidRPr="00B44C27">
              <w:rPr>
                <w:rFonts w:ascii="Times New Roman" w:hAnsi="Times New Roman"/>
                <w:sz w:val="20"/>
                <w:szCs w:val="20"/>
              </w:rPr>
              <w:t>+</w:t>
            </w:r>
          </w:p>
        </w:tc>
        <w:tc>
          <w:tcPr>
            <w:tcW w:w="1567" w:type="dxa"/>
          </w:tcPr>
          <w:p w:rsidR="00B44C27" w:rsidRPr="00B44C27" w:rsidRDefault="00B44C27" w:rsidP="00B44C27">
            <w:pPr>
              <w:spacing w:after="0" w:line="240" w:lineRule="auto"/>
              <w:jc w:val="center"/>
              <w:outlineLvl w:val="0"/>
              <w:rPr>
                <w:rFonts w:ascii="Times New Roman" w:hAnsi="Times New Roman"/>
                <w:sz w:val="20"/>
                <w:szCs w:val="20"/>
              </w:rPr>
            </w:pPr>
            <w:r w:rsidRPr="00B44C27">
              <w:rPr>
                <w:rFonts w:ascii="Times New Roman" w:hAnsi="Times New Roman"/>
                <w:sz w:val="20"/>
                <w:szCs w:val="20"/>
              </w:rPr>
              <w:t>+</w:t>
            </w:r>
          </w:p>
        </w:tc>
      </w:tr>
      <w:tr w:rsidR="00B44C27" w:rsidRPr="00B44C27" w:rsidTr="00B44C27">
        <w:trPr>
          <w:jc w:val="center"/>
        </w:trPr>
        <w:tc>
          <w:tcPr>
            <w:tcW w:w="962" w:type="dxa"/>
          </w:tcPr>
          <w:p w:rsidR="00B44C27" w:rsidRPr="00B44C27" w:rsidRDefault="00B44C27" w:rsidP="00B44C27">
            <w:pPr>
              <w:spacing w:after="0" w:line="240" w:lineRule="auto"/>
              <w:outlineLvl w:val="0"/>
              <w:rPr>
                <w:rFonts w:ascii="Times New Roman" w:hAnsi="Times New Roman"/>
                <w:sz w:val="20"/>
                <w:szCs w:val="20"/>
              </w:rPr>
            </w:pPr>
            <w:r w:rsidRPr="00B44C27">
              <w:rPr>
                <w:rFonts w:ascii="Times New Roman" w:hAnsi="Times New Roman"/>
                <w:sz w:val="20"/>
                <w:szCs w:val="20"/>
              </w:rPr>
              <w:t>7</w:t>
            </w:r>
          </w:p>
        </w:tc>
        <w:tc>
          <w:tcPr>
            <w:tcW w:w="1346" w:type="dxa"/>
          </w:tcPr>
          <w:p w:rsidR="00B44C27" w:rsidRPr="00B44C27" w:rsidRDefault="00B44C27" w:rsidP="00B44C27">
            <w:pPr>
              <w:spacing w:after="0" w:line="240" w:lineRule="auto"/>
              <w:outlineLvl w:val="0"/>
              <w:rPr>
                <w:rFonts w:ascii="Times New Roman" w:hAnsi="Times New Roman"/>
                <w:sz w:val="20"/>
                <w:szCs w:val="20"/>
              </w:rPr>
            </w:pPr>
            <w:r w:rsidRPr="00B44C27">
              <w:rPr>
                <w:rFonts w:ascii="Times New Roman" w:hAnsi="Times New Roman"/>
                <w:sz w:val="20"/>
                <w:szCs w:val="20"/>
              </w:rPr>
              <w:t>Terpenoids</w:t>
            </w:r>
          </w:p>
        </w:tc>
        <w:tc>
          <w:tcPr>
            <w:tcW w:w="0" w:type="auto"/>
          </w:tcPr>
          <w:p w:rsidR="00B44C27" w:rsidRPr="00B44C27" w:rsidRDefault="00B44C27" w:rsidP="00B44C27">
            <w:pPr>
              <w:spacing w:after="0" w:line="240" w:lineRule="auto"/>
              <w:jc w:val="center"/>
              <w:outlineLvl w:val="0"/>
              <w:rPr>
                <w:rFonts w:ascii="Times New Roman" w:hAnsi="Times New Roman"/>
                <w:sz w:val="20"/>
                <w:szCs w:val="20"/>
              </w:rPr>
            </w:pPr>
            <w:r w:rsidRPr="00B44C27">
              <w:rPr>
                <w:rFonts w:ascii="Times New Roman" w:hAnsi="Times New Roman"/>
                <w:sz w:val="20"/>
                <w:szCs w:val="20"/>
              </w:rPr>
              <w:t>+</w:t>
            </w:r>
          </w:p>
        </w:tc>
        <w:tc>
          <w:tcPr>
            <w:tcW w:w="0" w:type="auto"/>
          </w:tcPr>
          <w:p w:rsidR="00B44C27" w:rsidRPr="00B44C27" w:rsidRDefault="00B44C27" w:rsidP="00B44C27">
            <w:pPr>
              <w:spacing w:after="0" w:line="240" w:lineRule="auto"/>
              <w:jc w:val="center"/>
              <w:outlineLvl w:val="0"/>
              <w:rPr>
                <w:rFonts w:ascii="Times New Roman" w:hAnsi="Times New Roman"/>
                <w:sz w:val="20"/>
                <w:szCs w:val="20"/>
              </w:rPr>
            </w:pPr>
            <w:r w:rsidRPr="00B44C27">
              <w:rPr>
                <w:rFonts w:ascii="Times New Roman" w:hAnsi="Times New Roman"/>
                <w:sz w:val="20"/>
                <w:szCs w:val="20"/>
              </w:rPr>
              <w:t>+</w:t>
            </w:r>
          </w:p>
        </w:tc>
        <w:tc>
          <w:tcPr>
            <w:tcW w:w="1567" w:type="dxa"/>
          </w:tcPr>
          <w:p w:rsidR="00B44C27" w:rsidRPr="00B44C27" w:rsidRDefault="00B44C27" w:rsidP="00B44C27">
            <w:pPr>
              <w:spacing w:after="0" w:line="240" w:lineRule="auto"/>
              <w:jc w:val="center"/>
              <w:outlineLvl w:val="0"/>
              <w:rPr>
                <w:rFonts w:ascii="Times New Roman" w:hAnsi="Times New Roman"/>
                <w:sz w:val="20"/>
                <w:szCs w:val="20"/>
              </w:rPr>
            </w:pPr>
            <w:r w:rsidRPr="00B44C27">
              <w:rPr>
                <w:rFonts w:ascii="Times New Roman" w:hAnsi="Times New Roman"/>
                <w:sz w:val="20"/>
                <w:szCs w:val="20"/>
              </w:rPr>
              <w:t>+</w:t>
            </w:r>
          </w:p>
        </w:tc>
      </w:tr>
    </w:tbl>
    <w:p w:rsidR="00B44C27" w:rsidRPr="00B44C27" w:rsidRDefault="00B44C27" w:rsidP="00B44C27">
      <w:pPr>
        <w:spacing w:before="60" w:after="0" w:line="240" w:lineRule="auto"/>
        <w:ind w:firstLine="1710"/>
        <w:outlineLvl w:val="0"/>
        <w:rPr>
          <w:rFonts w:ascii="Times New Roman" w:hAnsi="Times New Roman"/>
          <w:sz w:val="18"/>
          <w:szCs w:val="18"/>
        </w:rPr>
      </w:pPr>
      <w:r w:rsidRPr="00B44C27">
        <w:rPr>
          <w:rFonts w:ascii="Times New Roman" w:hAnsi="Times New Roman"/>
          <w:sz w:val="18"/>
          <w:szCs w:val="18"/>
        </w:rPr>
        <w:t>plus (+) indicates the presence and minus (-) signifies absence.</w:t>
      </w:r>
    </w:p>
    <w:p w:rsidR="00B44C27" w:rsidRDefault="00B44C27" w:rsidP="00E00E9E">
      <w:pPr>
        <w:adjustRightInd w:val="0"/>
        <w:spacing w:after="0" w:line="240" w:lineRule="auto"/>
        <w:jc w:val="both"/>
        <w:outlineLvl w:val="0"/>
        <w:rPr>
          <w:rFonts w:ascii="Times New Roman" w:hAnsi="Times New Roman"/>
          <w:sz w:val="20"/>
          <w:szCs w:val="20"/>
        </w:rPr>
      </w:pPr>
    </w:p>
    <w:p w:rsidR="00B44C27" w:rsidRPr="00482D57" w:rsidRDefault="00B44C27" w:rsidP="00E00E9E">
      <w:pPr>
        <w:adjustRightInd w:val="0"/>
        <w:spacing w:after="0" w:line="240" w:lineRule="auto"/>
        <w:jc w:val="both"/>
        <w:outlineLvl w:val="0"/>
        <w:rPr>
          <w:rFonts w:ascii="Times New Roman" w:hAnsi="Times New Roman"/>
          <w:sz w:val="20"/>
          <w:szCs w:val="20"/>
        </w:rPr>
      </w:pPr>
    </w:p>
    <w:p w:rsidR="00482D57" w:rsidRPr="00482D57" w:rsidRDefault="00482D57" w:rsidP="00482D57">
      <w:pPr>
        <w:adjustRightInd w:val="0"/>
        <w:spacing w:after="0" w:line="240" w:lineRule="auto"/>
        <w:jc w:val="both"/>
        <w:outlineLvl w:val="0"/>
        <w:rPr>
          <w:rFonts w:ascii="Times New Roman" w:hAnsi="Times New Roman"/>
          <w:sz w:val="20"/>
          <w:szCs w:val="20"/>
        </w:rPr>
      </w:pPr>
      <w:r w:rsidRPr="00482D57">
        <w:rPr>
          <w:rFonts w:ascii="Times New Roman" w:hAnsi="Times New Roman"/>
          <w:sz w:val="20"/>
          <w:szCs w:val="20"/>
        </w:rPr>
        <w:t xml:space="preserve">Total flavonoid content (TFC) of different extracts of tepals of </w:t>
      </w:r>
      <w:r w:rsidRPr="00482D57">
        <w:rPr>
          <w:rFonts w:ascii="Times New Roman" w:hAnsi="Times New Roman"/>
          <w:i/>
          <w:sz w:val="20"/>
          <w:szCs w:val="20"/>
        </w:rPr>
        <w:t xml:space="preserve">Musa paradisiaca </w:t>
      </w:r>
      <w:r w:rsidRPr="00482D57">
        <w:rPr>
          <w:rFonts w:ascii="Times New Roman" w:hAnsi="Times New Roman"/>
          <w:sz w:val="20"/>
          <w:szCs w:val="20"/>
        </w:rPr>
        <w:t>was determined by AlCl</w:t>
      </w:r>
      <w:r w:rsidRPr="00482D57">
        <w:rPr>
          <w:rFonts w:ascii="Times New Roman" w:hAnsi="Times New Roman"/>
          <w:sz w:val="20"/>
          <w:szCs w:val="20"/>
          <w:vertAlign w:val="subscript"/>
        </w:rPr>
        <w:t>3</w:t>
      </w:r>
      <w:r w:rsidRPr="00482D57">
        <w:rPr>
          <w:rFonts w:ascii="Times New Roman" w:hAnsi="Times New Roman"/>
          <w:sz w:val="20"/>
          <w:szCs w:val="20"/>
        </w:rPr>
        <w:t xml:space="preserve"> method. Determining the total flavonoids by using AlCl</w:t>
      </w:r>
      <w:r w:rsidRPr="00482D57">
        <w:rPr>
          <w:rFonts w:ascii="Times New Roman" w:hAnsi="Times New Roman"/>
          <w:sz w:val="20"/>
          <w:szCs w:val="20"/>
          <w:vertAlign w:val="subscript"/>
        </w:rPr>
        <w:t>3</w:t>
      </w:r>
      <w:r w:rsidRPr="00482D57">
        <w:rPr>
          <w:rFonts w:ascii="Times New Roman" w:hAnsi="Times New Roman"/>
          <w:sz w:val="20"/>
          <w:szCs w:val="20"/>
        </w:rPr>
        <w:t xml:space="preserve"> is based upon the formation of stable complex between AlCl</w:t>
      </w:r>
      <w:r w:rsidRPr="00482D57">
        <w:rPr>
          <w:rFonts w:ascii="Times New Roman" w:hAnsi="Times New Roman"/>
          <w:sz w:val="20"/>
          <w:szCs w:val="20"/>
          <w:vertAlign w:val="subscript"/>
        </w:rPr>
        <w:t>3</w:t>
      </w:r>
      <w:r w:rsidRPr="00482D57">
        <w:rPr>
          <w:rFonts w:ascii="Times New Roman" w:hAnsi="Times New Roman"/>
          <w:sz w:val="20"/>
          <w:szCs w:val="20"/>
        </w:rPr>
        <w:t xml:space="preserve">, keto and hydroxyl groups of flavones and flavonoids. The results for total flavonoid content in the studied plant extracts are presented in the graph (Figure 4). The results show that MTE has the richest source of flavonoids, i.e. total content is 0.25 mg QE/g while on the contrary, ATE possess the lowest amount of flavonoid i.e. 0.164 mg QE/g. this is contrary to the findings of [34] where it was found that ethanolic extract has the highest flavonoid content. Flavonoids display a crucial role in scavenging the free radicals and these are the phyto constituents that should be focused on for investigation of many biological activities. Phytochemicals especially polyphenols constitute a major group of compounds that act as primary antioxidants [15]. </w:t>
      </w:r>
    </w:p>
    <w:p w:rsidR="00482D57" w:rsidRPr="00482D57" w:rsidRDefault="00482D57" w:rsidP="00482D57">
      <w:pPr>
        <w:spacing w:after="0" w:line="240" w:lineRule="auto"/>
        <w:jc w:val="both"/>
        <w:outlineLvl w:val="0"/>
        <w:rPr>
          <w:rFonts w:ascii="Times New Roman" w:hAnsi="Times New Roman"/>
          <w:sz w:val="20"/>
          <w:szCs w:val="20"/>
        </w:rPr>
      </w:pPr>
    </w:p>
    <w:p w:rsidR="00482D57" w:rsidRPr="00482D57" w:rsidRDefault="00482D57" w:rsidP="00482D57">
      <w:pPr>
        <w:pStyle w:val="Default"/>
        <w:jc w:val="both"/>
        <w:outlineLvl w:val="0"/>
        <w:rPr>
          <w:rFonts w:ascii="Times New Roman" w:hAnsi="Times New Roman" w:cs="Times New Roman"/>
          <w:color w:val="auto"/>
          <w:sz w:val="20"/>
          <w:szCs w:val="20"/>
        </w:rPr>
      </w:pPr>
      <w:r w:rsidRPr="00482D57">
        <w:rPr>
          <w:rFonts w:ascii="Times New Roman" w:hAnsi="Times New Roman" w:cs="Times New Roman"/>
          <w:color w:val="auto"/>
          <w:sz w:val="20"/>
          <w:szCs w:val="20"/>
        </w:rPr>
        <w:t xml:space="preserve">More than 4000 polyphenols (flavonoids, monophenols and poly phenols) are found in vascular plants. Phenolic compounds such as quercetin, rutin, narigin, catechin, caffeic acid, gallic acid and chlorogenic acid are very important plant constituents [15]. Medicinal plants are known to produce diverse substances possessing antioxidant properties having ability to protect the human body against cellular oxidation. Anti-oxidation are vital substances which possess the ability to protect the body from damage caused by free radicals inducing oxidative stress [35]. Antioxidant compounds like phenolic acids, polyphenols and flavonoids scavenge free radicals such as peroxide, hydroperoxide of lipid hydroxyl and therefore halt the oxidative mechanism that leads to degenerative diseases [36]. </w:t>
      </w:r>
      <w:r w:rsidRPr="00482D57">
        <w:rPr>
          <w:rFonts w:ascii="Times New Roman" w:eastAsia="NaomiSansEFN" w:hAnsi="Times New Roman" w:cs="Times New Roman"/>
          <w:color w:val="auto"/>
          <w:sz w:val="20"/>
          <w:szCs w:val="20"/>
        </w:rPr>
        <w:t xml:space="preserve">Flavonoids are proactive polyphenolic compounds found in most plants and cannot be synthesized or produced by the humans [37]. It was found to be effective in controlling various biological activities and is anti-inflammatory, anti-angiotic, antimicrobial, antioxidant, reduced hypertension, and has anti-cholesterol properties [38, 39]. </w:t>
      </w:r>
      <w:r w:rsidRPr="00482D57">
        <w:rPr>
          <w:rFonts w:ascii="Times New Roman" w:hAnsi="Times New Roman" w:cs="Times New Roman"/>
          <w:color w:val="auto"/>
          <w:sz w:val="20"/>
          <w:szCs w:val="20"/>
        </w:rPr>
        <w:t>In recent times, research interest has been paid to polyphenols and flavonoids as a result of their antioxidant capacity which is principally based on the redox properties of their hydroxyl groups and the structural relationship between different functional groups in their structure which enable them to actively serve as free radical scavengers, reducing agents, singlet oxygen quenchers metal chelators, and hydrogen donors [40].</w:t>
      </w:r>
    </w:p>
    <w:p w:rsidR="006768E9" w:rsidRDefault="006768E9" w:rsidP="00F447A7">
      <w:pPr>
        <w:spacing w:after="0" w:line="240" w:lineRule="auto"/>
        <w:jc w:val="center"/>
        <w:rPr>
          <w:rFonts w:ascii="Times New Roman" w:hAnsi="Times New Roman"/>
          <w:noProof/>
          <w:sz w:val="20"/>
          <w:szCs w:val="20"/>
          <w:lang w:bidi="ar-SA"/>
        </w:rPr>
      </w:pPr>
    </w:p>
    <w:p w:rsidR="00B44C27" w:rsidRDefault="00B44C27" w:rsidP="00F447A7">
      <w:pPr>
        <w:spacing w:after="0" w:line="240" w:lineRule="auto"/>
        <w:jc w:val="center"/>
        <w:rPr>
          <w:rFonts w:ascii="Times New Roman" w:hAnsi="Times New Roman"/>
          <w:noProof/>
          <w:sz w:val="20"/>
          <w:szCs w:val="20"/>
          <w:lang w:bidi="ar-SA"/>
        </w:rPr>
      </w:pPr>
    </w:p>
    <w:p w:rsidR="00B44C27" w:rsidRPr="00F447A7" w:rsidRDefault="00B44C27"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B44C27" w:rsidRPr="00A17681" w:rsidRDefault="00B44C27" w:rsidP="00B44C27">
      <w:pPr>
        <w:pStyle w:val="Default"/>
        <w:jc w:val="both"/>
        <w:rPr>
          <w:rFonts w:ascii="Times New Roman" w:hAnsi="Times New Roman" w:cs="Times New Roman"/>
          <w:color w:val="auto"/>
          <w:sz w:val="20"/>
          <w:szCs w:val="20"/>
        </w:rPr>
      </w:pPr>
      <w:r w:rsidRPr="00A17681">
        <w:rPr>
          <w:rFonts w:ascii="Times New Roman" w:hAnsi="Times New Roman" w:cs="Times New Roman"/>
          <w:color w:val="auto"/>
          <w:sz w:val="20"/>
          <w:szCs w:val="20"/>
        </w:rPr>
        <w:t xml:space="preserve">It can be postulated that the contents of phenolic and flavonoid compounds of tepal of </w:t>
      </w:r>
      <w:r w:rsidRPr="00A17681">
        <w:rPr>
          <w:rFonts w:ascii="Times New Roman" w:hAnsi="Times New Roman" w:cs="Times New Roman"/>
          <w:i/>
          <w:color w:val="auto"/>
          <w:sz w:val="20"/>
          <w:szCs w:val="20"/>
        </w:rPr>
        <w:t>Musa paradisiaca</w:t>
      </w:r>
      <w:r w:rsidRPr="00A17681">
        <w:rPr>
          <w:rFonts w:ascii="Times New Roman" w:hAnsi="Times New Roman" w:cs="Times New Roman"/>
          <w:color w:val="auto"/>
          <w:sz w:val="20"/>
          <w:szCs w:val="20"/>
        </w:rPr>
        <w:t xml:space="preserve"> contribute to the radical scavenging activity and can be regarded as promising plant species for natural sources of antioxidant with potential value for treatment of many life threatening diseases. The process of extraction and identification of active principles responsible for the free radical scavenging property of tepal extract of </w:t>
      </w:r>
      <w:r w:rsidRPr="00A17681">
        <w:rPr>
          <w:rFonts w:ascii="Times New Roman" w:hAnsi="Times New Roman" w:cs="Times New Roman"/>
          <w:i/>
          <w:color w:val="auto"/>
          <w:sz w:val="20"/>
          <w:szCs w:val="20"/>
        </w:rPr>
        <w:t>Musa paradisiaca</w:t>
      </w:r>
      <w:r w:rsidRPr="00A17681">
        <w:rPr>
          <w:rFonts w:ascii="Times New Roman" w:hAnsi="Times New Roman" w:cs="Times New Roman"/>
          <w:color w:val="auto"/>
          <w:sz w:val="20"/>
          <w:szCs w:val="20"/>
        </w:rPr>
        <w:t xml:space="preserve"> through bioactivity guided fraction is under progress in order to understand the possible mechanism of action of tepal of </w:t>
      </w:r>
      <w:r w:rsidRPr="00A17681">
        <w:rPr>
          <w:rFonts w:ascii="Times New Roman" w:hAnsi="Times New Roman" w:cs="Times New Roman"/>
          <w:i/>
          <w:color w:val="auto"/>
          <w:sz w:val="20"/>
          <w:szCs w:val="20"/>
        </w:rPr>
        <w:t>Musa paradisiaca</w:t>
      </w:r>
      <w:r w:rsidRPr="00A17681">
        <w:rPr>
          <w:rFonts w:ascii="Times New Roman" w:hAnsi="Times New Roman" w:cs="Times New Roman"/>
          <w:color w:val="auto"/>
          <w:sz w:val="20"/>
          <w:szCs w:val="20"/>
        </w:rPr>
        <w:t>. Utilization of this tepal will be of advantage to mankind and increased in its consumption will help in prevention of chronic life style diseases.</w:t>
      </w:r>
    </w:p>
    <w:p w:rsidR="006768E9" w:rsidRPr="00F447A7" w:rsidRDefault="006768E9" w:rsidP="00F447A7">
      <w:pPr>
        <w:spacing w:after="0" w:line="240" w:lineRule="auto"/>
        <w:jc w:val="center"/>
        <w:rPr>
          <w:rFonts w:ascii="Times New Roman" w:hAnsi="Times New Roman"/>
          <w:noProof/>
          <w:sz w:val="20"/>
          <w:szCs w:val="20"/>
          <w:lang w:bidi="ar-SA"/>
        </w:rPr>
      </w:pPr>
    </w:p>
    <w:p w:rsidR="00B44C27" w:rsidRPr="00A17681" w:rsidRDefault="002B3BD8" w:rsidP="00B44C2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B44C27" w:rsidP="00B44C27">
      <w:pPr>
        <w:adjustRightInd w:val="0"/>
        <w:spacing w:after="0" w:line="240" w:lineRule="auto"/>
        <w:rPr>
          <w:rFonts w:ascii="Times New Roman" w:hAnsi="Times New Roman"/>
          <w:sz w:val="20"/>
          <w:szCs w:val="20"/>
        </w:rPr>
      </w:pPr>
      <w:r w:rsidRPr="00B44C27">
        <w:rPr>
          <w:rFonts w:ascii="Times New Roman" w:hAnsi="Times New Roman"/>
          <w:sz w:val="20"/>
          <w:szCs w:val="20"/>
        </w:rPr>
        <w:t>The authors would like to acknowledge the support of Faculty of Medicine, Universiti Sultan Zainal Abidin (UniSZA), for providing the necessary fund on this research work.</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hAnsi="Times New Roman"/>
          <w:sz w:val="20"/>
          <w:szCs w:val="20"/>
        </w:rPr>
        <w:t xml:space="preserve">Rao, U. S., Khamsah, S. M., Abdurrazaq, M., Bashir, A. A., Mohaslinda, M. and Rosmawati, M. A. (2014). Taxonomical, Phytochemical and Pharmacological Review of </w:t>
      </w:r>
      <w:r w:rsidRPr="00EF5379">
        <w:rPr>
          <w:rFonts w:ascii="Times New Roman" w:hAnsi="Times New Roman"/>
          <w:i/>
          <w:sz w:val="20"/>
          <w:szCs w:val="20"/>
        </w:rPr>
        <w:t>Musa sapientum var paradisiaca</w:t>
      </w:r>
      <w:r w:rsidRPr="00EF5379">
        <w:rPr>
          <w:rFonts w:ascii="Times New Roman" w:hAnsi="Times New Roman"/>
          <w:sz w:val="20"/>
          <w:szCs w:val="20"/>
        </w:rPr>
        <w:t xml:space="preserve">. </w:t>
      </w:r>
      <w:r w:rsidRPr="00EF5379">
        <w:rPr>
          <w:rFonts w:ascii="Times New Roman" w:hAnsi="Times New Roman"/>
          <w:i/>
          <w:sz w:val="20"/>
          <w:szCs w:val="20"/>
        </w:rPr>
        <w:t>Research Journal of Pharmacy and Technology,</w:t>
      </w:r>
      <w:r w:rsidRPr="00EF5379">
        <w:rPr>
          <w:rFonts w:ascii="Times New Roman" w:hAnsi="Times New Roman"/>
          <w:sz w:val="20"/>
          <w:szCs w:val="20"/>
        </w:rPr>
        <w:t xml:space="preserve"> 7(11): 1356 – 1361.</w:t>
      </w: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hAnsi="Times New Roman"/>
          <w:sz w:val="20"/>
          <w:szCs w:val="20"/>
        </w:rPr>
        <w:t xml:space="preserve">Newman, D. J., Cragg, G. M. and Snader, K. M. (2003). Natural products as sources of new drugs over the period 1981–2002.  </w:t>
      </w:r>
      <w:r w:rsidRPr="00EF5379">
        <w:rPr>
          <w:rFonts w:ascii="Times New Roman" w:hAnsi="Times New Roman"/>
          <w:i/>
          <w:sz w:val="20"/>
          <w:szCs w:val="20"/>
        </w:rPr>
        <w:t>Journal of Natural Product.</w:t>
      </w:r>
      <w:r w:rsidRPr="00EF5379">
        <w:rPr>
          <w:rFonts w:ascii="Times New Roman" w:hAnsi="Times New Roman"/>
          <w:sz w:val="20"/>
          <w:szCs w:val="20"/>
        </w:rPr>
        <w:t xml:space="preserve"> 66 (7): 1022 – 1037.  </w:t>
      </w: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hAnsi="Times New Roman"/>
          <w:sz w:val="20"/>
          <w:szCs w:val="20"/>
          <w:lang w:eastAsia="en-GB"/>
        </w:rPr>
        <w:t>Loganayaki, N., Rajendrakumaran, D. and Manian, S. (2010). Antioxidant capacity and phenolic content of different solvent extracts from banana (</w:t>
      </w:r>
      <w:r w:rsidRPr="00EF5379">
        <w:rPr>
          <w:rFonts w:ascii="Times New Roman" w:hAnsi="Times New Roman"/>
          <w:i/>
          <w:sz w:val="20"/>
          <w:szCs w:val="20"/>
          <w:lang w:eastAsia="en-GB"/>
        </w:rPr>
        <w:t>Musa paradisiaca</w:t>
      </w:r>
      <w:r w:rsidRPr="00EF5379">
        <w:rPr>
          <w:rFonts w:ascii="Times New Roman" w:hAnsi="Times New Roman"/>
          <w:sz w:val="20"/>
          <w:szCs w:val="20"/>
          <w:lang w:eastAsia="en-GB"/>
        </w:rPr>
        <w:t>) and mustai (</w:t>
      </w:r>
      <w:r w:rsidRPr="00EF5379">
        <w:rPr>
          <w:rFonts w:ascii="Times New Roman" w:hAnsi="Times New Roman"/>
          <w:i/>
          <w:sz w:val="20"/>
          <w:szCs w:val="20"/>
          <w:lang w:eastAsia="en-GB"/>
        </w:rPr>
        <w:t>Rivea hypocrateriformis</w:t>
      </w:r>
      <w:r w:rsidRPr="00EF5379">
        <w:rPr>
          <w:rFonts w:ascii="Times New Roman" w:hAnsi="Times New Roman"/>
          <w:sz w:val="20"/>
          <w:szCs w:val="20"/>
          <w:lang w:eastAsia="en-GB"/>
        </w:rPr>
        <w:t xml:space="preserve">). </w:t>
      </w:r>
      <w:r w:rsidRPr="00EF5379">
        <w:rPr>
          <w:rFonts w:ascii="Times New Roman" w:hAnsi="Times New Roman"/>
          <w:i/>
          <w:iCs/>
          <w:sz w:val="20"/>
          <w:szCs w:val="20"/>
          <w:lang w:eastAsia="en-GB"/>
        </w:rPr>
        <w:t>Food and Science Biotechnology.</w:t>
      </w:r>
      <w:r w:rsidRPr="00EF5379">
        <w:rPr>
          <w:rFonts w:ascii="Times New Roman" w:hAnsi="Times New Roman"/>
          <w:sz w:val="20"/>
          <w:szCs w:val="20"/>
          <w:lang w:eastAsia="en-GB"/>
        </w:rPr>
        <w:t xml:space="preserve"> </w:t>
      </w:r>
      <w:r w:rsidRPr="00EF5379">
        <w:rPr>
          <w:rFonts w:ascii="Times New Roman" w:hAnsi="Times New Roman"/>
          <w:iCs/>
          <w:sz w:val="20"/>
          <w:szCs w:val="20"/>
          <w:lang w:eastAsia="en-GB"/>
        </w:rPr>
        <w:t>19</w:t>
      </w:r>
      <w:r w:rsidRPr="00EF5379">
        <w:rPr>
          <w:rFonts w:ascii="Times New Roman" w:hAnsi="Times New Roman"/>
          <w:sz w:val="20"/>
          <w:szCs w:val="20"/>
          <w:lang w:eastAsia="en-GB"/>
        </w:rPr>
        <w:t>(5): 1251 – 1258.</w:t>
      </w: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hAnsi="Times New Roman"/>
          <w:sz w:val="20"/>
          <w:szCs w:val="20"/>
        </w:rPr>
        <w:t xml:space="preserve">Yen, G. C., Duh, P. D. and Tsai, H. L. (2002). Antioxidant and pro-oxidant properties of ascorbic acid and gallic acid. </w:t>
      </w:r>
      <w:r w:rsidRPr="00EF5379">
        <w:rPr>
          <w:rFonts w:ascii="Times New Roman" w:hAnsi="Times New Roman"/>
          <w:i/>
          <w:sz w:val="20"/>
          <w:szCs w:val="20"/>
        </w:rPr>
        <w:t>Food Chemistry.</w:t>
      </w:r>
      <w:r w:rsidRPr="00EF5379">
        <w:rPr>
          <w:rFonts w:ascii="Times New Roman" w:hAnsi="Times New Roman"/>
          <w:sz w:val="20"/>
          <w:szCs w:val="20"/>
        </w:rPr>
        <w:t xml:space="preserve"> 79: 307 – 313.</w:t>
      </w: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eastAsia="CaeciliaLTStd-Roman" w:hAnsi="Times New Roman"/>
          <w:sz w:val="20"/>
          <w:szCs w:val="20"/>
        </w:rPr>
        <w:t>Bolkent, S., Yanardag, R., Tabakoglu-Oguz, A. and Ozsoy-Sacan, O. (2000). Effects of chard (</w:t>
      </w:r>
      <w:r w:rsidRPr="00EF5379">
        <w:rPr>
          <w:rFonts w:ascii="Times New Roman" w:eastAsia="CaeciliaLTStd-Roman" w:hAnsi="Times New Roman"/>
          <w:i/>
          <w:iCs/>
          <w:sz w:val="20"/>
          <w:szCs w:val="20"/>
        </w:rPr>
        <w:t xml:space="preserve">Beta vulgaris </w:t>
      </w:r>
      <w:r w:rsidRPr="00EF5379">
        <w:rPr>
          <w:rFonts w:ascii="Times New Roman" w:eastAsia="CaeciliaLTStd-Roman" w:hAnsi="Times New Roman"/>
          <w:sz w:val="20"/>
          <w:szCs w:val="20"/>
        </w:rPr>
        <w:t xml:space="preserve">L. var. </w:t>
      </w:r>
      <w:r w:rsidRPr="00EF5379">
        <w:rPr>
          <w:rFonts w:ascii="Times New Roman" w:eastAsia="CaeciliaLTStd-Roman" w:hAnsi="Times New Roman"/>
          <w:i/>
          <w:iCs/>
          <w:sz w:val="20"/>
          <w:szCs w:val="20"/>
        </w:rPr>
        <w:t>cicla</w:t>
      </w:r>
      <w:r w:rsidRPr="00EF5379">
        <w:rPr>
          <w:rFonts w:ascii="Times New Roman" w:eastAsia="CaeciliaLTStd-Roman" w:hAnsi="Times New Roman"/>
          <w:sz w:val="20"/>
          <w:szCs w:val="20"/>
        </w:rPr>
        <w:t>) extract on pancreatic B cells in streptozotoci</w:t>
      </w:r>
      <w:r w:rsidRPr="00EF5379">
        <w:rPr>
          <w:rFonts w:ascii="Times New Roman" w:eastAsia="CaeciliaLTStd-Roman" w:hAnsi="Times New Roman"/>
          <w:iCs/>
          <w:sz w:val="20"/>
          <w:szCs w:val="20"/>
        </w:rPr>
        <w:t>n induced</w:t>
      </w:r>
      <w:r w:rsidRPr="00EF5379">
        <w:rPr>
          <w:rFonts w:ascii="Times New Roman" w:eastAsia="CaeciliaLTStd-Roman" w:hAnsi="Times New Roman"/>
          <w:i/>
          <w:iCs/>
          <w:sz w:val="20"/>
          <w:szCs w:val="20"/>
        </w:rPr>
        <w:t>-</w:t>
      </w:r>
      <w:r w:rsidRPr="00EF5379">
        <w:rPr>
          <w:rFonts w:ascii="Times New Roman" w:eastAsia="CaeciliaLTStd-Roman" w:hAnsi="Times New Roman"/>
          <w:sz w:val="20"/>
          <w:szCs w:val="20"/>
        </w:rPr>
        <w:t xml:space="preserve">diabetic rats: A morphological and biochemical study. </w:t>
      </w:r>
      <w:r w:rsidRPr="00EF5379">
        <w:rPr>
          <w:rFonts w:ascii="Times New Roman" w:eastAsia="CaeciliaLTStd-Roman" w:hAnsi="Times New Roman"/>
          <w:i/>
          <w:sz w:val="20"/>
          <w:szCs w:val="20"/>
        </w:rPr>
        <w:t>Journal of Ethnopharmacol</w:t>
      </w:r>
      <w:r w:rsidRPr="00EF5379">
        <w:rPr>
          <w:rFonts w:ascii="Times New Roman" w:eastAsia="CaeciliaLTStd-Roman" w:hAnsi="Times New Roman"/>
          <w:sz w:val="20"/>
          <w:szCs w:val="20"/>
        </w:rPr>
        <w:t>ogy. 73: 251 – 259.</w:t>
      </w: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eastAsia="CaeciliaLTStd-Roman" w:hAnsi="Times New Roman"/>
          <w:sz w:val="20"/>
          <w:szCs w:val="20"/>
        </w:rPr>
        <w:t xml:space="preserve">Subash-Babu, P., Ignacimuthu, S., Agastian, P. and Varghese, B. (2009). Partial regeneration of [beta]-cells in the islets of Langerhans by nymphayol a sterol isolated from </w:t>
      </w:r>
      <w:r w:rsidRPr="00EF5379">
        <w:rPr>
          <w:rFonts w:ascii="Times New Roman" w:eastAsia="CaeciliaLTStd-Roman" w:hAnsi="Times New Roman"/>
          <w:i/>
          <w:iCs/>
          <w:sz w:val="20"/>
          <w:szCs w:val="20"/>
        </w:rPr>
        <w:t>Nymphaea stellate</w:t>
      </w:r>
      <w:r w:rsidRPr="00EF5379">
        <w:rPr>
          <w:rFonts w:ascii="Times New Roman" w:eastAsia="CaeciliaLTStd-Roman" w:hAnsi="Times New Roman"/>
          <w:sz w:val="20"/>
          <w:szCs w:val="20"/>
        </w:rPr>
        <w:t xml:space="preserve"> (Willd.) flowers. </w:t>
      </w:r>
      <w:r w:rsidRPr="00EF5379">
        <w:rPr>
          <w:rFonts w:ascii="Times New Roman" w:eastAsia="CaeciliaLTStd-Roman" w:hAnsi="Times New Roman"/>
          <w:i/>
          <w:sz w:val="20"/>
          <w:szCs w:val="20"/>
        </w:rPr>
        <w:t>Bioorganic and Medicinal Chemistry.</w:t>
      </w:r>
      <w:r w:rsidRPr="00EF5379">
        <w:rPr>
          <w:rFonts w:ascii="Times New Roman" w:eastAsia="CaeciliaLTStd-Roman" w:hAnsi="Times New Roman"/>
          <w:sz w:val="20"/>
          <w:szCs w:val="20"/>
        </w:rPr>
        <w:t xml:space="preserve"> 17: 2864 – 2870.</w:t>
      </w: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hAnsi="Times New Roman"/>
          <w:sz w:val="20"/>
          <w:szCs w:val="20"/>
        </w:rPr>
        <w:t>Harborne. J. B. The Flavonoids: (1988). Advances in research since 1980, Chapman and Hall Ltd, New York. 121.</w:t>
      </w: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eastAsia="CaeciliaLTStd-Roman" w:hAnsi="Times New Roman"/>
          <w:sz w:val="20"/>
          <w:szCs w:val="20"/>
        </w:rPr>
        <w:t xml:space="preserve">Nakamura, Y., Ishimitsu, S. and Tonogai, Y. (2000). Effects of quercetin and rutin on serum and hepatic lipid concentrations, fecal steroid excretion and serum antioxidant properties. </w:t>
      </w:r>
      <w:r w:rsidRPr="00EF5379">
        <w:rPr>
          <w:rFonts w:ascii="Times New Roman" w:eastAsia="CaeciliaLTStd-Roman" w:hAnsi="Times New Roman"/>
          <w:i/>
          <w:sz w:val="20"/>
          <w:szCs w:val="20"/>
        </w:rPr>
        <w:t>Journal of Health Science,</w:t>
      </w:r>
      <w:r w:rsidRPr="00EF5379">
        <w:rPr>
          <w:rFonts w:ascii="Times New Roman" w:eastAsia="CaeciliaLTStd-Roman" w:hAnsi="Times New Roman"/>
          <w:sz w:val="20"/>
          <w:szCs w:val="20"/>
        </w:rPr>
        <w:t xml:space="preserve"> 46: 229 – 240.</w:t>
      </w: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eastAsia="Times-Roman" w:hAnsi="Times New Roman"/>
          <w:sz w:val="20"/>
          <w:szCs w:val="20"/>
        </w:rPr>
        <w:t xml:space="preserve">Edeoga, H. O., Okwu, D. E. and Mbaebie, B. O. (2005). Phytochemical constituents of some Nigerian medicinal plants. </w:t>
      </w:r>
      <w:r w:rsidRPr="00EF5379">
        <w:rPr>
          <w:rFonts w:ascii="Times New Roman" w:eastAsia="Times-Roman" w:hAnsi="Times New Roman"/>
          <w:i/>
          <w:iCs/>
          <w:sz w:val="20"/>
          <w:szCs w:val="20"/>
        </w:rPr>
        <w:t xml:space="preserve">African Journal of Biotechnology, </w:t>
      </w:r>
      <w:r w:rsidRPr="00EF5379">
        <w:rPr>
          <w:rFonts w:ascii="Times New Roman" w:eastAsia="Times-Roman" w:hAnsi="Times New Roman"/>
          <w:iCs/>
          <w:sz w:val="20"/>
          <w:szCs w:val="20"/>
        </w:rPr>
        <w:t>4</w:t>
      </w:r>
      <w:r w:rsidRPr="00EF5379">
        <w:rPr>
          <w:rFonts w:ascii="Times New Roman" w:eastAsia="Times-Roman" w:hAnsi="Times New Roman"/>
          <w:sz w:val="20"/>
          <w:szCs w:val="20"/>
        </w:rPr>
        <w:t>(7): 685 – 688.</w:t>
      </w: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eastAsia="Times-Roman" w:hAnsi="Times New Roman"/>
          <w:sz w:val="20"/>
          <w:szCs w:val="20"/>
        </w:rPr>
        <w:t xml:space="preserve">Singh, Y. N. (1986). Traditional medicine in Fiji: some herbal folk cures used by Fiji Indians. </w:t>
      </w:r>
      <w:r w:rsidRPr="00EF5379">
        <w:rPr>
          <w:rFonts w:ascii="Times New Roman" w:eastAsia="Times-Roman" w:hAnsi="Times New Roman"/>
          <w:i/>
          <w:iCs/>
          <w:sz w:val="20"/>
          <w:szCs w:val="20"/>
        </w:rPr>
        <w:t xml:space="preserve">Journal of Ethnopharmacology. </w:t>
      </w:r>
      <w:r w:rsidRPr="00EF5379">
        <w:rPr>
          <w:rFonts w:ascii="Times New Roman" w:eastAsia="Times-Roman" w:hAnsi="Times New Roman"/>
          <w:iCs/>
          <w:sz w:val="20"/>
          <w:szCs w:val="20"/>
        </w:rPr>
        <w:t>15</w:t>
      </w:r>
      <w:r w:rsidRPr="00EF5379">
        <w:rPr>
          <w:rFonts w:ascii="Times New Roman" w:eastAsia="Times-Roman" w:hAnsi="Times New Roman"/>
          <w:sz w:val="20"/>
          <w:szCs w:val="20"/>
        </w:rPr>
        <w:t>(1): 57 – 88.</w:t>
      </w: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eastAsia="Times-Roman" w:hAnsi="Times New Roman"/>
          <w:sz w:val="20"/>
          <w:szCs w:val="20"/>
        </w:rPr>
        <w:t>Leonard, D. B. (1998). Medicine at your feet: Healing plants of the Hawaiian Kingdom Musa spp.(Mai'a).</w:t>
      </w: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hAnsi="Times New Roman"/>
          <w:sz w:val="20"/>
          <w:szCs w:val="20"/>
          <w:lang w:eastAsia="en-GB"/>
        </w:rPr>
        <w:t xml:space="preserve">Mahmood, A., Ngah, N. and Omar, M. N. (2011). Phytochemicals constituent and antioxidant activities in Musa x Paradisiaca flower. </w:t>
      </w:r>
      <w:r w:rsidRPr="00EF5379">
        <w:rPr>
          <w:rFonts w:ascii="Times New Roman" w:hAnsi="Times New Roman"/>
          <w:i/>
          <w:iCs/>
          <w:sz w:val="20"/>
          <w:szCs w:val="20"/>
          <w:lang w:eastAsia="en-GB"/>
        </w:rPr>
        <w:t>European Journal of Scientific Research</w:t>
      </w:r>
      <w:r w:rsidRPr="00EF5379">
        <w:rPr>
          <w:rFonts w:ascii="Times New Roman" w:hAnsi="Times New Roman"/>
          <w:sz w:val="20"/>
          <w:szCs w:val="20"/>
          <w:lang w:eastAsia="en-GB"/>
        </w:rPr>
        <w:t xml:space="preserve">. </w:t>
      </w:r>
      <w:r w:rsidRPr="00EF5379">
        <w:rPr>
          <w:rFonts w:ascii="Times New Roman" w:hAnsi="Times New Roman"/>
          <w:iCs/>
          <w:sz w:val="20"/>
          <w:szCs w:val="20"/>
          <w:lang w:eastAsia="en-GB"/>
        </w:rPr>
        <w:t>66</w:t>
      </w:r>
      <w:r w:rsidRPr="00EF5379">
        <w:rPr>
          <w:rFonts w:ascii="Times New Roman" w:hAnsi="Times New Roman"/>
          <w:sz w:val="20"/>
          <w:szCs w:val="20"/>
          <w:lang w:eastAsia="en-GB"/>
        </w:rPr>
        <w:t>(2): 311 – 318.</w:t>
      </w: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eastAsia="Times-Roman" w:hAnsi="Times New Roman"/>
          <w:sz w:val="20"/>
          <w:szCs w:val="20"/>
        </w:rPr>
        <w:t xml:space="preserve">Bagavan, A., Rahuman, A. A., Kaushik, N. K. and Sahal, D. (2010). In vitro antimalarial activity of medicinal plant extracts against </w:t>
      </w:r>
      <w:r w:rsidRPr="00EF5379">
        <w:rPr>
          <w:rFonts w:ascii="Times New Roman" w:eastAsia="Times-Roman" w:hAnsi="Times New Roman"/>
          <w:i/>
          <w:sz w:val="20"/>
          <w:szCs w:val="20"/>
        </w:rPr>
        <w:t>Plasmodium falciparum</w:t>
      </w:r>
      <w:r w:rsidRPr="00EF5379">
        <w:rPr>
          <w:rFonts w:ascii="Times New Roman" w:eastAsia="Times-Roman" w:hAnsi="Times New Roman"/>
          <w:sz w:val="20"/>
          <w:szCs w:val="20"/>
        </w:rPr>
        <w:t xml:space="preserve">. </w:t>
      </w:r>
      <w:r w:rsidRPr="00EF5379">
        <w:rPr>
          <w:rFonts w:ascii="Times New Roman" w:eastAsia="Times-Roman" w:hAnsi="Times New Roman"/>
          <w:i/>
          <w:iCs/>
          <w:sz w:val="20"/>
          <w:szCs w:val="20"/>
        </w:rPr>
        <w:t>Parasitic Research</w:t>
      </w:r>
      <w:r w:rsidRPr="00EF5379">
        <w:rPr>
          <w:rFonts w:ascii="Times New Roman" w:eastAsia="Times-Roman" w:hAnsi="Times New Roman"/>
          <w:sz w:val="20"/>
          <w:szCs w:val="20"/>
        </w:rPr>
        <w:t>, 108(2): 15 – 22.</w:t>
      </w: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hAnsi="Times New Roman"/>
          <w:sz w:val="20"/>
          <w:szCs w:val="20"/>
        </w:rPr>
        <w:t xml:space="preserve">Sulaiman, C. and Indira, B. (2012). Total phenolics and total flavonoids in selected Indian medicinal plants.  </w:t>
      </w:r>
      <w:r w:rsidRPr="00EF5379">
        <w:rPr>
          <w:rFonts w:ascii="Times New Roman" w:hAnsi="Times New Roman"/>
          <w:i/>
          <w:sz w:val="20"/>
          <w:szCs w:val="20"/>
        </w:rPr>
        <w:t xml:space="preserve">Indian Journal of Pharmaceutical Science, </w:t>
      </w:r>
      <w:r w:rsidRPr="00EF5379">
        <w:rPr>
          <w:rFonts w:ascii="Times New Roman" w:hAnsi="Times New Roman"/>
          <w:sz w:val="20"/>
          <w:szCs w:val="20"/>
        </w:rPr>
        <w:t xml:space="preserve">74(3): 258 – 260. </w:t>
      </w: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hAnsi="Times New Roman"/>
          <w:sz w:val="20"/>
          <w:szCs w:val="20"/>
          <w:lang w:eastAsia="en-GB"/>
        </w:rPr>
        <w:t xml:space="preserve">Samatha, T., Shyamsundarachary, R., Srinivas, P. and Swamy, R. (2012) Quantification of total             phenolic and total flavonoids contents in extracts of </w:t>
      </w:r>
      <w:r w:rsidRPr="00EF5379">
        <w:rPr>
          <w:rFonts w:ascii="Times New Roman" w:hAnsi="Times New Roman"/>
          <w:i/>
          <w:sz w:val="20"/>
          <w:szCs w:val="20"/>
          <w:lang w:eastAsia="en-GB"/>
        </w:rPr>
        <w:t>Oroxylum Indicum L</w:t>
      </w:r>
      <w:r w:rsidRPr="00EF5379">
        <w:rPr>
          <w:rFonts w:ascii="Times New Roman" w:hAnsi="Times New Roman"/>
          <w:sz w:val="20"/>
          <w:szCs w:val="20"/>
          <w:lang w:eastAsia="en-GB"/>
        </w:rPr>
        <w:t xml:space="preserve">. Kurz. </w:t>
      </w:r>
      <w:r w:rsidRPr="00EF5379">
        <w:rPr>
          <w:rFonts w:ascii="Times New Roman" w:hAnsi="Times New Roman"/>
          <w:i/>
          <w:iCs/>
          <w:sz w:val="20"/>
          <w:szCs w:val="20"/>
          <w:lang w:eastAsia="en-GB"/>
        </w:rPr>
        <w:t>Asian Journal of Pharmacy and Clinical Research</w:t>
      </w:r>
      <w:r w:rsidRPr="00EF5379">
        <w:rPr>
          <w:rFonts w:ascii="Times New Roman" w:hAnsi="Times New Roman"/>
          <w:sz w:val="20"/>
          <w:szCs w:val="20"/>
          <w:lang w:eastAsia="en-GB"/>
        </w:rPr>
        <w:t xml:space="preserve">, </w:t>
      </w:r>
      <w:r w:rsidRPr="00EF5379">
        <w:rPr>
          <w:rFonts w:ascii="Times New Roman" w:hAnsi="Times New Roman"/>
          <w:iCs/>
          <w:sz w:val="20"/>
          <w:szCs w:val="20"/>
          <w:lang w:eastAsia="en-GB"/>
        </w:rPr>
        <w:t>5</w:t>
      </w:r>
      <w:r w:rsidRPr="00EF5379">
        <w:rPr>
          <w:rFonts w:ascii="Times New Roman" w:hAnsi="Times New Roman"/>
          <w:sz w:val="20"/>
          <w:szCs w:val="20"/>
          <w:lang w:eastAsia="en-GB"/>
        </w:rPr>
        <w:t>(4): 177 – 179.</w:t>
      </w:r>
    </w:p>
    <w:p w:rsid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hAnsi="Times New Roman"/>
          <w:sz w:val="20"/>
          <w:szCs w:val="20"/>
          <w:lang w:eastAsia="en-GB"/>
        </w:rPr>
        <w:t xml:space="preserve">John, B. I., Sulaiman, C. T., George, S. A. and Reddy, V. R. (2013). Total phenolics and flavonoids in   selected medicinal plants from Kerala. </w:t>
      </w:r>
      <w:r w:rsidRPr="00EF5379">
        <w:rPr>
          <w:rFonts w:ascii="Times New Roman" w:hAnsi="Times New Roman"/>
          <w:i/>
          <w:iCs/>
          <w:sz w:val="20"/>
          <w:szCs w:val="20"/>
          <w:lang w:eastAsia="en-GB"/>
        </w:rPr>
        <w:t>Intlernational Journal of Pharma</w:t>
      </w:r>
      <w:r w:rsidR="005C284D">
        <w:rPr>
          <w:rFonts w:ascii="Times New Roman" w:hAnsi="Times New Roman"/>
          <w:i/>
          <w:iCs/>
          <w:sz w:val="20"/>
          <w:szCs w:val="20"/>
          <w:lang w:eastAsia="en-GB"/>
        </w:rPr>
        <w:t xml:space="preserve">cy and Pharmaceutical </w:t>
      </w:r>
      <w:r w:rsidRPr="00EF5379">
        <w:rPr>
          <w:rFonts w:ascii="Times New Roman" w:hAnsi="Times New Roman"/>
          <w:i/>
          <w:iCs/>
          <w:sz w:val="20"/>
          <w:szCs w:val="20"/>
          <w:lang w:eastAsia="en-GB"/>
        </w:rPr>
        <w:t>Science</w:t>
      </w:r>
      <w:r w:rsidRPr="00EF5379">
        <w:rPr>
          <w:rFonts w:ascii="Times New Roman" w:hAnsi="Times New Roman"/>
          <w:sz w:val="20"/>
          <w:szCs w:val="20"/>
          <w:lang w:eastAsia="en-GB"/>
        </w:rPr>
        <w:t xml:space="preserve">. </w:t>
      </w:r>
      <w:r w:rsidRPr="00EF5379">
        <w:rPr>
          <w:rFonts w:ascii="Times New Roman" w:hAnsi="Times New Roman"/>
          <w:iCs/>
          <w:sz w:val="20"/>
          <w:szCs w:val="20"/>
          <w:lang w:eastAsia="en-GB"/>
        </w:rPr>
        <w:t>6</w:t>
      </w:r>
      <w:r w:rsidRPr="00EF5379">
        <w:rPr>
          <w:rFonts w:ascii="Times New Roman" w:hAnsi="Times New Roman"/>
          <w:sz w:val="20"/>
          <w:szCs w:val="20"/>
          <w:lang w:eastAsia="en-GB"/>
        </w:rPr>
        <w:t>(1): 406 – 408.</w:t>
      </w:r>
    </w:p>
    <w:p w:rsidR="00EF5379" w:rsidRPr="00EF5379" w:rsidRDefault="00EF5379" w:rsidP="00EF5379">
      <w:pPr>
        <w:pStyle w:val="ListParagraph"/>
        <w:widowControl w:val="0"/>
        <w:autoSpaceDE w:val="0"/>
        <w:autoSpaceDN w:val="0"/>
        <w:adjustRightInd w:val="0"/>
        <w:spacing w:after="0" w:line="240" w:lineRule="auto"/>
        <w:ind w:left="360"/>
        <w:contextualSpacing w:val="0"/>
        <w:jc w:val="both"/>
        <w:rPr>
          <w:rFonts w:ascii="Times New Roman" w:hAnsi="Times New Roman"/>
          <w:sz w:val="20"/>
          <w:szCs w:val="20"/>
        </w:rPr>
      </w:pP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hAnsi="Times New Roman"/>
          <w:sz w:val="20"/>
          <w:szCs w:val="20"/>
        </w:rPr>
        <w:lastRenderedPageBreak/>
        <w:t>Peter, B., Kaufman, J., Warber, C., James, A. and Harry, D. (1999). Natural products from Plants, CRC Press London.</w:t>
      </w: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hAnsi="Times New Roman"/>
          <w:sz w:val="20"/>
          <w:szCs w:val="20"/>
        </w:rPr>
        <w:t>Dewick, P. M. (2001). Medicinal natural products. A biosynthetic approach, John Wiley &amp; Sons England.</w:t>
      </w: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hAnsi="Times New Roman"/>
          <w:sz w:val="20"/>
          <w:szCs w:val="20"/>
        </w:rPr>
        <w:t>Arnason, J., Mata, R. Romeo, J. (1995). Recent trends in Phytochemistry, (Eds) Plenum Press, New York and London.</w:t>
      </w: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hAnsi="Times New Roman"/>
          <w:sz w:val="20"/>
          <w:szCs w:val="20"/>
        </w:rPr>
        <w:t>Harbone, J. B. (1986). Phytochemical methods. Guide to modern techniques of plant analysis (2</w:t>
      </w:r>
      <w:r w:rsidRPr="00EF5379">
        <w:rPr>
          <w:rFonts w:ascii="Times New Roman" w:hAnsi="Times New Roman"/>
          <w:sz w:val="20"/>
          <w:szCs w:val="20"/>
          <w:vertAlign w:val="superscript"/>
        </w:rPr>
        <w:t>nd</w:t>
      </w:r>
      <w:r w:rsidRPr="00EF5379">
        <w:rPr>
          <w:rFonts w:ascii="Times New Roman" w:hAnsi="Times New Roman"/>
          <w:sz w:val="20"/>
          <w:szCs w:val="20"/>
        </w:rPr>
        <w:t xml:space="preserve"> edition. Chapman and Hall) India 1991.</w:t>
      </w: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hAnsi="Times New Roman"/>
          <w:sz w:val="20"/>
          <w:szCs w:val="20"/>
        </w:rPr>
        <w:t xml:space="preserve">Trease, G. E. &amp; Evans, W. C. (1989). </w:t>
      </w:r>
      <w:r w:rsidRPr="00EF5379">
        <w:rPr>
          <w:rFonts w:ascii="Times New Roman" w:hAnsi="Times New Roman"/>
          <w:i/>
          <w:iCs/>
          <w:sz w:val="20"/>
          <w:szCs w:val="20"/>
        </w:rPr>
        <w:t>Trease and Evan’s Textbook of Pharmacognosy</w:t>
      </w:r>
      <w:r w:rsidRPr="00EF5379">
        <w:rPr>
          <w:rFonts w:ascii="Times New Roman" w:hAnsi="Times New Roman"/>
          <w:sz w:val="20"/>
          <w:szCs w:val="20"/>
        </w:rPr>
        <w:t>. 13</w:t>
      </w:r>
      <w:r w:rsidRPr="00EF5379">
        <w:rPr>
          <w:rFonts w:ascii="Times New Roman" w:hAnsi="Times New Roman"/>
          <w:sz w:val="20"/>
          <w:szCs w:val="20"/>
          <w:vertAlign w:val="superscript"/>
        </w:rPr>
        <w:t xml:space="preserve">th </w:t>
      </w:r>
      <w:r w:rsidRPr="00EF5379">
        <w:rPr>
          <w:rFonts w:ascii="Times New Roman" w:hAnsi="Times New Roman"/>
          <w:sz w:val="20"/>
          <w:szCs w:val="20"/>
        </w:rPr>
        <w:t>Edition. Cambridge University Press, London. 546.</w:t>
      </w: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hAnsi="Times New Roman"/>
          <w:sz w:val="20"/>
          <w:szCs w:val="20"/>
        </w:rPr>
        <w:t>Singleton, V. L. and Rossi Jr J. A. (1965). Colorimetry of total phenolics with phosphomolybdic phosphotungstic acid reagents</w:t>
      </w:r>
      <w:r w:rsidRPr="00EF5379">
        <w:rPr>
          <w:rFonts w:ascii="Times New Roman" w:hAnsi="Times New Roman"/>
          <w:i/>
          <w:iCs/>
          <w:sz w:val="20"/>
          <w:szCs w:val="20"/>
        </w:rPr>
        <w:t>.  American Journal of Enology and Viticulture.</w:t>
      </w:r>
      <w:r w:rsidRPr="00EF5379">
        <w:rPr>
          <w:rFonts w:ascii="Times New Roman" w:hAnsi="Times New Roman"/>
          <w:sz w:val="20"/>
          <w:szCs w:val="20"/>
        </w:rPr>
        <w:t xml:space="preserve"> 16: 144 – 158.</w:t>
      </w: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hAnsi="Times New Roman"/>
          <w:sz w:val="20"/>
          <w:szCs w:val="20"/>
          <w:lang w:eastAsia="ms-MY"/>
        </w:rPr>
        <w:t xml:space="preserve">Kiranmai, M., Kumar, M. and Mohammed, I. (2011). Comparison of total flavanoid content of </w:t>
      </w:r>
      <w:r w:rsidRPr="00EF5379">
        <w:rPr>
          <w:rFonts w:ascii="Times New Roman" w:hAnsi="Times New Roman"/>
          <w:i/>
          <w:sz w:val="20"/>
          <w:szCs w:val="20"/>
          <w:lang w:eastAsia="ms-MY"/>
        </w:rPr>
        <w:t>Azadirachta indica</w:t>
      </w:r>
      <w:r w:rsidRPr="00EF5379">
        <w:rPr>
          <w:rFonts w:ascii="Times New Roman" w:hAnsi="Times New Roman"/>
          <w:sz w:val="20"/>
          <w:szCs w:val="20"/>
          <w:lang w:eastAsia="ms-MY"/>
        </w:rPr>
        <w:t xml:space="preserve"> root bark extracts prepared by different methods of extraction.</w:t>
      </w:r>
      <w:r w:rsidRPr="00EF5379">
        <w:rPr>
          <w:rFonts w:ascii="Times New Roman" w:hAnsi="Times New Roman"/>
          <w:i/>
          <w:iCs/>
          <w:sz w:val="20"/>
          <w:szCs w:val="20"/>
          <w:lang w:eastAsia="ms-MY"/>
        </w:rPr>
        <w:t xml:space="preserve"> Research Journal of            Pharmaceutical Biological and Chemical Science</w:t>
      </w:r>
      <w:r w:rsidRPr="00EF5379">
        <w:rPr>
          <w:rFonts w:ascii="Times New Roman" w:hAnsi="Times New Roman"/>
          <w:sz w:val="20"/>
          <w:szCs w:val="20"/>
          <w:lang w:eastAsia="ms-MY"/>
        </w:rPr>
        <w:t xml:space="preserve">, </w:t>
      </w:r>
      <w:r w:rsidRPr="00EF5379">
        <w:rPr>
          <w:rFonts w:ascii="Times New Roman" w:hAnsi="Times New Roman"/>
          <w:iCs/>
          <w:sz w:val="20"/>
          <w:szCs w:val="20"/>
          <w:lang w:eastAsia="ms-MY"/>
        </w:rPr>
        <w:t>2</w:t>
      </w:r>
      <w:r w:rsidRPr="00EF5379">
        <w:rPr>
          <w:rFonts w:ascii="Times New Roman" w:hAnsi="Times New Roman"/>
          <w:sz w:val="20"/>
          <w:szCs w:val="20"/>
          <w:lang w:eastAsia="ms-MY"/>
        </w:rPr>
        <w:t>: 254 – 261.</w:t>
      </w: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eastAsia="Times-Roman" w:hAnsi="Times New Roman"/>
          <w:sz w:val="20"/>
          <w:szCs w:val="20"/>
        </w:rPr>
        <w:t xml:space="preserve">Benvenuti, S., Pellati, F., Melegar, M. and Bertelli, D. (2004). Polyphenols, anthocyanins, ascorbic acid and radical scavenging activity of </w:t>
      </w:r>
      <w:r w:rsidRPr="00EF5379">
        <w:rPr>
          <w:rFonts w:ascii="Times New Roman" w:eastAsia="Times-Roman" w:hAnsi="Times New Roman"/>
          <w:i/>
          <w:iCs/>
          <w:sz w:val="20"/>
          <w:szCs w:val="20"/>
        </w:rPr>
        <w:t>Rubus</w:t>
      </w:r>
      <w:r w:rsidRPr="00EF5379">
        <w:rPr>
          <w:rFonts w:ascii="Times New Roman" w:eastAsia="Times-Roman" w:hAnsi="Times New Roman"/>
          <w:sz w:val="20"/>
          <w:szCs w:val="20"/>
        </w:rPr>
        <w:t xml:space="preserve">, </w:t>
      </w:r>
      <w:r w:rsidRPr="00EF5379">
        <w:rPr>
          <w:rFonts w:ascii="Times New Roman" w:eastAsia="Times-Roman" w:hAnsi="Times New Roman"/>
          <w:i/>
          <w:iCs/>
          <w:sz w:val="20"/>
          <w:szCs w:val="20"/>
        </w:rPr>
        <w:t xml:space="preserve">Ribes </w:t>
      </w:r>
      <w:r w:rsidRPr="00EF5379">
        <w:rPr>
          <w:rFonts w:ascii="Times New Roman" w:eastAsia="Times-Roman" w:hAnsi="Times New Roman"/>
          <w:sz w:val="20"/>
          <w:szCs w:val="20"/>
        </w:rPr>
        <w:t xml:space="preserve">and </w:t>
      </w:r>
      <w:r w:rsidRPr="00EF5379">
        <w:rPr>
          <w:rFonts w:ascii="Times New Roman" w:eastAsia="Times-Roman" w:hAnsi="Times New Roman"/>
          <w:i/>
          <w:iCs/>
          <w:sz w:val="20"/>
          <w:szCs w:val="20"/>
        </w:rPr>
        <w:t>Aronia</w:t>
      </w:r>
      <w:r w:rsidRPr="00EF5379">
        <w:rPr>
          <w:rFonts w:ascii="Times New Roman" w:eastAsia="Times-Roman" w:hAnsi="Times New Roman"/>
          <w:sz w:val="20"/>
          <w:szCs w:val="20"/>
        </w:rPr>
        <w:t xml:space="preserve">.  </w:t>
      </w:r>
      <w:r w:rsidRPr="00EF5379">
        <w:rPr>
          <w:rFonts w:ascii="Times New Roman" w:eastAsia="Times-Roman" w:hAnsi="Times New Roman"/>
          <w:i/>
          <w:sz w:val="20"/>
          <w:szCs w:val="20"/>
        </w:rPr>
        <w:t>Journal of Food Science.</w:t>
      </w:r>
      <w:r w:rsidRPr="00EF5379">
        <w:rPr>
          <w:rFonts w:ascii="Times New Roman" w:eastAsia="Times-Roman" w:hAnsi="Times New Roman"/>
          <w:sz w:val="20"/>
          <w:szCs w:val="20"/>
        </w:rPr>
        <w:t xml:space="preserve"> 69: 164 – 169.</w:t>
      </w: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hAnsi="Times New Roman"/>
          <w:sz w:val="20"/>
          <w:szCs w:val="20"/>
        </w:rPr>
        <w:t>Goli, A. H., Barzegar, M. and Sahari, M. A. (2005). Antioxidant activity and total phenolic compounds of pistachio (</w:t>
      </w:r>
      <w:r w:rsidRPr="00EF5379">
        <w:rPr>
          <w:rFonts w:ascii="Times New Roman" w:hAnsi="Times New Roman"/>
          <w:i/>
          <w:sz w:val="20"/>
          <w:szCs w:val="20"/>
        </w:rPr>
        <w:t>Pistachia vera</w:t>
      </w:r>
      <w:r w:rsidRPr="00EF5379">
        <w:rPr>
          <w:rFonts w:ascii="Times New Roman" w:hAnsi="Times New Roman"/>
          <w:sz w:val="20"/>
          <w:szCs w:val="20"/>
        </w:rPr>
        <w:t xml:space="preserve">) hull extracts. </w:t>
      </w:r>
      <w:r w:rsidRPr="00EF5379">
        <w:rPr>
          <w:rFonts w:ascii="Times New Roman" w:hAnsi="Times New Roman"/>
          <w:i/>
          <w:sz w:val="20"/>
          <w:szCs w:val="20"/>
        </w:rPr>
        <w:t>Food Chemistry</w:t>
      </w:r>
      <w:r w:rsidRPr="00EF5379">
        <w:rPr>
          <w:rFonts w:ascii="Times New Roman" w:hAnsi="Times New Roman"/>
          <w:sz w:val="20"/>
          <w:szCs w:val="20"/>
        </w:rPr>
        <w:t xml:space="preserve">. 92: 521 – 525. </w:t>
      </w: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hAnsi="Times New Roman"/>
          <w:sz w:val="20"/>
          <w:szCs w:val="20"/>
        </w:rPr>
        <w:t xml:space="preserve">Atmani, D., Chaher, N., Berboucha, M., Ayouni, K., Lounis, H., Boudaoud, H. and Debbache, N. (2009). Antioxidant capacity and phenol content of selected Algerian medicinal plants. </w:t>
      </w:r>
      <w:r w:rsidRPr="00EF5379">
        <w:rPr>
          <w:rFonts w:ascii="Times New Roman" w:hAnsi="Times New Roman"/>
          <w:i/>
          <w:sz w:val="20"/>
          <w:szCs w:val="20"/>
        </w:rPr>
        <w:t>Food Chemistry</w:t>
      </w:r>
      <w:r w:rsidRPr="00EF5379">
        <w:rPr>
          <w:rFonts w:ascii="Times New Roman" w:hAnsi="Times New Roman"/>
          <w:sz w:val="20"/>
          <w:szCs w:val="20"/>
        </w:rPr>
        <w:t>, 112: 303 – 309.</w:t>
      </w: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hAnsi="Times New Roman"/>
          <w:sz w:val="20"/>
          <w:szCs w:val="20"/>
        </w:rPr>
        <w:t xml:space="preserve">Naczk, M. and Shahidi F. (2006). Phenolics in cereals, fruits, and vegetables: Occurrence, extraction, and analysis. </w:t>
      </w:r>
      <w:r w:rsidRPr="00EF5379">
        <w:rPr>
          <w:rFonts w:ascii="Times New Roman" w:hAnsi="Times New Roman"/>
          <w:i/>
          <w:sz w:val="20"/>
          <w:szCs w:val="20"/>
        </w:rPr>
        <w:t>Journal of Pharmaceutical and Biomedical Analysis,</w:t>
      </w:r>
      <w:r w:rsidRPr="00EF5379">
        <w:rPr>
          <w:rFonts w:ascii="Times New Roman" w:hAnsi="Times New Roman"/>
          <w:sz w:val="20"/>
          <w:szCs w:val="20"/>
        </w:rPr>
        <w:t xml:space="preserve"> 41: 1523 – 1542. </w:t>
      </w: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hAnsi="Times New Roman"/>
          <w:sz w:val="20"/>
          <w:szCs w:val="20"/>
        </w:rPr>
        <w:t xml:space="preserve">Luximon-Ramma, A., Bahorun, T. and Crozier, A. (2003). Antioxidant actions and phenolic and vitamin C contents of common Mauritian exotic fruits. </w:t>
      </w:r>
      <w:r w:rsidRPr="00EF5379">
        <w:rPr>
          <w:rFonts w:ascii="Times New Roman" w:hAnsi="Times New Roman"/>
          <w:i/>
          <w:sz w:val="20"/>
          <w:szCs w:val="20"/>
        </w:rPr>
        <w:t>Journal of the Science of Food and Agriculture</w:t>
      </w:r>
      <w:r w:rsidRPr="00EF5379">
        <w:rPr>
          <w:rFonts w:ascii="Times New Roman" w:hAnsi="Times New Roman"/>
          <w:sz w:val="20"/>
          <w:szCs w:val="20"/>
        </w:rPr>
        <w:t>. 83: 496 – 502.</w:t>
      </w: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hAnsi="Times New Roman"/>
          <w:sz w:val="20"/>
          <w:szCs w:val="20"/>
        </w:rPr>
        <w:t xml:space="preserve">Oki, T., Masuda, M., Furuta, S., Nishibia, Y., Terahara, N. and Suda, I. (2002). Involvement of anthocyaninsand other phenolic compounds in radical-scavenging activity of purple-fleshed sweet potato cultivars. </w:t>
      </w:r>
      <w:r w:rsidRPr="00EF5379">
        <w:rPr>
          <w:rFonts w:ascii="Times New Roman" w:hAnsi="Times New Roman"/>
          <w:i/>
          <w:sz w:val="20"/>
          <w:szCs w:val="20"/>
        </w:rPr>
        <w:t xml:space="preserve">Food and Chemical Toxicology, </w:t>
      </w:r>
      <w:r w:rsidRPr="00EF5379">
        <w:rPr>
          <w:rFonts w:ascii="Times New Roman" w:hAnsi="Times New Roman"/>
          <w:bCs/>
          <w:sz w:val="20"/>
          <w:szCs w:val="20"/>
        </w:rPr>
        <w:t>67</w:t>
      </w:r>
      <w:r w:rsidRPr="00EF5379">
        <w:rPr>
          <w:rFonts w:ascii="Times New Roman" w:hAnsi="Times New Roman"/>
          <w:sz w:val="20"/>
          <w:szCs w:val="20"/>
        </w:rPr>
        <w:t xml:space="preserve">: 1752 – 1756. </w:t>
      </w: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hAnsi="Times New Roman"/>
          <w:sz w:val="20"/>
          <w:szCs w:val="20"/>
        </w:rPr>
        <w:t xml:space="preserve">Mohammad Reza, S. A., Mahnaz, K., Mannan, H., Maryam J. and Abbas H. (2010). Comparison of antioxidant activity and total phenol contents of some date seed varieties from Iran. </w:t>
      </w:r>
      <w:r w:rsidRPr="00EF5379">
        <w:rPr>
          <w:rFonts w:ascii="Times New Roman" w:hAnsi="Times New Roman"/>
          <w:i/>
          <w:sz w:val="20"/>
          <w:szCs w:val="20"/>
        </w:rPr>
        <w:t>Iranian Journal of Pharmaceutical Research</w:t>
      </w:r>
      <w:r w:rsidRPr="00EF5379">
        <w:rPr>
          <w:rFonts w:ascii="Times New Roman" w:hAnsi="Times New Roman"/>
          <w:sz w:val="20"/>
          <w:szCs w:val="20"/>
        </w:rPr>
        <w:t>, 9(2): 141 – 146.</w:t>
      </w: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hAnsi="Times New Roman"/>
          <w:sz w:val="20"/>
          <w:szCs w:val="20"/>
        </w:rPr>
        <w:t xml:space="preserve">Marinova, D., Ribarova F. and Atanassova M. (2005). Total phenolics and total flavonoids in Bulgarian fruits and vegetables. </w:t>
      </w:r>
      <w:r w:rsidRPr="00EF5379">
        <w:rPr>
          <w:rFonts w:ascii="Times New Roman" w:hAnsi="Times New Roman"/>
          <w:i/>
          <w:sz w:val="20"/>
          <w:szCs w:val="20"/>
        </w:rPr>
        <w:t xml:space="preserve">Journal of Chemical Technology and Biotechnology, </w:t>
      </w:r>
      <w:r w:rsidRPr="00EF5379">
        <w:rPr>
          <w:rFonts w:ascii="Times New Roman" w:hAnsi="Times New Roman"/>
          <w:sz w:val="20"/>
          <w:szCs w:val="20"/>
        </w:rPr>
        <w:t xml:space="preserve">40(3): 255 – 260. </w:t>
      </w: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hAnsi="Times New Roman"/>
          <w:sz w:val="20"/>
          <w:szCs w:val="20"/>
          <w:lang w:eastAsia="en-GB"/>
        </w:rPr>
        <w:t>Sulaiman, C. T., Sadashiva, C. T., George, S., Goplakrishnan, V. K. and Balachandran, I. (2013).           Chromatographic studies and in vitro screening for acetyl cholinesterase i</w:t>
      </w:r>
      <w:r w:rsidR="005C284D">
        <w:rPr>
          <w:rFonts w:ascii="Times New Roman" w:hAnsi="Times New Roman"/>
          <w:sz w:val="20"/>
          <w:szCs w:val="20"/>
          <w:lang w:eastAsia="en-GB"/>
        </w:rPr>
        <w:t xml:space="preserve">nhibition and antioxidant </w:t>
      </w:r>
      <w:bookmarkStart w:id="3" w:name="_GoBack"/>
      <w:bookmarkEnd w:id="3"/>
      <w:r w:rsidRPr="00EF5379">
        <w:rPr>
          <w:rFonts w:ascii="Times New Roman" w:hAnsi="Times New Roman"/>
          <w:sz w:val="20"/>
          <w:szCs w:val="20"/>
          <w:lang w:eastAsia="en-GB"/>
        </w:rPr>
        <w:t xml:space="preserve">activity of three Acacia species from South India. </w:t>
      </w:r>
      <w:r w:rsidRPr="00EF5379">
        <w:rPr>
          <w:rFonts w:ascii="Times New Roman" w:hAnsi="Times New Roman"/>
          <w:i/>
          <w:iCs/>
          <w:sz w:val="20"/>
          <w:szCs w:val="20"/>
          <w:lang w:eastAsia="en-GB"/>
        </w:rPr>
        <w:t>Analytical Chemistry Letters</w:t>
      </w:r>
      <w:r w:rsidRPr="00EF5379">
        <w:rPr>
          <w:rFonts w:ascii="Times New Roman" w:hAnsi="Times New Roman"/>
          <w:sz w:val="20"/>
          <w:szCs w:val="20"/>
          <w:lang w:eastAsia="en-GB"/>
        </w:rPr>
        <w:t xml:space="preserve">, </w:t>
      </w:r>
      <w:r w:rsidRPr="00EF5379">
        <w:rPr>
          <w:rFonts w:ascii="Times New Roman" w:hAnsi="Times New Roman"/>
          <w:iCs/>
          <w:sz w:val="20"/>
          <w:szCs w:val="20"/>
          <w:lang w:eastAsia="en-GB"/>
        </w:rPr>
        <w:t>3</w:t>
      </w:r>
      <w:r w:rsidRPr="00EF5379">
        <w:rPr>
          <w:rFonts w:ascii="Times New Roman" w:hAnsi="Times New Roman"/>
          <w:sz w:val="20"/>
          <w:szCs w:val="20"/>
          <w:lang w:eastAsia="en-GB"/>
        </w:rPr>
        <w:t>(2). 111 – 118.</w:t>
      </w: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hAnsi="Times New Roman"/>
          <w:sz w:val="20"/>
          <w:szCs w:val="20"/>
        </w:rPr>
        <w:t>Lewis, D. L., Field, W. D. and Shaw, G. P. (1999). A natural flavonoid present in unripe plantain banana pulp (</w:t>
      </w:r>
      <w:r w:rsidRPr="00EF5379">
        <w:rPr>
          <w:rFonts w:ascii="Times New Roman" w:hAnsi="Times New Roman"/>
          <w:i/>
          <w:iCs/>
          <w:sz w:val="20"/>
          <w:szCs w:val="20"/>
        </w:rPr>
        <w:t xml:space="preserve">Musa sapientum </w:t>
      </w:r>
      <w:r w:rsidRPr="00EF5379">
        <w:rPr>
          <w:rFonts w:ascii="Times New Roman" w:hAnsi="Times New Roman"/>
          <w:sz w:val="20"/>
          <w:szCs w:val="20"/>
        </w:rPr>
        <w:t xml:space="preserve">L. var. </w:t>
      </w:r>
      <w:r w:rsidRPr="00EF5379">
        <w:rPr>
          <w:rFonts w:ascii="Times New Roman" w:hAnsi="Times New Roman"/>
          <w:i/>
          <w:iCs/>
          <w:sz w:val="20"/>
          <w:szCs w:val="20"/>
        </w:rPr>
        <w:t>paradisiaca</w:t>
      </w:r>
      <w:r w:rsidRPr="00EF5379">
        <w:rPr>
          <w:rFonts w:ascii="Times New Roman" w:hAnsi="Times New Roman"/>
          <w:sz w:val="20"/>
          <w:szCs w:val="20"/>
        </w:rPr>
        <w:t xml:space="preserve">) protects the gastric mucosa from aspirin-induced erosions. </w:t>
      </w:r>
      <w:r w:rsidRPr="00EF5379">
        <w:rPr>
          <w:rFonts w:ascii="Times New Roman" w:hAnsi="Times New Roman"/>
          <w:i/>
          <w:sz w:val="20"/>
          <w:szCs w:val="20"/>
        </w:rPr>
        <w:t>Journal of Ethnopharmacology</w:t>
      </w:r>
      <w:r w:rsidRPr="00EF5379">
        <w:rPr>
          <w:rFonts w:ascii="Times New Roman" w:hAnsi="Times New Roman"/>
          <w:sz w:val="20"/>
          <w:szCs w:val="20"/>
        </w:rPr>
        <w:t>.</w:t>
      </w:r>
      <w:r w:rsidRPr="00EF5379">
        <w:rPr>
          <w:rFonts w:ascii="Times New Roman" w:hAnsi="Times New Roman"/>
          <w:b/>
          <w:sz w:val="20"/>
          <w:szCs w:val="20"/>
        </w:rPr>
        <w:t xml:space="preserve"> </w:t>
      </w:r>
      <w:r w:rsidRPr="00EF5379">
        <w:rPr>
          <w:rFonts w:ascii="Times New Roman" w:hAnsi="Times New Roman"/>
          <w:sz w:val="20"/>
          <w:szCs w:val="20"/>
        </w:rPr>
        <w:t>65: 283 – 288.</w:t>
      </w: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hAnsi="Times New Roman"/>
          <w:sz w:val="20"/>
          <w:szCs w:val="20"/>
        </w:rPr>
        <w:t>Joseph, J., Paul, D., Kavitha, M. P., Dineshkumar, B., Menon, J. S., Bhat, A. R. and Krishnakumar, K. (2014). Preliminary phytochemical screening and in vitro antioxidant activity of Banana flower (</w:t>
      </w:r>
      <w:r w:rsidRPr="00EF5379">
        <w:rPr>
          <w:rFonts w:ascii="Times New Roman" w:hAnsi="Times New Roman"/>
          <w:i/>
          <w:sz w:val="20"/>
          <w:szCs w:val="20"/>
        </w:rPr>
        <w:t>Musa paradisiaca</w:t>
      </w:r>
      <w:r w:rsidRPr="00EF5379">
        <w:rPr>
          <w:rFonts w:ascii="Times New Roman" w:hAnsi="Times New Roman"/>
          <w:sz w:val="20"/>
          <w:szCs w:val="20"/>
        </w:rPr>
        <w:t xml:space="preserve"> AAB Nendran variety). </w:t>
      </w:r>
      <w:r w:rsidRPr="00EF5379">
        <w:rPr>
          <w:rFonts w:ascii="Times New Roman" w:hAnsi="Times New Roman"/>
          <w:i/>
          <w:sz w:val="20"/>
          <w:szCs w:val="20"/>
        </w:rPr>
        <w:t>Journal of Pharmacy Research.</w:t>
      </w:r>
      <w:r w:rsidRPr="00EF5379">
        <w:rPr>
          <w:rFonts w:ascii="Times New Roman" w:hAnsi="Times New Roman"/>
          <w:sz w:val="20"/>
          <w:szCs w:val="20"/>
        </w:rPr>
        <w:t xml:space="preserve"> 8(2): 144 – 151.</w:t>
      </w: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hAnsi="Times New Roman"/>
          <w:sz w:val="20"/>
          <w:szCs w:val="20"/>
        </w:rPr>
        <w:t xml:space="preserve">Ozsoy, N., Can, A., Yanardag, R. and Akev, N. (2008). Antioxidant activity of Smilax excelsa leaf extracts. </w:t>
      </w:r>
      <w:r w:rsidRPr="00EF5379">
        <w:rPr>
          <w:rFonts w:ascii="Times New Roman" w:hAnsi="Times New Roman"/>
          <w:i/>
          <w:sz w:val="20"/>
          <w:szCs w:val="20"/>
        </w:rPr>
        <w:t>Food Chemistry</w:t>
      </w:r>
      <w:r w:rsidRPr="00EF5379">
        <w:rPr>
          <w:rFonts w:ascii="Times New Roman" w:hAnsi="Times New Roman"/>
          <w:sz w:val="20"/>
          <w:szCs w:val="20"/>
        </w:rPr>
        <w:t>, 110: 571 – 583.</w:t>
      </w: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hAnsi="Times New Roman"/>
          <w:sz w:val="20"/>
          <w:szCs w:val="20"/>
        </w:rPr>
        <w:t xml:space="preserve">Subramanian, H., Gupta K., Guo, Q., Price, R. and Ali, H. (2011). Mas-related gene X2 (MrgX2) is a novel G protein-coupled receptor for the antimicrobial peptide LL-37 in human mast cells: resistance to receptor phosphorylation, desensitization, and internalization. </w:t>
      </w:r>
      <w:r w:rsidRPr="00EF5379">
        <w:rPr>
          <w:rFonts w:ascii="Times New Roman" w:hAnsi="Times New Roman"/>
          <w:i/>
          <w:sz w:val="20"/>
          <w:szCs w:val="20"/>
        </w:rPr>
        <w:t xml:space="preserve">Journal of Biological Chemistry. </w:t>
      </w:r>
      <w:r w:rsidRPr="00EF5379">
        <w:rPr>
          <w:rFonts w:ascii="Times New Roman" w:hAnsi="Times New Roman"/>
          <w:sz w:val="20"/>
          <w:szCs w:val="20"/>
        </w:rPr>
        <w:t xml:space="preserve">286: 44739 – 44749. </w:t>
      </w: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eastAsia="NaomiSansEFN" w:hAnsi="Times New Roman"/>
          <w:sz w:val="20"/>
          <w:szCs w:val="20"/>
        </w:rPr>
        <w:t xml:space="preserve">McCullough, M. L., Peterson, J. J. and Patel, R. (2012). Flavonoid intake and cardiovascular disease mortality in a prospective cohort of US adults 1–4.  </w:t>
      </w:r>
      <w:r w:rsidRPr="00EF5379">
        <w:rPr>
          <w:rFonts w:ascii="Times New Roman" w:eastAsia="NaomiSansEFN" w:hAnsi="Times New Roman"/>
          <w:i/>
          <w:sz w:val="20"/>
          <w:szCs w:val="20"/>
        </w:rPr>
        <w:t>American Journal of Clinical Nutrition</w:t>
      </w:r>
      <w:r w:rsidRPr="00EF5379">
        <w:rPr>
          <w:rFonts w:ascii="Times New Roman" w:eastAsia="NaomiSansEFN" w:hAnsi="Times New Roman"/>
          <w:sz w:val="20"/>
          <w:szCs w:val="20"/>
        </w:rPr>
        <w:t>. 95(2): 454 – 464.</w:t>
      </w: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eastAsia="NaomiSansEFN" w:hAnsi="Times New Roman"/>
          <w:sz w:val="20"/>
          <w:szCs w:val="20"/>
        </w:rPr>
        <w:t xml:space="preserve">Knekt P., Kumpulainen J., and Jarvinen J. (2002). Flavonoid intake and risk of chronic diseases. </w:t>
      </w:r>
      <w:r w:rsidRPr="00EF5379">
        <w:rPr>
          <w:rFonts w:ascii="Times New Roman" w:eastAsia="NaomiSansEFN" w:hAnsi="Times New Roman"/>
          <w:i/>
          <w:sz w:val="20"/>
          <w:szCs w:val="20"/>
        </w:rPr>
        <w:t>American Journal of Clinical Nutrition</w:t>
      </w:r>
      <w:r w:rsidRPr="00EF5379">
        <w:rPr>
          <w:rFonts w:ascii="Times New Roman" w:eastAsia="NaomiSansEFN" w:hAnsi="Times New Roman"/>
          <w:sz w:val="20"/>
          <w:szCs w:val="20"/>
        </w:rPr>
        <w:t>, 76(3): 560 – 568.</w:t>
      </w:r>
    </w:p>
    <w:p w:rsidR="00EF5379" w:rsidRDefault="00EF5379" w:rsidP="00EF5379">
      <w:pPr>
        <w:widowControl w:val="0"/>
        <w:autoSpaceDE w:val="0"/>
        <w:autoSpaceDN w:val="0"/>
        <w:adjustRightInd w:val="0"/>
        <w:spacing w:after="0" w:line="240" w:lineRule="auto"/>
        <w:jc w:val="both"/>
        <w:rPr>
          <w:rFonts w:ascii="Times New Roman" w:hAnsi="Times New Roman"/>
          <w:sz w:val="20"/>
          <w:szCs w:val="20"/>
        </w:rPr>
      </w:pPr>
    </w:p>
    <w:p w:rsidR="00EF5379" w:rsidRPr="00EF5379" w:rsidRDefault="00EF5379" w:rsidP="00EF5379">
      <w:pPr>
        <w:widowControl w:val="0"/>
        <w:autoSpaceDE w:val="0"/>
        <w:autoSpaceDN w:val="0"/>
        <w:adjustRightInd w:val="0"/>
        <w:spacing w:after="0" w:line="240" w:lineRule="auto"/>
        <w:jc w:val="both"/>
        <w:rPr>
          <w:rFonts w:ascii="Times New Roman" w:hAnsi="Times New Roman"/>
          <w:sz w:val="20"/>
          <w:szCs w:val="20"/>
        </w:rPr>
      </w:pP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eastAsia="NaomiSansEFN" w:hAnsi="Times New Roman"/>
          <w:sz w:val="20"/>
          <w:szCs w:val="20"/>
        </w:rPr>
        <w:lastRenderedPageBreak/>
        <w:t xml:space="preserve">Liu X, Zhu L, Tan J., Zhou, X., Xiao, L., Yang, X. and Wang, B. (2014). Glucosidase inhibitory activity and antioxidant activity of flavonoid compound and triterpenoid compound from </w:t>
      </w:r>
      <w:r w:rsidRPr="00EF5379">
        <w:rPr>
          <w:rFonts w:ascii="Times New Roman" w:eastAsia="NaomiSansEFN" w:hAnsi="Times New Roman"/>
          <w:i/>
          <w:iCs/>
          <w:sz w:val="20"/>
          <w:szCs w:val="20"/>
        </w:rPr>
        <w:t xml:space="preserve">Agrimonia Pilosa </w:t>
      </w:r>
      <w:r w:rsidRPr="00EF5379">
        <w:rPr>
          <w:rFonts w:ascii="Times New Roman" w:eastAsia="NaomiSansEFN" w:hAnsi="Times New Roman"/>
          <w:sz w:val="20"/>
          <w:szCs w:val="20"/>
        </w:rPr>
        <w:t xml:space="preserve">Ledeb. </w:t>
      </w:r>
      <w:r w:rsidRPr="00EF5379">
        <w:rPr>
          <w:rFonts w:ascii="Times New Roman" w:eastAsia="NaomiSansEFN" w:hAnsi="Times New Roman"/>
          <w:i/>
          <w:sz w:val="20"/>
          <w:szCs w:val="20"/>
        </w:rPr>
        <w:t>BMC</w:t>
      </w:r>
      <w:r w:rsidRPr="00EF5379">
        <w:rPr>
          <w:rFonts w:ascii="Times New Roman" w:eastAsia="NaomiSansEFN" w:hAnsi="Times New Roman"/>
          <w:sz w:val="20"/>
          <w:szCs w:val="20"/>
        </w:rPr>
        <w:t xml:space="preserve"> </w:t>
      </w:r>
      <w:r w:rsidRPr="00EF5379">
        <w:rPr>
          <w:rFonts w:ascii="Times New Roman" w:eastAsia="NaomiSansEFN" w:hAnsi="Times New Roman"/>
          <w:i/>
          <w:sz w:val="20"/>
          <w:szCs w:val="20"/>
        </w:rPr>
        <w:t>Complement Alternative Medicine.</w:t>
      </w:r>
      <w:r w:rsidRPr="00EF5379">
        <w:rPr>
          <w:rFonts w:ascii="Times New Roman" w:eastAsia="NaomiSansEFN" w:hAnsi="Times New Roman"/>
          <w:sz w:val="20"/>
          <w:szCs w:val="20"/>
        </w:rPr>
        <w:t xml:space="preserve"> 14(1): 1 – 12.</w:t>
      </w:r>
    </w:p>
    <w:p w:rsidR="00EF5379" w:rsidRPr="00EF5379" w:rsidRDefault="00EF5379" w:rsidP="00EF5379">
      <w:pPr>
        <w:pStyle w:val="ListParagraph"/>
        <w:widowControl w:val="0"/>
        <w:numPr>
          <w:ilvl w:val="0"/>
          <w:numId w:val="2"/>
        </w:numPr>
        <w:autoSpaceDE w:val="0"/>
        <w:autoSpaceDN w:val="0"/>
        <w:adjustRightInd w:val="0"/>
        <w:spacing w:after="0" w:line="240" w:lineRule="auto"/>
        <w:ind w:left="360"/>
        <w:contextualSpacing w:val="0"/>
        <w:jc w:val="both"/>
        <w:rPr>
          <w:rFonts w:ascii="Times New Roman" w:hAnsi="Times New Roman"/>
          <w:sz w:val="20"/>
          <w:szCs w:val="20"/>
        </w:rPr>
      </w:pPr>
      <w:r w:rsidRPr="00EF5379">
        <w:rPr>
          <w:rFonts w:ascii="Times New Roman" w:hAnsi="Times New Roman"/>
          <w:sz w:val="20"/>
          <w:szCs w:val="20"/>
        </w:rPr>
        <w:t>Materska M. and Perucka I. (2005). Antioxidant activity of the main phenolic compounds isolated from hot pepper fruits (</w:t>
      </w:r>
      <w:r w:rsidRPr="00EF5379">
        <w:rPr>
          <w:rFonts w:ascii="Times New Roman" w:hAnsi="Times New Roman"/>
          <w:i/>
          <w:iCs/>
          <w:sz w:val="20"/>
          <w:szCs w:val="20"/>
        </w:rPr>
        <w:t xml:space="preserve">Capsicum annuum </w:t>
      </w:r>
      <w:r w:rsidRPr="00EF5379">
        <w:rPr>
          <w:rFonts w:ascii="Times New Roman" w:hAnsi="Times New Roman"/>
          <w:sz w:val="20"/>
          <w:szCs w:val="20"/>
        </w:rPr>
        <w:t xml:space="preserve">L.). </w:t>
      </w:r>
      <w:r w:rsidRPr="00EF5379">
        <w:rPr>
          <w:rFonts w:ascii="Times New Roman" w:hAnsi="Times New Roman"/>
          <w:i/>
          <w:sz w:val="20"/>
          <w:szCs w:val="20"/>
        </w:rPr>
        <w:t>Journal of Agricultural Food Chemistry.</w:t>
      </w:r>
      <w:r w:rsidRPr="00EF5379">
        <w:rPr>
          <w:rFonts w:ascii="Times New Roman" w:hAnsi="Times New Roman"/>
          <w:sz w:val="20"/>
          <w:szCs w:val="20"/>
        </w:rPr>
        <w:t xml:space="preserve"> 53:1730 – 1758.</w:t>
      </w:r>
    </w:p>
    <w:p w:rsidR="00A74A7E" w:rsidRPr="00EF5379" w:rsidRDefault="00A74A7E" w:rsidP="00EF5379">
      <w:pPr>
        <w:spacing w:after="0" w:line="240" w:lineRule="auto"/>
        <w:jc w:val="both"/>
        <w:rPr>
          <w:rFonts w:ascii="Times New Roman" w:hAnsi="Times New Roman"/>
          <w:noProof/>
          <w:sz w:val="20"/>
          <w:szCs w:val="20"/>
          <w:lang w:bidi="ar-SA"/>
        </w:rPr>
      </w:pPr>
    </w:p>
    <w:sectPr w:rsidR="00A74A7E" w:rsidRPr="00EF5379" w:rsidSect="009E7DA0">
      <w:headerReference w:type="even" r:id="rId15"/>
      <w:headerReference w:type="default" r:id="rId16"/>
      <w:footerReference w:type="even" r:id="rId17"/>
      <w:footerReference w:type="default" r:id="rId18"/>
      <w:pgSz w:w="12240" w:h="15840" w:code="1"/>
      <w:pgMar w:top="1800" w:right="1469" w:bottom="1699" w:left="1440" w:header="706" w:footer="706" w:gutter="0"/>
      <w:pgNumType w:start="118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BZ">
    <w:altName w:val="MS Mincho"/>
    <w:panose1 w:val="00000000000000000000"/>
    <w:charset w:val="80"/>
    <w:family w:val="auto"/>
    <w:notTrueType/>
    <w:pitch w:val="default"/>
    <w:sig w:usb0="00000001" w:usb1="08070000" w:usb2="00000010" w:usb3="00000000" w:csb0="00020000" w:csb1="00000000"/>
  </w:font>
  <w:font w:name="CaeciliaLTStd-Roman">
    <w:altName w:val="MS Mincho"/>
    <w:panose1 w:val="00000000000000000000"/>
    <w:charset w:val="80"/>
    <w:family w:val="auto"/>
    <w:notTrueType/>
    <w:pitch w:val="default"/>
    <w:sig w:usb0="00000001" w:usb1="08070000" w:usb2="00000010" w:usb3="00000000" w:csb0="00020000" w:csb1="00000000"/>
  </w:font>
  <w:font w:name="Times-Roman">
    <w:altName w:val="MS Mincho"/>
    <w:panose1 w:val="00000000000000000000"/>
    <w:charset w:val="80"/>
    <w:family w:val="auto"/>
    <w:notTrueType/>
    <w:pitch w:val="default"/>
    <w:sig w:usb0="00000003" w:usb1="08070000" w:usb2="00000010" w:usb3="00000000" w:csb0="0002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NaomiSansEFN">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373B0D">
      <w:rPr>
        <w:rFonts w:ascii="Times New Roman" w:hAnsi="Times New Roman"/>
        <w:noProof/>
      </w:rPr>
      <w:t>1190</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373B0D">
      <w:rPr>
        <w:rFonts w:ascii="Times New Roman" w:hAnsi="Times New Roman"/>
        <w:noProof/>
      </w:rPr>
      <w:t>1189</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CB1" w:rsidRPr="00DC6CB1" w:rsidRDefault="00375AA0" w:rsidP="00375AA0">
    <w:pPr>
      <w:adjustRightInd w:val="0"/>
      <w:spacing w:after="0" w:line="240" w:lineRule="auto"/>
      <w:ind w:left="990" w:hanging="990"/>
      <w:rPr>
        <w:rFonts w:ascii="Times New Roman" w:hAnsi="Times New Roman"/>
        <w:i/>
        <w:sz w:val="20"/>
        <w:szCs w:val="20"/>
      </w:rPr>
    </w:pPr>
    <w:r>
      <w:rPr>
        <w:rFonts w:ascii="Times New Roman" w:hAnsi="Times New Roman"/>
        <w:sz w:val="20"/>
        <w:szCs w:val="20"/>
      </w:rPr>
      <w:t>Rao</w:t>
    </w:r>
    <w:r w:rsidR="00DC6CB1">
      <w:rPr>
        <w:rFonts w:ascii="Times New Roman" w:hAnsi="Times New Roman"/>
        <w:sz w:val="20"/>
        <w:szCs w:val="20"/>
      </w:rPr>
      <w:t xml:space="preserve"> et al</w:t>
    </w:r>
    <w:r w:rsidR="006B72B0" w:rsidRPr="00DC6CB1">
      <w:rPr>
        <w:rFonts w:ascii="Times New Roman" w:hAnsi="Times New Roman"/>
        <w:sz w:val="20"/>
        <w:szCs w:val="20"/>
      </w:rPr>
      <w:t xml:space="preserve">: </w:t>
    </w:r>
    <w:r w:rsidR="00DC6CB1" w:rsidRPr="00DC6CB1">
      <w:rPr>
        <w:rFonts w:ascii="Times New Roman" w:hAnsi="Times New Roman"/>
        <w:sz w:val="20"/>
        <w:szCs w:val="20"/>
      </w:rPr>
      <w:t xml:space="preserve">  </w:t>
    </w:r>
    <w:r>
      <w:rPr>
        <w:rFonts w:ascii="Times New Roman" w:hAnsi="Times New Roman"/>
        <w:sz w:val="20"/>
        <w:szCs w:val="20"/>
      </w:rPr>
      <w:tab/>
    </w:r>
    <w:r w:rsidR="00DC6CB1" w:rsidRPr="00DC6CB1">
      <w:rPr>
        <w:rFonts w:ascii="Times New Roman" w:hAnsi="Times New Roman"/>
        <w:sz w:val="20"/>
        <w:szCs w:val="20"/>
      </w:rPr>
      <w:t xml:space="preserve">PHYTOCHEMICAL SCREENING, TOTAL FLAVONOID AND PHENOLIC CONTENT ASSAYS OF VARIOUS SOLVENT EXTRACTS OF TEPAL OF </w:t>
    </w:r>
    <w:r w:rsidR="00DC6CB1" w:rsidRPr="00DC6CB1">
      <w:rPr>
        <w:rFonts w:ascii="Times New Roman" w:hAnsi="Times New Roman"/>
        <w:i/>
        <w:sz w:val="20"/>
        <w:szCs w:val="20"/>
      </w:rPr>
      <w:t>Musa paradisiaca</w:t>
    </w:r>
  </w:p>
  <w:p w:rsidR="002B3BD8" w:rsidRPr="006B72B0" w:rsidRDefault="002B3BD8" w:rsidP="006B72B0">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7D45AC">
      <w:rPr>
        <w:rFonts w:ascii="Times New Roman" w:hAnsi="Times New Roman"/>
        <w:i/>
        <w:lang w:val="en-US"/>
      </w:rPr>
      <w:t>20</w:t>
    </w:r>
    <w:r>
      <w:rPr>
        <w:rFonts w:ascii="Times New Roman" w:hAnsi="Times New Roman"/>
        <w:i/>
      </w:rPr>
      <w:t xml:space="preserve"> </w:t>
    </w:r>
    <w:r w:rsidR="00B91DE7">
      <w:rPr>
        <w:rFonts w:ascii="Times New Roman" w:hAnsi="Times New Roman"/>
        <w:i/>
        <w:lang w:val="en-US"/>
      </w:rPr>
      <w:t>No 5</w:t>
    </w:r>
    <w:r>
      <w:rPr>
        <w:rFonts w:ascii="Times New Roman" w:hAnsi="Times New Roman"/>
        <w:i/>
      </w:rPr>
      <w:t xml:space="preserve"> (201</w:t>
    </w:r>
    <w:r w:rsidR="007D45AC">
      <w:rPr>
        <w:rFonts w:ascii="Times New Roman" w:hAnsi="Times New Roman"/>
        <w:i/>
        <w:lang w:val="en-US"/>
      </w:rPr>
      <w:t>6</w:t>
    </w:r>
    <w:r w:rsidRPr="00D75B35">
      <w:rPr>
        <w:rFonts w:ascii="Times New Roman" w:hAnsi="Times New Roman"/>
        <w:i/>
      </w:rPr>
      <w:t xml:space="preserve">): </w:t>
    </w:r>
    <w:r w:rsidR="006B374B">
      <w:rPr>
        <w:rFonts w:ascii="Times New Roman" w:hAnsi="Times New Roman"/>
        <w:i/>
        <w:lang w:val="en-US"/>
      </w:rPr>
      <w:t>1181</w:t>
    </w:r>
    <w:r>
      <w:rPr>
        <w:rFonts w:ascii="Times New Roman" w:hAnsi="Times New Roman"/>
        <w:i/>
        <w:lang w:val="en-US"/>
      </w:rPr>
      <w:t xml:space="preserve"> </w:t>
    </w:r>
    <w:r w:rsidR="007A0583">
      <w:rPr>
        <w:rFonts w:ascii="Times New Roman" w:hAnsi="Times New Roman"/>
        <w:i/>
        <w:lang w:val="en-US"/>
      </w:rPr>
      <w:t>-</w:t>
    </w:r>
    <w:r w:rsidR="006B374B">
      <w:rPr>
        <w:rFonts w:ascii="Times New Roman" w:hAnsi="Times New Roman"/>
        <w:i/>
        <w:lang w:val="en-US"/>
      </w:rPr>
      <w:t xml:space="preserve"> 1190</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277498">
      <w:rPr>
        <w:rFonts w:ascii="Times New Roman" w:hAnsi="Times New Roman"/>
        <w:i/>
        <w:lang w:val="en-US"/>
      </w:rPr>
      <w:t>://dx</w:t>
    </w:r>
    <w:r w:rsidR="00B91DE7">
      <w:rPr>
        <w:rFonts w:ascii="Times New Roman" w:hAnsi="Times New Roman"/>
        <w:i/>
        <w:lang w:val="en-US"/>
      </w:rPr>
      <w:t>.doi.org/10.17576/mjas-2016-2005</w:t>
    </w:r>
    <w:r w:rsidR="006B374B">
      <w:rPr>
        <w:rFonts w:ascii="Times New Roman" w:hAnsi="Times New Roman"/>
        <w:i/>
        <w:lang w:val="en-US"/>
      </w:rPr>
      <w:t>-25</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51E2046"/>
    <w:multiLevelType w:val="hybridMultilevel"/>
    <w:tmpl w:val="9336E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D16A1"/>
    <w:rsid w:val="000D2B0C"/>
    <w:rsid w:val="000F77DA"/>
    <w:rsid w:val="001068E8"/>
    <w:rsid w:val="001106D8"/>
    <w:rsid w:val="001155F2"/>
    <w:rsid w:val="00117BCD"/>
    <w:rsid w:val="001D035A"/>
    <w:rsid w:val="001D3855"/>
    <w:rsid w:val="001D6F2C"/>
    <w:rsid w:val="001F0001"/>
    <w:rsid w:val="002301AC"/>
    <w:rsid w:val="00277498"/>
    <w:rsid w:val="002860B7"/>
    <w:rsid w:val="00290F4D"/>
    <w:rsid w:val="002948E7"/>
    <w:rsid w:val="002A2FC0"/>
    <w:rsid w:val="002B188F"/>
    <w:rsid w:val="002B3BD8"/>
    <w:rsid w:val="002F3F91"/>
    <w:rsid w:val="00304767"/>
    <w:rsid w:val="00304B34"/>
    <w:rsid w:val="003150E1"/>
    <w:rsid w:val="00361BAF"/>
    <w:rsid w:val="00362FCE"/>
    <w:rsid w:val="00367D1F"/>
    <w:rsid w:val="00373B0D"/>
    <w:rsid w:val="00375AA0"/>
    <w:rsid w:val="003B6019"/>
    <w:rsid w:val="003D585B"/>
    <w:rsid w:val="003E7DA6"/>
    <w:rsid w:val="003F12FF"/>
    <w:rsid w:val="00413129"/>
    <w:rsid w:val="004760D4"/>
    <w:rsid w:val="00482D57"/>
    <w:rsid w:val="00494C46"/>
    <w:rsid w:val="004B43FF"/>
    <w:rsid w:val="004D7E25"/>
    <w:rsid w:val="00502641"/>
    <w:rsid w:val="005C284D"/>
    <w:rsid w:val="005C6768"/>
    <w:rsid w:val="005E4871"/>
    <w:rsid w:val="00600F95"/>
    <w:rsid w:val="00601C8A"/>
    <w:rsid w:val="006225F9"/>
    <w:rsid w:val="00623DD4"/>
    <w:rsid w:val="006257E5"/>
    <w:rsid w:val="00634C25"/>
    <w:rsid w:val="006416AB"/>
    <w:rsid w:val="006768E9"/>
    <w:rsid w:val="00687982"/>
    <w:rsid w:val="006B374B"/>
    <w:rsid w:val="006B3EC8"/>
    <w:rsid w:val="006B72B0"/>
    <w:rsid w:val="006D286E"/>
    <w:rsid w:val="006D695E"/>
    <w:rsid w:val="00725A6A"/>
    <w:rsid w:val="00727846"/>
    <w:rsid w:val="007943F3"/>
    <w:rsid w:val="007A0583"/>
    <w:rsid w:val="007A738C"/>
    <w:rsid w:val="007B1349"/>
    <w:rsid w:val="007D45AC"/>
    <w:rsid w:val="007E25BD"/>
    <w:rsid w:val="00802C35"/>
    <w:rsid w:val="0082181A"/>
    <w:rsid w:val="00825624"/>
    <w:rsid w:val="0083587A"/>
    <w:rsid w:val="00883CC3"/>
    <w:rsid w:val="008B470E"/>
    <w:rsid w:val="008B5904"/>
    <w:rsid w:val="008D29BF"/>
    <w:rsid w:val="008E1211"/>
    <w:rsid w:val="008E5BBF"/>
    <w:rsid w:val="008E6968"/>
    <w:rsid w:val="009211AF"/>
    <w:rsid w:val="009357B8"/>
    <w:rsid w:val="00942E7B"/>
    <w:rsid w:val="00977E91"/>
    <w:rsid w:val="009866F6"/>
    <w:rsid w:val="009D030D"/>
    <w:rsid w:val="009E7DA0"/>
    <w:rsid w:val="00A14DB9"/>
    <w:rsid w:val="00A24ABD"/>
    <w:rsid w:val="00A4762A"/>
    <w:rsid w:val="00A74A7E"/>
    <w:rsid w:val="00AD1B8A"/>
    <w:rsid w:val="00AE713F"/>
    <w:rsid w:val="00AF2305"/>
    <w:rsid w:val="00AF2821"/>
    <w:rsid w:val="00B1121C"/>
    <w:rsid w:val="00B25B65"/>
    <w:rsid w:val="00B2770A"/>
    <w:rsid w:val="00B314AD"/>
    <w:rsid w:val="00B44C27"/>
    <w:rsid w:val="00B75BF6"/>
    <w:rsid w:val="00B7735A"/>
    <w:rsid w:val="00B91DE7"/>
    <w:rsid w:val="00BA1F7B"/>
    <w:rsid w:val="00BB58AF"/>
    <w:rsid w:val="00BE7C30"/>
    <w:rsid w:val="00C055BF"/>
    <w:rsid w:val="00C2226A"/>
    <w:rsid w:val="00C86CF3"/>
    <w:rsid w:val="00C94D92"/>
    <w:rsid w:val="00C97340"/>
    <w:rsid w:val="00CA513F"/>
    <w:rsid w:val="00CB3AA6"/>
    <w:rsid w:val="00CF05FF"/>
    <w:rsid w:val="00CF0E8F"/>
    <w:rsid w:val="00D340BB"/>
    <w:rsid w:val="00D47D81"/>
    <w:rsid w:val="00D505D5"/>
    <w:rsid w:val="00D75B35"/>
    <w:rsid w:val="00D76E09"/>
    <w:rsid w:val="00D9736F"/>
    <w:rsid w:val="00D9792A"/>
    <w:rsid w:val="00DC6CB1"/>
    <w:rsid w:val="00DD377F"/>
    <w:rsid w:val="00E00E9E"/>
    <w:rsid w:val="00E25547"/>
    <w:rsid w:val="00E3287E"/>
    <w:rsid w:val="00E54D12"/>
    <w:rsid w:val="00E66197"/>
    <w:rsid w:val="00E82F3C"/>
    <w:rsid w:val="00EF5379"/>
    <w:rsid w:val="00F31093"/>
    <w:rsid w:val="00F412AF"/>
    <w:rsid w:val="00F43667"/>
    <w:rsid w:val="00F447A7"/>
    <w:rsid w:val="00F4760B"/>
    <w:rsid w:val="00FA118E"/>
    <w:rsid w:val="00FB4C59"/>
    <w:rsid w:val="00FE0572"/>
    <w:rsid w:val="00FF1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DC6CB1"/>
    <w:rPr>
      <w:color w:val="0000FF" w:themeColor="hyperlink"/>
      <w:u w:val="single"/>
    </w:rPr>
  </w:style>
  <w:style w:type="paragraph" w:customStyle="1" w:styleId="Default">
    <w:name w:val="Default"/>
    <w:rsid w:val="00DC6CB1"/>
    <w:pPr>
      <w:autoSpaceDE w:val="0"/>
      <w:autoSpaceDN w:val="0"/>
      <w:adjustRightInd w:val="0"/>
    </w:pPr>
    <w:rPr>
      <w:rFonts w:eastAsiaTheme="minorHAnsi" w:cs="Cambria"/>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DC6CB1"/>
    <w:rPr>
      <w:color w:val="0000FF" w:themeColor="hyperlink"/>
      <w:u w:val="single"/>
    </w:rPr>
  </w:style>
  <w:style w:type="paragraph" w:customStyle="1" w:styleId="Default">
    <w:name w:val="Default"/>
    <w:rsid w:val="00DC6CB1"/>
    <w:pPr>
      <w:autoSpaceDE w:val="0"/>
      <w:autoSpaceDN w:val="0"/>
      <w:adjustRightInd w:val="0"/>
    </w:pPr>
    <w:rPr>
      <w:rFonts w:eastAsiaTheme="minorHAnsi" w:cs="Cambria"/>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cer\SkyDrive\Documents\total%20phenolic%20conten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cer\SkyDrive\Documents\tfc.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cer\SkyDrive\Documents\total%20phenolic%20conte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0026660053320108"/>
          <c:y val="0.19110704838480938"/>
          <c:w val="0.83541211790695169"/>
          <c:h val="0.60778946631671038"/>
        </c:manualLayout>
      </c:layout>
      <c:scatterChart>
        <c:scatterStyle val="lineMarker"/>
        <c:varyColors val="0"/>
        <c:ser>
          <c:idx val="0"/>
          <c:order val="0"/>
          <c:xVal>
            <c:numRef>
              <c:f>Sheet1!$L$14:$L$19</c:f>
              <c:numCache>
                <c:formatCode>General</c:formatCode>
                <c:ptCount val="6"/>
                <c:pt idx="0">
                  <c:v>0.39100000000000001</c:v>
                </c:pt>
                <c:pt idx="1">
                  <c:v>0.78100000000000003</c:v>
                </c:pt>
                <c:pt idx="2">
                  <c:v>1.5625</c:v>
                </c:pt>
                <c:pt idx="3">
                  <c:v>3.125</c:v>
                </c:pt>
                <c:pt idx="4">
                  <c:v>6.25</c:v>
                </c:pt>
                <c:pt idx="5">
                  <c:v>12.5</c:v>
                </c:pt>
              </c:numCache>
            </c:numRef>
          </c:xVal>
          <c:yVal>
            <c:numRef>
              <c:f>Sheet1!$I$14:$I$19</c:f>
              <c:numCache>
                <c:formatCode>General</c:formatCode>
                <c:ptCount val="6"/>
                <c:pt idx="0">
                  <c:v>7.5333333333333322E-2</c:v>
                </c:pt>
                <c:pt idx="1">
                  <c:v>0.23166666666666666</c:v>
                </c:pt>
                <c:pt idx="2">
                  <c:v>0.42099999999999999</c:v>
                </c:pt>
                <c:pt idx="3">
                  <c:v>0.745</c:v>
                </c:pt>
                <c:pt idx="4">
                  <c:v>1.2633333333333332</c:v>
                </c:pt>
                <c:pt idx="5">
                  <c:v>2.3160000000000003</c:v>
                </c:pt>
              </c:numCache>
            </c:numRef>
          </c:yVal>
          <c:smooth val="0"/>
          <c:extLst xmlns:c16r2="http://schemas.microsoft.com/office/drawing/2015/06/chart">
            <c:ext xmlns:c16="http://schemas.microsoft.com/office/drawing/2014/chart" uri="{C3380CC4-5D6E-409C-BE32-E72D297353CC}">
              <c16:uniqueId val="{00000000-A493-4AB7-9606-EFE2C25ECFB8}"/>
            </c:ext>
          </c:extLst>
        </c:ser>
        <c:dLbls>
          <c:showLegendKey val="0"/>
          <c:showVal val="0"/>
          <c:showCatName val="0"/>
          <c:showSerName val="0"/>
          <c:showPercent val="0"/>
          <c:showBubbleSize val="0"/>
        </c:dLbls>
        <c:axId val="70179840"/>
        <c:axId val="35198080"/>
      </c:scatterChart>
      <c:valAx>
        <c:axId val="70179840"/>
        <c:scaling>
          <c:orientation val="minMax"/>
        </c:scaling>
        <c:delete val="0"/>
        <c:axPos val="b"/>
        <c:title>
          <c:tx>
            <c:rich>
              <a:bodyPr/>
              <a:lstStyle/>
              <a:p>
                <a:pPr>
                  <a:defRPr/>
                </a:pPr>
                <a:r>
                  <a:rPr lang="ms-MY"/>
                  <a:t>Concentration  (µg)</a:t>
                </a:r>
              </a:p>
            </c:rich>
          </c:tx>
          <c:layout/>
          <c:overlay val="0"/>
        </c:title>
        <c:numFmt formatCode="General" sourceLinked="1"/>
        <c:majorTickMark val="out"/>
        <c:minorTickMark val="none"/>
        <c:tickLblPos val="nextTo"/>
        <c:crossAx val="35198080"/>
        <c:crosses val="autoZero"/>
        <c:crossBetween val="midCat"/>
      </c:valAx>
      <c:valAx>
        <c:axId val="35198080"/>
        <c:scaling>
          <c:orientation val="minMax"/>
        </c:scaling>
        <c:delete val="0"/>
        <c:axPos val="l"/>
        <c:title>
          <c:tx>
            <c:rich>
              <a:bodyPr rot="-5400000" vert="horz"/>
              <a:lstStyle/>
              <a:p>
                <a:pPr>
                  <a:defRPr/>
                </a:pPr>
                <a:r>
                  <a:rPr lang="ms-MY"/>
                  <a:t>Absorbance</a:t>
                </a:r>
                <a:r>
                  <a:rPr lang="ms-MY" baseline="0"/>
                  <a:t> (nm)</a:t>
                </a:r>
                <a:endParaRPr lang="ms-MY"/>
              </a:p>
            </c:rich>
          </c:tx>
          <c:layout/>
          <c:overlay val="0"/>
        </c:title>
        <c:numFmt formatCode="General" sourceLinked="1"/>
        <c:majorTickMark val="out"/>
        <c:minorTickMark val="none"/>
        <c:tickLblPos val="nextTo"/>
        <c:crossAx val="70179840"/>
        <c:crosses val="autoZero"/>
        <c:crossBetween val="midCat"/>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3375730968166225"/>
          <c:y val="4.4454533273430914E-2"/>
          <c:w val="0.6460027372424948"/>
          <c:h val="0.85523854563224644"/>
        </c:manualLayout>
      </c:layout>
      <c:bar3DChart>
        <c:barDir val="col"/>
        <c:grouping val="stacked"/>
        <c:varyColors val="0"/>
        <c:ser>
          <c:idx val="0"/>
          <c:order val="0"/>
          <c:tx>
            <c:v>TPC (mg GAE/g)</c:v>
          </c:tx>
          <c:invertIfNegative val="0"/>
          <c:cat>
            <c:strRef>
              <c:f>Sheet1!$C$83:$C$85</c:f>
              <c:strCache>
                <c:ptCount val="3"/>
                <c:pt idx="0">
                  <c:v>MeOH</c:v>
                </c:pt>
                <c:pt idx="1">
                  <c:v>EtOH</c:v>
                </c:pt>
                <c:pt idx="2">
                  <c:v>Aqueous</c:v>
                </c:pt>
              </c:strCache>
            </c:strRef>
          </c:cat>
          <c:val>
            <c:numRef>
              <c:f>Sheet1!$D$83:$D$85</c:f>
              <c:numCache>
                <c:formatCode>General</c:formatCode>
                <c:ptCount val="3"/>
                <c:pt idx="0">
                  <c:v>4.2699999999999996</c:v>
                </c:pt>
                <c:pt idx="1">
                  <c:v>3.28</c:v>
                </c:pt>
                <c:pt idx="2">
                  <c:v>1.32</c:v>
                </c:pt>
              </c:numCache>
            </c:numRef>
          </c:val>
          <c:extLst xmlns:c16r2="http://schemas.microsoft.com/office/drawing/2015/06/chart">
            <c:ext xmlns:c16="http://schemas.microsoft.com/office/drawing/2014/chart" uri="{C3380CC4-5D6E-409C-BE32-E72D297353CC}">
              <c16:uniqueId val="{00000000-5DF7-48AE-A35F-A298BE9132D2}"/>
            </c:ext>
          </c:extLst>
        </c:ser>
        <c:dLbls>
          <c:showLegendKey val="0"/>
          <c:showVal val="0"/>
          <c:showCatName val="0"/>
          <c:showSerName val="0"/>
          <c:showPercent val="0"/>
          <c:showBubbleSize val="0"/>
        </c:dLbls>
        <c:gapWidth val="150"/>
        <c:shape val="cylinder"/>
        <c:axId val="35239424"/>
        <c:axId val="35240960"/>
        <c:axId val="0"/>
      </c:bar3DChart>
      <c:catAx>
        <c:axId val="35239424"/>
        <c:scaling>
          <c:orientation val="minMax"/>
        </c:scaling>
        <c:delete val="0"/>
        <c:axPos val="b"/>
        <c:numFmt formatCode="General" sourceLinked="0"/>
        <c:majorTickMark val="out"/>
        <c:minorTickMark val="none"/>
        <c:tickLblPos val="nextTo"/>
        <c:crossAx val="35240960"/>
        <c:crosses val="autoZero"/>
        <c:auto val="1"/>
        <c:lblAlgn val="ctr"/>
        <c:lblOffset val="100"/>
        <c:noMultiLvlLbl val="0"/>
      </c:catAx>
      <c:valAx>
        <c:axId val="35240960"/>
        <c:scaling>
          <c:orientation val="minMax"/>
        </c:scaling>
        <c:delete val="0"/>
        <c:axPos val="l"/>
        <c:numFmt formatCode="General" sourceLinked="1"/>
        <c:majorTickMark val="out"/>
        <c:minorTickMark val="none"/>
        <c:tickLblPos val="nextTo"/>
        <c:crossAx val="3523942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xVal>
            <c:numRef>
              <c:f>Sheet1!$D$60:$D$68</c:f>
              <c:numCache>
                <c:formatCode>General</c:formatCode>
                <c:ptCount val="9"/>
                <c:pt idx="0">
                  <c:v>3.2</c:v>
                </c:pt>
                <c:pt idx="1">
                  <c:v>1.6</c:v>
                </c:pt>
                <c:pt idx="2">
                  <c:v>0.8</c:v>
                </c:pt>
                <c:pt idx="3">
                  <c:v>0.4</c:v>
                </c:pt>
                <c:pt idx="4">
                  <c:v>0.2</c:v>
                </c:pt>
                <c:pt idx="5">
                  <c:v>0.1</c:v>
                </c:pt>
                <c:pt idx="6">
                  <c:v>0.05</c:v>
                </c:pt>
                <c:pt idx="7">
                  <c:v>2.5000000000000001E-2</c:v>
                </c:pt>
                <c:pt idx="8">
                  <c:v>0</c:v>
                </c:pt>
              </c:numCache>
            </c:numRef>
          </c:xVal>
          <c:yVal>
            <c:numRef>
              <c:f>Sheet1!$C$60:$C$68</c:f>
              <c:numCache>
                <c:formatCode>General</c:formatCode>
                <c:ptCount val="9"/>
                <c:pt idx="0">
                  <c:v>1.5225</c:v>
                </c:pt>
                <c:pt idx="1">
                  <c:v>0.86650000000000005</c:v>
                </c:pt>
                <c:pt idx="2">
                  <c:v>0.48849999999999999</c:v>
                </c:pt>
                <c:pt idx="3">
                  <c:v>0.309</c:v>
                </c:pt>
                <c:pt idx="4">
                  <c:v>0.182</c:v>
                </c:pt>
                <c:pt idx="5">
                  <c:v>0.1265</c:v>
                </c:pt>
                <c:pt idx="6">
                  <c:v>8.4999999999999992E-2</c:v>
                </c:pt>
                <c:pt idx="7">
                  <c:v>7.6999999999999999E-2</c:v>
                </c:pt>
                <c:pt idx="8">
                  <c:v>0</c:v>
                </c:pt>
              </c:numCache>
            </c:numRef>
          </c:yVal>
          <c:smooth val="1"/>
          <c:extLst xmlns:c16r2="http://schemas.microsoft.com/office/drawing/2015/06/chart">
            <c:ext xmlns:c16="http://schemas.microsoft.com/office/drawing/2014/chart" uri="{C3380CC4-5D6E-409C-BE32-E72D297353CC}">
              <c16:uniqueId val="{00000000-2AB0-4B4F-ADF4-261F57E95823}"/>
            </c:ext>
          </c:extLst>
        </c:ser>
        <c:dLbls>
          <c:showLegendKey val="0"/>
          <c:showVal val="0"/>
          <c:showCatName val="0"/>
          <c:showSerName val="0"/>
          <c:showPercent val="0"/>
          <c:showBubbleSize val="0"/>
        </c:dLbls>
        <c:axId val="66006016"/>
        <c:axId val="37102720"/>
      </c:scatterChart>
      <c:valAx>
        <c:axId val="66006016"/>
        <c:scaling>
          <c:orientation val="minMax"/>
        </c:scaling>
        <c:delete val="0"/>
        <c:axPos val="b"/>
        <c:title>
          <c:tx>
            <c:rich>
              <a:bodyPr/>
              <a:lstStyle/>
              <a:p>
                <a:pPr>
                  <a:defRPr/>
                </a:pPr>
                <a:r>
                  <a:rPr lang="ms-MY"/>
                  <a:t>Concentration (</a:t>
                </a:r>
                <a:r>
                  <a:rPr lang="el-GR"/>
                  <a:t>μ</a:t>
                </a:r>
                <a:r>
                  <a:rPr lang="en-US"/>
                  <a:t>g/ml)</a:t>
                </a:r>
                <a:r>
                  <a:rPr lang="ms-MY"/>
                  <a:t> </a:t>
                </a:r>
              </a:p>
            </c:rich>
          </c:tx>
          <c:layout/>
          <c:overlay val="0"/>
        </c:title>
        <c:numFmt formatCode="General" sourceLinked="1"/>
        <c:majorTickMark val="out"/>
        <c:minorTickMark val="none"/>
        <c:tickLblPos val="nextTo"/>
        <c:crossAx val="37102720"/>
        <c:crosses val="autoZero"/>
        <c:crossBetween val="midCat"/>
      </c:valAx>
      <c:valAx>
        <c:axId val="37102720"/>
        <c:scaling>
          <c:orientation val="minMax"/>
        </c:scaling>
        <c:delete val="0"/>
        <c:axPos val="l"/>
        <c:title>
          <c:tx>
            <c:rich>
              <a:bodyPr rot="-5400000" vert="horz"/>
              <a:lstStyle/>
              <a:p>
                <a:pPr>
                  <a:defRPr/>
                </a:pPr>
                <a:r>
                  <a:rPr lang="ms-MY"/>
                  <a:t>Absorbance (nm)</a:t>
                </a:r>
              </a:p>
            </c:rich>
          </c:tx>
          <c:layout/>
          <c:overlay val="0"/>
        </c:title>
        <c:numFmt formatCode="General" sourceLinked="1"/>
        <c:majorTickMark val="out"/>
        <c:minorTickMark val="none"/>
        <c:tickLblPos val="nextTo"/>
        <c:crossAx val="66006016"/>
        <c:crosses val="autoZero"/>
        <c:crossBetween val="midCat"/>
      </c:valAx>
    </c:plotArea>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9.3085739282589675E-2"/>
          <c:y val="0.29202573636628754"/>
          <c:w val="0.6506929133858268"/>
          <c:h val="0.59199438611840183"/>
        </c:manualLayout>
      </c:layout>
      <c:bar3DChart>
        <c:barDir val="col"/>
        <c:grouping val="clustered"/>
        <c:varyColors val="0"/>
        <c:ser>
          <c:idx val="0"/>
          <c:order val="0"/>
          <c:tx>
            <c:v>TFC (mg QE/g)</c:v>
          </c:tx>
          <c:invertIfNegative val="0"/>
          <c:cat>
            <c:strRef>
              <c:f>Sheet1!$H$124:$H$126</c:f>
              <c:strCache>
                <c:ptCount val="3"/>
                <c:pt idx="0">
                  <c:v>MeOH</c:v>
                </c:pt>
                <c:pt idx="1">
                  <c:v>EtOH</c:v>
                </c:pt>
                <c:pt idx="2">
                  <c:v>Aqueous</c:v>
                </c:pt>
              </c:strCache>
            </c:strRef>
          </c:cat>
          <c:val>
            <c:numRef>
              <c:f>Sheet1!$I$124:$I$126</c:f>
              <c:numCache>
                <c:formatCode>General</c:formatCode>
                <c:ptCount val="3"/>
                <c:pt idx="0">
                  <c:v>0.25</c:v>
                </c:pt>
                <c:pt idx="1">
                  <c:v>0.21099999999999999</c:v>
                </c:pt>
                <c:pt idx="2">
                  <c:v>0.16400000000000001</c:v>
                </c:pt>
              </c:numCache>
            </c:numRef>
          </c:val>
          <c:extLst xmlns:c16r2="http://schemas.microsoft.com/office/drawing/2015/06/chart">
            <c:ext xmlns:c16="http://schemas.microsoft.com/office/drawing/2014/chart" uri="{C3380CC4-5D6E-409C-BE32-E72D297353CC}">
              <c16:uniqueId val="{00000000-51E9-46BD-BB51-CE953B34BDBE}"/>
            </c:ext>
          </c:extLst>
        </c:ser>
        <c:dLbls>
          <c:showLegendKey val="0"/>
          <c:showVal val="0"/>
          <c:showCatName val="0"/>
          <c:showSerName val="0"/>
          <c:showPercent val="0"/>
          <c:showBubbleSize val="0"/>
        </c:dLbls>
        <c:gapWidth val="150"/>
        <c:shape val="cylinder"/>
        <c:axId val="37123584"/>
        <c:axId val="37125120"/>
        <c:axId val="0"/>
      </c:bar3DChart>
      <c:catAx>
        <c:axId val="37123584"/>
        <c:scaling>
          <c:orientation val="minMax"/>
        </c:scaling>
        <c:delete val="0"/>
        <c:axPos val="b"/>
        <c:numFmt formatCode="General" sourceLinked="0"/>
        <c:majorTickMark val="out"/>
        <c:minorTickMark val="none"/>
        <c:tickLblPos val="nextTo"/>
        <c:crossAx val="37125120"/>
        <c:crosses val="autoZero"/>
        <c:auto val="1"/>
        <c:lblAlgn val="ctr"/>
        <c:lblOffset val="100"/>
        <c:noMultiLvlLbl val="0"/>
      </c:catAx>
      <c:valAx>
        <c:axId val="37125120"/>
        <c:scaling>
          <c:orientation val="minMax"/>
        </c:scaling>
        <c:delete val="0"/>
        <c:axPos val="l"/>
        <c:numFmt formatCode="General" sourceLinked="1"/>
        <c:majorTickMark val="out"/>
        <c:minorTickMark val="none"/>
        <c:tickLblPos val="nextTo"/>
        <c:crossAx val="37123584"/>
        <c:crosses val="autoZero"/>
        <c:crossBetween val="between"/>
      </c:valAx>
    </c:plotArea>
    <c:legend>
      <c:legendPos val="r"/>
      <c:layout/>
      <c:overlay val="0"/>
    </c:legend>
    <c:plotVisOnly val="1"/>
    <c:dispBlanksAs val="gap"/>
    <c:showDLblsOverMax val="0"/>
  </c:chart>
  <c:externalData r:id="rId1">
    <c:autoUpdate val="0"/>
  </c:externalData>
</c:chartSpace>
</file>

<file path=word/drawings/_rels/drawing1.xml.rels><?xml version="1.0" encoding="UTF-8" standalone="yes"?>
<Relationships xmlns="http://schemas.openxmlformats.org/package/2006/relationships"><Relationship Id="rId1" Type="http://schemas.openxmlformats.org/officeDocument/2006/relationships/image" Target="../media/image3.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4.png"/></Relationships>
</file>

<file path=word/drawings/drawing1.xml><?xml version="1.0" encoding="utf-8"?>
<c:userShapes xmlns:c="http://schemas.openxmlformats.org/drawingml/2006/chart">
  <cdr:relSizeAnchor xmlns:cdr="http://schemas.openxmlformats.org/drawingml/2006/chartDrawing">
    <cdr:from>
      <cdr:x>0.71329</cdr:x>
      <cdr:y>0.45867</cdr:y>
    </cdr:from>
    <cdr:to>
      <cdr:x>0.94268</cdr:x>
      <cdr:y>0.66007</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886200" y="1638300"/>
          <a:ext cx="1249788" cy="719390"/>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0.62917</cdr:x>
      <cdr:y>0.40278</cdr:y>
    </cdr:from>
    <cdr:to>
      <cdr:x>0.93319</cdr:x>
      <cdr:y>0.66502</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876550" y="1104900"/>
          <a:ext cx="1390008" cy="71939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04F83-7E59-48EA-AD03-462BE4E2E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10</Pages>
  <Words>4453</Words>
  <Characters>25090</Characters>
  <Application>Microsoft Office Word</Application>
  <DocSecurity>0</DocSecurity>
  <Lines>462</Lines>
  <Paragraphs>166</Paragraphs>
  <ScaleCrop>false</ScaleCrop>
  <HeadingPairs>
    <vt:vector size="2" baseType="variant">
      <vt:variant>
        <vt:lpstr>Title</vt:lpstr>
      </vt:variant>
      <vt:variant>
        <vt:i4>1</vt:i4>
      </vt:variant>
    </vt:vector>
  </HeadingPairs>
  <TitlesOfParts>
    <vt:vector size="1" baseType="lpstr">
      <vt:lpstr>MJAS Vol 20 No 5 (2016)</vt:lpstr>
    </vt:vector>
  </TitlesOfParts>
  <Company>UKM</Company>
  <LinksUpToDate>false</LinksUpToDate>
  <CharactersWithSpaces>29667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5 (2016)</dc:title>
  <dc:creator>Harun Hj Hamzah</dc:creator>
  <cp:lastModifiedBy>Harun Hamzah</cp:lastModifiedBy>
  <cp:revision>27</cp:revision>
  <cp:lastPrinted>2016-10-05T22:19:00Z</cp:lastPrinted>
  <dcterms:created xsi:type="dcterms:W3CDTF">2016-09-26T00:51:00Z</dcterms:created>
  <dcterms:modified xsi:type="dcterms:W3CDTF">2016-10-05T22:19:00Z</dcterms:modified>
</cp:coreProperties>
</file>