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D2424" w:rsidRPr="00EB0648" w:rsidRDefault="00BD2424" w:rsidP="00BD2424">
      <w:pPr>
        <w:spacing w:after="0" w:line="240" w:lineRule="auto"/>
        <w:jc w:val="center"/>
        <w:rPr>
          <w:rFonts w:ascii="Times New Roman" w:hAnsi="Times New Roman"/>
          <w:sz w:val="28"/>
          <w:szCs w:val="28"/>
        </w:rPr>
      </w:pPr>
      <w:r w:rsidRPr="00EB0648">
        <w:rPr>
          <w:rFonts w:ascii="Times New Roman" w:hAnsi="Times New Roman"/>
          <w:sz w:val="28"/>
          <w:szCs w:val="28"/>
        </w:rPr>
        <w:t>SALTWATER INTRUSION ANALYSIS IN EAST COAST OF TERENGGANU USING MULTIVARIATE ANALYSIS</w:t>
      </w:r>
    </w:p>
    <w:p w:rsidR="006768E9" w:rsidRPr="00F447A7" w:rsidRDefault="006768E9" w:rsidP="00BD2424">
      <w:pPr>
        <w:spacing w:after="0" w:line="240" w:lineRule="auto"/>
        <w:jc w:val="center"/>
        <w:rPr>
          <w:rFonts w:ascii="Times New Roman" w:hAnsi="Times New Roman"/>
          <w:noProof/>
          <w:sz w:val="24"/>
          <w:szCs w:val="24"/>
          <w:lang w:bidi="ar-SA"/>
        </w:rPr>
      </w:pPr>
    </w:p>
    <w:p w:rsidR="00BD2424" w:rsidRPr="00EB0648" w:rsidRDefault="00BD2424" w:rsidP="00BD2424">
      <w:pPr>
        <w:spacing w:after="0" w:line="240" w:lineRule="auto"/>
        <w:jc w:val="center"/>
        <w:rPr>
          <w:rFonts w:ascii="Times New Roman" w:hAnsi="Times New Roman"/>
          <w:sz w:val="24"/>
          <w:szCs w:val="24"/>
        </w:rPr>
      </w:pPr>
      <w:r w:rsidRPr="00EB0648">
        <w:rPr>
          <w:rFonts w:ascii="Times New Roman" w:hAnsi="Times New Roman"/>
          <w:sz w:val="24"/>
          <w:szCs w:val="24"/>
        </w:rPr>
        <w:t>(Analisis Pencerobohan Air Masin di Kawasan Pantai Timur, Terengganu Menggunakan Analisis Multivariat)</w:t>
      </w:r>
    </w:p>
    <w:p w:rsidR="006768E9" w:rsidRPr="00F447A7" w:rsidRDefault="006768E9" w:rsidP="00BD2424">
      <w:pPr>
        <w:spacing w:after="0" w:line="240" w:lineRule="auto"/>
        <w:rPr>
          <w:rFonts w:ascii="Times New Roman" w:hAnsi="Times New Roman"/>
          <w:noProof/>
          <w:sz w:val="20"/>
          <w:szCs w:val="20"/>
          <w:lang w:bidi="ar-SA"/>
        </w:rPr>
      </w:pPr>
    </w:p>
    <w:p w:rsidR="00BD2424" w:rsidRPr="00EB0648" w:rsidRDefault="00BD2424" w:rsidP="00BD2424">
      <w:pPr>
        <w:spacing w:after="0" w:line="240" w:lineRule="auto"/>
        <w:jc w:val="center"/>
        <w:rPr>
          <w:rFonts w:ascii="Times New Roman" w:hAnsi="Times New Roman"/>
          <w:sz w:val="20"/>
          <w:szCs w:val="20"/>
          <w:vertAlign w:val="superscript"/>
        </w:rPr>
      </w:pPr>
      <w:r w:rsidRPr="00EB0648">
        <w:rPr>
          <w:rFonts w:ascii="Times New Roman" w:hAnsi="Times New Roman"/>
          <w:sz w:val="20"/>
          <w:szCs w:val="20"/>
        </w:rPr>
        <w:t>Norsyuhada Hairoma</w:t>
      </w:r>
      <w:r w:rsidRPr="00EB0648">
        <w:rPr>
          <w:rFonts w:ascii="Times New Roman" w:hAnsi="Times New Roman"/>
          <w:sz w:val="20"/>
          <w:szCs w:val="20"/>
          <w:vertAlign w:val="superscript"/>
        </w:rPr>
        <w:t>1</w:t>
      </w:r>
      <w:r w:rsidRPr="00BD2424">
        <w:rPr>
          <w:rFonts w:ascii="Times New Roman" w:hAnsi="Times New Roman"/>
          <w:sz w:val="20"/>
          <w:szCs w:val="20"/>
        </w:rPr>
        <w:t>*</w:t>
      </w:r>
      <w:r w:rsidRPr="00EB0648">
        <w:rPr>
          <w:rFonts w:ascii="Times New Roman" w:hAnsi="Times New Roman"/>
          <w:sz w:val="20"/>
          <w:szCs w:val="20"/>
        </w:rPr>
        <w:t>, Muhd Barzani Gasim</w:t>
      </w:r>
      <w:r w:rsidRPr="00EB0648">
        <w:rPr>
          <w:rFonts w:ascii="Times New Roman" w:hAnsi="Times New Roman"/>
          <w:sz w:val="20"/>
          <w:szCs w:val="20"/>
          <w:vertAlign w:val="superscript"/>
        </w:rPr>
        <w:t>1,2</w:t>
      </w:r>
      <w:r w:rsidRPr="00EB0648">
        <w:rPr>
          <w:rFonts w:ascii="Times New Roman" w:hAnsi="Times New Roman"/>
          <w:sz w:val="20"/>
          <w:szCs w:val="20"/>
        </w:rPr>
        <w:t>, Azman Azid</w:t>
      </w:r>
      <w:r w:rsidRPr="00EB0648">
        <w:rPr>
          <w:rFonts w:ascii="Times New Roman" w:hAnsi="Times New Roman"/>
          <w:sz w:val="20"/>
          <w:szCs w:val="20"/>
          <w:vertAlign w:val="superscript"/>
        </w:rPr>
        <w:t>1,2</w:t>
      </w:r>
      <w:r w:rsidRPr="00EB0648">
        <w:rPr>
          <w:rFonts w:ascii="Times New Roman" w:hAnsi="Times New Roman"/>
          <w:sz w:val="20"/>
          <w:szCs w:val="20"/>
        </w:rPr>
        <w:t>, Haniff Muhamad</w:t>
      </w:r>
      <w:r w:rsidRPr="00EB0648">
        <w:rPr>
          <w:rFonts w:ascii="Times New Roman" w:hAnsi="Times New Roman"/>
          <w:sz w:val="20"/>
          <w:szCs w:val="20"/>
          <w:vertAlign w:val="superscript"/>
        </w:rPr>
        <w:t>1</w:t>
      </w:r>
      <w:r w:rsidRPr="00EB0648">
        <w:rPr>
          <w:rFonts w:ascii="Times New Roman" w:hAnsi="Times New Roman"/>
          <w:sz w:val="20"/>
          <w:szCs w:val="20"/>
        </w:rPr>
        <w:t>, Nur Hishaam Sulaiman</w:t>
      </w:r>
      <w:r w:rsidRPr="00EB0648">
        <w:rPr>
          <w:rFonts w:ascii="Times New Roman" w:hAnsi="Times New Roman"/>
          <w:sz w:val="20"/>
          <w:szCs w:val="20"/>
          <w:vertAlign w:val="superscript"/>
        </w:rPr>
        <w:t>1</w:t>
      </w:r>
      <w:r w:rsidRPr="00EB0648">
        <w:rPr>
          <w:rFonts w:ascii="Times New Roman" w:hAnsi="Times New Roman"/>
          <w:sz w:val="20"/>
          <w:szCs w:val="20"/>
        </w:rPr>
        <w:t>, Zuriati Khairuddin</w:t>
      </w:r>
      <w:r w:rsidRPr="00EB0648">
        <w:rPr>
          <w:rFonts w:ascii="Times New Roman" w:hAnsi="Times New Roman"/>
          <w:sz w:val="20"/>
          <w:szCs w:val="20"/>
          <w:vertAlign w:val="superscript"/>
        </w:rPr>
        <w:t>1</w:t>
      </w:r>
      <w:r w:rsidRPr="00EB0648">
        <w:rPr>
          <w:rFonts w:ascii="Times New Roman" w:hAnsi="Times New Roman"/>
          <w:sz w:val="20"/>
          <w:szCs w:val="20"/>
        </w:rPr>
        <w:t>, Ahmad Dasuki Mustafa</w:t>
      </w:r>
      <w:r w:rsidRPr="00EB0648">
        <w:rPr>
          <w:rFonts w:ascii="Times New Roman" w:hAnsi="Times New Roman"/>
          <w:sz w:val="20"/>
          <w:szCs w:val="20"/>
          <w:vertAlign w:val="superscript"/>
        </w:rPr>
        <w:t>1</w:t>
      </w:r>
      <w:r w:rsidRPr="00EB0648">
        <w:rPr>
          <w:rFonts w:ascii="Times New Roman" w:hAnsi="Times New Roman"/>
          <w:sz w:val="20"/>
          <w:szCs w:val="20"/>
        </w:rPr>
        <w:t>, Fazureen Azaman</w:t>
      </w:r>
      <w:r w:rsidRPr="00EB0648">
        <w:rPr>
          <w:rFonts w:ascii="Times New Roman" w:hAnsi="Times New Roman"/>
          <w:sz w:val="20"/>
          <w:szCs w:val="20"/>
          <w:vertAlign w:val="superscript"/>
        </w:rPr>
        <w:t>1</w:t>
      </w:r>
      <w:r w:rsidRPr="00EB0648">
        <w:rPr>
          <w:rFonts w:ascii="Times New Roman" w:hAnsi="Times New Roman"/>
          <w:sz w:val="20"/>
          <w:szCs w:val="20"/>
        </w:rPr>
        <w:t>, Muhammad Azizi Amran</w:t>
      </w:r>
      <w:r w:rsidRPr="00EB0648">
        <w:rPr>
          <w:rFonts w:ascii="Times New Roman" w:hAnsi="Times New Roman"/>
          <w:sz w:val="20"/>
          <w:szCs w:val="20"/>
          <w:vertAlign w:val="superscript"/>
        </w:rPr>
        <w:t>1</w:t>
      </w:r>
    </w:p>
    <w:p w:rsidR="006768E9" w:rsidRPr="00F447A7" w:rsidRDefault="006768E9" w:rsidP="00BD2424">
      <w:pPr>
        <w:spacing w:after="0" w:line="240" w:lineRule="auto"/>
        <w:jc w:val="center"/>
        <w:rPr>
          <w:rFonts w:ascii="Times New Roman" w:hAnsi="Times New Roman"/>
          <w:noProof/>
          <w:sz w:val="18"/>
          <w:szCs w:val="18"/>
          <w:lang w:bidi="ar-SA"/>
        </w:rPr>
      </w:pPr>
    </w:p>
    <w:p w:rsidR="00BD2424" w:rsidRDefault="00BD2424" w:rsidP="00BD2424">
      <w:pPr>
        <w:spacing w:after="0" w:line="240" w:lineRule="auto"/>
        <w:jc w:val="center"/>
        <w:rPr>
          <w:rFonts w:ascii="Times New Roman" w:hAnsi="Times New Roman"/>
          <w:i/>
          <w:sz w:val="18"/>
          <w:szCs w:val="18"/>
        </w:rPr>
      </w:pPr>
      <w:r w:rsidRPr="00EB0648">
        <w:rPr>
          <w:rFonts w:ascii="Times New Roman" w:hAnsi="Times New Roman"/>
          <w:i/>
          <w:sz w:val="18"/>
          <w:szCs w:val="18"/>
          <w:vertAlign w:val="superscript"/>
        </w:rPr>
        <w:t>1</w:t>
      </w:r>
      <w:r w:rsidRPr="00EB0648">
        <w:rPr>
          <w:rFonts w:ascii="Times New Roman" w:hAnsi="Times New Roman"/>
          <w:i/>
          <w:sz w:val="18"/>
          <w:szCs w:val="18"/>
        </w:rPr>
        <w:t>East Coast Environmental Research Institute (ESERI),</w:t>
      </w:r>
    </w:p>
    <w:p w:rsidR="00BD2424" w:rsidRPr="00EB0648" w:rsidRDefault="00BD2424" w:rsidP="00BD2424">
      <w:pPr>
        <w:spacing w:after="0" w:line="240" w:lineRule="auto"/>
        <w:jc w:val="center"/>
        <w:rPr>
          <w:rFonts w:ascii="Times New Roman" w:hAnsi="Times New Roman"/>
          <w:i/>
          <w:sz w:val="18"/>
          <w:szCs w:val="18"/>
        </w:rPr>
      </w:pPr>
      <w:r w:rsidRPr="00EB0648">
        <w:rPr>
          <w:rFonts w:ascii="Times New Roman" w:hAnsi="Times New Roman"/>
          <w:i/>
          <w:sz w:val="18"/>
          <w:szCs w:val="18"/>
        </w:rPr>
        <w:t xml:space="preserve"> Universiti Sultan Zainal Abidin, Gong Badak Campus, 2130</w:t>
      </w:r>
      <w:r>
        <w:rPr>
          <w:rFonts w:ascii="Times New Roman" w:hAnsi="Times New Roman"/>
          <w:i/>
          <w:sz w:val="18"/>
          <w:szCs w:val="18"/>
        </w:rPr>
        <w:t xml:space="preserve">0 Kuala Terengganu, Terengganu, </w:t>
      </w:r>
      <w:r w:rsidRPr="00EB0648">
        <w:rPr>
          <w:rFonts w:ascii="Times New Roman" w:hAnsi="Times New Roman"/>
          <w:i/>
          <w:sz w:val="18"/>
          <w:szCs w:val="18"/>
        </w:rPr>
        <w:t>Malaysia</w:t>
      </w:r>
    </w:p>
    <w:p w:rsidR="00BD2424" w:rsidRDefault="00BD2424" w:rsidP="00BD2424">
      <w:pPr>
        <w:spacing w:after="0" w:line="240" w:lineRule="auto"/>
        <w:jc w:val="center"/>
        <w:rPr>
          <w:rFonts w:ascii="Times New Roman" w:hAnsi="Times New Roman"/>
          <w:i/>
          <w:sz w:val="18"/>
          <w:szCs w:val="18"/>
        </w:rPr>
      </w:pPr>
      <w:r w:rsidRPr="00EB0648">
        <w:rPr>
          <w:rFonts w:ascii="Times New Roman" w:hAnsi="Times New Roman"/>
          <w:i/>
          <w:sz w:val="18"/>
          <w:szCs w:val="18"/>
          <w:vertAlign w:val="superscript"/>
        </w:rPr>
        <w:t>2</w:t>
      </w:r>
      <w:r w:rsidRPr="00EB0648">
        <w:rPr>
          <w:rFonts w:ascii="Times New Roman" w:hAnsi="Times New Roman"/>
          <w:i/>
          <w:sz w:val="18"/>
          <w:szCs w:val="18"/>
        </w:rPr>
        <w:t>Faculty Bioresources and Food Industry,</w:t>
      </w:r>
    </w:p>
    <w:p w:rsidR="00BD2424" w:rsidRPr="00EB0648" w:rsidRDefault="00BD2424" w:rsidP="00BD2424">
      <w:pPr>
        <w:spacing w:after="0" w:line="240" w:lineRule="auto"/>
        <w:jc w:val="center"/>
        <w:rPr>
          <w:rFonts w:ascii="Times New Roman" w:hAnsi="Times New Roman"/>
          <w:i/>
          <w:sz w:val="18"/>
          <w:szCs w:val="18"/>
        </w:rPr>
      </w:pPr>
      <w:r w:rsidRPr="00EB0648">
        <w:rPr>
          <w:rFonts w:ascii="Times New Roman" w:hAnsi="Times New Roman"/>
          <w:i/>
          <w:sz w:val="18"/>
          <w:szCs w:val="18"/>
        </w:rPr>
        <w:t xml:space="preserve"> Universiti Sultan Zainal Abidin, Tembila Campus, 22200 Besut, Terengganu, Malaysia</w:t>
      </w:r>
    </w:p>
    <w:p w:rsidR="006768E9" w:rsidRPr="00F447A7" w:rsidRDefault="006768E9" w:rsidP="00BD2424">
      <w:pPr>
        <w:spacing w:after="0" w:line="240" w:lineRule="auto"/>
        <w:jc w:val="center"/>
        <w:rPr>
          <w:rFonts w:ascii="Times New Roman" w:hAnsi="Times New Roman"/>
          <w:noProof/>
          <w:sz w:val="18"/>
          <w:szCs w:val="18"/>
          <w:lang w:bidi="ar-SA"/>
        </w:rPr>
      </w:pPr>
    </w:p>
    <w:p w:rsidR="006768E9" w:rsidRPr="00F447A7" w:rsidRDefault="006768E9" w:rsidP="00BD2424">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D2424" w:rsidRPr="00EB0648">
        <w:rPr>
          <w:rFonts w:ascii="Times New Roman" w:hAnsi="Times New Roman"/>
          <w:i/>
          <w:sz w:val="18"/>
          <w:szCs w:val="18"/>
        </w:rPr>
        <w:t>nsyuhadahairoma@gmail.com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F2811">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9F2811">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D2424" w:rsidRPr="00EB0648" w:rsidRDefault="00BD2424" w:rsidP="00BD2424">
      <w:pPr>
        <w:spacing w:after="0" w:line="240" w:lineRule="auto"/>
        <w:jc w:val="both"/>
        <w:rPr>
          <w:rFonts w:ascii="Times New Roman" w:hAnsi="Times New Roman"/>
          <w:sz w:val="20"/>
          <w:szCs w:val="20"/>
        </w:rPr>
      </w:pPr>
      <w:r w:rsidRPr="00EB0648">
        <w:rPr>
          <w:rFonts w:ascii="Times New Roman" w:hAnsi="Times New Roman"/>
          <w:sz w:val="18"/>
          <w:szCs w:val="18"/>
        </w:rPr>
        <w:t>Coastal aquifer groundwater is vulnerable to saltwater contamination as it is located near the coastline. Therefore, a study is conducted to confirm all the major source of pollutants on coastal groundwater based on 13 sampling wells that located close to Terengganu coastline as well as to assess the intensity of saltwater intrusion into the wells.</w:t>
      </w:r>
      <w:r w:rsidRPr="00EB0648">
        <w:rPr>
          <w:rFonts w:ascii="Times New Roman" w:hAnsi="Times New Roman"/>
          <w:sz w:val="20"/>
          <w:szCs w:val="20"/>
        </w:rPr>
        <w:t xml:space="preserve"> </w:t>
      </w:r>
      <w:r w:rsidRPr="00EB0648">
        <w:rPr>
          <w:rFonts w:ascii="Times New Roman" w:hAnsi="Times New Roman"/>
          <w:sz w:val="18"/>
          <w:szCs w:val="18"/>
        </w:rPr>
        <w:t xml:space="preserve">Measurements of selected water quality parameters such as dissolve oxygen (DO), electrical conductivity (EC), total dissolve solid (TDS), salinity, pH, turbidity and total suspended solid (TSS) were obtained from each well by using certified scientific instruments. Data were analysed by using multivariate techniques which involves principle component analysis (PCA) and cluster analysis (CA). CA was performed by using hierarchical agglomerative cluster analysis (HACA) technique. PCA yielded two PCs where PC1 forms composite factor loadings of TDS, salinity and EC that represented the saltwater intrusion meanwhile, PC2 formed composite factors of turbidity, TSS and TDS that represented the anthropogenic pollutions. CA successfully classified sampling wells into seven clusters; </w:t>
      </w:r>
      <w:r>
        <w:rPr>
          <w:rFonts w:ascii="Times New Roman" w:hAnsi="Times New Roman"/>
          <w:sz w:val="18"/>
          <w:szCs w:val="18"/>
        </w:rPr>
        <w:t>Extreme High (</w:t>
      </w:r>
      <w:r w:rsidRPr="00EB0648">
        <w:rPr>
          <w:rFonts w:ascii="Times New Roman" w:hAnsi="Times New Roman"/>
          <w:sz w:val="18"/>
          <w:szCs w:val="18"/>
        </w:rPr>
        <w:t>EH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Very High (</w:t>
      </w:r>
      <w:r w:rsidRPr="00EB0648">
        <w:rPr>
          <w:rFonts w:ascii="Times New Roman" w:hAnsi="Times New Roman"/>
          <w:sz w:val="18"/>
          <w:szCs w:val="18"/>
        </w:rPr>
        <w:t>VH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High (</w:t>
      </w:r>
      <w:r w:rsidRPr="00EB0648">
        <w:rPr>
          <w:rFonts w:ascii="Times New Roman" w:hAnsi="Times New Roman"/>
          <w:sz w:val="18"/>
          <w:szCs w:val="18"/>
        </w:rPr>
        <w:t>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Moderate (</w:t>
      </w:r>
      <w:r w:rsidRPr="00EB0648">
        <w:rPr>
          <w:rFonts w:ascii="Times New Roman" w:hAnsi="Times New Roman"/>
          <w:sz w:val="18"/>
          <w:szCs w:val="18"/>
        </w:rPr>
        <w:t>M</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Low (</w:t>
      </w:r>
      <w:r w:rsidRPr="00EB0648">
        <w:rPr>
          <w:rFonts w:ascii="Times New Roman" w:hAnsi="Times New Roman"/>
          <w:sz w:val="18"/>
          <w:szCs w:val="18"/>
        </w:rPr>
        <w:t>L</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Very Low (</w:t>
      </w:r>
      <w:r w:rsidRPr="00EB0648">
        <w:rPr>
          <w:rFonts w:ascii="Times New Roman" w:hAnsi="Times New Roman"/>
          <w:sz w:val="18"/>
          <w:szCs w:val="18"/>
        </w:rPr>
        <w:t>VL</w:t>
      </w:r>
      <w:r>
        <w:rPr>
          <w:rFonts w:ascii="Times New Roman" w:hAnsi="Times New Roman"/>
          <w:sz w:val="18"/>
          <w:szCs w:val="18"/>
        </w:rPr>
        <w:t>) and Extreme Low (</w:t>
      </w:r>
      <w:r w:rsidRPr="00EB0648">
        <w:rPr>
          <w:rFonts w:ascii="Times New Roman" w:hAnsi="Times New Roman"/>
          <w:sz w:val="18"/>
          <w:szCs w:val="18"/>
        </w:rPr>
        <w:t>EL</w:t>
      </w:r>
      <w:r>
        <w:rPr>
          <w:rFonts w:ascii="Times New Roman" w:hAnsi="Times New Roman"/>
          <w:sz w:val="18"/>
          <w:szCs w:val="18"/>
        </w:rPr>
        <w:t>)</w:t>
      </w:r>
      <w:r w:rsidRPr="00EB0648">
        <w:rPr>
          <w:rFonts w:ascii="Times New Roman" w:hAnsi="Times New Roman"/>
          <w:sz w:val="18"/>
          <w:szCs w:val="18"/>
        </w:rPr>
        <w:t xml:space="preserve"> where each cluster represented the saltwater intrusion intensity in decreasing order</w:t>
      </w:r>
      <w:r w:rsidRPr="00EB0648">
        <w:rPr>
          <w:rFonts w:ascii="Times New Roman" w:hAnsi="Times New Roman"/>
          <w:sz w:val="24"/>
          <w:szCs w:val="24"/>
        </w:rPr>
        <w:t>.</w:t>
      </w:r>
    </w:p>
    <w:p w:rsidR="00BD2424" w:rsidRPr="00EB0648" w:rsidRDefault="00BD2424" w:rsidP="00BD2424">
      <w:pPr>
        <w:spacing w:after="0" w:line="240" w:lineRule="auto"/>
        <w:jc w:val="both"/>
        <w:rPr>
          <w:rFonts w:ascii="Times New Roman" w:hAnsi="Times New Roman"/>
          <w:sz w:val="20"/>
          <w:szCs w:val="20"/>
        </w:rPr>
      </w:pPr>
    </w:p>
    <w:p w:rsidR="00BD2424" w:rsidRPr="00EB0648" w:rsidRDefault="00BD2424" w:rsidP="00BD2424">
      <w:pPr>
        <w:spacing w:after="0" w:line="240" w:lineRule="auto"/>
        <w:jc w:val="both"/>
        <w:rPr>
          <w:rFonts w:ascii="Times New Roman" w:hAnsi="Times New Roman"/>
          <w:sz w:val="18"/>
          <w:szCs w:val="18"/>
        </w:rPr>
      </w:pPr>
      <w:r w:rsidRPr="00EB0648">
        <w:rPr>
          <w:rFonts w:ascii="Times New Roman" w:hAnsi="Times New Roman"/>
          <w:b/>
          <w:sz w:val="18"/>
          <w:szCs w:val="18"/>
        </w:rPr>
        <w:t>Keywords</w:t>
      </w:r>
      <w:r>
        <w:rPr>
          <w:rFonts w:ascii="Times New Roman" w:hAnsi="Times New Roman"/>
          <w:sz w:val="18"/>
          <w:szCs w:val="18"/>
        </w:rPr>
        <w:t>:  g</w:t>
      </w:r>
      <w:r w:rsidRPr="00EB0648">
        <w:rPr>
          <w:rFonts w:ascii="Times New Roman" w:hAnsi="Times New Roman"/>
          <w:sz w:val="18"/>
          <w:szCs w:val="18"/>
        </w:rPr>
        <w:t>roundwater, coastal aquifer, saltwater intrusion, multivariate techniques</w:t>
      </w:r>
    </w:p>
    <w:p w:rsidR="00BD2424" w:rsidRPr="00EB0648" w:rsidRDefault="00BD2424" w:rsidP="00BD2424">
      <w:pPr>
        <w:spacing w:after="0" w:line="240" w:lineRule="auto"/>
        <w:jc w:val="both"/>
        <w:rPr>
          <w:rFonts w:ascii="Times New Roman" w:hAnsi="Times New Roman"/>
          <w:sz w:val="20"/>
          <w:szCs w:val="20"/>
        </w:rPr>
      </w:pPr>
    </w:p>
    <w:p w:rsidR="00BD2424" w:rsidRPr="00EB0648" w:rsidRDefault="00BD2424" w:rsidP="00BD2424">
      <w:pPr>
        <w:spacing w:after="0" w:line="240" w:lineRule="auto"/>
        <w:jc w:val="center"/>
        <w:rPr>
          <w:rFonts w:ascii="Times New Roman" w:hAnsi="Times New Roman"/>
          <w:b/>
          <w:sz w:val="20"/>
          <w:szCs w:val="18"/>
        </w:rPr>
      </w:pPr>
      <w:r w:rsidRPr="00EB0648">
        <w:rPr>
          <w:rFonts w:ascii="Times New Roman" w:hAnsi="Times New Roman"/>
          <w:b/>
          <w:sz w:val="20"/>
          <w:szCs w:val="18"/>
        </w:rPr>
        <w:t>Abstrak</w:t>
      </w:r>
    </w:p>
    <w:p w:rsidR="00BD2424" w:rsidRPr="00EB0648" w:rsidRDefault="00BD2424" w:rsidP="00BD2424">
      <w:pPr>
        <w:spacing w:after="0" w:line="240" w:lineRule="auto"/>
        <w:jc w:val="both"/>
        <w:rPr>
          <w:rFonts w:ascii="Times New Roman" w:hAnsi="Times New Roman"/>
          <w:sz w:val="18"/>
          <w:szCs w:val="18"/>
        </w:rPr>
      </w:pPr>
      <w:r w:rsidRPr="00EB0648">
        <w:rPr>
          <w:rFonts w:ascii="Times New Roman" w:hAnsi="Times New Roman"/>
          <w:sz w:val="18"/>
          <w:szCs w:val="18"/>
        </w:rPr>
        <w:t xml:space="preserve">Air bawah tanah dari akuifer pantai terdedah kepada pencemaran air masin kerana ia terletak berhampiran pantai. Oleh itu, satu kajian dijalankan untuk mengesahkan sumber utama pencemaran kepada air bawah tanah </w:t>
      </w:r>
      <w:r w:rsidR="0073131F">
        <w:rPr>
          <w:rFonts w:ascii="Times New Roman" w:hAnsi="Times New Roman"/>
          <w:sz w:val="18"/>
          <w:szCs w:val="18"/>
        </w:rPr>
        <w:t>pantai berdasarkan 13 telaga pen</w:t>
      </w:r>
      <w:r w:rsidRPr="00EB0648">
        <w:rPr>
          <w:rFonts w:ascii="Times New Roman" w:hAnsi="Times New Roman"/>
          <w:sz w:val="18"/>
          <w:szCs w:val="18"/>
        </w:rPr>
        <w:t>sampelan yang terletak berhampiran kawasan pantai Terengganu serta untuk menilai keamatan pencerobohan air masin ke dalam telaga.Pengukuran parameter kualiti air seperti oksigen terlarut (DO), kekonduksian elektrik (EC), jumlah pepejal terlarut (TDS), kemasinan, pH, kekeruhan dan jumlah pepejal terampai (TSS) diambil dari setiap telaga dengan menggunakan peralatan saintifik. Data dianalisis menggunakan teknik multivariat iaitu analisis komponen utama (PCA) dan analisis kelompok (CA). CA dilakukan menggunakan teknik analisis</w:t>
      </w:r>
      <w:r>
        <w:rPr>
          <w:rFonts w:ascii="Times New Roman" w:hAnsi="Times New Roman"/>
          <w:sz w:val="18"/>
          <w:szCs w:val="18"/>
        </w:rPr>
        <w:t xml:space="preserve"> kelompok hierarki agglomeratif</w:t>
      </w:r>
      <w:r w:rsidRPr="00EB0648">
        <w:rPr>
          <w:rFonts w:ascii="Times New Roman" w:hAnsi="Times New Roman"/>
          <w:sz w:val="18"/>
          <w:szCs w:val="18"/>
        </w:rPr>
        <w:t xml:space="preserve"> (HACA). PCA menghasilkan dua PC yang mana, PC1 membentuk faktor komposit TDS, kemasinan dan EC yang mewakili pencerobohan air masin manakala, PC2 membentuk faktor komposit kekeruhan, TSS dan TDS yang mewakili pencemaran antropogenik. C</w:t>
      </w:r>
      <w:r w:rsidR="0073131F">
        <w:rPr>
          <w:rFonts w:ascii="Times New Roman" w:hAnsi="Times New Roman"/>
          <w:sz w:val="18"/>
          <w:szCs w:val="18"/>
        </w:rPr>
        <w:t>A berjaya mengelaskan telaga pen</w:t>
      </w:r>
      <w:bookmarkStart w:id="0" w:name="_GoBack"/>
      <w:bookmarkEnd w:id="0"/>
      <w:r w:rsidRPr="00EB0648">
        <w:rPr>
          <w:rFonts w:ascii="Times New Roman" w:hAnsi="Times New Roman"/>
          <w:sz w:val="18"/>
          <w:szCs w:val="18"/>
        </w:rPr>
        <w:t xml:space="preserve">sampelan kepada tujuh kelompok; </w:t>
      </w:r>
      <w:r>
        <w:rPr>
          <w:rFonts w:ascii="Times New Roman" w:hAnsi="Times New Roman"/>
          <w:sz w:val="18"/>
          <w:szCs w:val="18"/>
        </w:rPr>
        <w:t>Tinggi Ekstrem (</w:t>
      </w:r>
      <w:r w:rsidRPr="00EB0648">
        <w:rPr>
          <w:rFonts w:ascii="Times New Roman" w:hAnsi="Times New Roman"/>
          <w:sz w:val="18"/>
          <w:szCs w:val="18"/>
        </w:rPr>
        <w:t>EH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Sangat Tinggi (</w:t>
      </w:r>
      <w:r w:rsidRPr="00EB0648">
        <w:rPr>
          <w:rFonts w:ascii="Times New Roman" w:hAnsi="Times New Roman"/>
          <w:sz w:val="18"/>
          <w:szCs w:val="18"/>
        </w:rPr>
        <w:t>VH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Tinggi (</w:t>
      </w:r>
      <w:r w:rsidRPr="00EB0648">
        <w:rPr>
          <w:rFonts w:ascii="Times New Roman" w:hAnsi="Times New Roman"/>
          <w:sz w:val="18"/>
          <w:szCs w:val="18"/>
        </w:rPr>
        <w:t>H</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Sederhana (</w:t>
      </w:r>
      <w:r w:rsidRPr="00EB0648">
        <w:rPr>
          <w:rFonts w:ascii="Times New Roman" w:hAnsi="Times New Roman"/>
          <w:sz w:val="18"/>
          <w:szCs w:val="18"/>
        </w:rPr>
        <w:t>M</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Rendah (</w:t>
      </w:r>
      <w:r w:rsidRPr="00EB0648">
        <w:rPr>
          <w:rFonts w:ascii="Times New Roman" w:hAnsi="Times New Roman"/>
          <w:sz w:val="18"/>
          <w:szCs w:val="18"/>
        </w:rPr>
        <w:t>L</w:t>
      </w:r>
      <w:r>
        <w:rPr>
          <w:rFonts w:ascii="Times New Roman" w:hAnsi="Times New Roman"/>
          <w:sz w:val="18"/>
          <w:szCs w:val="18"/>
        </w:rPr>
        <w:t>)</w:t>
      </w:r>
      <w:r w:rsidRPr="00EB0648">
        <w:rPr>
          <w:rFonts w:ascii="Times New Roman" w:hAnsi="Times New Roman"/>
          <w:sz w:val="18"/>
          <w:szCs w:val="18"/>
        </w:rPr>
        <w:t xml:space="preserve">, </w:t>
      </w:r>
      <w:r>
        <w:rPr>
          <w:rFonts w:ascii="Times New Roman" w:hAnsi="Times New Roman"/>
          <w:sz w:val="18"/>
          <w:szCs w:val="18"/>
        </w:rPr>
        <w:t>Sangat Rendah (</w:t>
      </w:r>
      <w:r w:rsidRPr="00EB0648">
        <w:rPr>
          <w:rFonts w:ascii="Times New Roman" w:hAnsi="Times New Roman"/>
          <w:sz w:val="18"/>
          <w:szCs w:val="18"/>
        </w:rPr>
        <w:t>VL</w:t>
      </w:r>
      <w:r>
        <w:rPr>
          <w:rFonts w:ascii="Times New Roman" w:hAnsi="Times New Roman"/>
          <w:sz w:val="18"/>
          <w:szCs w:val="18"/>
        </w:rPr>
        <w:t>) dan Rendah Ekstrem (</w:t>
      </w:r>
      <w:r w:rsidRPr="00EB0648">
        <w:rPr>
          <w:rFonts w:ascii="Times New Roman" w:hAnsi="Times New Roman"/>
          <w:sz w:val="18"/>
          <w:szCs w:val="18"/>
        </w:rPr>
        <w:t>EL</w:t>
      </w:r>
      <w:r>
        <w:rPr>
          <w:rFonts w:ascii="Times New Roman" w:hAnsi="Times New Roman"/>
          <w:sz w:val="18"/>
          <w:szCs w:val="18"/>
        </w:rPr>
        <w:t>)</w:t>
      </w:r>
      <w:r w:rsidRPr="00EB0648">
        <w:rPr>
          <w:rFonts w:ascii="Times New Roman" w:hAnsi="Times New Roman"/>
          <w:sz w:val="18"/>
          <w:szCs w:val="18"/>
        </w:rPr>
        <w:t xml:space="preserve"> yang mana setiap kelompok mewakili keamatan pencerobohan air masin dalam urutan berkurangan.</w:t>
      </w:r>
    </w:p>
    <w:p w:rsidR="00BD2424" w:rsidRPr="00EB0648" w:rsidRDefault="00BD2424" w:rsidP="00BD2424">
      <w:pPr>
        <w:spacing w:after="0" w:line="240" w:lineRule="auto"/>
        <w:jc w:val="both"/>
        <w:rPr>
          <w:rFonts w:ascii="Times New Roman" w:hAnsi="Times New Roman"/>
          <w:sz w:val="20"/>
          <w:szCs w:val="20"/>
        </w:rPr>
      </w:pPr>
    </w:p>
    <w:p w:rsidR="00BD2424" w:rsidRPr="00EB0648" w:rsidRDefault="00BD2424" w:rsidP="00BD2424">
      <w:pPr>
        <w:spacing w:after="0" w:line="240" w:lineRule="auto"/>
        <w:jc w:val="both"/>
        <w:rPr>
          <w:rFonts w:ascii="Times New Roman" w:hAnsi="Times New Roman"/>
          <w:sz w:val="18"/>
          <w:szCs w:val="24"/>
        </w:rPr>
      </w:pPr>
      <w:r w:rsidRPr="00EB0648">
        <w:rPr>
          <w:rFonts w:ascii="Times New Roman" w:hAnsi="Times New Roman"/>
          <w:b/>
          <w:sz w:val="18"/>
          <w:szCs w:val="24"/>
        </w:rPr>
        <w:lastRenderedPageBreak/>
        <w:t>Kata kunci</w:t>
      </w:r>
      <w:r w:rsidRPr="00EB0648">
        <w:rPr>
          <w:rFonts w:ascii="Times New Roman" w:hAnsi="Times New Roman"/>
          <w:sz w:val="18"/>
          <w:szCs w:val="24"/>
        </w:rPr>
        <w:t xml:space="preserve">: </w:t>
      </w:r>
      <w:r>
        <w:rPr>
          <w:rFonts w:ascii="Times New Roman" w:hAnsi="Times New Roman"/>
          <w:sz w:val="18"/>
          <w:szCs w:val="24"/>
        </w:rPr>
        <w:t xml:space="preserve"> a</w:t>
      </w:r>
      <w:r w:rsidRPr="00EB0648">
        <w:rPr>
          <w:rFonts w:ascii="Times New Roman" w:hAnsi="Times New Roman"/>
          <w:sz w:val="18"/>
          <w:szCs w:val="24"/>
        </w:rPr>
        <w:t xml:space="preserve">ir bawah tanah, akuifer pantai, kemasukan air masin, teknik </w:t>
      </w:r>
      <w:r>
        <w:rPr>
          <w:rFonts w:ascii="Times New Roman" w:hAnsi="Times New Roman"/>
          <w:sz w:val="18"/>
          <w:szCs w:val="24"/>
        </w:rPr>
        <w:t>multivariat</w:t>
      </w:r>
    </w:p>
    <w:p w:rsidR="006768E9" w:rsidRDefault="006768E9" w:rsidP="00BD242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D2424" w:rsidRDefault="00BD2424" w:rsidP="00BD2424">
      <w:pPr>
        <w:spacing w:after="0" w:line="240" w:lineRule="auto"/>
        <w:jc w:val="both"/>
        <w:rPr>
          <w:rFonts w:ascii="Times New Roman" w:hAnsi="Times New Roman"/>
          <w:sz w:val="20"/>
          <w:szCs w:val="20"/>
        </w:rPr>
      </w:pPr>
      <w:r w:rsidRPr="00EB0648">
        <w:rPr>
          <w:rFonts w:ascii="Times New Roman" w:hAnsi="Times New Roman"/>
          <w:sz w:val="20"/>
          <w:szCs w:val="20"/>
        </w:rPr>
        <w:t>Water plays a critical role in human life because human need water to stay alive and to carry out daily activities either as in domestic uses or economic uses. As human population keeps growing over times, the demands for water keep increasing as well. For Malaysia, it is a tropical country and thus, receiving an adequate amount of rainfall throughout the year. Supposedly, available water should be enough to cater the needs of its people. However, there are still some states that are experiencing a water shortage crisis [1]. Another alternative for freshwater supply is from groundwater. Groundwater is defined as subsurface water and can be either stored in confined or unconfined aquifer. These aquifers can be distinguished by the water components and type of surface and subsurface water interaction [2]. Water stored as groundwater is originated from surface water that seep slowly into the ground. It takes a long time to fill up the groundwater storage. In contrast, groundwater can be extracted easily by drilling a well into aquifer. Extraction of groundwater without a proper management may lead to imbalance rate of recharge and discharge. As a result, it causes threat to this valuable water resource.</w:t>
      </w:r>
    </w:p>
    <w:p w:rsidR="00BD2424" w:rsidRPr="00EB0648" w:rsidRDefault="00BD2424" w:rsidP="00BD2424">
      <w:pPr>
        <w:spacing w:after="0" w:line="240" w:lineRule="auto"/>
        <w:jc w:val="both"/>
        <w:rPr>
          <w:rFonts w:ascii="Times New Roman" w:hAnsi="Times New Roman"/>
          <w:b/>
          <w:sz w:val="20"/>
          <w:szCs w:val="20"/>
        </w:rPr>
      </w:pPr>
    </w:p>
    <w:p w:rsidR="00BD2424" w:rsidRDefault="00BD2424" w:rsidP="00BD2424">
      <w:pPr>
        <w:spacing w:after="0" w:line="240" w:lineRule="auto"/>
        <w:jc w:val="both"/>
        <w:rPr>
          <w:rFonts w:ascii="Times New Roman" w:hAnsi="Times New Roman"/>
          <w:sz w:val="20"/>
          <w:szCs w:val="20"/>
        </w:rPr>
      </w:pPr>
      <w:r w:rsidRPr="00EB0648">
        <w:rPr>
          <w:rFonts w:ascii="Times New Roman" w:hAnsi="Times New Roman"/>
          <w:sz w:val="20"/>
          <w:szCs w:val="20"/>
        </w:rPr>
        <w:t xml:space="preserve">Besides, groundwater aquifer is also vulnerable to saltwater contamination [3]. This kind of threat is generally related to aquifers that located close to coastline. These aquifers are known as coastal aquifers. Theoretically, freshwater and saltwater are of different density and thus, these waters should not mix up. Instead, freshwater and saltwater was separated by a zone known as transition zone containing brackish water. This zone kept freshwater and saltwater in natural equilibrium [4, 5]. The location of the transition zone is not fixed as it is can either move further inland or towards the sea depending on several factors. The movement can be map or visualize by adopting hydrogeochemical and geophysical technique [6]. In a normal condition, freshwater will be flowing into the sea. A reversed situation can occur where the saltwater is flowing into the freshwater under the influences of natural events and anthropogenic activities [7 - 9]. </w:t>
      </w:r>
    </w:p>
    <w:p w:rsidR="00BD2424" w:rsidRPr="00EB0648" w:rsidRDefault="00BD2424" w:rsidP="00BD2424">
      <w:pPr>
        <w:spacing w:after="0" w:line="240" w:lineRule="auto"/>
        <w:jc w:val="both"/>
        <w:rPr>
          <w:rFonts w:ascii="Times New Roman" w:hAnsi="Times New Roman"/>
          <w:sz w:val="20"/>
          <w:szCs w:val="20"/>
        </w:rPr>
      </w:pPr>
    </w:p>
    <w:p w:rsidR="006768E9" w:rsidRPr="00F447A7" w:rsidRDefault="00BD2424" w:rsidP="00BD2424">
      <w:pPr>
        <w:spacing w:after="0" w:line="240" w:lineRule="auto"/>
        <w:jc w:val="both"/>
        <w:rPr>
          <w:rFonts w:ascii="Times New Roman" w:hAnsi="Times New Roman"/>
          <w:noProof/>
          <w:sz w:val="20"/>
          <w:szCs w:val="20"/>
          <w:lang w:bidi="ar-SA"/>
        </w:rPr>
      </w:pPr>
      <w:r w:rsidRPr="00EB0648">
        <w:rPr>
          <w:rFonts w:ascii="Times New Roman" w:hAnsi="Times New Roman"/>
          <w:sz w:val="20"/>
          <w:szCs w:val="20"/>
        </w:rPr>
        <w:t>This unfavourable situation caused a great concern to peoples living along the coast since long time ago. This is because of a further movement of saltwater toward the land will lead to saltwater intrusion into coastal aquifer that containing their main freshwater supply [7 - 11]. Contamination of 2</w:t>
      </w:r>
      <w:r>
        <w:rPr>
          <w:rFonts w:ascii="Times New Roman" w:hAnsi="Times New Roman"/>
          <w:sz w:val="20"/>
          <w:szCs w:val="20"/>
        </w:rPr>
        <w:t xml:space="preserve"> – </w:t>
      </w:r>
      <w:r w:rsidRPr="00EB0648">
        <w:rPr>
          <w:rFonts w:ascii="Times New Roman" w:hAnsi="Times New Roman"/>
          <w:sz w:val="20"/>
          <w:szCs w:val="20"/>
        </w:rPr>
        <w:t>3% of saltwater into coastal aquifer will increase the waters salinity and resulting in water quality degradation [8]. This problem is also experienced by residence living along Terengganu coastline which is the area of this study. Most of the residents in this area still use groundwater withdrawn from the drilled wells. Some of them use the water only for basic uses such as for watering crops and livestock drinking water. The rest of them used the well water as their main water supply due to financial issues. In conjunction to this problem, a study is carried out to confirm the major sources of groundwater quality pollutants based on sampling wells that located along Terengganu coastline and to assess the intensity of saltwater intrusion into the wells.</w:t>
      </w:r>
    </w:p>
    <w:p w:rsidR="00BD2424" w:rsidRDefault="00BD242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D2424" w:rsidRPr="00BD2424" w:rsidRDefault="00BD2424" w:rsidP="00BD2424">
      <w:pPr>
        <w:spacing w:after="0" w:line="240" w:lineRule="auto"/>
        <w:jc w:val="both"/>
        <w:rPr>
          <w:rFonts w:ascii="Times New Roman" w:hAnsi="Times New Roman"/>
          <w:b/>
          <w:sz w:val="20"/>
          <w:szCs w:val="20"/>
        </w:rPr>
      </w:pPr>
      <w:r w:rsidRPr="00BD2424">
        <w:rPr>
          <w:rFonts w:ascii="Times New Roman" w:hAnsi="Times New Roman"/>
          <w:b/>
          <w:sz w:val="20"/>
          <w:szCs w:val="20"/>
        </w:rPr>
        <w:t>Study area</w:t>
      </w:r>
    </w:p>
    <w:p w:rsidR="00BD2424" w:rsidRDefault="00BD2424" w:rsidP="00BD2424">
      <w:pPr>
        <w:spacing w:after="0" w:line="240" w:lineRule="auto"/>
        <w:jc w:val="both"/>
        <w:rPr>
          <w:rFonts w:ascii="Times New Roman" w:hAnsi="Times New Roman"/>
          <w:sz w:val="20"/>
          <w:szCs w:val="20"/>
        </w:rPr>
      </w:pPr>
      <w:r w:rsidRPr="00BD2424">
        <w:rPr>
          <w:rFonts w:ascii="Times New Roman" w:hAnsi="Times New Roman"/>
          <w:sz w:val="20"/>
          <w:szCs w:val="20"/>
        </w:rPr>
        <w:t xml:space="preserve">Terengganu is located on the east coast of Peninsular Malaysia [12]. Specifically, it is located between longitudes 102.25 </w:t>
      </w:r>
      <w:r w:rsidRPr="00BD2424">
        <w:rPr>
          <w:rFonts w:ascii="Times New Roman" w:hAnsi="Times New Roman"/>
          <w:sz w:val="20"/>
          <w:szCs w:val="20"/>
          <w:vertAlign w:val="superscript"/>
        </w:rPr>
        <w:t>°</w:t>
      </w:r>
      <w:r w:rsidRPr="00BD2424">
        <w:rPr>
          <w:rFonts w:ascii="Times New Roman" w:hAnsi="Times New Roman"/>
          <w:sz w:val="20"/>
          <w:szCs w:val="20"/>
        </w:rPr>
        <w:t xml:space="preserve">E to 103.50 </w:t>
      </w:r>
      <w:r w:rsidRPr="00BD2424">
        <w:rPr>
          <w:rFonts w:ascii="Times New Roman" w:hAnsi="Times New Roman"/>
          <w:sz w:val="20"/>
          <w:szCs w:val="20"/>
          <w:vertAlign w:val="superscript"/>
        </w:rPr>
        <w:t>°</w:t>
      </w:r>
      <w:r w:rsidRPr="00BD2424">
        <w:rPr>
          <w:rFonts w:ascii="Times New Roman" w:hAnsi="Times New Roman"/>
          <w:sz w:val="20"/>
          <w:szCs w:val="20"/>
        </w:rPr>
        <w:t>E and latitude 4</w:t>
      </w:r>
      <w:r w:rsidRPr="00BD2424">
        <w:rPr>
          <w:rFonts w:ascii="Times New Roman" w:hAnsi="Times New Roman"/>
          <w:sz w:val="20"/>
          <w:szCs w:val="20"/>
          <w:vertAlign w:val="superscript"/>
        </w:rPr>
        <w:t xml:space="preserve"> </w:t>
      </w:r>
      <w:r w:rsidRPr="00BD2424">
        <w:rPr>
          <w:rFonts w:ascii="Times New Roman" w:hAnsi="Times New Roman"/>
          <w:sz w:val="20"/>
          <w:szCs w:val="20"/>
        </w:rPr>
        <w:t>N to 5.50</w:t>
      </w:r>
      <w:r w:rsidRPr="00BD2424">
        <w:rPr>
          <w:rFonts w:ascii="Times New Roman" w:hAnsi="Times New Roman"/>
          <w:sz w:val="20"/>
          <w:szCs w:val="20"/>
          <w:vertAlign w:val="superscript"/>
        </w:rPr>
        <w:t xml:space="preserve"> </w:t>
      </w:r>
      <w:r w:rsidRPr="00BD2424">
        <w:rPr>
          <w:rFonts w:ascii="Times New Roman" w:hAnsi="Times New Roman"/>
          <w:sz w:val="20"/>
          <w:szCs w:val="20"/>
        </w:rPr>
        <w:t xml:space="preserve">°N.  The size of Terengganu is approximately 1,295, 638.3 hectares with coastline bordered by South China Sea and stretching 225 km from Besut to Kemaman [12].  It received an average rainfall of ± 400 mm per annum during the northeast monsoon season from November to March, meanwhile ± 190 mm per annum during the other months [12, 13].  Its average temperature is from 29 </w:t>
      </w:r>
      <w:r w:rsidRPr="00BD2424">
        <w:rPr>
          <w:rFonts w:ascii="Times New Roman" w:hAnsi="Times New Roman"/>
          <w:sz w:val="20"/>
          <w:szCs w:val="20"/>
          <w:vertAlign w:val="superscript"/>
        </w:rPr>
        <w:t>°</w:t>
      </w:r>
      <w:r w:rsidRPr="00BD2424">
        <w:rPr>
          <w:rFonts w:ascii="Times New Roman" w:hAnsi="Times New Roman"/>
          <w:sz w:val="20"/>
          <w:szCs w:val="20"/>
        </w:rPr>
        <w:t xml:space="preserve">C to 32 </w:t>
      </w:r>
      <w:r w:rsidRPr="00BD2424">
        <w:rPr>
          <w:rFonts w:ascii="Times New Roman" w:hAnsi="Times New Roman"/>
          <w:sz w:val="20"/>
          <w:szCs w:val="20"/>
          <w:vertAlign w:val="superscript"/>
        </w:rPr>
        <w:t>°</w:t>
      </w:r>
      <w:r w:rsidRPr="00BD2424">
        <w:rPr>
          <w:rFonts w:ascii="Times New Roman" w:hAnsi="Times New Roman"/>
          <w:sz w:val="20"/>
          <w:szCs w:val="20"/>
        </w:rPr>
        <w:t>C throughout the year [14]. Sampling areas were located along the Terengganu coastline (Figure 1).</w:t>
      </w:r>
    </w:p>
    <w:p w:rsidR="00DB4A47" w:rsidRDefault="00DB4A47" w:rsidP="00BD2424">
      <w:pPr>
        <w:spacing w:after="0" w:line="240" w:lineRule="auto"/>
        <w:jc w:val="both"/>
        <w:rPr>
          <w:rFonts w:ascii="Times New Roman" w:hAnsi="Times New Roman"/>
          <w:sz w:val="20"/>
          <w:szCs w:val="20"/>
        </w:rPr>
      </w:pPr>
    </w:p>
    <w:p w:rsidR="00DB4A47" w:rsidRPr="00BD2424" w:rsidRDefault="00DB4A47" w:rsidP="00DB4A47">
      <w:pPr>
        <w:spacing w:after="0" w:line="240" w:lineRule="auto"/>
        <w:jc w:val="both"/>
        <w:rPr>
          <w:rFonts w:ascii="Times New Roman" w:hAnsi="Times New Roman"/>
          <w:sz w:val="20"/>
          <w:szCs w:val="20"/>
        </w:rPr>
      </w:pPr>
      <w:r w:rsidRPr="00BD2424">
        <w:rPr>
          <w:rFonts w:ascii="Times New Roman" w:hAnsi="Times New Roman"/>
          <w:sz w:val="20"/>
          <w:szCs w:val="20"/>
        </w:rPr>
        <w:t xml:space="preserve">Generally, Terengganu coastline is dominated by Quaternary rock of marine and continental deposits [15]. It is specifically known as Holocene beach ridges derived from Matang Gelugor Member. It is comprises of sand, gravel and sandy clay deposits in littoral and marine environment [16, 17]. In the hydrogeology perspective, Quaternary sediment is characterized by high porosity and excellent permeability that allowed water to be stored in between the grains [18]. Carboniferous rock and minor intrusive rock also present along the centre and south of Terengganu coastline. </w:t>
      </w:r>
    </w:p>
    <w:p w:rsidR="00DB4A47" w:rsidRDefault="00DB4A47" w:rsidP="00BD2424">
      <w:pPr>
        <w:spacing w:after="0" w:line="240" w:lineRule="auto"/>
        <w:jc w:val="both"/>
        <w:rPr>
          <w:rFonts w:ascii="Times New Roman" w:hAnsi="Times New Roman"/>
          <w:sz w:val="20"/>
          <w:szCs w:val="20"/>
        </w:rPr>
      </w:pPr>
    </w:p>
    <w:p w:rsidR="00DB4A47" w:rsidRPr="00BD2424" w:rsidRDefault="00DB4A47" w:rsidP="00BD2424">
      <w:pPr>
        <w:spacing w:after="0" w:line="240" w:lineRule="auto"/>
        <w:jc w:val="both"/>
        <w:rPr>
          <w:rFonts w:ascii="Times New Roman" w:hAnsi="Times New Roman"/>
          <w:sz w:val="20"/>
          <w:szCs w:val="20"/>
        </w:rPr>
      </w:pPr>
    </w:p>
    <w:p w:rsidR="00BD2424" w:rsidRPr="00BD2424" w:rsidRDefault="00BD2424" w:rsidP="00BD2424">
      <w:pPr>
        <w:spacing w:after="0" w:line="240" w:lineRule="auto"/>
        <w:jc w:val="center"/>
        <w:rPr>
          <w:rFonts w:ascii="Times New Roman" w:hAnsi="Times New Roman"/>
          <w:sz w:val="20"/>
          <w:szCs w:val="20"/>
        </w:rPr>
      </w:pPr>
      <w:r w:rsidRPr="00BD2424">
        <w:rPr>
          <w:rFonts w:ascii="Times New Roman" w:hAnsi="Times New Roman"/>
          <w:noProof/>
          <w:sz w:val="20"/>
          <w:szCs w:val="20"/>
          <w:lang w:bidi="ar-SA"/>
        </w:rPr>
        <w:drawing>
          <wp:inline distT="0" distB="0" distL="0" distR="0" wp14:anchorId="054C64E0" wp14:editId="5EC68A77">
            <wp:extent cx="3399935" cy="4419600"/>
            <wp:effectExtent l="0" t="0" r="0" b="0"/>
            <wp:docPr id="5" name="Picture 5" descr="C:\Users\Syuhada Hairoma\Documents\Education\Master\Data\Sampling location GIS\Peta_Foto\PRIMARY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uhada Hairoma\Documents\Education\Master\Data\Sampling location GIS\Peta_Foto\PRIMARYWELL.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2690" t="3301" r="12101" b="1474"/>
                    <a:stretch/>
                  </pic:blipFill>
                  <pic:spPr bwMode="auto">
                    <a:xfrm>
                      <a:off x="0" y="0"/>
                      <a:ext cx="3409759" cy="4432370"/>
                    </a:xfrm>
                    <a:prstGeom prst="rect">
                      <a:avLst/>
                    </a:prstGeom>
                    <a:noFill/>
                    <a:ln>
                      <a:noFill/>
                    </a:ln>
                    <a:extLst>
                      <a:ext uri="{53640926-AAD7-44D8-BBD7-CCE9431645EC}">
                        <a14:shadowObscured xmlns:a14="http://schemas.microsoft.com/office/drawing/2010/main"/>
                      </a:ext>
                    </a:extLst>
                  </pic:spPr>
                </pic:pic>
              </a:graphicData>
            </a:graphic>
          </wp:inline>
        </w:drawing>
      </w:r>
    </w:p>
    <w:p w:rsidR="00BD2424" w:rsidRDefault="00BD2424" w:rsidP="00BD2424">
      <w:pPr>
        <w:spacing w:after="0" w:line="240" w:lineRule="auto"/>
        <w:jc w:val="center"/>
        <w:rPr>
          <w:rFonts w:ascii="Times New Roman" w:hAnsi="Times New Roman"/>
          <w:sz w:val="20"/>
          <w:szCs w:val="20"/>
        </w:rPr>
      </w:pPr>
    </w:p>
    <w:p w:rsidR="00BD2424" w:rsidRPr="00BD2424" w:rsidRDefault="00BD2424" w:rsidP="00BD2424">
      <w:pPr>
        <w:spacing w:after="0" w:line="240" w:lineRule="auto"/>
        <w:jc w:val="center"/>
        <w:rPr>
          <w:rFonts w:ascii="Times New Roman" w:hAnsi="Times New Roman"/>
          <w:sz w:val="20"/>
          <w:szCs w:val="20"/>
        </w:rPr>
      </w:pPr>
      <w:r w:rsidRPr="00BD2424">
        <w:rPr>
          <w:rFonts w:ascii="Times New Roman" w:hAnsi="Times New Roman"/>
          <w:sz w:val="20"/>
          <w:szCs w:val="20"/>
        </w:rPr>
        <w:t xml:space="preserve">Figure 1. </w:t>
      </w:r>
      <w:r>
        <w:rPr>
          <w:rFonts w:ascii="Times New Roman" w:hAnsi="Times New Roman"/>
          <w:sz w:val="20"/>
          <w:szCs w:val="20"/>
        </w:rPr>
        <w:t xml:space="preserve"> </w:t>
      </w:r>
      <w:r w:rsidRPr="00BD2424">
        <w:rPr>
          <w:rFonts w:ascii="Times New Roman" w:hAnsi="Times New Roman"/>
          <w:sz w:val="20"/>
          <w:szCs w:val="20"/>
        </w:rPr>
        <w:t>Location of sampling wells (Primary Well) along Terengganu coastline</w:t>
      </w:r>
    </w:p>
    <w:p w:rsidR="00BD2424" w:rsidRPr="00BD2424" w:rsidRDefault="00BD2424" w:rsidP="00BD2424">
      <w:pPr>
        <w:spacing w:after="0" w:line="240" w:lineRule="auto"/>
        <w:jc w:val="both"/>
        <w:rPr>
          <w:rFonts w:ascii="Times New Roman" w:hAnsi="Times New Roman"/>
          <w:sz w:val="20"/>
          <w:szCs w:val="20"/>
        </w:rPr>
      </w:pPr>
    </w:p>
    <w:p w:rsidR="00BD2424" w:rsidRPr="00BD2424" w:rsidRDefault="00BD2424" w:rsidP="00BD2424">
      <w:pPr>
        <w:spacing w:after="0" w:line="240" w:lineRule="auto"/>
        <w:jc w:val="both"/>
        <w:rPr>
          <w:rFonts w:ascii="Times New Roman" w:hAnsi="Times New Roman"/>
          <w:sz w:val="20"/>
          <w:szCs w:val="20"/>
        </w:rPr>
      </w:pPr>
    </w:p>
    <w:p w:rsidR="00BD2424" w:rsidRPr="00BD2424" w:rsidRDefault="00BD2424" w:rsidP="00BD2424">
      <w:pPr>
        <w:spacing w:after="0" w:line="240" w:lineRule="auto"/>
        <w:jc w:val="both"/>
        <w:rPr>
          <w:rFonts w:ascii="Times New Roman" w:hAnsi="Times New Roman"/>
          <w:b/>
          <w:sz w:val="20"/>
          <w:szCs w:val="20"/>
        </w:rPr>
      </w:pPr>
      <w:r w:rsidRPr="00BD2424">
        <w:rPr>
          <w:rFonts w:ascii="Times New Roman" w:hAnsi="Times New Roman"/>
          <w:b/>
          <w:sz w:val="20"/>
          <w:szCs w:val="20"/>
        </w:rPr>
        <w:t>Data collection</w:t>
      </w:r>
    </w:p>
    <w:p w:rsidR="00BD2424" w:rsidRDefault="00BD2424" w:rsidP="00BD2424">
      <w:pPr>
        <w:spacing w:after="0" w:line="240" w:lineRule="auto"/>
        <w:jc w:val="both"/>
        <w:rPr>
          <w:rFonts w:ascii="Times New Roman" w:hAnsi="Times New Roman"/>
          <w:sz w:val="20"/>
          <w:szCs w:val="20"/>
        </w:rPr>
      </w:pPr>
      <w:r w:rsidRPr="00BD2424">
        <w:rPr>
          <w:rFonts w:ascii="Times New Roman" w:hAnsi="Times New Roman"/>
          <w:sz w:val="20"/>
          <w:szCs w:val="20"/>
        </w:rPr>
        <w:t>Samplings were carried out at 13 private wells, located closely to Terengganu coastline from July to August 2015 (Table 1). Samplings were conducted monthly by performing in situ measurements of selected water quality parameters such as dissolve oxygen (DO), electrical conductivity (EC), total dissolve solid (TDS), salinity, pH, turbidity and total suspended solid (TSS) . DO, EC, TDS, salinity and pH were measured using YSI 556 Handheld Multiparameter meter. Turbidity was measured using 2100Q Portable Turbidimeter and TSS was measured using HACH DR 900 Multiparameter Handheld meter. Global Positioning System (GPS) was used to locate the exact coordinates of sampling wells.</w:t>
      </w:r>
    </w:p>
    <w:p w:rsidR="00DB4A47" w:rsidRDefault="00DB4A47" w:rsidP="00BD2424">
      <w:pPr>
        <w:spacing w:after="0" w:line="240" w:lineRule="auto"/>
        <w:jc w:val="both"/>
        <w:rPr>
          <w:rFonts w:ascii="Times New Roman" w:hAnsi="Times New Roman"/>
          <w:sz w:val="20"/>
          <w:szCs w:val="20"/>
        </w:rPr>
      </w:pPr>
    </w:p>
    <w:p w:rsidR="00DB4A47" w:rsidRPr="00BD2424" w:rsidRDefault="00DB4A47" w:rsidP="00DB4A47">
      <w:pPr>
        <w:spacing w:after="0" w:line="240" w:lineRule="auto"/>
        <w:jc w:val="both"/>
        <w:rPr>
          <w:rFonts w:ascii="Times New Roman" w:hAnsi="Times New Roman"/>
          <w:b/>
          <w:sz w:val="20"/>
          <w:szCs w:val="20"/>
        </w:rPr>
      </w:pPr>
      <w:r w:rsidRPr="00BD2424">
        <w:rPr>
          <w:rFonts w:ascii="Times New Roman" w:hAnsi="Times New Roman"/>
          <w:b/>
          <w:sz w:val="20"/>
          <w:szCs w:val="20"/>
        </w:rPr>
        <w:t>Multivariate analysis</w:t>
      </w:r>
    </w:p>
    <w:p w:rsidR="00DB4A47" w:rsidRPr="00BD2424" w:rsidRDefault="00DB4A47" w:rsidP="00DB4A47">
      <w:pPr>
        <w:spacing w:after="0" w:line="240" w:lineRule="auto"/>
        <w:jc w:val="both"/>
        <w:rPr>
          <w:rFonts w:ascii="Times New Roman" w:hAnsi="Times New Roman"/>
          <w:sz w:val="20"/>
          <w:szCs w:val="20"/>
        </w:rPr>
      </w:pPr>
      <w:r w:rsidRPr="00BD2424">
        <w:rPr>
          <w:rFonts w:ascii="Times New Roman" w:hAnsi="Times New Roman"/>
          <w:sz w:val="20"/>
          <w:szCs w:val="20"/>
        </w:rPr>
        <w:t xml:space="preserve">A numbers of physiochemical parameters can be used to determine the groundwater quality namely total dissolve solid (TDS), dissolve oxygen (DO), total suspended solid (TSS), salinity, electrical conductivity (EC), chloride, biochemical oxygen demand (BOD) and pH value. However, it is difficult to define the main factors that control groundwater quality since there are too many data. Multivariate analysis such as principal component analysis and cluster analysis is suggested to be one of the best solutions to re-define the meaning of a mass of data. Therefore, multivariate analysis is employed to achieve the objective of this study. </w:t>
      </w:r>
    </w:p>
    <w:p w:rsidR="00DB4A47" w:rsidRDefault="00DB4A47" w:rsidP="00BD2424">
      <w:pPr>
        <w:spacing w:after="0" w:line="240" w:lineRule="auto"/>
        <w:jc w:val="both"/>
        <w:rPr>
          <w:rFonts w:ascii="Times New Roman" w:hAnsi="Times New Roman"/>
          <w:sz w:val="20"/>
          <w:szCs w:val="20"/>
        </w:rPr>
      </w:pPr>
    </w:p>
    <w:p w:rsidR="00DB4A47" w:rsidRPr="00BD2424" w:rsidRDefault="00DB4A47" w:rsidP="00BD2424">
      <w:pPr>
        <w:spacing w:after="0" w:line="240" w:lineRule="auto"/>
        <w:jc w:val="both"/>
        <w:rPr>
          <w:rFonts w:ascii="Times New Roman" w:hAnsi="Times New Roman"/>
          <w:sz w:val="20"/>
          <w:szCs w:val="20"/>
        </w:rPr>
      </w:pPr>
    </w:p>
    <w:p w:rsidR="00BD2424" w:rsidRPr="00BD2424" w:rsidRDefault="00BD2424" w:rsidP="00DB4A47">
      <w:pPr>
        <w:spacing w:after="120" w:line="240" w:lineRule="auto"/>
        <w:jc w:val="center"/>
        <w:rPr>
          <w:rFonts w:ascii="Times New Roman" w:hAnsi="Times New Roman"/>
          <w:sz w:val="20"/>
          <w:szCs w:val="20"/>
        </w:rPr>
      </w:pPr>
      <w:r w:rsidRPr="00BD2424">
        <w:rPr>
          <w:rFonts w:ascii="Times New Roman" w:hAnsi="Times New Roman"/>
          <w:sz w:val="20"/>
          <w:szCs w:val="20"/>
        </w:rPr>
        <w:lastRenderedPageBreak/>
        <w:t xml:space="preserve">Table 1. </w:t>
      </w:r>
      <w:r w:rsidR="00DB4A47">
        <w:rPr>
          <w:rFonts w:ascii="Times New Roman" w:hAnsi="Times New Roman"/>
          <w:sz w:val="20"/>
          <w:szCs w:val="20"/>
        </w:rPr>
        <w:t xml:space="preserve"> </w:t>
      </w:r>
      <w:r w:rsidRPr="00BD2424">
        <w:rPr>
          <w:rFonts w:ascii="Times New Roman" w:hAnsi="Times New Roman"/>
          <w:sz w:val="20"/>
          <w:szCs w:val="20"/>
        </w:rPr>
        <w:t>Coordinate location of sampling wells</w:t>
      </w:r>
    </w:p>
    <w:tbl>
      <w:tblPr>
        <w:tblStyle w:val="PlainTable21"/>
        <w:tblW w:w="5495" w:type="dxa"/>
        <w:jc w:val="center"/>
        <w:tblLook w:val="04A0" w:firstRow="1" w:lastRow="0" w:firstColumn="1" w:lastColumn="0" w:noHBand="0" w:noVBand="1"/>
      </w:tblPr>
      <w:tblGrid>
        <w:gridCol w:w="1560"/>
        <w:gridCol w:w="1950"/>
        <w:gridCol w:w="1985"/>
      </w:tblGrid>
      <w:tr w:rsidR="00BD2424" w:rsidRPr="00BD2424" w:rsidTr="00B6603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bottom w:val="single" w:sz="4" w:space="0" w:color="auto"/>
            </w:tcBorders>
            <w:noWrap/>
            <w:hideMark/>
          </w:tcPr>
          <w:p w:rsidR="00BD2424" w:rsidRPr="00BD2424" w:rsidRDefault="00BD2424" w:rsidP="00DB4A47">
            <w:pPr>
              <w:spacing w:before="60" w:after="60" w:line="240" w:lineRule="auto"/>
              <w:rPr>
                <w:rFonts w:ascii="Times New Roman" w:hAnsi="Times New Roman" w:cs="Times New Roman"/>
                <w:sz w:val="20"/>
                <w:szCs w:val="20"/>
              </w:rPr>
            </w:pPr>
            <w:r w:rsidRPr="00BD2424">
              <w:rPr>
                <w:rFonts w:ascii="Times New Roman" w:hAnsi="Times New Roman" w:cs="Times New Roman"/>
                <w:sz w:val="20"/>
                <w:szCs w:val="20"/>
              </w:rPr>
              <w:t>Sampling Well</w:t>
            </w:r>
          </w:p>
        </w:tc>
        <w:tc>
          <w:tcPr>
            <w:tcW w:w="1950" w:type="dxa"/>
            <w:tcBorders>
              <w:top w:val="single" w:sz="4" w:space="0" w:color="7F7F7F" w:themeColor="text1" w:themeTint="80"/>
              <w:bottom w:val="single" w:sz="4" w:space="0" w:color="auto"/>
            </w:tcBorders>
            <w:noWrap/>
            <w:hideMark/>
          </w:tcPr>
          <w:p w:rsidR="00BD2424" w:rsidRPr="00BD2424" w:rsidRDefault="00BD2424" w:rsidP="00DB4A47">
            <w:pPr>
              <w:spacing w:before="60" w:after="60" w:line="240" w:lineRule="auto"/>
              <w:ind w:firstLine="7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Latitude</w:t>
            </w:r>
          </w:p>
        </w:tc>
        <w:tc>
          <w:tcPr>
            <w:tcW w:w="1985" w:type="dxa"/>
            <w:tcBorders>
              <w:top w:val="single" w:sz="4" w:space="0" w:color="7F7F7F" w:themeColor="text1" w:themeTint="80"/>
              <w:bottom w:val="single" w:sz="4" w:space="0" w:color="auto"/>
            </w:tcBorders>
            <w:noWrap/>
            <w:hideMark/>
          </w:tcPr>
          <w:p w:rsidR="00BD2424" w:rsidRPr="00BD2424" w:rsidRDefault="00BD2424" w:rsidP="00DB4A47">
            <w:pPr>
              <w:spacing w:before="60" w:after="60" w:line="240" w:lineRule="auto"/>
              <w:ind w:firstLine="7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Longitude</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B1</w:t>
            </w:r>
          </w:p>
        </w:tc>
        <w:tc>
          <w:tcPr>
            <w:tcW w:w="1950" w:type="dxa"/>
            <w:tcBorders>
              <w:top w:val="single" w:sz="4" w:space="0" w:color="auto"/>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5.8339°</w:t>
            </w:r>
          </w:p>
        </w:tc>
        <w:tc>
          <w:tcPr>
            <w:tcW w:w="1985" w:type="dxa"/>
            <w:tcBorders>
              <w:top w:val="single" w:sz="4" w:space="0" w:color="auto"/>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102.5553°</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B2</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5.8241°</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102.5566°</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B3</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5.8216°</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102.5754°</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B4</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5.8202°</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102.5774°</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S1</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5.5951°</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102.8262°</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S2</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5.5605°</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102.8736°</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KT1</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5.4039°</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103.0992°</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KT2</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5.3686°</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103.1241°</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M1</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5.2435°</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103.1872°</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M2</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5.1825°</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103.2256°</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M3</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5.0135°</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103.3096°</w:t>
            </w:r>
          </w:p>
        </w:tc>
      </w:tr>
      <w:tr w:rsidR="00BD2424" w:rsidRPr="00BD2424" w:rsidTr="00B6603D">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noWrap/>
            <w:hideMark/>
          </w:tcPr>
          <w:p w:rsidR="00BD2424" w:rsidRPr="00BD2424" w:rsidRDefault="00BD2424" w:rsidP="00DB4A47">
            <w:pPr>
              <w:spacing w:before="60" w:after="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D1</w:t>
            </w:r>
          </w:p>
        </w:tc>
        <w:tc>
          <w:tcPr>
            <w:tcW w:w="1950"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4.6387°</w:t>
            </w:r>
          </w:p>
        </w:tc>
        <w:tc>
          <w:tcPr>
            <w:tcW w:w="1985" w:type="dxa"/>
            <w:tcBorders>
              <w:top w:val="nil"/>
              <w:bottom w:val="nil"/>
            </w:tcBorders>
            <w:noWrap/>
            <w:hideMark/>
          </w:tcPr>
          <w:p w:rsidR="00BD2424" w:rsidRPr="00BD2424" w:rsidRDefault="00BD2424" w:rsidP="00DB4A47">
            <w:pPr>
              <w:spacing w:before="60" w:after="0" w:line="240" w:lineRule="auto"/>
              <w:ind w:firstLine="70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103.4383°</w:t>
            </w:r>
          </w:p>
        </w:tc>
      </w:tr>
      <w:tr w:rsidR="00BD2424" w:rsidRPr="00BD2424" w:rsidTr="00B660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noWrap/>
            <w:hideMark/>
          </w:tcPr>
          <w:p w:rsidR="00BD2424" w:rsidRPr="00BD2424" w:rsidRDefault="00BD2424" w:rsidP="00DB4A47">
            <w:pPr>
              <w:spacing w:before="60" w:after="60" w:line="240" w:lineRule="auto"/>
              <w:rPr>
                <w:rFonts w:ascii="Times New Roman" w:hAnsi="Times New Roman" w:cs="Times New Roman"/>
                <w:b w:val="0"/>
                <w:sz w:val="20"/>
                <w:szCs w:val="20"/>
              </w:rPr>
            </w:pPr>
            <w:r w:rsidRPr="00BD2424">
              <w:rPr>
                <w:rFonts w:ascii="Times New Roman" w:hAnsi="Times New Roman" w:cs="Times New Roman"/>
                <w:b w:val="0"/>
                <w:sz w:val="20"/>
                <w:szCs w:val="20"/>
              </w:rPr>
              <w:t>K1</w:t>
            </w:r>
          </w:p>
        </w:tc>
        <w:tc>
          <w:tcPr>
            <w:tcW w:w="1950" w:type="dxa"/>
            <w:tcBorders>
              <w:top w:val="nil"/>
              <w:bottom w:val="single" w:sz="4" w:space="0" w:color="auto"/>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4.3361°</w:t>
            </w:r>
          </w:p>
        </w:tc>
        <w:tc>
          <w:tcPr>
            <w:tcW w:w="1985" w:type="dxa"/>
            <w:tcBorders>
              <w:top w:val="nil"/>
              <w:bottom w:val="single" w:sz="4" w:space="0" w:color="auto"/>
            </w:tcBorders>
            <w:noWrap/>
            <w:hideMark/>
          </w:tcPr>
          <w:p w:rsidR="00BD2424" w:rsidRPr="00BD2424" w:rsidRDefault="00BD2424" w:rsidP="00DB4A47">
            <w:pPr>
              <w:spacing w:before="60" w:after="0" w:line="240" w:lineRule="auto"/>
              <w:ind w:firstLine="70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2424">
              <w:rPr>
                <w:rFonts w:ascii="Times New Roman" w:hAnsi="Times New Roman" w:cs="Times New Roman"/>
                <w:sz w:val="20"/>
                <w:szCs w:val="20"/>
              </w:rPr>
              <w:t>103.4858°</w:t>
            </w:r>
          </w:p>
        </w:tc>
      </w:tr>
    </w:tbl>
    <w:p w:rsidR="00BD2424" w:rsidRPr="00BD2424" w:rsidRDefault="00BD2424" w:rsidP="00BD2424">
      <w:pPr>
        <w:spacing w:after="0" w:line="240" w:lineRule="auto"/>
        <w:jc w:val="both"/>
        <w:rPr>
          <w:rFonts w:ascii="Times New Roman" w:hAnsi="Times New Roman"/>
          <w:sz w:val="20"/>
          <w:szCs w:val="20"/>
        </w:rPr>
      </w:pPr>
    </w:p>
    <w:p w:rsidR="00BD2424" w:rsidRPr="00BD2424" w:rsidRDefault="00BD2424" w:rsidP="00BD2424">
      <w:pPr>
        <w:spacing w:after="0" w:line="240" w:lineRule="auto"/>
        <w:jc w:val="both"/>
        <w:rPr>
          <w:rFonts w:ascii="Times New Roman" w:hAnsi="Times New Roman"/>
          <w:b/>
          <w:sz w:val="20"/>
          <w:szCs w:val="20"/>
        </w:rPr>
      </w:pPr>
    </w:p>
    <w:p w:rsidR="00BD2424" w:rsidRPr="00BD2424" w:rsidRDefault="00BD2424" w:rsidP="00BD2424">
      <w:pPr>
        <w:spacing w:after="0" w:line="240" w:lineRule="auto"/>
        <w:jc w:val="both"/>
        <w:rPr>
          <w:rFonts w:ascii="Times New Roman" w:hAnsi="Times New Roman"/>
          <w:b/>
          <w:sz w:val="20"/>
          <w:szCs w:val="20"/>
        </w:rPr>
      </w:pPr>
      <w:r w:rsidRPr="00BD2424">
        <w:rPr>
          <w:rFonts w:ascii="Times New Roman" w:hAnsi="Times New Roman"/>
          <w:b/>
          <w:sz w:val="20"/>
          <w:szCs w:val="20"/>
        </w:rPr>
        <w:t>Principal component analysis (PCA)</w:t>
      </w:r>
    </w:p>
    <w:p w:rsidR="00BD2424" w:rsidRPr="00BD2424" w:rsidRDefault="00BD2424" w:rsidP="00BD2424">
      <w:pPr>
        <w:spacing w:after="0" w:line="240" w:lineRule="auto"/>
        <w:jc w:val="both"/>
        <w:rPr>
          <w:rFonts w:ascii="Times New Roman" w:hAnsi="Times New Roman"/>
          <w:sz w:val="20"/>
          <w:szCs w:val="20"/>
        </w:rPr>
      </w:pPr>
      <w:r w:rsidRPr="00BD2424">
        <w:rPr>
          <w:rFonts w:ascii="Times New Roman" w:hAnsi="Times New Roman"/>
          <w:sz w:val="20"/>
          <w:szCs w:val="20"/>
        </w:rPr>
        <w:t xml:space="preserve">PCA identify the principle components (PCs) of data sets by transforming the original variables into new variables [19 – 23]. The input data matric (variables x cases) used for this method was [7 x 52]. PCs with eigenvalues more than 1.0 computed from PCA process is considered as significant PCs. These PCs were then rotated and the count of PCs was used as rotation factor in varimax normalization process. Two significant varifactors (VFs) of eigenvalues more than 1.0 explaining 67.44% of the total variance of water quality data set were yielded [24]. Each VF contains a list of factor loadings that explains the major sources of groundwater pollutant. </w:t>
      </w:r>
    </w:p>
    <w:p w:rsidR="00BD2424" w:rsidRPr="00BD2424" w:rsidRDefault="00BD2424" w:rsidP="00BD2424">
      <w:pPr>
        <w:spacing w:after="0" w:line="240" w:lineRule="auto"/>
        <w:jc w:val="both"/>
        <w:rPr>
          <w:rFonts w:ascii="Times New Roman" w:hAnsi="Times New Roman"/>
          <w:sz w:val="20"/>
          <w:szCs w:val="20"/>
        </w:rPr>
      </w:pPr>
    </w:p>
    <w:p w:rsidR="00BD2424" w:rsidRPr="00BD2424" w:rsidRDefault="00BD2424" w:rsidP="00BD2424">
      <w:pPr>
        <w:spacing w:after="0" w:line="240" w:lineRule="auto"/>
        <w:jc w:val="both"/>
        <w:rPr>
          <w:rFonts w:ascii="Times New Roman" w:hAnsi="Times New Roman"/>
          <w:b/>
          <w:sz w:val="20"/>
          <w:szCs w:val="20"/>
        </w:rPr>
      </w:pPr>
      <w:r w:rsidRPr="00BD2424">
        <w:rPr>
          <w:rFonts w:ascii="Times New Roman" w:hAnsi="Times New Roman"/>
          <w:b/>
          <w:sz w:val="20"/>
          <w:szCs w:val="20"/>
        </w:rPr>
        <w:t>Cluster analysis (CA)</w:t>
      </w:r>
    </w:p>
    <w:p w:rsidR="00BD2424" w:rsidRPr="00BD2424" w:rsidRDefault="00BD2424" w:rsidP="00BD2424">
      <w:pPr>
        <w:spacing w:after="0" w:line="240" w:lineRule="auto"/>
        <w:jc w:val="both"/>
        <w:rPr>
          <w:rFonts w:ascii="Times New Roman" w:hAnsi="Times New Roman"/>
          <w:sz w:val="20"/>
          <w:szCs w:val="20"/>
        </w:rPr>
      </w:pPr>
      <w:r w:rsidRPr="00BD2424">
        <w:rPr>
          <w:rFonts w:ascii="Times New Roman" w:hAnsi="Times New Roman"/>
          <w:sz w:val="20"/>
          <w:szCs w:val="20"/>
        </w:rPr>
        <w:t xml:space="preserve">Cluster analysis is technique for data classification based on their similarities or closeness [22, 23, 25]. It is done by performing hierarchical agglomerative cluster analysis (HACA) on selected parameters spatially or temporally. In this study, spatial cluster analysis is applied onto selected parameters to group the sampling wells into a few clusters. Sampling wells that grouped as a cluster are homogenous to each other meanwhile, sampling wells between clusters were heterogeneous. </w:t>
      </w:r>
    </w:p>
    <w:p w:rsidR="006768E9" w:rsidRPr="00F447A7" w:rsidRDefault="006768E9" w:rsidP="00BD242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B4A47" w:rsidRPr="00DB4A47" w:rsidRDefault="00DB4A47" w:rsidP="00DB4A47">
      <w:pPr>
        <w:spacing w:after="0" w:line="240" w:lineRule="auto"/>
        <w:jc w:val="both"/>
        <w:rPr>
          <w:rFonts w:ascii="Times New Roman" w:hAnsi="Times New Roman"/>
          <w:b/>
          <w:sz w:val="20"/>
          <w:szCs w:val="20"/>
        </w:rPr>
      </w:pPr>
      <w:r w:rsidRPr="00DB4A47">
        <w:rPr>
          <w:rFonts w:ascii="Times New Roman" w:hAnsi="Times New Roman"/>
          <w:b/>
          <w:sz w:val="20"/>
          <w:szCs w:val="20"/>
        </w:rPr>
        <w:t>Identification of source of pollutant</w:t>
      </w:r>
    </w:p>
    <w:p w:rsid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 xml:space="preserve">Corresponding VFs, loadings and variance resulted from PCA are presented in Table 2. Bolded values in Table 2 indicated the strong and moderate factor loadings with absolute loading values of &gt;0.75 and 0.75 – 0.50, respectively. These factor loadings were considered as important factors that influence water quality [26]. The un-bolded values represent the weak factor loadings with absolute loading values of 0.50 – 0.30 and have minor contribution for this water quality study. </w:t>
      </w:r>
    </w:p>
    <w:p w:rsidR="00DB4A47" w:rsidRPr="00DB4A47" w:rsidRDefault="00DB4A47" w:rsidP="00DB4A47">
      <w:pPr>
        <w:spacing w:after="0" w:line="240" w:lineRule="auto"/>
        <w:jc w:val="both"/>
        <w:rPr>
          <w:rFonts w:ascii="Times New Roman" w:hAnsi="Times New Roman"/>
          <w:sz w:val="20"/>
          <w:szCs w:val="20"/>
        </w:rPr>
      </w:pPr>
    </w:p>
    <w:p w:rsid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VF1, explaining 48.66% of total variance, has strong positive loadings on EC, TDS and salinity. This composite factor represents the saltwater intrusion into coastal aquifer. These factors combination proposed that the dissolved solid engaged in PC1 was dissolved salts supplied by high salt contents of seawaters through saltwater intrusion process. Thus, it can be emphasized that groundwater samples from study area are highly susceptible to saltwater intrusion as it is located near to coastline.</w:t>
      </w:r>
    </w:p>
    <w:p w:rsidR="00DB4A47" w:rsidRDefault="00DB4A47" w:rsidP="00DB4A47">
      <w:pPr>
        <w:spacing w:after="0" w:line="240" w:lineRule="auto"/>
        <w:jc w:val="both"/>
        <w:rPr>
          <w:rFonts w:ascii="Times New Roman" w:hAnsi="Times New Roman"/>
          <w:sz w:val="20"/>
          <w:szCs w:val="20"/>
        </w:rPr>
      </w:pPr>
    </w:p>
    <w:p w:rsidR="00DB4A47" w:rsidRDefault="00DB4A47" w:rsidP="00DB4A47">
      <w:pPr>
        <w:spacing w:after="0" w:line="240" w:lineRule="auto"/>
        <w:jc w:val="both"/>
        <w:rPr>
          <w:rFonts w:ascii="Times New Roman" w:hAnsi="Times New Roman"/>
          <w:sz w:val="20"/>
          <w:szCs w:val="20"/>
        </w:rPr>
      </w:pPr>
    </w:p>
    <w:p w:rsidR="00DB4A47" w:rsidRPr="00DB4A47" w:rsidRDefault="00DB4A47" w:rsidP="00DB4A47">
      <w:pPr>
        <w:spacing w:after="0" w:line="240" w:lineRule="auto"/>
        <w:jc w:val="both"/>
        <w:rPr>
          <w:rFonts w:ascii="Times New Roman" w:hAnsi="Times New Roman"/>
          <w:sz w:val="20"/>
          <w:szCs w:val="20"/>
        </w:rPr>
      </w:pPr>
    </w:p>
    <w:p w:rsidR="00DB4A47" w:rsidRPr="00DB4A47" w:rsidRDefault="00DB4A47" w:rsidP="00DB4A47">
      <w:pPr>
        <w:autoSpaceDE w:val="0"/>
        <w:autoSpaceDN w:val="0"/>
        <w:adjustRightInd w:val="0"/>
        <w:spacing w:after="120" w:line="240" w:lineRule="auto"/>
        <w:ind w:left="706" w:hanging="706"/>
        <w:jc w:val="center"/>
        <w:rPr>
          <w:rFonts w:ascii="Times New Roman" w:hAnsi="Times New Roman"/>
          <w:sz w:val="20"/>
          <w:szCs w:val="20"/>
        </w:rPr>
      </w:pPr>
      <w:r w:rsidRPr="00DB4A47">
        <w:rPr>
          <w:rFonts w:ascii="Times New Roman" w:hAnsi="Times New Roman"/>
          <w:sz w:val="20"/>
          <w:szCs w:val="20"/>
        </w:rPr>
        <w:lastRenderedPageBreak/>
        <w:t xml:space="preserve">Table 2. </w:t>
      </w:r>
      <w:r>
        <w:rPr>
          <w:rFonts w:ascii="Times New Roman" w:hAnsi="Times New Roman"/>
          <w:sz w:val="20"/>
          <w:szCs w:val="20"/>
        </w:rPr>
        <w:t xml:space="preserve"> </w:t>
      </w:r>
      <w:r w:rsidRPr="00DB4A47">
        <w:rPr>
          <w:rFonts w:ascii="Times New Roman" w:hAnsi="Times New Roman"/>
          <w:sz w:val="20"/>
          <w:szCs w:val="20"/>
        </w:rPr>
        <w:t>Factor loadings after Varimax rotation from PCA of sampling wells.</w:t>
      </w:r>
    </w:p>
    <w:tbl>
      <w:tblPr>
        <w:tblStyle w:val="ListTable6Colorful1"/>
        <w:tblW w:w="4268" w:type="dxa"/>
        <w:jc w:val="center"/>
        <w:tblLook w:val="04A0" w:firstRow="1" w:lastRow="0" w:firstColumn="1" w:lastColumn="0" w:noHBand="0" w:noVBand="1"/>
      </w:tblPr>
      <w:tblGrid>
        <w:gridCol w:w="2151"/>
        <w:gridCol w:w="1015"/>
        <w:gridCol w:w="1102"/>
      </w:tblGrid>
      <w:tr w:rsidR="00DB4A47" w:rsidRPr="00DB4A47" w:rsidTr="00B6603D">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60" w:line="240" w:lineRule="auto"/>
              <w:rPr>
                <w:rFonts w:ascii="Times New Roman" w:hAnsi="Times New Roman"/>
                <w:color w:val="auto"/>
                <w:sz w:val="20"/>
                <w:szCs w:val="20"/>
              </w:rPr>
            </w:pPr>
            <w:r w:rsidRPr="00DB4A47">
              <w:rPr>
                <w:rFonts w:ascii="Times New Roman" w:hAnsi="Times New Roman"/>
                <w:color w:val="auto"/>
                <w:sz w:val="20"/>
                <w:szCs w:val="20"/>
              </w:rPr>
              <w:t>Variables</w:t>
            </w:r>
          </w:p>
        </w:tc>
        <w:tc>
          <w:tcPr>
            <w:tcW w:w="1015" w:type="dxa"/>
            <w:shd w:val="clear" w:color="auto" w:fill="auto"/>
            <w:noWrap/>
            <w:hideMark/>
          </w:tcPr>
          <w:p w:rsidR="00DB4A47" w:rsidRPr="00DB4A47" w:rsidRDefault="00DB4A47" w:rsidP="00DB4A4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VF1</w:t>
            </w:r>
          </w:p>
        </w:tc>
        <w:tc>
          <w:tcPr>
            <w:tcW w:w="1102" w:type="dxa"/>
            <w:shd w:val="clear" w:color="auto" w:fill="auto"/>
            <w:noWrap/>
            <w:hideMark/>
          </w:tcPr>
          <w:p w:rsidR="00DB4A47" w:rsidRPr="00DB4A47" w:rsidRDefault="00DB4A47" w:rsidP="00DB4A4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VF2</w:t>
            </w:r>
          </w:p>
        </w:tc>
      </w:tr>
      <w:tr w:rsidR="00DB4A47" w:rsidRPr="00DB4A47" w:rsidTr="00B6603D">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Turbidity (NTU)</w:t>
            </w:r>
          </w:p>
        </w:tc>
        <w:tc>
          <w:tcPr>
            <w:tcW w:w="1015"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-0.281</w:t>
            </w:r>
          </w:p>
        </w:tc>
        <w:tc>
          <w:tcPr>
            <w:tcW w:w="1102"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0.743</w:t>
            </w:r>
          </w:p>
        </w:tc>
      </w:tr>
      <w:tr w:rsidR="00DB4A47" w:rsidRPr="00DB4A47" w:rsidTr="00B6603D">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TSS</w:t>
            </w:r>
          </w:p>
        </w:tc>
        <w:tc>
          <w:tcPr>
            <w:tcW w:w="1015"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0.273</w:t>
            </w:r>
          </w:p>
        </w:tc>
        <w:tc>
          <w:tcPr>
            <w:tcW w:w="1102"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0.577</w:t>
            </w:r>
          </w:p>
        </w:tc>
      </w:tr>
      <w:tr w:rsidR="00DB4A47" w:rsidRPr="00DB4A47" w:rsidTr="00B6603D">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DO (mg/L)</w:t>
            </w:r>
          </w:p>
        </w:tc>
        <w:tc>
          <w:tcPr>
            <w:tcW w:w="1015"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-0.109</w:t>
            </w:r>
          </w:p>
        </w:tc>
        <w:tc>
          <w:tcPr>
            <w:tcW w:w="1102"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-0.598</w:t>
            </w:r>
          </w:p>
        </w:tc>
      </w:tr>
      <w:tr w:rsidR="00DB4A47" w:rsidRPr="00DB4A47" w:rsidTr="00B6603D">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EC (mS cm</w:t>
            </w:r>
            <w:r w:rsidRPr="00DB4A47">
              <w:rPr>
                <w:rFonts w:ascii="Times New Roman" w:hAnsi="Times New Roman"/>
                <w:b w:val="0"/>
                <w:color w:val="auto"/>
                <w:sz w:val="20"/>
                <w:szCs w:val="20"/>
                <w:vertAlign w:val="superscript"/>
              </w:rPr>
              <w:t>-1</w:t>
            </w:r>
            <w:r w:rsidRPr="00DB4A47">
              <w:rPr>
                <w:rFonts w:ascii="Times New Roman" w:hAnsi="Times New Roman"/>
                <w:b w:val="0"/>
                <w:color w:val="auto"/>
                <w:sz w:val="20"/>
                <w:szCs w:val="20"/>
              </w:rPr>
              <w:t>)</w:t>
            </w:r>
          </w:p>
        </w:tc>
        <w:tc>
          <w:tcPr>
            <w:tcW w:w="1015"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0.956</w:t>
            </w:r>
          </w:p>
        </w:tc>
        <w:tc>
          <w:tcPr>
            <w:tcW w:w="1102"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-0.035</w:t>
            </w:r>
          </w:p>
        </w:tc>
      </w:tr>
      <w:tr w:rsidR="00DB4A47" w:rsidRPr="00DB4A47" w:rsidTr="00B6603D">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TDS (mg/L)</w:t>
            </w:r>
          </w:p>
        </w:tc>
        <w:tc>
          <w:tcPr>
            <w:tcW w:w="1015"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0.975</w:t>
            </w:r>
          </w:p>
        </w:tc>
        <w:tc>
          <w:tcPr>
            <w:tcW w:w="1102"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0.0004</w:t>
            </w:r>
          </w:p>
        </w:tc>
      </w:tr>
      <w:tr w:rsidR="00DB4A47" w:rsidRPr="00DB4A47" w:rsidTr="00B6603D">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Salinity (ppt)</w:t>
            </w:r>
          </w:p>
        </w:tc>
        <w:tc>
          <w:tcPr>
            <w:tcW w:w="1015"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DB4A47">
              <w:rPr>
                <w:rFonts w:ascii="Times New Roman" w:hAnsi="Times New Roman"/>
                <w:b/>
                <w:color w:val="auto"/>
                <w:sz w:val="20"/>
                <w:szCs w:val="20"/>
              </w:rPr>
              <w:t>0.976</w:t>
            </w:r>
          </w:p>
        </w:tc>
        <w:tc>
          <w:tcPr>
            <w:tcW w:w="1102"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-0.002</w:t>
            </w:r>
          </w:p>
        </w:tc>
      </w:tr>
      <w:tr w:rsidR="00DB4A47" w:rsidRPr="00DB4A47" w:rsidTr="00B6603D">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pH</w:t>
            </w:r>
          </w:p>
        </w:tc>
        <w:tc>
          <w:tcPr>
            <w:tcW w:w="1015"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0.649</w:t>
            </w:r>
          </w:p>
        </w:tc>
        <w:tc>
          <w:tcPr>
            <w:tcW w:w="1102"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-0.259</w:t>
            </w:r>
          </w:p>
        </w:tc>
      </w:tr>
      <w:tr w:rsidR="00DB4A47" w:rsidRPr="00DB4A47" w:rsidTr="00B6603D">
        <w:trPr>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Eigenvalue</w:t>
            </w:r>
          </w:p>
        </w:tc>
        <w:tc>
          <w:tcPr>
            <w:tcW w:w="1015"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3.424</w:t>
            </w:r>
          </w:p>
        </w:tc>
        <w:tc>
          <w:tcPr>
            <w:tcW w:w="1102"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1.297</w:t>
            </w:r>
          </w:p>
        </w:tc>
      </w:tr>
      <w:tr w:rsidR="00DB4A47" w:rsidRPr="00DB4A47" w:rsidTr="00B6603D">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0" w:line="240" w:lineRule="auto"/>
              <w:rPr>
                <w:rFonts w:ascii="Times New Roman" w:hAnsi="Times New Roman"/>
                <w:b w:val="0"/>
                <w:color w:val="auto"/>
                <w:sz w:val="20"/>
                <w:szCs w:val="20"/>
              </w:rPr>
            </w:pPr>
            <w:r w:rsidRPr="00DB4A47">
              <w:rPr>
                <w:rFonts w:ascii="Times New Roman" w:hAnsi="Times New Roman"/>
                <w:b w:val="0"/>
                <w:color w:val="auto"/>
                <w:sz w:val="20"/>
                <w:szCs w:val="20"/>
              </w:rPr>
              <w:t>% Total variance</w:t>
            </w:r>
          </w:p>
        </w:tc>
        <w:tc>
          <w:tcPr>
            <w:tcW w:w="1015"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48.66</w:t>
            </w:r>
          </w:p>
        </w:tc>
        <w:tc>
          <w:tcPr>
            <w:tcW w:w="1102" w:type="dxa"/>
            <w:shd w:val="clear" w:color="auto" w:fill="auto"/>
            <w:noWrap/>
            <w:hideMark/>
          </w:tcPr>
          <w:p w:rsidR="00DB4A47" w:rsidRPr="00DB4A47" w:rsidRDefault="00DB4A47" w:rsidP="00DB4A4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18.78</w:t>
            </w:r>
          </w:p>
        </w:tc>
      </w:tr>
      <w:tr w:rsidR="00DB4A47" w:rsidRPr="00DB4A47" w:rsidTr="00B6603D">
        <w:trPr>
          <w:trHeight w:val="305"/>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noWrap/>
            <w:hideMark/>
          </w:tcPr>
          <w:p w:rsidR="00DB4A47" w:rsidRPr="00DB4A47" w:rsidRDefault="00DB4A47" w:rsidP="00DB4A47">
            <w:pPr>
              <w:spacing w:before="60" w:after="60" w:line="240" w:lineRule="auto"/>
              <w:rPr>
                <w:rFonts w:ascii="Times New Roman" w:hAnsi="Times New Roman"/>
                <w:b w:val="0"/>
                <w:color w:val="auto"/>
                <w:sz w:val="20"/>
                <w:szCs w:val="20"/>
              </w:rPr>
            </w:pPr>
            <w:r w:rsidRPr="00DB4A47">
              <w:rPr>
                <w:rFonts w:ascii="Times New Roman" w:hAnsi="Times New Roman"/>
                <w:b w:val="0"/>
                <w:color w:val="auto"/>
                <w:sz w:val="20"/>
                <w:szCs w:val="20"/>
              </w:rPr>
              <w:t>Cumulative % variance</w:t>
            </w:r>
          </w:p>
        </w:tc>
        <w:tc>
          <w:tcPr>
            <w:tcW w:w="1015"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48.66</w:t>
            </w:r>
          </w:p>
        </w:tc>
        <w:tc>
          <w:tcPr>
            <w:tcW w:w="1102" w:type="dxa"/>
            <w:shd w:val="clear" w:color="auto" w:fill="auto"/>
            <w:noWrap/>
            <w:hideMark/>
          </w:tcPr>
          <w:p w:rsidR="00DB4A47" w:rsidRPr="00DB4A47" w:rsidRDefault="00DB4A47" w:rsidP="00DB4A4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DB4A47">
              <w:rPr>
                <w:rFonts w:ascii="Times New Roman" w:hAnsi="Times New Roman"/>
                <w:color w:val="auto"/>
                <w:sz w:val="20"/>
                <w:szCs w:val="20"/>
              </w:rPr>
              <w:t>67.44</w:t>
            </w:r>
          </w:p>
        </w:tc>
      </w:tr>
    </w:tbl>
    <w:p w:rsidR="00DB4A47" w:rsidRPr="00DB4A47" w:rsidRDefault="00DB4A47" w:rsidP="00DB4A47">
      <w:pPr>
        <w:spacing w:before="60" w:after="0" w:line="240" w:lineRule="auto"/>
        <w:jc w:val="both"/>
        <w:rPr>
          <w:rFonts w:ascii="Times New Roman" w:hAnsi="Times New Roman"/>
          <w:sz w:val="18"/>
          <w:szCs w:val="18"/>
        </w:rPr>
      </w:pPr>
      <w:r w:rsidRPr="00DB4A47">
        <w:rPr>
          <w:rFonts w:ascii="Times New Roman" w:hAnsi="Times New Roman"/>
          <w:sz w:val="18"/>
          <w:szCs w:val="18"/>
        </w:rPr>
        <w:t xml:space="preserve">                                                    </w:t>
      </w:r>
      <w:r>
        <w:rPr>
          <w:rFonts w:ascii="Times New Roman" w:hAnsi="Times New Roman"/>
          <w:sz w:val="18"/>
          <w:szCs w:val="18"/>
        </w:rPr>
        <w:t xml:space="preserve">       </w:t>
      </w:r>
      <w:r w:rsidRPr="00DB4A47">
        <w:rPr>
          <w:rFonts w:ascii="Times New Roman" w:hAnsi="Times New Roman"/>
          <w:sz w:val="18"/>
          <w:szCs w:val="18"/>
        </w:rPr>
        <w:t>Values in bold indicate strong and moderate loadings</w:t>
      </w:r>
    </w:p>
    <w:p w:rsidR="00DB4A47" w:rsidRDefault="00DB4A47" w:rsidP="00DB4A47">
      <w:pPr>
        <w:spacing w:after="0" w:line="240" w:lineRule="auto"/>
        <w:jc w:val="both"/>
        <w:rPr>
          <w:rFonts w:ascii="Times New Roman" w:hAnsi="Times New Roman"/>
          <w:sz w:val="20"/>
          <w:szCs w:val="20"/>
        </w:rPr>
      </w:pPr>
    </w:p>
    <w:p w:rsidR="00DB4A47" w:rsidRPr="00DB4A47" w:rsidRDefault="00DB4A47" w:rsidP="00DB4A47">
      <w:pPr>
        <w:spacing w:after="0" w:line="240" w:lineRule="auto"/>
        <w:jc w:val="both"/>
        <w:rPr>
          <w:rFonts w:ascii="Times New Roman" w:hAnsi="Times New Roman"/>
          <w:sz w:val="20"/>
          <w:szCs w:val="20"/>
        </w:rPr>
      </w:pPr>
    </w:p>
    <w:p w:rsidR="00DB4A47" w:rsidRP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VF2, explaining 18.78% of total variance, has positive moderate loading on turbidity, positive moderate loading on TSS and negative moderate loading on DO.  This composite factor is proposed to represent the anthropogenic pollution such as waste dumping into wells. The small suspended solid originated from the waste act like a barrier for the direct light entering the wells. It would be able to reach the well base only by scattering through the small spaces in between the particles. The measure of amount of light scattered of these particles is known as turbidity. This explains the association of total suspended solid with turbidity. If the amount of total suspended solid is high, the turbidity would be high as well. In contrast, increasing amount of turbidity and total suspended solid has inverse relationship with dissolved oxygen. The oxygen is suggested to be used up by microorganism for decay process [27].</w:t>
      </w:r>
    </w:p>
    <w:p w:rsidR="00DB4A47" w:rsidRPr="00DB4A47" w:rsidRDefault="00DB4A47" w:rsidP="00DB4A47">
      <w:pPr>
        <w:spacing w:after="0" w:line="240" w:lineRule="auto"/>
        <w:jc w:val="both"/>
        <w:rPr>
          <w:rFonts w:ascii="Times New Roman" w:hAnsi="Times New Roman"/>
          <w:sz w:val="20"/>
          <w:szCs w:val="20"/>
        </w:rPr>
      </w:pPr>
    </w:p>
    <w:p w:rsidR="00DB4A47" w:rsidRPr="00DB4A47" w:rsidRDefault="00DB4A47" w:rsidP="00DB4A47">
      <w:pPr>
        <w:spacing w:after="0" w:line="240" w:lineRule="auto"/>
        <w:jc w:val="both"/>
        <w:rPr>
          <w:rFonts w:ascii="Times New Roman" w:hAnsi="Times New Roman"/>
          <w:b/>
          <w:sz w:val="20"/>
          <w:szCs w:val="20"/>
        </w:rPr>
      </w:pPr>
      <w:r w:rsidRPr="00DB4A47">
        <w:rPr>
          <w:rFonts w:ascii="Times New Roman" w:hAnsi="Times New Roman"/>
          <w:b/>
          <w:sz w:val="20"/>
          <w:szCs w:val="20"/>
        </w:rPr>
        <w:t>Spatial clustering</w:t>
      </w:r>
    </w:p>
    <w:p w:rsidR="00DB4A47" w:rsidRP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A further analysis on saltwater intrusion which was identified from the VF1 composite factor is done by applying spatial clustering. Parameters included in VF1 composite factor are EC, TDS and salinity. The aim of this application is to cluster the sampling wells according to the range of EC, TDS and salinity readings. Results of this analysis revealed six main clusters. The results of cluster analysis of each parameter are shown in Figure</w:t>
      </w:r>
      <w:r>
        <w:rPr>
          <w:rFonts w:ascii="Times New Roman" w:hAnsi="Times New Roman"/>
          <w:sz w:val="20"/>
          <w:szCs w:val="20"/>
        </w:rPr>
        <w:t>s</w:t>
      </w:r>
      <w:r w:rsidRPr="00DB4A47">
        <w:rPr>
          <w:rFonts w:ascii="Times New Roman" w:hAnsi="Times New Roman"/>
          <w:sz w:val="20"/>
          <w:szCs w:val="20"/>
        </w:rPr>
        <w:t xml:space="preserve"> 2, 3 and 4, respectively. Interestingly, all parameters have classified the sampling wells into seven statistically significant clusters. The count and the sampling wells listed under each cluster were also similar. As stated before, EC, TDS and salinity were related to each other. Therefore, it could explain why sampling wells that listed below each cluster is the same for all parameters.</w:t>
      </w:r>
    </w:p>
    <w:p w:rsidR="00DB4A47" w:rsidRDefault="00DB4A47" w:rsidP="00DB4A47">
      <w:pPr>
        <w:spacing w:after="0" w:line="240" w:lineRule="auto"/>
        <w:jc w:val="both"/>
        <w:rPr>
          <w:rFonts w:ascii="Times New Roman" w:hAnsi="Times New Roman"/>
          <w:sz w:val="20"/>
          <w:szCs w:val="20"/>
        </w:rPr>
      </w:pPr>
    </w:p>
    <w:p w:rsidR="00DB4A47" w:rsidRP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 xml:space="preserve">The result of EC, TDS and salinity cluster analysis is suggested to represent the intensity of saltwater intrusion and is shown as a summary in Figure 5. Overall, CA revealed that sampling well B3 is intruded by extremely high (EH) saltwater intrusion compared to other stations followed by very highly (VH) intruded well B4, highly (H) intruded well KT1, moderately (M) intruded well B1, low or less (L) intruded well M3, and very low (VL) intruded well S2, KT2, M1 and D1. EH cluster is characterised by extremely high EC (3965.25 μS/cm), extremely high TDS (2384.5 mg/L) and extremely high salinity (1.89 ppt) compared to other clusters. VH cluster has very high EC (1278.6 μS/cm), very high TDS (1161.88 mg/L) and very high salinity (0.905 ppt). </w:t>
      </w:r>
    </w:p>
    <w:p w:rsidR="00DB4A47" w:rsidRDefault="00DB4A47" w:rsidP="00DB4A47">
      <w:pPr>
        <w:spacing w:after="0" w:line="240" w:lineRule="auto"/>
        <w:jc w:val="both"/>
        <w:rPr>
          <w:rFonts w:ascii="Times New Roman" w:hAnsi="Times New Roman"/>
          <w:sz w:val="20"/>
          <w:szCs w:val="20"/>
        </w:rPr>
      </w:pPr>
    </w:p>
    <w:p w:rsidR="00DB4A47" w:rsidRDefault="00DB4A47" w:rsidP="00DB4A47">
      <w:pPr>
        <w:spacing w:after="0" w:line="240" w:lineRule="auto"/>
        <w:jc w:val="both"/>
        <w:rPr>
          <w:rFonts w:ascii="Times New Roman" w:hAnsi="Times New Roman"/>
          <w:sz w:val="20"/>
          <w:szCs w:val="20"/>
        </w:rPr>
      </w:pPr>
      <w:r w:rsidRPr="00DB4A47">
        <w:rPr>
          <w:rFonts w:ascii="Times New Roman" w:hAnsi="Times New Roman"/>
          <w:sz w:val="20"/>
          <w:szCs w:val="20"/>
        </w:rPr>
        <w:t xml:space="preserve">H cluster has high EC (1094.75 μS/cm), high TDS (608.05 mg/L) and high salinity (0.52 ppt). M cluster is characterised by moderate EC (556.25 μS/cm), moderate TDS (326.14 mg/L) and moderate salinity (0.24 ppt). L cluster has low EC (331.95 μS/cm), low TDS (175.52 mg/L) and low salinity (0.18 ppt). VL clusters has very low EC (246.9 – 321.68 μS/cm), very low TDS (147.89 – 194.01 mg/L) and very low salinity (0.10 – 0.14 ppt). On the other hand, the least or extremely low (EL) intruded sampling wells are B2, S1, M2, K1. This cluster has extremely </w:t>
      </w:r>
      <w:r w:rsidRPr="00DB4A47">
        <w:rPr>
          <w:rFonts w:ascii="Times New Roman" w:hAnsi="Times New Roman"/>
          <w:sz w:val="20"/>
          <w:szCs w:val="20"/>
        </w:rPr>
        <w:lastRenderedPageBreak/>
        <w:t>low EC (140.15 – 189.15 μS/cm), extremely low TDS (84.34-111.96 mg/L) and extremely low salinity (0.06 – 0.09 ppt).</w:t>
      </w:r>
    </w:p>
    <w:p w:rsidR="000842E2" w:rsidRDefault="000842E2" w:rsidP="00DB4A47">
      <w:pPr>
        <w:spacing w:after="0" w:line="240" w:lineRule="auto"/>
        <w:jc w:val="both"/>
        <w:rPr>
          <w:rFonts w:ascii="Times New Roman" w:hAnsi="Times New Roman"/>
          <w:sz w:val="20"/>
          <w:szCs w:val="20"/>
        </w:rPr>
      </w:pPr>
    </w:p>
    <w:p w:rsidR="001E550A" w:rsidRPr="00DB4A47" w:rsidRDefault="001E550A" w:rsidP="00DB4A47">
      <w:pPr>
        <w:spacing w:after="0" w:line="240" w:lineRule="auto"/>
        <w:jc w:val="both"/>
        <w:rPr>
          <w:rFonts w:ascii="Times New Roman" w:hAnsi="Times New Roman"/>
          <w:sz w:val="20"/>
          <w:szCs w:val="20"/>
        </w:rPr>
      </w:pPr>
    </w:p>
    <w:p w:rsidR="00DB4A47" w:rsidRDefault="00DB4A47" w:rsidP="00DB4A47">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670"/>
      </w:tblGrid>
      <w:tr w:rsidR="000842E2" w:rsidTr="001E550A">
        <w:trPr>
          <w:jc w:val="center"/>
        </w:trPr>
        <w:tc>
          <w:tcPr>
            <w:tcW w:w="4863" w:type="dxa"/>
            <w:vAlign w:val="center"/>
          </w:tcPr>
          <w:p w:rsidR="000842E2" w:rsidRDefault="000842E2" w:rsidP="000842E2">
            <w:pPr>
              <w:spacing w:after="0" w:line="240" w:lineRule="auto"/>
              <w:jc w:val="center"/>
              <w:rPr>
                <w:rFonts w:ascii="Times New Roman" w:hAnsi="Times New Roman"/>
                <w:sz w:val="20"/>
                <w:szCs w:val="20"/>
              </w:rPr>
            </w:pPr>
            <w:r w:rsidRPr="00DB4A47">
              <w:rPr>
                <w:rFonts w:ascii="Times New Roman" w:hAnsi="Times New Roman"/>
                <w:noProof/>
                <w:sz w:val="20"/>
                <w:szCs w:val="20"/>
                <w:lang w:bidi="ar-SA"/>
              </w:rPr>
              <w:drawing>
                <wp:inline distT="0" distB="0" distL="0" distR="0" wp14:anchorId="5282AD34" wp14:editId="7A3B74E3">
                  <wp:extent cx="2966085" cy="2145238"/>
                  <wp:effectExtent l="0" t="0" r="24765"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84" w:type="dxa"/>
            <w:vAlign w:val="center"/>
          </w:tcPr>
          <w:p w:rsidR="000842E2" w:rsidRDefault="000842E2" w:rsidP="000842E2">
            <w:pPr>
              <w:spacing w:after="0" w:line="240" w:lineRule="auto"/>
              <w:jc w:val="center"/>
              <w:rPr>
                <w:rFonts w:ascii="Times New Roman" w:hAnsi="Times New Roman"/>
                <w:sz w:val="20"/>
                <w:szCs w:val="20"/>
              </w:rPr>
            </w:pPr>
            <w:r w:rsidRPr="00DB4A47">
              <w:rPr>
                <w:rFonts w:ascii="Times New Roman" w:hAnsi="Times New Roman"/>
                <w:noProof/>
                <w:sz w:val="20"/>
                <w:szCs w:val="20"/>
                <w:lang w:bidi="ar-SA"/>
              </w:rPr>
              <w:drawing>
                <wp:inline distT="0" distB="0" distL="0" distR="0" wp14:anchorId="56000FDD" wp14:editId="5B6D8499">
                  <wp:extent cx="2847975" cy="21431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842E2" w:rsidTr="001E550A">
        <w:trPr>
          <w:jc w:val="center"/>
        </w:trPr>
        <w:tc>
          <w:tcPr>
            <w:tcW w:w="4863" w:type="dxa"/>
            <w:vAlign w:val="center"/>
          </w:tcPr>
          <w:p w:rsidR="000842E2" w:rsidRDefault="000842E2" w:rsidP="00F31246">
            <w:pPr>
              <w:tabs>
                <w:tab w:val="left" w:pos="4320"/>
              </w:tabs>
              <w:spacing w:after="0" w:line="240" w:lineRule="auto"/>
              <w:rPr>
                <w:rFonts w:ascii="Times New Roman" w:hAnsi="Times New Roman"/>
                <w:sz w:val="20"/>
                <w:szCs w:val="20"/>
              </w:rPr>
            </w:pPr>
            <w:r w:rsidRPr="00DB4A47">
              <w:rPr>
                <w:rFonts w:ascii="Times New Roman" w:hAnsi="Times New Roman"/>
                <w:sz w:val="20"/>
                <w:szCs w:val="20"/>
              </w:rPr>
              <w:t xml:space="preserve">Figure 2. </w:t>
            </w:r>
            <w:r w:rsidR="00F31246">
              <w:rPr>
                <w:rFonts w:ascii="Times New Roman" w:hAnsi="Times New Roman"/>
                <w:sz w:val="20"/>
                <w:szCs w:val="20"/>
              </w:rPr>
              <w:t xml:space="preserve"> </w:t>
            </w:r>
            <w:r w:rsidRPr="00DB4A47">
              <w:rPr>
                <w:rFonts w:ascii="Times New Roman" w:hAnsi="Times New Roman"/>
                <w:sz w:val="20"/>
                <w:szCs w:val="20"/>
              </w:rPr>
              <w:t>Dendrogram of spatial classification for EC of</w:t>
            </w:r>
          </w:p>
          <w:p w:rsidR="000842E2" w:rsidRDefault="00F31246" w:rsidP="00F31246">
            <w:pPr>
              <w:spacing w:after="0" w:line="240" w:lineRule="auto"/>
              <w:ind w:left="900" w:hanging="900"/>
              <w:rPr>
                <w:rFonts w:ascii="Times New Roman" w:hAnsi="Times New Roman"/>
                <w:sz w:val="20"/>
                <w:szCs w:val="20"/>
              </w:rPr>
            </w:pPr>
            <w:r>
              <w:rPr>
                <w:rFonts w:ascii="Times New Roman" w:hAnsi="Times New Roman"/>
                <w:sz w:val="20"/>
                <w:szCs w:val="20"/>
              </w:rPr>
              <w:t xml:space="preserve">                 </w:t>
            </w:r>
            <w:r w:rsidR="000842E2" w:rsidRPr="00DB4A47">
              <w:rPr>
                <w:rFonts w:ascii="Times New Roman" w:hAnsi="Times New Roman"/>
                <w:sz w:val="20"/>
                <w:szCs w:val="20"/>
              </w:rPr>
              <w:t>sampling wells along Terengganu coastline</w:t>
            </w:r>
          </w:p>
          <w:p w:rsidR="001E550A" w:rsidRDefault="001E550A" w:rsidP="001E550A">
            <w:pPr>
              <w:spacing w:after="0" w:line="240" w:lineRule="auto"/>
              <w:ind w:left="900" w:hanging="900"/>
              <w:jc w:val="center"/>
              <w:rPr>
                <w:rFonts w:ascii="Times New Roman" w:hAnsi="Times New Roman"/>
                <w:sz w:val="20"/>
                <w:szCs w:val="20"/>
              </w:rPr>
            </w:pPr>
          </w:p>
        </w:tc>
        <w:tc>
          <w:tcPr>
            <w:tcW w:w="4684" w:type="dxa"/>
            <w:vAlign w:val="center"/>
          </w:tcPr>
          <w:p w:rsidR="001E550A" w:rsidRDefault="001E550A" w:rsidP="001E550A">
            <w:pPr>
              <w:tabs>
                <w:tab w:val="left" w:pos="4320"/>
              </w:tabs>
              <w:spacing w:after="0" w:line="240" w:lineRule="auto"/>
              <w:jc w:val="both"/>
              <w:rPr>
                <w:rFonts w:ascii="Times New Roman" w:hAnsi="Times New Roman"/>
                <w:sz w:val="20"/>
                <w:szCs w:val="20"/>
              </w:rPr>
            </w:pPr>
          </w:p>
          <w:p w:rsidR="001E550A" w:rsidRDefault="001E550A" w:rsidP="001E550A">
            <w:pPr>
              <w:tabs>
                <w:tab w:val="left" w:pos="4320"/>
              </w:tabs>
              <w:spacing w:after="0" w:line="240" w:lineRule="auto"/>
              <w:jc w:val="both"/>
              <w:rPr>
                <w:rFonts w:ascii="Times New Roman" w:hAnsi="Times New Roman"/>
                <w:sz w:val="20"/>
                <w:szCs w:val="20"/>
              </w:rPr>
            </w:pPr>
          </w:p>
          <w:p w:rsidR="001E550A" w:rsidRDefault="001E550A" w:rsidP="00F31246">
            <w:pPr>
              <w:tabs>
                <w:tab w:val="left" w:pos="4320"/>
              </w:tabs>
              <w:spacing w:after="0" w:line="240" w:lineRule="auto"/>
              <w:ind w:left="807" w:hanging="807"/>
              <w:rPr>
                <w:rFonts w:ascii="Times New Roman" w:hAnsi="Times New Roman"/>
                <w:sz w:val="20"/>
                <w:szCs w:val="20"/>
              </w:rPr>
            </w:pPr>
            <w:r w:rsidRPr="00DB4A47">
              <w:rPr>
                <w:rFonts w:ascii="Times New Roman" w:hAnsi="Times New Roman"/>
                <w:sz w:val="20"/>
                <w:szCs w:val="20"/>
              </w:rPr>
              <w:t>Figure 3</w:t>
            </w:r>
            <w:r>
              <w:rPr>
                <w:rFonts w:ascii="Times New Roman" w:hAnsi="Times New Roman"/>
                <w:sz w:val="20"/>
                <w:szCs w:val="20"/>
              </w:rPr>
              <w:t xml:space="preserve">.  </w:t>
            </w:r>
            <w:r w:rsidRPr="00DB4A47">
              <w:rPr>
                <w:rFonts w:ascii="Times New Roman" w:hAnsi="Times New Roman"/>
                <w:sz w:val="20"/>
                <w:szCs w:val="20"/>
              </w:rPr>
              <w:t xml:space="preserve">Dendrogram of spatial classification for TDS </w:t>
            </w:r>
            <w:r w:rsidR="00F31246">
              <w:rPr>
                <w:rFonts w:ascii="Times New Roman" w:hAnsi="Times New Roman"/>
                <w:sz w:val="20"/>
                <w:szCs w:val="20"/>
              </w:rPr>
              <w:t xml:space="preserve">      </w:t>
            </w:r>
            <w:r w:rsidRPr="00DB4A47">
              <w:rPr>
                <w:rFonts w:ascii="Times New Roman" w:hAnsi="Times New Roman"/>
                <w:sz w:val="20"/>
                <w:szCs w:val="20"/>
              </w:rPr>
              <w:t>of sampling wells along Terengganu coastline</w:t>
            </w:r>
          </w:p>
          <w:p w:rsidR="001E550A" w:rsidRPr="00DB4A47" w:rsidRDefault="001E550A" w:rsidP="001E550A">
            <w:pPr>
              <w:spacing w:after="0" w:line="240" w:lineRule="auto"/>
              <w:jc w:val="both"/>
              <w:rPr>
                <w:rFonts w:ascii="Times New Roman" w:hAnsi="Times New Roman"/>
                <w:sz w:val="20"/>
                <w:szCs w:val="20"/>
              </w:rPr>
            </w:pPr>
          </w:p>
          <w:p w:rsidR="000842E2" w:rsidRDefault="000842E2" w:rsidP="00DB4A47">
            <w:pPr>
              <w:spacing w:after="0" w:line="240" w:lineRule="auto"/>
              <w:jc w:val="both"/>
              <w:rPr>
                <w:rFonts w:ascii="Times New Roman" w:hAnsi="Times New Roman"/>
                <w:sz w:val="20"/>
                <w:szCs w:val="20"/>
              </w:rPr>
            </w:pPr>
          </w:p>
        </w:tc>
      </w:tr>
      <w:tr w:rsidR="000842E2" w:rsidTr="001E550A">
        <w:trPr>
          <w:trHeight w:val="3384"/>
          <w:jc w:val="center"/>
        </w:trPr>
        <w:tc>
          <w:tcPr>
            <w:tcW w:w="9547" w:type="dxa"/>
            <w:gridSpan w:val="2"/>
            <w:vAlign w:val="center"/>
          </w:tcPr>
          <w:p w:rsidR="000842E2" w:rsidRDefault="000842E2" w:rsidP="000842E2">
            <w:pPr>
              <w:spacing w:after="0" w:line="240" w:lineRule="auto"/>
              <w:jc w:val="center"/>
              <w:rPr>
                <w:rFonts w:ascii="Times New Roman" w:hAnsi="Times New Roman"/>
                <w:sz w:val="20"/>
                <w:szCs w:val="20"/>
              </w:rPr>
            </w:pPr>
            <w:r w:rsidRPr="00DB4A47">
              <w:rPr>
                <w:rFonts w:ascii="Times New Roman" w:hAnsi="Times New Roman"/>
                <w:noProof/>
                <w:sz w:val="20"/>
                <w:szCs w:val="20"/>
                <w:lang w:bidi="ar-SA"/>
              </w:rPr>
              <w:drawing>
                <wp:inline distT="0" distB="0" distL="0" distR="0" wp14:anchorId="6AB89ED4" wp14:editId="47B22141">
                  <wp:extent cx="2966085" cy="2626221"/>
                  <wp:effectExtent l="0" t="0" r="24765" b="222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DB4A47" w:rsidRDefault="00DB4A47" w:rsidP="00F31246">
      <w:pPr>
        <w:spacing w:after="0" w:line="240" w:lineRule="auto"/>
        <w:rPr>
          <w:rFonts w:ascii="Times New Roman" w:hAnsi="Times New Roman"/>
          <w:sz w:val="20"/>
          <w:szCs w:val="20"/>
        </w:rPr>
      </w:pPr>
    </w:p>
    <w:p w:rsidR="001E550A" w:rsidRPr="00DB4A47" w:rsidRDefault="001E550A" w:rsidP="00F31246">
      <w:pPr>
        <w:spacing w:before="120" w:after="0" w:line="240" w:lineRule="auto"/>
        <w:jc w:val="center"/>
        <w:rPr>
          <w:rFonts w:ascii="Times New Roman" w:hAnsi="Times New Roman"/>
          <w:sz w:val="20"/>
          <w:szCs w:val="20"/>
        </w:rPr>
      </w:pPr>
      <w:r w:rsidRPr="00DB4A47">
        <w:rPr>
          <w:rFonts w:ascii="Times New Roman" w:hAnsi="Times New Roman"/>
          <w:sz w:val="20"/>
          <w:szCs w:val="20"/>
        </w:rPr>
        <w:t xml:space="preserve">Figure 4. </w:t>
      </w:r>
      <w:r>
        <w:rPr>
          <w:rFonts w:ascii="Times New Roman" w:hAnsi="Times New Roman"/>
          <w:sz w:val="20"/>
          <w:szCs w:val="20"/>
        </w:rPr>
        <w:t xml:space="preserve"> </w:t>
      </w:r>
      <w:r w:rsidRPr="00DB4A47">
        <w:rPr>
          <w:rFonts w:ascii="Times New Roman" w:hAnsi="Times New Roman"/>
          <w:sz w:val="20"/>
          <w:szCs w:val="20"/>
        </w:rPr>
        <w:t>Dendogram of spatial classification for salinity of sampling wells along Terengganu coastline</w:t>
      </w:r>
    </w:p>
    <w:p w:rsidR="001E550A" w:rsidRPr="00DB4A47" w:rsidRDefault="001E550A" w:rsidP="001E550A">
      <w:pPr>
        <w:spacing w:after="0" w:line="240" w:lineRule="auto"/>
        <w:jc w:val="center"/>
        <w:rPr>
          <w:rFonts w:ascii="Times New Roman" w:hAnsi="Times New Roman"/>
          <w:sz w:val="20"/>
          <w:szCs w:val="20"/>
        </w:rPr>
      </w:pPr>
    </w:p>
    <w:p w:rsidR="009E1070" w:rsidRDefault="009E1070" w:rsidP="00DB4A47">
      <w:pPr>
        <w:spacing w:after="0" w:line="240" w:lineRule="auto"/>
        <w:jc w:val="both"/>
        <w:rPr>
          <w:rFonts w:ascii="Times New Roman" w:hAnsi="Times New Roman"/>
          <w:sz w:val="20"/>
          <w:szCs w:val="20"/>
        </w:rPr>
      </w:pPr>
    </w:p>
    <w:p w:rsidR="009E1070" w:rsidRDefault="009E1070" w:rsidP="009E1070">
      <w:pPr>
        <w:spacing w:after="0" w:line="240" w:lineRule="auto"/>
        <w:jc w:val="both"/>
        <w:rPr>
          <w:rFonts w:ascii="Times New Roman" w:hAnsi="Times New Roman"/>
          <w:sz w:val="20"/>
          <w:szCs w:val="20"/>
        </w:rPr>
      </w:pPr>
    </w:p>
    <w:p w:rsidR="009E1070" w:rsidRPr="00EB0648" w:rsidRDefault="009E1070" w:rsidP="009E1070">
      <w:pPr>
        <w:spacing w:after="0" w:line="240" w:lineRule="auto"/>
        <w:jc w:val="both"/>
        <w:rPr>
          <w:rFonts w:ascii="Times New Roman" w:hAnsi="Times New Roman"/>
          <w:sz w:val="20"/>
          <w:szCs w:val="20"/>
        </w:rPr>
      </w:pPr>
    </w:p>
    <w:p w:rsidR="009E1070" w:rsidRDefault="009E1070" w:rsidP="009E1070">
      <w:pPr>
        <w:spacing w:after="0" w:line="240" w:lineRule="auto"/>
        <w:jc w:val="center"/>
        <w:rPr>
          <w:rFonts w:ascii="Times New Roman" w:hAnsi="Times New Roman"/>
          <w:sz w:val="20"/>
          <w:szCs w:val="20"/>
        </w:rPr>
      </w:pPr>
      <w:r w:rsidRPr="00EB0648">
        <w:rPr>
          <w:noProof/>
          <w:lang w:bidi="ar-SA"/>
        </w:rPr>
        <w:lastRenderedPageBreak/>
        <w:drawing>
          <wp:inline distT="0" distB="0" distL="0" distR="0" wp14:anchorId="4A0E0176" wp14:editId="165AF7D7">
            <wp:extent cx="4191609" cy="1849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4198890" cy="1853189"/>
                    </a:xfrm>
                    <a:prstGeom prst="rect">
                      <a:avLst/>
                    </a:prstGeom>
                  </pic:spPr>
                </pic:pic>
              </a:graphicData>
            </a:graphic>
          </wp:inline>
        </w:drawing>
      </w:r>
    </w:p>
    <w:p w:rsidR="009E1070" w:rsidRPr="00EB0648" w:rsidRDefault="009E1070" w:rsidP="009E1070">
      <w:pPr>
        <w:spacing w:after="0" w:line="240" w:lineRule="auto"/>
        <w:jc w:val="center"/>
        <w:rPr>
          <w:rFonts w:ascii="Times New Roman" w:hAnsi="Times New Roman"/>
          <w:sz w:val="20"/>
          <w:szCs w:val="20"/>
        </w:rPr>
      </w:pPr>
    </w:p>
    <w:p w:rsidR="009E1070" w:rsidRDefault="009E1070" w:rsidP="009E1070">
      <w:pPr>
        <w:spacing w:after="0" w:line="240" w:lineRule="auto"/>
        <w:ind w:left="810" w:hanging="810"/>
        <w:rPr>
          <w:rFonts w:ascii="Times New Roman" w:hAnsi="Times New Roman"/>
          <w:sz w:val="20"/>
          <w:szCs w:val="20"/>
        </w:rPr>
      </w:pPr>
      <w:r w:rsidRPr="00EB0648">
        <w:rPr>
          <w:rFonts w:ascii="Times New Roman" w:hAnsi="Times New Roman"/>
          <w:sz w:val="20"/>
          <w:szCs w:val="20"/>
        </w:rPr>
        <w:t xml:space="preserve">Figure 5. </w:t>
      </w:r>
      <w:r>
        <w:rPr>
          <w:rFonts w:ascii="Times New Roman" w:hAnsi="Times New Roman"/>
          <w:sz w:val="20"/>
          <w:szCs w:val="20"/>
        </w:rPr>
        <w:t xml:space="preserve"> </w:t>
      </w:r>
      <w:r w:rsidRPr="00EB0648">
        <w:rPr>
          <w:rFonts w:ascii="Times New Roman" w:hAnsi="Times New Roman"/>
          <w:sz w:val="20"/>
          <w:szCs w:val="20"/>
        </w:rPr>
        <w:t>Saltwater intrusion intensity based on EC, TDS and salinity cluster analysis of sampling well along Terengganu coastline</w:t>
      </w:r>
    </w:p>
    <w:p w:rsidR="009E1070" w:rsidRPr="00DB4A47" w:rsidRDefault="009E1070" w:rsidP="009E1070">
      <w:pPr>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E09A2" w:rsidRPr="00EB0648" w:rsidRDefault="006E09A2" w:rsidP="006E09A2">
      <w:pPr>
        <w:spacing w:after="0" w:line="240" w:lineRule="auto"/>
        <w:jc w:val="both"/>
        <w:rPr>
          <w:rFonts w:ascii="Times New Roman" w:hAnsi="Times New Roman"/>
          <w:sz w:val="20"/>
          <w:szCs w:val="20"/>
        </w:rPr>
      </w:pPr>
      <w:r w:rsidRPr="00EB0648">
        <w:rPr>
          <w:rFonts w:ascii="Times New Roman" w:hAnsi="Times New Roman"/>
          <w:sz w:val="20"/>
          <w:szCs w:val="20"/>
        </w:rPr>
        <w:t xml:space="preserve">According to principle component analysis (PCA) technique, two pollutants that affect the groundwater quality of sampling wells that located along Terengganu coastline are the saltwater intrusion and the anthropogenic pollutions such as waste dumping into the wells. Next, cluster analysis performed on EC, TDS and salinity has grouped sampling wells into seven clusters; EH, VH, H, M, L, VL, EL. The extremely high (EH) intruded by saltwater is groundwater of sampling well B3 compared to other wells, very highly (VH) intruded well is B4, highly (H) intruded is KT1, moderately (M) intruded is B1, less or low (L) intruded is M3, very low intruded sampling wells are S2, KT2, M1 and D1 meanwhile, extremely low intruded wells are B2, S1, M2 and K1.     </w:t>
      </w:r>
    </w:p>
    <w:p w:rsidR="006768E9" w:rsidRPr="00F447A7" w:rsidRDefault="006768E9" w:rsidP="006E09A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E09A2" w:rsidP="006E09A2">
      <w:pPr>
        <w:spacing w:after="0" w:line="240" w:lineRule="auto"/>
        <w:jc w:val="both"/>
        <w:rPr>
          <w:rFonts w:ascii="Times New Roman" w:hAnsi="Times New Roman"/>
          <w:sz w:val="20"/>
          <w:szCs w:val="20"/>
        </w:rPr>
      </w:pPr>
      <w:r w:rsidRPr="00EB0648">
        <w:rPr>
          <w:rFonts w:ascii="Times New Roman" w:hAnsi="Times New Roman"/>
          <w:sz w:val="20"/>
          <w:szCs w:val="20"/>
        </w:rPr>
        <w:t>This research is fully supported by FRGS/2/2014/STWN06/UNISZA/01/1(RR 082) research grant. The authors would like to express an appreciation to the East Coast Environmental Research Institute (ESERI), Universiti Sultan Zainal Abidin (UniSZA) for giving advice, guides, support and 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09A2" w:rsidRPr="006E09A2" w:rsidRDefault="006E09A2" w:rsidP="006E09A2">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6E09A2">
        <w:rPr>
          <w:rFonts w:ascii="Times New Roman" w:eastAsia="Calibri" w:hAnsi="Times New Roman"/>
          <w:sz w:val="20"/>
          <w:szCs w:val="20"/>
        </w:rPr>
        <w:t xml:space="preserve">Che-Ani, A. I., Shaari, N., Sairi, A., Zain, M. F. M., and Tahir, M. M. (2009). Rainwater harvesting as an alternative water supply in the future. </w:t>
      </w:r>
      <w:r w:rsidRPr="006E09A2">
        <w:rPr>
          <w:rFonts w:ascii="Times New Roman" w:eastAsia="Calibri" w:hAnsi="Times New Roman"/>
          <w:i/>
          <w:sz w:val="20"/>
          <w:szCs w:val="20"/>
        </w:rPr>
        <w:t>European Journal of Scientific Research</w:t>
      </w:r>
      <w:r w:rsidRPr="006E09A2">
        <w:rPr>
          <w:rFonts w:ascii="Times New Roman" w:eastAsia="Calibri" w:hAnsi="Times New Roman"/>
          <w:sz w:val="20"/>
          <w:szCs w:val="20"/>
        </w:rPr>
        <w:t xml:space="preserve"> 34(1): 132 – 140.</w:t>
      </w:r>
    </w:p>
    <w:p w:rsidR="006E09A2" w:rsidRDefault="006E09A2" w:rsidP="006E09A2">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6E09A2">
        <w:rPr>
          <w:rFonts w:ascii="Times New Roman" w:eastAsia="Calibri" w:hAnsi="Times New Roman"/>
          <w:sz w:val="20"/>
          <w:szCs w:val="20"/>
        </w:rPr>
        <w:t xml:space="preserve">Green, T. R., Taniguchi, M., Kooi, H., Gurdak, J. J., Allen, D. M., Hiscock, K. M., Treidel, H. and Aureli, A. (2011). Beneath the surface of global change: Impacts of climate change on groundwater. </w:t>
      </w:r>
      <w:r w:rsidRPr="006E09A2">
        <w:rPr>
          <w:rFonts w:ascii="Times New Roman" w:eastAsia="Calibri" w:hAnsi="Times New Roman"/>
          <w:i/>
          <w:iCs/>
          <w:sz w:val="20"/>
          <w:szCs w:val="20"/>
        </w:rPr>
        <w:t>Journal of Hydrology,</w:t>
      </w:r>
      <w:r w:rsidRPr="006E09A2">
        <w:rPr>
          <w:rFonts w:ascii="Times New Roman" w:eastAsia="Calibri" w:hAnsi="Times New Roman"/>
          <w:sz w:val="20"/>
          <w:szCs w:val="20"/>
        </w:rPr>
        <w:t xml:space="preserve"> </w:t>
      </w:r>
      <w:r w:rsidRPr="006E09A2">
        <w:rPr>
          <w:rFonts w:ascii="Times New Roman" w:eastAsia="Calibri" w:hAnsi="Times New Roman"/>
          <w:iCs/>
          <w:sz w:val="20"/>
          <w:szCs w:val="20"/>
        </w:rPr>
        <w:t>405</w:t>
      </w:r>
      <w:r w:rsidRPr="006E09A2">
        <w:rPr>
          <w:rFonts w:ascii="Times New Roman" w:eastAsia="Calibri" w:hAnsi="Times New Roman"/>
          <w:sz w:val="20"/>
          <w:szCs w:val="20"/>
        </w:rPr>
        <w:t>: 532 – 560.</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6E09A2">
        <w:rPr>
          <w:rFonts w:ascii="Times New Roman" w:eastAsia="Calibri" w:hAnsi="Times New Roman"/>
          <w:sz w:val="20"/>
          <w:szCs w:val="20"/>
        </w:rPr>
        <w:t xml:space="preserve">Choudhury, K., Saha, D. K., and Chakraborty, P. (2001). Geophysical study for saline water intrusion in a coastal alluvial terrain. </w:t>
      </w:r>
      <w:r w:rsidRPr="006E09A2">
        <w:rPr>
          <w:rFonts w:ascii="Times New Roman" w:eastAsia="Calibri" w:hAnsi="Times New Roman"/>
          <w:i/>
          <w:iCs/>
          <w:sz w:val="20"/>
          <w:szCs w:val="20"/>
        </w:rPr>
        <w:t>Journal of Applied Geophysics,</w:t>
      </w:r>
      <w:r w:rsidRPr="006E09A2">
        <w:rPr>
          <w:rFonts w:ascii="Times New Roman" w:eastAsia="Calibri" w:hAnsi="Times New Roman"/>
          <w:sz w:val="20"/>
          <w:szCs w:val="20"/>
        </w:rPr>
        <w:t xml:space="preserve"> </w:t>
      </w:r>
      <w:r w:rsidRPr="006E09A2">
        <w:rPr>
          <w:rFonts w:ascii="Times New Roman" w:eastAsia="Calibri" w:hAnsi="Times New Roman"/>
          <w:iCs/>
          <w:sz w:val="20"/>
          <w:szCs w:val="20"/>
        </w:rPr>
        <w:t>46(3)</w:t>
      </w:r>
      <w:r w:rsidRPr="006E09A2">
        <w:rPr>
          <w:rFonts w:ascii="Times New Roman" w:eastAsia="Calibri" w:hAnsi="Times New Roman"/>
          <w:sz w:val="20"/>
          <w:szCs w:val="20"/>
        </w:rPr>
        <w:t xml:space="preserve">: 189 – 200. </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Abdullah, M. H., Raveena, S. M., and Aris, A. Z. (2010). A numerical modelling of seawater intrusion into an oceanic island aquifer, Sipadan Island, Malaysia. </w:t>
      </w:r>
      <w:r w:rsidRPr="00BE1250">
        <w:rPr>
          <w:rFonts w:ascii="Times New Roman" w:eastAsia="Calibri" w:hAnsi="Times New Roman"/>
          <w:i/>
          <w:iCs/>
          <w:sz w:val="20"/>
          <w:szCs w:val="20"/>
        </w:rPr>
        <w:t>Sains Malaysiana</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39</w:t>
      </w:r>
      <w:r w:rsidRPr="00BE1250">
        <w:rPr>
          <w:rFonts w:ascii="Times New Roman" w:eastAsia="Calibri" w:hAnsi="Times New Roman"/>
          <w:sz w:val="20"/>
          <w:szCs w:val="20"/>
        </w:rPr>
        <w:t>(4): 525 – 532.</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Werner, A. D., Bakker, M., Post, V. E. A., Vandenbohede, A., Lu, C., Ataie-ashtiani, B., Simmons, C. T., and Barry, D. A. (2013). Seawater intrusion processes, investigation and management: Recent advances and future challenges. </w:t>
      </w:r>
      <w:r w:rsidRPr="00BE1250">
        <w:rPr>
          <w:rFonts w:ascii="Times New Roman" w:eastAsia="Calibri" w:hAnsi="Times New Roman"/>
          <w:i/>
          <w:sz w:val="20"/>
          <w:szCs w:val="20"/>
        </w:rPr>
        <w:t>Advances in Water Resources</w:t>
      </w:r>
      <w:r w:rsidRPr="00BE1250">
        <w:rPr>
          <w:rFonts w:ascii="Times New Roman" w:eastAsia="Calibri" w:hAnsi="Times New Roman"/>
          <w:sz w:val="20"/>
          <w:szCs w:val="20"/>
        </w:rPr>
        <w:t>, 51: 3 – 26.</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Samsudin, A. R., Haryono, A., Hamzah, U. and Rafek, A. G. (2008). Salinity mapping of coastal groundwater aquifers using hydrogeochemical and geophysical methods: A case study from north Kelantan, Malaysia. </w:t>
      </w:r>
      <w:r w:rsidRPr="00BE1250">
        <w:rPr>
          <w:rFonts w:ascii="Times New Roman" w:eastAsia="Calibri" w:hAnsi="Times New Roman"/>
          <w:i/>
          <w:iCs/>
          <w:sz w:val="20"/>
          <w:szCs w:val="20"/>
        </w:rPr>
        <w:t>Environmental Geology</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55(8)</w:t>
      </w:r>
      <w:r w:rsidRPr="00BE1250">
        <w:rPr>
          <w:rFonts w:ascii="Times New Roman" w:eastAsia="Calibri" w:hAnsi="Times New Roman"/>
          <w:sz w:val="20"/>
          <w:szCs w:val="20"/>
        </w:rPr>
        <w:t>: 1737 – 1743.</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Priyanka, B. N., and Mahesha, A. (2015). Parametric studies on saltwater intrusion into coastal aquifers for anticipate sea level rise. </w:t>
      </w:r>
      <w:r w:rsidRPr="00BE1250">
        <w:rPr>
          <w:rFonts w:ascii="Times New Roman" w:eastAsia="Calibri" w:hAnsi="Times New Roman"/>
          <w:i/>
          <w:iCs/>
          <w:sz w:val="20"/>
          <w:szCs w:val="20"/>
        </w:rPr>
        <w:t>Aquatic Procedia</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4</w:t>
      </w:r>
      <w:r w:rsidRPr="00BE1250">
        <w:rPr>
          <w:rFonts w:ascii="Times New Roman" w:eastAsia="Calibri" w:hAnsi="Times New Roman"/>
          <w:sz w:val="20"/>
          <w:szCs w:val="20"/>
        </w:rPr>
        <w:t>: 103 – 108.</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Abd-Elhamid, H. F. and Javadi, A. A. (2011). A density-dependant finite element model for analysis of saltwater intrusion in coastal aquifers. </w:t>
      </w:r>
      <w:r w:rsidRPr="00BE1250">
        <w:rPr>
          <w:rFonts w:ascii="Times New Roman" w:eastAsia="Calibri" w:hAnsi="Times New Roman"/>
          <w:i/>
          <w:iCs/>
          <w:sz w:val="20"/>
          <w:szCs w:val="20"/>
        </w:rPr>
        <w:t>Journal of Hydrology</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401</w:t>
      </w:r>
      <w:r w:rsidRPr="00BE1250">
        <w:rPr>
          <w:rFonts w:ascii="Times New Roman" w:eastAsia="Calibri" w:hAnsi="Times New Roman"/>
          <w:sz w:val="20"/>
          <w:szCs w:val="20"/>
        </w:rPr>
        <w:t>(3): 259 – 271.</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lastRenderedPageBreak/>
        <w:t xml:space="preserve">Yao-Dong, D., Xu-Hua, C., Xian-Wei, W., Hui, A., Hai-Lai, D., Jian, H. and Xiao-Xuan, W. (2013). A review of assessment and adaptation strategy to climate change impacts on the coastal areas in South China. </w:t>
      </w:r>
      <w:r w:rsidRPr="00BE1250">
        <w:rPr>
          <w:rFonts w:ascii="Times New Roman" w:eastAsia="Calibri" w:hAnsi="Times New Roman"/>
          <w:i/>
          <w:sz w:val="20"/>
          <w:szCs w:val="20"/>
        </w:rPr>
        <w:t>Advances in Climate Change Research</w:t>
      </w:r>
      <w:r w:rsidRPr="00BE1250">
        <w:rPr>
          <w:rFonts w:ascii="Times New Roman" w:eastAsia="Calibri" w:hAnsi="Times New Roman"/>
          <w:sz w:val="20"/>
          <w:szCs w:val="20"/>
        </w:rPr>
        <w:t>, 4(4): 201 – 207.</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Chang, S. W., Clement, T. P., Simpson, M. J. and Lee, K. K. (2011). Does sea-level rise have an impact on saltwater intrusion? </w:t>
      </w:r>
      <w:r w:rsidRPr="00BE1250">
        <w:rPr>
          <w:rFonts w:ascii="Times New Roman" w:eastAsia="Calibri" w:hAnsi="Times New Roman"/>
          <w:i/>
          <w:iCs/>
          <w:sz w:val="20"/>
          <w:szCs w:val="20"/>
        </w:rPr>
        <w:t>Advances in Water Resources</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34(10)</w:t>
      </w:r>
      <w:r w:rsidRPr="00BE1250">
        <w:rPr>
          <w:rFonts w:ascii="Times New Roman" w:eastAsia="Calibri" w:hAnsi="Times New Roman"/>
          <w:sz w:val="20"/>
          <w:szCs w:val="20"/>
        </w:rPr>
        <w:t>: 1283 – 1291.</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Tomaszkiewicz, M., Abou, N. M. and El-Fadel, M. (2014). Development of a groundwater quality index for seawater intrusion in coastal aquifers. </w:t>
      </w:r>
      <w:r w:rsidRPr="00BE1250">
        <w:rPr>
          <w:rFonts w:ascii="Times New Roman" w:eastAsia="Calibri" w:hAnsi="Times New Roman"/>
          <w:i/>
          <w:iCs/>
          <w:sz w:val="20"/>
          <w:szCs w:val="20"/>
        </w:rPr>
        <w:t>Environmental Modelling &amp; Software</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57</w:t>
      </w:r>
      <w:r w:rsidRPr="00BE1250">
        <w:rPr>
          <w:rFonts w:ascii="Times New Roman" w:eastAsia="Calibri" w:hAnsi="Times New Roman"/>
          <w:sz w:val="20"/>
          <w:szCs w:val="20"/>
        </w:rPr>
        <w:t>: 13 – 26.</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Gasim, M. B., Khalid, N. A., and Muhamad, H. (2015). The influence of tidal activities on water quality of Paka River Terengganu, Malaysia. </w:t>
      </w:r>
      <w:r w:rsidRPr="00BE1250">
        <w:rPr>
          <w:rFonts w:ascii="Times New Roman" w:eastAsia="Calibri" w:hAnsi="Times New Roman"/>
          <w:i/>
          <w:sz w:val="20"/>
          <w:szCs w:val="20"/>
        </w:rPr>
        <w:t>Malaysian Journal of Analytical Sciences</w:t>
      </w:r>
      <w:r w:rsidRPr="00BE1250">
        <w:rPr>
          <w:rFonts w:ascii="Times New Roman" w:eastAsia="Calibri" w:hAnsi="Times New Roman"/>
          <w:sz w:val="20"/>
          <w:szCs w:val="20"/>
        </w:rPr>
        <w:t>, 19(5): 979 – 990.</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Toriman, M. E., Gasim, M. B., Ariffin, N. H., Muhamad, H. and Hairoma, N. (2015). The influence of tidal activities on hydrologic variables of Marang River, Terengganu, Malaysia. </w:t>
      </w:r>
      <w:r w:rsidRPr="00BE1250">
        <w:rPr>
          <w:rFonts w:ascii="Times New Roman" w:eastAsia="Calibri" w:hAnsi="Times New Roman"/>
          <w:i/>
          <w:sz w:val="20"/>
          <w:szCs w:val="20"/>
        </w:rPr>
        <w:t>Malaysian Journal of Analytical Sciences</w:t>
      </w:r>
      <w:r w:rsidRPr="00BE1250">
        <w:rPr>
          <w:rFonts w:ascii="Times New Roman" w:eastAsia="Calibri" w:hAnsi="Times New Roman"/>
          <w:sz w:val="20"/>
          <w:szCs w:val="20"/>
        </w:rPr>
        <w:t>, 19(5): 1099 – 1108.</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Sharif, S. M., Kusin, F. M., Asha’ari, Z. H. and Aris, A. Z. (2015). Characterization of water quality conditions in the klang river basin, malaysia using self-organizing map and k-means algorithm. </w:t>
      </w:r>
      <w:r w:rsidRPr="00BE1250">
        <w:rPr>
          <w:rFonts w:ascii="Times New Roman" w:eastAsia="Calibri" w:hAnsi="Times New Roman"/>
          <w:i/>
          <w:sz w:val="20"/>
          <w:szCs w:val="20"/>
        </w:rPr>
        <w:t>Procedia Environmental Sciences</w:t>
      </w:r>
      <w:r w:rsidRPr="00BE1250">
        <w:rPr>
          <w:rFonts w:ascii="Times New Roman" w:eastAsia="Calibri" w:hAnsi="Times New Roman"/>
          <w:sz w:val="20"/>
          <w:szCs w:val="20"/>
        </w:rPr>
        <w:t>, 30: 73–78.</w:t>
      </w:r>
    </w:p>
    <w:p w:rsidR="00BE1250" w:rsidRP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Raj, J. K., Tan D. N., and Abdullah W. H. (2009)</w:t>
      </w:r>
      <w:r w:rsidRPr="00BE1250">
        <w:rPr>
          <w:rFonts w:ascii="Times New Roman" w:hAnsi="Times New Roman"/>
          <w:sz w:val="20"/>
          <w:szCs w:val="20"/>
        </w:rPr>
        <w:t xml:space="preserve">. Cenozoic stratigraphy. In </w:t>
      </w:r>
      <w:r w:rsidRPr="00BE1250">
        <w:rPr>
          <w:rFonts w:ascii="Times New Roman" w:hAnsi="Times New Roman"/>
          <w:i/>
          <w:sz w:val="20"/>
          <w:szCs w:val="20"/>
        </w:rPr>
        <w:t>Geology of Peninsular Malaysia.</w:t>
      </w:r>
      <w:r w:rsidRPr="00BE1250">
        <w:rPr>
          <w:rFonts w:ascii="Times New Roman" w:hAnsi="Times New Roman"/>
          <w:sz w:val="20"/>
          <w:szCs w:val="20"/>
        </w:rPr>
        <w:t xml:space="preserve"> Kuala Lumpur: University of Malaya: pp. 164 – 168.</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Hassan, K. B. (1989). Significance of palynology in late quaternary sediments in Peninsular Malaysia. </w:t>
      </w:r>
      <w:r w:rsidRPr="00BE1250">
        <w:rPr>
          <w:rFonts w:ascii="Times New Roman" w:eastAsia="Calibri" w:hAnsi="Times New Roman"/>
          <w:i/>
          <w:iCs/>
          <w:sz w:val="20"/>
          <w:szCs w:val="20"/>
        </w:rPr>
        <w:t>Geological Society of Malaysia</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 xml:space="preserve">24: </w:t>
      </w:r>
      <w:r w:rsidRPr="00BE1250">
        <w:rPr>
          <w:rFonts w:ascii="Times New Roman" w:eastAsia="Calibri" w:hAnsi="Times New Roman"/>
          <w:sz w:val="20"/>
          <w:szCs w:val="20"/>
        </w:rPr>
        <w:t>57 – 66.</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Saghravani, S. R., Yusoff, I., Wan Md Tahir, W. Z. and Othman, Z. (2015). Estimating recharge based on long-term groundwater table fluctuation monitoring in a shallow aquifer of Malaysian tropical rainforest catchment. </w:t>
      </w:r>
      <w:r w:rsidRPr="00BE1250">
        <w:rPr>
          <w:rFonts w:ascii="Times New Roman" w:eastAsia="Calibri" w:hAnsi="Times New Roman"/>
          <w:i/>
          <w:iCs/>
          <w:sz w:val="20"/>
          <w:szCs w:val="20"/>
        </w:rPr>
        <w:t>Environmental Earth Sciences,</w:t>
      </w:r>
      <w:r w:rsidRPr="00BE1250">
        <w:rPr>
          <w:rFonts w:ascii="Times New Roman" w:eastAsia="Calibri" w:hAnsi="Times New Roman"/>
          <w:sz w:val="20"/>
          <w:szCs w:val="20"/>
        </w:rPr>
        <w:t xml:space="preserve"> 74(6): 4577 – 4587.</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Feseker, T. (2007). Numerical studies on saltwater intrusion in a coastal aquifer in Northwestern Germany. </w:t>
      </w:r>
      <w:r w:rsidRPr="00BE1250">
        <w:rPr>
          <w:rFonts w:ascii="Times New Roman" w:eastAsia="Calibri" w:hAnsi="Times New Roman"/>
          <w:i/>
          <w:iCs/>
          <w:sz w:val="20"/>
          <w:szCs w:val="20"/>
        </w:rPr>
        <w:t>Hydrogeology Journal</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15(2)</w:t>
      </w:r>
      <w:r w:rsidRPr="00BE1250">
        <w:rPr>
          <w:rFonts w:ascii="Times New Roman" w:eastAsia="Calibri" w:hAnsi="Times New Roman"/>
          <w:sz w:val="20"/>
          <w:szCs w:val="20"/>
        </w:rPr>
        <w:t>: 267 – 279.</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Biglari, A. and Sutherland, J. C. (2015). An a-posteriori Evaluation of principal component analysis-based models for turbulent combustion simulations. </w:t>
      </w:r>
      <w:r w:rsidRPr="00BE1250">
        <w:rPr>
          <w:rFonts w:ascii="Times New Roman" w:eastAsia="Calibri" w:hAnsi="Times New Roman"/>
          <w:i/>
          <w:iCs/>
          <w:sz w:val="20"/>
          <w:szCs w:val="20"/>
        </w:rPr>
        <w:t>Combust and Flame</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162(10)</w:t>
      </w:r>
      <w:r w:rsidRPr="00BE1250">
        <w:rPr>
          <w:rFonts w:ascii="Times New Roman" w:eastAsia="Calibri" w:hAnsi="Times New Roman"/>
          <w:sz w:val="20"/>
          <w:szCs w:val="20"/>
        </w:rPr>
        <w:t>: 4025 – 4035.</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Tantra, R., Oksel, C., Robinson, K. N., Sikora, A., Wang, X. Z. and Wilkins, T. A. (2015). A method for assessing nanomaterial dispersion quality based on principal component analysis of particle size distribution data. </w:t>
      </w:r>
      <w:r w:rsidRPr="00BE1250">
        <w:rPr>
          <w:rFonts w:ascii="Times New Roman" w:eastAsia="Calibri" w:hAnsi="Times New Roman"/>
          <w:i/>
          <w:iCs/>
          <w:sz w:val="20"/>
          <w:szCs w:val="20"/>
        </w:rPr>
        <w:t>Particuology,</w:t>
      </w:r>
      <w:r w:rsidRPr="00BE1250">
        <w:rPr>
          <w:rFonts w:ascii="Times New Roman" w:eastAsia="Calibri" w:hAnsi="Times New Roman"/>
          <w:sz w:val="20"/>
          <w:szCs w:val="20"/>
        </w:rPr>
        <w:t xml:space="preserve"> 22: 30 – 38.</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Parente, A. and Sutherland, J. C. (2013). Principal component analysis of turbulent combustion data: Data pre-processing and manifold sensitivity. </w:t>
      </w:r>
      <w:r w:rsidRPr="00BE1250">
        <w:rPr>
          <w:rFonts w:ascii="Times New Roman" w:eastAsia="Calibri" w:hAnsi="Times New Roman"/>
          <w:i/>
          <w:iCs/>
          <w:sz w:val="20"/>
          <w:szCs w:val="20"/>
        </w:rPr>
        <w:t>Combustion and Flame,</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160(2)</w:t>
      </w:r>
      <w:r w:rsidRPr="00BE1250">
        <w:rPr>
          <w:rFonts w:ascii="Times New Roman" w:eastAsia="Calibri" w:hAnsi="Times New Roman"/>
          <w:sz w:val="20"/>
          <w:szCs w:val="20"/>
        </w:rPr>
        <w:t>: 340 – 350.</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Kasim, M. K., Juahir, H., Tawnie, I., Azid, A., Saudi, A.S.M., Samsudin, S., Toriman, M.E., Fazli, B.M., and Hasnam, C.N.C. (2015). Environmetric techniques application in water quality assessment: A case study in Linggi River basin. </w:t>
      </w:r>
      <w:r w:rsidRPr="00BE1250">
        <w:rPr>
          <w:rFonts w:ascii="Times New Roman" w:eastAsia="Calibri" w:hAnsi="Times New Roman"/>
          <w:i/>
          <w:sz w:val="20"/>
          <w:szCs w:val="20"/>
        </w:rPr>
        <w:t>Jurnal Teknologi (Sciences &amp; Engineering)</w:t>
      </w:r>
      <w:r w:rsidRPr="00BE1250">
        <w:rPr>
          <w:rFonts w:ascii="Times New Roman" w:eastAsia="Calibri" w:hAnsi="Times New Roman"/>
          <w:sz w:val="20"/>
          <w:szCs w:val="20"/>
        </w:rPr>
        <w:t xml:space="preserve"> 74(1): 151–157.</w:t>
      </w:r>
    </w:p>
    <w:p w:rsidR="00BE1250" w:rsidRDefault="006E09A2" w:rsidP="00BE1250">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Aminu Ibrahim, A., Juahir, H., Toriman, M.E., Mustapha, A., Azid, A. and Isiyaka, H.A. (2015). Assessment of surface water quality using multivariate statistical techniques in the Terengganu River basin.  </w:t>
      </w:r>
      <w:r w:rsidRPr="00BE1250">
        <w:rPr>
          <w:rFonts w:ascii="Times New Roman" w:eastAsia="Calibri" w:hAnsi="Times New Roman"/>
          <w:i/>
          <w:sz w:val="20"/>
          <w:szCs w:val="20"/>
        </w:rPr>
        <w:t>Malaysian Journal of Analytical Sciences,</w:t>
      </w:r>
      <w:r w:rsidRPr="00BE1250">
        <w:rPr>
          <w:rFonts w:ascii="Times New Roman" w:eastAsia="Calibri" w:hAnsi="Times New Roman"/>
          <w:sz w:val="20"/>
          <w:szCs w:val="20"/>
        </w:rPr>
        <w:t xml:space="preserve"> 19(2): 338 – 348.</w:t>
      </w:r>
    </w:p>
    <w:p w:rsidR="009D251D" w:rsidRDefault="006E09A2" w:rsidP="009D251D">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BE1250">
        <w:rPr>
          <w:rFonts w:ascii="Times New Roman" w:eastAsia="Calibri" w:hAnsi="Times New Roman"/>
          <w:sz w:val="20"/>
          <w:szCs w:val="20"/>
        </w:rPr>
        <w:t xml:space="preserve">Maritan, L., Holakooei, P. and Mazzoli, C. (2015). Cluster analysis of XRPD data in ancient ceramics: What for? </w:t>
      </w:r>
      <w:r w:rsidRPr="00BE1250">
        <w:rPr>
          <w:rFonts w:ascii="Times New Roman" w:eastAsia="Calibri" w:hAnsi="Times New Roman"/>
          <w:i/>
          <w:iCs/>
          <w:sz w:val="20"/>
          <w:szCs w:val="20"/>
        </w:rPr>
        <w:t>Applied Clay Science,</w:t>
      </w:r>
      <w:r w:rsidRPr="00BE1250">
        <w:rPr>
          <w:rFonts w:ascii="Times New Roman" w:eastAsia="Calibri" w:hAnsi="Times New Roman"/>
          <w:sz w:val="20"/>
          <w:szCs w:val="20"/>
        </w:rPr>
        <w:t xml:space="preserve"> </w:t>
      </w:r>
      <w:r w:rsidRPr="00BE1250">
        <w:rPr>
          <w:rFonts w:ascii="Times New Roman" w:eastAsia="Calibri" w:hAnsi="Times New Roman"/>
          <w:iCs/>
          <w:sz w:val="20"/>
          <w:szCs w:val="20"/>
        </w:rPr>
        <w:t>114</w:t>
      </w:r>
      <w:r w:rsidRPr="00BE1250">
        <w:rPr>
          <w:rFonts w:ascii="Times New Roman" w:eastAsia="Calibri" w:hAnsi="Times New Roman"/>
          <w:sz w:val="20"/>
          <w:szCs w:val="20"/>
        </w:rPr>
        <w:t>: 540 – 549.</w:t>
      </w:r>
    </w:p>
    <w:p w:rsidR="009D251D" w:rsidRDefault="006E09A2" w:rsidP="009D251D">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9D251D">
        <w:rPr>
          <w:rFonts w:ascii="Times New Roman" w:eastAsia="Calibri" w:hAnsi="Times New Roman"/>
          <w:sz w:val="20"/>
          <w:szCs w:val="20"/>
        </w:rPr>
        <w:t xml:space="preserve">Shrestha, S. and Kazama, F. (2007). Assessment of surface water quality using multivariate statistical techniques: A case study of the Fuji river basin, Japan. </w:t>
      </w:r>
      <w:r w:rsidRPr="009D251D">
        <w:rPr>
          <w:rFonts w:ascii="Times New Roman" w:eastAsia="Calibri" w:hAnsi="Times New Roman"/>
          <w:i/>
          <w:sz w:val="20"/>
          <w:szCs w:val="20"/>
        </w:rPr>
        <w:t>Environmental Modelling &amp; Software,</w:t>
      </w:r>
      <w:r w:rsidRPr="009D251D">
        <w:rPr>
          <w:rFonts w:ascii="Times New Roman" w:eastAsia="Calibri" w:hAnsi="Times New Roman"/>
          <w:sz w:val="20"/>
          <w:szCs w:val="20"/>
        </w:rPr>
        <w:t xml:space="preserve"> 22(4): 464 – 475.</w:t>
      </w:r>
    </w:p>
    <w:p w:rsidR="009D251D" w:rsidRDefault="006E09A2" w:rsidP="009D251D">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9D251D">
        <w:rPr>
          <w:rFonts w:ascii="Times New Roman" w:eastAsia="Calibri" w:hAnsi="Times New Roman"/>
          <w:sz w:val="20"/>
          <w:szCs w:val="20"/>
        </w:rPr>
        <w:t xml:space="preserve">Liu, C. W., Lin, K. H. and Kuo, Y. M. (2003). Application of factor analysis in the assessment of groundwater quality in a blackfoot disease area in Taiwan. </w:t>
      </w:r>
      <w:r w:rsidRPr="009D251D">
        <w:rPr>
          <w:rFonts w:ascii="Times New Roman" w:eastAsia="Calibri" w:hAnsi="Times New Roman"/>
          <w:i/>
          <w:sz w:val="20"/>
          <w:szCs w:val="20"/>
        </w:rPr>
        <w:t>Science of the Total Environment</w:t>
      </w:r>
      <w:r w:rsidRPr="009D251D">
        <w:rPr>
          <w:rFonts w:ascii="Times New Roman" w:eastAsia="Calibri" w:hAnsi="Times New Roman"/>
          <w:sz w:val="20"/>
          <w:szCs w:val="20"/>
        </w:rPr>
        <w:t>. 313(1): 77 – 89.</w:t>
      </w:r>
    </w:p>
    <w:p w:rsidR="00A74A7E" w:rsidRPr="009D251D" w:rsidRDefault="006E09A2" w:rsidP="009D251D">
      <w:pPr>
        <w:pStyle w:val="ListParagraph"/>
        <w:numPr>
          <w:ilvl w:val="0"/>
          <w:numId w:val="2"/>
        </w:numPr>
        <w:spacing w:after="0" w:line="240" w:lineRule="auto"/>
        <w:ind w:left="360"/>
        <w:contextualSpacing w:val="0"/>
        <w:jc w:val="both"/>
        <w:rPr>
          <w:rFonts w:ascii="Times New Roman" w:eastAsia="Calibri" w:hAnsi="Times New Roman"/>
          <w:sz w:val="20"/>
          <w:szCs w:val="20"/>
        </w:rPr>
      </w:pPr>
      <w:r w:rsidRPr="009D251D">
        <w:rPr>
          <w:rFonts w:ascii="Times New Roman" w:eastAsia="Calibri" w:hAnsi="Times New Roman"/>
          <w:sz w:val="20"/>
          <w:szCs w:val="20"/>
        </w:rPr>
        <w:t xml:space="preserve">Mokhtar, M., Bahari, I., and Poon, A. (2001). Kualiti air di sekitar kawasan perindustrian Balakong, Lembangan Langat. </w:t>
      </w:r>
      <w:r w:rsidRPr="009D251D">
        <w:rPr>
          <w:rFonts w:ascii="Times New Roman" w:eastAsia="Calibri" w:hAnsi="Times New Roman"/>
          <w:i/>
          <w:sz w:val="20"/>
          <w:szCs w:val="20"/>
        </w:rPr>
        <w:t>Malaysian Journal of Analytical Sciences</w:t>
      </w:r>
      <w:r w:rsidRPr="009D251D">
        <w:rPr>
          <w:rFonts w:ascii="Times New Roman" w:eastAsia="Calibri" w:hAnsi="Times New Roman"/>
          <w:sz w:val="20"/>
          <w:szCs w:val="20"/>
        </w:rPr>
        <w:t xml:space="preserve"> 7(1): 129 – 138.</w:t>
      </w:r>
    </w:p>
    <w:sectPr w:rsidR="00A74A7E" w:rsidRPr="009D251D" w:rsidSect="006D1453">
      <w:headerReference w:type="even" r:id="rId17"/>
      <w:headerReference w:type="default" r:id="rId18"/>
      <w:footerReference w:type="even" r:id="rId19"/>
      <w:footerReference w:type="default" r:id="rId20"/>
      <w:pgSz w:w="12240" w:h="15840" w:code="1"/>
      <w:pgMar w:top="1800" w:right="1469" w:bottom="1699" w:left="1440" w:header="706" w:footer="706" w:gutter="0"/>
      <w:pgNumType w:start="12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10A8D">
      <w:rPr>
        <w:rFonts w:ascii="Times New Roman" w:hAnsi="Times New Roman"/>
        <w:noProof/>
      </w:rPr>
      <w:t>1232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10A8D">
      <w:rPr>
        <w:rFonts w:ascii="Times New Roman" w:hAnsi="Times New Roman"/>
        <w:noProof/>
      </w:rPr>
      <w:t>1231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424" w:rsidRPr="00BD2424" w:rsidRDefault="00BD2424" w:rsidP="00BD2424">
    <w:pPr>
      <w:spacing w:after="0" w:line="240" w:lineRule="auto"/>
      <w:ind w:left="1530" w:hanging="1530"/>
      <w:rPr>
        <w:rFonts w:ascii="Times New Roman" w:hAnsi="Times New Roman"/>
        <w:sz w:val="20"/>
        <w:szCs w:val="20"/>
      </w:rPr>
    </w:pPr>
    <w:r>
      <w:rPr>
        <w:rFonts w:ascii="Times New Roman" w:hAnsi="Times New Roman"/>
        <w:sz w:val="20"/>
        <w:szCs w:val="20"/>
      </w:rPr>
      <w:t>Norsyuhada et al</w:t>
    </w:r>
    <w:r w:rsidR="006B72B0" w:rsidRPr="00BD2424">
      <w:rPr>
        <w:rFonts w:ascii="Times New Roman" w:hAnsi="Times New Roman"/>
        <w:sz w:val="20"/>
        <w:szCs w:val="20"/>
      </w:rPr>
      <w:t xml:space="preserve">: </w:t>
    </w:r>
    <w:r w:rsidRPr="00BD2424">
      <w:rPr>
        <w:rFonts w:ascii="Times New Roman" w:hAnsi="Times New Roman"/>
        <w:sz w:val="20"/>
        <w:szCs w:val="20"/>
      </w:rPr>
      <w:t xml:space="preserve"> </w:t>
    </w:r>
    <w:r>
      <w:rPr>
        <w:rFonts w:ascii="Times New Roman" w:hAnsi="Times New Roman"/>
        <w:sz w:val="20"/>
        <w:szCs w:val="20"/>
      </w:rPr>
      <w:tab/>
    </w:r>
    <w:r w:rsidRPr="00BD2424">
      <w:rPr>
        <w:rFonts w:ascii="Times New Roman" w:hAnsi="Times New Roman"/>
        <w:sz w:val="20"/>
        <w:szCs w:val="20"/>
      </w:rPr>
      <w:t>SALTWATER INTRUSION ANALYSIS IN EAST COAST OF TERENGGANU USING MULTIVARIATE ANALYSIS</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AB43DB">
      <w:rPr>
        <w:rFonts w:ascii="Times New Roman" w:hAnsi="Times New Roman"/>
        <w:i/>
        <w:lang w:val="en-US"/>
      </w:rPr>
      <w:t>1225</w:t>
    </w:r>
    <w:r>
      <w:rPr>
        <w:rFonts w:ascii="Times New Roman" w:hAnsi="Times New Roman"/>
        <w:i/>
        <w:lang w:val="en-US"/>
      </w:rPr>
      <w:t xml:space="preserve"> </w:t>
    </w:r>
    <w:r w:rsidR="007A0583">
      <w:rPr>
        <w:rFonts w:ascii="Times New Roman" w:hAnsi="Times New Roman"/>
        <w:i/>
        <w:lang w:val="en-US"/>
      </w:rPr>
      <w:t>-</w:t>
    </w:r>
    <w:r w:rsidR="008D5AC4">
      <w:rPr>
        <w:rFonts w:ascii="Times New Roman" w:hAnsi="Times New Roman"/>
        <w:i/>
        <w:lang w:val="en-US"/>
      </w:rPr>
      <w:t xml:space="preserve"> </w:t>
    </w:r>
    <w:r w:rsidR="006D1453">
      <w:rPr>
        <w:rFonts w:ascii="Times New Roman" w:hAnsi="Times New Roman"/>
        <w:i/>
        <w:lang w:val="en-US"/>
      </w:rPr>
      <w:t>1232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8D5AC4">
      <w:rPr>
        <w:rFonts w:ascii="Times New Roman" w:hAnsi="Times New Roman"/>
        <w:i/>
        <w:lang w:val="en-US"/>
      </w:rPr>
      <w:t>-</w:t>
    </w:r>
    <w:r w:rsidR="00AB43DB">
      <w:rPr>
        <w:rFonts w:ascii="Times New Roman" w:hAnsi="Times New Roman"/>
        <w:i/>
        <w:lang w:val="en-US"/>
      </w:rPr>
      <w:t>29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2E55D5"/>
    <w:multiLevelType w:val="hybridMultilevel"/>
    <w:tmpl w:val="ED0E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2E2"/>
    <w:rsid w:val="00084936"/>
    <w:rsid w:val="000C49FF"/>
    <w:rsid w:val="000D16A1"/>
    <w:rsid w:val="000D2817"/>
    <w:rsid w:val="000D2B0C"/>
    <w:rsid w:val="000F77DA"/>
    <w:rsid w:val="001068E8"/>
    <w:rsid w:val="001106D8"/>
    <w:rsid w:val="00117BCD"/>
    <w:rsid w:val="001D035A"/>
    <w:rsid w:val="001D3855"/>
    <w:rsid w:val="001D6F2C"/>
    <w:rsid w:val="001E550A"/>
    <w:rsid w:val="0021490F"/>
    <w:rsid w:val="00277498"/>
    <w:rsid w:val="002860B7"/>
    <w:rsid w:val="00290F4D"/>
    <w:rsid w:val="002A2FC0"/>
    <w:rsid w:val="002B188F"/>
    <w:rsid w:val="002B3BD8"/>
    <w:rsid w:val="002F3F91"/>
    <w:rsid w:val="002F7CE0"/>
    <w:rsid w:val="00304767"/>
    <w:rsid w:val="00304B34"/>
    <w:rsid w:val="00310A8D"/>
    <w:rsid w:val="00361BAF"/>
    <w:rsid w:val="00362FCE"/>
    <w:rsid w:val="00367D1F"/>
    <w:rsid w:val="003B6019"/>
    <w:rsid w:val="003D585B"/>
    <w:rsid w:val="003E7DA6"/>
    <w:rsid w:val="003F12FF"/>
    <w:rsid w:val="004621B7"/>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1453"/>
    <w:rsid w:val="006D286E"/>
    <w:rsid w:val="006D695E"/>
    <w:rsid w:val="006E09A2"/>
    <w:rsid w:val="00725A6A"/>
    <w:rsid w:val="0073131F"/>
    <w:rsid w:val="007724B4"/>
    <w:rsid w:val="007851F7"/>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D5AC4"/>
    <w:rsid w:val="008E1211"/>
    <w:rsid w:val="008E5BBF"/>
    <w:rsid w:val="008E6968"/>
    <w:rsid w:val="009211AF"/>
    <w:rsid w:val="009357B8"/>
    <w:rsid w:val="009866F6"/>
    <w:rsid w:val="009A5730"/>
    <w:rsid w:val="009C0FFA"/>
    <w:rsid w:val="009D030D"/>
    <w:rsid w:val="009D251D"/>
    <w:rsid w:val="009E1070"/>
    <w:rsid w:val="009F2811"/>
    <w:rsid w:val="00A14DB9"/>
    <w:rsid w:val="00A4762A"/>
    <w:rsid w:val="00A74A7E"/>
    <w:rsid w:val="00AB43DB"/>
    <w:rsid w:val="00AD1B8A"/>
    <w:rsid w:val="00AE713F"/>
    <w:rsid w:val="00AF2305"/>
    <w:rsid w:val="00AF2821"/>
    <w:rsid w:val="00B1121C"/>
    <w:rsid w:val="00B25B65"/>
    <w:rsid w:val="00B2770A"/>
    <w:rsid w:val="00B314AD"/>
    <w:rsid w:val="00B75BF6"/>
    <w:rsid w:val="00B7735A"/>
    <w:rsid w:val="00B91DE7"/>
    <w:rsid w:val="00BA1F7B"/>
    <w:rsid w:val="00BB58AF"/>
    <w:rsid w:val="00BD2424"/>
    <w:rsid w:val="00BE1250"/>
    <w:rsid w:val="00BE7C30"/>
    <w:rsid w:val="00C055BF"/>
    <w:rsid w:val="00C2226A"/>
    <w:rsid w:val="00C94D92"/>
    <w:rsid w:val="00C97340"/>
    <w:rsid w:val="00CA513F"/>
    <w:rsid w:val="00CB3AA6"/>
    <w:rsid w:val="00CF05FF"/>
    <w:rsid w:val="00D340BB"/>
    <w:rsid w:val="00D505D5"/>
    <w:rsid w:val="00D50D69"/>
    <w:rsid w:val="00D75B35"/>
    <w:rsid w:val="00D76E09"/>
    <w:rsid w:val="00D9736F"/>
    <w:rsid w:val="00D9792A"/>
    <w:rsid w:val="00DB4A47"/>
    <w:rsid w:val="00DD377F"/>
    <w:rsid w:val="00E25547"/>
    <w:rsid w:val="00E3287E"/>
    <w:rsid w:val="00E54D12"/>
    <w:rsid w:val="00E66197"/>
    <w:rsid w:val="00F31093"/>
    <w:rsid w:val="00F31246"/>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uiPriority w:val="42"/>
    <w:rsid w:val="00BD2424"/>
    <w:rPr>
      <w:rFonts w:asciiTheme="minorHAnsi" w:eastAsiaTheme="minorHAnsi" w:hAnsiTheme="minorHAnsi" w:cstheme="minorBidi"/>
      <w:sz w:val="22"/>
      <w:szCs w:val="22"/>
      <w:lang w:val="ms-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B4A47"/>
    <w:rPr>
      <w:rFonts w:ascii="New York" w:eastAsia="Times New Roman" w:hAnsi="New York"/>
      <w:color w:val="000000" w:themeColor="text1"/>
      <w:lang w:val="ms-MY" w:eastAsia="ms-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08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uiPriority w:val="42"/>
    <w:rsid w:val="00BD2424"/>
    <w:rPr>
      <w:rFonts w:asciiTheme="minorHAnsi" w:eastAsiaTheme="minorHAnsi" w:hAnsiTheme="minorHAnsi" w:cstheme="minorBidi"/>
      <w:sz w:val="22"/>
      <w:szCs w:val="22"/>
      <w:lang w:val="ms-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B4A47"/>
    <w:rPr>
      <w:rFonts w:ascii="New York" w:eastAsia="Times New Roman" w:hAnsi="New York"/>
      <w:color w:val="000000" w:themeColor="text1"/>
      <w:lang w:val="ms-MY" w:eastAsia="ms-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08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layout/>
      <c:overlay val="0"/>
    </c:title>
    <c:autoTitleDeleted val="0"/>
    <c:plotArea>
      <c:layout>
        <c:manualLayout>
          <c:layoutTarget val="inner"/>
          <c:xMode val="edge"/>
          <c:yMode val="edge"/>
          <c:x val="0.19628466480225618"/>
          <c:y val="0.12151018866868994"/>
          <c:w val="0.779351278764573"/>
          <c:h val="0.78529380886212752"/>
        </c:manualLayout>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5C0A-4CFF-AC8A-6802C6844E7D}"/>
              </c:ext>
            </c:extLst>
          </c:dPt>
          <c:dPt>
            <c:idx val="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5C0A-4CFF-AC8A-6802C6844E7D}"/>
              </c:ext>
            </c:extLst>
          </c:dPt>
          <c:dPt>
            <c:idx val="1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5C0A-4CFF-AC8A-6802C6844E7D}"/>
              </c:ext>
            </c:extLst>
          </c:dPt>
          <c:dPt>
            <c:idx val="17"/>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07-5C0A-4CFF-AC8A-6802C6844E7D}"/>
              </c:ext>
            </c:extLst>
          </c:dPt>
          <c:dPt>
            <c:idx val="2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09-5C0A-4CFF-AC8A-6802C6844E7D}"/>
              </c:ext>
            </c:extLst>
          </c:dPt>
          <c:dPt>
            <c:idx val="2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0B-5C0A-4CFF-AC8A-6802C6844E7D}"/>
              </c:ext>
            </c:extLst>
          </c:dPt>
          <c:dPt>
            <c:idx val="2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0D-5C0A-4CFF-AC8A-6802C6844E7D}"/>
              </c:ext>
            </c:extLst>
          </c:dPt>
          <c:dPt>
            <c:idx val="2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0F-5C0A-4CFF-AC8A-6802C6844E7D}"/>
              </c:ext>
            </c:extLst>
          </c:dPt>
          <c:dPt>
            <c:idx val="2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1-5C0A-4CFF-AC8A-6802C6844E7D}"/>
              </c:ext>
            </c:extLst>
          </c:dPt>
          <c:dPt>
            <c:idx val="2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3-5C0A-4CFF-AC8A-6802C6844E7D}"/>
              </c:ext>
            </c:extLst>
          </c:dPt>
          <c:dPt>
            <c:idx val="2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5-5C0A-4CFF-AC8A-6802C6844E7D}"/>
              </c:ext>
            </c:extLst>
          </c:dPt>
          <c:dPt>
            <c:idx val="2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7-5C0A-4CFF-AC8A-6802C6844E7D}"/>
              </c:ext>
            </c:extLst>
          </c:dPt>
          <c:dPt>
            <c:idx val="3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9-5C0A-4CFF-AC8A-6802C6844E7D}"/>
              </c:ext>
            </c:extLst>
          </c:dPt>
          <c:dPt>
            <c:idx val="3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B-5C0A-4CFF-AC8A-6802C6844E7D}"/>
              </c:ext>
            </c:extLst>
          </c:dPt>
          <c:dPt>
            <c:idx val="3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D-5C0A-4CFF-AC8A-6802C6844E7D}"/>
              </c:ext>
            </c:extLst>
          </c:dPt>
          <c:dPt>
            <c:idx val="3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1F-5C0A-4CFF-AC8A-6802C6844E7D}"/>
              </c:ext>
            </c:extLst>
          </c:dPt>
          <c:dPt>
            <c:idx val="3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1-5C0A-4CFF-AC8A-6802C6844E7D}"/>
              </c:ext>
            </c:extLst>
          </c:dPt>
          <c:dPt>
            <c:idx val="3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3-5C0A-4CFF-AC8A-6802C6844E7D}"/>
              </c:ext>
            </c:extLst>
          </c:dPt>
          <c:dPt>
            <c:idx val="3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5-5C0A-4CFF-AC8A-6802C6844E7D}"/>
              </c:ext>
            </c:extLst>
          </c:dPt>
          <c:dPt>
            <c:idx val="3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7-5C0A-4CFF-AC8A-6802C6844E7D}"/>
              </c:ext>
            </c:extLst>
          </c:dPt>
          <c:dPt>
            <c:idx val="3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9-5C0A-4CFF-AC8A-6802C6844E7D}"/>
              </c:ext>
            </c:extLst>
          </c:dPt>
          <c:dPt>
            <c:idx val="3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B-5C0A-4CFF-AC8A-6802C6844E7D}"/>
              </c:ext>
            </c:extLst>
          </c:dPt>
          <c:dPt>
            <c:idx val="4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D-5C0A-4CFF-AC8A-6802C6844E7D}"/>
              </c:ext>
            </c:extLst>
          </c:dPt>
          <c:dPt>
            <c:idx val="4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2F-5C0A-4CFF-AC8A-6802C6844E7D}"/>
              </c:ext>
            </c:extLst>
          </c:dPt>
          <c:dPt>
            <c:idx val="4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1-5C0A-4CFF-AC8A-6802C6844E7D}"/>
              </c:ext>
            </c:extLst>
          </c:dPt>
          <c:dPt>
            <c:idx val="4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3-5C0A-4CFF-AC8A-6802C6844E7D}"/>
              </c:ext>
            </c:extLst>
          </c:dPt>
          <c:dPt>
            <c:idx val="48"/>
            <c:bubble3D val="0"/>
            <c:spPr>
              <a:ln w="12700">
                <a:solidFill>
                  <a:srgbClr val="FF6600"/>
                </a:solidFill>
                <a:prstDash val="solid"/>
              </a:ln>
              <a:effectLst/>
            </c:spPr>
            <c:extLst xmlns:c16r2="http://schemas.microsoft.com/office/drawing/2015/06/chart">
              <c:ext xmlns:c16="http://schemas.microsoft.com/office/drawing/2014/chart" uri="{C3380CC4-5D6E-409C-BE32-E72D297353CC}">
                <c16:uniqueId val="{00000035-5C0A-4CFF-AC8A-6802C6844E7D}"/>
              </c:ext>
            </c:extLst>
          </c:dPt>
          <c:xVal>
            <c:numRef>
              <c:f>AHC_HID18!$A$1:$A$85</c:f>
              <c:numCache>
                <c:formatCode>0</c:formatCode>
                <c:ptCount val="85"/>
                <c:pt idx="0">
                  <c:v>2.12890625</c:v>
                </c:pt>
                <c:pt idx="1">
                  <c:v>1</c:v>
                </c:pt>
                <c:pt idx="2">
                  <c:v>1</c:v>
                </c:pt>
                <c:pt idx="3">
                  <c:v>1</c:v>
                </c:pt>
                <c:pt idx="4">
                  <c:v>3.2578125</c:v>
                </c:pt>
                <c:pt idx="5">
                  <c:v>3.2578125</c:v>
                </c:pt>
                <c:pt idx="6">
                  <c:v>2</c:v>
                </c:pt>
                <c:pt idx="7">
                  <c:v>2</c:v>
                </c:pt>
                <c:pt idx="8">
                  <c:v>2</c:v>
                </c:pt>
                <c:pt idx="9">
                  <c:v>4.515625</c:v>
                </c:pt>
                <c:pt idx="10">
                  <c:v>4.515625</c:v>
                </c:pt>
                <c:pt idx="11">
                  <c:v>3</c:v>
                </c:pt>
                <c:pt idx="12">
                  <c:v>3</c:v>
                </c:pt>
                <c:pt idx="13">
                  <c:v>3</c:v>
                </c:pt>
                <c:pt idx="14">
                  <c:v>6.03125</c:v>
                </c:pt>
                <c:pt idx="15">
                  <c:v>6.03125</c:v>
                </c:pt>
                <c:pt idx="16">
                  <c:v>4</c:v>
                </c:pt>
                <c:pt idx="17">
                  <c:v>4</c:v>
                </c:pt>
                <c:pt idx="18">
                  <c:v>4</c:v>
                </c:pt>
                <c:pt idx="19">
                  <c:v>8.0625</c:v>
                </c:pt>
                <c:pt idx="20">
                  <c:v>8.0625</c:v>
                </c:pt>
                <c:pt idx="21">
                  <c:v>5.875</c:v>
                </c:pt>
                <c:pt idx="22">
                  <c:v>5.875</c:v>
                </c:pt>
                <c:pt idx="23">
                  <c:v>5</c:v>
                </c:pt>
                <c:pt idx="24">
                  <c:v>5</c:v>
                </c:pt>
                <c:pt idx="25">
                  <c:v>5</c:v>
                </c:pt>
                <c:pt idx="26">
                  <c:v>6.75</c:v>
                </c:pt>
                <c:pt idx="27">
                  <c:v>6.75</c:v>
                </c:pt>
                <c:pt idx="28">
                  <c:v>6</c:v>
                </c:pt>
                <c:pt idx="29">
                  <c:v>6</c:v>
                </c:pt>
                <c:pt idx="30">
                  <c:v>6</c:v>
                </c:pt>
                <c:pt idx="31">
                  <c:v>7.5</c:v>
                </c:pt>
                <c:pt idx="32">
                  <c:v>7.5</c:v>
                </c:pt>
                <c:pt idx="33">
                  <c:v>7</c:v>
                </c:pt>
                <c:pt idx="34">
                  <c:v>7</c:v>
                </c:pt>
                <c:pt idx="35">
                  <c:v>7</c:v>
                </c:pt>
                <c:pt idx="36">
                  <c:v>8</c:v>
                </c:pt>
                <c:pt idx="37">
                  <c:v>8</c:v>
                </c:pt>
                <c:pt idx="38">
                  <c:v>8</c:v>
                </c:pt>
                <c:pt idx="39">
                  <c:v>7.5</c:v>
                </c:pt>
                <c:pt idx="40">
                  <c:v>7.5</c:v>
                </c:pt>
                <c:pt idx="41">
                  <c:v>6.75</c:v>
                </c:pt>
                <c:pt idx="42">
                  <c:v>6.75</c:v>
                </c:pt>
                <c:pt idx="43">
                  <c:v>5.875</c:v>
                </c:pt>
                <c:pt idx="44">
                  <c:v>5.875</c:v>
                </c:pt>
                <c:pt idx="45">
                  <c:v>10.25</c:v>
                </c:pt>
                <c:pt idx="46">
                  <c:v>10.25</c:v>
                </c:pt>
                <c:pt idx="47">
                  <c:v>9</c:v>
                </c:pt>
                <c:pt idx="48">
                  <c:v>9</c:v>
                </c:pt>
                <c:pt idx="49">
                  <c:v>9</c:v>
                </c:pt>
                <c:pt idx="50">
                  <c:v>11.5</c:v>
                </c:pt>
                <c:pt idx="51">
                  <c:v>11.5</c:v>
                </c:pt>
                <c:pt idx="52">
                  <c:v>10.5</c:v>
                </c:pt>
                <c:pt idx="53">
                  <c:v>10.5</c:v>
                </c:pt>
                <c:pt idx="54">
                  <c:v>10</c:v>
                </c:pt>
                <c:pt idx="55">
                  <c:v>10</c:v>
                </c:pt>
                <c:pt idx="56">
                  <c:v>10</c:v>
                </c:pt>
                <c:pt idx="57">
                  <c:v>11</c:v>
                </c:pt>
                <c:pt idx="58">
                  <c:v>11</c:v>
                </c:pt>
                <c:pt idx="59">
                  <c:v>11</c:v>
                </c:pt>
                <c:pt idx="60">
                  <c:v>10.5</c:v>
                </c:pt>
                <c:pt idx="61">
                  <c:v>10.5</c:v>
                </c:pt>
                <c:pt idx="62">
                  <c:v>12.5</c:v>
                </c:pt>
                <c:pt idx="63">
                  <c:v>12.5</c:v>
                </c:pt>
                <c:pt idx="64">
                  <c:v>12</c:v>
                </c:pt>
                <c:pt idx="65">
                  <c:v>12</c:v>
                </c:pt>
                <c:pt idx="66">
                  <c:v>12</c:v>
                </c:pt>
                <c:pt idx="67">
                  <c:v>13</c:v>
                </c:pt>
                <c:pt idx="68">
                  <c:v>13</c:v>
                </c:pt>
                <c:pt idx="69">
                  <c:v>13</c:v>
                </c:pt>
                <c:pt idx="70">
                  <c:v>12.5</c:v>
                </c:pt>
                <c:pt idx="71">
                  <c:v>12.5</c:v>
                </c:pt>
                <c:pt idx="72">
                  <c:v>11.5</c:v>
                </c:pt>
                <c:pt idx="73">
                  <c:v>11.5</c:v>
                </c:pt>
                <c:pt idx="74">
                  <c:v>10.25</c:v>
                </c:pt>
                <c:pt idx="75">
                  <c:v>10.25</c:v>
                </c:pt>
                <c:pt idx="76">
                  <c:v>8.0625</c:v>
                </c:pt>
                <c:pt idx="77">
                  <c:v>8.0625</c:v>
                </c:pt>
                <c:pt idx="78">
                  <c:v>6.03125</c:v>
                </c:pt>
                <c:pt idx="79">
                  <c:v>6.03125</c:v>
                </c:pt>
                <c:pt idx="80">
                  <c:v>4.515625</c:v>
                </c:pt>
                <c:pt idx="81">
                  <c:v>4.515625</c:v>
                </c:pt>
                <c:pt idx="82">
                  <c:v>3.2578125</c:v>
                </c:pt>
                <c:pt idx="83">
                  <c:v>3.2578125</c:v>
                </c:pt>
                <c:pt idx="84">
                  <c:v>2.12890625</c:v>
                </c:pt>
              </c:numCache>
            </c:numRef>
          </c:xVal>
          <c:yVal>
            <c:numRef>
              <c:f>AHC_HID18!$B$1:$B$85</c:f>
              <c:numCache>
                <c:formatCode>0</c:formatCode>
                <c:ptCount val="85"/>
                <c:pt idx="0">
                  <c:v>46490827.090064101</c:v>
                </c:pt>
                <c:pt idx="1">
                  <c:v>46490827.090064101</c:v>
                </c:pt>
                <c:pt idx="2">
                  <c:v>0</c:v>
                </c:pt>
                <c:pt idx="3">
                  <c:v>46490827.090064101</c:v>
                </c:pt>
                <c:pt idx="4">
                  <c:v>46490827.090064101</c:v>
                </c:pt>
                <c:pt idx="5">
                  <c:v>7800552.7100757584</c:v>
                </c:pt>
                <c:pt idx="6">
                  <c:v>7800552.7100757584</c:v>
                </c:pt>
                <c:pt idx="7">
                  <c:v>0</c:v>
                </c:pt>
                <c:pt idx="8">
                  <c:v>7800552.7100757584</c:v>
                </c:pt>
                <c:pt idx="9">
                  <c:v>7800552.7100757584</c:v>
                </c:pt>
                <c:pt idx="10">
                  <c:v>2506270.5720909089</c:v>
                </c:pt>
                <c:pt idx="11">
                  <c:v>2506270.5720909089</c:v>
                </c:pt>
                <c:pt idx="12">
                  <c:v>0</c:v>
                </c:pt>
                <c:pt idx="13">
                  <c:v>2506270.5720909089</c:v>
                </c:pt>
                <c:pt idx="14">
                  <c:v>2506270.5720909089</c:v>
                </c:pt>
                <c:pt idx="15">
                  <c:v>493818.6036666666</c:v>
                </c:pt>
                <c:pt idx="16">
                  <c:v>493818.6036666666</c:v>
                </c:pt>
                <c:pt idx="17">
                  <c:v>0</c:v>
                </c:pt>
                <c:pt idx="18">
                  <c:v>493818.6036666666</c:v>
                </c:pt>
                <c:pt idx="19">
                  <c:v>493818.6036666666</c:v>
                </c:pt>
                <c:pt idx="20">
                  <c:v>149528.05483333333</c:v>
                </c:pt>
                <c:pt idx="21">
                  <c:v>149528.05483333333</c:v>
                </c:pt>
                <c:pt idx="22">
                  <c:v>10988.022499999999</c:v>
                </c:pt>
                <c:pt idx="23">
                  <c:v>10988.022499999999</c:v>
                </c:pt>
                <c:pt idx="24">
                  <c:v>0</c:v>
                </c:pt>
                <c:pt idx="25">
                  <c:v>10988.022499999999</c:v>
                </c:pt>
                <c:pt idx="26">
                  <c:v>10988.022499999999</c:v>
                </c:pt>
                <c:pt idx="27">
                  <c:v>4701.7550000000001</c:v>
                </c:pt>
                <c:pt idx="28">
                  <c:v>4701.7550000000001</c:v>
                </c:pt>
                <c:pt idx="29">
                  <c:v>0</c:v>
                </c:pt>
                <c:pt idx="30">
                  <c:v>4701.7550000000001</c:v>
                </c:pt>
                <c:pt idx="31">
                  <c:v>4701.7550000000001</c:v>
                </c:pt>
                <c:pt idx="32">
                  <c:v>1491.6849999999997</c:v>
                </c:pt>
                <c:pt idx="33">
                  <c:v>1491.6849999999997</c:v>
                </c:pt>
                <c:pt idx="34">
                  <c:v>0</c:v>
                </c:pt>
                <c:pt idx="35">
                  <c:v>1491.6849999999997</c:v>
                </c:pt>
                <c:pt idx="36">
                  <c:v>1491.6849999999997</c:v>
                </c:pt>
                <c:pt idx="37">
                  <c:v>0</c:v>
                </c:pt>
                <c:pt idx="38">
                  <c:v>1491.6849999999997</c:v>
                </c:pt>
                <c:pt idx="39">
                  <c:v>1491.6849999999997</c:v>
                </c:pt>
                <c:pt idx="40">
                  <c:v>4701.7550000000001</c:v>
                </c:pt>
                <c:pt idx="41">
                  <c:v>4701.7550000000001</c:v>
                </c:pt>
                <c:pt idx="42">
                  <c:v>10988.022499999999</c:v>
                </c:pt>
                <c:pt idx="43">
                  <c:v>10988.022499999999</c:v>
                </c:pt>
                <c:pt idx="44">
                  <c:v>149528.05483333333</c:v>
                </c:pt>
                <c:pt idx="45">
                  <c:v>149528.05483333333</c:v>
                </c:pt>
                <c:pt idx="46">
                  <c:v>31354.810999999994</c:v>
                </c:pt>
                <c:pt idx="47">
                  <c:v>31354.810999999994</c:v>
                </c:pt>
                <c:pt idx="48">
                  <c:v>0</c:v>
                </c:pt>
                <c:pt idx="49">
                  <c:v>31354.810999999994</c:v>
                </c:pt>
                <c:pt idx="50">
                  <c:v>31354.810999999994</c:v>
                </c:pt>
                <c:pt idx="51">
                  <c:v>13580.614999999998</c:v>
                </c:pt>
                <c:pt idx="52">
                  <c:v>13580.614999999998</c:v>
                </c:pt>
                <c:pt idx="53">
                  <c:v>1624.8300000000017</c:v>
                </c:pt>
                <c:pt idx="54">
                  <c:v>1624.8300000000017</c:v>
                </c:pt>
                <c:pt idx="55">
                  <c:v>0</c:v>
                </c:pt>
                <c:pt idx="56">
                  <c:v>1624.8300000000017</c:v>
                </c:pt>
                <c:pt idx="57">
                  <c:v>1624.8300000000017</c:v>
                </c:pt>
                <c:pt idx="58">
                  <c:v>0</c:v>
                </c:pt>
                <c:pt idx="59">
                  <c:v>1624.8300000000017</c:v>
                </c:pt>
                <c:pt idx="60">
                  <c:v>1624.8300000000017</c:v>
                </c:pt>
                <c:pt idx="61">
                  <c:v>13580.614999999998</c:v>
                </c:pt>
                <c:pt idx="62">
                  <c:v>13580.614999999998</c:v>
                </c:pt>
                <c:pt idx="63">
                  <c:v>2575.9799999999987</c:v>
                </c:pt>
                <c:pt idx="64">
                  <c:v>2575.9799999999987</c:v>
                </c:pt>
                <c:pt idx="65">
                  <c:v>0</c:v>
                </c:pt>
                <c:pt idx="66">
                  <c:v>2575.9799999999987</c:v>
                </c:pt>
                <c:pt idx="67">
                  <c:v>2575.9799999999987</c:v>
                </c:pt>
                <c:pt idx="68">
                  <c:v>0</c:v>
                </c:pt>
                <c:pt idx="69">
                  <c:v>2575.9799999999987</c:v>
                </c:pt>
                <c:pt idx="70">
                  <c:v>2575.9799999999987</c:v>
                </c:pt>
                <c:pt idx="71">
                  <c:v>13580.614999999998</c:v>
                </c:pt>
                <c:pt idx="72">
                  <c:v>13580.614999999998</c:v>
                </c:pt>
                <c:pt idx="73">
                  <c:v>31354.810999999994</c:v>
                </c:pt>
                <c:pt idx="74">
                  <c:v>31354.810999999994</c:v>
                </c:pt>
                <c:pt idx="75">
                  <c:v>149528.05483333333</c:v>
                </c:pt>
                <c:pt idx="76">
                  <c:v>149528.05483333333</c:v>
                </c:pt>
                <c:pt idx="77">
                  <c:v>493818.6036666666</c:v>
                </c:pt>
                <c:pt idx="78">
                  <c:v>493818.6036666666</c:v>
                </c:pt>
                <c:pt idx="79">
                  <c:v>2506270.5720909089</c:v>
                </c:pt>
                <c:pt idx="80">
                  <c:v>2506270.5720909089</c:v>
                </c:pt>
                <c:pt idx="81">
                  <c:v>7800552.7100757584</c:v>
                </c:pt>
                <c:pt idx="82">
                  <c:v>7800552.7100757584</c:v>
                </c:pt>
                <c:pt idx="83">
                  <c:v>46490827.090064101</c:v>
                </c:pt>
                <c:pt idx="84">
                  <c:v>46490827.090064101</c:v>
                </c:pt>
              </c:numCache>
            </c:numRef>
          </c:yVal>
          <c:smooth val="0"/>
          <c:extLst xmlns:c16r2="http://schemas.microsoft.com/office/drawing/2015/06/chart">
            <c:ext xmlns:c16="http://schemas.microsoft.com/office/drawing/2014/chart" uri="{C3380CC4-5D6E-409C-BE32-E72D297353CC}">
              <c16:uniqueId val="{00000036-5C0A-4CFF-AC8A-6802C6844E7D}"/>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22467.712999999996</c:v>
              </c:pt>
              <c:pt idx="1">
                <c:v>22467.712999999996</c:v>
              </c:pt>
            </c:numLit>
          </c:yVal>
          <c:smooth val="0"/>
          <c:extLst xmlns:c16r2="http://schemas.microsoft.com/office/drawing/2015/06/chart">
            <c:ext xmlns:c16="http://schemas.microsoft.com/office/drawing/2014/chart" uri="{C3380CC4-5D6E-409C-BE32-E72D297353CC}">
              <c16:uniqueId val="{00000037-5C0A-4CFF-AC8A-6802C6844E7D}"/>
            </c:ext>
          </c:extLst>
        </c:ser>
        <c:ser>
          <c:idx val="2"/>
          <c:order val="2"/>
          <c:spPr>
            <a:ln w="19050">
              <a:noFill/>
            </a:ln>
            <a:effectLst/>
          </c:spPr>
          <c:marker>
            <c:spPr>
              <a:noFill/>
              <a:ln w="6350">
                <a:noFill/>
              </a:ln>
            </c:spPr>
          </c:marker>
          <c:dLbls>
            <c:dLbl>
              <c:idx val="0"/>
              <c:layout/>
              <c:tx>
                <c:rich>
                  <a:bodyPr/>
                  <a:lstStyle/>
                  <a:p>
                    <a:r>
                      <a:rPr lang="en-US"/>
                      <a:t>B3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8-5C0A-4CFF-AC8A-6802C6844E7D}"/>
                </c:ext>
              </c:extLst>
            </c:dLbl>
            <c:dLbl>
              <c:idx val="1"/>
              <c:layout/>
              <c:tx>
                <c:rich>
                  <a:bodyPr/>
                  <a:lstStyle/>
                  <a:p>
                    <a:r>
                      <a:rPr lang="en-US"/>
                      <a:t>B4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5C0A-4CFF-AC8A-6802C6844E7D}"/>
                </c:ext>
              </c:extLst>
            </c:dLbl>
            <c:dLbl>
              <c:idx val="2"/>
              <c:layout/>
              <c:tx>
                <c:rich>
                  <a:bodyPr/>
                  <a:lstStyle/>
                  <a:p>
                    <a:r>
                      <a:rPr lang="en-US"/>
                      <a:t>KT1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A-5C0A-4CFF-AC8A-6802C6844E7D}"/>
                </c:ext>
              </c:extLst>
            </c:dLbl>
            <c:dLbl>
              <c:idx val="3"/>
              <c:layout/>
              <c:tx>
                <c:rich>
                  <a:bodyPr/>
                  <a:lstStyle/>
                  <a:p>
                    <a:r>
                      <a:rPr lang="en-US"/>
                      <a:t>B1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5C0A-4CFF-AC8A-6802C6844E7D}"/>
                </c:ext>
              </c:extLst>
            </c:dLbl>
            <c:dLbl>
              <c:idx val="4"/>
              <c:layout/>
              <c:tx>
                <c:rich>
                  <a:bodyPr/>
                  <a:lstStyle/>
                  <a:p>
                    <a:r>
                      <a:rPr lang="en-US"/>
                      <a:t>B2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C-5C0A-4CFF-AC8A-6802C6844E7D}"/>
                </c:ext>
              </c:extLst>
            </c:dLbl>
            <c:dLbl>
              <c:idx val="5"/>
              <c:layout/>
              <c:tx>
                <c:rich>
                  <a:bodyPr/>
                  <a:lstStyle/>
                  <a:p>
                    <a:r>
                      <a:rPr lang="en-US"/>
                      <a:t>K1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5C0A-4CFF-AC8A-6802C6844E7D}"/>
                </c:ext>
              </c:extLst>
            </c:dLbl>
            <c:dLbl>
              <c:idx val="6"/>
              <c:layout/>
              <c:tx>
                <c:rich>
                  <a:bodyPr/>
                  <a:lstStyle/>
                  <a:p>
                    <a:r>
                      <a:rPr lang="en-US"/>
                      <a:t>S1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E-5C0A-4CFF-AC8A-6802C6844E7D}"/>
                </c:ext>
              </c:extLst>
            </c:dLbl>
            <c:dLbl>
              <c:idx val="7"/>
              <c:layout/>
              <c:tx>
                <c:rich>
                  <a:bodyPr/>
                  <a:lstStyle/>
                  <a:p>
                    <a:r>
                      <a:rPr lang="en-US"/>
                      <a:t>M2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5C0A-4CFF-AC8A-6802C6844E7D}"/>
                </c:ext>
              </c:extLst>
            </c:dLbl>
            <c:dLbl>
              <c:idx val="8"/>
              <c:layout/>
              <c:tx>
                <c:rich>
                  <a:bodyPr/>
                  <a:lstStyle/>
                  <a:p>
                    <a:r>
                      <a:rPr lang="en-US"/>
                      <a:t>M3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0-5C0A-4CFF-AC8A-6802C6844E7D}"/>
                </c:ext>
              </c:extLst>
            </c:dLbl>
            <c:dLbl>
              <c:idx val="9"/>
              <c:layout/>
              <c:tx>
                <c:rich>
                  <a:bodyPr/>
                  <a:lstStyle/>
                  <a:p>
                    <a:r>
                      <a:rPr lang="en-US"/>
                      <a:t>KT2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1-5C0A-4CFF-AC8A-6802C6844E7D}"/>
                </c:ext>
              </c:extLst>
            </c:dLbl>
            <c:dLbl>
              <c:idx val="10"/>
              <c:layout/>
              <c:tx>
                <c:rich>
                  <a:bodyPr/>
                  <a:lstStyle/>
                  <a:p>
                    <a:r>
                      <a:rPr lang="en-US"/>
                      <a:t>M1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2-5C0A-4CFF-AC8A-6802C6844E7D}"/>
                </c:ext>
              </c:extLst>
            </c:dLbl>
            <c:dLbl>
              <c:idx val="11"/>
              <c:layout/>
              <c:tx>
                <c:rich>
                  <a:bodyPr/>
                  <a:lstStyle/>
                  <a:p>
                    <a:r>
                      <a:rPr lang="en-US"/>
                      <a:t>S2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3-5C0A-4CFF-AC8A-6802C6844E7D}"/>
                </c:ext>
              </c:extLst>
            </c:dLbl>
            <c:dLbl>
              <c:idx val="12"/>
              <c:layout/>
              <c:tx>
                <c:rich>
                  <a:bodyPr/>
                  <a:lstStyle/>
                  <a:p>
                    <a:r>
                      <a:rPr lang="en-US"/>
                      <a:t>D1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4-5C0A-4CFF-AC8A-6802C6844E7D}"/>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AHC_HID18!$C$1:$C$13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AHC_HID18!$D$1:$D$13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xmlns:c16r2="http://schemas.microsoft.com/office/drawing/2015/06/chart">
            <c:ext xmlns:c16="http://schemas.microsoft.com/office/drawing/2014/chart" uri="{C3380CC4-5D6E-409C-BE32-E72D297353CC}">
              <c16:uniqueId val="{00000045-5C0A-4CFF-AC8A-6802C6844E7D}"/>
            </c:ext>
          </c:extLst>
        </c:ser>
        <c:dLbls>
          <c:showLegendKey val="0"/>
          <c:showVal val="0"/>
          <c:showCatName val="0"/>
          <c:showSerName val="0"/>
          <c:showPercent val="0"/>
          <c:showBubbleSize val="0"/>
        </c:dLbls>
        <c:axId val="83232640"/>
        <c:axId val="83255296"/>
      </c:scatterChart>
      <c:valAx>
        <c:axId val="83232640"/>
        <c:scaling>
          <c:orientation val="minMax"/>
          <c:max val="14"/>
          <c:min val="0"/>
        </c:scaling>
        <c:delete val="0"/>
        <c:axPos val="b"/>
        <c:title>
          <c:tx>
            <c:rich>
              <a:bodyPr/>
              <a:lstStyle/>
              <a:p>
                <a:pPr>
                  <a:defRPr sz="800" b="1"/>
                </a:pPr>
                <a:r>
                  <a:rPr lang="ms-MY"/>
                  <a:t> </a:t>
                </a:r>
              </a:p>
            </c:rich>
          </c:tx>
          <c:layout/>
          <c:overlay val="0"/>
        </c:title>
        <c:numFmt formatCode="General" sourceLinked="0"/>
        <c:majorTickMark val="none"/>
        <c:minorTickMark val="none"/>
        <c:tickLblPos val="none"/>
        <c:txPr>
          <a:bodyPr/>
          <a:lstStyle/>
          <a:p>
            <a:pPr>
              <a:defRPr sz="700"/>
            </a:pPr>
            <a:endParaRPr lang="en-US"/>
          </a:p>
        </c:txPr>
        <c:crossAx val="83255296"/>
        <c:crosses val="autoZero"/>
        <c:crossBetween val="midCat"/>
      </c:valAx>
      <c:valAx>
        <c:axId val="83255296"/>
        <c:scaling>
          <c:orientation val="minMax"/>
          <c:min val="0"/>
        </c:scaling>
        <c:delete val="0"/>
        <c:axPos val="l"/>
        <c:title>
          <c:tx>
            <c:rich>
              <a:bodyPr/>
              <a:lstStyle/>
              <a:p>
                <a:pPr>
                  <a:defRPr sz="800" b="1"/>
                </a:pPr>
                <a:r>
                  <a:rPr lang="ms-MY"/>
                  <a:t>Dissimilarity</a:t>
                </a:r>
              </a:p>
            </c:rich>
          </c:tx>
          <c:layout/>
          <c:overlay val="0"/>
        </c:title>
        <c:numFmt formatCode="General" sourceLinked="0"/>
        <c:majorTickMark val="cross"/>
        <c:minorTickMark val="none"/>
        <c:tickLblPos val="nextTo"/>
        <c:txPr>
          <a:bodyPr/>
          <a:lstStyle/>
          <a:p>
            <a:pPr>
              <a:defRPr sz="700"/>
            </a:pPr>
            <a:endParaRPr lang="en-US"/>
          </a:p>
        </c:txPr>
        <c:crossAx val="83232640"/>
        <c:crosses val="autoZero"/>
        <c:crossBetween val="midCat"/>
      </c:valAx>
      <c:spPr>
        <a:noFill/>
        <a:ln w="25400">
          <a:noFill/>
        </a:ln>
      </c:spPr>
    </c:plotArea>
    <c:plotVisOnly val="1"/>
    <c:dispBlanksAs val="gap"/>
    <c:showDLblsOverMax val="0"/>
  </c:chart>
  <c:spPr>
    <a:ln>
      <a:solidFill>
        <a:sysClr val="windowText" lastClr="000000"/>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layout/>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22D8-40CB-96B5-4120FF8481D1}"/>
              </c:ext>
            </c:extLst>
          </c:dPt>
          <c:dPt>
            <c:idx val="9"/>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22D8-40CB-96B5-4120FF8481D1}"/>
              </c:ext>
            </c:extLst>
          </c:dPt>
          <c:dPt>
            <c:idx val="1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22D8-40CB-96B5-4120FF8481D1}"/>
              </c:ext>
            </c:extLst>
          </c:dPt>
          <c:dPt>
            <c:idx val="1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7-22D8-40CB-96B5-4120FF8481D1}"/>
              </c:ext>
            </c:extLst>
          </c:dPt>
          <c:dPt>
            <c:idx val="1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9-22D8-40CB-96B5-4120FF8481D1}"/>
              </c:ext>
            </c:extLst>
          </c:dPt>
          <c:dPt>
            <c:idx val="1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B-22D8-40CB-96B5-4120FF8481D1}"/>
              </c:ext>
            </c:extLst>
          </c:dPt>
          <c:dPt>
            <c:idx val="1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D-22D8-40CB-96B5-4120FF8481D1}"/>
              </c:ext>
            </c:extLst>
          </c:dPt>
          <c:dPt>
            <c:idx val="1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F-22D8-40CB-96B5-4120FF8481D1}"/>
              </c:ext>
            </c:extLst>
          </c:dPt>
          <c:dPt>
            <c:idx val="2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1-22D8-40CB-96B5-4120FF8481D1}"/>
              </c:ext>
            </c:extLst>
          </c:dPt>
          <c:dPt>
            <c:idx val="2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3-22D8-40CB-96B5-4120FF8481D1}"/>
              </c:ext>
            </c:extLst>
          </c:dPt>
          <c:dPt>
            <c:idx val="2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5-22D8-40CB-96B5-4120FF8481D1}"/>
              </c:ext>
            </c:extLst>
          </c:dPt>
          <c:dPt>
            <c:idx val="2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7-22D8-40CB-96B5-4120FF8481D1}"/>
              </c:ext>
            </c:extLst>
          </c:dPt>
          <c:dPt>
            <c:idx val="2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9-22D8-40CB-96B5-4120FF8481D1}"/>
              </c:ext>
            </c:extLst>
          </c:dPt>
          <c:dPt>
            <c:idx val="2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B-22D8-40CB-96B5-4120FF8481D1}"/>
              </c:ext>
            </c:extLst>
          </c:dPt>
          <c:dPt>
            <c:idx val="2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D-22D8-40CB-96B5-4120FF8481D1}"/>
              </c:ext>
            </c:extLst>
          </c:dPt>
          <c:dPt>
            <c:idx val="2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F-22D8-40CB-96B5-4120FF8481D1}"/>
              </c:ext>
            </c:extLst>
          </c:dPt>
          <c:dPt>
            <c:idx val="2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1-22D8-40CB-96B5-4120FF8481D1}"/>
              </c:ext>
            </c:extLst>
          </c:dPt>
          <c:dPt>
            <c:idx val="2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3-22D8-40CB-96B5-4120FF8481D1}"/>
              </c:ext>
            </c:extLst>
          </c:dPt>
          <c:dPt>
            <c:idx val="3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5-22D8-40CB-96B5-4120FF8481D1}"/>
              </c:ext>
            </c:extLst>
          </c:dPt>
          <c:dPt>
            <c:idx val="3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7-22D8-40CB-96B5-4120FF8481D1}"/>
              </c:ext>
            </c:extLst>
          </c:dPt>
          <c:dPt>
            <c:idx val="3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9-22D8-40CB-96B5-4120FF8481D1}"/>
              </c:ext>
            </c:extLst>
          </c:dPt>
          <c:dPt>
            <c:idx val="3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B-22D8-40CB-96B5-4120FF8481D1}"/>
              </c:ext>
            </c:extLst>
          </c:dPt>
          <c:dPt>
            <c:idx val="3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D-22D8-40CB-96B5-4120FF8481D1}"/>
              </c:ext>
            </c:extLst>
          </c:dPt>
          <c:dPt>
            <c:idx val="3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F-22D8-40CB-96B5-4120FF8481D1}"/>
              </c:ext>
            </c:extLst>
          </c:dPt>
          <c:dPt>
            <c:idx val="40"/>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1-22D8-40CB-96B5-4120FF8481D1}"/>
              </c:ext>
            </c:extLst>
          </c:dPt>
          <c:dPt>
            <c:idx val="4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3-22D8-40CB-96B5-4120FF8481D1}"/>
              </c:ext>
            </c:extLst>
          </c:dPt>
          <c:dPt>
            <c:idx val="4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5-22D8-40CB-96B5-4120FF8481D1}"/>
              </c:ext>
            </c:extLst>
          </c:dPt>
          <c:dPt>
            <c:idx val="4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7-22D8-40CB-96B5-4120FF8481D1}"/>
              </c:ext>
            </c:extLst>
          </c:dPt>
          <c:dPt>
            <c:idx val="4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9-22D8-40CB-96B5-4120FF8481D1}"/>
              </c:ext>
            </c:extLst>
          </c:dPt>
          <c:dPt>
            <c:idx val="4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B-22D8-40CB-96B5-4120FF8481D1}"/>
              </c:ext>
            </c:extLst>
          </c:dPt>
          <c:dPt>
            <c:idx val="4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D-22D8-40CB-96B5-4120FF8481D1}"/>
              </c:ext>
            </c:extLst>
          </c:dPt>
          <c:dPt>
            <c:idx val="4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F-22D8-40CB-96B5-4120FF8481D1}"/>
              </c:ext>
            </c:extLst>
          </c:dPt>
          <c:dPt>
            <c:idx val="5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1-22D8-40CB-96B5-4120FF8481D1}"/>
              </c:ext>
            </c:extLst>
          </c:dPt>
          <c:dPt>
            <c:idx val="5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3-22D8-40CB-96B5-4120FF8481D1}"/>
              </c:ext>
            </c:extLst>
          </c:dPt>
          <c:dPt>
            <c:idx val="5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5-22D8-40CB-96B5-4120FF8481D1}"/>
              </c:ext>
            </c:extLst>
          </c:dPt>
          <c:dPt>
            <c:idx val="5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7-22D8-40CB-96B5-4120FF8481D1}"/>
              </c:ext>
            </c:extLst>
          </c:dPt>
          <c:dPt>
            <c:idx val="5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9-22D8-40CB-96B5-4120FF8481D1}"/>
              </c:ext>
            </c:extLst>
          </c:dPt>
          <c:dPt>
            <c:idx val="5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B-22D8-40CB-96B5-4120FF8481D1}"/>
              </c:ext>
            </c:extLst>
          </c:dPt>
          <c:dPt>
            <c:idx val="5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D-22D8-40CB-96B5-4120FF8481D1}"/>
              </c:ext>
            </c:extLst>
          </c:dPt>
          <c:dPt>
            <c:idx val="5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F-22D8-40CB-96B5-4120FF8481D1}"/>
              </c:ext>
            </c:extLst>
          </c:dPt>
          <c:dPt>
            <c:idx val="5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1-22D8-40CB-96B5-4120FF8481D1}"/>
              </c:ext>
            </c:extLst>
          </c:dPt>
          <c:dPt>
            <c:idx val="5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3-22D8-40CB-96B5-4120FF8481D1}"/>
              </c:ext>
            </c:extLst>
          </c:dPt>
          <c:dPt>
            <c:idx val="6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5-22D8-40CB-96B5-4120FF8481D1}"/>
              </c:ext>
            </c:extLst>
          </c:dPt>
          <c:dPt>
            <c:idx val="6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7-22D8-40CB-96B5-4120FF8481D1}"/>
              </c:ext>
            </c:extLst>
          </c:dPt>
          <c:dPt>
            <c:idx val="6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9-22D8-40CB-96B5-4120FF8481D1}"/>
              </c:ext>
            </c:extLst>
          </c:dPt>
          <c:dPt>
            <c:idx val="6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B-22D8-40CB-96B5-4120FF8481D1}"/>
              </c:ext>
            </c:extLst>
          </c:dPt>
          <c:dPt>
            <c:idx val="6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D-22D8-40CB-96B5-4120FF8481D1}"/>
              </c:ext>
            </c:extLst>
          </c:dPt>
          <c:dPt>
            <c:idx val="77"/>
            <c:bubble3D val="0"/>
            <c:spPr>
              <a:ln w="12700">
                <a:solidFill>
                  <a:srgbClr val="FF6600"/>
                </a:solidFill>
                <a:prstDash val="solid"/>
              </a:ln>
              <a:effectLst/>
            </c:spPr>
            <c:extLst xmlns:c16r2="http://schemas.microsoft.com/office/drawing/2015/06/chart">
              <c:ext xmlns:c16="http://schemas.microsoft.com/office/drawing/2014/chart" uri="{C3380CC4-5D6E-409C-BE32-E72D297353CC}">
                <c16:uniqueId val="{0000005F-22D8-40CB-96B5-4120FF8481D1}"/>
              </c:ext>
            </c:extLst>
          </c:dPt>
          <c:xVal>
            <c:numRef>
              <c:f>AHC_HID20!$A$1:$A$85</c:f>
              <c:numCache>
                <c:formatCode>0</c:formatCode>
                <c:ptCount val="85"/>
                <c:pt idx="0">
                  <c:v>7.5078125</c:v>
                </c:pt>
                <c:pt idx="1">
                  <c:v>2.515625</c:v>
                </c:pt>
                <c:pt idx="2">
                  <c:v>2.515625</c:v>
                </c:pt>
                <c:pt idx="3">
                  <c:v>1</c:v>
                </c:pt>
                <c:pt idx="4">
                  <c:v>1</c:v>
                </c:pt>
                <c:pt idx="5">
                  <c:v>1</c:v>
                </c:pt>
                <c:pt idx="6">
                  <c:v>4.03125</c:v>
                </c:pt>
                <c:pt idx="7">
                  <c:v>4.03125</c:v>
                </c:pt>
                <c:pt idx="8">
                  <c:v>2</c:v>
                </c:pt>
                <c:pt idx="9">
                  <c:v>2</c:v>
                </c:pt>
                <c:pt idx="10">
                  <c:v>2</c:v>
                </c:pt>
                <c:pt idx="11">
                  <c:v>6.0625</c:v>
                </c:pt>
                <c:pt idx="12">
                  <c:v>6.0625</c:v>
                </c:pt>
                <c:pt idx="13">
                  <c:v>3.875</c:v>
                </c:pt>
                <c:pt idx="14">
                  <c:v>3.875</c:v>
                </c:pt>
                <c:pt idx="15">
                  <c:v>3</c:v>
                </c:pt>
                <c:pt idx="16">
                  <c:v>3</c:v>
                </c:pt>
                <c:pt idx="17">
                  <c:v>3</c:v>
                </c:pt>
                <c:pt idx="18">
                  <c:v>4.75</c:v>
                </c:pt>
                <c:pt idx="19">
                  <c:v>4.75</c:v>
                </c:pt>
                <c:pt idx="20">
                  <c:v>4</c:v>
                </c:pt>
                <c:pt idx="21">
                  <c:v>4</c:v>
                </c:pt>
                <c:pt idx="22">
                  <c:v>4</c:v>
                </c:pt>
                <c:pt idx="23">
                  <c:v>5.5</c:v>
                </c:pt>
                <c:pt idx="24">
                  <c:v>5.5</c:v>
                </c:pt>
                <c:pt idx="25">
                  <c:v>5</c:v>
                </c:pt>
                <c:pt idx="26">
                  <c:v>5</c:v>
                </c:pt>
                <c:pt idx="27">
                  <c:v>5</c:v>
                </c:pt>
                <c:pt idx="28">
                  <c:v>6</c:v>
                </c:pt>
                <c:pt idx="29">
                  <c:v>6</c:v>
                </c:pt>
                <c:pt idx="30">
                  <c:v>6</c:v>
                </c:pt>
                <c:pt idx="31">
                  <c:v>5.5</c:v>
                </c:pt>
                <c:pt idx="32">
                  <c:v>5.5</c:v>
                </c:pt>
                <c:pt idx="33">
                  <c:v>4.75</c:v>
                </c:pt>
                <c:pt idx="34">
                  <c:v>4.75</c:v>
                </c:pt>
                <c:pt idx="35">
                  <c:v>3.875</c:v>
                </c:pt>
                <c:pt idx="36">
                  <c:v>3.875</c:v>
                </c:pt>
                <c:pt idx="37">
                  <c:v>8.25</c:v>
                </c:pt>
                <c:pt idx="38">
                  <c:v>8.25</c:v>
                </c:pt>
                <c:pt idx="39">
                  <c:v>7</c:v>
                </c:pt>
                <c:pt idx="40">
                  <c:v>7</c:v>
                </c:pt>
                <c:pt idx="41">
                  <c:v>7</c:v>
                </c:pt>
                <c:pt idx="42">
                  <c:v>9.5</c:v>
                </c:pt>
                <c:pt idx="43">
                  <c:v>9.5</c:v>
                </c:pt>
                <c:pt idx="44">
                  <c:v>8.5</c:v>
                </c:pt>
                <c:pt idx="45">
                  <c:v>8.5</c:v>
                </c:pt>
                <c:pt idx="46">
                  <c:v>8</c:v>
                </c:pt>
                <c:pt idx="47">
                  <c:v>8</c:v>
                </c:pt>
                <c:pt idx="48">
                  <c:v>8</c:v>
                </c:pt>
                <c:pt idx="49">
                  <c:v>9</c:v>
                </c:pt>
                <c:pt idx="50">
                  <c:v>9</c:v>
                </c:pt>
                <c:pt idx="51">
                  <c:v>9</c:v>
                </c:pt>
                <c:pt idx="52">
                  <c:v>8.5</c:v>
                </c:pt>
                <c:pt idx="53">
                  <c:v>8.5</c:v>
                </c:pt>
                <c:pt idx="54">
                  <c:v>10.5</c:v>
                </c:pt>
                <c:pt idx="55">
                  <c:v>10.5</c:v>
                </c:pt>
                <c:pt idx="56">
                  <c:v>10</c:v>
                </c:pt>
                <c:pt idx="57">
                  <c:v>10</c:v>
                </c:pt>
                <c:pt idx="58">
                  <c:v>10</c:v>
                </c:pt>
                <c:pt idx="59">
                  <c:v>11</c:v>
                </c:pt>
                <c:pt idx="60">
                  <c:v>11</c:v>
                </c:pt>
                <c:pt idx="61">
                  <c:v>11</c:v>
                </c:pt>
                <c:pt idx="62">
                  <c:v>10.5</c:v>
                </c:pt>
                <c:pt idx="63">
                  <c:v>10.5</c:v>
                </c:pt>
                <c:pt idx="64">
                  <c:v>9.5</c:v>
                </c:pt>
                <c:pt idx="65">
                  <c:v>9.5</c:v>
                </c:pt>
                <c:pt idx="66">
                  <c:v>8.25</c:v>
                </c:pt>
                <c:pt idx="67">
                  <c:v>8.25</c:v>
                </c:pt>
                <c:pt idx="68">
                  <c:v>6.0625</c:v>
                </c:pt>
                <c:pt idx="69">
                  <c:v>6.0625</c:v>
                </c:pt>
                <c:pt idx="70">
                  <c:v>4.03125</c:v>
                </c:pt>
                <c:pt idx="71">
                  <c:v>4.03125</c:v>
                </c:pt>
                <c:pt idx="72">
                  <c:v>2.515625</c:v>
                </c:pt>
                <c:pt idx="73">
                  <c:v>2.515625</c:v>
                </c:pt>
                <c:pt idx="74">
                  <c:v>12.5</c:v>
                </c:pt>
                <c:pt idx="75">
                  <c:v>12.5</c:v>
                </c:pt>
                <c:pt idx="76">
                  <c:v>12</c:v>
                </c:pt>
                <c:pt idx="77">
                  <c:v>12</c:v>
                </c:pt>
                <c:pt idx="78">
                  <c:v>12</c:v>
                </c:pt>
                <c:pt idx="79">
                  <c:v>13</c:v>
                </c:pt>
                <c:pt idx="80">
                  <c:v>13</c:v>
                </c:pt>
                <c:pt idx="81">
                  <c:v>13</c:v>
                </c:pt>
                <c:pt idx="82">
                  <c:v>12.5</c:v>
                </c:pt>
                <c:pt idx="83">
                  <c:v>12.5</c:v>
                </c:pt>
                <c:pt idx="84">
                  <c:v>7.5078125</c:v>
                </c:pt>
              </c:numCache>
            </c:numRef>
          </c:xVal>
          <c:yVal>
            <c:numRef>
              <c:f>AHC_HID20!$B$1:$B$85</c:f>
              <c:numCache>
                <c:formatCode>0</c:formatCode>
                <c:ptCount val="85"/>
                <c:pt idx="0">
                  <c:v>17834755.525174819</c:v>
                </c:pt>
                <c:pt idx="1">
                  <c:v>17834755.525174819</c:v>
                </c:pt>
                <c:pt idx="2">
                  <c:v>754597.96561363642</c:v>
                </c:pt>
                <c:pt idx="3">
                  <c:v>754597.96561363642</c:v>
                </c:pt>
                <c:pt idx="4">
                  <c:v>0</c:v>
                </c:pt>
                <c:pt idx="5">
                  <c:v>754597.96561363642</c:v>
                </c:pt>
                <c:pt idx="6">
                  <c:v>754597.96561363642</c:v>
                </c:pt>
                <c:pt idx="7">
                  <c:v>169919.33908333333</c:v>
                </c:pt>
                <c:pt idx="8">
                  <c:v>169919.33908333333</c:v>
                </c:pt>
                <c:pt idx="9">
                  <c:v>0</c:v>
                </c:pt>
                <c:pt idx="10">
                  <c:v>169919.33908333333</c:v>
                </c:pt>
                <c:pt idx="11">
                  <c:v>169919.33908333333</c:v>
                </c:pt>
                <c:pt idx="12">
                  <c:v>50312.504916666658</c:v>
                </c:pt>
                <c:pt idx="13">
                  <c:v>50312.504916666658</c:v>
                </c:pt>
                <c:pt idx="14">
                  <c:v>4009.8237500000005</c:v>
                </c:pt>
                <c:pt idx="15">
                  <c:v>4009.8237500000005</c:v>
                </c:pt>
                <c:pt idx="16">
                  <c:v>0</c:v>
                </c:pt>
                <c:pt idx="17">
                  <c:v>4009.8237500000005</c:v>
                </c:pt>
                <c:pt idx="18">
                  <c:v>4009.8237500000005</c:v>
                </c:pt>
                <c:pt idx="19">
                  <c:v>1516.2837499999996</c:v>
                </c:pt>
                <c:pt idx="20">
                  <c:v>1516.2837499999996</c:v>
                </c:pt>
                <c:pt idx="21">
                  <c:v>0</c:v>
                </c:pt>
                <c:pt idx="22">
                  <c:v>1516.2837499999996</c:v>
                </c:pt>
                <c:pt idx="23">
                  <c:v>1516.2837499999996</c:v>
                </c:pt>
                <c:pt idx="24">
                  <c:v>466.98125000000022</c:v>
                </c:pt>
                <c:pt idx="25">
                  <c:v>466.98125000000022</c:v>
                </c:pt>
                <c:pt idx="26">
                  <c:v>0</c:v>
                </c:pt>
                <c:pt idx="27">
                  <c:v>466.98125000000022</c:v>
                </c:pt>
                <c:pt idx="28">
                  <c:v>466.98125000000022</c:v>
                </c:pt>
                <c:pt idx="29">
                  <c:v>0</c:v>
                </c:pt>
                <c:pt idx="30">
                  <c:v>466.98125000000022</c:v>
                </c:pt>
                <c:pt idx="31">
                  <c:v>466.98125000000022</c:v>
                </c:pt>
                <c:pt idx="32">
                  <c:v>1516.2837499999996</c:v>
                </c:pt>
                <c:pt idx="33">
                  <c:v>1516.2837499999996</c:v>
                </c:pt>
                <c:pt idx="34">
                  <c:v>4009.8237500000005</c:v>
                </c:pt>
                <c:pt idx="35">
                  <c:v>4009.8237500000005</c:v>
                </c:pt>
                <c:pt idx="36">
                  <c:v>50312.504916666658</c:v>
                </c:pt>
                <c:pt idx="37">
                  <c:v>50312.504916666658</c:v>
                </c:pt>
                <c:pt idx="38">
                  <c:v>18407.796124999997</c:v>
                </c:pt>
                <c:pt idx="39">
                  <c:v>18407.796124999997</c:v>
                </c:pt>
                <c:pt idx="40">
                  <c:v>0</c:v>
                </c:pt>
                <c:pt idx="41">
                  <c:v>18407.796124999997</c:v>
                </c:pt>
                <c:pt idx="42">
                  <c:v>18407.796124999997</c:v>
                </c:pt>
                <c:pt idx="43">
                  <c:v>6884.7706250000001</c:v>
                </c:pt>
                <c:pt idx="44">
                  <c:v>6884.7706250000001</c:v>
                </c:pt>
                <c:pt idx="45">
                  <c:v>185.90499999999994</c:v>
                </c:pt>
                <c:pt idx="46">
                  <c:v>185.90499999999994</c:v>
                </c:pt>
                <c:pt idx="47">
                  <c:v>0</c:v>
                </c:pt>
                <c:pt idx="48">
                  <c:v>185.90499999999994</c:v>
                </c:pt>
                <c:pt idx="49">
                  <c:v>185.90499999999994</c:v>
                </c:pt>
                <c:pt idx="50">
                  <c:v>0</c:v>
                </c:pt>
                <c:pt idx="51">
                  <c:v>185.90499999999994</c:v>
                </c:pt>
                <c:pt idx="52">
                  <c:v>185.90499999999994</c:v>
                </c:pt>
                <c:pt idx="53">
                  <c:v>6884.7706250000001</c:v>
                </c:pt>
                <c:pt idx="54">
                  <c:v>6884.7706250000001</c:v>
                </c:pt>
                <c:pt idx="55">
                  <c:v>644.66624999999988</c:v>
                </c:pt>
                <c:pt idx="56">
                  <c:v>644.66624999999988</c:v>
                </c:pt>
                <c:pt idx="57">
                  <c:v>0</c:v>
                </c:pt>
                <c:pt idx="58">
                  <c:v>644.66624999999988</c:v>
                </c:pt>
                <c:pt idx="59">
                  <c:v>644.66624999999988</c:v>
                </c:pt>
                <c:pt idx="60">
                  <c:v>0</c:v>
                </c:pt>
                <c:pt idx="61">
                  <c:v>644.66624999999988</c:v>
                </c:pt>
                <c:pt idx="62">
                  <c:v>644.66624999999988</c:v>
                </c:pt>
                <c:pt idx="63">
                  <c:v>6884.7706250000001</c:v>
                </c:pt>
                <c:pt idx="64">
                  <c:v>6884.7706250000001</c:v>
                </c:pt>
                <c:pt idx="65">
                  <c:v>18407.796124999997</c:v>
                </c:pt>
                <c:pt idx="66">
                  <c:v>18407.796124999997</c:v>
                </c:pt>
                <c:pt idx="67">
                  <c:v>50312.504916666658</c:v>
                </c:pt>
                <c:pt idx="68">
                  <c:v>50312.504916666658</c:v>
                </c:pt>
                <c:pt idx="69">
                  <c:v>169919.33908333333</c:v>
                </c:pt>
                <c:pt idx="70">
                  <c:v>169919.33908333333</c:v>
                </c:pt>
                <c:pt idx="71">
                  <c:v>754597.96561363642</c:v>
                </c:pt>
                <c:pt idx="72">
                  <c:v>754597.96561363642</c:v>
                </c:pt>
                <c:pt idx="73">
                  <c:v>17834755.525174819</c:v>
                </c:pt>
                <c:pt idx="74">
                  <c:v>17834755.525174819</c:v>
                </c:pt>
                <c:pt idx="75">
                  <c:v>3886031.6249999995</c:v>
                </c:pt>
                <c:pt idx="76">
                  <c:v>3886031.6249999995</c:v>
                </c:pt>
                <c:pt idx="77">
                  <c:v>0</c:v>
                </c:pt>
                <c:pt idx="78">
                  <c:v>3886031.6249999995</c:v>
                </c:pt>
                <c:pt idx="79">
                  <c:v>3886031.6249999995</c:v>
                </c:pt>
                <c:pt idx="80">
                  <c:v>0</c:v>
                </c:pt>
                <c:pt idx="81">
                  <c:v>3886031.6249999995</c:v>
                </c:pt>
                <c:pt idx="82">
                  <c:v>3886031.6249999995</c:v>
                </c:pt>
                <c:pt idx="83">
                  <c:v>17834755.525174819</c:v>
                </c:pt>
                <c:pt idx="84">
                  <c:v>17834755.525174819</c:v>
                </c:pt>
              </c:numCache>
            </c:numRef>
          </c:yVal>
          <c:smooth val="0"/>
          <c:extLst xmlns:c16r2="http://schemas.microsoft.com/office/drawing/2015/06/chart">
            <c:ext xmlns:c16="http://schemas.microsoft.com/office/drawing/2014/chart" uri="{C3380CC4-5D6E-409C-BE32-E72D297353CC}">
              <c16:uniqueId val="{00000060-22D8-40CB-96B5-4120FF8481D1}"/>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12646.283374999999</c:v>
              </c:pt>
              <c:pt idx="1">
                <c:v>12646.283374999999</c:v>
              </c:pt>
            </c:numLit>
          </c:yVal>
          <c:smooth val="0"/>
          <c:extLst xmlns:c16r2="http://schemas.microsoft.com/office/drawing/2015/06/chart">
            <c:ext xmlns:c16="http://schemas.microsoft.com/office/drawing/2014/chart" uri="{C3380CC4-5D6E-409C-BE32-E72D297353CC}">
              <c16:uniqueId val="{00000061-22D8-40CB-96B5-4120FF8481D1}"/>
            </c:ext>
          </c:extLst>
        </c:ser>
        <c:ser>
          <c:idx val="2"/>
          <c:order val="2"/>
          <c:spPr>
            <a:ln w="19050">
              <a:noFill/>
            </a:ln>
            <a:effectLst/>
          </c:spPr>
          <c:marker>
            <c:spPr>
              <a:noFill/>
              <a:ln w="6350">
                <a:noFill/>
              </a:ln>
            </c:spPr>
          </c:marker>
          <c:dLbls>
            <c:dLbl>
              <c:idx val="0"/>
              <c:layout/>
              <c:tx>
                <c:rich>
                  <a:bodyPr/>
                  <a:lstStyle/>
                  <a:p>
                    <a:r>
                      <a:rPr lang="en-US"/>
                      <a:t>KT1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22D8-40CB-96B5-4120FF8481D1}"/>
                </c:ext>
              </c:extLst>
            </c:dLbl>
            <c:dLbl>
              <c:idx val="1"/>
              <c:layout/>
              <c:tx>
                <c:rich>
                  <a:bodyPr/>
                  <a:lstStyle/>
                  <a:p>
                    <a:r>
                      <a:rPr lang="en-US"/>
                      <a:t>B1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22D8-40CB-96B5-4120FF8481D1}"/>
                </c:ext>
              </c:extLst>
            </c:dLbl>
            <c:dLbl>
              <c:idx val="2"/>
              <c:layout/>
              <c:tx>
                <c:rich>
                  <a:bodyPr/>
                  <a:lstStyle/>
                  <a:p>
                    <a:r>
                      <a:rPr lang="en-US"/>
                      <a:t>B2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22D8-40CB-96B5-4120FF8481D1}"/>
                </c:ext>
              </c:extLst>
            </c:dLbl>
            <c:dLbl>
              <c:idx val="3"/>
              <c:layout/>
              <c:tx>
                <c:rich>
                  <a:bodyPr/>
                  <a:lstStyle/>
                  <a:p>
                    <a:r>
                      <a:rPr lang="en-US"/>
                      <a:t>K1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22D8-40CB-96B5-4120FF8481D1}"/>
                </c:ext>
              </c:extLst>
            </c:dLbl>
            <c:dLbl>
              <c:idx val="4"/>
              <c:layout/>
              <c:tx>
                <c:rich>
                  <a:bodyPr/>
                  <a:lstStyle/>
                  <a:p>
                    <a:r>
                      <a:rPr lang="en-US"/>
                      <a:t>S1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22D8-40CB-96B5-4120FF8481D1}"/>
                </c:ext>
              </c:extLst>
            </c:dLbl>
            <c:dLbl>
              <c:idx val="5"/>
              <c:layout/>
              <c:tx>
                <c:rich>
                  <a:bodyPr/>
                  <a:lstStyle/>
                  <a:p>
                    <a:r>
                      <a:rPr lang="en-US"/>
                      <a:t>M2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22D8-40CB-96B5-4120FF8481D1}"/>
                </c:ext>
              </c:extLst>
            </c:dLbl>
            <c:dLbl>
              <c:idx val="6"/>
              <c:layout/>
              <c:tx>
                <c:rich>
                  <a:bodyPr/>
                  <a:lstStyle/>
                  <a:p>
                    <a:r>
                      <a:rPr lang="en-US"/>
                      <a:t>M3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8-22D8-40CB-96B5-4120FF8481D1}"/>
                </c:ext>
              </c:extLst>
            </c:dLbl>
            <c:dLbl>
              <c:idx val="7"/>
              <c:layout/>
              <c:tx>
                <c:rich>
                  <a:bodyPr/>
                  <a:lstStyle/>
                  <a:p>
                    <a:r>
                      <a:rPr lang="en-US"/>
                      <a:t>KT2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9-22D8-40CB-96B5-4120FF8481D1}"/>
                </c:ext>
              </c:extLst>
            </c:dLbl>
            <c:dLbl>
              <c:idx val="8"/>
              <c:layout/>
              <c:tx>
                <c:rich>
                  <a:bodyPr/>
                  <a:lstStyle/>
                  <a:p>
                    <a:r>
                      <a:rPr lang="en-US"/>
                      <a:t>M1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22D8-40CB-96B5-4120FF8481D1}"/>
                </c:ext>
              </c:extLst>
            </c:dLbl>
            <c:dLbl>
              <c:idx val="9"/>
              <c:layout/>
              <c:tx>
                <c:rich>
                  <a:bodyPr/>
                  <a:lstStyle/>
                  <a:p>
                    <a:r>
                      <a:rPr lang="en-US"/>
                      <a:t>S2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22D8-40CB-96B5-4120FF8481D1}"/>
                </c:ext>
              </c:extLst>
            </c:dLbl>
            <c:dLbl>
              <c:idx val="10"/>
              <c:layout/>
              <c:tx>
                <c:rich>
                  <a:bodyPr/>
                  <a:lstStyle/>
                  <a:p>
                    <a:r>
                      <a:rPr lang="en-US"/>
                      <a:t>D1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22D8-40CB-96B5-4120FF8481D1}"/>
                </c:ext>
              </c:extLst>
            </c:dLbl>
            <c:dLbl>
              <c:idx val="11"/>
              <c:layout/>
              <c:tx>
                <c:rich>
                  <a:bodyPr/>
                  <a:lstStyle/>
                  <a:p>
                    <a:r>
                      <a:rPr lang="en-US"/>
                      <a:t>B3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D-22D8-40CB-96B5-4120FF8481D1}"/>
                </c:ext>
              </c:extLst>
            </c:dLbl>
            <c:dLbl>
              <c:idx val="12"/>
              <c:layout/>
              <c:tx>
                <c:rich>
                  <a:bodyPr/>
                  <a:lstStyle/>
                  <a:p>
                    <a:r>
                      <a:rPr lang="en-US"/>
                      <a:t>B4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E-22D8-40CB-96B5-4120FF8481D1}"/>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AHC_HID20!$C$1:$C$13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AHC_HID20!$D$1:$D$13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xmlns:c16r2="http://schemas.microsoft.com/office/drawing/2015/06/chart">
            <c:ext xmlns:c16="http://schemas.microsoft.com/office/drawing/2014/chart" uri="{C3380CC4-5D6E-409C-BE32-E72D297353CC}">
              <c16:uniqueId val="{0000006F-22D8-40CB-96B5-4120FF8481D1}"/>
            </c:ext>
          </c:extLst>
        </c:ser>
        <c:dLbls>
          <c:showLegendKey val="0"/>
          <c:showVal val="0"/>
          <c:showCatName val="0"/>
          <c:showSerName val="0"/>
          <c:showPercent val="0"/>
          <c:showBubbleSize val="0"/>
        </c:dLbls>
        <c:axId val="93401088"/>
        <c:axId val="93403008"/>
      </c:scatterChart>
      <c:valAx>
        <c:axId val="93401088"/>
        <c:scaling>
          <c:orientation val="minMax"/>
          <c:max val="14"/>
          <c:min val="0"/>
        </c:scaling>
        <c:delete val="0"/>
        <c:axPos val="b"/>
        <c:title>
          <c:tx>
            <c:rich>
              <a:bodyPr/>
              <a:lstStyle/>
              <a:p>
                <a:pPr>
                  <a:defRPr sz="800" b="1"/>
                </a:pPr>
                <a:r>
                  <a:rPr lang="ms-MY"/>
                  <a:t> </a:t>
                </a:r>
              </a:p>
            </c:rich>
          </c:tx>
          <c:layout/>
          <c:overlay val="0"/>
        </c:title>
        <c:numFmt formatCode="General" sourceLinked="0"/>
        <c:majorTickMark val="none"/>
        <c:minorTickMark val="none"/>
        <c:tickLblPos val="none"/>
        <c:txPr>
          <a:bodyPr/>
          <a:lstStyle/>
          <a:p>
            <a:pPr>
              <a:defRPr sz="700"/>
            </a:pPr>
            <a:endParaRPr lang="en-US"/>
          </a:p>
        </c:txPr>
        <c:crossAx val="93403008"/>
        <c:crosses val="autoZero"/>
        <c:crossBetween val="midCat"/>
      </c:valAx>
      <c:valAx>
        <c:axId val="93403008"/>
        <c:scaling>
          <c:orientation val="minMax"/>
          <c:min val="0"/>
        </c:scaling>
        <c:delete val="0"/>
        <c:axPos val="l"/>
        <c:title>
          <c:tx>
            <c:rich>
              <a:bodyPr/>
              <a:lstStyle/>
              <a:p>
                <a:pPr>
                  <a:defRPr sz="800" b="1"/>
                </a:pPr>
                <a:r>
                  <a:rPr lang="ms-MY"/>
                  <a:t>Dissimilarity</a:t>
                </a:r>
              </a:p>
            </c:rich>
          </c:tx>
          <c:layout/>
          <c:overlay val="0"/>
        </c:title>
        <c:numFmt formatCode="General" sourceLinked="0"/>
        <c:majorTickMark val="cross"/>
        <c:minorTickMark val="none"/>
        <c:tickLblPos val="nextTo"/>
        <c:txPr>
          <a:bodyPr/>
          <a:lstStyle/>
          <a:p>
            <a:pPr>
              <a:defRPr sz="700"/>
            </a:pPr>
            <a:endParaRPr lang="en-US"/>
          </a:p>
        </c:txPr>
        <c:crossAx val="93401088"/>
        <c:crosses val="autoZero"/>
        <c:crossBetween val="midCat"/>
      </c:valAx>
      <c:spPr>
        <a:ln>
          <a:solidFill>
            <a:srgbClr val="808080"/>
          </a:solidFill>
          <a:prstDash val="solid"/>
        </a:ln>
      </c:spPr>
    </c:plotArea>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pPr>
            <a:r>
              <a:rPr lang="ms-MY"/>
              <a:t>Dendrogram</a:t>
            </a:r>
          </a:p>
        </c:rich>
      </c:tx>
      <c:layout/>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D2BF-44DF-835D-4F2A859B5BEA}"/>
              </c:ext>
            </c:extLst>
          </c:dPt>
          <c:dPt>
            <c:idx val="9"/>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D2BF-44DF-835D-4F2A859B5BEA}"/>
              </c:ext>
            </c:extLst>
          </c:dPt>
          <c:dPt>
            <c:idx val="1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D2BF-44DF-835D-4F2A859B5BEA}"/>
              </c:ext>
            </c:extLst>
          </c:dPt>
          <c:dPt>
            <c:idx val="1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7-D2BF-44DF-835D-4F2A859B5BEA}"/>
              </c:ext>
            </c:extLst>
          </c:dPt>
          <c:dPt>
            <c:idx val="1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9-D2BF-44DF-835D-4F2A859B5BEA}"/>
              </c:ext>
            </c:extLst>
          </c:dPt>
          <c:dPt>
            <c:idx val="1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B-D2BF-44DF-835D-4F2A859B5BEA}"/>
              </c:ext>
            </c:extLst>
          </c:dPt>
          <c:dPt>
            <c:idx val="1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D-D2BF-44DF-835D-4F2A859B5BEA}"/>
              </c:ext>
            </c:extLst>
          </c:dPt>
          <c:dPt>
            <c:idx val="1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F-D2BF-44DF-835D-4F2A859B5BEA}"/>
              </c:ext>
            </c:extLst>
          </c:dPt>
          <c:dPt>
            <c:idx val="2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1-D2BF-44DF-835D-4F2A859B5BEA}"/>
              </c:ext>
            </c:extLst>
          </c:dPt>
          <c:dPt>
            <c:idx val="2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3-D2BF-44DF-835D-4F2A859B5BEA}"/>
              </c:ext>
            </c:extLst>
          </c:dPt>
          <c:dPt>
            <c:idx val="2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5-D2BF-44DF-835D-4F2A859B5BEA}"/>
              </c:ext>
            </c:extLst>
          </c:dPt>
          <c:dPt>
            <c:idx val="2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7-D2BF-44DF-835D-4F2A859B5BEA}"/>
              </c:ext>
            </c:extLst>
          </c:dPt>
          <c:dPt>
            <c:idx val="2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9-D2BF-44DF-835D-4F2A859B5BEA}"/>
              </c:ext>
            </c:extLst>
          </c:dPt>
          <c:dPt>
            <c:idx val="2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B-D2BF-44DF-835D-4F2A859B5BEA}"/>
              </c:ext>
            </c:extLst>
          </c:dPt>
          <c:dPt>
            <c:idx val="2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D-D2BF-44DF-835D-4F2A859B5BEA}"/>
              </c:ext>
            </c:extLst>
          </c:dPt>
          <c:dPt>
            <c:idx val="2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F-D2BF-44DF-835D-4F2A859B5BEA}"/>
              </c:ext>
            </c:extLst>
          </c:dPt>
          <c:dPt>
            <c:idx val="2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1-D2BF-44DF-835D-4F2A859B5BEA}"/>
              </c:ext>
            </c:extLst>
          </c:dPt>
          <c:dPt>
            <c:idx val="2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3-D2BF-44DF-835D-4F2A859B5BEA}"/>
              </c:ext>
            </c:extLst>
          </c:dPt>
          <c:dPt>
            <c:idx val="3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5-D2BF-44DF-835D-4F2A859B5BEA}"/>
              </c:ext>
            </c:extLst>
          </c:dPt>
          <c:dPt>
            <c:idx val="3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7-D2BF-44DF-835D-4F2A859B5BEA}"/>
              </c:ext>
            </c:extLst>
          </c:dPt>
          <c:dPt>
            <c:idx val="3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9-D2BF-44DF-835D-4F2A859B5BEA}"/>
              </c:ext>
            </c:extLst>
          </c:dPt>
          <c:dPt>
            <c:idx val="3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B-D2BF-44DF-835D-4F2A859B5BEA}"/>
              </c:ext>
            </c:extLst>
          </c:dPt>
          <c:dPt>
            <c:idx val="3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D-D2BF-44DF-835D-4F2A859B5BEA}"/>
              </c:ext>
            </c:extLst>
          </c:dPt>
          <c:dPt>
            <c:idx val="3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F-D2BF-44DF-835D-4F2A859B5BEA}"/>
              </c:ext>
            </c:extLst>
          </c:dPt>
          <c:dPt>
            <c:idx val="40"/>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1-D2BF-44DF-835D-4F2A859B5BEA}"/>
              </c:ext>
            </c:extLst>
          </c:dPt>
          <c:dPt>
            <c:idx val="4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3-D2BF-44DF-835D-4F2A859B5BEA}"/>
              </c:ext>
            </c:extLst>
          </c:dPt>
          <c:dPt>
            <c:idx val="4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5-D2BF-44DF-835D-4F2A859B5BEA}"/>
              </c:ext>
            </c:extLst>
          </c:dPt>
          <c:dPt>
            <c:idx val="4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7-D2BF-44DF-835D-4F2A859B5BEA}"/>
              </c:ext>
            </c:extLst>
          </c:dPt>
          <c:dPt>
            <c:idx val="4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9-D2BF-44DF-835D-4F2A859B5BEA}"/>
              </c:ext>
            </c:extLst>
          </c:dPt>
          <c:dPt>
            <c:idx val="4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B-D2BF-44DF-835D-4F2A859B5BEA}"/>
              </c:ext>
            </c:extLst>
          </c:dPt>
          <c:dPt>
            <c:idx val="4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D-D2BF-44DF-835D-4F2A859B5BEA}"/>
              </c:ext>
            </c:extLst>
          </c:dPt>
          <c:dPt>
            <c:idx val="4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3F-D2BF-44DF-835D-4F2A859B5BEA}"/>
              </c:ext>
            </c:extLst>
          </c:dPt>
          <c:dPt>
            <c:idx val="5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1-D2BF-44DF-835D-4F2A859B5BEA}"/>
              </c:ext>
            </c:extLst>
          </c:dPt>
          <c:dPt>
            <c:idx val="5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3-D2BF-44DF-835D-4F2A859B5BEA}"/>
              </c:ext>
            </c:extLst>
          </c:dPt>
          <c:dPt>
            <c:idx val="5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5-D2BF-44DF-835D-4F2A859B5BEA}"/>
              </c:ext>
            </c:extLst>
          </c:dPt>
          <c:dPt>
            <c:idx val="5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7-D2BF-44DF-835D-4F2A859B5BEA}"/>
              </c:ext>
            </c:extLst>
          </c:dPt>
          <c:dPt>
            <c:idx val="5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9-D2BF-44DF-835D-4F2A859B5BEA}"/>
              </c:ext>
            </c:extLst>
          </c:dPt>
          <c:dPt>
            <c:idx val="55"/>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B-D2BF-44DF-835D-4F2A859B5BEA}"/>
              </c:ext>
            </c:extLst>
          </c:dPt>
          <c:dPt>
            <c:idx val="56"/>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D-D2BF-44DF-835D-4F2A859B5BEA}"/>
              </c:ext>
            </c:extLst>
          </c:dPt>
          <c:dPt>
            <c:idx val="57"/>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4F-D2BF-44DF-835D-4F2A859B5BEA}"/>
              </c:ext>
            </c:extLst>
          </c:dPt>
          <c:dPt>
            <c:idx val="58"/>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1-D2BF-44DF-835D-4F2A859B5BEA}"/>
              </c:ext>
            </c:extLst>
          </c:dPt>
          <c:dPt>
            <c:idx val="59"/>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3-D2BF-44DF-835D-4F2A859B5BEA}"/>
              </c:ext>
            </c:extLst>
          </c:dPt>
          <c:dPt>
            <c:idx val="60"/>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5-D2BF-44DF-835D-4F2A859B5BEA}"/>
              </c:ext>
            </c:extLst>
          </c:dPt>
          <c:dPt>
            <c:idx val="61"/>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7-D2BF-44DF-835D-4F2A859B5BEA}"/>
              </c:ext>
            </c:extLst>
          </c:dPt>
          <c:dPt>
            <c:idx val="62"/>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9-D2BF-44DF-835D-4F2A859B5BEA}"/>
              </c:ext>
            </c:extLst>
          </c:dPt>
          <c:dPt>
            <c:idx val="63"/>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B-D2BF-44DF-835D-4F2A859B5BEA}"/>
              </c:ext>
            </c:extLst>
          </c:dPt>
          <c:dPt>
            <c:idx val="64"/>
            <c:bubble3D val="0"/>
            <c:spPr>
              <a:ln w="12700">
                <a:solidFill>
                  <a:srgbClr val="5F5F5F"/>
                </a:solidFill>
                <a:prstDash val="solid"/>
              </a:ln>
              <a:effectLst/>
            </c:spPr>
            <c:extLst xmlns:c16r2="http://schemas.microsoft.com/office/drawing/2015/06/chart">
              <c:ext xmlns:c16="http://schemas.microsoft.com/office/drawing/2014/chart" uri="{C3380CC4-5D6E-409C-BE32-E72D297353CC}">
                <c16:uniqueId val="{0000005D-D2BF-44DF-835D-4F2A859B5BEA}"/>
              </c:ext>
            </c:extLst>
          </c:dPt>
          <c:dPt>
            <c:idx val="77"/>
            <c:bubble3D val="0"/>
            <c:spPr>
              <a:ln w="12700">
                <a:solidFill>
                  <a:srgbClr val="FF6600"/>
                </a:solidFill>
                <a:prstDash val="solid"/>
              </a:ln>
              <a:effectLst/>
            </c:spPr>
            <c:extLst xmlns:c16r2="http://schemas.microsoft.com/office/drawing/2015/06/chart">
              <c:ext xmlns:c16="http://schemas.microsoft.com/office/drawing/2014/chart" uri="{C3380CC4-5D6E-409C-BE32-E72D297353CC}">
                <c16:uniqueId val="{0000005F-D2BF-44DF-835D-4F2A859B5BEA}"/>
              </c:ext>
            </c:extLst>
          </c:dPt>
          <c:xVal>
            <c:numRef>
              <c:f>AHC_HID22!$A$1:$A$85</c:f>
              <c:numCache>
                <c:formatCode>0</c:formatCode>
                <c:ptCount val="85"/>
                <c:pt idx="0">
                  <c:v>7.5078125</c:v>
                </c:pt>
                <c:pt idx="1">
                  <c:v>2.515625</c:v>
                </c:pt>
                <c:pt idx="2">
                  <c:v>2.515625</c:v>
                </c:pt>
                <c:pt idx="3">
                  <c:v>1</c:v>
                </c:pt>
                <c:pt idx="4">
                  <c:v>1</c:v>
                </c:pt>
                <c:pt idx="5">
                  <c:v>1</c:v>
                </c:pt>
                <c:pt idx="6">
                  <c:v>4.03125</c:v>
                </c:pt>
                <c:pt idx="7">
                  <c:v>4.03125</c:v>
                </c:pt>
                <c:pt idx="8">
                  <c:v>2</c:v>
                </c:pt>
                <c:pt idx="9">
                  <c:v>2</c:v>
                </c:pt>
                <c:pt idx="10">
                  <c:v>2</c:v>
                </c:pt>
                <c:pt idx="11">
                  <c:v>6.0625</c:v>
                </c:pt>
                <c:pt idx="12">
                  <c:v>6.0625</c:v>
                </c:pt>
                <c:pt idx="13">
                  <c:v>3.875</c:v>
                </c:pt>
                <c:pt idx="14">
                  <c:v>3.875</c:v>
                </c:pt>
                <c:pt idx="15">
                  <c:v>3</c:v>
                </c:pt>
                <c:pt idx="16">
                  <c:v>3</c:v>
                </c:pt>
                <c:pt idx="17">
                  <c:v>3</c:v>
                </c:pt>
                <c:pt idx="18">
                  <c:v>4.75</c:v>
                </c:pt>
                <c:pt idx="19">
                  <c:v>4.75</c:v>
                </c:pt>
                <c:pt idx="20">
                  <c:v>4</c:v>
                </c:pt>
                <c:pt idx="21">
                  <c:v>4</c:v>
                </c:pt>
                <c:pt idx="22">
                  <c:v>4</c:v>
                </c:pt>
                <c:pt idx="23">
                  <c:v>5.5</c:v>
                </c:pt>
                <c:pt idx="24">
                  <c:v>5.5</c:v>
                </c:pt>
                <c:pt idx="25">
                  <c:v>5</c:v>
                </c:pt>
                <c:pt idx="26">
                  <c:v>5</c:v>
                </c:pt>
                <c:pt idx="27">
                  <c:v>5</c:v>
                </c:pt>
                <c:pt idx="28">
                  <c:v>6</c:v>
                </c:pt>
                <c:pt idx="29">
                  <c:v>6</c:v>
                </c:pt>
                <c:pt idx="30">
                  <c:v>6</c:v>
                </c:pt>
                <c:pt idx="31">
                  <c:v>5.5</c:v>
                </c:pt>
                <c:pt idx="32">
                  <c:v>5.5</c:v>
                </c:pt>
                <c:pt idx="33">
                  <c:v>4.75</c:v>
                </c:pt>
                <c:pt idx="34">
                  <c:v>4.75</c:v>
                </c:pt>
                <c:pt idx="35">
                  <c:v>3.875</c:v>
                </c:pt>
                <c:pt idx="36">
                  <c:v>3.875</c:v>
                </c:pt>
                <c:pt idx="37">
                  <c:v>8.25</c:v>
                </c:pt>
                <c:pt idx="38">
                  <c:v>8.25</c:v>
                </c:pt>
                <c:pt idx="39">
                  <c:v>7</c:v>
                </c:pt>
                <c:pt idx="40">
                  <c:v>7</c:v>
                </c:pt>
                <c:pt idx="41">
                  <c:v>7</c:v>
                </c:pt>
                <c:pt idx="42">
                  <c:v>9.5</c:v>
                </c:pt>
                <c:pt idx="43">
                  <c:v>9.5</c:v>
                </c:pt>
                <c:pt idx="44">
                  <c:v>8.5</c:v>
                </c:pt>
                <c:pt idx="45">
                  <c:v>8.5</c:v>
                </c:pt>
                <c:pt idx="46">
                  <c:v>8</c:v>
                </c:pt>
                <c:pt idx="47">
                  <c:v>8</c:v>
                </c:pt>
                <c:pt idx="48">
                  <c:v>8</c:v>
                </c:pt>
                <c:pt idx="49">
                  <c:v>9</c:v>
                </c:pt>
                <c:pt idx="50">
                  <c:v>9</c:v>
                </c:pt>
                <c:pt idx="51">
                  <c:v>9</c:v>
                </c:pt>
                <c:pt idx="52">
                  <c:v>8.5</c:v>
                </c:pt>
                <c:pt idx="53">
                  <c:v>8.5</c:v>
                </c:pt>
                <c:pt idx="54">
                  <c:v>10.5</c:v>
                </c:pt>
                <c:pt idx="55">
                  <c:v>10.5</c:v>
                </c:pt>
                <c:pt idx="56">
                  <c:v>10</c:v>
                </c:pt>
                <c:pt idx="57">
                  <c:v>10</c:v>
                </c:pt>
                <c:pt idx="58">
                  <c:v>10</c:v>
                </c:pt>
                <c:pt idx="59">
                  <c:v>11</c:v>
                </c:pt>
                <c:pt idx="60">
                  <c:v>11</c:v>
                </c:pt>
                <c:pt idx="61">
                  <c:v>11</c:v>
                </c:pt>
                <c:pt idx="62">
                  <c:v>10.5</c:v>
                </c:pt>
                <c:pt idx="63">
                  <c:v>10.5</c:v>
                </c:pt>
                <c:pt idx="64">
                  <c:v>9.5</c:v>
                </c:pt>
                <c:pt idx="65">
                  <c:v>9.5</c:v>
                </c:pt>
                <c:pt idx="66">
                  <c:v>8.25</c:v>
                </c:pt>
                <c:pt idx="67">
                  <c:v>8.25</c:v>
                </c:pt>
                <c:pt idx="68">
                  <c:v>6.0625</c:v>
                </c:pt>
                <c:pt idx="69">
                  <c:v>6.0625</c:v>
                </c:pt>
                <c:pt idx="70">
                  <c:v>4.03125</c:v>
                </c:pt>
                <c:pt idx="71">
                  <c:v>4.03125</c:v>
                </c:pt>
                <c:pt idx="72">
                  <c:v>2.515625</c:v>
                </c:pt>
                <c:pt idx="73">
                  <c:v>2.515625</c:v>
                </c:pt>
                <c:pt idx="74">
                  <c:v>12.5</c:v>
                </c:pt>
                <c:pt idx="75">
                  <c:v>12.5</c:v>
                </c:pt>
                <c:pt idx="76">
                  <c:v>12</c:v>
                </c:pt>
                <c:pt idx="77">
                  <c:v>12</c:v>
                </c:pt>
                <c:pt idx="78">
                  <c:v>12</c:v>
                </c:pt>
                <c:pt idx="79">
                  <c:v>13</c:v>
                </c:pt>
                <c:pt idx="80">
                  <c:v>13</c:v>
                </c:pt>
                <c:pt idx="81">
                  <c:v>13</c:v>
                </c:pt>
                <c:pt idx="82">
                  <c:v>12.5</c:v>
                </c:pt>
                <c:pt idx="83">
                  <c:v>12.5</c:v>
                </c:pt>
                <c:pt idx="84">
                  <c:v>7.5078125</c:v>
                </c:pt>
              </c:numCache>
            </c:numRef>
          </c:xVal>
          <c:yVal>
            <c:numRef>
              <c:f>AHC_HID22!$B$1:$B$85</c:f>
              <c:numCache>
                <c:formatCode>0</c:formatCode>
                <c:ptCount val="85"/>
                <c:pt idx="0">
                  <c:v>11.075524125874125</c:v>
                </c:pt>
                <c:pt idx="1">
                  <c:v>11.075524125874125</c:v>
                </c:pt>
                <c:pt idx="2">
                  <c:v>0.57511818181818186</c:v>
                </c:pt>
                <c:pt idx="3">
                  <c:v>0.57511818181818186</c:v>
                </c:pt>
                <c:pt idx="4">
                  <c:v>0</c:v>
                </c:pt>
                <c:pt idx="5">
                  <c:v>0.57511818181818186</c:v>
                </c:pt>
                <c:pt idx="6">
                  <c:v>0.57511818181818186</c:v>
                </c:pt>
                <c:pt idx="7">
                  <c:v>8.667777777777777E-2</c:v>
                </c:pt>
                <c:pt idx="8">
                  <c:v>8.667777777777777E-2</c:v>
                </c:pt>
                <c:pt idx="9">
                  <c:v>0</c:v>
                </c:pt>
                <c:pt idx="10">
                  <c:v>8.667777777777777E-2</c:v>
                </c:pt>
                <c:pt idx="11">
                  <c:v>8.667777777777777E-2</c:v>
                </c:pt>
                <c:pt idx="12">
                  <c:v>3.591222222222222E-2</c:v>
                </c:pt>
                <c:pt idx="13">
                  <c:v>3.591222222222222E-2</c:v>
                </c:pt>
                <c:pt idx="14">
                  <c:v>1.9499999999999999E-3</c:v>
                </c:pt>
                <c:pt idx="15">
                  <c:v>1.9499999999999999E-3</c:v>
                </c:pt>
                <c:pt idx="16">
                  <c:v>0</c:v>
                </c:pt>
                <c:pt idx="17">
                  <c:v>1.9499999999999999E-3</c:v>
                </c:pt>
                <c:pt idx="18">
                  <c:v>1.9499999999999999E-3</c:v>
                </c:pt>
                <c:pt idx="19">
                  <c:v>1.2499999999999998E-3</c:v>
                </c:pt>
                <c:pt idx="20">
                  <c:v>1.2499999999999998E-3</c:v>
                </c:pt>
                <c:pt idx="21">
                  <c:v>0</c:v>
                </c:pt>
                <c:pt idx="22">
                  <c:v>1.2499999999999998E-3</c:v>
                </c:pt>
                <c:pt idx="23">
                  <c:v>1.2499999999999998E-3</c:v>
                </c:pt>
                <c:pt idx="24">
                  <c:v>1.5000000000000023E-4</c:v>
                </c:pt>
                <c:pt idx="25">
                  <c:v>1.5000000000000023E-4</c:v>
                </c:pt>
                <c:pt idx="26">
                  <c:v>0</c:v>
                </c:pt>
                <c:pt idx="27">
                  <c:v>1.5000000000000023E-4</c:v>
                </c:pt>
                <c:pt idx="28">
                  <c:v>1.5000000000000023E-4</c:v>
                </c:pt>
                <c:pt idx="29">
                  <c:v>0</c:v>
                </c:pt>
                <c:pt idx="30">
                  <c:v>1.5000000000000023E-4</c:v>
                </c:pt>
                <c:pt idx="31">
                  <c:v>1.5000000000000023E-4</c:v>
                </c:pt>
                <c:pt idx="32">
                  <c:v>1.2499999999999998E-3</c:v>
                </c:pt>
                <c:pt idx="33">
                  <c:v>1.2499999999999998E-3</c:v>
                </c:pt>
                <c:pt idx="34">
                  <c:v>1.9499999999999999E-3</c:v>
                </c:pt>
                <c:pt idx="35">
                  <c:v>1.9499999999999999E-3</c:v>
                </c:pt>
                <c:pt idx="36">
                  <c:v>3.591222222222222E-2</c:v>
                </c:pt>
                <c:pt idx="37">
                  <c:v>3.591222222222222E-2</c:v>
                </c:pt>
                <c:pt idx="38">
                  <c:v>1.0485E-2</c:v>
                </c:pt>
                <c:pt idx="39">
                  <c:v>1.0485E-2</c:v>
                </c:pt>
                <c:pt idx="40">
                  <c:v>0</c:v>
                </c:pt>
                <c:pt idx="41">
                  <c:v>1.0485E-2</c:v>
                </c:pt>
                <c:pt idx="42">
                  <c:v>1.0485E-2</c:v>
                </c:pt>
                <c:pt idx="43">
                  <c:v>2.8250000000000011E-3</c:v>
                </c:pt>
                <c:pt idx="44">
                  <c:v>2.8250000000000011E-3</c:v>
                </c:pt>
                <c:pt idx="45">
                  <c:v>4.9999999999999969E-4</c:v>
                </c:pt>
                <c:pt idx="46">
                  <c:v>4.9999999999999969E-4</c:v>
                </c:pt>
                <c:pt idx="47">
                  <c:v>0</c:v>
                </c:pt>
                <c:pt idx="48">
                  <c:v>4.9999999999999969E-4</c:v>
                </c:pt>
                <c:pt idx="49">
                  <c:v>4.9999999999999969E-4</c:v>
                </c:pt>
                <c:pt idx="50">
                  <c:v>0</c:v>
                </c:pt>
                <c:pt idx="51">
                  <c:v>4.9999999999999969E-4</c:v>
                </c:pt>
                <c:pt idx="52">
                  <c:v>4.9999999999999969E-4</c:v>
                </c:pt>
                <c:pt idx="53">
                  <c:v>2.8250000000000011E-3</c:v>
                </c:pt>
                <c:pt idx="54">
                  <c:v>2.8250000000000011E-3</c:v>
                </c:pt>
                <c:pt idx="55">
                  <c:v>7.5000000000000056E-4</c:v>
                </c:pt>
                <c:pt idx="56">
                  <c:v>7.5000000000000056E-4</c:v>
                </c:pt>
                <c:pt idx="57">
                  <c:v>0</c:v>
                </c:pt>
                <c:pt idx="58">
                  <c:v>7.5000000000000056E-4</c:v>
                </c:pt>
                <c:pt idx="59">
                  <c:v>7.5000000000000056E-4</c:v>
                </c:pt>
                <c:pt idx="60">
                  <c:v>0</c:v>
                </c:pt>
                <c:pt idx="61">
                  <c:v>7.5000000000000056E-4</c:v>
                </c:pt>
                <c:pt idx="62">
                  <c:v>7.5000000000000056E-4</c:v>
                </c:pt>
                <c:pt idx="63">
                  <c:v>2.8250000000000011E-3</c:v>
                </c:pt>
                <c:pt idx="64">
                  <c:v>2.8250000000000011E-3</c:v>
                </c:pt>
                <c:pt idx="65">
                  <c:v>1.0485E-2</c:v>
                </c:pt>
                <c:pt idx="66">
                  <c:v>1.0485E-2</c:v>
                </c:pt>
                <c:pt idx="67">
                  <c:v>3.591222222222222E-2</c:v>
                </c:pt>
                <c:pt idx="68">
                  <c:v>3.591222222222222E-2</c:v>
                </c:pt>
                <c:pt idx="69">
                  <c:v>8.667777777777777E-2</c:v>
                </c:pt>
                <c:pt idx="70">
                  <c:v>8.667777777777777E-2</c:v>
                </c:pt>
                <c:pt idx="71">
                  <c:v>0.57511818181818186</c:v>
                </c:pt>
                <c:pt idx="72">
                  <c:v>0.57511818181818186</c:v>
                </c:pt>
                <c:pt idx="73">
                  <c:v>11.075524125874125</c:v>
                </c:pt>
                <c:pt idx="74">
                  <c:v>11.075524125874125</c:v>
                </c:pt>
                <c:pt idx="75">
                  <c:v>2.5741499999999995</c:v>
                </c:pt>
                <c:pt idx="76">
                  <c:v>2.5741499999999995</c:v>
                </c:pt>
                <c:pt idx="77">
                  <c:v>0</c:v>
                </c:pt>
                <c:pt idx="78">
                  <c:v>2.5741499999999995</c:v>
                </c:pt>
                <c:pt idx="79">
                  <c:v>2.5741499999999995</c:v>
                </c:pt>
                <c:pt idx="80">
                  <c:v>0</c:v>
                </c:pt>
                <c:pt idx="81">
                  <c:v>2.5741499999999995</c:v>
                </c:pt>
                <c:pt idx="82">
                  <c:v>2.5741499999999995</c:v>
                </c:pt>
                <c:pt idx="83">
                  <c:v>11.075524125874125</c:v>
                </c:pt>
                <c:pt idx="84">
                  <c:v>11.075524125874125</c:v>
                </c:pt>
              </c:numCache>
            </c:numRef>
          </c:yVal>
          <c:smooth val="0"/>
          <c:extLst xmlns:c16r2="http://schemas.microsoft.com/office/drawing/2015/06/chart">
            <c:ext xmlns:c16="http://schemas.microsoft.com/office/drawing/2014/chart" uri="{C3380CC4-5D6E-409C-BE32-E72D297353CC}">
              <c16:uniqueId val="{00000060-D2BF-44DF-835D-4F2A859B5BEA}"/>
            </c:ext>
          </c:extLst>
        </c:ser>
        <c:ser>
          <c:idx val="1"/>
          <c:order val="1"/>
          <c:spPr>
            <a:ln w="12700">
              <a:solidFill>
                <a:srgbClr val="000000"/>
              </a:solidFill>
              <a:prstDash val="sysDash"/>
            </a:ln>
          </c:spPr>
          <c:marker>
            <c:symbol val="none"/>
          </c:marker>
          <c:xVal>
            <c:numLit>
              <c:formatCode>General</c:formatCode>
              <c:ptCount val="2"/>
              <c:pt idx="0">
                <c:v>0</c:v>
              </c:pt>
              <c:pt idx="1">
                <c:v>14</c:v>
              </c:pt>
            </c:numLit>
          </c:xVal>
          <c:yVal>
            <c:numLit>
              <c:formatCode>General</c:formatCode>
              <c:ptCount val="2"/>
              <c:pt idx="0">
                <c:v>6.6550000000000003E-3</c:v>
              </c:pt>
              <c:pt idx="1">
                <c:v>6.6550000000000003E-3</c:v>
              </c:pt>
            </c:numLit>
          </c:yVal>
          <c:smooth val="0"/>
          <c:extLst xmlns:c16r2="http://schemas.microsoft.com/office/drawing/2015/06/chart">
            <c:ext xmlns:c16="http://schemas.microsoft.com/office/drawing/2014/chart" uri="{C3380CC4-5D6E-409C-BE32-E72D297353CC}">
              <c16:uniqueId val="{00000061-D2BF-44DF-835D-4F2A859B5BEA}"/>
            </c:ext>
          </c:extLst>
        </c:ser>
        <c:ser>
          <c:idx val="2"/>
          <c:order val="2"/>
          <c:spPr>
            <a:ln w="19050">
              <a:noFill/>
            </a:ln>
            <a:effectLst/>
          </c:spPr>
          <c:marker>
            <c:spPr>
              <a:noFill/>
              <a:ln w="6350">
                <a:noFill/>
              </a:ln>
            </c:spPr>
          </c:marker>
          <c:dLbls>
            <c:dLbl>
              <c:idx val="0"/>
              <c:layout/>
              <c:tx>
                <c:rich>
                  <a:bodyPr/>
                  <a:lstStyle/>
                  <a:p>
                    <a:r>
                      <a:rPr lang="en-US"/>
                      <a:t>KT1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D2BF-44DF-835D-4F2A859B5BEA}"/>
                </c:ext>
              </c:extLst>
            </c:dLbl>
            <c:dLbl>
              <c:idx val="1"/>
              <c:layout/>
              <c:tx>
                <c:rich>
                  <a:bodyPr/>
                  <a:lstStyle/>
                  <a:p>
                    <a:r>
                      <a:rPr lang="en-US"/>
                      <a:t>B1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D2BF-44DF-835D-4F2A859B5BEA}"/>
                </c:ext>
              </c:extLst>
            </c:dLbl>
            <c:dLbl>
              <c:idx val="2"/>
              <c:layout/>
              <c:tx>
                <c:rich>
                  <a:bodyPr/>
                  <a:lstStyle/>
                  <a:p>
                    <a:r>
                      <a:rPr lang="en-US"/>
                      <a:t>B2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D2BF-44DF-835D-4F2A859B5BEA}"/>
                </c:ext>
              </c:extLst>
            </c:dLbl>
            <c:dLbl>
              <c:idx val="3"/>
              <c:layout/>
              <c:tx>
                <c:rich>
                  <a:bodyPr/>
                  <a:lstStyle/>
                  <a:p>
                    <a:r>
                      <a:rPr lang="en-US"/>
                      <a:t>K1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D2BF-44DF-835D-4F2A859B5BEA}"/>
                </c:ext>
              </c:extLst>
            </c:dLbl>
            <c:dLbl>
              <c:idx val="4"/>
              <c:layout/>
              <c:tx>
                <c:rich>
                  <a:bodyPr/>
                  <a:lstStyle/>
                  <a:p>
                    <a:r>
                      <a:rPr lang="en-US"/>
                      <a:t>S1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D2BF-44DF-835D-4F2A859B5BEA}"/>
                </c:ext>
              </c:extLst>
            </c:dLbl>
            <c:dLbl>
              <c:idx val="5"/>
              <c:layout/>
              <c:tx>
                <c:rich>
                  <a:bodyPr/>
                  <a:lstStyle/>
                  <a:p>
                    <a:r>
                      <a:rPr lang="en-US"/>
                      <a:t>M2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D2BF-44DF-835D-4F2A859B5BEA}"/>
                </c:ext>
              </c:extLst>
            </c:dLbl>
            <c:dLbl>
              <c:idx val="6"/>
              <c:layout/>
              <c:tx>
                <c:rich>
                  <a:bodyPr/>
                  <a:lstStyle/>
                  <a:p>
                    <a:r>
                      <a:rPr lang="en-US"/>
                      <a:t>M3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8-D2BF-44DF-835D-4F2A859B5BEA}"/>
                </c:ext>
              </c:extLst>
            </c:dLbl>
            <c:dLbl>
              <c:idx val="7"/>
              <c:layout/>
              <c:tx>
                <c:rich>
                  <a:bodyPr/>
                  <a:lstStyle/>
                  <a:p>
                    <a:r>
                      <a:rPr lang="en-US"/>
                      <a:t>S2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9-D2BF-44DF-835D-4F2A859B5BEA}"/>
                </c:ext>
              </c:extLst>
            </c:dLbl>
            <c:dLbl>
              <c:idx val="8"/>
              <c:layout/>
              <c:tx>
                <c:rich>
                  <a:bodyPr/>
                  <a:lstStyle/>
                  <a:p>
                    <a:r>
                      <a:rPr lang="en-US"/>
                      <a:t>D1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D2BF-44DF-835D-4F2A859B5BEA}"/>
                </c:ext>
              </c:extLst>
            </c:dLbl>
            <c:dLbl>
              <c:idx val="9"/>
              <c:layout/>
              <c:tx>
                <c:rich>
                  <a:bodyPr/>
                  <a:lstStyle/>
                  <a:p>
                    <a:r>
                      <a:rPr lang="en-US"/>
                      <a:t>KT2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D2BF-44DF-835D-4F2A859B5BEA}"/>
                </c:ext>
              </c:extLst>
            </c:dLbl>
            <c:dLbl>
              <c:idx val="10"/>
              <c:layout/>
              <c:tx>
                <c:rich>
                  <a:bodyPr/>
                  <a:lstStyle/>
                  <a:p>
                    <a:r>
                      <a:rPr lang="en-US"/>
                      <a:t>M1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D2BF-44DF-835D-4F2A859B5BEA}"/>
                </c:ext>
              </c:extLst>
            </c:dLbl>
            <c:dLbl>
              <c:idx val="11"/>
              <c:layout/>
              <c:tx>
                <c:rich>
                  <a:bodyPr/>
                  <a:lstStyle/>
                  <a:p>
                    <a:r>
                      <a:rPr lang="en-US"/>
                      <a:t>B3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D-D2BF-44DF-835D-4F2A859B5BEA}"/>
                </c:ext>
              </c:extLst>
            </c:dLbl>
            <c:dLbl>
              <c:idx val="12"/>
              <c:layout/>
              <c:tx>
                <c:rich>
                  <a:bodyPr/>
                  <a:lstStyle/>
                  <a:p>
                    <a:r>
                      <a:rPr lang="en-US"/>
                      <a:t>B4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E-D2BF-44DF-835D-4F2A859B5BEA}"/>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AHC_HID22!$C$1:$C$13</c:f>
              <c:numCache>
                <c:formatCode>0</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xVal>
          <c:yVal>
            <c:numRef>
              <c:f>AHC_HID22!$D$1:$D$13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yVal>
          <c:smooth val="0"/>
          <c:extLst xmlns:c16r2="http://schemas.microsoft.com/office/drawing/2015/06/chart">
            <c:ext xmlns:c16="http://schemas.microsoft.com/office/drawing/2014/chart" uri="{C3380CC4-5D6E-409C-BE32-E72D297353CC}">
              <c16:uniqueId val="{0000006F-D2BF-44DF-835D-4F2A859B5BEA}"/>
            </c:ext>
          </c:extLst>
        </c:ser>
        <c:dLbls>
          <c:showLegendKey val="0"/>
          <c:showVal val="0"/>
          <c:showCatName val="0"/>
          <c:showSerName val="0"/>
          <c:showPercent val="0"/>
          <c:showBubbleSize val="0"/>
        </c:dLbls>
        <c:axId val="93947392"/>
        <c:axId val="93949312"/>
      </c:scatterChart>
      <c:valAx>
        <c:axId val="93947392"/>
        <c:scaling>
          <c:orientation val="minMax"/>
          <c:max val="14"/>
          <c:min val="0"/>
        </c:scaling>
        <c:delete val="0"/>
        <c:axPos val="b"/>
        <c:title>
          <c:tx>
            <c:rich>
              <a:bodyPr/>
              <a:lstStyle/>
              <a:p>
                <a:pPr>
                  <a:defRPr sz="800" b="1"/>
                </a:pPr>
                <a:r>
                  <a:rPr lang="ms-MY"/>
                  <a:t> </a:t>
                </a:r>
              </a:p>
            </c:rich>
          </c:tx>
          <c:layout/>
          <c:overlay val="0"/>
        </c:title>
        <c:numFmt formatCode="General" sourceLinked="0"/>
        <c:majorTickMark val="none"/>
        <c:minorTickMark val="none"/>
        <c:tickLblPos val="none"/>
        <c:txPr>
          <a:bodyPr/>
          <a:lstStyle/>
          <a:p>
            <a:pPr>
              <a:defRPr sz="700"/>
            </a:pPr>
            <a:endParaRPr lang="en-US"/>
          </a:p>
        </c:txPr>
        <c:crossAx val="93949312"/>
        <c:crosses val="autoZero"/>
        <c:crossBetween val="midCat"/>
      </c:valAx>
      <c:valAx>
        <c:axId val="93949312"/>
        <c:scaling>
          <c:orientation val="minMax"/>
          <c:min val="0"/>
        </c:scaling>
        <c:delete val="0"/>
        <c:axPos val="l"/>
        <c:title>
          <c:tx>
            <c:rich>
              <a:bodyPr/>
              <a:lstStyle/>
              <a:p>
                <a:pPr>
                  <a:defRPr sz="800" b="1"/>
                </a:pPr>
                <a:r>
                  <a:rPr lang="ms-MY"/>
                  <a:t>Dissimilarity</a:t>
                </a:r>
              </a:p>
            </c:rich>
          </c:tx>
          <c:layout/>
          <c:overlay val="0"/>
        </c:title>
        <c:numFmt formatCode="General" sourceLinked="0"/>
        <c:majorTickMark val="cross"/>
        <c:minorTickMark val="none"/>
        <c:tickLblPos val="nextTo"/>
        <c:txPr>
          <a:bodyPr/>
          <a:lstStyle/>
          <a:p>
            <a:pPr>
              <a:defRPr sz="700"/>
            </a:pPr>
            <a:endParaRPr lang="en-US"/>
          </a:p>
        </c:txPr>
        <c:crossAx val="93947392"/>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0.43875</cdr:x>
      <cdr:y>0.8667</cdr:y>
    </cdr:from>
    <cdr:to>
      <cdr:x>0.47951</cdr:x>
      <cdr:y>0.92563</cdr:y>
    </cdr:to>
    <cdr:sp macro="" textlink="">
      <cdr:nvSpPr>
        <cdr:cNvPr id="4" name="Text Box 3"/>
        <cdr:cNvSpPr txBox="1"/>
      </cdr:nvSpPr>
      <cdr:spPr>
        <a:xfrm xmlns:a="http://schemas.openxmlformats.org/drawingml/2006/main">
          <a:off x="1796995" y="2806811"/>
          <a:ext cx="166978" cy="1908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s-MY"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1</cdr:y>
    </cdr:from>
    <cdr:to>
      <cdr:x>0.99872</cdr:x>
      <cdr:y>1</cdr:y>
    </cdr:to>
    <cdr:cxnSp macro="">
      <cdr:nvCxnSpPr>
        <cdr:cNvPr id="2" name="Straight Connector 1"/>
        <cdr:cNvCxnSpPr/>
      </cdr:nvCxnSpPr>
      <cdr:spPr>
        <a:xfrm xmlns:a="http://schemas.openxmlformats.org/drawingml/2006/main">
          <a:off x="-1" y="2628900"/>
          <a:ext cx="296227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5B67-8428-4F69-A376-4286AB20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3506</Words>
  <Characters>19579</Characters>
  <Application>Microsoft Office Word</Application>
  <DocSecurity>0</DocSecurity>
  <Lines>386</Lines>
  <Paragraphs>158</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23</cp:revision>
  <cp:lastPrinted>2016-09-30T14:11:00Z</cp:lastPrinted>
  <dcterms:created xsi:type="dcterms:W3CDTF">2016-09-28T00:01:00Z</dcterms:created>
  <dcterms:modified xsi:type="dcterms:W3CDTF">2016-09-30T14:11:00Z</dcterms:modified>
</cp:coreProperties>
</file>