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1029A" w:rsidRDefault="0011029A" w:rsidP="0011029A">
      <w:pPr>
        <w:spacing w:after="0" w:line="240" w:lineRule="auto"/>
        <w:jc w:val="center"/>
        <w:outlineLvl w:val="0"/>
        <w:rPr>
          <w:rFonts w:ascii="Times New Roman" w:hAnsi="Times New Roman"/>
          <w:sz w:val="28"/>
        </w:rPr>
      </w:pPr>
      <w:r w:rsidRPr="00F3624B">
        <w:rPr>
          <w:rFonts w:ascii="Times New Roman" w:hAnsi="Times New Roman"/>
          <w:sz w:val="28"/>
        </w:rPr>
        <w:t>IMMOBILIZATION OF HIGH</w:t>
      </w:r>
      <w:r>
        <w:rPr>
          <w:rFonts w:ascii="Times New Roman" w:hAnsi="Times New Roman"/>
          <w:sz w:val="28"/>
        </w:rPr>
        <w:t xml:space="preserve">LY EFFECTIVE PALLADIUM CATALYST </w:t>
      </w:r>
      <w:r w:rsidRPr="00F3624B">
        <w:rPr>
          <w:rFonts w:ascii="Times New Roman" w:hAnsi="Times New Roman"/>
          <w:sz w:val="28"/>
        </w:rPr>
        <w:t>ONTO POLY(</w:t>
      </w:r>
      <w:r>
        <w:rPr>
          <w:rFonts w:ascii="Times New Roman" w:hAnsi="Times New Roman"/>
          <w:sz w:val="28"/>
        </w:rPr>
        <w:t xml:space="preserve">4-VINYLPYRIDINE): SYNTHESIS AND </w:t>
      </w:r>
      <w:r w:rsidRPr="00F3624B">
        <w:rPr>
          <w:rFonts w:ascii="Times New Roman" w:hAnsi="Times New Roman"/>
          <w:sz w:val="28"/>
        </w:rPr>
        <w:t xml:space="preserve">CHARACTERIZATION </w:t>
      </w:r>
    </w:p>
    <w:p w:rsidR="0011029A" w:rsidRPr="00F447A7" w:rsidRDefault="0011029A" w:rsidP="0011029A">
      <w:pPr>
        <w:spacing w:after="0" w:line="240" w:lineRule="auto"/>
        <w:jc w:val="center"/>
        <w:rPr>
          <w:rFonts w:ascii="Times New Roman" w:hAnsi="Times New Roman"/>
          <w:noProof/>
          <w:sz w:val="24"/>
          <w:szCs w:val="24"/>
          <w:lang w:bidi="ar-SA"/>
        </w:rPr>
      </w:pPr>
    </w:p>
    <w:p w:rsidR="0011029A" w:rsidRDefault="0011029A" w:rsidP="0011029A">
      <w:pPr>
        <w:spacing w:after="0" w:line="240" w:lineRule="auto"/>
        <w:jc w:val="center"/>
        <w:outlineLvl w:val="0"/>
        <w:rPr>
          <w:rFonts w:ascii="Times New Roman" w:hAnsi="Times New Roman"/>
          <w:sz w:val="24"/>
          <w:szCs w:val="24"/>
        </w:rPr>
      </w:pPr>
      <w:r w:rsidRPr="008E7515">
        <w:rPr>
          <w:rFonts w:ascii="Times New Roman" w:hAnsi="Times New Roman"/>
          <w:sz w:val="24"/>
          <w:szCs w:val="24"/>
        </w:rPr>
        <w:t>(Pemegunan</w:t>
      </w:r>
      <w:r>
        <w:rPr>
          <w:rFonts w:ascii="Times New Roman" w:hAnsi="Times New Roman"/>
          <w:sz w:val="24"/>
          <w:szCs w:val="24"/>
        </w:rPr>
        <w:t xml:space="preserve"> Mangkin Paladium y</w:t>
      </w:r>
      <w:r w:rsidRPr="008E7515">
        <w:rPr>
          <w:rFonts w:ascii="Times New Roman" w:hAnsi="Times New Roman"/>
          <w:sz w:val="24"/>
          <w:szCs w:val="24"/>
        </w:rPr>
        <w:t>ang Efektif</w:t>
      </w:r>
      <w:r>
        <w:rPr>
          <w:rFonts w:ascii="Times New Roman" w:hAnsi="Times New Roman"/>
          <w:sz w:val="24"/>
          <w:szCs w:val="24"/>
        </w:rPr>
        <w:t xml:space="preserve"> k</w:t>
      </w:r>
      <w:r w:rsidRPr="008E7515">
        <w:rPr>
          <w:rFonts w:ascii="Times New Roman" w:hAnsi="Times New Roman"/>
          <w:sz w:val="24"/>
          <w:szCs w:val="24"/>
        </w:rPr>
        <w:t xml:space="preserve">e atas Poli(4-vinilpiridina): </w:t>
      </w:r>
    </w:p>
    <w:p w:rsidR="0011029A" w:rsidRPr="008E7515" w:rsidRDefault="0011029A" w:rsidP="0011029A">
      <w:pPr>
        <w:spacing w:after="0" w:line="240" w:lineRule="auto"/>
        <w:jc w:val="center"/>
        <w:outlineLvl w:val="0"/>
        <w:rPr>
          <w:rFonts w:ascii="Times New Roman" w:hAnsi="Times New Roman"/>
          <w:sz w:val="24"/>
          <w:szCs w:val="24"/>
        </w:rPr>
      </w:pPr>
      <w:r w:rsidRPr="008E7515">
        <w:rPr>
          <w:rFonts w:ascii="Times New Roman" w:hAnsi="Times New Roman"/>
          <w:sz w:val="24"/>
          <w:szCs w:val="24"/>
        </w:rPr>
        <w:t>Sintesis dan Pencirian)</w:t>
      </w:r>
    </w:p>
    <w:p w:rsidR="0011029A" w:rsidRPr="00F447A7" w:rsidRDefault="0011029A" w:rsidP="0011029A">
      <w:pPr>
        <w:spacing w:after="0" w:line="240" w:lineRule="auto"/>
        <w:jc w:val="center"/>
        <w:rPr>
          <w:rFonts w:ascii="Times New Roman" w:hAnsi="Times New Roman"/>
          <w:noProof/>
          <w:sz w:val="20"/>
          <w:szCs w:val="20"/>
          <w:lang w:bidi="ar-SA"/>
        </w:rPr>
      </w:pPr>
    </w:p>
    <w:p w:rsidR="0011029A" w:rsidRPr="008E7515" w:rsidRDefault="0011029A" w:rsidP="0011029A">
      <w:pPr>
        <w:spacing w:after="0" w:line="240" w:lineRule="auto"/>
        <w:jc w:val="center"/>
        <w:outlineLvl w:val="0"/>
        <w:rPr>
          <w:rFonts w:ascii="Times New Roman" w:hAnsi="Times New Roman"/>
          <w:sz w:val="20"/>
          <w:szCs w:val="20"/>
        </w:rPr>
      </w:pPr>
      <w:r w:rsidRPr="008E7515">
        <w:rPr>
          <w:rFonts w:ascii="Times New Roman" w:hAnsi="Times New Roman"/>
          <w:sz w:val="20"/>
          <w:szCs w:val="20"/>
        </w:rPr>
        <w:t>Siti Kamilah Che Soh</w:t>
      </w:r>
      <w:r w:rsidRPr="008E7515">
        <w:rPr>
          <w:rFonts w:ascii="Times New Roman" w:hAnsi="Times New Roman"/>
          <w:sz w:val="20"/>
          <w:szCs w:val="20"/>
          <w:vertAlign w:val="superscript"/>
        </w:rPr>
        <w:t>1</w:t>
      </w:r>
      <w:r w:rsidRPr="008E7515">
        <w:rPr>
          <w:rFonts w:ascii="Times New Roman" w:hAnsi="Times New Roman"/>
          <w:sz w:val="20"/>
          <w:szCs w:val="20"/>
        </w:rPr>
        <w:t>*, Intan Shafinass Kassim</w:t>
      </w:r>
      <w:r w:rsidRPr="008E7515">
        <w:rPr>
          <w:rFonts w:ascii="Times New Roman" w:hAnsi="Times New Roman"/>
          <w:sz w:val="20"/>
          <w:szCs w:val="20"/>
          <w:vertAlign w:val="superscript"/>
        </w:rPr>
        <w:t>1</w:t>
      </w:r>
      <w:r w:rsidRPr="008E7515">
        <w:rPr>
          <w:rFonts w:ascii="Times New Roman" w:hAnsi="Times New Roman"/>
          <w:sz w:val="20"/>
          <w:szCs w:val="20"/>
        </w:rPr>
        <w:t>, Siti Aminah Jusoh</w:t>
      </w:r>
      <w:r w:rsidRPr="008E7515">
        <w:rPr>
          <w:rFonts w:ascii="Times New Roman" w:hAnsi="Times New Roman"/>
          <w:sz w:val="20"/>
          <w:szCs w:val="20"/>
          <w:vertAlign w:val="superscript"/>
        </w:rPr>
        <w:t>1</w:t>
      </w:r>
      <w:r w:rsidRPr="008E7515">
        <w:rPr>
          <w:rFonts w:ascii="Times New Roman" w:hAnsi="Times New Roman"/>
          <w:sz w:val="20"/>
          <w:szCs w:val="20"/>
        </w:rPr>
        <w:t>, Mustaffa Samsuddin</w:t>
      </w:r>
      <w:r w:rsidRPr="008E7515">
        <w:rPr>
          <w:rFonts w:ascii="Times New Roman" w:hAnsi="Times New Roman"/>
          <w:sz w:val="20"/>
          <w:szCs w:val="20"/>
          <w:vertAlign w:val="superscript"/>
        </w:rPr>
        <w:t>2, 3</w:t>
      </w:r>
    </w:p>
    <w:p w:rsidR="0011029A" w:rsidRPr="00F447A7" w:rsidRDefault="0011029A" w:rsidP="0011029A">
      <w:pPr>
        <w:spacing w:after="0" w:line="240" w:lineRule="auto"/>
        <w:jc w:val="center"/>
        <w:rPr>
          <w:rFonts w:ascii="Times New Roman" w:hAnsi="Times New Roman"/>
          <w:noProof/>
          <w:sz w:val="18"/>
          <w:szCs w:val="18"/>
          <w:lang w:bidi="ar-SA"/>
        </w:rPr>
      </w:pPr>
    </w:p>
    <w:p w:rsidR="0011029A" w:rsidRDefault="0011029A" w:rsidP="0011029A">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F3624B">
        <w:rPr>
          <w:rFonts w:ascii="Times New Roman" w:hAnsi="Times New Roman"/>
          <w:i/>
          <w:sz w:val="18"/>
          <w:szCs w:val="18"/>
        </w:rPr>
        <w:t xml:space="preserve">Analytical &amp; Environmental Chemistry Program, School of Marine </w:t>
      </w:r>
      <w:r>
        <w:rPr>
          <w:rFonts w:ascii="Times New Roman" w:hAnsi="Times New Roman"/>
          <w:i/>
          <w:sz w:val="18"/>
          <w:szCs w:val="18"/>
        </w:rPr>
        <w:t>and</w:t>
      </w:r>
      <w:r w:rsidRPr="00F3624B">
        <w:rPr>
          <w:rFonts w:ascii="Times New Roman" w:hAnsi="Times New Roman"/>
          <w:i/>
          <w:sz w:val="18"/>
          <w:szCs w:val="18"/>
        </w:rPr>
        <w:t xml:space="preserve"> Environment</w:t>
      </w:r>
      <w:r>
        <w:rPr>
          <w:rFonts w:ascii="Times New Roman" w:hAnsi="Times New Roman"/>
          <w:i/>
          <w:sz w:val="18"/>
          <w:szCs w:val="18"/>
        </w:rPr>
        <w:t>al Sciences</w:t>
      </w:r>
      <w:r w:rsidRPr="00F3624B">
        <w:rPr>
          <w:rFonts w:ascii="Times New Roman" w:hAnsi="Times New Roman"/>
          <w:i/>
          <w:sz w:val="18"/>
          <w:szCs w:val="18"/>
        </w:rPr>
        <w:t xml:space="preserve">, </w:t>
      </w:r>
    </w:p>
    <w:p w:rsidR="0011029A" w:rsidRPr="00A415C1" w:rsidRDefault="0011029A" w:rsidP="0011029A">
      <w:pPr>
        <w:spacing w:after="0" w:line="240" w:lineRule="auto"/>
        <w:jc w:val="center"/>
        <w:outlineLvl w:val="0"/>
        <w:rPr>
          <w:rFonts w:ascii="Times New Roman" w:hAnsi="Times New Roman"/>
          <w:i/>
          <w:sz w:val="18"/>
          <w:szCs w:val="18"/>
        </w:rPr>
      </w:pPr>
      <w:r w:rsidRPr="00F3624B">
        <w:rPr>
          <w:rFonts w:ascii="Times New Roman" w:hAnsi="Times New Roman"/>
          <w:i/>
          <w:sz w:val="18"/>
          <w:szCs w:val="18"/>
        </w:rPr>
        <w:t>Universiti Malaysia Terengganu, 21</w:t>
      </w:r>
      <w:r>
        <w:rPr>
          <w:rFonts w:ascii="Times New Roman" w:hAnsi="Times New Roman"/>
          <w:i/>
          <w:sz w:val="18"/>
          <w:szCs w:val="18"/>
        </w:rPr>
        <w:t>030 Kuala Terengganu, Terengganu, Malaysia</w:t>
      </w:r>
    </w:p>
    <w:p w:rsidR="0011029A" w:rsidRDefault="0011029A" w:rsidP="0011029A">
      <w:pPr>
        <w:spacing w:after="0" w:line="240" w:lineRule="auto"/>
        <w:jc w:val="center"/>
        <w:outlineLvl w:val="0"/>
        <w:rPr>
          <w:rFonts w:ascii="Times New Roman" w:hAnsi="Times New Roman"/>
          <w:i/>
          <w:sz w:val="18"/>
          <w:szCs w:val="18"/>
        </w:rPr>
      </w:pPr>
      <w:r w:rsidRPr="00F3624B">
        <w:rPr>
          <w:rFonts w:ascii="Times New Roman" w:hAnsi="Times New Roman"/>
          <w:i/>
          <w:sz w:val="18"/>
          <w:szCs w:val="18"/>
          <w:vertAlign w:val="superscript"/>
        </w:rPr>
        <w:t>2</w:t>
      </w:r>
      <w:r w:rsidRPr="00F3624B">
        <w:rPr>
          <w:rFonts w:ascii="Times New Roman" w:hAnsi="Times New Roman"/>
          <w:i/>
          <w:sz w:val="18"/>
          <w:szCs w:val="18"/>
        </w:rPr>
        <w:t>Department of Chemistry, Faculty o</w:t>
      </w:r>
      <w:r>
        <w:rPr>
          <w:rFonts w:ascii="Times New Roman" w:hAnsi="Times New Roman"/>
          <w:i/>
          <w:sz w:val="18"/>
          <w:szCs w:val="18"/>
        </w:rPr>
        <w:t>f Science</w:t>
      </w:r>
    </w:p>
    <w:p w:rsidR="0011029A" w:rsidRDefault="0011029A" w:rsidP="0011029A">
      <w:pPr>
        <w:spacing w:after="0" w:line="240" w:lineRule="auto"/>
        <w:jc w:val="center"/>
        <w:outlineLvl w:val="0"/>
        <w:rPr>
          <w:rFonts w:ascii="Times New Roman" w:hAnsi="Times New Roman"/>
          <w:i/>
          <w:sz w:val="18"/>
          <w:szCs w:val="18"/>
        </w:rPr>
      </w:pPr>
      <w:r w:rsidRPr="00F3624B">
        <w:rPr>
          <w:rFonts w:ascii="Times New Roman" w:hAnsi="Times New Roman"/>
          <w:i/>
          <w:sz w:val="18"/>
          <w:szCs w:val="18"/>
        </w:rPr>
        <w:t xml:space="preserve"> </w:t>
      </w:r>
      <w:r w:rsidRPr="00F3624B">
        <w:rPr>
          <w:rFonts w:ascii="Times New Roman" w:hAnsi="Times New Roman"/>
          <w:i/>
          <w:sz w:val="18"/>
          <w:szCs w:val="18"/>
          <w:vertAlign w:val="superscript"/>
        </w:rPr>
        <w:t>3</w:t>
      </w:r>
      <w:r w:rsidRPr="00F3624B">
        <w:rPr>
          <w:rFonts w:ascii="Times New Roman" w:hAnsi="Times New Roman"/>
          <w:i/>
          <w:sz w:val="18"/>
          <w:szCs w:val="18"/>
        </w:rPr>
        <w:t xml:space="preserve">Ibnu Sina Institute </w:t>
      </w:r>
      <w:r>
        <w:rPr>
          <w:rFonts w:ascii="Times New Roman" w:hAnsi="Times New Roman"/>
          <w:i/>
          <w:sz w:val="18"/>
          <w:szCs w:val="18"/>
        </w:rPr>
        <w:t>for Fundamental Science Studies</w:t>
      </w:r>
      <w:r w:rsidRPr="00F3624B">
        <w:rPr>
          <w:rFonts w:ascii="Times New Roman" w:hAnsi="Times New Roman"/>
          <w:i/>
          <w:sz w:val="18"/>
          <w:szCs w:val="18"/>
        </w:rPr>
        <w:t xml:space="preserve"> </w:t>
      </w:r>
    </w:p>
    <w:p w:rsidR="0011029A" w:rsidRPr="00F447A7" w:rsidRDefault="0011029A" w:rsidP="0011029A">
      <w:pPr>
        <w:spacing w:after="0" w:line="240" w:lineRule="auto"/>
        <w:jc w:val="center"/>
        <w:rPr>
          <w:rFonts w:ascii="Times New Roman" w:hAnsi="Times New Roman"/>
          <w:noProof/>
          <w:sz w:val="18"/>
          <w:szCs w:val="18"/>
          <w:lang w:bidi="ar-SA"/>
        </w:rPr>
      </w:pPr>
      <w:r w:rsidRPr="00F3624B">
        <w:rPr>
          <w:rFonts w:ascii="Times New Roman" w:hAnsi="Times New Roman"/>
          <w:i/>
          <w:sz w:val="18"/>
          <w:szCs w:val="18"/>
        </w:rPr>
        <w:t>Uni</w:t>
      </w:r>
      <w:r>
        <w:rPr>
          <w:rFonts w:ascii="Times New Roman" w:hAnsi="Times New Roman"/>
          <w:i/>
          <w:sz w:val="18"/>
          <w:szCs w:val="18"/>
        </w:rPr>
        <w:t>versiti Teknologi Malaysia, 8131</w:t>
      </w:r>
      <w:r w:rsidRPr="00F3624B">
        <w:rPr>
          <w:rFonts w:ascii="Times New Roman" w:hAnsi="Times New Roman"/>
          <w:i/>
          <w:sz w:val="18"/>
          <w:szCs w:val="18"/>
        </w:rPr>
        <w:t xml:space="preserve">0 </w:t>
      </w:r>
      <w:r>
        <w:rPr>
          <w:rFonts w:ascii="Times New Roman" w:hAnsi="Times New Roman"/>
          <w:i/>
          <w:sz w:val="18"/>
          <w:szCs w:val="18"/>
        </w:rPr>
        <w:t xml:space="preserve">Johor Bahru, </w:t>
      </w:r>
      <w:r w:rsidRPr="00F3624B">
        <w:rPr>
          <w:rFonts w:ascii="Times New Roman" w:hAnsi="Times New Roman"/>
          <w:i/>
          <w:sz w:val="18"/>
          <w:szCs w:val="18"/>
        </w:rPr>
        <w:t>Johor, Malaysia</w:t>
      </w:r>
    </w:p>
    <w:p w:rsidR="0011029A" w:rsidRDefault="0011029A" w:rsidP="0011029A">
      <w:pPr>
        <w:spacing w:after="0" w:line="240" w:lineRule="auto"/>
        <w:jc w:val="center"/>
        <w:rPr>
          <w:rFonts w:ascii="Times New Roman" w:hAnsi="Times New Roman"/>
          <w:i/>
          <w:noProof/>
          <w:sz w:val="18"/>
          <w:szCs w:val="18"/>
          <w:lang w:bidi="ar-SA"/>
        </w:rPr>
      </w:pPr>
    </w:p>
    <w:p w:rsidR="0011029A" w:rsidRPr="00F447A7" w:rsidRDefault="0011029A" w:rsidP="0011029A">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5E5A72">
        <w:rPr>
          <w:rFonts w:ascii="Times New Roman" w:hAnsi="Times New Roman"/>
          <w:i/>
          <w:sz w:val="18"/>
        </w:rPr>
        <w:t>sitikamilah@umt.edu.my</w:t>
      </w:r>
    </w:p>
    <w:p w:rsidR="0011029A" w:rsidRPr="00F447A7" w:rsidRDefault="0011029A" w:rsidP="0011029A">
      <w:pPr>
        <w:spacing w:after="0" w:line="240" w:lineRule="auto"/>
        <w:jc w:val="center"/>
        <w:rPr>
          <w:rFonts w:ascii="Times New Roman" w:hAnsi="Times New Roman"/>
          <w:noProof/>
          <w:sz w:val="18"/>
          <w:szCs w:val="18"/>
          <w:lang w:bidi="ar-SA"/>
        </w:rPr>
      </w:pPr>
    </w:p>
    <w:p w:rsidR="0011029A" w:rsidRDefault="0011029A" w:rsidP="0011029A">
      <w:pPr>
        <w:spacing w:after="0" w:line="240" w:lineRule="auto"/>
        <w:jc w:val="center"/>
        <w:rPr>
          <w:rFonts w:ascii="Times New Roman" w:hAnsi="Times New Roman"/>
          <w:noProof/>
          <w:sz w:val="18"/>
          <w:szCs w:val="18"/>
          <w:lang w:bidi="ar-SA"/>
        </w:rPr>
      </w:pPr>
    </w:p>
    <w:p w:rsidR="0011029A" w:rsidRDefault="0011029A" w:rsidP="0011029A">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24 February 2015; Accepted: 27 October 2015</w:t>
      </w:r>
    </w:p>
    <w:p w:rsidR="0011029A" w:rsidRDefault="0011029A" w:rsidP="0011029A">
      <w:pPr>
        <w:spacing w:after="0" w:line="240" w:lineRule="auto"/>
        <w:jc w:val="center"/>
        <w:rPr>
          <w:rFonts w:ascii="Times New Roman" w:hAnsi="Times New Roman"/>
          <w:noProof/>
          <w:sz w:val="18"/>
          <w:szCs w:val="18"/>
          <w:lang w:bidi="ar-SA"/>
        </w:rPr>
      </w:pPr>
    </w:p>
    <w:p w:rsidR="0011029A" w:rsidRPr="00F447A7" w:rsidRDefault="0011029A" w:rsidP="0011029A">
      <w:pPr>
        <w:spacing w:after="0" w:line="240" w:lineRule="auto"/>
        <w:jc w:val="center"/>
        <w:rPr>
          <w:rFonts w:ascii="Times New Roman" w:hAnsi="Times New Roman"/>
          <w:noProof/>
          <w:sz w:val="18"/>
          <w:szCs w:val="18"/>
          <w:lang w:bidi="ar-SA"/>
        </w:rPr>
      </w:pPr>
    </w:p>
    <w:p w:rsidR="0011029A" w:rsidRPr="00F447A7" w:rsidRDefault="0011029A" w:rsidP="0011029A">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1029A" w:rsidRPr="00CF64B5" w:rsidRDefault="0011029A" w:rsidP="0011029A">
      <w:pPr>
        <w:spacing w:after="0" w:line="240" w:lineRule="auto"/>
        <w:jc w:val="both"/>
        <w:outlineLvl w:val="0"/>
        <w:rPr>
          <w:rFonts w:ascii="Times New Roman" w:hAnsi="Times New Roman"/>
          <w:sz w:val="18"/>
          <w:szCs w:val="18"/>
        </w:rPr>
      </w:pPr>
      <w:r w:rsidRPr="00CF64B5">
        <w:rPr>
          <w:rFonts w:ascii="Times New Roman" w:hAnsi="Times New Roman"/>
          <w:sz w:val="18"/>
          <w:szCs w:val="18"/>
        </w:rPr>
        <w:t>A commonly known weakness of homogeneous catalysts is the difficulty to recover the active catalyst from the product. Due to the disadvantage, the designing of supported catalyst has been approached to overcome the separation difficulty of the palladium-based homogeneous catalyst. New polymer supported N</w:t>
      </w:r>
      <w:r w:rsidRPr="00CF64B5">
        <w:rPr>
          <w:rFonts w:ascii="Times New Roman" w:hAnsi="Times New Roman"/>
          <w:sz w:val="18"/>
          <w:szCs w:val="18"/>
          <w:vertAlign w:val="subscript"/>
        </w:rPr>
        <w:t>2</w:t>
      </w:r>
      <w:r w:rsidRPr="00CF64B5">
        <w:rPr>
          <w:rFonts w:ascii="Times New Roman" w:hAnsi="Times New Roman"/>
          <w:sz w:val="18"/>
          <w:szCs w:val="18"/>
        </w:rPr>
        <w:t>O</w:t>
      </w:r>
      <w:r w:rsidRPr="00CF64B5">
        <w:rPr>
          <w:rFonts w:ascii="Times New Roman" w:hAnsi="Times New Roman"/>
          <w:sz w:val="18"/>
          <w:szCs w:val="18"/>
          <w:vertAlign w:val="subscript"/>
        </w:rPr>
        <w:t>2</w:t>
      </w:r>
      <w:r w:rsidRPr="00CF64B5">
        <w:rPr>
          <w:rFonts w:ascii="Times New Roman" w:hAnsi="Times New Roman"/>
          <w:sz w:val="18"/>
          <w:szCs w:val="18"/>
        </w:rPr>
        <w:t xml:space="preserve"> metal complex was successfully immobilized by mixing of poly(4-vinylpyridine) with palladium(II) complex in the presence of ethyl acetate as solvent. Then, the reaction was stirred for 72 hours at room temperature to form corresponding P</w:t>
      </w:r>
      <w:r w:rsidRPr="00131B45">
        <w:rPr>
          <w:rFonts w:ascii="Times New Roman" w:hAnsi="Times New Roman"/>
          <w:sz w:val="18"/>
          <w:szCs w:val="18"/>
          <w:vertAlign w:val="subscript"/>
        </w:rPr>
        <w:t>4</w:t>
      </w:r>
      <w:r w:rsidRPr="00CF64B5">
        <w:rPr>
          <w:rFonts w:ascii="Times New Roman" w:hAnsi="Times New Roman"/>
          <w:sz w:val="18"/>
          <w:szCs w:val="18"/>
        </w:rPr>
        <w:t>VP-Pd catalyst. The properties of immobilized catalyst were characterized</w:t>
      </w:r>
      <w:r>
        <w:rPr>
          <w:rFonts w:ascii="Times New Roman" w:hAnsi="Times New Roman"/>
          <w:sz w:val="18"/>
          <w:szCs w:val="18"/>
        </w:rPr>
        <w:t xml:space="preserve"> by various techniques such as f</w:t>
      </w:r>
      <w:r w:rsidRPr="00CF64B5">
        <w:rPr>
          <w:rFonts w:ascii="Times New Roman" w:hAnsi="Times New Roman"/>
          <w:sz w:val="18"/>
          <w:szCs w:val="18"/>
        </w:rPr>
        <w:t xml:space="preserve">ourier transform infrared </w:t>
      </w:r>
      <w:r>
        <w:rPr>
          <w:rFonts w:ascii="Times New Roman" w:hAnsi="Times New Roman"/>
          <w:sz w:val="18"/>
          <w:szCs w:val="18"/>
        </w:rPr>
        <w:t>(FTIR), thermogravimetric (TGA), X-ray d</w:t>
      </w:r>
      <w:r w:rsidRPr="00CF64B5">
        <w:rPr>
          <w:rFonts w:ascii="Times New Roman" w:hAnsi="Times New Roman"/>
          <w:sz w:val="18"/>
          <w:szCs w:val="18"/>
        </w:rPr>
        <w:t>iffraction (XRD), scanning electron microscopy/energy dispersive X-ray (SEM/EDX) and inductively coupled plasma-optical emission (ICP-OES) spectroscopy.</w:t>
      </w:r>
    </w:p>
    <w:p w:rsidR="0011029A" w:rsidRPr="00CF64B5" w:rsidRDefault="0011029A" w:rsidP="0011029A">
      <w:pPr>
        <w:spacing w:after="0" w:line="240" w:lineRule="auto"/>
        <w:jc w:val="both"/>
        <w:outlineLvl w:val="0"/>
        <w:rPr>
          <w:rFonts w:ascii="Times New Roman" w:hAnsi="Times New Roman"/>
          <w:sz w:val="18"/>
          <w:szCs w:val="18"/>
        </w:rPr>
      </w:pPr>
    </w:p>
    <w:p w:rsidR="0011029A" w:rsidRPr="00CF64B5" w:rsidRDefault="0011029A" w:rsidP="0011029A">
      <w:pPr>
        <w:spacing w:after="0" w:line="240" w:lineRule="auto"/>
        <w:jc w:val="both"/>
        <w:outlineLvl w:val="0"/>
        <w:rPr>
          <w:rFonts w:ascii="Times New Roman" w:hAnsi="Times New Roman"/>
          <w:b/>
          <w:sz w:val="18"/>
          <w:szCs w:val="18"/>
        </w:rPr>
      </w:pPr>
      <w:r w:rsidRPr="00CF64B5">
        <w:rPr>
          <w:rFonts w:ascii="Times New Roman" w:hAnsi="Times New Roman"/>
          <w:b/>
          <w:sz w:val="18"/>
          <w:szCs w:val="18"/>
        </w:rPr>
        <w:t>Keyword</w:t>
      </w:r>
      <w:r>
        <w:rPr>
          <w:rFonts w:ascii="Times New Roman" w:hAnsi="Times New Roman"/>
          <w:b/>
          <w:sz w:val="18"/>
          <w:szCs w:val="18"/>
        </w:rPr>
        <w:t>s</w:t>
      </w:r>
      <w:r w:rsidRPr="00CF64B5">
        <w:rPr>
          <w:rFonts w:ascii="Times New Roman" w:hAnsi="Times New Roman"/>
          <w:b/>
          <w:sz w:val="18"/>
          <w:szCs w:val="18"/>
        </w:rPr>
        <w:t xml:space="preserve">: </w:t>
      </w:r>
      <w:r>
        <w:rPr>
          <w:rFonts w:ascii="Times New Roman" w:hAnsi="Times New Roman"/>
          <w:b/>
          <w:sz w:val="18"/>
          <w:szCs w:val="18"/>
        </w:rPr>
        <w:t xml:space="preserve"> </w:t>
      </w:r>
      <w:r>
        <w:rPr>
          <w:rFonts w:ascii="Times New Roman" w:hAnsi="Times New Roman"/>
          <w:sz w:val="18"/>
          <w:szCs w:val="18"/>
        </w:rPr>
        <w:t>immobilized c</w:t>
      </w:r>
      <w:r w:rsidRPr="00CF64B5">
        <w:rPr>
          <w:rFonts w:ascii="Times New Roman" w:hAnsi="Times New Roman"/>
          <w:sz w:val="18"/>
          <w:szCs w:val="18"/>
        </w:rPr>
        <w:t xml:space="preserve">atalyst, </w:t>
      </w:r>
      <w:r>
        <w:rPr>
          <w:rFonts w:ascii="Times New Roman" w:hAnsi="Times New Roman"/>
          <w:sz w:val="18"/>
          <w:szCs w:val="18"/>
        </w:rPr>
        <w:t>p</w:t>
      </w:r>
      <w:r w:rsidRPr="00CF64B5">
        <w:rPr>
          <w:rFonts w:ascii="Times New Roman" w:hAnsi="Times New Roman"/>
          <w:sz w:val="18"/>
          <w:szCs w:val="18"/>
        </w:rPr>
        <w:t xml:space="preserve">alladium(II) complex, </w:t>
      </w:r>
      <w:r>
        <w:rPr>
          <w:rFonts w:ascii="Times New Roman" w:hAnsi="Times New Roman"/>
          <w:sz w:val="18"/>
          <w:szCs w:val="18"/>
        </w:rPr>
        <w:t>p</w:t>
      </w:r>
      <w:r w:rsidRPr="00CF64B5">
        <w:rPr>
          <w:rFonts w:ascii="Times New Roman" w:hAnsi="Times New Roman"/>
          <w:sz w:val="18"/>
          <w:szCs w:val="18"/>
        </w:rPr>
        <w:t>oly(4-vinylpyridine)</w:t>
      </w:r>
      <w:r w:rsidRPr="00CF64B5">
        <w:rPr>
          <w:rFonts w:ascii="Times New Roman" w:hAnsi="Times New Roman"/>
          <w:b/>
          <w:sz w:val="18"/>
          <w:szCs w:val="18"/>
        </w:rPr>
        <w:t xml:space="preserve"> </w:t>
      </w:r>
    </w:p>
    <w:p w:rsidR="0011029A" w:rsidRDefault="0011029A" w:rsidP="0011029A">
      <w:pPr>
        <w:spacing w:after="0" w:line="240" w:lineRule="auto"/>
        <w:jc w:val="center"/>
        <w:rPr>
          <w:rFonts w:ascii="Times New Roman" w:hAnsi="Times New Roman"/>
          <w:b/>
          <w:noProof/>
          <w:sz w:val="18"/>
          <w:szCs w:val="18"/>
          <w:lang w:bidi="ar-SA"/>
        </w:rPr>
      </w:pPr>
    </w:p>
    <w:p w:rsidR="0011029A" w:rsidRPr="00F447A7" w:rsidRDefault="0011029A" w:rsidP="0011029A">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11029A" w:rsidRPr="00FE338D" w:rsidRDefault="0011029A" w:rsidP="0011029A">
      <w:pPr>
        <w:spacing w:after="0" w:line="240" w:lineRule="auto"/>
        <w:jc w:val="both"/>
        <w:outlineLvl w:val="0"/>
        <w:rPr>
          <w:rFonts w:ascii="Times New Roman" w:hAnsi="Times New Roman"/>
          <w:sz w:val="18"/>
          <w:szCs w:val="18"/>
        </w:rPr>
      </w:pPr>
      <w:r w:rsidRPr="00FE338D">
        <w:rPr>
          <w:rFonts w:ascii="Times New Roman" w:hAnsi="Times New Roman"/>
          <w:sz w:val="18"/>
          <w:szCs w:val="18"/>
        </w:rPr>
        <w:t xml:space="preserve">Satu kelemahan penggunaan mangkin homogen adalah </w:t>
      </w:r>
      <w:r>
        <w:rPr>
          <w:rFonts w:ascii="Times New Roman" w:hAnsi="Times New Roman"/>
          <w:sz w:val="18"/>
          <w:szCs w:val="18"/>
        </w:rPr>
        <w:t xml:space="preserve">umum diketahui bahawa </w:t>
      </w:r>
      <w:r w:rsidRPr="00FE338D">
        <w:rPr>
          <w:rFonts w:ascii="Times New Roman" w:hAnsi="Times New Roman"/>
          <w:sz w:val="18"/>
          <w:szCs w:val="18"/>
        </w:rPr>
        <w:t>kesukaran untuk memperoleh kembali mangkin yang aktif daripada hasil produk. Oleh kerana kelemahan ini, reka bentuk mangkin berpenyokong telah diperkenalkan untuk mengatasi kesukaran pemisahan mangkin homogen berasaskan logam paladium. Kompleks logam N</w:t>
      </w:r>
      <w:r w:rsidRPr="006049CC">
        <w:rPr>
          <w:rFonts w:ascii="Times New Roman" w:hAnsi="Times New Roman"/>
          <w:sz w:val="18"/>
          <w:szCs w:val="18"/>
          <w:vertAlign w:val="subscript"/>
        </w:rPr>
        <w:t>2</w:t>
      </w:r>
      <w:r w:rsidRPr="00FE338D">
        <w:rPr>
          <w:rFonts w:ascii="Times New Roman" w:hAnsi="Times New Roman"/>
          <w:sz w:val="18"/>
          <w:szCs w:val="18"/>
        </w:rPr>
        <w:t>O</w:t>
      </w:r>
      <w:r w:rsidRPr="006049CC">
        <w:rPr>
          <w:rFonts w:ascii="Times New Roman" w:hAnsi="Times New Roman"/>
          <w:sz w:val="18"/>
          <w:szCs w:val="18"/>
          <w:vertAlign w:val="subscript"/>
        </w:rPr>
        <w:t>2</w:t>
      </w:r>
      <w:r w:rsidRPr="00FE338D">
        <w:rPr>
          <w:rFonts w:ascii="Times New Roman" w:hAnsi="Times New Roman"/>
          <w:sz w:val="18"/>
          <w:szCs w:val="18"/>
        </w:rPr>
        <w:t xml:space="preserve"> berpenyokong polimer baru telah berjaya dipegunkan dengan mencampurkan poli(4-vinilpiridina) dengan kompleks paladium(II) dengan kehadiran etil asetat sebagai pelarut. Kemudian, campuran tindak balas dikacau selama 72 jam pada suhu bilik untuk menghasilkan mangkin P</w:t>
      </w:r>
      <w:r w:rsidRPr="00131B45">
        <w:rPr>
          <w:rFonts w:ascii="Times New Roman" w:hAnsi="Times New Roman"/>
          <w:sz w:val="18"/>
          <w:szCs w:val="18"/>
          <w:vertAlign w:val="subscript"/>
        </w:rPr>
        <w:t>4</w:t>
      </w:r>
      <w:r w:rsidRPr="00FE338D">
        <w:rPr>
          <w:rFonts w:ascii="Times New Roman" w:hAnsi="Times New Roman"/>
          <w:sz w:val="18"/>
          <w:szCs w:val="18"/>
        </w:rPr>
        <w:t>VP-Pd. Sifat</w:t>
      </w:r>
      <w:r>
        <w:rPr>
          <w:rFonts w:ascii="Times New Roman" w:hAnsi="Times New Roman"/>
          <w:sz w:val="18"/>
          <w:szCs w:val="18"/>
        </w:rPr>
        <w:t xml:space="preserve"> – </w:t>
      </w:r>
      <w:r w:rsidRPr="00FE338D">
        <w:rPr>
          <w:rFonts w:ascii="Times New Roman" w:hAnsi="Times New Roman"/>
          <w:sz w:val="18"/>
          <w:szCs w:val="18"/>
        </w:rPr>
        <w:t xml:space="preserve">sifat mangkin yang berjaya dipegunkan telah dicirikan dengan pelbagai teknik spektroskopi antaranya infra merah </w:t>
      </w:r>
      <w:r>
        <w:rPr>
          <w:rFonts w:ascii="Times New Roman" w:hAnsi="Times New Roman"/>
          <w:sz w:val="18"/>
          <w:szCs w:val="18"/>
        </w:rPr>
        <w:t xml:space="preserve">transformasi fourier </w:t>
      </w:r>
      <w:r w:rsidRPr="00FE338D">
        <w:rPr>
          <w:rFonts w:ascii="Times New Roman" w:hAnsi="Times New Roman"/>
          <w:sz w:val="18"/>
          <w:szCs w:val="18"/>
        </w:rPr>
        <w:t>(FTIR), analisis termogravime</w:t>
      </w:r>
      <w:r>
        <w:rPr>
          <w:rFonts w:ascii="Times New Roman" w:hAnsi="Times New Roman"/>
          <w:sz w:val="18"/>
          <w:szCs w:val="18"/>
        </w:rPr>
        <w:t xml:space="preserve">trik (TGA), pembelauan sinar-X </w:t>
      </w:r>
      <w:r w:rsidRPr="00FE338D">
        <w:rPr>
          <w:rFonts w:ascii="Times New Roman" w:hAnsi="Times New Roman"/>
          <w:sz w:val="18"/>
          <w:szCs w:val="18"/>
        </w:rPr>
        <w:t xml:space="preserve">(XRD), mikroskopi elektron imbasan/ sinar-X tenaga tersebar (SEM/EDX) dan spektroskopi pancaran optik-aruhan (ICP-OES). </w:t>
      </w:r>
    </w:p>
    <w:p w:rsidR="0011029A" w:rsidRDefault="0011029A" w:rsidP="0011029A">
      <w:pPr>
        <w:spacing w:after="0" w:line="240" w:lineRule="auto"/>
        <w:jc w:val="both"/>
        <w:outlineLvl w:val="0"/>
        <w:rPr>
          <w:rFonts w:ascii="Times New Roman" w:hAnsi="Times New Roman"/>
        </w:rPr>
      </w:pPr>
      <w:r w:rsidRPr="00FE338D">
        <w:rPr>
          <w:rFonts w:ascii="Times New Roman" w:hAnsi="Times New Roman"/>
        </w:rPr>
        <w:t xml:space="preserve"> </w:t>
      </w:r>
    </w:p>
    <w:p w:rsidR="0011029A" w:rsidRPr="00D85CC9" w:rsidRDefault="0011029A" w:rsidP="0011029A">
      <w:pPr>
        <w:spacing w:after="0" w:line="240" w:lineRule="auto"/>
        <w:jc w:val="both"/>
        <w:outlineLvl w:val="0"/>
        <w:rPr>
          <w:rFonts w:ascii="Times New Roman" w:hAnsi="Times New Roman"/>
          <w:b/>
          <w:sz w:val="18"/>
          <w:szCs w:val="18"/>
        </w:rPr>
      </w:pPr>
      <w:r w:rsidRPr="00D85CC9">
        <w:rPr>
          <w:rFonts w:ascii="Times New Roman" w:hAnsi="Times New Roman"/>
          <w:b/>
          <w:sz w:val="18"/>
          <w:szCs w:val="18"/>
        </w:rPr>
        <w:t xml:space="preserve">Kata kunci: </w:t>
      </w:r>
      <w:r>
        <w:rPr>
          <w:rFonts w:ascii="Times New Roman" w:hAnsi="Times New Roman"/>
          <w:b/>
          <w:sz w:val="18"/>
          <w:szCs w:val="18"/>
        </w:rPr>
        <w:t xml:space="preserve"> </w:t>
      </w:r>
      <w:r w:rsidRPr="00D85CC9">
        <w:rPr>
          <w:rFonts w:ascii="Times New Roman" w:hAnsi="Times New Roman"/>
          <w:sz w:val="18"/>
          <w:szCs w:val="18"/>
        </w:rPr>
        <w:t>mangkin terpegun, kompleks paladium(II), poli(4-vinilpiridina)</w:t>
      </w:r>
    </w:p>
    <w:p w:rsidR="0011029A" w:rsidRDefault="0011029A" w:rsidP="0011029A">
      <w:pPr>
        <w:spacing w:after="0" w:line="240" w:lineRule="auto"/>
        <w:jc w:val="center"/>
        <w:rPr>
          <w:rFonts w:ascii="Times New Roman" w:hAnsi="Times New Roman"/>
          <w:noProof/>
          <w:sz w:val="20"/>
          <w:szCs w:val="20"/>
          <w:lang w:bidi="ar-SA"/>
        </w:rPr>
      </w:pPr>
    </w:p>
    <w:p w:rsidR="0011029A" w:rsidRDefault="0011029A" w:rsidP="0011029A">
      <w:pPr>
        <w:spacing w:after="0" w:line="240" w:lineRule="auto"/>
        <w:jc w:val="center"/>
        <w:rPr>
          <w:rFonts w:ascii="Times New Roman" w:hAnsi="Times New Roman"/>
          <w:noProof/>
          <w:sz w:val="20"/>
          <w:szCs w:val="20"/>
          <w:lang w:bidi="ar-SA"/>
        </w:rPr>
      </w:pPr>
    </w:p>
    <w:p w:rsidR="0011029A" w:rsidRDefault="0011029A" w:rsidP="0011029A">
      <w:pPr>
        <w:spacing w:after="0" w:line="240" w:lineRule="auto"/>
        <w:jc w:val="center"/>
        <w:rPr>
          <w:rFonts w:ascii="Times New Roman" w:hAnsi="Times New Roman"/>
          <w:noProof/>
          <w:sz w:val="20"/>
          <w:szCs w:val="20"/>
          <w:lang w:bidi="ar-SA"/>
        </w:rPr>
      </w:pPr>
    </w:p>
    <w:p w:rsidR="0011029A" w:rsidRPr="00BE7C30" w:rsidRDefault="0011029A" w:rsidP="0011029A">
      <w:pPr>
        <w:spacing w:after="0" w:line="240" w:lineRule="auto"/>
        <w:jc w:val="center"/>
        <w:rPr>
          <w:rFonts w:ascii="Times New Roman" w:hAnsi="Times New Roman"/>
          <w:noProof/>
          <w:sz w:val="20"/>
          <w:szCs w:val="20"/>
          <w:lang w:bidi="ar-SA"/>
        </w:rPr>
      </w:pPr>
    </w:p>
    <w:p w:rsidR="0011029A" w:rsidRPr="00F447A7" w:rsidRDefault="0011029A" w:rsidP="0011029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11029A" w:rsidRPr="00A75369" w:rsidRDefault="0011029A" w:rsidP="0011029A">
      <w:pPr>
        <w:spacing w:after="0" w:line="240" w:lineRule="auto"/>
        <w:jc w:val="both"/>
        <w:outlineLvl w:val="0"/>
        <w:rPr>
          <w:rFonts w:ascii="Times New Roman" w:hAnsi="Times New Roman"/>
          <w:sz w:val="20"/>
          <w:szCs w:val="20"/>
        </w:rPr>
      </w:pPr>
      <w:r w:rsidRPr="00A75369">
        <w:rPr>
          <w:rFonts w:ascii="Times New Roman" w:hAnsi="Times New Roman"/>
          <w:sz w:val="20"/>
          <w:szCs w:val="20"/>
        </w:rPr>
        <w:t>Historically, the homogeneous catalysts have been developed to be used in industry earlier than heterogeneous catalyst. Homogeneous catalyst offered a several number of advantages to the researchers. It was found the homogeneous catalyst having transition metal complexes exhibited high selectivity and activity [1]. Despite of its advantages, the homogeneous catalyst is not commonly used as heterogeneous catalyst due to its difficulties to recover. These was proven when Dunnewijk et al. [2] reported that homogeneous catalyst is not widely used in chemical industry because the catalyst is difficult to recover and the catalysts also suffer from corrosion problems and product contamination [2]. Moreover, the homogeneous metal catalyst such as palladium is expansive to afford, toxic and suffered from prohibited drawbacks deactivation of poor conversion [3] Therefore, due to these reason there is a need to use the most applicable catalyst which is heterogeneous catalyst where the metal is heterogenized on a polymer support [4]. Other than that, heterogeneous catalyst offered easy recovery of catalyst from the reaction mixture by simple filtration and can be reused for several times [5].</w:t>
      </w:r>
    </w:p>
    <w:p w:rsidR="0011029A" w:rsidRPr="00A75369" w:rsidRDefault="0011029A" w:rsidP="0011029A">
      <w:pPr>
        <w:spacing w:after="0" w:line="240" w:lineRule="auto"/>
        <w:jc w:val="both"/>
        <w:outlineLvl w:val="0"/>
        <w:rPr>
          <w:rFonts w:ascii="Times New Roman" w:hAnsi="Times New Roman"/>
          <w:sz w:val="20"/>
          <w:szCs w:val="20"/>
        </w:rPr>
      </w:pPr>
    </w:p>
    <w:p w:rsidR="0011029A" w:rsidRPr="00A75369" w:rsidRDefault="0011029A" w:rsidP="0011029A">
      <w:pPr>
        <w:spacing w:after="0" w:line="240" w:lineRule="auto"/>
        <w:jc w:val="both"/>
        <w:outlineLvl w:val="0"/>
        <w:rPr>
          <w:rFonts w:ascii="Times New Roman" w:hAnsi="Times New Roman"/>
          <w:sz w:val="20"/>
          <w:szCs w:val="20"/>
        </w:rPr>
      </w:pPr>
      <w:r w:rsidRPr="00A75369">
        <w:rPr>
          <w:rFonts w:ascii="Times New Roman" w:hAnsi="Times New Roman"/>
          <w:sz w:val="20"/>
          <w:szCs w:val="20"/>
        </w:rPr>
        <w:t>One of the reasons palladium is commonly used in research because palladium is one of the most versatile of the transition metals and can formed coordination with electron donor atoms such as nitrogen and oxygen [6]. Due to these reason, Evangelisti et al. [7] discovered that the development of heterogeneous Schiff base a phosphine-free palladium catalyst which is economic and its environmental points of view have been done [7].  Schiff base is a compound which consists of nitrogen analogue of an aldehyde or ketone in which carbonyl group (C=O) have been replaced with an imine or azomethine group. The Schiff base compounds or also known as azomethines are very easy to be prepared from relatively inexpensive material and these selective ligands are sensitive towards most of the metal ions [8 – 10].</w:t>
      </w:r>
    </w:p>
    <w:p w:rsidR="0011029A" w:rsidRPr="00A75369" w:rsidRDefault="0011029A" w:rsidP="0011029A">
      <w:pPr>
        <w:spacing w:after="0" w:line="240" w:lineRule="auto"/>
        <w:jc w:val="both"/>
        <w:outlineLvl w:val="0"/>
        <w:rPr>
          <w:rFonts w:ascii="Times New Roman" w:hAnsi="Times New Roman"/>
          <w:sz w:val="20"/>
          <w:szCs w:val="20"/>
        </w:rPr>
      </w:pPr>
    </w:p>
    <w:p w:rsidR="0011029A" w:rsidRPr="00A75369" w:rsidRDefault="0011029A" w:rsidP="0011029A">
      <w:pPr>
        <w:spacing w:after="0" w:line="240" w:lineRule="auto"/>
        <w:jc w:val="both"/>
        <w:outlineLvl w:val="0"/>
        <w:rPr>
          <w:rFonts w:ascii="Times New Roman" w:hAnsi="Times New Roman"/>
          <w:sz w:val="20"/>
          <w:szCs w:val="20"/>
        </w:rPr>
      </w:pPr>
      <w:r w:rsidRPr="00A75369">
        <w:rPr>
          <w:rFonts w:ascii="Times New Roman" w:hAnsi="Times New Roman"/>
          <w:sz w:val="20"/>
          <w:szCs w:val="20"/>
        </w:rPr>
        <w:t>Polymers have been widely explored as immobilised material for supported catalyst [11]. In this research, poly(4-vinylpyridine) (P</w:t>
      </w:r>
      <w:r w:rsidRPr="00A75369">
        <w:rPr>
          <w:rFonts w:ascii="Times New Roman" w:hAnsi="Times New Roman"/>
          <w:sz w:val="20"/>
          <w:szCs w:val="20"/>
          <w:vertAlign w:val="subscript"/>
        </w:rPr>
        <w:t>4</w:t>
      </w:r>
      <w:r w:rsidRPr="00A75369">
        <w:rPr>
          <w:rFonts w:ascii="Times New Roman" w:hAnsi="Times New Roman"/>
          <w:sz w:val="20"/>
          <w:szCs w:val="20"/>
        </w:rPr>
        <w:t>VP) has emerged as an interesting approach for catalyst support to the Schiff base metal complex. P</w:t>
      </w:r>
      <w:r w:rsidRPr="00A75369">
        <w:rPr>
          <w:rFonts w:ascii="Times New Roman" w:hAnsi="Times New Roman"/>
          <w:sz w:val="20"/>
          <w:szCs w:val="20"/>
          <w:vertAlign w:val="subscript"/>
        </w:rPr>
        <w:t>4</w:t>
      </w:r>
      <w:r w:rsidRPr="00A75369">
        <w:rPr>
          <w:rFonts w:ascii="Times New Roman" w:hAnsi="Times New Roman"/>
          <w:sz w:val="20"/>
          <w:szCs w:val="20"/>
        </w:rPr>
        <w:t xml:space="preserve">VP has gained interest due to its stability towards high temperature resistance, hardness, impact strength, and its transparency can be precisely controlled through the metallocene structure. </w:t>
      </w:r>
    </w:p>
    <w:p w:rsidR="0011029A" w:rsidRPr="00A75369" w:rsidRDefault="0011029A" w:rsidP="0011029A">
      <w:pPr>
        <w:spacing w:after="0" w:line="240" w:lineRule="auto"/>
        <w:jc w:val="both"/>
        <w:outlineLvl w:val="0"/>
        <w:rPr>
          <w:rFonts w:ascii="Times New Roman" w:hAnsi="Times New Roman"/>
          <w:sz w:val="20"/>
          <w:szCs w:val="20"/>
        </w:rPr>
      </w:pPr>
    </w:p>
    <w:p w:rsidR="0011029A" w:rsidRPr="00A75369" w:rsidRDefault="0011029A" w:rsidP="0011029A">
      <w:pPr>
        <w:spacing w:after="0" w:line="240" w:lineRule="auto"/>
        <w:jc w:val="both"/>
        <w:rPr>
          <w:rFonts w:ascii="Times New Roman" w:hAnsi="Times New Roman"/>
          <w:noProof/>
          <w:sz w:val="20"/>
          <w:szCs w:val="20"/>
          <w:lang w:bidi="ar-SA"/>
        </w:rPr>
      </w:pPr>
      <w:r w:rsidRPr="00A75369">
        <w:rPr>
          <w:rFonts w:ascii="Times New Roman" w:hAnsi="Times New Roman"/>
          <w:sz w:val="20"/>
          <w:szCs w:val="20"/>
        </w:rPr>
        <w:t>In this present paper, the synthesis and characterization of the poly(4-vinylpyridine) supported palladium(II)-Schiff base complex which highly potential as heterogeneous catalyst for carbon-carbon bond formation were reported.</w:t>
      </w:r>
    </w:p>
    <w:p w:rsidR="0011029A" w:rsidRDefault="0011029A" w:rsidP="0011029A">
      <w:pPr>
        <w:spacing w:after="0" w:line="240" w:lineRule="auto"/>
        <w:jc w:val="center"/>
        <w:rPr>
          <w:rFonts w:ascii="Times New Roman" w:hAnsi="Times New Roman"/>
          <w:b/>
          <w:noProof/>
          <w:sz w:val="20"/>
          <w:szCs w:val="20"/>
          <w:lang w:bidi="ar-SA"/>
        </w:rPr>
      </w:pPr>
    </w:p>
    <w:p w:rsidR="0011029A" w:rsidRPr="00F447A7" w:rsidRDefault="0011029A" w:rsidP="0011029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11029A" w:rsidRPr="00B27E60" w:rsidRDefault="0011029A" w:rsidP="0011029A">
      <w:pPr>
        <w:spacing w:after="0" w:line="240" w:lineRule="auto"/>
        <w:jc w:val="both"/>
        <w:outlineLvl w:val="0"/>
        <w:rPr>
          <w:rFonts w:ascii="Times New Roman" w:hAnsi="Times New Roman"/>
          <w:b/>
          <w:sz w:val="20"/>
          <w:szCs w:val="20"/>
        </w:rPr>
      </w:pPr>
      <w:r w:rsidRPr="00B27E60">
        <w:rPr>
          <w:rFonts w:ascii="Times New Roman" w:hAnsi="Times New Roman"/>
          <w:b/>
          <w:sz w:val="20"/>
          <w:szCs w:val="20"/>
        </w:rPr>
        <w:t>Materials</w:t>
      </w:r>
    </w:p>
    <w:p w:rsidR="0011029A" w:rsidRPr="00B27E60" w:rsidRDefault="0011029A" w:rsidP="0011029A">
      <w:pPr>
        <w:spacing w:after="0" w:line="240" w:lineRule="auto"/>
        <w:jc w:val="both"/>
        <w:outlineLvl w:val="0"/>
        <w:rPr>
          <w:rFonts w:ascii="Times New Roman" w:hAnsi="Times New Roman"/>
          <w:sz w:val="20"/>
          <w:szCs w:val="20"/>
        </w:rPr>
      </w:pPr>
      <w:r w:rsidRPr="00B27E60">
        <w:rPr>
          <w:rFonts w:ascii="Times New Roman" w:hAnsi="Times New Roman"/>
          <w:sz w:val="20"/>
          <w:szCs w:val="20"/>
        </w:rPr>
        <w:t>All of the reagents which included chemicals, materials and solvent are analytical grade and commercially purchased from standard suppliers (Aldrich and Fluka) were used without further purification. All reactions were carried out under an ambient atmosphere and no special precaution was taken to exclude air or moisture during synthesis work-up.</w:t>
      </w:r>
      <w:r w:rsidRPr="00B27E60">
        <w:rPr>
          <w:rFonts w:ascii="Times New Roman" w:hAnsi="Times New Roman"/>
          <w:sz w:val="20"/>
          <w:szCs w:val="20"/>
        </w:rPr>
        <w:tab/>
      </w:r>
    </w:p>
    <w:p w:rsidR="0011029A" w:rsidRPr="00B27E60" w:rsidRDefault="0011029A" w:rsidP="0011029A">
      <w:pPr>
        <w:spacing w:after="0" w:line="240" w:lineRule="auto"/>
        <w:jc w:val="both"/>
        <w:outlineLvl w:val="0"/>
        <w:rPr>
          <w:rFonts w:ascii="Times New Roman" w:hAnsi="Times New Roman"/>
          <w:sz w:val="20"/>
          <w:szCs w:val="20"/>
        </w:rPr>
      </w:pPr>
    </w:p>
    <w:p w:rsidR="0011029A" w:rsidRPr="00B27E60" w:rsidRDefault="0011029A" w:rsidP="0011029A">
      <w:pPr>
        <w:spacing w:after="0" w:line="240" w:lineRule="auto"/>
        <w:jc w:val="both"/>
        <w:outlineLvl w:val="0"/>
        <w:rPr>
          <w:rFonts w:ascii="Times New Roman" w:hAnsi="Times New Roman"/>
          <w:b/>
          <w:sz w:val="20"/>
          <w:szCs w:val="20"/>
        </w:rPr>
      </w:pPr>
      <w:r w:rsidRPr="00B27E60">
        <w:rPr>
          <w:rFonts w:ascii="Times New Roman" w:hAnsi="Times New Roman"/>
          <w:b/>
          <w:sz w:val="20"/>
          <w:szCs w:val="20"/>
        </w:rPr>
        <w:t>Synthesis of N,N’-bis(3,5-di-tert-butylsalicylidene)-propane-1,3-diamine</w:t>
      </w:r>
    </w:p>
    <w:p w:rsidR="0011029A" w:rsidRPr="00B27E60" w:rsidRDefault="0011029A" w:rsidP="0011029A">
      <w:pPr>
        <w:spacing w:after="0" w:line="240" w:lineRule="auto"/>
        <w:jc w:val="both"/>
        <w:outlineLvl w:val="0"/>
        <w:rPr>
          <w:rFonts w:ascii="Times New Roman" w:hAnsi="Times New Roman"/>
          <w:sz w:val="20"/>
          <w:szCs w:val="20"/>
        </w:rPr>
      </w:pPr>
      <w:r w:rsidRPr="00B27E60">
        <w:rPr>
          <w:rFonts w:ascii="Times New Roman" w:hAnsi="Times New Roman"/>
          <w:sz w:val="20"/>
          <w:szCs w:val="20"/>
        </w:rPr>
        <w:t>The N</w:t>
      </w:r>
      <w:r w:rsidRPr="00B27E60">
        <w:rPr>
          <w:rFonts w:ascii="Times New Roman" w:hAnsi="Times New Roman"/>
          <w:sz w:val="20"/>
          <w:szCs w:val="20"/>
          <w:vertAlign w:val="subscript"/>
        </w:rPr>
        <w:t>2</w:t>
      </w:r>
      <w:r w:rsidRPr="00B27E60">
        <w:rPr>
          <w:rFonts w:ascii="Times New Roman" w:hAnsi="Times New Roman"/>
          <w:sz w:val="20"/>
          <w:szCs w:val="20"/>
        </w:rPr>
        <w:t>O</w:t>
      </w:r>
      <w:r w:rsidRPr="00B27E60">
        <w:rPr>
          <w:rFonts w:ascii="Times New Roman" w:hAnsi="Times New Roman"/>
          <w:sz w:val="20"/>
          <w:szCs w:val="20"/>
          <w:vertAlign w:val="subscript"/>
        </w:rPr>
        <w:t>2</w:t>
      </w:r>
      <w:r w:rsidRPr="00B27E60">
        <w:rPr>
          <w:rFonts w:ascii="Times New Roman" w:hAnsi="Times New Roman"/>
          <w:sz w:val="20"/>
          <w:szCs w:val="20"/>
        </w:rPr>
        <w:t>-Schiff base ligand was synthesized according to the literature methods [12, 13]. The spectroscopic characterizations of these ligands were in agreement with literature values.</w:t>
      </w:r>
    </w:p>
    <w:p w:rsidR="0011029A" w:rsidRPr="00B27E60" w:rsidRDefault="0011029A" w:rsidP="0011029A">
      <w:pPr>
        <w:spacing w:after="0" w:line="240" w:lineRule="auto"/>
        <w:jc w:val="both"/>
        <w:outlineLvl w:val="0"/>
        <w:rPr>
          <w:rFonts w:ascii="Times New Roman" w:hAnsi="Times New Roman"/>
          <w:sz w:val="20"/>
          <w:szCs w:val="20"/>
        </w:rPr>
      </w:pPr>
    </w:p>
    <w:p w:rsidR="0011029A" w:rsidRPr="00B27E60" w:rsidRDefault="0011029A" w:rsidP="0011029A">
      <w:pPr>
        <w:spacing w:after="0" w:line="240" w:lineRule="auto"/>
        <w:jc w:val="both"/>
        <w:outlineLvl w:val="0"/>
        <w:rPr>
          <w:rFonts w:ascii="Times New Roman" w:hAnsi="Times New Roman"/>
          <w:b/>
          <w:sz w:val="20"/>
          <w:szCs w:val="20"/>
        </w:rPr>
      </w:pPr>
      <w:r w:rsidRPr="00B27E60">
        <w:rPr>
          <w:rFonts w:ascii="Times New Roman" w:hAnsi="Times New Roman"/>
          <w:b/>
          <w:sz w:val="20"/>
          <w:szCs w:val="20"/>
        </w:rPr>
        <w:t>Synthesis of N,N’-bis(3,5-di-tert-butylsalicylidene)-propane-1,3-diaminepalladium(II) complex</w:t>
      </w:r>
    </w:p>
    <w:p w:rsidR="0011029A" w:rsidRPr="00B27E60" w:rsidRDefault="0011029A" w:rsidP="0011029A">
      <w:pPr>
        <w:spacing w:after="0" w:line="240" w:lineRule="auto"/>
        <w:jc w:val="both"/>
        <w:outlineLvl w:val="0"/>
        <w:rPr>
          <w:rFonts w:ascii="Times New Roman" w:hAnsi="Times New Roman"/>
          <w:sz w:val="20"/>
          <w:szCs w:val="20"/>
        </w:rPr>
      </w:pPr>
      <w:r w:rsidRPr="00B27E60">
        <w:rPr>
          <w:rFonts w:ascii="Times New Roman" w:hAnsi="Times New Roman"/>
          <w:sz w:val="20"/>
          <w:szCs w:val="20"/>
        </w:rPr>
        <w:t>The Pd(II) complex (Scheme 1) was synthesized following standard method [14]. The complex was prepared by treating an equivalent molar amount of the corresponding ligand with Pd(OAc)</w:t>
      </w:r>
      <w:r w:rsidRPr="00B27E60">
        <w:rPr>
          <w:rFonts w:ascii="Times New Roman" w:hAnsi="Times New Roman"/>
          <w:sz w:val="20"/>
          <w:szCs w:val="20"/>
          <w:vertAlign w:val="subscript"/>
        </w:rPr>
        <w:t>2</w:t>
      </w:r>
      <w:r w:rsidRPr="00B27E60">
        <w:rPr>
          <w:rFonts w:ascii="Times New Roman" w:hAnsi="Times New Roman"/>
          <w:sz w:val="20"/>
          <w:szCs w:val="20"/>
        </w:rPr>
        <w:t xml:space="preserve"> in acetonitrile. The spectroscopic data (</w:t>
      </w:r>
      <w:r w:rsidRPr="00B27E60">
        <w:rPr>
          <w:rFonts w:ascii="Times New Roman" w:hAnsi="Times New Roman"/>
          <w:sz w:val="20"/>
          <w:szCs w:val="20"/>
          <w:vertAlign w:val="superscript"/>
        </w:rPr>
        <w:t>1</w:t>
      </w:r>
      <w:r w:rsidRPr="00B27E60">
        <w:rPr>
          <w:rFonts w:ascii="Times New Roman" w:hAnsi="Times New Roman"/>
          <w:sz w:val="20"/>
          <w:szCs w:val="20"/>
        </w:rPr>
        <w:t xml:space="preserve">H, </w:t>
      </w:r>
      <w:r w:rsidRPr="00B27E60">
        <w:rPr>
          <w:rFonts w:ascii="Times New Roman" w:hAnsi="Times New Roman"/>
          <w:sz w:val="20"/>
          <w:szCs w:val="20"/>
          <w:vertAlign w:val="superscript"/>
        </w:rPr>
        <w:t>13</w:t>
      </w:r>
      <w:r w:rsidRPr="00B27E60">
        <w:rPr>
          <w:rFonts w:ascii="Times New Roman" w:hAnsi="Times New Roman"/>
          <w:sz w:val="20"/>
          <w:szCs w:val="20"/>
        </w:rPr>
        <w:t>C NMR and FTIR) of this complex are in agreement with those reported recently by Soh et al. [15] .Yield: 88%. Melting point: 375-376 °C. CHN elemental analysis (%): Experimental: C, 55.60; H, 6.53; N, 3.82. Calculated for C</w:t>
      </w:r>
      <w:r w:rsidRPr="00B27E60">
        <w:rPr>
          <w:rFonts w:ascii="Times New Roman" w:hAnsi="Times New Roman"/>
          <w:sz w:val="20"/>
          <w:szCs w:val="20"/>
          <w:vertAlign w:val="subscript"/>
        </w:rPr>
        <w:t>33</w:t>
      </w:r>
      <w:r w:rsidRPr="00B27E60">
        <w:rPr>
          <w:rFonts w:ascii="Times New Roman" w:hAnsi="Times New Roman"/>
          <w:sz w:val="20"/>
          <w:szCs w:val="20"/>
        </w:rPr>
        <w:t>H</w:t>
      </w:r>
      <w:r w:rsidRPr="00B27E60">
        <w:rPr>
          <w:rFonts w:ascii="Times New Roman" w:hAnsi="Times New Roman"/>
          <w:sz w:val="20"/>
          <w:szCs w:val="20"/>
          <w:vertAlign w:val="subscript"/>
        </w:rPr>
        <w:t>48</w:t>
      </w:r>
      <w:r w:rsidRPr="00B27E60">
        <w:rPr>
          <w:rFonts w:ascii="Times New Roman" w:hAnsi="Times New Roman"/>
          <w:sz w:val="20"/>
          <w:szCs w:val="20"/>
        </w:rPr>
        <w:t>N</w:t>
      </w:r>
      <w:r w:rsidRPr="00B27E60">
        <w:rPr>
          <w:rFonts w:ascii="Times New Roman" w:hAnsi="Times New Roman"/>
          <w:sz w:val="20"/>
          <w:szCs w:val="20"/>
          <w:vertAlign w:val="subscript"/>
        </w:rPr>
        <w:t>2</w:t>
      </w:r>
      <w:r w:rsidRPr="00B27E60">
        <w:rPr>
          <w:rFonts w:ascii="Times New Roman" w:hAnsi="Times New Roman"/>
          <w:sz w:val="20"/>
          <w:szCs w:val="20"/>
        </w:rPr>
        <w:t>O</w:t>
      </w:r>
      <w:r w:rsidRPr="00B27E60">
        <w:rPr>
          <w:rFonts w:ascii="Times New Roman" w:hAnsi="Times New Roman"/>
          <w:sz w:val="20"/>
          <w:szCs w:val="20"/>
          <w:vertAlign w:val="subscript"/>
        </w:rPr>
        <w:t>2</w:t>
      </w:r>
      <w:r w:rsidRPr="00B27E60">
        <w:rPr>
          <w:rFonts w:ascii="Times New Roman" w:hAnsi="Times New Roman"/>
          <w:sz w:val="20"/>
          <w:szCs w:val="20"/>
        </w:rPr>
        <w:t>Pd requires: C, 64.85; H, 7.92; N, 4.58</w:t>
      </w:r>
    </w:p>
    <w:p w:rsidR="0011029A" w:rsidRPr="00B27E60" w:rsidRDefault="0011029A" w:rsidP="0011029A">
      <w:pPr>
        <w:spacing w:after="0" w:line="240" w:lineRule="auto"/>
        <w:jc w:val="both"/>
        <w:outlineLvl w:val="0"/>
        <w:rPr>
          <w:rFonts w:ascii="Times New Roman" w:hAnsi="Times New Roman"/>
          <w:sz w:val="20"/>
          <w:szCs w:val="20"/>
        </w:rPr>
      </w:pPr>
    </w:p>
    <w:p w:rsidR="0011029A" w:rsidRPr="00B27E60" w:rsidRDefault="0011029A" w:rsidP="0011029A">
      <w:pPr>
        <w:spacing w:after="0" w:line="240" w:lineRule="auto"/>
        <w:jc w:val="both"/>
        <w:outlineLvl w:val="0"/>
        <w:rPr>
          <w:rFonts w:ascii="Times New Roman" w:hAnsi="Times New Roman"/>
          <w:b/>
          <w:sz w:val="20"/>
          <w:szCs w:val="20"/>
        </w:rPr>
      </w:pPr>
      <w:r w:rsidRPr="00B27E60">
        <w:rPr>
          <w:rFonts w:ascii="Times New Roman" w:hAnsi="Times New Roman"/>
          <w:b/>
          <w:sz w:val="20"/>
          <w:szCs w:val="20"/>
        </w:rPr>
        <w:t>Synthesis of Poly(4-vinylpyridine) supported Pd(II) complex</w:t>
      </w:r>
    </w:p>
    <w:p w:rsidR="0011029A" w:rsidRPr="00B27E60" w:rsidRDefault="0011029A" w:rsidP="0011029A">
      <w:pPr>
        <w:spacing w:after="0" w:line="240" w:lineRule="auto"/>
        <w:jc w:val="both"/>
        <w:outlineLvl w:val="0"/>
        <w:rPr>
          <w:rFonts w:ascii="Times New Roman" w:hAnsi="Times New Roman"/>
          <w:sz w:val="20"/>
          <w:szCs w:val="20"/>
        </w:rPr>
      </w:pPr>
      <w:r w:rsidRPr="00B27E60">
        <w:rPr>
          <w:rFonts w:ascii="Times New Roman" w:hAnsi="Times New Roman"/>
          <w:sz w:val="20"/>
          <w:szCs w:val="20"/>
        </w:rPr>
        <w:t>The poly(4-vinylpyridine) (0.8 g) was loaded into round bottom flask containing complex (0.8 g) with ethyl acetate as a solvent. The solution was stirred for 72 hours at room temperature</w:t>
      </w:r>
      <w:r>
        <w:rPr>
          <w:rFonts w:ascii="Times New Roman" w:hAnsi="Times New Roman"/>
          <w:sz w:val="20"/>
          <w:szCs w:val="20"/>
        </w:rPr>
        <w:t xml:space="preserve"> (Scheme 2)</w:t>
      </w:r>
      <w:r w:rsidRPr="00B27E60">
        <w:rPr>
          <w:rFonts w:ascii="Times New Roman" w:hAnsi="Times New Roman"/>
          <w:sz w:val="20"/>
          <w:szCs w:val="20"/>
        </w:rPr>
        <w:t>. The resultant solid catalyst was filtered off and washed with ethyl acetate two times followed by acetone. The residue was dried in air for 24 hours.</w:t>
      </w:r>
    </w:p>
    <w:p w:rsidR="0011029A" w:rsidRPr="00B27E60" w:rsidRDefault="0011029A" w:rsidP="0011029A">
      <w:pPr>
        <w:spacing w:after="0" w:line="240" w:lineRule="auto"/>
        <w:jc w:val="both"/>
        <w:outlineLvl w:val="0"/>
        <w:rPr>
          <w:rFonts w:ascii="Times New Roman" w:hAnsi="Times New Roman"/>
          <w:sz w:val="20"/>
          <w:szCs w:val="20"/>
        </w:rPr>
      </w:pPr>
    </w:p>
    <w:p w:rsidR="0011029A" w:rsidRPr="00B27E60" w:rsidRDefault="0011029A" w:rsidP="0011029A">
      <w:pPr>
        <w:spacing w:after="0" w:line="240" w:lineRule="auto"/>
        <w:jc w:val="both"/>
        <w:outlineLvl w:val="0"/>
        <w:rPr>
          <w:rFonts w:ascii="Times New Roman" w:hAnsi="Times New Roman"/>
          <w:sz w:val="20"/>
          <w:szCs w:val="20"/>
        </w:rPr>
      </w:pPr>
    </w:p>
    <w:p w:rsidR="0011029A" w:rsidRPr="00B27E60" w:rsidRDefault="0011029A" w:rsidP="0011029A">
      <w:pPr>
        <w:spacing w:after="0" w:line="240" w:lineRule="auto"/>
        <w:jc w:val="both"/>
        <w:outlineLvl w:val="0"/>
        <w:rPr>
          <w:rFonts w:ascii="Times New Roman" w:hAnsi="Times New Roman"/>
          <w:sz w:val="20"/>
          <w:szCs w:val="20"/>
        </w:rPr>
      </w:pPr>
      <w:r>
        <w:rPr>
          <w:rFonts w:ascii="Times New Roman" w:hAnsi="Times New Roman"/>
          <w:noProof/>
          <w:sz w:val="20"/>
          <w:szCs w:val="20"/>
          <w:lang w:bidi="ar-SA"/>
        </w:rPr>
        <w:drawing>
          <wp:inline distT="0" distB="0" distL="0" distR="0">
            <wp:extent cx="5724525" cy="1057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1057275"/>
                    </a:xfrm>
                    <a:prstGeom prst="rect">
                      <a:avLst/>
                    </a:prstGeom>
                    <a:noFill/>
                    <a:ln>
                      <a:noFill/>
                    </a:ln>
                  </pic:spPr>
                </pic:pic>
              </a:graphicData>
            </a:graphic>
          </wp:inline>
        </w:drawing>
      </w:r>
    </w:p>
    <w:p w:rsidR="0011029A" w:rsidRDefault="0011029A" w:rsidP="0011029A">
      <w:pPr>
        <w:spacing w:after="0" w:line="240" w:lineRule="auto"/>
        <w:jc w:val="center"/>
        <w:outlineLvl w:val="0"/>
        <w:rPr>
          <w:rFonts w:ascii="Times New Roman" w:hAnsi="Times New Roman"/>
          <w:sz w:val="20"/>
          <w:szCs w:val="20"/>
        </w:rPr>
      </w:pPr>
    </w:p>
    <w:p w:rsidR="0011029A" w:rsidRPr="00B27E60" w:rsidRDefault="0011029A" w:rsidP="0011029A">
      <w:pPr>
        <w:spacing w:after="0" w:line="240" w:lineRule="auto"/>
        <w:jc w:val="center"/>
        <w:outlineLvl w:val="0"/>
        <w:rPr>
          <w:rFonts w:ascii="Times New Roman" w:hAnsi="Times New Roman"/>
          <w:sz w:val="20"/>
          <w:szCs w:val="20"/>
        </w:rPr>
      </w:pPr>
      <w:r w:rsidRPr="00B27E60">
        <w:rPr>
          <w:rFonts w:ascii="Times New Roman" w:hAnsi="Times New Roman"/>
          <w:sz w:val="20"/>
          <w:szCs w:val="20"/>
        </w:rPr>
        <w:t xml:space="preserve">Scheme 1. </w:t>
      </w:r>
      <w:r>
        <w:rPr>
          <w:rFonts w:ascii="Times New Roman" w:hAnsi="Times New Roman"/>
          <w:sz w:val="20"/>
          <w:szCs w:val="20"/>
        </w:rPr>
        <w:t xml:space="preserve"> </w:t>
      </w:r>
      <w:r w:rsidRPr="00B27E60">
        <w:rPr>
          <w:rFonts w:ascii="Times New Roman" w:hAnsi="Times New Roman"/>
          <w:sz w:val="20"/>
          <w:szCs w:val="20"/>
        </w:rPr>
        <w:t>Synthesis of N,N’-bis(3,5-di-tert-butylsalicylidene)-propane-1,3-diaminepalladium</w:t>
      </w:r>
    </w:p>
    <w:p w:rsidR="0011029A" w:rsidRDefault="0011029A" w:rsidP="0011029A">
      <w:pPr>
        <w:spacing w:after="0" w:line="240" w:lineRule="auto"/>
        <w:jc w:val="both"/>
        <w:outlineLvl w:val="0"/>
        <w:rPr>
          <w:rFonts w:ascii="Times New Roman" w:hAnsi="Times New Roman"/>
          <w:sz w:val="20"/>
          <w:szCs w:val="20"/>
        </w:rPr>
      </w:pPr>
    </w:p>
    <w:p w:rsidR="0011029A" w:rsidRDefault="0011029A" w:rsidP="0011029A">
      <w:pPr>
        <w:spacing w:after="0" w:line="240" w:lineRule="auto"/>
        <w:jc w:val="both"/>
        <w:outlineLvl w:val="0"/>
        <w:rPr>
          <w:rFonts w:ascii="Times New Roman" w:hAnsi="Times New Roman"/>
          <w:sz w:val="20"/>
          <w:szCs w:val="20"/>
        </w:rPr>
      </w:pPr>
    </w:p>
    <w:p w:rsidR="0011029A" w:rsidRPr="00B27E60" w:rsidRDefault="0011029A" w:rsidP="0011029A">
      <w:pPr>
        <w:spacing w:after="0" w:line="240" w:lineRule="auto"/>
        <w:jc w:val="both"/>
        <w:outlineLvl w:val="0"/>
        <w:rPr>
          <w:rFonts w:ascii="Times New Roman" w:hAnsi="Times New Roman"/>
          <w:sz w:val="20"/>
          <w:szCs w:val="20"/>
        </w:rPr>
      </w:pPr>
    </w:p>
    <w:p w:rsidR="0011029A" w:rsidRPr="00B27E60" w:rsidRDefault="0011029A" w:rsidP="0011029A">
      <w:pPr>
        <w:spacing w:after="0" w:line="240" w:lineRule="auto"/>
        <w:jc w:val="center"/>
        <w:outlineLvl w:val="0"/>
        <w:rPr>
          <w:rFonts w:ascii="Times New Roman" w:hAnsi="Times New Roman"/>
          <w:sz w:val="20"/>
          <w:szCs w:val="20"/>
        </w:rPr>
      </w:pPr>
      <w:r>
        <w:rPr>
          <w:rFonts w:ascii="Times New Roman" w:hAnsi="Times New Roman"/>
          <w:noProof/>
          <w:sz w:val="20"/>
          <w:szCs w:val="20"/>
          <w:lang w:bidi="ar-SA"/>
        </w:rPr>
        <w:drawing>
          <wp:inline distT="0" distB="0" distL="0" distR="0">
            <wp:extent cx="3476625" cy="5086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6625" cy="5086350"/>
                    </a:xfrm>
                    <a:prstGeom prst="rect">
                      <a:avLst/>
                    </a:prstGeom>
                    <a:noFill/>
                    <a:ln>
                      <a:noFill/>
                    </a:ln>
                  </pic:spPr>
                </pic:pic>
              </a:graphicData>
            </a:graphic>
          </wp:inline>
        </w:drawing>
      </w:r>
    </w:p>
    <w:p w:rsidR="0011029A" w:rsidRPr="00B27E60" w:rsidRDefault="0011029A" w:rsidP="0011029A">
      <w:pPr>
        <w:spacing w:after="0" w:line="240" w:lineRule="auto"/>
        <w:jc w:val="both"/>
        <w:outlineLvl w:val="0"/>
        <w:rPr>
          <w:rFonts w:ascii="Times New Roman" w:hAnsi="Times New Roman"/>
          <w:sz w:val="20"/>
          <w:szCs w:val="20"/>
        </w:rPr>
      </w:pPr>
    </w:p>
    <w:p w:rsidR="0011029A" w:rsidRPr="00B27E60" w:rsidRDefault="0011029A" w:rsidP="0011029A">
      <w:pPr>
        <w:spacing w:after="0" w:line="240" w:lineRule="auto"/>
        <w:jc w:val="center"/>
        <w:outlineLvl w:val="0"/>
        <w:rPr>
          <w:rFonts w:ascii="Times New Roman" w:hAnsi="Times New Roman"/>
          <w:sz w:val="20"/>
          <w:szCs w:val="20"/>
        </w:rPr>
      </w:pPr>
      <w:r w:rsidRPr="00B27E60">
        <w:rPr>
          <w:rFonts w:ascii="Times New Roman" w:hAnsi="Times New Roman"/>
          <w:sz w:val="20"/>
          <w:szCs w:val="20"/>
        </w:rPr>
        <w:t xml:space="preserve">Scheme 2. </w:t>
      </w:r>
      <w:r>
        <w:rPr>
          <w:rFonts w:ascii="Times New Roman" w:hAnsi="Times New Roman"/>
          <w:sz w:val="20"/>
          <w:szCs w:val="20"/>
        </w:rPr>
        <w:t xml:space="preserve"> </w:t>
      </w:r>
      <w:r w:rsidRPr="00B27E60">
        <w:rPr>
          <w:rFonts w:ascii="Times New Roman" w:hAnsi="Times New Roman"/>
          <w:sz w:val="20"/>
          <w:szCs w:val="20"/>
        </w:rPr>
        <w:t>Synthesis of poly(4-vinylpyridine) supported Pd(II) complex</w:t>
      </w:r>
    </w:p>
    <w:p w:rsidR="0011029A" w:rsidRDefault="0011029A" w:rsidP="0011029A">
      <w:pPr>
        <w:spacing w:after="0" w:line="240" w:lineRule="auto"/>
        <w:jc w:val="center"/>
        <w:rPr>
          <w:rFonts w:ascii="Times New Roman" w:hAnsi="Times New Roman"/>
          <w:noProof/>
          <w:sz w:val="20"/>
          <w:szCs w:val="20"/>
          <w:lang w:bidi="ar-SA"/>
        </w:rPr>
      </w:pPr>
    </w:p>
    <w:p w:rsidR="0011029A" w:rsidRDefault="0011029A" w:rsidP="0011029A">
      <w:pPr>
        <w:spacing w:after="0" w:line="240" w:lineRule="auto"/>
        <w:jc w:val="center"/>
        <w:rPr>
          <w:rFonts w:ascii="Times New Roman" w:hAnsi="Times New Roman"/>
          <w:noProof/>
          <w:sz w:val="20"/>
          <w:szCs w:val="20"/>
          <w:lang w:bidi="ar-SA"/>
        </w:rPr>
      </w:pPr>
    </w:p>
    <w:p w:rsidR="0011029A" w:rsidRPr="00F447A7" w:rsidRDefault="0011029A" w:rsidP="0011029A">
      <w:pPr>
        <w:spacing w:after="0" w:line="240" w:lineRule="auto"/>
        <w:jc w:val="center"/>
        <w:rPr>
          <w:rFonts w:ascii="Times New Roman" w:hAnsi="Times New Roman"/>
          <w:noProof/>
          <w:sz w:val="20"/>
          <w:szCs w:val="20"/>
          <w:lang w:bidi="ar-SA"/>
        </w:rPr>
      </w:pPr>
    </w:p>
    <w:p w:rsidR="0011029A" w:rsidRPr="00F447A7" w:rsidRDefault="0011029A" w:rsidP="0011029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11029A" w:rsidRPr="004F48F6" w:rsidRDefault="0011029A" w:rsidP="0011029A">
      <w:pPr>
        <w:spacing w:after="0" w:line="240" w:lineRule="auto"/>
        <w:jc w:val="both"/>
        <w:outlineLvl w:val="0"/>
        <w:rPr>
          <w:rFonts w:ascii="Times New Roman" w:hAnsi="Times New Roman"/>
          <w:b/>
          <w:sz w:val="20"/>
          <w:szCs w:val="20"/>
        </w:rPr>
      </w:pPr>
      <w:r w:rsidRPr="004F48F6">
        <w:rPr>
          <w:rFonts w:ascii="Times New Roman" w:hAnsi="Times New Roman"/>
          <w:b/>
          <w:sz w:val="20"/>
          <w:szCs w:val="20"/>
        </w:rPr>
        <w:t>Synthesis of N</w:t>
      </w:r>
      <w:r w:rsidRPr="004F48F6">
        <w:rPr>
          <w:rFonts w:ascii="Times New Roman" w:hAnsi="Times New Roman"/>
          <w:b/>
          <w:sz w:val="20"/>
          <w:szCs w:val="20"/>
          <w:vertAlign w:val="subscript"/>
        </w:rPr>
        <w:t>2</w:t>
      </w:r>
      <w:r w:rsidRPr="004F48F6">
        <w:rPr>
          <w:rFonts w:ascii="Times New Roman" w:hAnsi="Times New Roman"/>
          <w:b/>
          <w:sz w:val="20"/>
          <w:szCs w:val="20"/>
        </w:rPr>
        <w:t>O</w:t>
      </w:r>
      <w:r w:rsidRPr="004F48F6">
        <w:rPr>
          <w:rFonts w:ascii="Times New Roman" w:hAnsi="Times New Roman"/>
          <w:b/>
          <w:sz w:val="20"/>
          <w:szCs w:val="20"/>
          <w:vertAlign w:val="subscript"/>
        </w:rPr>
        <w:t>2</w:t>
      </w:r>
      <w:r w:rsidRPr="004F48F6">
        <w:rPr>
          <w:rFonts w:ascii="Times New Roman" w:hAnsi="Times New Roman"/>
          <w:b/>
          <w:sz w:val="20"/>
          <w:szCs w:val="20"/>
        </w:rPr>
        <w:t xml:space="preserve"> Schiff Base ligand and Palladium(II) complex</w:t>
      </w:r>
    </w:p>
    <w:p w:rsidR="0011029A" w:rsidRPr="004F48F6" w:rsidRDefault="0011029A" w:rsidP="0011029A">
      <w:pPr>
        <w:spacing w:after="0" w:line="240" w:lineRule="auto"/>
        <w:jc w:val="both"/>
        <w:outlineLvl w:val="0"/>
        <w:rPr>
          <w:rFonts w:ascii="Times New Roman" w:hAnsi="Times New Roman"/>
          <w:sz w:val="20"/>
          <w:szCs w:val="20"/>
        </w:rPr>
      </w:pPr>
      <w:r w:rsidRPr="004F48F6">
        <w:rPr>
          <w:rFonts w:ascii="Times New Roman" w:hAnsi="Times New Roman"/>
          <w:sz w:val="20"/>
          <w:szCs w:val="20"/>
        </w:rPr>
        <w:t xml:space="preserve">The Schiff base ligand N,N’-bis(3,5-di-tert-butylsalicylidene)-propane-1,3-diamine was obtained yellow solid in high yield through condensation reaction between 3,5-di-tert-butyl-2-hydroxybenzaldehyde with 1,3-diaminopropane. The resulting ligand was further treated with palladium(II) acetate in order to form metal complex. The synthesis of the Schiff base palladium(II) complex is shown in Scheme 1. </w:t>
      </w:r>
    </w:p>
    <w:p w:rsidR="0011029A" w:rsidRPr="004F48F6" w:rsidRDefault="0011029A" w:rsidP="0011029A">
      <w:pPr>
        <w:spacing w:after="0" w:line="240" w:lineRule="auto"/>
        <w:jc w:val="both"/>
        <w:outlineLvl w:val="0"/>
        <w:rPr>
          <w:rFonts w:ascii="Times New Roman" w:hAnsi="Times New Roman"/>
          <w:sz w:val="20"/>
          <w:szCs w:val="20"/>
        </w:rPr>
      </w:pPr>
    </w:p>
    <w:p w:rsidR="0011029A" w:rsidRPr="004F48F6" w:rsidRDefault="0011029A" w:rsidP="0011029A">
      <w:pPr>
        <w:spacing w:after="0" w:line="240" w:lineRule="auto"/>
        <w:jc w:val="both"/>
        <w:outlineLvl w:val="0"/>
        <w:rPr>
          <w:rFonts w:ascii="Times New Roman" w:hAnsi="Times New Roman"/>
          <w:b/>
          <w:sz w:val="20"/>
          <w:szCs w:val="20"/>
        </w:rPr>
      </w:pPr>
      <w:r w:rsidRPr="004F48F6">
        <w:rPr>
          <w:rFonts w:ascii="Times New Roman" w:hAnsi="Times New Roman"/>
          <w:b/>
          <w:sz w:val="20"/>
          <w:szCs w:val="20"/>
        </w:rPr>
        <w:t>Synthesis of Poly(4-vinylpyridine) supported Pd(II) complex</w:t>
      </w:r>
    </w:p>
    <w:p w:rsidR="0011029A" w:rsidRPr="004F48F6" w:rsidRDefault="0011029A" w:rsidP="0011029A">
      <w:pPr>
        <w:spacing w:after="0" w:line="240" w:lineRule="auto"/>
        <w:jc w:val="both"/>
        <w:outlineLvl w:val="0"/>
        <w:rPr>
          <w:rFonts w:ascii="Times New Roman" w:hAnsi="Times New Roman"/>
          <w:sz w:val="20"/>
          <w:szCs w:val="20"/>
        </w:rPr>
      </w:pPr>
      <w:r w:rsidRPr="004F48F6">
        <w:rPr>
          <w:rFonts w:ascii="Times New Roman" w:hAnsi="Times New Roman"/>
          <w:sz w:val="20"/>
          <w:szCs w:val="20"/>
        </w:rPr>
        <w:t>The outline for synthesizing of P</w:t>
      </w:r>
      <w:r w:rsidRPr="004F48F6">
        <w:rPr>
          <w:rFonts w:ascii="Times New Roman" w:hAnsi="Times New Roman"/>
          <w:sz w:val="20"/>
          <w:szCs w:val="20"/>
          <w:vertAlign w:val="subscript"/>
        </w:rPr>
        <w:t>4</w:t>
      </w:r>
      <w:r w:rsidRPr="004F48F6">
        <w:rPr>
          <w:rFonts w:ascii="Times New Roman" w:hAnsi="Times New Roman"/>
          <w:sz w:val="20"/>
          <w:szCs w:val="20"/>
        </w:rPr>
        <w:t>VP-Pd(II) complex was presented in Scheme 2. The N</w:t>
      </w:r>
      <w:r w:rsidRPr="004F48F6">
        <w:rPr>
          <w:rFonts w:ascii="Times New Roman" w:hAnsi="Times New Roman"/>
          <w:sz w:val="20"/>
          <w:szCs w:val="20"/>
          <w:vertAlign w:val="subscript"/>
        </w:rPr>
        <w:t>2</w:t>
      </w:r>
      <w:r w:rsidRPr="004F48F6">
        <w:rPr>
          <w:rFonts w:ascii="Times New Roman" w:hAnsi="Times New Roman"/>
          <w:sz w:val="20"/>
          <w:szCs w:val="20"/>
        </w:rPr>
        <w:t>O</w:t>
      </w:r>
      <w:r w:rsidRPr="004F48F6">
        <w:rPr>
          <w:rFonts w:ascii="Times New Roman" w:hAnsi="Times New Roman"/>
          <w:sz w:val="20"/>
          <w:szCs w:val="20"/>
          <w:vertAlign w:val="subscript"/>
        </w:rPr>
        <w:t>2</w:t>
      </w:r>
      <w:r w:rsidRPr="004F48F6">
        <w:rPr>
          <w:rFonts w:ascii="Times New Roman" w:hAnsi="Times New Roman"/>
          <w:sz w:val="20"/>
          <w:szCs w:val="20"/>
        </w:rPr>
        <w:t xml:space="preserve"> palladium(II) complex was then immobilized onto poly(4-vinylpyridine) so</w:t>
      </w:r>
      <w:r>
        <w:rPr>
          <w:rFonts w:ascii="Times New Roman" w:hAnsi="Times New Roman"/>
          <w:sz w:val="20"/>
          <w:szCs w:val="20"/>
        </w:rPr>
        <w:t>lid support in order to obtain</w:t>
      </w:r>
      <w:r w:rsidRPr="004F48F6">
        <w:rPr>
          <w:rFonts w:ascii="Times New Roman" w:hAnsi="Times New Roman"/>
          <w:sz w:val="20"/>
          <w:szCs w:val="20"/>
        </w:rPr>
        <w:t xml:space="preserve"> heterogeneous catalyst of P</w:t>
      </w:r>
      <w:r w:rsidRPr="004F48F6">
        <w:rPr>
          <w:rFonts w:ascii="Times New Roman" w:hAnsi="Times New Roman"/>
          <w:sz w:val="20"/>
          <w:szCs w:val="20"/>
          <w:vertAlign w:val="subscript"/>
        </w:rPr>
        <w:t>4</w:t>
      </w:r>
      <w:r w:rsidRPr="004F48F6">
        <w:rPr>
          <w:rFonts w:ascii="Times New Roman" w:hAnsi="Times New Roman"/>
          <w:sz w:val="20"/>
          <w:szCs w:val="20"/>
        </w:rPr>
        <w:t>VP-Pd(II) complex. The immobilized P4VP-Pd(II) complex was well characterized by FTIR, TGA, XRD, SEM-EDX and ICP-OES. The amount of metal present determined by ICP-OES suggested 0.361 mmol/g palladium loading onto supported palladium complex.</w:t>
      </w:r>
    </w:p>
    <w:p w:rsidR="0011029A" w:rsidRPr="004F48F6" w:rsidRDefault="0011029A" w:rsidP="0011029A">
      <w:pPr>
        <w:spacing w:after="0" w:line="240" w:lineRule="auto"/>
        <w:jc w:val="both"/>
        <w:outlineLvl w:val="0"/>
        <w:rPr>
          <w:rFonts w:ascii="Times New Roman" w:hAnsi="Times New Roman"/>
          <w:sz w:val="20"/>
          <w:szCs w:val="20"/>
        </w:rPr>
      </w:pPr>
    </w:p>
    <w:p w:rsidR="0011029A" w:rsidRPr="004F48F6" w:rsidRDefault="0011029A" w:rsidP="0011029A">
      <w:pPr>
        <w:spacing w:after="0" w:line="240" w:lineRule="auto"/>
        <w:jc w:val="both"/>
        <w:outlineLvl w:val="0"/>
        <w:rPr>
          <w:rFonts w:ascii="Times New Roman" w:hAnsi="Times New Roman"/>
          <w:sz w:val="20"/>
          <w:szCs w:val="20"/>
        </w:rPr>
      </w:pPr>
      <w:r w:rsidRPr="004F48F6">
        <w:rPr>
          <w:rFonts w:ascii="Times New Roman" w:hAnsi="Times New Roman"/>
          <w:sz w:val="20"/>
          <w:szCs w:val="20"/>
        </w:rPr>
        <w:t xml:space="preserve">FTIR </w:t>
      </w:r>
      <w:r>
        <w:rPr>
          <w:rFonts w:ascii="Times New Roman" w:hAnsi="Times New Roman"/>
          <w:sz w:val="20"/>
          <w:szCs w:val="20"/>
        </w:rPr>
        <w:t xml:space="preserve">spectrum </w:t>
      </w:r>
      <w:r w:rsidRPr="004F48F6">
        <w:rPr>
          <w:rFonts w:ascii="Times New Roman" w:hAnsi="Times New Roman"/>
          <w:sz w:val="20"/>
          <w:szCs w:val="20"/>
        </w:rPr>
        <w:t xml:space="preserve"> (Figure 1) showed the important bands of P</w:t>
      </w:r>
      <w:r w:rsidRPr="004F48F6">
        <w:rPr>
          <w:rFonts w:ascii="Times New Roman" w:hAnsi="Times New Roman"/>
          <w:sz w:val="20"/>
          <w:szCs w:val="20"/>
          <w:vertAlign w:val="subscript"/>
        </w:rPr>
        <w:t>4</w:t>
      </w:r>
      <w:r w:rsidRPr="004F48F6">
        <w:rPr>
          <w:rFonts w:ascii="Times New Roman" w:hAnsi="Times New Roman"/>
          <w:sz w:val="20"/>
          <w:szCs w:val="20"/>
        </w:rPr>
        <w:t>VP-Pd(II) complex are located at 1610.73 cm</w:t>
      </w:r>
      <w:r w:rsidRPr="004F48F6">
        <w:rPr>
          <w:rFonts w:ascii="Times New Roman" w:hAnsi="Times New Roman"/>
          <w:sz w:val="20"/>
          <w:szCs w:val="20"/>
          <w:vertAlign w:val="superscript"/>
        </w:rPr>
        <w:t>-1</w:t>
      </w:r>
      <w:r w:rsidRPr="004F48F6">
        <w:rPr>
          <w:rFonts w:ascii="Times New Roman" w:hAnsi="Times New Roman"/>
          <w:sz w:val="20"/>
          <w:szCs w:val="20"/>
        </w:rPr>
        <w:t>, 3401.29 cm</w:t>
      </w:r>
      <w:r w:rsidRPr="004F48F6">
        <w:rPr>
          <w:rFonts w:ascii="Times New Roman" w:hAnsi="Times New Roman"/>
          <w:sz w:val="20"/>
          <w:szCs w:val="20"/>
          <w:vertAlign w:val="superscript"/>
        </w:rPr>
        <w:t>-1</w:t>
      </w:r>
      <w:r w:rsidRPr="004F48F6">
        <w:rPr>
          <w:rFonts w:ascii="Times New Roman" w:hAnsi="Times New Roman"/>
          <w:sz w:val="20"/>
          <w:szCs w:val="20"/>
        </w:rPr>
        <w:t>, and 1456.16 cm</w:t>
      </w:r>
      <w:r w:rsidRPr="004F48F6">
        <w:rPr>
          <w:rFonts w:ascii="Times New Roman" w:hAnsi="Times New Roman"/>
          <w:sz w:val="20"/>
          <w:szCs w:val="20"/>
          <w:vertAlign w:val="superscript"/>
        </w:rPr>
        <w:t>-1</w:t>
      </w:r>
      <w:r w:rsidRPr="004F48F6">
        <w:rPr>
          <w:rFonts w:ascii="Times New Roman" w:hAnsi="Times New Roman"/>
          <w:sz w:val="20"/>
          <w:szCs w:val="20"/>
        </w:rPr>
        <w:t xml:space="preserve"> due to stretching vibration of ν(C=N), v(N-H) and ν(C=C). The thermal stability curves of </w:t>
      </w:r>
      <w:r>
        <w:rPr>
          <w:rFonts w:ascii="Times New Roman" w:hAnsi="Times New Roman"/>
          <w:sz w:val="20"/>
          <w:szCs w:val="20"/>
        </w:rPr>
        <w:t xml:space="preserve"> </w:t>
      </w:r>
      <w:r w:rsidRPr="004F48F6">
        <w:rPr>
          <w:rFonts w:ascii="Times New Roman" w:hAnsi="Times New Roman"/>
          <w:sz w:val="20"/>
          <w:szCs w:val="20"/>
        </w:rPr>
        <w:t>P</w:t>
      </w:r>
      <w:r w:rsidRPr="004F48F6">
        <w:rPr>
          <w:rFonts w:ascii="Times New Roman" w:hAnsi="Times New Roman"/>
          <w:sz w:val="20"/>
          <w:szCs w:val="20"/>
          <w:vertAlign w:val="subscript"/>
        </w:rPr>
        <w:t>4</w:t>
      </w:r>
      <w:r w:rsidRPr="004F48F6">
        <w:rPr>
          <w:rFonts w:ascii="Times New Roman" w:hAnsi="Times New Roman"/>
          <w:sz w:val="20"/>
          <w:szCs w:val="20"/>
        </w:rPr>
        <w:t xml:space="preserve">VP and its </w:t>
      </w:r>
      <w:r>
        <w:rPr>
          <w:rFonts w:ascii="Times New Roman" w:hAnsi="Times New Roman"/>
          <w:sz w:val="20"/>
          <w:szCs w:val="20"/>
        </w:rPr>
        <w:t xml:space="preserve"> </w:t>
      </w:r>
      <w:r w:rsidRPr="004F48F6">
        <w:rPr>
          <w:rFonts w:ascii="Times New Roman" w:hAnsi="Times New Roman"/>
          <w:sz w:val="20"/>
          <w:szCs w:val="20"/>
        </w:rPr>
        <w:t xml:space="preserve">supported Pd(II) </w:t>
      </w:r>
      <w:r>
        <w:rPr>
          <w:rFonts w:ascii="Times New Roman" w:hAnsi="Times New Roman"/>
          <w:sz w:val="20"/>
          <w:szCs w:val="20"/>
        </w:rPr>
        <w:t xml:space="preserve"> </w:t>
      </w:r>
      <w:r w:rsidRPr="004F48F6">
        <w:rPr>
          <w:rFonts w:ascii="Times New Roman" w:hAnsi="Times New Roman"/>
          <w:sz w:val="20"/>
          <w:szCs w:val="20"/>
        </w:rPr>
        <w:t xml:space="preserve">complex are </w:t>
      </w:r>
      <w:r>
        <w:rPr>
          <w:rFonts w:ascii="Times New Roman" w:hAnsi="Times New Roman"/>
          <w:sz w:val="20"/>
          <w:szCs w:val="20"/>
        </w:rPr>
        <w:t xml:space="preserve"> </w:t>
      </w:r>
      <w:r w:rsidRPr="004F48F6">
        <w:rPr>
          <w:rFonts w:ascii="Times New Roman" w:hAnsi="Times New Roman"/>
          <w:sz w:val="20"/>
          <w:szCs w:val="20"/>
        </w:rPr>
        <w:t xml:space="preserve">presented in Figure 2 were </w:t>
      </w:r>
      <w:r>
        <w:rPr>
          <w:rFonts w:ascii="Times New Roman" w:hAnsi="Times New Roman"/>
          <w:sz w:val="20"/>
          <w:szCs w:val="20"/>
        </w:rPr>
        <w:t xml:space="preserve"> </w:t>
      </w:r>
      <w:r w:rsidRPr="004F48F6">
        <w:rPr>
          <w:rFonts w:ascii="Times New Roman" w:hAnsi="Times New Roman"/>
          <w:sz w:val="20"/>
          <w:szCs w:val="20"/>
        </w:rPr>
        <w:t xml:space="preserve">carried out </w:t>
      </w:r>
      <w:r>
        <w:rPr>
          <w:rFonts w:ascii="Times New Roman" w:hAnsi="Times New Roman"/>
          <w:sz w:val="20"/>
          <w:szCs w:val="20"/>
        </w:rPr>
        <w:t xml:space="preserve"> </w:t>
      </w:r>
      <w:r w:rsidRPr="004F48F6">
        <w:rPr>
          <w:rFonts w:ascii="Times New Roman" w:hAnsi="Times New Roman"/>
          <w:sz w:val="20"/>
          <w:szCs w:val="20"/>
        </w:rPr>
        <w:t>at a heating rate of 10 °C min</w:t>
      </w:r>
      <w:r w:rsidRPr="004F48F6">
        <w:rPr>
          <w:rFonts w:ascii="Times New Roman" w:hAnsi="Times New Roman"/>
          <w:sz w:val="20"/>
          <w:szCs w:val="20"/>
          <w:vertAlign w:val="superscript"/>
        </w:rPr>
        <w:t>-</w:t>
      </w:r>
      <w:r w:rsidRPr="00D63E01">
        <w:rPr>
          <w:rFonts w:ascii="Times New Roman" w:hAnsi="Times New Roman"/>
          <w:sz w:val="20"/>
          <w:szCs w:val="20"/>
          <w:vertAlign w:val="superscript"/>
        </w:rPr>
        <w:t>1</w:t>
      </w:r>
      <w:r w:rsidRPr="004F48F6">
        <w:rPr>
          <w:rFonts w:ascii="Times New Roman" w:hAnsi="Times New Roman"/>
          <w:sz w:val="20"/>
          <w:szCs w:val="20"/>
        </w:rPr>
        <w:t xml:space="preserve"> in nitrogen over a temperature range of 30-700 °C. TGA data demonstrated that P</w:t>
      </w:r>
      <w:r w:rsidRPr="004F48F6">
        <w:rPr>
          <w:rFonts w:ascii="Times New Roman" w:hAnsi="Times New Roman"/>
          <w:sz w:val="20"/>
          <w:szCs w:val="20"/>
          <w:vertAlign w:val="subscript"/>
        </w:rPr>
        <w:t>4</w:t>
      </w:r>
      <w:r w:rsidRPr="004F48F6">
        <w:rPr>
          <w:rFonts w:ascii="Times New Roman" w:hAnsi="Times New Roman"/>
          <w:sz w:val="20"/>
          <w:szCs w:val="20"/>
        </w:rPr>
        <w:t>VP and P</w:t>
      </w:r>
      <w:r w:rsidRPr="004F48F6">
        <w:rPr>
          <w:rFonts w:ascii="Times New Roman" w:hAnsi="Times New Roman"/>
          <w:sz w:val="20"/>
          <w:szCs w:val="20"/>
          <w:vertAlign w:val="subscript"/>
        </w:rPr>
        <w:t>4</w:t>
      </w:r>
      <w:r w:rsidRPr="004F48F6">
        <w:rPr>
          <w:rFonts w:ascii="Times New Roman" w:hAnsi="Times New Roman"/>
          <w:sz w:val="20"/>
          <w:szCs w:val="20"/>
        </w:rPr>
        <w:t>VP-Pd(II) complex degraded at considerably high temperature. P</w:t>
      </w:r>
      <w:r w:rsidRPr="004F48F6">
        <w:rPr>
          <w:rFonts w:ascii="Times New Roman" w:hAnsi="Times New Roman"/>
          <w:sz w:val="20"/>
          <w:szCs w:val="20"/>
          <w:vertAlign w:val="subscript"/>
        </w:rPr>
        <w:t>4</w:t>
      </w:r>
      <w:r w:rsidRPr="004F48F6">
        <w:rPr>
          <w:rFonts w:ascii="Times New Roman" w:hAnsi="Times New Roman"/>
          <w:sz w:val="20"/>
          <w:szCs w:val="20"/>
        </w:rPr>
        <w:t>VP-Pd(II) complex was stable up to 330 °C and above this temperature it undergo decomposition process.</w:t>
      </w:r>
    </w:p>
    <w:p w:rsidR="0011029A" w:rsidRPr="004F48F6" w:rsidRDefault="0011029A" w:rsidP="0011029A">
      <w:pPr>
        <w:spacing w:after="0" w:line="240" w:lineRule="auto"/>
        <w:jc w:val="both"/>
        <w:outlineLvl w:val="0"/>
        <w:rPr>
          <w:rFonts w:ascii="Times New Roman" w:hAnsi="Times New Roman"/>
          <w:b/>
          <w:sz w:val="20"/>
          <w:szCs w:val="20"/>
        </w:rPr>
      </w:pPr>
    </w:p>
    <w:p w:rsidR="0011029A" w:rsidRPr="004F48F6" w:rsidRDefault="0011029A" w:rsidP="0011029A">
      <w:pPr>
        <w:spacing w:after="0" w:line="240" w:lineRule="auto"/>
        <w:jc w:val="both"/>
        <w:outlineLvl w:val="0"/>
        <w:rPr>
          <w:rFonts w:ascii="Times New Roman" w:hAnsi="Times New Roman"/>
          <w:b/>
          <w:sz w:val="20"/>
          <w:szCs w:val="20"/>
        </w:rPr>
      </w:pPr>
    </w:p>
    <w:p w:rsidR="0011029A" w:rsidRPr="007062CB" w:rsidRDefault="0011029A" w:rsidP="0011029A">
      <w:pPr>
        <w:spacing w:after="120" w:line="240" w:lineRule="auto"/>
        <w:jc w:val="center"/>
        <w:outlineLvl w:val="0"/>
        <w:rPr>
          <w:rFonts w:ascii="Times New Roman" w:hAnsi="Times New Roman"/>
          <w:b/>
          <w:sz w:val="20"/>
          <w:szCs w:val="20"/>
        </w:rPr>
      </w:pPr>
      <w:r w:rsidRPr="004F48F6">
        <w:rPr>
          <w:noProof/>
          <w:sz w:val="20"/>
          <w:szCs w:val="20"/>
          <w:lang w:bidi="ar-SA"/>
        </w:rPr>
        <mc:AlternateContent>
          <mc:Choice Requires="wps">
            <w:drawing>
              <wp:anchor distT="0" distB="0" distL="114300" distR="114300" simplePos="0" relativeHeight="251661824" behindDoc="0" locked="0" layoutInCell="1" allowOverlap="1" wp14:anchorId="2B78B59E" wp14:editId="50DC380D">
                <wp:simplePos x="0" y="0"/>
                <wp:positionH relativeFrom="column">
                  <wp:posOffset>1081405</wp:posOffset>
                </wp:positionH>
                <wp:positionV relativeFrom="paragraph">
                  <wp:posOffset>1033780</wp:posOffset>
                </wp:positionV>
                <wp:extent cx="156845" cy="24384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29A" w:rsidRDefault="0011029A" w:rsidP="0011029A">
                            <w: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85.15pt;margin-top:81.4pt;width:12.35pt;height:1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u0gwIAABUFAAAOAAAAZHJzL2Uyb0RvYy54bWysVNmO0zAUfUfiHyy/t1lIO0006WgWipCG&#10;RZrhA1zbaSwc29huk4L4d66dtlMGkBAiD46X63OXc64vr4ZOoh23TmhV42yaYsQV1UyoTY0/Pa4m&#10;C4ycJ4oRqRWv8Z47fLV8+eKyNxXPdasl4xYBiHJVb2rcem+qJHG05R1xU224gsNG2454WNpNwizp&#10;Ab2TSZ6m86TXlhmrKXcOdu/GQ7yM+E3Dqf/QNI57JGsMsfk42jiuw5gsL0m1scS0gh7CIP8QRUeE&#10;AqcnqDviCdpa8QtUJ6jVTjd+SnWX6KYRlMccIJssfZbNQ0sMj7lAcZw5lcn9P1j6fvfRIsFqDEQp&#10;0gFFj3zw6EYPaBGq0xtXgdGDATM/wDawHDN15l7Tzw4pfdsSteHX1uq+5YRBdFm4mZxdHXFcAFn3&#10;7zQDN2TrdQQaGtuF0kExEKADS/sTMyEUGlzO5otihhGFo7x4tSgicwmpjpeNdf4N1x0KkxpbID6C&#10;k9298yEYUh1Ngi+npWArIWVc2M36Vlq0IyCSVfxi/M/MpArGSodrI+K4AzGCj3AWoo2kfyuzvEhv&#10;8nKymi8uJsWqmE3Ki3QxSbPyppynRVncrb6HALOiagVjXN0LxY8CzIq/I/jQCqN0ogRRX+Nyls9G&#10;hv6YZBq/3yXZCQ/9KEUHgjgZkSrw+loxSJtUngg5zpOfw49Vhhoc/7EqUQWB+FECflgPUW5RIkEh&#10;a832IAurgTbgHt4SmLTafsWoh76ssfuyJZZjJN8qkFaZFUA+8nFRzC5yWNjzk/X5CVEUoGrsMRqn&#10;t35s/q2xYtOCp1HMSl+DHBsRpfIU1UHE0Hsxp8M7EZr7fB2tnl6z5Q8AAAD//wMAUEsDBBQABgAI&#10;AAAAIQCMWNSI3gAAAAsBAAAPAAAAZHJzL2Rvd25yZXYueG1sTI9NTsMwEIX3SNzBGiQ2iNoNNKEh&#10;TgVIILYtPcAkniYRsR3FbpPenumK7uZpPr2fYjPbXpxoDJ13GpYLBYJc7U3nGg37n8/HFxAhojPY&#10;e0cazhRgU97eFJgbP7ktnXaxEWziQo4a2hiHXMpQt2QxLPxAjn8HP1qMLMdGmhEnNre9TJRKpcXO&#10;cUKLA320VP/ujlbD4Xt6WK2n6ivus+1z+o5dVvmz1vd389sriEhz/IfhUp+rQ8mdKn90Joiedaae&#10;GOUjTXjDhViveF2lIVHLBGRZyOsN5R8AAAD//wMAUEsBAi0AFAAGAAgAAAAhALaDOJL+AAAA4QEA&#10;ABMAAAAAAAAAAAAAAAAAAAAAAFtDb250ZW50X1R5cGVzXS54bWxQSwECLQAUAAYACAAAACEAOP0h&#10;/9YAAACUAQAACwAAAAAAAAAAAAAAAAAvAQAAX3JlbHMvLnJlbHNQSwECLQAUAAYACAAAACEALh0r&#10;tIMCAAAVBQAADgAAAAAAAAAAAAAAAAAuAgAAZHJzL2Uyb0RvYy54bWxQSwECLQAUAAYACAAAACEA&#10;jFjUiN4AAAALAQAADwAAAAAAAAAAAAAAAADdBAAAZHJzL2Rvd25yZXYueG1sUEsFBgAAAAAEAAQA&#10;8wAAAOgFAAAAAA==&#10;" stroked="f">
                <v:textbox>
                  <w:txbxContent>
                    <w:p w:rsidR="0011029A" w:rsidRDefault="0011029A" w:rsidP="0011029A">
                      <w:r>
                        <w:t>b</w:t>
                      </w:r>
                    </w:p>
                  </w:txbxContent>
                </v:textbox>
              </v:shape>
            </w:pict>
          </mc:Fallback>
        </mc:AlternateContent>
      </w:r>
      <w:r w:rsidRPr="004F48F6">
        <w:rPr>
          <w:noProof/>
          <w:sz w:val="20"/>
          <w:szCs w:val="20"/>
          <w:lang w:bidi="ar-SA"/>
        </w:rPr>
        <mc:AlternateContent>
          <mc:Choice Requires="wps">
            <w:drawing>
              <wp:anchor distT="0" distB="0" distL="114300" distR="114300" simplePos="0" relativeHeight="251660800" behindDoc="0" locked="0" layoutInCell="1" allowOverlap="1" wp14:anchorId="2B5F39C5" wp14:editId="7F37F562">
                <wp:simplePos x="0" y="0"/>
                <wp:positionH relativeFrom="column">
                  <wp:posOffset>1002665</wp:posOffset>
                </wp:positionH>
                <wp:positionV relativeFrom="paragraph">
                  <wp:posOffset>394970</wp:posOffset>
                </wp:positionV>
                <wp:extent cx="179705" cy="250190"/>
                <wp:effectExtent l="2540" t="4445"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29A" w:rsidRPr="00C37AAB" w:rsidRDefault="0011029A" w:rsidP="0011029A">
                            <w:pPr>
                              <w:jc w:val="center"/>
                              <w:rPr>
                                <w:rFonts w:ascii="Times New Roman" w:hAnsi="Times New Roman"/>
                              </w:rPr>
                            </w:pPr>
                            <w:r w:rsidRPr="00C37AAB">
                              <w:rPr>
                                <w:rFonts w:ascii="Times New Roman" w:hAnsi="Times New Roman"/>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78.95pt;margin-top:31.1pt;width:14.15pt;height:1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ctwIAAL8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CUaCdlCiRzYadCdHlNjsDL1OQemhBzUzwjNU2UWq+3tZftNIyFVDxZbdKiWHhtEKvAvtT//i64Sj&#10;Lchm+CgrMEN3RjqgsVadTR0kAwE6VOnpVBnrSmlNzpN5EGNUgiiKgzBxlfNpevzcK23eM9khe8iw&#10;gsI7cLq/18Y6Q9OjirUlZMHb1hW/Fc8eQHF6AdPw1cqsE66WP5MgWS/WC+KRaLb2SJDn3m2xIt6s&#10;COdx/i5frfLwl7UbkrThVcWENXPkVUj+rG4Hhk+MODFLy5ZXFs66pNV2s2oV2lPgdeGWSzlIzmr+&#10;czdcEiCWFyGFEQnuosQrZou5RwoSe5DqhQc5vktmAUlIXjwP6Z4L9u8hoQEoF0fxxKWz0y9iC9x6&#10;HRtNO25gcrS8y/DipERTy8C1qFxpDeXtdL5IhXX/nAoo97HQjq+WohNZzbgZXWNExzbYyOoJCKwk&#10;EAxYClMPDo1UPzAaYIJkWH/fUcUwaj8IaIIkJMSOHHch8TyCi7qUbC4lVJQAlWGD0XRcmWlM7XrF&#10;tw1YmtpOyFtonJo7UtsOm7w6tBtMCRfbYaLZMXR5d1rnubv8DQAA//8DAFBLAwQUAAYACAAAACEA&#10;dLm+Ft0AAAAKAQAADwAAAGRycy9kb3ducmV2LnhtbEyPwW7CMBBE75X6D9ZW6q3YRCVAGgchql5b&#10;FVokbiZekqjxOooNSf++y6ncZrRPszP5anStuGAfGk8aphMFAqn0tqFKw9fu7WkBIkRD1rSeUMMv&#10;BlgV93e5yawf6BMv21gJDqGQGQ11jF0mZShrdCZMfIfEt5PvnYls+0ra3gwc7lqZKJVKZxriD7Xp&#10;cFNj+bM9Ow3f76fD/ll9VK9u1g1+VJLcUmr9+DCuX0BEHOM/DNf6XB0K7nT0Z7JBtOxn8yWjGtIk&#10;AXEFFimLIws1TUEWubydUPwBAAD//wMAUEsBAi0AFAAGAAgAAAAhALaDOJL+AAAA4QEAABMAAAAA&#10;AAAAAAAAAAAAAAAAAFtDb250ZW50X1R5cGVzXS54bWxQSwECLQAUAAYACAAAACEAOP0h/9YAAACU&#10;AQAACwAAAAAAAAAAAAAAAAAvAQAAX3JlbHMvLnJlbHNQSwECLQAUAAYACAAAACEA/2AcnLcCAAC/&#10;BQAADgAAAAAAAAAAAAAAAAAuAgAAZHJzL2Uyb0RvYy54bWxQSwECLQAUAAYACAAAACEAdLm+Ft0A&#10;AAAKAQAADwAAAAAAAAAAAAAAAAARBQAAZHJzL2Rvd25yZXYueG1sUEsFBgAAAAAEAAQA8wAAABsG&#10;AAAAAA==&#10;" filled="f" stroked="f">
                <v:textbox>
                  <w:txbxContent>
                    <w:p w:rsidR="0011029A" w:rsidRPr="00C37AAB" w:rsidRDefault="0011029A" w:rsidP="0011029A">
                      <w:pPr>
                        <w:jc w:val="center"/>
                        <w:rPr>
                          <w:rFonts w:ascii="Times New Roman" w:hAnsi="Times New Roman"/>
                        </w:rPr>
                      </w:pPr>
                      <w:r w:rsidRPr="00C37AAB">
                        <w:rPr>
                          <w:rFonts w:ascii="Times New Roman" w:hAnsi="Times New Roman"/>
                        </w:rPr>
                        <w:t>a</w:t>
                      </w:r>
                    </w:p>
                  </w:txbxContent>
                </v:textbox>
              </v:shape>
            </w:pict>
          </mc:Fallback>
        </mc:AlternateContent>
      </w:r>
      <w:r w:rsidRPr="004F48F6">
        <w:rPr>
          <w:rFonts w:ascii="Times New Roman" w:hAnsi="Times New Roman"/>
          <w:b/>
          <w:noProof/>
          <w:sz w:val="20"/>
          <w:szCs w:val="20"/>
          <w:lang w:bidi="ar-SA"/>
        </w:rPr>
        <w:drawing>
          <wp:inline distT="0" distB="0" distL="0" distR="0" wp14:anchorId="20CDA0FF" wp14:editId="0BA61BCD">
            <wp:extent cx="4272915" cy="2318385"/>
            <wp:effectExtent l="19050" t="19050" r="13335" b="247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2915" cy="2318385"/>
                    </a:xfrm>
                    <a:prstGeom prst="rect">
                      <a:avLst/>
                    </a:prstGeom>
                    <a:noFill/>
                    <a:ln w="9525">
                      <a:solidFill>
                        <a:srgbClr val="000000"/>
                      </a:solidFill>
                      <a:miter lim="800000"/>
                      <a:headEnd/>
                      <a:tailEnd/>
                    </a:ln>
                  </pic:spPr>
                </pic:pic>
              </a:graphicData>
            </a:graphic>
          </wp:inline>
        </w:drawing>
      </w:r>
    </w:p>
    <w:p w:rsidR="0011029A" w:rsidRPr="004F48F6" w:rsidRDefault="0011029A" w:rsidP="0011029A">
      <w:pPr>
        <w:spacing w:after="0" w:line="240" w:lineRule="auto"/>
        <w:jc w:val="center"/>
        <w:outlineLvl w:val="0"/>
        <w:rPr>
          <w:rFonts w:ascii="Times New Roman" w:hAnsi="Times New Roman"/>
          <w:b/>
          <w:sz w:val="20"/>
          <w:szCs w:val="20"/>
        </w:rPr>
      </w:pPr>
      <w:r w:rsidRPr="004F48F6">
        <w:rPr>
          <w:rFonts w:ascii="Times New Roman" w:hAnsi="Times New Roman"/>
          <w:sz w:val="20"/>
          <w:szCs w:val="20"/>
        </w:rPr>
        <w:t xml:space="preserve">Figure 1. </w:t>
      </w:r>
      <w:r>
        <w:rPr>
          <w:rFonts w:ascii="Times New Roman" w:hAnsi="Times New Roman"/>
          <w:sz w:val="20"/>
          <w:szCs w:val="20"/>
        </w:rPr>
        <w:t xml:space="preserve"> </w:t>
      </w:r>
      <w:r w:rsidRPr="004F48F6">
        <w:rPr>
          <w:rFonts w:ascii="Times New Roman" w:hAnsi="Times New Roman"/>
          <w:sz w:val="20"/>
          <w:szCs w:val="20"/>
        </w:rPr>
        <w:t>The FTIR spectrum for (a) P</w:t>
      </w:r>
      <w:r w:rsidRPr="004F48F6">
        <w:rPr>
          <w:rFonts w:ascii="Times New Roman" w:hAnsi="Times New Roman"/>
          <w:sz w:val="20"/>
          <w:szCs w:val="20"/>
          <w:vertAlign w:val="subscript"/>
        </w:rPr>
        <w:t>4</w:t>
      </w:r>
      <w:r w:rsidRPr="004F48F6">
        <w:rPr>
          <w:rFonts w:ascii="Times New Roman" w:hAnsi="Times New Roman"/>
          <w:sz w:val="20"/>
          <w:szCs w:val="20"/>
        </w:rPr>
        <w:t>VP and (b) P</w:t>
      </w:r>
      <w:r w:rsidRPr="004F48F6">
        <w:rPr>
          <w:rFonts w:ascii="Times New Roman" w:hAnsi="Times New Roman"/>
          <w:sz w:val="20"/>
          <w:szCs w:val="20"/>
          <w:vertAlign w:val="subscript"/>
        </w:rPr>
        <w:t>4</w:t>
      </w:r>
      <w:r w:rsidRPr="004F48F6">
        <w:rPr>
          <w:rFonts w:ascii="Times New Roman" w:hAnsi="Times New Roman"/>
          <w:sz w:val="20"/>
          <w:szCs w:val="20"/>
        </w:rPr>
        <w:t>VP Pd(II) complex</w:t>
      </w:r>
    </w:p>
    <w:p w:rsidR="0011029A" w:rsidRDefault="0011029A" w:rsidP="0011029A">
      <w:pPr>
        <w:spacing w:after="0" w:line="240" w:lineRule="auto"/>
        <w:jc w:val="both"/>
        <w:outlineLvl w:val="0"/>
        <w:rPr>
          <w:rFonts w:ascii="Times New Roman" w:hAnsi="Times New Roman"/>
          <w:sz w:val="20"/>
          <w:szCs w:val="20"/>
        </w:rPr>
      </w:pPr>
    </w:p>
    <w:p w:rsidR="0011029A" w:rsidRDefault="0011029A" w:rsidP="0011029A">
      <w:pPr>
        <w:spacing w:after="0" w:line="240" w:lineRule="auto"/>
        <w:jc w:val="both"/>
        <w:outlineLvl w:val="0"/>
        <w:rPr>
          <w:rFonts w:ascii="Times New Roman" w:hAnsi="Times New Roman"/>
          <w:sz w:val="20"/>
          <w:szCs w:val="20"/>
        </w:rPr>
      </w:pPr>
    </w:p>
    <w:p w:rsidR="0011029A" w:rsidRPr="004F48F6" w:rsidRDefault="0011029A" w:rsidP="0011029A">
      <w:pPr>
        <w:spacing w:after="0" w:line="240" w:lineRule="auto"/>
        <w:jc w:val="both"/>
        <w:outlineLvl w:val="0"/>
        <w:rPr>
          <w:rFonts w:ascii="Times New Roman" w:hAnsi="Times New Roman"/>
          <w:sz w:val="20"/>
          <w:szCs w:val="20"/>
        </w:rPr>
      </w:pPr>
      <w:r w:rsidRPr="004F48F6">
        <w:rPr>
          <w:rFonts w:ascii="Times New Roman" w:hAnsi="Times New Roman"/>
          <w:sz w:val="20"/>
          <w:szCs w:val="20"/>
        </w:rPr>
        <w:t>The surface morphological features of each sample of P</w:t>
      </w:r>
      <w:r w:rsidRPr="004F48F6">
        <w:rPr>
          <w:rFonts w:ascii="Times New Roman" w:hAnsi="Times New Roman"/>
          <w:sz w:val="20"/>
          <w:szCs w:val="20"/>
          <w:vertAlign w:val="subscript"/>
        </w:rPr>
        <w:t>4</w:t>
      </w:r>
      <w:r w:rsidRPr="004F48F6">
        <w:rPr>
          <w:rFonts w:ascii="Times New Roman" w:hAnsi="Times New Roman"/>
          <w:sz w:val="20"/>
          <w:szCs w:val="20"/>
        </w:rPr>
        <w:t>VP and P</w:t>
      </w:r>
      <w:r w:rsidRPr="004F48F6">
        <w:rPr>
          <w:rFonts w:ascii="Times New Roman" w:hAnsi="Times New Roman"/>
          <w:sz w:val="20"/>
          <w:szCs w:val="20"/>
          <w:vertAlign w:val="subscript"/>
        </w:rPr>
        <w:t>4</w:t>
      </w:r>
      <w:r w:rsidRPr="004F48F6">
        <w:rPr>
          <w:rFonts w:ascii="Times New Roman" w:hAnsi="Times New Roman"/>
          <w:sz w:val="20"/>
          <w:szCs w:val="20"/>
        </w:rPr>
        <w:t>VP-Pd(II) complex were observed using SEM (Figure 3) equipped with energy dispersive X-ray spectroscopy (EDX) (Figure 3). The morphology of P</w:t>
      </w:r>
      <w:r w:rsidRPr="004F48F6">
        <w:rPr>
          <w:rFonts w:ascii="Times New Roman" w:hAnsi="Times New Roman"/>
          <w:sz w:val="20"/>
          <w:szCs w:val="20"/>
          <w:vertAlign w:val="subscript"/>
        </w:rPr>
        <w:t>4</w:t>
      </w:r>
      <w:r w:rsidRPr="004F48F6">
        <w:rPr>
          <w:rFonts w:ascii="Times New Roman" w:hAnsi="Times New Roman"/>
          <w:sz w:val="20"/>
          <w:szCs w:val="20"/>
        </w:rPr>
        <w:t>VP shows as compact and lumps surface. Meanwhile, the morphology of P</w:t>
      </w:r>
      <w:r w:rsidRPr="004F48F6">
        <w:rPr>
          <w:rFonts w:ascii="Times New Roman" w:hAnsi="Times New Roman"/>
          <w:sz w:val="20"/>
          <w:szCs w:val="20"/>
          <w:vertAlign w:val="subscript"/>
        </w:rPr>
        <w:t>4</w:t>
      </w:r>
      <w:r w:rsidRPr="004F48F6">
        <w:rPr>
          <w:rFonts w:ascii="Times New Roman" w:hAnsi="Times New Roman"/>
          <w:sz w:val="20"/>
          <w:szCs w:val="20"/>
        </w:rPr>
        <w:t>VP-Pd(II) complex has changed and small like particles are observable through the specimen. This could be due to the existence of palladium crystallite. The EDX data (Figure 4) clearly supported the presence of palladium metal on the surface of polymeric chain of poly(4-vinylpyridine).</w:t>
      </w:r>
    </w:p>
    <w:p w:rsidR="0011029A" w:rsidRDefault="0011029A" w:rsidP="0011029A">
      <w:pPr>
        <w:spacing w:after="0" w:line="240" w:lineRule="auto"/>
        <w:jc w:val="both"/>
        <w:outlineLvl w:val="0"/>
        <w:rPr>
          <w:rFonts w:ascii="Times New Roman" w:hAnsi="Times New Roman"/>
          <w:sz w:val="20"/>
          <w:szCs w:val="20"/>
        </w:rPr>
      </w:pPr>
    </w:p>
    <w:p w:rsidR="0011029A" w:rsidRPr="004F48F6" w:rsidRDefault="0011029A" w:rsidP="0011029A">
      <w:pPr>
        <w:spacing w:after="0" w:line="240" w:lineRule="auto"/>
        <w:jc w:val="both"/>
        <w:outlineLvl w:val="0"/>
        <w:rPr>
          <w:rFonts w:ascii="Times New Roman" w:hAnsi="Times New Roman"/>
          <w:sz w:val="20"/>
          <w:szCs w:val="20"/>
        </w:rPr>
      </w:pPr>
    </w:p>
    <w:p w:rsidR="0011029A" w:rsidRPr="004F48F6" w:rsidRDefault="0011029A" w:rsidP="0011029A">
      <w:pPr>
        <w:spacing w:after="120" w:line="240" w:lineRule="auto"/>
        <w:jc w:val="center"/>
        <w:outlineLvl w:val="0"/>
        <w:rPr>
          <w:rFonts w:ascii="Times New Roman" w:hAnsi="Times New Roman"/>
          <w:sz w:val="20"/>
          <w:szCs w:val="20"/>
        </w:rPr>
      </w:pPr>
      <w:r w:rsidRPr="004F48F6">
        <w:rPr>
          <w:noProof/>
          <w:sz w:val="20"/>
          <w:szCs w:val="20"/>
          <w:lang w:bidi="ar-SA"/>
        </w:rPr>
        <w:lastRenderedPageBreak/>
        <w:drawing>
          <wp:inline distT="0" distB="0" distL="0" distR="0" wp14:anchorId="7E852DAF" wp14:editId="563684D7">
            <wp:extent cx="4067175" cy="2260550"/>
            <wp:effectExtent l="19050" t="19050" r="9525"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7175" cy="2260550"/>
                    </a:xfrm>
                    <a:prstGeom prst="rect">
                      <a:avLst/>
                    </a:prstGeom>
                    <a:noFill/>
                    <a:ln w="6350" cmpd="sng">
                      <a:solidFill>
                        <a:srgbClr val="000000"/>
                      </a:solidFill>
                      <a:miter lim="800000"/>
                      <a:headEnd/>
                      <a:tailEnd/>
                    </a:ln>
                    <a:effectLst/>
                  </pic:spPr>
                </pic:pic>
              </a:graphicData>
            </a:graphic>
          </wp:inline>
        </w:drawing>
      </w:r>
    </w:p>
    <w:p w:rsidR="0011029A" w:rsidRPr="004F48F6" w:rsidRDefault="0011029A" w:rsidP="0011029A">
      <w:pPr>
        <w:spacing w:after="0" w:line="240" w:lineRule="auto"/>
        <w:jc w:val="center"/>
        <w:outlineLvl w:val="0"/>
        <w:rPr>
          <w:rFonts w:ascii="Times New Roman" w:hAnsi="Times New Roman"/>
          <w:sz w:val="20"/>
          <w:szCs w:val="20"/>
        </w:rPr>
      </w:pPr>
      <w:r w:rsidRPr="004F48F6">
        <w:rPr>
          <w:rFonts w:ascii="Times New Roman" w:hAnsi="Times New Roman"/>
          <w:sz w:val="20"/>
          <w:szCs w:val="20"/>
        </w:rPr>
        <w:t xml:space="preserve">Figure 2. </w:t>
      </w:r>
      <w:r>
        <w:rPr>
          <w:rFonts w:ascii="Times New Roman" w:hAnsi="Times New Roman"/>
          <w:sz w:val="20"/>
          <w:szCs w:val="20"/>
        </w:rPr>
        <w:t xml:space="preserve"> </w:t>
      </w:r>
      <w:r w:rsidRPr="004F48F6">
        <w:rPr>
          <w:rFonts w:ascii="Times New Roman" w:hAnsi="Times New Roman"/>
          <w:sz w:val="20"/>
          <w:szCs w:val="20"/>
        </w:rPr>
        <w:t>The TGA curves of the supported catalysts and free P</w:t>
      </w:r>
      <w:r w:rsidRPr="004F48F6">
        <w:rPr>
          <w:rFonts w:ascii="Times New Roman" w:hAnsi="Times New Roman"/>
          <w:sz w:val="20"/>
          <w:szCs w:val="20"/>
          <w:vertAlign w:val="subscript"/>
        </w:rPr>
        <w:t>4</w:t>
      </w:r>
      <w:r w:rsidRPr="004F48F6">
        <w:rPr>
          <w:rFonts w:ascii="Times New Roman" w:hAnsi="Times New Roman"/>
          <w:sz w:val="20"/>
          <w:szCs w:val="20"/>
        </w:rPr>
        <w:t>VP</w:t>
      </w:r>
    </w:p>
    <w:p w:rsidR="0011029A" w:rsidRDefault="0011029A" w:rsidP="0011029A">
      <w:pPr>
        <w:spacing w:after="0" w:line="240" w:lineRule="auto"/>
        <w:jc w:val="both"/>
        <w:outlineLvl w:val="0"/>
        <w:rPr>
          <w:rFonts w:ascii="Times New Roman" w:hAnsi="Times New Roman"/>
          <w:sz w:val="20"/>
          <w:szCs w:val="20"/>
        </w:rPr>
      </w:pPr>
    </w:p>
    <w:p w:rsidR="0011029A" w:rsidRPr="004F48F6" w:rsidRDefault="0011029A" w:rsidP="0011029A">
      <w:pPr>
        <w:spacing w:after="0" w:line="240" w:lineRule="auto"/>
        <w:jc w:val="both"/>
        <w:outlineLvl w:val="0"/>
        <w:rPr>
          <w:rFonts w:ascii="Times New Roman" w:hAnsi="Times New Roman"/>
          <w:sz w:val="20"/>
          <w:szCs w:val="20"/>
        </w:rPr>
      </w:pPr>
    </w:p>
    <w:p w:rsidR="0011029A" w:rsidRPr="004F48F6" w:rsidRDefault="0011029A" w:rsidP="0011029A">
      <w:pPr>
        <w:spacing w:after="120" w:line="240" w:lineRule="auto"/>
        <w:jc w:val="center"/>
        <w:outlineLvl w:val="0"/>
        <w:rPr>
          <w:rFonts w:ascii="Times New Roman" w:hAnsi="Times New Roman"/>
          <w:sz w:val="20"/>
          <w:szCs w:val="20"/>
        </w:rPr>
      </w:pPr>
      <w:r w:rsidRPr="004F48F6">
        <w:rPr>
          <w:noProof/>
          <w:sz w:val="20"/>
          <w:szCs w:val="20"/>
          <w:lang w:bidi="ar-SA"/>
        </w:rPr>
        <w:drawing>
          <wp:inline distT="0" distB="0" distL="0" distR="0" wp14:anchorId="04930619" wp14:editId="175DA654">
            <wp:extent cx="2762250" cy="1838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1838325"/>
                    </a:xfrm>
                    <a:prstGeom prst="rect">
                      <a:avLst/>
                    </a:prstGeom>
                    <a:noFill/>
                    <a:ln>
                      <a:noFill/>
                    </a:ln>
                  </pic:spPr>
                </pic:pic>
              </a:graphicData>
            </a:graphic>
          </wp:inline>
        </w:drawing>
      </w:r>
      <w:r w:rsidRPr="004F48F6">
        <w:rPr>
          <w:noProof/>
          <w:sz w:val="20"/>
          <w:szCs w:val="20"/>
          <w:lang w:bidi="ar-SA"/>
        </w:rPr>
        <w:drawing>
          <wp:inline distT="0" distB="0" distL="0" distR="0" wp14:anchorId="7EC2B5A9" wp14:editId="0EC009BC">
            <wp:extent cx="2762250" cy="1838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0" cy="1838325"/>
                    </a:xfrm>
                    <a:prstGeom prst="rect">
                      <a:avLst/>
                    </a:prstGeom>
                    <a:noFill/>
                    <a:ln>
                      <a:noFill/>
                    </a:ln>
                  </pic:spPr>
                </pic:pic>
              </a:graphicData>
            </a:graphic>
          </wp:inline>
        </w:drawing>
      </w:r>
    </w:p>
    <w:p w:rsidR="0011029A" w:rsidRPr="004F48F6" w:rsidRDefault="0011029A" w:rsidP="0011029A">
      <w:pPr>
        <w:spacing w:after="0" w:line="240" w:lineRule="auto"/>
        <w:jc w:val="center"/>
        <w:outlineLvl w:val="0"/>
        <w:rPr>
          <w:rFonts w:ascii="Times New Roman" w:hAnsi="Times New Roman"/>
          <w:sz w:val="20"/>
          <w:szCs w:val="20"/>
        </w:rPr>
      </w:pPr>
      <w:r w:rsidRPr="004F48F6">
        <w:rPr>
          <w:rFonts w:ascii="Times New Roman" w:hAnsi="Times New Roman"/>
          <w:sz w:val="20"/>
          <w:szCs w:val="20"/>
        </w:rPr>
        <w:t xml:space="preserve">Figure 3. </w:t>
      </w:r>
      <w:r>
        <w:rPr>
          <w:rFonts w:ascii="Times New Roman" w:hAnsi="Times New Roman"/>
          <w:sz w:val="20"/>
          <w:szCs w:val="20"/>
        </w:rPr>
        <w:t xml:space="preserve"> </w:t>
      </w:r>
      <w:r w:rsidRPr="004F48F6">
        <w:rPr>
          <w:rFonts w:ascii="Times New Roman" w:hAnsi="Times New Roman"/>
          <w:sz w:val="20"/>
          <w:szCs w:val="20"/>
        </w:rPr>
        <w:t>SEM image of the (a) P</w:t>
      </w:r>
      <w:r w:rsidRPr="004F48F6">
        <w:rPr>
          <w:rFonts w:ascii="Times New Roman" w:hAnsi="Times New Roman"/>
          <w:sz w:val="20"/>
          <w:szCs w:val="20"/>
          <w:vertAlign w:val="subscript"/>
        </w:rPr>
        <w:t>4</w:t>
      </w:r>
      <w:r w:rsidRPr="004F48F6">
        <w:rPr>
          <w:rFonts w:ascii="Times New Roman" w:hAnsi="Times New Roman"/>
          <w:sz w:val="20"/>
          <w:szCs w:val="20"/>
        </w:rPr>
        <w:t>VP and (b) P</w:t>
      </w:r>
      <w:r w:rsidRPr="004F48F6">
        <w:rPr>
          <w:rFonts w:ascii="Times New Roman" w:hAnsi="Times New Roman"/>
          <w:sz w:val="20"/>
          <w:szCs w:val="20"/>
          <w:vertAlign w:val="subscript"/>
        </w:rPr>
        <w:t>4</w:t>
      </w:r>
      <w:r w:rsidRPr="004F48F6">
        <w:rPr>
          <w:rFonts w:ascii="Times New Roman" w:hAnsi="Times New Roman"/>
          <w:sz w:val="20"/>
          <w:szCs w:val="20"/>
        </w:rPr>
        <w:t>VP-Pd(II) complex</w:t>
      </w:r>
    </w:p>
    <w:p w:rsidR="0011029A" w:rsidRDefault="0011029A" w:rsidP="0011029A">
      <w:pPr>
        <w:spacing w:after="0" w:line="240" w:lineRule="auto"/>
        <w:jc w:val="both"/>
        <w:outlineLvl w:val="0"/>
        <w:rPr>
          <w:rFonts w:ascii="Times New Roman" w:hAnsi="Times New Roman"/>
          <w:b/>
          <w:sz w:val="20"/>
          <w:szCs w:val="20"/>
        </w:rPr>
      </w:pPr>
    </w:p>
    <w:p w:rsidR="0011029A" w:rsidRPr="004F48F6" w:rsidRDefault="0011029A" w:rsidP="0011029A">
      <w:pPr>
        <w:spacing w:after="0" w:line="240" w:lineRule="auto"/>
        <w:jc w:val="both"/>
        <w:outlineLvl w:val="0"/>
        <w:rPr>
          <w:rFonts w:ascii="Times New Roman" w:hAnsi="Times New Roman"/>
          <w:b/>
          <w:sz w:val="20"/>
          <w:szCs w:val="20"/>
        </w:rPr>
      </w:pPr>
    </w:p>
    <w:p w:rsidR="0011029A" w:rsidRPr="00DB3956" w:rsidRDefault="0011029A" w:rsidP="0011029A">
      <w:pPr>
        <w:spacing w:after="120" w:line="240" w:lineRule="auto"/>
        <w:jc w:val="center"/>
        <w:outlineLvl w:val="0"/>
        <w:rPr>
          <w:noProof/>
          <w:sz w:val="20"/>
          <w:szCs w:val="20"/>
        </w:rPr>
      </w:pPr>
      <w:r w:rsidRPr="004F48F6">
        <w:rPr>
          <w:noProof/>
          <w:sz w:val="20"/>
          <w:szCs w:val="20"/>
          <w:lang w:bidi="ar-SA"/>
        </w:rPr>
        <w:drawing>
          <wp:inline distT="0" distB="0" distL="0" distR="0" wp14:anchorId="78423601" wp14:editId="1F1EB3DC">
            <wp:extent cx="4162425" cy="2333198"/>
            <wp:effectExtent l="19050" t="19050" r="952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2425" cy="2333198"/>
                    </a:xfrm>
                    <a:prstGeom prst="rect">
                      <a:avLst/>
                    </a:prstGeom>
                    <a:noFill/>
                    <a:ln w="6350" cmpd="sng">
                      <a:solidFill>
                        <a:srgbClr val="000000"/>
                      </a:solidFill>
                      <a:miter lim="800000"/>
                      <a:headEnd/>
                      <a:tailEnd/>
                    </a:ln>
                    <a:effectLst/>
                  </pic:spPr>
                </pic:pic>
              </a:graphicData>
            </a:graphic>
          </wp:inline>
        </w:drawing>
      </w:r>
    </w:p>
    <w:p w:rsidR="0011029A" w:rsidRPr="004F48F6" w:rsidRDefault="0011029A" w:rsidP="0011029A">
      <w:pPr>
        <w:spacing w:after="0" w:line="240" w:lineRule="auto"/>
        <w:jc w:val="center"/>
        <w:outlineLvl w:val="0"/>
        <w:rPr>
          <w:rFonts w:ascii="Times New Roman" w:hAnsi="Times New Roman"/>
          <w:sz w:val="20"/>
          <w:szCs w:val="20"/>
        </w:rPr>
      </w:pPr>
      <w:r w:rsidRPr="004F48F6">
        <w:rPr>
          <w:rFonts w:ascii="Times New Roman" w:hAnsi="Times New Roman"/>
          <w:sz w:val="20"/>
          <w:szCs w:val="20"/>
        </w:rPr>
        <w:t xml:space="preserve">Figure 4. </w:t>
      </w:r>
      <w:r>
        <w:rPr>
          <w:rFonts w:ascii="Times New Roman" w:hAnsi="Times New Roman"/>
          <w:sz w:val="20"/>
          <w:szCs w:val="20"/>
        </w:rPr>
        <w:t xml:space="preserve"> </w:t>
      </w:r>
      <w:r w:rsidRPr="004F48F6">
        <w:rPr>
          <w:rFonts w:ascii="Times New Roman" w:hAnsi="Times New Roman"/>
          <w:sz w:val="20"/>
          <w:szCs w:val="20"/>
        </w:rPr>
        <w:t>The EDS profile for supported P</w:t>
      </w:r>
      <w:r w:rsidRPr="004F48F6">
        <w:rPr>
          <w:rFonts w:ascii="Times New Roman" w:hAnsi="Times New Roman"/>
          <w:sz w:val="20"/>
          <w:szCs w:val="20"/>
          <w:vertAlign w:val="subscript"/>
        </w:rPr>
        <w:t>4</w:t>
      </w:r>
      <w:r w:rsidRPr="004F48F6">
        <w:rPr>
          <w:rFonts w:ascii="Times New Roman" w:hAnsi="Times New Roman"/>
          <w:sz w:val="20"/>
          <w:szCs w:val="20"/>
        </w:rPr>
        <w:t>VP-Pd(II) complex</w:t>
      </w:r>
    </w:p>
    <w:p w:rsidR="0011029A" w:rsidRPr="004F48F6" w:rsidRDefault="0011029A" w:rsidP="0011029A">
      <w:pPr>
        <w:spacing w:after="0" w:line="240" w:lineRule="auto"/>
        <w:jc w:val="both"/>
        <w:outlineLvl w:val="0"/>
        <w:rPr>
          <w:rFonts w:ascii="Times New Roman" w:hAnsi="Times New Roman"/>
          <w:sz w:val="20"/>
          <w:szCs w:val="20"/>
        </w:rPr>
      </w:pPr>
    </w:p>
    <w:p w:rsidR="0011029A" w:rsidRPr="004F48F6" w:rsidRDefault="0011029A" w:rsidP="0011029A">
      <w:pPr>
        <w:spacing w:after="0" w:line="240" w:lineRule="auto"/>
        <w:jc w:val="both"/>
        <w:outlineLvl w:val="0"/>
        <w:rPr>
          <w:rFonts w:ascii="Times New Roman" w:hAnsi="Times New Roman"/>
          <w:sz w:val="20"/>
          <w:szCs w:val="20"/>
        </w:rPr>
      </w:pPr>
      <w:r w:rsidRPr="004F48F6">
        <w:rPr>
          <w:rFonts w:ascii="Times New Roman" w:hAnsi="Times New Roman"/>
          <w:sz w:val="20"/>
          <w:szCs w:val="20"/>
        </w:rPr>
        <w:t>Powdered X-ray diffraction study is regularly used to assess the quality and structural ordering of P</w:t>
      </w:r>
      <w:r w:rsidRPr="004F48F6">
        <w:rPr>
          <w:rFonts w:ascii="Times New Roman" w:hAnsi="Times New Roman"/>
          <w:sz w:val="20"/>
          <w:szCs w:val="20"/>
          <w:vertAlign w:val="subscript"/>
        </w:rPr>
        <w:t>4</w:t>
      </w:r>
      <w:r w:rsidRPr="004F48F6">
        <w:rPr>
          <w:rFonts w:ascii="Times New Roman" w:hAnsi="Times New Roman"/>
          <w:sz w:val="20"/>
          <w:szCs w:val="20"/>
        </w:rPr>
        <w:t>VP and supported catalyst (Figure 5). XRD pattern showed that the P</w:t>
      </w:r>
      <w:r w:rsidRPr="004F48F6">
        <w:rPr>
          <w:rFonts w:ascii="Times New Roman" w:hAnsi="Times New Roman"/>
          <w:sz w:val="20"/>
          <w:szCs w:val="20"/>
          <w:vertAlign w:val="subscript"/>
        </w:rPr>
        <w:t>4</w:t>
      </w:r>
      <w:r w:rsidRPr="004F48F6">
        <w:rPr>
          <w:rFonts w:ascii="Times New Roman" w:hAnsi="Times New Roman"/>
          <w:sz w:val="20"/>
          <w:szCs w:val="20"/>
        </w:rPr>
        <w:t>VP support is amorphous nature with no characteristic XRD peaks is observed. The diffractogram of P</w:t>
      </w:r>
      <w:r w:rsidRPr="004F48F6">
        <w:rPr>
          <w:rFonts w:ascii="Times New Roman" w:hAnsi="Times New Roman"/>
          <w:sz w:val="20"/>
          <w:szCs w:val="20"/>
          <w:vertAlign w:val="subscript"/>
        </w:rPr>
        <w:t>4</w:t>
      </w:r>
      <w:r w:rsidRPr="004F48F6">
        <w:rPr>
          <w:rFonts w:ascii="Times New Roman" w:hAnsi="Times New Roman"/>
          <w:sz w:val="20"/>
          <w:szCs w:val="20"/>
        </w:rPr>
        <w:t>VP-Pd(II) complex showed dramatic changes compared to P</w:t>
      </w:r>
      <w:r w:rsidRPr="004F48F6">
        <w:rPr>
          <w:rFonts w:ascii="Times New Roman" w:hAnsi="Times New Roman"/>
          <w:sz w:val="20"/>
          <w:szCs w:val="20"/>
          <w:vertAlign w:val="subscript"/>
        </w:rPr>
        <w:t>4</w:t>
      </w:r>
      <w:r w:rsidRPr="004F48F6">
        <w:rPr>
          <w:rFonts w:ascii="Times New Roman" w:hAnsi="Times New Roman"/>
          <w:sz w:val="20"/>
          <w:szCs w:val="20"/>
        </w:rPr>
        <w:t>VP structure due to the represent of crystalline phase and indicated that the palladium complex which is incorporated with P</w:t>
      </w:r>
      <w:r w:rsidRPr="004F48F6">
        <w:rPr>
          <w:rFonts w:ascii="Times New Roman" w:hAnsi="Times New Roman"/>
          <w:sz w:val="20"/>
          <w:szCs w:val="20"/>
          <w:vertAlign w:val="subscript"/>
        </w:rPr>
        <w:t>4</w:t>
      </w:r>
      <w:r w:rsidRPr="004F48F6">
        <w:rPr>
          <w:rFonts w:ascii="Times New Roman" w:hAnsi="Times New Roman"/>
          <w:sz w:val="20"/>
          <w:szCs w:val="20"/>
        </w:rPr>
        <w:t>VP matrix.</w:t>
      </w:r>
    </w:p>
    <w:p w:rsidR="0011029A" w:rsidRDefault="0011029A" w:rsidP="0011029A">
      <w:pPr>
        <w:spacing w:after="0" w:line="240" w:lineRule="auto"/>
        <w:jc w:val="both"/>
        <w:outlineLvl w:val="0"/>
        <w:rPr>
          <w:rFonts w:ascii="Times New Roman" w:hAnsi="Times New Roman"/>
          <w:b/>
          <w:sz w:val="20"/>
          <w:szCs w:val="20"/>
        </w:rPr>
      </w:pPr>
    </w:p>
    <w:p w:rsidR="0011029A" w:rsidRPr="004F48F6" w:rsidRDefault="0011029A" w:rsidP="0011029A">
      <w:pPr>
        <w:spacing w:after="0" w:line="240" w:lineRule="auto"/>
        <w:jc w:val="both"/>
        <w:outlineLvl w:val="0"/>
        <w:rPr>
          <w:rFonts w:ascii="Times New Roman" w:hAnsi="Times New Roman"/>
          <w:b/>
          <w:sz w:val="20"/>
          <w:szCs w:val="20"/>
        </w:rPr>
      </w:pPr>
    </w:p>
    <w:p w:rsidR="0011029A" w:rsidRPr="00DB3956" w:rsidRDefault="0011029A" w:rsidP="0011029A">
      <w:pPr>
        <w:spacing w:after="120" w:line="240" w:lineRule="auto"/>
        <w:jc w:val="center"/>
        <w:outlineLvl w:val="0"/>
        <w:rPr>
          <w:noProof/>
          <w:sz w:val="20"/>
          <w:szCs w:val="20"/>
        </w:rPr>
      </w:pPr>
      <w:r>
        <w:rPr>
          <w:noProof/>
          <w:sz w:val="20"/>
          <w:szCs w:val="20"/>
          <w:lang w:bidi="ar-SA"/>
        </w:rPr>
        <w:drawing>
          <wp:inline distT="0" distB="0" distL="0" distR="0" wp14:anchorId="77E6BD2F" wp14:editId="69F4B21A">
            <wp:extent cx="5505450" cy="3177832"/>
            <wp:effectExtent l="19050" t="19050" r="19050" b="228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 Siti Kamilah.jpg"/>
                    <pic:cNvPicPr/>
                  </pic:nvPicPr>
                  <pic:blipFill>
                    <a:blip r:embed="rId18">
                      <a:extLst>
                        <a:ext uri="{28A0092B-C50C-407E-A947-70E740481C1C}">
                          <a14:useLocalDpi xmlns:a14="http://schemas.microsoft.com/office/drawing/2010/main" val="0"/>
                        </a:ext>
                      </a:extLst>
                    </a:blip>
                    <a:stretch>
                      <a:fillRect/>
                    </a:stretch>
                  </pic:blipFill>
                  <pic:spPr>
                    <a:xfrm>
                      <a:off x="0" y="0"/>
                      <a:ext cx="5506472" cy="3178422"/>
                    </a:xfrm>
                    <a:prstGeom prst="rect">
                      <a:avLst/>
                    </a:prstGeom>
                    <a:ln>
                      <a:solidFill>
                        <a:schemeClr val="tx1"/>
                      </a:solidFill>
                    </a:ln>
                  </pic:spPr>
                </pic:pic>
              </a:graphicData>
            </a:graphic>
          </wp:inline>
        </w:drawing>
      </w:r>
    </w:p>
    <w:p w:rsidR="0011029A" w:rsidRPr="004F48F6" w:rsidRDefault="0011029A" w:rsidP="0011029A">
      <w:pPr>
        <w:spacing w:after="0" w:line="240" w:lineRule="auto"/>
        <w:jc w:val="center"/>
        <w:rPr>
          <w:rFonts w:ascii="Times New Roman" w:hAnsi="Times New Roman"/>
          <w:noProof/>
          <w:sz w:val="20"/>
          <w:szCs w:val="20"/>
          <w:lang w:bidi="ar-SA"/>
        </w:rPr>
      </w:pPr>
      <w:r w:rsidRPr="004F48F6">
        <w:rPr>
          <w:rFonts w:ascii="Times New Roman" w:hAnsi="Times New Roman"/>
          <w:sz w:val="20"/>
          <w:szCs w:val="20"/>
        </w:rPr>
        <w:t xml:space="preserve">Figure 5. </w:t>
      </w:r>
      <w:r>
        <w:rPr>
          <w:rFonts w:ascii="Times New Roman" w:hAnsi="Times New Roman"/>
          <w:sz w:val="20"/>
          <w:szCs w:val="20"/>
        </w:rPr>
        <w:t xml:space="preserve"> </w:t>
      </w:r>
      <w:r w:rsidRPr="004F48F6">
        <w:rPr>
          <w:rFonts w:ascii="Times New Roman" w:hAnsi="Times New Roman"/>
          <w:sz w:val="20"/>
          <w:szCs w:val="20"/>
        </w:rPr>
        <w:t xml:space="preserve">The XRD pattern for free </w:t>
      </w:r>
      <w:r w:rsidRPr="00D63E01">
        <w:rPr>
          <w:rFonts w:ascii="Times New Roman" w:hAnsi="Times New Roman"/>
          <w:sz w:val="20"/>
          <w:szCs w:val="20"/>
        </w:rPr>
        <w:t>P</w:t>
      </w:r>
      <w:r w:rsidRPr="00AD29AA">
        <w:rPr>
          <w:rFonts w:ascii="Times New Roman" w:hAnsi="Times New Roman"/>
          <w:sz w:val="20"/>
          <w:szCs w:val="20"/>
          <w:vertAlign w:val="subscript"/>
        </w:rPr>
        <w:t>4</w:t>
      </w:r>
      <w:r w:rsidRPr="00D63E01">
        <w:rPr>
          <w:rFonts w:ascii="Times New Roman" w:hAnsi="Times New Roman"/>
          <w:sz w:val="20"/>
          <w:szCs w:val="20"/>
        </w:rPr>
        <w:t>VP</w:t>
      </w:r>
      <w:r w:rsidRPr="004F48F6">
        <w:rPr>
          <w:rFonts w:ascii="Times New Roman" w:hAnsi="Times New Roman"/>
          <w:sz w:val="20"/>
          <w:szCs w:val="20"/>
        </w:rPr>
        <w:t xml:space="preserve"> and its supported </w:t>
      </w:r>
      <w:r w:rsidRPr="00D63E01">
        <w:rPr>
          <w:rFonts w:ascii="Times New Roman" w:hAnsi="Times New Roman"/>
          <w:sz w:val="20"/>
          <w:szCs w:val="20"/>
        </w:rPr>
        <w:t>P</w:t>
      </w:r>
      <w:r w:rsidRPr="00AD29AA">
        <w:rPr>
          <w:rFonts w:ascii="Times New Roman" w:hAnsi="Times New Roman"/>
          <w:sz w:val="20"/>
          <w:szCs w:val="20"/>
          <w:vertAlign w:val="subscript"/>
        </w:rPr>
        <w:t>4</w:t>
      </w:r>
      <w:r w:rsidRPr="00D63E01">
        <w:rPr>
          <w:rFonts w:ascii="Times New Roman" w:hAnsi="Times New Roman"/>
          <w:sz w:val="20"/>
          <w:szCs w:val="20"/>
        </w:rPr>
        <w:t>VP</w:t>
      </w:r>
      <w:r w:rsidRPr="004F48F6">
        <w:rPr>
          <w:rFonts w:ascii="Times New Roman" w:hAnsi="Times New Roman"/>
          <w:sz w:val="20"/>
          <w:szCs w:val="20"/>
        </w:rPr>
        <w:t>-Pd(II) catalyst</w:t>
      </w:r>
    </w:p>
    <w:p w:rsidR="0011029A" w:rsidRDefault="0011029A" w:rsidP="0011029A">
      <w:pPr>
        <w:spacing w:after="0" w:line="240" w:lineRule="auto"/>
        <w:jc w:val="center"/>
        <w:rPr>
          <w:rFonts w:ascii="Times New Roman" w:hAnsi="Times New Roman"/>
          <w:b/>
          <w:noProof/>
          <w:sz w:val="20"/>
          <w:szCs w:val="20"/>
          <w:lang w:bidi="ar-SA"/>
        </w:rPr>
      </w:pPr>
    </w:p>
    <w:p w:rsidR="0011029A" w:rsidRDefault="0011029A" w:rsidP="0011029A">
      <w:pPr>
        <w:spacing w:after="0" w:line="240" w:lineRule="auto"/>
        <w:jc w:val="center"/>
        <w:rPr>
          <w:rFonts w:ascii="Times New Roman" w:hAnsi="Times New Roman"/>
          <w:b/>
          <w:noProof/>
          <w:sz w:val="20"/>
          <w:szCs w:val="20"/>
          <w:lang w:bidi="ar-SA"/>
        </w:rPr>
      </w:pPr>
    </w:p>
    <w:p w:rsidR="0011029A" w:rsidRPr="00F447A7" w:rsidRDefault="0011029A" w:rsidP="0011029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1029A" w:rsidRPr="00DB3956" w:rsidRDefault="0011029A" w:rsidP="0011029A">
      <w:pPr>
        <w:spacing w:after="0" w:line="240" w:lineRule="auto"/>
        <w:jc w:val="both"/>
        <w:outlineLvl w:val="0"/>
        <w:rPr>
          <w:rFonts w:ascii="Times New Roman" w:hAnsi="Times New Roman"/>
          <w:sz w:val="20"/>
          <w:szCs w:val="20"/>
        </w:rPr>
      </w:pPr>
      <w:r w:rsidRPr="00DB3956">
        <w:rPr>
          <w:rFonts w:ascii="Times New Roman" w:hAnsi="Times New Roman"/>
          <w:sz w:val="20"/>
          <w:szCs w:val="20"/>
        </w:rPr>
        <w:t>In conclusion, Pd(II) complex was successfully immobilized onto P</w:t>
      </w:r>
      <w:r w:rsidRPr="00DB3956">
        <w:rPr>
          <w:rFonts w:ascii="Times New Roman" w:hAnsi="Times New Roman"/>
          <w:sz w:val="20"/>
          <w:szCs w:val="20"/>
          <w:vertAlign w:val="subscript"/>
        </w:rPr>
        <w:t>4</w:t>
      </w:r>
      <w:r w:rsidRPr="00DB3956">
        <w:rPr>
          <w:rFonts w:ascii="Times New Roman" w:hAnsi="Times New Roman"/>
          <w:sz w:val="20"/>
          <w:szCs w:val="20"/>
        </w:rPr>
        <w:t xml:space="preserve">VP solid support and characterized via several of spectroscopic and analytical technique. The ease and simple preparation, stability towards air and moisture will make this immobilized catalyst as an ideal supported catalyst for C-C bond formation. </w:t>
      </w:r>
    </w:p>
    <w:p w:rsidR="0011029A" w:rsidRPr="00F447A7" w:rsidRDefault="0011029A" w:rsidP="0011029A">
      <w:pPr>
        <w:spacing w:after="0" w:line="240" w:lineRule="auto"/>
        <w:jc w:val="center"/>
        <w:rPr>
          <w:rFonts w:ascii="Times New Roman" w:hAnsi="Times New Roman"/>
          <w:noProof/>
          <w:sz w:val="20"/>
          <w:szCs w:val="20"/>
          <w:lang w:bidi="ar-SA"/>
        </w:rPr>
      </w:pPr>
    </w:p>
    <w:p w:rsidR="0011029A" w:rsidRPr="00F447A7" w:rsidRDefault="0011029A" w:rsidP="0011029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11029A" w:rsidRPr="00DB3956" w:rsidRDefault="0011029A" w:rsidP="0011029A">
      <w:pPr>
        <w:spacing w:after="0" w:line="240" w:lineRule="auto"/>
        <w:jc w:val="both"/>
        <w:outlineLvl w:val="0"/>
        <w:rPr>
          <w:rFonts w:ascii="Times New Roman" w:hAnsi="Times New Roman"/>
          <w:sz w:val="20"/>
          <w:szCs w:val="20"/>
        </w:rPr>
      </w:pPr>
      <w:r w:rsidRPr="00DB3956">
        <w:rPr>
          <w:rFonts w:ascii="Times New Roman" w:hAnsi="Times New Roman"/>
          <w:sz w:val="20"/>
          <w:szCs w:val="20"/>
        </w:rPr>
        <w:t xml:space="preserve">The author would like to thank the Ministry of Higher Education and Universiti Malaysia Terengganu for the financial support through the RAGS Vote No. 57095 and Universiti Malaysia Terengganu for providing research facilities.  </w:t>
      </w:r>
    </w:p>
    <w:p w:rsidR="0011029A" w:rsidRPr="00F447A7" w:rsidRDefault="0011029A" w:rsidP="0011029A">
      <w:pPr>
        <w:spacing w:after="0" w:line="240" w:lineRule="auto"/>
        <w:jc w:val="center"/>
        <w:rPr>
          <w:rFonts w:ascii="Times New Roman" w:hAnsi="Times New Roman"/>
          <w:noProof/>
          <w:sz w:val="20"/>
          <w:szCs w:val="20"/>
          <w:lang w:bidi="ar-SA"/>
        </w:rPr>
      </w:pPr>
    </w:p>
    <w:p w:rsidR="0011029A" w:rsidRPr="00F447A7" w:rsidRDefault="0011029A" w:rsidP="0011029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Kulkarni, S., Alurkar, M. and Kumar. A. (1996). Polymer supported with Schiff base functional group with cobaltous palmitate as oxidation catalyst for cyclohexane. </w:t>
      </w:r>
      <w:r w:rsidRPr="00DB3956">
        <w:rPr>
          <w:rFonts w:ascii="Times New Roman" w:hAnsi="Times New Roman"/>
          <w:i/>
          <w:sz w:val="20"/>
          <w:szCs w:val="20"/>
        </w:rPr>
        <w:t>Applied Catalysis A: General</w:t>
      </w:r>
      <w:r w:rsidRPr="00DB3956">
        <w:rPr>
          <w:rFonts w:ascii="Times New Roman" w:hAnsi="Times New Roman"/>
          <w:sz w:val="20"/>
          <w:szCs w:val="20"/>
        </w:rPr>
        <w:t>, 142(2): 243 – 254.</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Dunnewijk, J., Bosch, H., and de Haan, A. B. (2004). Reverse flow adsorption: Integrating the recovery and recycling of homogeneous catalyst. </w:t>
      </w:r>
      <w:r w:rsidRPr="00DB3956">
        <w:rPr>
          <w:rFonts w:ascii="Times New Roman" w:hAnsi="Times New Roman"/>
          <w:i/>
          <w:sz w:val="20"/>
          <w:szCs w:val="20"/>
        </w:rPr>
        <w:t>Separation and Purification Technology,</w:t>
      </w:r>
      <w:r w:rsidRPr="00DB3956">
        <w:rPr>
          <w:rFonts w:ascii="Times New Roman" w:hAnsi="Times New Roman"/>
          <w:sz w:val="20"/>
          <w:szCs w:val="20"/>
        </w:rPr>
        <w:t xml:space="preserve"> 40 (3):317 – 320.</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Daniel, S., Rao, P. P., Nandakumar, M. and Rao, T. P. (2005). Synthesis of heterogenous phosphine-free palladium based catalyst assemblies via solid phase extraction and their characterization. </w:t>
      </w:r>
      <w:r w:rsidRPr="00DB3956">
        <w:rPr>
          <w:rFonts w:ascii="Times New Roman" w:hAnsi="Times New Roman"/>
          <w:i/>
          <w:sz w:val="20"/>
          <w:szCs w:val="20"/>
        </w:rPr>
        <w:t>Materials Chemistry and Physics</w:t>
      </w:r>
      <w:r w:rsidRPr="00DB3956">
        <w:rPr>
          <w:rFonts w:ascii="Times New Roman" w:hAnsi="Times New Roman"/>
          <w:sz w:val="20"/>
          <w:szCs w:val="20"/>
        </w:rPr>
        <w:t>, 90(1): 99 – 105.</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Augustine, R. L., Goel, P., Mahata, N., Reyes, C. and Tanielyan, S. K. (2004). Anchored homogeneous catalysts: high turnover applications. </w:t>
      </w:r>
      <w:r w:rsidRPr="00DB3956">
        <w:rPr>
          <w:rFonts w:ascii="Times New Roman" w:hAnsi="Times New Roman"/>
          <w:i/>
          <w:sz w:val="20"/>
          <w:szCs w:val="20"/>
        </w:rPr>
        <w:t>Journal of Molecular Catalysis A: Chemical</w:t>
      </w:r>
      <w:r w:rsidRPr="00DB3956">
        <w:rPr>
          <w:rFonts w:ascii="Times New Roman" w:hAnsi="Times New Roman"/>
          <w:sz w:val="20"/>
          <w:szCs w:val="20"/>
        </w:rPr>
        <w:t xml:space="preserve">, 216(2):189 – 197. </w:t>
      </w:r>
    </w:p>
    <w:p w:rsidR="0011029A" w:rsidRPr="00014259"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lastRenderedPageBreak/>
        <w:t>Tyrrell, E., Whiteman, L. and Williams, N. (2011). The synthesis and characterization of immobilized palladium carbene complexes and their applications to heterogeneous catalysis</w:t>
      </w:r>
      <w:r w:rsidRPr="00DB3956">
        <w:rPr>
          <w:rFonts w:ascii="Times New Roman" w:hAnsi="Times New Roman"/>
          <w:i/>
          <w:sz w:val="20"/>
          <w:szCs w:val="20"/>
        </w:rPr>
        <w:t>. Journal of Organometallic Chemistry</w:t>
      </w:r>
      <w:r w:rsidRPr="00DB3956">
        <w:rPr>
          <w:rFonts w:ascii="Times New Roman" w:hAnsi="Times New Roman"/>
          <w:sz w:val="20"/>
          <w:szCs w:val="20"/>
        </w:rPr>
        <w:t xml:space="preserve">, 22: 3465 – 3472.  </w:t>
      </w:r>
      <w:bookmarkStart w:id="0" w:name="_GoBack"/>
      <w:bookmarkEnd w:id="0"/>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Petruci, J., and Cardoso, A. A. (2013). A new palladium chelate compound for determination of sulfide. </w:t>
      </w:r>
      <w:r w:rsidRPr="00DB3956">
        <w:rPr>
          <w:rFonts w:ascii="Times New Roman" w:hAnsi="Times New Roman"/>
          <w:i/>
          <w:sz w:val="20"/>
          <w:szCs w:val="20"/>
        </w:rPr>
        <w:t>Microchemical Journal</w:t>
      </w:r>
      <w:r w:rsidRPr="00DB3956">
        <w:rPr>
          <w:rFonts w:ascii="Times New Roman" w:hAnsi="Times New Roman"/>
          <w:sz w:val="20"/>
          <w:szCs w:val="20"/>
        </w:rPr>
        <w:t>, 106: 368 – 372.</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Evangelisti, C., Panziera, N., Pertici, P., Vitulli, G., Salvadori, P., Battocchio, C. and Polzonetti, G. (2009).  A readily prepared, highly reusable and active polymer-supported molybdenum carbonyl Schiff base complex as epoxidation catalyst. </w:t>
      </w:r>
      <w:r w:rsidRPr="00DB3956">
        <w:rPr>
          <w:rFonts w:ascii="Times New Roman" w:hAnsi="Times New Roman"/>
          <w:i/>
          <w:sz w:val="20"/>
          <w:szCs w:val="20"/>
        </w:rPr>
        <w:t>Inorganic Chemistry Communication</w:t>
      </w:r>
      <w:r w:rsidRPr="00DB3956">
        <w:rPr>
          <w:rFonts w:ascii="Times New Roman" w:hAnsi="Times New Roman"/>
          <w:sz w:val="20"/>
          <w:szCs w:val="20"/>
        </w:rPr>
        <w:t xml:space="preserve">, 10(8): 914 – 917. </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Emregul, K. C., Duzgun, E. and Atakol, O. (2006). The application of some polydentate Schiff base compounds containing aminic nitrogen as corrosion inhibitors for mild steel in acidic media. </w:t>
      </w:r>
      <w:r w:rsidRPr="00DB3956">
        <w:rPr>
          <w:rFonts w:ascii="Times New Roman" w:hAnsi="Times New Roman"/>
          <w:i/>
          <w:sz w:val="20"/>
          <w:szCs w:val="20"/>
        </w:rPr>
        <w:t>Corrosion Science</w:t>
      </w:r>
      <w:r w:rsidRPr="00DB3956">
        <w:rPr>
          <w:rFonts w:ascii="Times New Roman" w:hAnsi="Times New Roman"/>
          <w:sz w:val="20"/>
          <w:szCs w:val="20"/>
        </w:rPr>
        <w:t>, 48 (10): 3243 – 3260.</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Cimerman, Z., Galic, N. and Bosner, B. (1997), The Schiff bases of salicylaldehyde and aminopyridines as highly sensitive analytical reagents. </w:t>
      </w:r>
      <w:r w:rsidRPr="00DB3956">
        <w:rPr>
          <w:rFonts w:ascii="Times New Roman" w:hAnsi="Times New Roman"/>
          <w:i/>
          <w:sz w:val="20"/>
          <w:szCs w:val="20"/>
        </w:rPr>
        <w:t>Analytica Chimica Acta</w:t>
      </w:r>
      <w:r w:rsidRPr="00DB3956">
        <w:rPr>
          <w:rFonts w:ascii="Times New Roman" w:hAnsi="Times New Roman"/>
          <w:sz w:val="20"/>
          <w:szCs w:val="20"/>
        </w:rPr>
        <w:t>, 343(2): 145 – 153.</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He, Y. and Cai, C. (2011). Polymer-supported macrocyclic Schiff base palladium complex: An efficient and reusable catalyst for Suzuki cross-coupling reaction under ambient condition. </w:t>
      </w:r>
      <w:r w:rsidRPr="00DB3956">
        <w:rPr>
          <w:rFonts w:ascii="Times New Roman" w:hAnsi="Times New Roman"/>
          <w:i/>
          <w:sz w:val="20"/>
          <w:szCs w:val="20"/>
        </w:rPr>
        <w:t>Catalysis Communication</w:t>
      </w:r>
      <w:r w:rsidRPr="00DB3956">
        <w:rPr>
          <w:rFonts w:ascii="Times New Roman" w:hAnsi="Times New Roman"/>
          <w:sz w:val="20"/>
          <w:szCs w:val="20"/>
        </w:rPr>
        <w:t xml:space="preserve"> 12(7): 678 – 683.</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Zhongmin, D. and Zhibin, Y. (2015).  Heterogeneous palladium catalyst constructed with cross-linked hyperbranched poly(phenylacetylene) as polymer support: A reusable highly active PPM-level catalyst for multiple cross-coupling reactions, </w:t>
      </w:r>
      <w:r w:rsidRPr="00DB3956">
        <w:rPr>
          <w:rFonts w:ascii="Times New Roman" w:hAnsi="Times New Roman"/>
          <w:i/>
          <w:sz w:val="20"/>
          <w:szCs w:val="20"/>
        </w:rPr>
        <w:t>Applied Catalysis A: General</w:t>
      </w:r>
      <w:r w:rsidRPr="00DB3956">
        <w:rPr>
          <w:rFonts w:ascii="Times New Roman" w:hAnsi="Times New Roman"/>
          <w:sz w:val="20"/>
          <w:szCs w:val="20"/>
        </w:rPr>
        <w:t>., 489: 61 – 71.</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Selvakumar, J., Varghese, B., Raghunathan, V. S. and Nagaraja, K. S. (2007). 2,2’-[1,1’-(Propane-1,3-diyl)bis(nitriloethylidyne)]diphenol, </w:t>
      </w:r>
      <w:r w:rsidRPr="00DB3956">
        <w:rPr>
          <w:rFonts w:ascii="Times New Roman" w:hAnsi="Times New Roman"/>
          <w:i/>
          <w:sz w:val="20"/>
          <w:szCs w:val="20"/>
        </w:rPr>
        <w:t>Acta Crystallographica Section E Structure Reports Online</w:t>
      </w:r>
      <w:r w:rsidRPr="00DB3956">
        <w:rPr>
          <w:rFonts w:ascii="Times New Roman" w:hAnsi="Times New Roman"/>
          <w:sz w:val="20"/>
          <w:szCs w:val="20"/>
        </w:rPr>
        <w:t xml:space="preserve"> 63: 1924 – 1925.</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Fonseca, J., Martinez, J., Cunha-Silva, L., Magalhaes, A. L., Duarte, M. T. and Freire, C. (2010). Insights into electronic and structural properties of novel Pd(II) </w:t>
      </w:r>
      <w:r w:rsidRPr="00DB3956">
        <w:rPr>
          <w:rFonts w:ascii="Times New Roman" w:hAnsi="Times New Roman"/>
          <w:i/>
          <w:sz w:val="20"/>
          <w:szCs w:val="20"/>
        </w:rPr>
        <w:t>Salen</w:t>
      </w:r>
      <w:r w:rsidRPr="00DB3956">
        <w:rPr>
          <w:rFonts w:ascii="Times New Roman" w:hAnsi="Times New Roman"/>
          <w:sz w:val="20"/>
          <w:szCs w:val="20"/>
        </w:rPr>
        <w:t xml:space="preserve">-type complexes. </w:t>
      </w:r>
      <w:r w:rsidRPr="00DB3956">
        <w:rPr>
          <w:rFonts w:ascii="Times New Roman" w:hAnsi="Times New Roman"/>
          <w:i/>
          <w:sz w:val="20"/>
          <w:szCs w:val="20"/>
        </w:rPr>
        <w:t>Inorganica Chimica Acta</w:t>
      </w:r>
      <w:r w:rsidRPr="00DB3956">
        <w:rPr>
          <w:rFonts w:ascii="Times New Roman" w:hAnsi="Times New Roman"/>
          <w:sz w:val="20"/>
          <w:szCs w:val="20"/>
        </w:rPr>
        <w:t>, 363(14): 4096 – 4107.</w:t>
      </w:r>
    </w:p>
    <w:p w:rsidR="0011029A" w:rsidRPr="00DB3956" w:rsidRDefault="0011029A" w:rsidP="0011029A">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Fan, Y., You, W., Huang, W., Liu, J. L. and Wang, Y. N. (2010).  Salen-type nickel(II), palladium(II) and copper(II) complexes having chiral and racemic camphoric diamine components. </w:t>
      </w:r>
      <w:r w:rsidRPr="00DB3956">
        <w:rPr>
          <w:rFonts w:ascii="Times New Roman" w:hAnsi="Times New Roman"/>
          <w:i/>
          <w:sz w:val="20"/>
          <w:szCs w:val="20"/>
        </w:rPr>
        <w:t>Polyhedron</w:t>
      </w:r>
      <w:r w:rsidRPr="00DB3956">
        <w:rPr>
          <w:rFonts w:ascii="Times New Roman" w:hAnsi="Times New Roman"/>
          <w:sz w:val="20"/>
          <w:szCs w:val="20"/>
        </w:rPr>
        <w:t>, 29(3): 1149 – 1155.</w:t>
      </w:r>
    </w:p>
    <w:p w:rsidR="00A74A7E" w:rsidRDefault="0011029A" w:rsidP="00A74A7E">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Soh, S. K. C. and Shamsuddin, M. (2013). Tetradentate N</w:t>
      </w:r>
      <w:r w:rsidRPr="00DB3956">
        <w:rPr>
          <w:rFonts w:ascii="Times New Roman" w:hAnsi="Times New Roman"/>
          <w:sz w:val="20"/>
          <w:szCs w:val="20"/>
          <w:vertAlign w:val="subscript"/>
        </w:rPr>
        <w:t>2</w:t>
      </w:r>
      <w:r w:rsidRPr="00DB3956">
        <w:rPr>
          <w:rFonts w:ascii="Times New Roman" w:hAnsi="Times New Roman"/>
          <w:sz w:val="20"/>
          <w:szCs w:val="20"/>
        </w:rPr>
        <w:t>O</w:t>
      </w:r>
      <w:r w:rsidRPr="00DB3956">
        <w:rPr>
          <w:rFonts w:ascii="Times New Roman" w:hAnsi="Times New Roman"/>
          <w:sz w:val="20"/>
          <w:szCs w:val="20"/>
          <w:vertAlign w:val="subscript"/>
        </w:rPr>
        <w:t>2</w:t>
      </w:r>
      <w:r w:rsidRPr="00DB3956">
        <w:rPr>
          <w:rFonts w:ascii="Times New Roman" w:hAnsi="Times New Roman"/>
          <w:sz w:val="20"/>
          <w:szCs w:val="20"/>
        </w:rPr>
        <w:t xml:space="preserve"> chelated palladium(II) complexes: Synthesis, characterization, and catalytic activity towards Mizoroki-Heck reaction of aryl bromides. </w:t>
      </w:r>
      <w:r w:rsidRPr="00DB3956">
        <w:rPr>
          <w:rFonts w:ascii="Times New Roman" w:hAnsi="Times New Roman"/>
          <w:i/>
          <w:sz w:val="20"/>
          <w:szCs w:val="20"/>
        </w:rPr>
        <w:t>E-Journal of Chemistry</w:t>
      </w:r>
      <w:r w:rsidRPr="00DB3956">
        <w:rPr>
          <w:rFonts w:ascii="Times New Roman" w:hAnsi="Times New Roman"/>
          <w:sz w:val="20"/>
          <w:szCs w:val="20"/>
        </w:rPr>
        <w:t xml:space="preserve">, 2013: 1 – 8. </w:t>
      </w:r>
    </w:p>
    <w:p w:rsidR="0011029A" w:rsidRPr="0011029A" w:rsidRDefault="0011029A" w:rsidP="0011029A">
      <w:pPr>
        <w:widowControl w:val="0"/>
        <w:autoSpaceDE w:val="0"/>
        <w:autoSpaceDN w:val="0"/>
        <w:spacing w:after="0" w:line="240" w:lineRule="auto"/>
        <w:jc w:val="both"/>
        <w:outlineLvl w:val="0"/>
        <w:rPr>
          <w:rFonts w:ascii="Times New Roman" w:hAnsi="Times New Roman"/>
          <w:sz w:val="20"/>
          <w:szCs w:val="20"/>
        </w:rPr>
      </w:pPr>
    </w:p>
    <w:sectPr w:rsidR="0011029A" w:rsidRPr="0011029A" w:rsidSect="00517085">
      <w:headerReference w:type="even" r:id="rId19"/>
      <w:headerReference w:type="default" r:id="rId20"/>
      <w:footerReference w:type="even" r:id="rId21"/>
      <w:footerReference w:type="default" r:id="rId22"/>
      <w:pgSz w:w="12240" w:h="15840" w:code="1"/>
      <w:pgMar w:top="1800" w:right="1469" w:bottom="1699" w:left="1440" w:header="706" w:footer="706" w:gutter="0"/>
      <w:pgNumType w:start="8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165D3">
      <w:rPr>
        <w:rFonts w:ascii="Times New Roman" w:hAnsi="Times New Roman"/>
        <w:noProof/>
      </w:rPr>
      <w:t>852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165D3">
      <w:rPr>
        <w:rFonts w:ascii="Times New Roman" w:hAnsi="Times New Roman"/>
        <w:noProof/>
      </w:rPr>
      <w:t>853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85" w:rsidRPr="00517085" w:rsidRDefault="00517085" w:rsidP="00517085">
    <w:pPr>
      <w:spacing w:after="0" w:line="240" w:lineRule="auto"/>
      <w:ind w:left="1620" w:hanging="1620"/>
      <w:outlineLvl w:val="0"/>
      <w:rPr>
        <w:rFonts w:ascii="Times New Roman" w:hAnsi="Times New Roman"/>
        <w:sz w:val="20"/>
        <w:szCs w:val="20"/>
      </w:rPr>
    </w:pPr>
    <w:r>
      <w:rPr>
        <w:rFonts w:ascii="Times New Roman" w:hAnsi="Times New Roman"/>
        <w:sz w:val="20"/>
        <w:szCs w:val="20"/>
      </w:rPr>
      <w:t>Siti Kamilah et al</w:t>
    </w:r>
    <w:r w:rsidR="006B72B0" w:rsidRPr="00517085">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517085">
      <w:rPr>
        <w:rFonts w:ascii="Times New Roman" w:hAnsi="Times New Roman"/>
        <w:sz w:val="20"/>
        <w:szCs w:val="20"/>
      </w:rPr>
      <w:t xml:space="preserve">IMMOBILIZATION OF HIGHLY EFFECTIVE PALLADIUM CATALYST ONTO POLY(4-VINYLPYRIDINE): SYNTHESIS AND CHARACTERIZATION </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883CC3">
      <w:rPr>
        <w:rFonts w:ascii="Times New Roman" w:hAnsi="Times New Roman"/>
        <w:i/>
        <w:lang w:val="en-US"/>
      </w:rPr>
      <w:t>No 4</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517085">
      <w:rPr>
        <w:rFonts w:ascii="Times New Roman" w:hAnsi="Times New Roman"/>
        <w:i/>
        <w:lang w:val="en-US"/>
      </w:rPr>
      <w:t>847</w:t>
    </w:r>
    <w:r>
      <w:rPr>
        <w:rFonts w:ascii="Times New Roman" w:hAnsi="Times New Roman"/>
        <w:i/>
        <w:lang w:val="en-US"/>
      </w:rPr>
      <w:t xml:space="preserve"> </w:t>
    </w:r>
    <w:r w:rsidR="007A0583">
      <w:rPr>
        <w:rFonts w:ascii="Times New Roman" w:hAnsi="Times New Roman"/>
        <w:i/>
        <w:lang w:val="en-US"/>
      </w:rPr>
      <w:t>-</w:t>
    </w:r>
    <w:r w:rsidR="00517085">
      <w:rPr>
        <w:rFonts w:ascii="Times New Roman" w:hAnsi="Times New Roman"/>
        <w:i/>
        <w:lang w:val="en-US"/>
      </w:rPr>
      <w:t xml:space="preserve"> 853</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883CC3">
      <w:rPr>
        <w:rFonts w:ascii="Times New Roman" w:hAnsi="Times New Roman"/>
        <w:i/>
        <w:lang w:val="en-US"/>
      </w:rPr>
      <w:t>.doi.org/10.17576/mjas-2016-2004</w:t>
    </w:r>
    <w:r w:rsidR="00517085">
      <w:rPr>
        <w:rFonts w:ascii="Times New Roman" w:hAnsi="Times New Roman"/>
        <w:i/>
        <w:lang w:val="en-US"/>
      </w:rPr>
      <w:t>-19</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E8464FB"/>
    <w:multiLevelType w:val="hybridMultilevel"/>
    <w:tmpl w:val="6840D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4259"/>
    <w:rsid w:val="00016385"/>
    <w:rsid w:val="00084936"/>
    <w:rsid w:val="000C49FF"/>
    <w:rsid w:val="000D16A1"/>
    <w:rsid w:val="000D2B0C"/>
    <w:rsid w:val="000F77DA"/>
    <w:rsid w:val="001068E8"/>
    <w:rsid w:val="0011029A"/>
    <w:rsid w:val="001106D8"/>
    <w:rsid w:val="00117BCD"/>
    <w:rsid w:val="001D035A"/>
    <w:rsid w:val="001D3855"/>
    <w:rsid w:val="001D6F2C"/>
    <w:rsid w:val="002165D3"/>
    <w:rsid w:val="00277498"/>
    <w:rsid w:val="002860B7"/>
    <w:rsid w:val="00290F4D"/>
    <w:rsid w:val="002A2FC0"/>
    <w:rsid w:val="002B188F"/>
    <w:rsid w:val="002B3BD8"/>
    <w:rsid w:val="002F3F91"/>
    <w:rsid w:val="00304767"/>
    <w:rsid w:val="00304B34"/>
    <w:rsid w:val="00361BAF"/>
    <w:rsid w:val="00362FCE"/>
    <w:rsid w:val="00367D1F"/>
    <w:rsid w:val="003B6019"/>
    <w:rsid w:val="003D585B"/>
    <w:rsid w:val="003E7DA6"/>
    <w:rsid w:val="003F12FF"/>
    <w:rsid w:val="004760D4"/>
    <w:rsid w:val="00494C46"/>
    <w:rsid w:val="004B43FF"/>
    <w:rsid w:val="004D7E25"/>
    <w:rsid w:val="00502641"/>
    <w:rsid w:val="00517085"/>
    <w:rsid w:val="005C6768"/>
    <w:rsid w:val="005E4871"/>
    <w:rsid w:val="00601C8A"/>
    <w:rsid w:val="006257E5"/>
    <w:rsid w:val="00634C25"/>
    <w:rsid w:val="006416AB"/>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2C25"/>
    <w:rsid w:val="009357B8"/>
    <w:rsid w:val="009866F6"/>
    <w:rsid w:val="009D030D"/>
    <w:rsid w:val="00A14DB9"/>
    <w:rsid w:val="00A4762A"/>
    <w:rsid w:val="00A74A7E"/>
    <w:rsid w:val="00AD1B8A"/>
    <w:rsid w:val="00AE713F"/>
    <w:rsid w:val="00AF2305"/>
    <w:rsid w:val="00AF2821"/>
    <w:rsid w:val="00B1121C"/>
    <w:rsid w:val="00B25B65"/>
    <w:rsid w:val="00B2770A"/>
    <w:rsid w:val="00B314AD"/>
    <w:rsid w:val="00B75BF6"/>
    <w:rsid w:val="00B7735A"/>
    <w:rsid w:val="00BA1F7B"/>
    <w:rsid w:val="00BB58AF"/>
    <w:rsid w:val="00BE7C30"/>
    <w:rsid w:val="00C055BF"/>
    <w:rsid w:val="00C2226A"/>
    <w:rsid w:val="00C94D92"/>
    <w:rsid w:val="00C97340"/>
    <w:rsid w:val="00CA513F"/>
    <w:rsid w:val="00CB3AA6"/>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C716-6E9D-46AC-A099-55D82E10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1954</Words>
  <Characters>12249</Characters>
  <Application>Microsoft Office Word</Application>
  <DocSecurity>0</DocSecurity>
  <Lines>226</Lines>
  <Paragraphs>68</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14191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7</cp:revision>
  <cp:lastPrinted>2016-08-01T14:51:00Z</cp:lastPrinted>
  <dcterms:created xsi:type="dcterms:W3CDTF">2016-08-01T14:46:00Z</dcterms:created>
  <dcterms:modified xsi:type="dcterms:W3CDTF">2016-08-01T14:51:00Z</dcterms:modified>
</cp:coreProperties>
</file>