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bookmarkStart w:id="0" w:name="_GoBack"/>
      <w:bookmarkEnd w:id="0"/>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01991" w:rsidRDefault="00D01991" w:rsidP="00D01991">
      <w:pPr>
        <w:pStyle w:val="BodyText"/>
        <w:spacing w:after="0" w:line="240" w:lineRule="auto"/>
        <w:jc w:val="center"/>
        <w:rPr>
          <w:rFonts w:ascii="Times New Roman" w:hAnsi="Times New Roman"/>
          <w:bCs/>
          <w:sz w:val="28"/>
          <w:szCs w:val="28"/>
        </w:rPr>
      </w:pPr>
      <w:r w:rsidRPr="002F7EEA">
        <w:rPr>
          <w:rFonts w:ascii="Times New Roman" w:hAnsi="Times New Roman"/>
          <w:bCs/>
          <w:sz w:val="28"/>
          <w:szCs w:val="28"/>
        </w:rPr>
        <w:t>EFFECT OF LON</w:t>
      </w:r>
      <w:r>
        <w:rPr>
          <w:rFonts w:ascii="Times New Roman" w:hAnsi="Times New Roman"/>
          <w:bCs/>
          <w:sz w:val="28"/>
          <w:szCs w:val="28"/>
        </w:rPr>
        <w:t>G TIME OXYGEN EXPOSURE ON POWER G</w:t>
      </w:r>
      <w:r w:rsidRPr="002F7EEA">
        <w:rPr>
          <w:rFonts w:ascii="Times New Roman" w:hAnsi="Times New Roman"/>
          <w:bCs/>
          <w:sz w:val="28"/>
          <w:szCs w:val="28"/>
        </w:rPr>
        <w:t>ENERATION OF MICROBIAL FUEL CELL WITH</w:t>
      </w:r>
      <w:r>
        <w:rPr>
          <w:rFonts w:ascii="Times New Roman" w:hAnsi="Times New Roman"/>
          <w:bCs/>
          <w:sz w:val="28"/>
          <w:szCs w:val="28"/>
        </w:rPr>
        <w:t xml:space="preserve"> </w:t>
      </w:r>
      <w:r w:rsidRPr="002F7EEA">
        <w:rPr>
          <w:rFonts w:ascii="Times New Roman" w:hAnsi="Times New Roman"/>
          <w:bCs/>
          <w:sz w:val="28"/>
          <w:szCs w:val="28"/>
        </w:rPr>
        <w:t>ENRICHED MIXED CULTURE</w:t>
      </w:r>
    </w:p>
    <w:p w:rsidR="00D01991" w:rsidRPr="00F447A7" w:rsidRDefault="00D01991" w:rsidP="00D01991">
      <w:pPr>
        <w:spacing w:after="0" w:line="240" w:lineRule="auto"/>
        <w:jc w:val="center"/>
        <w:rPr>
          <w:rFonts w:ascii="Times New Roman" w:hAnsi="Times New Roman"/>
          <w:noProof/>
          <w:sz w:val="24"/>
          <w:szCs w:val="24"/>
          <w:lang w:bidi="ar-SA"/>
        </w:rPr>
      </w:pPr>
    </w:p>
    <w:p w:rsidR="00D01991" w:rsidRDefault="00D01991" w:rsidP="00D01991">
      <w:pPr>
        <w:pStyle w:val="BodyText"/>
        <w:spacing w:after="0" w:line="240" w:lineRule="auto"/>
        <w:jc w:val="center"/>
        <w:rPr>
          <w:rFonts w:ascii="Times New Roman" w:hAnsi="Times New Roman"/>
          <w:sz w:val="24"/>
        </w:rPr>
      </w:pPr>
      <w:r w:rsidRPr="00DC4DEC">
        <w:rPr>
          <w:rFonts w:ascii="Times New Roman" w:hAnsi="Times New Roman"/>
          <w:sz w:val="24"/>
        </w:rPr>
        <w:t xml:space="preserve">(Kesan Terhadap </w:t>
      </w:r>
      <w:r>
        <w:rPr>
          <w:rFonts w:ascii="Times New Roman" w:hAnsi="Times New Roman"/>
          <w:sz w:val="24"/>
        </w:rPr>
        <w:t>Penjanaan Kuasa Sel Bahan Api</w:t>
      </w:r>
      <w:r w:rsidRPr="00DC4DEC">
        <w:rPr>
          <w:rFonts w:ascii="Times New Roman" w:hAnsi="Times New Roman"/>
          <w:sz w:val="24"/>
        </w:rPr>
        <w:t xml:space="preserve"> Mik</w:t>
      </w:r>
      <w:r>
        <w:rPr>
          <w:rFonts w:ascii="Times New Roman" w:hAnsi="Times New Roman"/>
          <w:sz w:val="24"/>
        </w:rPr>
        <w:t xml:space="preserve">rob dengan Kultur Campuran yang </w:t>
      </w:r>
      <w:r w:rsidRPr="00DC4DEC">
        <w:rPr>
          <w:rFonts w:ascii="Times New Roman" w:hAnsi="Times New Roman"/>
          <w:sz w:val="24"/>
        </w:rPr>
        <w:t>Diperkaya Melalui Pendedahan pada Oksigen untuk Jangka Masa Lama)</w:t>
      </w:r>
    </w:p>
    <w:p w:rsidR="00D01991" w:rsidRPr="00F447A7" w:rsidRDefault="00D01991" w:rsidP="00D01991">
      <w:pPr>
        <w:spacing w:after="0" w:line="240" w:lineRule="auto"/>
        <w:jc w:val="center"/>
        <w:rPr>
          <w:rFonts w:ascii="Times New Roman" w:hAnsi="Times New Roman"/>
          <w:noProof/>
          <w:sz w:val="20"/>
          <w:szCs w:val="20"/>
          <w:lang w:bidi="ar-SA"/>
        </w:rPr>
      </w:pPr>
    </w:p>
    <w:p w:rsidR="00D01991" w:rsidRDefault="00D01991" w:rsidP="00D01991">
      <w:pPr>
        <w:pStyle w:val="BodyText"/>
        <w:spacing w:after="0" w:line="240" w:lineRule="auto"/>
        <w:jc w:val="center"/>
        <w:rPr>
          <w:rFonts w:ascii="Times New Roman" w:hAnsi="Times New Roman"/>
          <w:bCs/>
          <w:sz w:val="20"/>
          <w:szCs w:val="20"/>
          <w:vertAlign w:val="superscript"/>
        </w:rPr>
      </w:pPr>
      <w:r w:rsidRPr="00522B4B">
        <w:rPr>
          <w:rFonts w:ascii="Times New Roman" w:hAnsi="Times New Roman"/>
          <w:bCs/>
          <w:sz w:val="20"/>
          <w:szCs w:val="20"/>
        </w:rPr>
        <w:t>Mimi Hani Abu Bakar</w:t>
      </w:r>
      <w:r w:rsidRPr="00522B4B">
        <w:rPr>
          <w:rFonts w:ascii="Times New Roman" w:hAnsi="Times New Roman"/>
          <w:bCs/>
          <w:sz w:val="20"/>
          <w:szCs w:val="20"/>
          <w:vertAlign w:val="superscript"/>
        </w:rPr>
        <w:t>1,</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2,</w:t>
      </w:r>
      <w:r>
        <w:rPr>
          <w:rFonts w:ascii="Times New Roman" w:hAnsi="Times New Roman"/>
          <w:bCs/>
          <w:sz w:val="20"/>
          <w:szCs w:val="20"/>
          <w:vertAlign w:val="superscript"/>
        </w:rPr>
        <w:t xml:space="preserve"> </w:t>
      </w:r>
      <w:r w:rsidRPr="00522B4B">
        <w:rPr>
          <w:rFonts w:ascii="Times New Roman" w:hAnsi="Times New Roman"/>
          <w:bCs/>
          <w:sz w:val="20"/>
          <w:szCs w:val="20"/>
          <w:vertAlign w:val="superscript"/>
        </w:rPr>
        <w:t>3</w:t>
      </w:r>
      <w:r w:rsidRPr="00B261C9">
        <w:rPr>
          <w:rFonts w:ascii="Times New Roman" w:hAnsi="Times New Roman"/>
          <w:bCs/>
          <w:sz w:val="20"/>
          <w:szCs w:val="20"/>
        </w:rPr>
        <w:t>*</w:t>
      </w:r>
      <w:r w:rsidRPr="00522B4B">
        <w:rPr>
          <w:rFonts w:ascii="Times New Roman" w:hAnsi="Times New Roman"/>
          <w:bCs/>
          <w:sz w:val="20"/>
          <w:szCs w:val="20"/>
        </w:rPr>
        <w:t>, Neil F Pasco</w:t>
      </w:r>
      <w:r w:rsidRPr="00522B4B">
        <w:rPr>
          <w:rFonts w:ascii="Times New Roman" w:hAnsi="Times New Roman"/>
          <w:bCs/>
          <w:sz w:val="20"/>
          <w:szCs w:val="20"/>
          <w:vertAlign w:val="superscript"/>
        </w:rPr>
        <w:t>2</w:t>
      </w:r>
      <w:r w:rsidRPr="00522B4B">
        <w:rPr>
          <w:rFonts w:ascii="Times New Roman" w:hAnsi="Times New Roman"/>
          <w:bCs/>
          <w:sz w:val="20"/>
          <w:szCs w:val="20"/>
        </w:rPr>
        <w:t>, Ravi Gooneratne</w:t>
      </w:r>
      <w:r w:rsidRPr="00522B4B">
        <w:rPr>
          <w:rFonts w:ascii="Times New Roman" w:hAnsi="Times New Roman"/>
          <w:bCs/>
          <w:sz w:val="20"/>
          <w:szCs w:val="20"/>
          <w:vertAlign w:val="superscript"/>
        </w:rPr>
        <w:t>3</w:t>
      </w:r>
      <w:r w:rsidRPr="00522B4B">
        <w:rPr>
          <w:rFonts w:ascii="Times New Roman" w:hAnsi="Times New Roman"/>
          <w:bCs/>
          <w:sz w:val="20"/>
          <w:szCs w:val="20"/>
        </w:rPr>
        <w:t>, Kim Byung Hong</w:t>
      </w:r>
      <w:r w:rsidRPr="00522B4B">
        <w:rPr>
          <w:rFonts w:ascii="Times New Roman" w:hAnsi="Times New Roman"/>
          <w:bCs/>
          <w:sz w:val="20"/>
          <w:szCs w:val="20"/>
          <w:vertAlign w:val="superscript"/>
        </w:rPr>
        <w:t>1,4,5</w:t>
      </w:r>
    </w:p>
    <w:p w:rsidR="00D01991" w:rsidRPr="00F447A7" w:rsidRDefault="00D01991" w:rsidP="00D01991">
      <w:pPr>
        <w:spacing w:after="0" w:line="240" w:lineRule="auto"/>
        <w:jc w:val="center"/>
        <w:rPr>
          <w:rFonts w:ascii="Times New Roman" w:hAnsi="Times New Roman"/>
          <w:noProof/>
          <w:sz w:val="18"/>
          <w:szCs w:val="18"/>
          <w:lang w:bidi="ar-SA"/>
        </w:rPr>
      </w:pPr>
    </w:p>
    <w:p w:rsidR="00D01991"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1</w:t>
      </w:r>
      <w:r w:rsidRPr="00DC4DEC">
        <w:rPr>
          <w:rFonts w:ascii="Times New Roman" w:hAnsi="Times New Roman"/>
          <w:i/>
          <w:sz w:val="18"/>
          <w:szCs w:val="18"/>
        </w:rPr>
        <w:t xml:space="preserve">Fuel cell Institute, </w:t>
      </w:r>
    </w:p>
    <w:p w:rsidR="00D01991" w:rsidRPr="00DC4DEC"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 xml:space="preserve">Universiti Kebangsaan Malaysia, 43000 </w:t>
      </w:r>
      <w:r>
        <w:rPr>
          <w:rFonts w:ascii="Times New Roman" w:hAnsi="Times New Roman"/>
          <w:i/>
          <w:sz w:val="18"/>
          <w:szCs w:val="18"/>
        </w:rPr>
        <w:t xml:space="preserve">UKM </w:t>
      </w:r>
      <w:r w:rsidRPr="00DC4DEC">
        <w:rPr>
          <w:rFonts w:ascii="Times New Roman" w:hAnsi="Times New Roman"/>
          <w:i/>
          <w:sz w:val="18"/>
          <w:szCs w:val="18"/>
        </w:rPr>
        <w:t>Bangi</w:t>
      </w:r>
      <w:r>
        <w:rPr>
          <w:rFonts w:ascii="Times New Roman" w:hAnsi="Times New Roman"/>
          <w:i/>
          <w:sz w:val="18"/>
          <w:szCs w:val="18"/>
        </w:rPr>
        <w:t>, Selangor, Malaysia</w:t>
      </w:r>
    </w:p>
    <w:p w:rsidR="00D01991"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2</w:t>
      </w:r>
      <w:r w:rsidRPr="00DC4DEC">
        <w:rPr>
          <w:rFonts w:ascii="Times New Roman" w:hAnsi="Times New Roman"/>
          <w:i/>
          <w:sz w:val="18"/>
          <w:szCs w:val="18"/>
        </w:rPr>
        <w:t xml:space="preserve">Lincoln Ventures Ltd, </w:t>
      </w:r>
    </w:p>
    <w:p w:rsidR="00D01991" w:rsidRPr="00DC4DEC"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PO Box 133, Lincoln, Christchurch 7640, New Zealand</w:t>
      </w:r>
    </w:p>
    <w:p w:rsidR="00D01991" w:rsidRPr="00DC4DEC" w:rsidRDefault="00D01991" w:rsidP="00D01991">
      <w:pPr>
        <w:pStyle w:val="BodyText"/>
        <w:spacing w:after="0" w:line="240" w:lineRule="auto"/>
        <w:jc w:val="center"/>
        <w:rPr>
          <w:rFonts w:ascii="Times New Roman" w:hAnsi="Times New Roman"/>
          <w:bCs/>
          <w:i/>
          <w:sz w:val="18"/>
          <w:szCs w:val="18"/>
          <w:shd w:val="clear" w:color="auto" w:fill="FFFFFF"/>
        </w:rPr>
      </w:pPr>
      <w:r w:rsidRPr="00DC4DEC">
        <w:rPr>
          <w:rFonts w:ascii="Times New Roman" w:hAnsi="Times New Roman"/>
          <w:i/>
          <w:sz w:val="18"/>
          <w:szCs w:val="18"/>
          <w:vertAlign w:val="superscript"/>
        </w:rPr>
        <w:t>3</w:t>
      </w:r>
      <w:r w:rsidRPr="00DC4DEC">
        <w:rPr>
          <w:rFonts w:ascii="Times New Roman" w:hAnsi="Times New Roman"/>
          <w:bCs/>
          <w:i/>
          <w:sz w:val="18"/>
          <w:szCs w:val="18"/>
          <w:shd w:val="clear" w:color="auto" w:fill="FFFFFF"/>
        </w:rPr>
        <w:t>Lincoln University, PO Box 84, Lincoln, 7647, New Zealand</w:t>
      </w:r>
    </w:p>
    <w:p w:rsidR="00D01991"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bCs/>
          <w:i/>
          <w:sz w:val="18"/>
          <w:szCs w:val="18"/>
          <w:shd w:val="clear" w:color="auto" w:fill="FFFFFF"/>
          <w:vertAlign w:val="superscript"/>
        </w:rPr>
        <w:t>4</w:t>
      </w:r>
      <w:r w:rsidRPr="00DC4DEC">
        <w:rPr>
          <w:rFonts w:ascii="Times New Roman" w:hAnsi="Times New Roman"/>
          <w:i/>
          <w:sz w:val="18"/>
          <w:szCs w:val="18"/>
        </w:rPr>
        <w:t xml:space="preserve">Korea Institute of Science &amp; Technology, </w:t>
      </w:r>
    </w:p>
    <w:p w:rsidR="00D01991" w:rsidRPr="00DC4DEC"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Seongbuk-ku, Seoul 136-792, Korea</w:t>
      </w:r>
    </w:p>
    <w:p w:rsidR="00D01991"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vertAlign w:val="superscript"/>
        </w:rPr>
        <w:t>5</w:t>
      </w:r>
      <w:r w:rsidRPr="00DC4DEC">
        <w:rPr>
          <w:rFonts w:ascii="Times New Roman" w:hAnsi="Times New Roman"/>
          <w:i/>
          <w:sz w:val="18"/>
          <w:szCs w:val="18"/>
        </w:rPr>
        <w:t xml:space="preserve">State Key Laboratory of Urban Water Resource &amp; Environment, </w:t>
      </w:r>
    </w:p>
    <w:p w:rsidR="00D01991" w:rsidRPr="00DC4DEC" w:rsidRDefault="00D01991" w:rsidP="00D01991">
      <w:pPr>
        <w:pStyle w:val="BodyText"/>
        <w:spacing w:after="0" w:line="240" w:lineRule="auto"/>
        <w:jc w:val="center"/>
        <w:rPr>
          <w:rFonts w:ascii="Times New Roman" w:hAnsi="Times New Roman"/>
          <w:i/>
          <w:sz w:val="18"/>
          <w:szCs w:val="18"/>
        </w:rPr>
      </w:pPr>
      <w:r w:rsidRPr="00DC4DEC">
        <w:rPr>
          <w:rFonts w:ascii="Times New Roman" w:hAnsi="Times New Roman"/>
          <w:i/>
          <w:sz w:val="18"/>
          <w:szCs w:val="18"/>
        </w:rPr>
        <w:t>Harbin Institute of Technology, Harbin 150090, China</w:t>
      </w:r>
    </w:p>
    <w:p w:rsidR="00D01991" w:rsidRPr="00F447A7" w:rsidRDefault="00D01991" w:rsidP="00D01991">
      <w:pPr>
        <w:spacing w:after="0" w:line="240" w:lineRule="auto"/>
        <w:jc w:val="center"/>
        <w:rPr>
          <w:rFonts w:ascii="Times New Roman" w:hAnsi="Times New Roman"/>
          <w:noProof/>
          <w:sz w:val="18"/>
          <w:szCs w:val="18"/>
          <w:lang w:bidi="ar-SA"/>
        </w:rPr>
      </w:pPr>
    </w:p>
    <w:p w:rsidR="00D01991" w:rsidRPr="00F447A7" w:rsidRDefault="00D01991" w:rsidP="00D01991">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DC4DEC">
        <w:rPr>
          <w:rFonts w:ascii="Times New Roman" w:hAnsi="Times New Roman"/>
          <w:i/>
          <w:sz w:val="18"/>
          <w:szCs w:val="18"/>
        </w:rPr>
        <w:t>mimihani@ ukm.</w:t>
      </w:r>
      <w:r>
        <w:rPr>
          <w:rFonts w:ascii="Times New Roman" w:hAnsi="Times New Roman"/>
          <w:i/>
          <w:sz w:val="18"/>
          <w:szCs w:val="18"/>
        </w:rPr>
        <w:t>edu.my</w:t>
      </w:r>
    </w:p>
    <w:p w:rsidR="00D01991" w:rsidRPr="00F447A7" w:rsidRDefault="00D01991" w:rsidP="00D01991">
      <w:pPr>
        <w:spacing w:after="0" w:line="240" w:lineRule="auto"/>
        <w:jc w:val="center"/>
        <w:rPr>
          <w:rFonts w:ascii="Times New Roman" w:hAnsi="Times New Roman"/>
          <w:noProof/>
          <w:sz w:val="18"/>
          <w:szCs w:val="18"/>
          <w:lang w:bidi="ar-SA"/>
        </w:rPr>
      </w:pPr>
    </w:p>
    <w:p w:rsidR="00D01991" w:rsidRDefault="00D01991" w:rsidP="00D01991">
      <w:pPr>
        <w:spacing w:after="0" w:line="240" w:lineRule="auto"/>
        <w:jc w:val="center"/>
        <w:rPr>
          <w:rFonts w:ascii="Times New Roman" w:hAnsi="Times New Roman"/>
          <w:noProof/>
          <w:sz w:val="18"/>
          <w:szCs w:val="18"/>
          <w:lang w:bidi="ar-SA"/>
        </w:rPr>
      </w:pPr>
    </w:p>
    <w:p w:rsidR="00D01991" w:rsidRDefault="00D01991" w:rsidP="00D01991">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D01991" w:rsidRDefault="00D01991" w:rsidP="00D01991">
      <w:pPr>
        <w:spacing w:after="0" w:line="240" w:lineRule="auto"/>
        <w:jc w:val="center"/>
        <w:rPr>
          <w:rFonts w:ascii="Times New Roman" w:hAnsi="Times New Roman"/>
          <w:noProof/>
          <w:sz w:val="18"/>
          <w:szCs w:val="18"/>
          <w:lang w:bidi="ar-SA"/>
        </w:rPr>
      </w:pPr>
    </w:p>
    <w:p w:rsidR="00D01991" w:rsidRPr="00F447A7" w:rsidRDefault="00D01991" w:rsidP="00D01991">
      <w:pPr>
        <w:spacing w:after="0" w:line="240" w:lineRule="auto"/>
        <w:jc w:val="center"/>
        <w:rPr>
          <w:rFonts w:ascii="Times New Roman" w:hAnsi="Times New Roman"/>
          <w:noProof/>
          <w:sz w:val="18"/>
          <w:szCs w:val="18"/>
          <w:lang w:bidi="ar-SA"/>
        </w:rPr>
      </w:pPr>
    </w:p>
    <w:p w:rsidR="00D01991" w:rsidRPr="00F447A7" w:rsidRDefault="00D01991" w:rsidP="00D0199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01991" w:rsidRDefault="00D01991" w:rsidP="00D01991">
      <w:pPr>
        <w:pStyle w:val="ListParagraph"/>
        <w:spacing w:after="0" w:line="240" w:lineRule="auto"/>
        <w:ind w:left="0"/>
        <w:jc w:val="both"/>
        <w:rPr>
          <w:rStyle w:val="BodyTextChar"/>
          <w:rFonts w:ascii="Times New Roman" w:eastAsiaTheme="minorHAnsi" w:hAnsi="Times New Roman"/>
          <w:sz w:val="18"/>
          <w:szCs w:val="18"/>
        </w:rPr>
      </w:pPr>
      <w:r w:rsidRPr="00522B4B">
        <w:rPr>
          <w:rFonts w:ascii="Times New Roman" w:hAnsi="Times New Roman"/>
          <w:sz w:val="18"/>
          <w:szCs w:val="18"/>
          <w:lang w:val="en-MY"/>
        </w:rPr>
        <w:t xml:space="preserve">In this study, we are interested in the effect of long time exposure of the microbial fuel cells (MFCs) to air on the electrochemical performance. Here, </w:t>
      </w:r>
      <w:r w:rsidRPr="00522B4B">
        <w:rPr>
          <w:rFonts w:ascii="Times New Roman" w:hAnsi="Times New Roman"/>
          <w:sz w:val="18"/>
          <w:szCs w:val="18"/>
        </w:rPr>
        <w:t>MFCs enriched using an effluent from a MFC operated for about eight months.</w:t>
      </w:r>
      <w:r w:rsidRPr="00522B4B">
        <w:rPr>
          <w:rFonts w:ascii="Times New Roman" w:hAnsi="Times New Roman"/>
          <w:sz w:val="18"/>
          <w:szCs w:val="18"/>
          <w:lang w:val="en-MY"/>
        </w:rPr>
        <w:t xml:space="preserve"> After 30 days, the condition of these systems was reversed from aerobic to anaerobic and vice versa, and their effects were observed for 11 days.  </w:t>
      </w:r>
      <w:r w:rsidRPr="00522B4B">
        <w:rPr>
          <w:rStyle w:val="CommentReference"/>
          <w:rFonts w:ascii="Times New Roman" w:hAnsi="Times New Roman"/>
          <w:sz w:val="18"/>
          <w:szCs w:val="18"/>
        </w:rPr>
        <w:t xml:space="preserve">The results show that for anaerobic MFCs, power generation was reduced when the anodes were exposed to dissolved oxygen of 7.5 ppm. The long exposure of anodic biofilm to air led to poor electrochemical performance. The power generation recovered fully when air supply stopped entering the anode compartment with a reduction of internal resistance up to 53%. </w:t>
      </w:r>
      <w:r w:rsidRPr="00522B4B">
        <w:rPr>
          <w:rFonts w:ascii="Times New Roman" w:hAnsi="Times New Roman"/>
          <w:color w:val="984806" w:themeColor="accent6" w:themeShade="80"/>
          <w:sz w:val="18"/>
          <w:szCs w:val="18"/>
        </w:rPr>
        <w:t xml:space="preserve"> </w:t>
      </w:r>
      <w:r w:rsidRPr="00522B4B">
        <w:rPr>
          <w:rStyle w:val="BodyTextChar"/>
          <w:rFonts w:ascii="Times New Roman" w:eastAsiaTheme="minorHAnsi" w:hAnsi="Times New Roman"/>
          <w:sz w:val="18"/>
          <w:szCs w:val="18"/>
        </w:rPr>
        <w:t>The study was able to show that mixed facultative microorganism able to strive through the aerobic condition for about a month at 7.5 ppm oxygen or less. The anaerobic condition was able to turn these microbes into exoelectrogen, producing considerable power in relative to their aerobic state</w:t>
      </w:r>
      <w:r>
        <w:rPr>
          <w:rStyle w:val="BodyTextChar"/>
          <w:rFonts w:ascii="Times New Roman" w:eastAsiaTheme="minorHAnsi" w:hAnsi="Times New Roman"/>
          <w:sz w:val="18"/>
          <w:szCs w:val="18"/>
        </w:rPr>
        <w:t>.</w:t>
      </w:r>
    </w:p>
    <w:p w:rsidR="00D01991" w:rsidRDefault="00D01991" w:rsidP="00D01991">
      <w:pPr>
        <w:pStyle w:val="ListParagraph"/>
        <w:spacing w:after="0" w:line="240" w:lineRule="auto"/>
        <w:ind w:left="0"/>
        <w:jc w:val="both"/>
        <w:rPr>
          <w:rStyle w:val="BodyTextChar"/>
          <w:rFonts w:ascii="Times New Roman" w:eastAsiaTheme="minorHAnsi" w:hAnsi="Times New Roman"/>
          <w:sz w:val="18"/>
          <w:szCs w:val="18"/>
        </w:rPr>
      </w:pPr>
    </w:p>
    <w:p w:rsidR="00D01991" w:rsidRPr="00522B4B" w:rsidRDefault="00D01991" w:rsidP="00D01991">
      <w:pPr>
        <w:pStyle w:val="ListParagraph"/>
        <w:spacing w:after="0" w:line="240" w:lineRule="auto"/>
        <w:ind w:left="0"/>
        <w:jc w:val="both"/>
        <w:rPr>
          <w:rFonts w:ascii="Times New Roman" w:hAnsi="Times New Roman"/>
          <w:sz w:val="18"/>
          <w:szCs w:val="18"/>
          <w:lang w:val="en-NZ" w:eastAsia="en-AU"/>
        </w:rPr>
      </w:pPr>
      <w:r w:rsidRPr="00522B4B">
        <w:rPr>
          <w:rFonts w:ascii="Times New Roman" w:hAnsi="Times New Roman"/>
          <w:b/>
          <w:sz w:val="18"/>
          <w:szCs w:val="18"/>
        </w:rPr>
        <w:t>Keyword</w:t>
      </w:r>
      <w:r>
        <w:rPr>
          <w:rFonts w:ascii="Times New Roman" w:hAnsi="Times New Roman"/>
          <w:b/>
          <w:sz w:val="18"/>
          <w:szCs w:val="18"/>
        </w:rPr>
        <w:t>s</w:t>
      </w:r>
      <w:r w:rsidRPr="00522B4B">
        <w:rPr>
          <w:rFonts w:ascii="Times New Roman" w:hAnsi="Times New Roman"/>
          <w:sz w:val="18"/>
          <w:szCs w:val="18"/>
        </w:rPr>
        <w:t xml:space="preserve">: </w:t>
      </w:r>
      <w:r>
        <w:rPr>
          <w:rFonts w:ascii="Times New Roman" w:hAnsi="Times New Roman"/>
          <w:sz w:val="18"/>
          <w:szCs w:val="18"/>
        </w:rPr>
        <w:t xml:space="preserve"> m</w:t>
      </w:r>
      <w:r w:rsidRPr="00522B4B">
        <w:rPr>
          <w:rFonts w:ascii="Times New Roman" w:hAnsi="Times New Roman"/>
          <w:sz w:val="18"/>
          <w:szCs w:val="18"/>
        </w:rPr>
        <w:t xml:space="preserve">icrobial fuel cell, </w:t>
      </w:r>
      <w:r>
        <w:rPr>
          <w:rFonts w:ascii="Times New Roman" w:hAnsi="Times New Roman"/>
          <w:sz w:val="18"/>
          <w:szCs w:val="18"/>
        </w:rPr>
        <w:t>a</w:t>
      </w:r>
      <w:r w:rsidRPr="00522B4B">
        <w:rPr>
          <w:rFonts w:ascii="Times New Roman" w:hAnsi="Times New Roman"/>
          <w:sz w:val="18"/>
          <w:szCs w:val="18"/>
        </w:rPr>
        <w:t xml:space="preserve">erobic, </w:t>
      </w:r>
      <w:r>
        <w:rPr>
          <w:rFonts w:ascii="Times New Roman" w:hAnsi="Times New Roman"/>
          <w:sz w:val="18"/>
          <w:szCs w:val="18"/>
        </w:rPr>
        <w:t>o</w:t>
      </w:r>
      <w:r w:rsidRPr="00522B4B">
        <w:rPr>
          <w:rFonts w:ascii="Times New Roman" w:hAnsi="Times New Roman"/>
          <w:sz w:val="18"/>
          <w:szCs w:val="18"/>
        </w:rPr>
        <w:t xml:space="preserve">xygen exposure, </w:t>
      </w:r>
      <w:r>
        <w:rPr>
          <w:rFonts w:ascii="Times New Roman" w:hAnsi="Times New Roman"/>
          <w:sz w:val="18"/>
          <w:szCs w:val="18"/>
        </w:rPr>
        <w:t>w</w:t>
      </w:r>
      <w:r w:rsidRPr="00522B4B">
        <w:rPr>
          <w:rFonts w:ascii="Times New Roman" w:hAnsi="Times New Roman"/>
          <w:sz w:val="18"/>
          <w:szCs w:val="18"/>
        </w:rPr>
        <w:t>astewater</w:t>
      </w:r>
    </w:p>
    <w:p w:rsidR="00D01991" w:rsidRDefault="00D01991" w:rsidP="00D01991">
      <w:pPr>
        <w:spacing w:after="0" w:line="240" w:lineRule="auto"/>
        <w:jc w:val="center"/>
        <w:rPr>
          <w:rFonts w:ascii="Times New Roman" w:hAnsi="Times New Roman"/>
          <w:b/>
          <w:noProof/>
          <w:sz w:val="18"/>
          <w:szCs w:val="18"/>
          <w:lang w:bidi="ar-SA"/>
        </w:rPr>
      </w:pPr>
    </w:p>
    <w:p w:rsidR="00D01991" w:rsidRPr="00F447A7" w:rsidRDefault="00D01991" w:rsidP="00D01991">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01991" w:rsidRPr="00522B4B" w:rsidRDefault="00D01991" w:rsidP="00D01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r w:rsidRPr="00522B4B">
        <w:rPr>
          <w:rFonts w:ascii="Times New Roman" w:hAnsi="Times New Roman"/>
          <w:sz w:val="18"/>
          <w:szCs w:val="18"/>
          <w:lang w:val="ms-MY" w:eastAsia="en-MY"/>
        </w:rPr>
        <w:t>Dalam kajian ini, kami berminat untuk mengesan</w:t>
      </w:r>
      <w:r>
        <w:rPr>
          <w:rFonts w:ascii="Times New Roman" w:hAnsi="Times New Roman"/>
          <w:sz w:val="18"/>
          <w:szCs w:val="18"/>
          <w:lang w:val="ms-MY" w:eastAsia="en-MY"/>
        </w:rPr>
        <w:t xml:space="preserve"> prestasi elektrokimia sel bahan api</w:t>
      </w:r>
      <w:r w:rsidRPr="00522B4B">
        <w:rPr>
          <w:rFonts w:ascii="Times New Roman" w:hAnsi="Times New Roman"/>
          <w:sz w:val="18"/>
          <w:szCs w:val="18"/>
          <w:lang w:val="ms-MY" w:eastAsia="en-MY"/>
        </w:rPr>
        <w:t xml:space="preserve"> mikrob (MFC) terhadap  pendedahan jangka masa panjang kepada udara. Di sini, MFC diperkaya menggunakan efluen daripada MFC yang telah beroperasi selama kira</w:t>
      </w:r>
      <w:r>
        <w:rPr>
          <w:rFonts w:ascii="Times New Roman" w:hAnsi="Times New Roman"/>
          <w:sz w:val="18"/>
          <w:szCs w:val="18"/>
          <w:lang w:val="ms-MY" w:eastAsia="en-MY"/>
        </w:rPr>
        <w:t xml:space="preserve"> – </w:t>
      </w:r>
      <w:r w:rsidRPr="00522B4B">
        <w:rPr>
          <w:rFonts w:ascii="Times New Roman" w:hAnsi="Times New Roman"/>
          <w:sz w:val="18"/>
          <w:szCs w:val="18"/>
          <w:lang w:val="ms-MY" w:eastAsia="en-MY"/>
        </w:rPr>
        <w:t>kira lapan bulan. Selepas 30 hari, keadaan sistem ini telah diterbalikkan dari aerobik untuk anaerobik dan sebaliknya, dan kesannya diperhatikan selama 11 hari. Keputusan menunjukkan bahawa untuk MFC anaerobik, penjanaan kuasa telah berkurangan apabila anod</w:t>
      </w:r>
      <w:r>
        <w:rPr>
          <w:rFonts w:ascii="Times New Roman" w:hAnsi="Times New Roman"/>
          <w:sz w:val="18"/>
          <w:szCs w:val="18"/>
          <w:lang w:val="ms-MY" w:eastAsia="en-MY"/>
        </w:rPr>
        <w:t xml:space="preserve"> terkena oksigen terlarut </w:t>
      </w:r>
      <w:r w:rsidRPr="00522B4B">
        <w:rPr>
          <w:rFonts w:ascii="Times New Roman" w:hAnsi="Times New Roman"/>
          <w:sz w:val="18"/>
          <w:szCs w:val="18"/>
          <w:lang w:val="ms-MY" w:eastAsia="en-MY"/>
        </w:rPr>
        <w:t>7.5 ppm. Pendedahan jangka masa panjang biofil</w:t>
      </w:r>
      <w:r>
        <w:rPr>
          <w:rFonts w:ascii="Times New Roman" w:hAnsi="Times New Roman"/>
          <w:sz w:val="18"/>
          <w:szCs w:val="18"/>
          <w:lang w:val="ms-MY" w:eastAsia="en-MY"/>
        </w:rPr>
        <w:t>e</w:t>
      </w:r>
      <w:r w:rsidRPr="00522B4B">
        <w:rPr>
          <w:rFonts w:ascii="Times New Roman" w:hAnsi="Times New Roman"/>
          <w:sz w:val="18"/>
          <w:szCs w:val="18"/>
          <w:lang w:val="ms-MY" w:eastAsia="en-MY"/>
        </w:rPr>
        <w:t>m anod kepada udara membawa kepada prestasi elektrokimia yang rendah. Penjanaan kuasa pulih sepenuhnya apabila bekalan udara berhenti memasuki ruangan anod dengan pengurangan rintangan sehingga 53</w:t>
      </w:r>
      <w:r>
        <w:rPr>
          <w:rFonts w:ascii="Times New Roman" w:hAnsi="Times New Roman"/>
          <w:sz w:val="18"/>
          <w:szCs w:val="18"/>
          <w:lang w:val="ms-MY" w:eastAsia="en-MY"/>
        </w:rPr>
        <w:t xml:space="preserve"> </w:t>
      </w:r>
      <w:r w:rsidRPr="00522B4B">
        <w:rPr>
          <w:rFonts w:ascii="Times New Roman" w:hAnsi="Times New Roman"/>
          <w:sz w:val="18"/>
          <w:szCs w:val="18"/>
          <w:lang w:val="ms-MY" w:eastAsia="en-MY"/>
        </w:rPr>
        <w:t>%. Kajian ini dapat menunjukkan bahawa mikroorganisma fakultatif campuran dapat hidup melalui keadaan aerobik selama sebulan pada 7.5 ppm oksigen atau kurang. Keadaan anaerobik mampu mengubah mikrob ini kepada eksoelektrogen, seterusnya menghasilkan kuasa yang tinggi berbanding dengan apabila berada di dalam keadaan aerobik.</w:t>
      </w:r>
    </w:p>
    <w:p w:rsidR="00D01991" w:rsidRPr="00522B4B" w:rsidRDefault="00D01991" w:rsidP="00D01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eastAsia="en-MY"/>
        </w:rPr>
      </w:pPr>
    </w:p>
    <w:p w:rsidR="00D01991" w:rsidRPr="00522B4B" w:rsidRDefault="00D01991" w:rsidP="00D01991">
      <w:pPr>
        <w:pStyle w:val="BodyText"/>
        <w:spacing w:after="0" w:line="240" w:lineRule="auto"/>
        <w:jc w:val="both"/>
        <w:rPr>
          <w:rFonts w:ascii="Times New Roman" w:hAnsi="Times New Roman"/>
          <w:sz w:val="18"/>
          <w:szCs w:val="18"/>
        </w:rPr>
      </w:pPr>
      <w:r w:rsidRPr="00522B4B">
        <w:rPr>
          <w:rFonts w:ascii="Times New Roman" w:hAnsi="Times New Roman"/>
          <w:b/>
          <w:sz w:val="18"/>
          <w:szCs w:val="18"/>
        </w:rPr>
        <w:t>Kata kunci:</w:t>
      </w:r>
      <w:r w:rsidRPr="00522B4B">
        <w:rPr>
          <w:rFonts w:ascii="Times New Roman" w:hAnsi="Times New Roman"/>
          <w:sz w:val="18"/>
          <w:szCs w:val="18"/>
        </w:rPr>
        <w:t xml:space="preserve"> </w:t>
      </w:r>
      <w:r>
        <w:rPr>
          <w:rFonts w:ascii="Times New Roman" w:hAnsi="Times New Roman"/>
          <w:sz w:val="18"/>
          <w:szCs w:val="18"/>
          <w:lang w:val="ms-MY" w:eastAsia="en-MY"/>
        </w:rPr>
        <w:t xml:space="preserve"> sel bahan api</w:t>
      </w:r>
      <w:r w:rsidRPr="00522B4B">
        <w:rPr>
          <w:rFonts w:ascii="Times New Roman" w:hAnsi="Times New Roman"/>
          <w:sz w:val="18"/>
          <w:szCs w:val="18"/>
          <w:lang w:val="ms-MY" w:eastAsia="en-MY"/>
        </w:rPr>
        <w:t xml:space="preserve"> mikrob</w:t>
      </w:r>
      <w:r>
        <w:rPr>
          <w:rFonts w:ascii="Times New Roman" w:hAnsi="Times New Roman"/>
          <w:sz w:val="18"/>
          <w:szCs w:val="18"/>
        </w:rPr>
        <w:t>, a</w:t>
      </w:r>
      <w:r w:rsidRPr="00522B4B">
        <w:rPr>
          <w:rFonts w:ascii="Times New Roman" w:hAnsi="Times New Roman"/>
          <w:sz w:val="18"/>
          <w:szCs w:val="18"/>
        </w:rPr>
        <w:t xml:space="preserve">erobik, </w:t>
      </w:r>
      <w:r>
        <w:rPr>
          <w:rFonts w:ascii="Times New Roman" w:hAnsi="Times New Roman"/>
          <w:sz w:val="18"/>
          <w:szCs w:val="18"/>
        </w:rPr>
        <w:t>p</w:t>
      </w:r>
      <w:r w:rsidRPr="00522B4B">
        <w:rPr>
          <w:rFonts w:ascii="Times New Roman" w:hAnsi="Times New Roman"/>
          <w:sz w:val="18"/>
          <w:szCs w:val="18"/>
        </w:rPr>
        <w:t xml:space="preserve">endedahan oksigen, </w:t>
      </w:r>
      <w:r>
        <w:rPr>
          <w:rFonts w:ascii="Times New Roman" w:hAnsi="Times New Roman"/>
          <w:sz w:val="18"/>
          <w:szCs w:val="18"/>
        </w:rPr>
        <w:t>a</w:t>
      </w:r>
      <w:r w:rsidRPr="00522B4B">
        <w:rPr>
          <w:rFonts w:ascii="Times New Roman" w:hAnsi="Times New Roman"/>
          <w:sz w:val="18"/>
          <w:szCs w:val="18"/>
        </w:rPr>
        <w:t>ir sisa</w:t>
      </w:r>
    </w:p>
    <w:p w:rsidR="00D01991" w:rsidRDefault="00D01991" w:rsidP="00D01991">
      <w:pPr>
        <w:spacing w:after="0" w:line="240" w:lineRule="auto"/>
        <w:jc w:val="center"/>
        <w:rPr>
          <w:rFonts w:ascii="Times New Roman" w:hAnsi="Times New Roman"/>
          <w:noProof/>
          <w:sz w:val="20"/>
          <w:szCs w:val="20"/>
          <w:lang w:bidi="ar-SA"/>
        </w:rPr>
      </w:pPr>
    </w:p>
    <w:p w:rsidR="00D01991" w:rsidRPr="00BE7C30" w:rsidRDefault="00D01991" w:rsidP="00D01991">
      <w:pPr>
        <w:spacing w:after="0" w:line="240" w:lineRule="auto"/>
        <w:jc w:val="center"/>
        <w:rPr>
          <w:rFonts w:ascii="Times New Roman" w:hAnsi="Times New Roman"/>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01991" w:rsidRDefault="00D01991" w:rsidP="00D01991">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color w:val="000000"/>
          <w:sz w:val="20"/>
          <w:szCs w:val="20"/>
          <w:lang w:val="en-MY"/>
        </w:rPr>
        <w:t xml:space="preserve">A microbial fuel cell (MFC) system is a bioenergy converter that utilizes bacteria to generate electricity through bacterial metabolic pathway </w:t>
      </w:r>
      <w:r w:rsidRPr="00DC4DEC">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 </w:instrText>
      </w:r>
      <w:r>
        <w:rPr>
          <w:rFonts w:ascii="Times New Roman" w:hAnsi="Times New Roman"/>
          <w:color w:val="000000"/>
          <w:sz w:val="20"/>
          <w:szCs w:val="20"/>
          <w:lang w:val="en-MY"/>
        </w:rPr>
        <w:fldChar w:fldCharType="begin">
          <w:fldData xml:space="preserve">PEVuZE5vdGU+PENpdGU+PEF1dGhvcj5SaXR0bWFubjwvQXV0aG9yPjxZZWFyPjIwMDY8L1llYXI+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</w:fldData>
        </w:fldChar>
      </w:r>
      <w:r>
        <w:rPr>
          <w:rFonts w:ascii="Times New Roman" w:hAnsi="Times New Roman"/>
          <w:color w:val="000000"/>
          <w:sz w:val="20"/>
          <w:szCs w:val="20"/>
          <w:lang w:val="en-MY"/>
        </w:rPr>
        <w:instrText xml:space="preserve"> ADDIN EN.CITE.DATA </w:instrText>
      </w:r>
      <w:r>
        <w:rPr>
          <w:rFonts w:ascii="Times New Roman" w:hAnsi="Times New Roman"/>
          <w:color w:val="000000"/>
          <w:sz w:val="20"/>
          <w:szCs w:val="20"/>
          <w:lang w:val="en-MY"/>
        </w:rPr>
      </w:r>
      <w:r>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[1]</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These bacteria are known as </w:t>
      </w:r>
      <w:r w:rsidRPr="00DC4DEC">
        <w:rPr>
          <w:rFonts w:ascii="Times New Roman" w:hAnsi="Times New Roman"/>
          <w:bCs/>
          <w:color w:val="000000"/>
          <w:sz w:val="20"/>
          <w:szCs w:val="20"/>
          <w:lang w:val="en-MY"/>
        </w:rPr>
        <w:t>exoelectrogens</w:t>
      </w:r>
      <w:r w:rsidRPr="00DC4DEC">
        <w:rPr>
          <w:rFonts w:ascii="Times New Roman" w:hAnsi="Times New Roman"/>
          <w:color w:val="000000"/>
          <w:sz w:val="20"/>
          <w:szCs w:val="20"/>
          <w:lang w:val="en-MY"/>
        </w:rPr>
        <w:t xml:space="preserve"> and could transfer electrons to anode electrode. </w:t>
      </w:r>
      <w:r w:rsidRPr="00DC4DEC">
        <w:rPr>
          <w:rFonts w:ascii="Times New Roman" w:hAnsi="Times New Roman"/>
          <w:sz w:val="20"/>
          <w:szCs w:val="20"/>
        </w:rPr>
        <w:t>Oxygen and nitrate are preferred electron acceptor over the anode reducing power generation in their presence in the anolyte.</w:t>
      </w:r>
      <w:r w:rsidRPr="00DC4DEC">
        <w:rPr>
          <w:rFonts w:ascii="Times New Roman" w:hAnsi="Times New Roman"/>
          <w:color w:val="000000"/>
          <w:sz w:val="20"/>
          <w:szCs w:val="20"/>
          <w:lang w:val="en-MY"/>
        </w:rPr>
        <w:t xml:space="preserve"> Tests on the impact of oxygen in air on anaerobic MFCs had been done on both single cell culture, such as from the genus </w:t>
      </w:r>
      <w:r w:rsidRPr="00DC4DEC">
        <w:rPr>
          <w:rFonts w:ascii="Times New Roman" w:hAnsi="Times New Roman"/>
          <w:i/>
          <w:color w:val="000000"/>
          <w:sz w:val="20"/>
          <w:szCs w:val="20"/>
          <w:lang w:val="en-MY"/>
        </w:rPr>
        <w:t xml:space="preserve">Shewanella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&lt;EndNote&gt;&lt;Cite&gt;&lt;Author&gt;Kim&lt;/Author&gt;&lt;Year&gt;2002&lt;/Year&gt;&lt;RecNum&gt;103&lt;/RecNum&gt;&lt;DisplayText&gt;[2, 3]&lt;/DisplayText&gt;&lt;record&gt;&lt;rec-number&gt;103&lt;/rec-number&gt;&lt;foreign-keys&gt;&lt;key app="EN" db-id="pev00ptf6vtps6eafrqvzezz9dd2pprw2s2v" timestamp="0"&gt;103&lt;/key&gt;&lt;/foreign-keys&gt;&lt;ref-type name="Journal Article"&gt;17&lt;/ref-type&gt;&lt;contributors&gt;&lt;authors&gt;&lt;author&gt;Kim, Hyung Joo &lt;/author&gt;&lt;author&gt;Park, Hyung Soo &lt;/author&gt;&lt;author&gt;Hyun, Moon Sik &lt;/author&gt;&lt;author&gt;Chang, In Seop &lt;/author&gt;&lt;author&gt;Kim,Mia &lt;/author&gt;&lt;author&gt;Kim,Byung Hong &lt;/author&gt;&lt;/authors&gt;&lt;/contributors&gt;&lt;titles&gt;&lt;title&gt;&lt;style face="normal" font="default" size="100%"&gt;A mediator-less microbial fuel cell using a metal reducing bacterium, &lt;/style&gt;&lt;style face="italic" font="default" size="100%"&gt;Shewanella putrefaciens&lt;/style&gt;&lt;/title&gt;&lt;secondary-title&gt;Enzyme and Microbial Technology&lt;/secondary-title&gt;&lt;/titles&gt;&lt;pages&gt;145-152&lt;/pages&gt;&lt;volume&gt;30&lt;/volume&gt;&lt;dates&gt;&lt;year&gt;2002&lt;/year&gt;&lt;/dates&gt;&lt;urls&gt;&lt;/urls&gt;&lt;/record&gt;&lt;/Cite&gt;&lt;Cite&gt;&lt;Author&gt;Li&lt;/Author&gt;&lt;Year&gt;2010&lt;/Year&gt;&lt;RecNum&gt;134&lt;/RecNum&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[2, 3]</w:t>
      </w:r>
      <w:r w:rsidRPr="00DC4DEC">
        <w:rPr>
          <w:rFonts w:ascii="Times New Roman" w:hAnsi="Times New Roman"/>
          <w:color w:val="000000"/>
          <w:sz w:val="20"/>
          <w:szCs w:val="20"/>
          <w:lang w:val="en-MY"/>
        </w:rPr>
        <w:fldChar w:fldCharType="end"/>
      </w:r>
      <w:r w:rsidRPr="00DC4DEC">
        <w:rPr>
          <w:rFonts w:ascii="Times New Roman" w:hAnsi="Times New Roman"/>
          <w:i/>
          <w:color w:val="000000"/>
          <w:sz w:val="20"/>
          <w:szCs w:val="20"/>
          <w:lang w:val="en-MY"/>
        </w:rPr>
        <w:t>, Escherichia coli (E.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 xml:space="preserve">coli)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and </w:t>
      </w:r>
      <w:r w:rsidRPr="00DC4DEC">
        <w:rPr>
          <w:rFonts w:ascii="Times New Roman" w:hAnsi="Times New Roman"/>
          <w:sz w:val="20"/>
          <w:szCs w:val="20"/>
        </w:rPr>
        <w:t>mixed bacterial cultures</w:t>
      </w:r>
      <w:r w:rsidRPr="00DC4DEC">
        <w:rPr>
          <w:rFonts w:ascii="Times New Roman" w:hAnsi="Times New Roman"/>
          <w:color w:val="000000"/>
          <w:sz w:val="20"/>
          <w:szCs w:val="20"/>
          <w:lang w:val="en-MY"/>
        </w:rPr>
        <w:t xml:space="preserve"> from anaerobic wastewater treatment streams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 6]&lt;/DisplayText&gt;&lt;record&gt;&lt;rec-number&gt;461&lt;/rec-number&gt;&lt;foreign-keys&gt;&lt;key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Cite&gt;&lt;Author&gt;Kim&lt;/Author&gt;&lt;Year&gt;2004&lt;/Year&gt;&lt;RecNum&gt;201&lt;/RecNum&gt;&lt;record&gt;&lt;rec-number&gt;201&lt;/rec-number&gt;&lt;foreign-keys&gt;&lt;key app="EN" db-id="pev00ptf6vtps6eafrqvzezz9dd2pprw2s2v" timestamp="0"&gt;201&lt;/key&gt;&lt;/foreign-keys&gt;&lt;ref-type name="Journal Article"&gt;17&lt;/ref-type&gt;&lt;contributors&gt;&lt;authors&gt;&lt;author&gt;Kim,B. H. &lt;/author&gt;&lt;author&gt;Park,H. S. &lt;/author&gt;&lt;author&gt;Kim,H. J. &lt;/author&gt;&lt;author&gt;Kim,G. T. &lt;/author&gt;&lt;author&gt;Chang,I. S. &lt;/author&gt;&lt;author&gt;Lee,J. &lt;/author&gt;&lt;author&gt;Phung,N. T. &lt;/author&gt;&lt;/authors&gt;&lt;/contributors&gt;&lt;titles&gt;&lt;title&gt;Enrichment of microbial community generating electricity using a fuel-cell-type electrochemical cell&lt;/title&gt;&lt;secondary-title&gt;Appl Microbiol Biotechnol&lt;/secondary-title&gt;&lt;/titles&gt;&lt;pages&gt;672–681&lt;/pages&gt;&lt;volume&gt;63&lt;/volume&gt;&lt;dates&gt;&lt;year&gt;2004&lt;/year&gt;&lt;/dates&gt;&lt;urls&gt;&lt;/urls&gt;&lt;/record&gt;&lt;/Cite&gt;&lt;/EndNote&gt;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 6]</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w:t>
      </w:r>
      <w:r w:rsidRPr="00DC4DEC">
        <w:rPr>
          <w:rFonts w:ascii="Times New Roman" w:hAnsi="Times New Roman"/>
          <w:sz w:val="20"/>
          <w:szCs w:val="20"/>
        </w:rPr>
        <w:t xml:space="preserve">It was shown </w:t>
      </w:r>
      <w:r w:rsidRPr="00DC4DEC">
        <w:rPr>
          <w:rFonts w:ascii="Times New Roman" w:hAnsi="Times New Roman"/>
          <w:color w:val="000000"/>
          <w:sz w:val="20"/>
          <w:szCs w:val="20"/>
          <w:lang w:val="en-MY"/>
        </w:rPr>
        <w:t>that the dissolved oxygen in anolyte reduces the capability of certain bacteria to transfer electrons to external anode. Kim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&lt;EndNote&gt;&lt;Cite&gt;&lt;Author&gt;Kim&lt;/Author&gt;&lt;Year&gt;1999&lt;/Year&gt;&lt;RecNum&gt;786&lt;/RecNum&gt;&lt;DisplayText&gt;[7]&lt;/DisplayText&gt;&lt;record&gt;&lt;rec-number&gt;786&lt;/rec-number&gt;&lt;foreign-keys&gt;&lt;key app="EN" db-id="pev00ptf6vtps6eafrqvzezz9dd2pprw2s2v" timestamp="0"&gt;786&lt;/key&gt;&lt;/foreign-keys&gt;&lt;ref-type name="Journal Article"&gt;17&lt;/ref-type&gt;&lt;contributors&gt;&lt;authors&gt;&lt;author&gt;Kim, ByungHong&lt;/author&gt;&lt;author&gt;Ikeda, Tokuji&lt;/author&gt;&lt;author&gt;Park, HyungSoo&lt;/author&gt;&lt;author&gt;Kim, HyungJoo&lt;/author&gt;&lt;author&gt;Hyun, MoonSik&lt;/author&gt;&lt;author&gt;Kano, Kenji&lt;/author&gt;&lt;author&gt;Takagi, Kazuyoshi&lt;/author&gt;&lt;author&gt;Tatsumi, Hirosuke&lt;/author&gt;&lt;/authors&gt;&lt;/contributors&gt;&lt;titles&gt;&lt;title&gt;&lt;style face="normal" font="default" size="100%"&gt;Electrochemical activity of an Fe(III)-reducing bacterium, &lt;/style&gt;&lt;style face="italic" font="default" size="100%"&gt;Shewanella putrefaciens&lt;/style&gt;&lt;style face="normal" font="default" size="100%"&gt; IR-1, in the presence of alternative electron acceptors&lt;/style&gt;&lt;/title&gt;&lt;secondary-title&gt;Biotechnology Techniques&lt;/secondary-title&gt;&lt;alt-title&gt;Biotechnology Techniques&lt;/alt-title&gt;&lt;/titles&gt;&lt;pages&gt;475-478&lt;/pages&gt;&lt;volume&gt;13&lt;/volume&gt;&lt;number&gt;7&lt;/number&gt;&lt;keywords&gt;&lt;keyword&gt;bioelectrochemistry&lt;/keyword&gt;&lt;keyword&gt;cyclic voltammetry&lt;/keyword&gt;&lt;keyword&gt;metal reducing bacterium&lt;/keyword&gt;&lt;keyword&gt;Shewanella putrefaciens&lt;/keyword&gt;&lt;/keywords&gt;&lt;dates&gt;&lt;year&gt;1999&lt;/year&gt;&lt;pub-dates&gt;&lt;date&gt;1999/07/01&lt;/date&gt;&lt;/pub-dates&gt;&lt;/dates&gt;&lt;publisher&gt;Kluwer Academic Publishers&lt;/publisher&gt;&lt;isbn&gt;0951-208X&lt;/isbn&gt;&lt;urls&gt;&lt;related-urls&gt;&lt;url&gt;http://dx.doi.org/10.1023/A%3A1008993029309&lt;/url&gt;&lt;/related-urls&gt;&lt;/urls&gt;&lt;electronic-resource-num&gt;10.1023/a:1008993029309&lt;/electronic-resource-num&gt;&lt;language&gt;English&lt;/languag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[7]</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in their research on biosensor, found that </w:t>
      </w:r>
      <w:r w:rsidRPr="00DC4DEC">
        <w:rPr>
          <w:rFonts w:ascii="Times New Roman" w:hAnsi="Times New Roman"/>
          <w:i/>
          <w:color w:val="000000"/>
          <w:sz w:val="20"/>
          <w:szCs w:val="20"/>
          <w:lang w:val="en-MY"/>
        </w:rPr>
        <w:t xml:space="preserve">Shewanella putrefaciens </w:t>
      </w:r>
      <w:r w:rsidRPr="00DC4DEC">
        <w:rPr>
          <w:rFonts w:ascii="Times New Roman" w:hAnsi="Times New Roman"/>
          <w:color w:val="000000"/>
          <w:sz w:val="20"/>
          <w:szCs w:val="20"/>
          <w:lang w:val="en-MY"/>
        </w:rPr>
        <w:t>completely loss its electrochemical activity within three hours of exposure to air, while Biffinger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&lt;EndNote&gt;&lt;Cite&gt;&lt;Author&gt;Biffinger&lt;/Author&gt;&lt;Year&gt;2008&lt;/Year&gt;&lt;RecNum&gt;928&lt;/RecNum&gt;&lt;DisplayText&gt;[8]&lt;/DisplayText&gt;&lt;record&gt;&lt;rec-number&gt;928&lt;/rec-number&gt;&lt;foreign-keys&gt;&lt;key app="EN" db-id="pev00ptf6vtps6eafrqvzezz9dd2pprw2s2v" timestamp="1446699696"&gt;928&lt;/key&gt;&lt;/foreign-keys&gt;&lt;ref-type name="Journal Article"&gt;17&lt;/ref-type&gt;&lt;contributors&gt;&lt;authors&gt;&lt;author&gt;Biffinger, Justin C.&lt;/author&gt;&lt;author&gt;Byrd, Jacqueline N.&lt;/author&gt;&lt;author&gt;Dudley, Breanna L.&lt;/author&gt;&lt;author&gt;Ringeisen, Bradley R.&lt;/author&gt;&lt;/authors&gt;&lt;/contributors&gt;&lt;titles&gt;&lt;title&gt;Oxygen exposure promotes fuel diversity for Shewanella oneidensis microbial fuel cells&lt;/title&gt;&lt;secondary-title&gt;Biosensors and Bioelectronics&lt;/secondary-title&gt;&lt;/titles&gt;&lt;periodical&gt;&lt;full-title&gt;Biosensors and Bioelectronics&lt;/full-title&gt;&lt;/periodical&gt;&lt;pages&gt;820-826&lt;/pages&gt;&lt;volume&gt;23&lt;/volume&gt;&lt;number&gt;6&lt;/number&gt;&lt;keywords&gt;&lt;keyword&gt;Microbial fuel cell (MFC)&lt;/keyword&gt;&lt;keyword&gt;Aerobic&lt;/keyword&gt;&lt;keyword&gt;Carbohydrate&lt;/keyword&gt;&lt;keyword&gt;Shewanella oneidensis&lt;/keyword&gt;&lt;/keywords&gt;&lt;dates&gt;&lt;year&gt;2008&lt;/year&gt;&lt;pub-dates&gt;&lt;date&gt;1/18/&lt;/date&gt;&lt;/pub-dates&gt;&lt;/dates&gt;&lt;isbn&gt;0956-5663&lt;/isbn&gt;&lt;urls&gt;&lt;related-urls&gt;&lt;url&gt;http://www.sciencedirect.com/science/article/pii/S0956566307003752&lt;/url&gt;&lt;/related-urls&gt;&lt;/urls&gt;&lt;electronic-resource-num&gt;http://dx.doi.org/10.1016/j.bios.2007.08.021&lt;/electronic-resource-num&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[8]</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found that </w:t>
      </w:r>
      <w:r w:rsidRPr="00DC4DEC">
        <w:rPr>
          <w:rFonts w:ascii="Times New Roman" w:hAnsi="Times New Roman"/>
          <w:i/>
          <w:color w:val="000000"/>
          <w:sz w:val="20"/>
          <w:szCs w:val="20"/>
          <w:lang w:val="en-MY"/>
        </w:rPr>
        <w:t xml:space="preserve">Shewanella oneidensis </w:t>
      </w:r>
      <w:r w:rsidRPr="00DC4DEC">
        <w:rPr>
          <w:rFonts w:ascii="Times New Roman" w:hAnsi="Times New Roman"/>
          <w:color w:val="000000"/>
          <w:sz w:val="20"/>
          <w:szCs w:val="20"/>
          <w:lang w:val="en-MY"/>
        </w:rPr>
        <w:t>work well as exoelectrogen in the presence of oxygen. Wang et al.</w:t>
      </w:r>
      <w:r w:rsidRPr="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&lt;EndNote&gt;&lt;Cite&gt;&lt;Author&gt;Wang &lt;/Author&gt;&lt;Year&gt;2006&lt;/Year&gt;&lt;RecNum&gt;30&lt;/RecNum&gt;&lt;DisplayText&gt;[4]&lt;/DisplayText&gt;&lt;record&gt;&lt;rec-number&gt;30&lt;/rec-number&gt;&lt;foreign-keys&gt;&lt;key app="EN" db-id="pev00ptf6vtps6eafrqvzezz9dd2pprw2s2v" timestamp="0"&gt;30&lt;/key&gt;&lt;/foreign-keys&gt;&lt;ref-type name="Journal Article"&gt;17&lt;/ref-type&gt;&lt;contributors&gt;&lt;authors&gt;&lt;author&gt;Wang , Yung-Fu &lt;/author&gt;&lt;author&gt;Cheng , Sheng-Shung &lt;/author&gt;&lt;author&gt;Tsujimura , Seiya &lt;/author&gt;&lt;author&gt;Ikeda , Tokuji &lt;/author&gt;&lt;author&gt;Kano,Kenji &lt;/author&gt;&lt;/authors&gt;&lt;/contributors&gt;&lt;titles&gt;&lt;title&gt;&lt;style face="italic" font="default" size="100%"&gt;E. coli&lt;/style&gt;&lt;style face="normal" font="default" size="100%"&gt;-catalyzed bioelectrochemical oxidation of acetate in the presence of mediators &lt;/style&gt;&lt;/title&gt;&lt;secondary-title&gt;Bioelectrochemistry&lt;/secondary-title&gt;&lt;/titles&gt;&lt;periodical&gt;&lt;full-title&gt;Bioelectrochemistry&lt;/full-title&gt;&lt;/periodical&gt;&lt;pages&gt;74-81&lt;/pages&gt;&lt;volume&gt;69&lt;/volume&gt;&lt;dates&gt;&lt;year&gt;2006&lt;/year&gt;&lt;/dates&gt;&lt;urls&gt;&lt;/urls&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[4]</w:t>
      </w:r>
      <w:r w:rsidRPr="00DC4DEC">
        <w:rPr>
          <w:rFonts w:ascii="Times New Roman" w:hAnsi="Times New Roman"/>
          <w:color w:val="000000"/>
          <w:sz w:val="20"/>
          <w:szCs w:val="20"/>
          <w:lang w:val="en-MY"/>
        </w:rPr>
        <w:fldChar w:fldCharType="end"/>
      </w:r>
      <w:r w:rsidRPr="00DC4DEC">
        <w:rPr>
          <w:rFonts w:ascii="Times New Roman" w:hAnsi="Times New Roman"/>
          <w:color w:val="000000"/>
          <w:sz w:val="20"/>
          <w:szCs w:val="20"/>
          <w:lang w:val="en-MY"/>
        </w:rPr>
        <w:t xml:space="preserve"> discovered that </w:t>
      </w:r>
      <w:r w:rsidRPr="00DC4DEC">
        <w:rPr>
          <w:rFonts w:ascii="Times New Roman" w:hAnsi="Times New Roman"/>
          <w:i/>
          <w:color w:val="000000"/>
          <w:sz w:val="20"/>
          <w:szCs w:val="20"/>
          <w:lang w:val="en-MY"/>
        </w:rPr>
        <w:t>E.</w:t>
      </w:r>
      <w:r>
        <w:rPr>
          <w:rFonts w:ascii="Times New Roman" w:hAnsi="Times New Roman"/>
          <w:i/>
          <w:color w:val="000000"/>
          <w:sz w:val="20"/>
          <w:szCs w:val="20"/>
          <w:lang w:val="en-MY"/>
        </w:rPr>
        <w:t xml:space="preserve"> </w:t>
      </w:r>
      <w:r w:rsidRPr="00DC4DEC">
        <w:rPr>
          <w:rFonts w:ascii="Times New Roman" w:hAnsi="Times New Roman"/>
          <w:i/>
          <w:color w:val="000000"/>
          <w:sz w:val="20"/>
          <w:szCs w:val="20"/>
          <w:lang w:val="en-MY"/>
        </w:rPr>
        <w:t>coli</w:t>
      </w:r>
      <w:r>
        <w:rPr>
          <w:rFonts w:ascii="Times New Roman" w:hAnsi="Times New Roman"/>
          <w:color w:val="000000"/>
          <w:sz w:val="20"/>
          <w:szCs w:val="20"/>
          <w:lang w:val="en-MY"/>
        </w:rPr>
        <w:t xml:space="preserve"> had about 61- </w:t>
      </w:r>
      <w:r w:rsidRPr="00DC4DEC">
        <w:rPr>
          <w:rFonts w:ascii="Times New Roman" w:hAnsi="Times New Roman"/>
          <w:color w:val="000000"/>
          <w:sz w:val="20"/>
          <w:szCs w:val="20"/>
          <w:lang w:val="en-MY"/>
        </w:rPr>
        <w:t>68</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decreased in capability to reduce external mediator, hexacyanidoferrate (III) [Fe(CN)</w:t>
      </w:r>
      <w:r w:rsidRPr="00DC4DEC">
        <w:rPr>
          <w:rFonts w:ascii="Times New Roman" w:hAnsi="Times New Roman"/>
          <w:color w:val="000000"/>
          <w:sz w:val="20"/>
          <w:szCs w:val="20"/>
          <w:vertAlign w:val="subscript"/>
          <w:lang w:val="en-MY"/>
        </w:rPr>
        <w:t>6</w:t>
      </w:r>
      <w:r w:rsidRPr="00DC4DEC">
        <w:rPr>
          <w:rFonts w:ascii="Times New Roman" w:hAnsi="Times New Roman"/>
          <w:color w:val="000000"/>
          <w:sz w:val="20"/>
          <w:szCs w:val="20"/>
          <w:lang w:val="en-MY"/>
        </w:rPr>
        <w:t>]</w:t>
      </w:r>
      <w:r w:rsidRPr="00DC4DEC">
        <w:rPr>
          <w:rFonts w:ascii="Times New Roman" w:hAnsi="Times New Roman"/>
          <w:color w:val="000000"/>
          <w:sz w:val="20"/>
          <w:szCs w:val="20"/>
          <w:vertAlign w:val="superscript"/>
          <w:lang w:val="en-MY"/>
        </w:rPr>
        <w:t>3-</w:t>
      </w:r>
      <w:r w:rsidRPr="00DC4DEC">
        <w:rPr>
          <w:rFonts w:ascii="Times New Roman" w:hAnsi="Times New Roman"/>
          <w:color w:val="000000"/>
          <w:sz w:val="20"/>
          <w:szCs w:val="20"/>
          <w:lang w:val="en-MY"/>
        </w:rPr>
        <w:t xml:space="preserve"> in anaerobic MFC when oxygen is presence. In the case of </w:t>
      </w:r>
      <w:r w:rsidRPr="00DC4DEC">
        <w:rPr>
          <w:rFonts w:ascii="Times New Roman" w:hAnsi="Times New Roman"/>
          <w:sz w:val="20"/>
          <w:szCs w:val="20"/>
        </w:rPr>
        <w:t>mixed culture</w:t>
      </w:r>
      <w:r w:rsidRPr="00DC4DEC">
        <w:rPr>
          <w:rFonts w:ascii="Times New Roman" w:hAnsi="Times New Roman"/>
          <w:color w:val="000000"/>
          <w:sz w:val="20"/>
          <w:szCs w:val="20"/>
          <w:lang w:val="en-MY"/>
        </w:rPr>
        <w:t xml:space="preserve">, Liu et al. </w:t>
      </w:r>
      <w:r w:rsidRPr="00DC4DEC">
        <w:rPr>
          <w:rFonts w:ascii="Times New Roman" w:hAnsi="Times New Roman"/>
          <w:color w:val="000000"/>
          <w:sz w:val="20"/>
          <w:szCs w:val="20"/>
          <w:lang w:val="en-MY"/>
        </w:rPr>
        <w:fldChar w:fldCharType="begin"/>
      </w:r>
      <w:r>
        <w:rPr>
          <w:rFonts w:ascii="Times New Roman" w:hAnsi="Times New Roman"/>
          <w:color w:val="000000"/>
          <w:sz w:val="20"/>
          <w:szCs w:val="20"/>
          <w:lang w:val="en-MY"/>
        </w:rPr>
        <w:instrText xml:space="preserve"> ADDIN EN.CITE &lt;EndNote&gt;&lt;Cite&gt;&lt;Author&gt;Liu&lt;/Author&gt;&lt;Year&gt;2005&lt;/Year&gt;&lt;RecNum&gt;461&lt;/RecNum&gt;&lt;DisplayText&gt;[5]&lt;/DisplayText&gt;&lt;record&gt;&lt;rec-number&gt;461&lt;/rec-number&gt;&lt;foreign-keys&gt;&lt;key app="EN" db-id="pev00ptf6vtps6eafrqvzezz9dd2pprw2s2v" timestamp="0"&gt;461&lt;/key&gt;&lt;/foreign-keys&gt;&lt;ref-type name="Journal Article"&gt;17&lt;/ref-type&gt;&lt;contributors&gt;&lt;authors&gt;&lt;author&gt;Liu, Hong&lt;/author&gt;&lt;author&gt;Cheng, Shaoan&lt;/author&gt;&lt;author&gt;Logan, Bruce E.&lt;/author&gt;&lt;/authors&gt;&lt;/contributors&gt;&lt;titles&gt;&lt;title&gt;Production of electricity from acetate or butyrate using a single-chamber microbial fuel cell&lt;/title&gt;&lt;secondary-title&gt;Environmental Science &amp;amp; Technology&lt;/secondary-title&gt;&lt;/titles&gt;&lt;periodical&gt;&lt;full-title&gt;Environmental Science &amp;amp; Technology&lt;/full-title&gt;&lt;/periodical&gt;&lt;pages&gt;658-662&lt;/pages&gt;&lt;volume&gt;39&lt;/volume&gt;&lt;number&gt;2&lt;/number&gt;&lt;dates&gt;&lt;year&gt;2005&lt;/year&gt;&lt;pub-dates&gt;&lt;date&gt;2005/01/01&lt;/date&gt;&lt;/pub-dates&gt;&lt;/dates&gt;&lt;publisher&gt;American Chemical Society&lt;/publisher&gt;&lt;isbn&gt;0013-936X&lt;/isbn&gt;&lt;work-type&gt;doi: 10.1021/es048927c&lt;/work-type&gt;&lt;urls&gt;&lt;related-urls&gt;&lt;url&gt;http://dx.doi.org/10.1021/es048927c&lt;/url&gt;&lt;/related-urls&gt;&lt;/urls&gt;&lt;electronic-resource-num&gt;10.1021/es048927c&lt;/electronic-resource-num&gt;&lt;access-date&gt;2011/11/02&lt;/access-date&gt;&lt;/record&gt;&lt;/Cite&gt;&lt;/EndNote&gt;</w:instrText>
      </w:r>
      <w:r w:rsidRPr="00DC4DEC">
        <w:rPr>
          <w:rFonts w:ascii="Times New Roman" w:hAnsi="Times New Roman"/>
          <w:color w:val="000000"/>
          <w:sz w:val="20"/>
          <w:szCs w:val="20"/>
          <w:lang w:val="en-MY"/>
        </w:rPr>
        <w:fldChar w:fldCharType="separate"/>
      </w:r>
      <w:r>
        <w:rPr>
          <w:rFonts w:ascii="Times New Roman" w:hAnsi="Times New Roman"/>
          <w:noProof/>
          <w:color w:val="000000"/>
          <w:sz w:val="20"/>
          <w:szCs w:val="20"/>
          <w:lang w:val="en-MY"/>
        </w:rPr>
        <w:t>[5]</w:t>
      </w:r>
      <w:r w:rsidRPr="00DC4DEC">
        <w:rPr>
          <w:rFonts w:ascii="Times New Roman" w:hAnsi="Times New Roman"/>
          <w:color w:val="000000"/>
          <w:sz w:val="20"/>
          <w:szCs w:val="20"/>
          <w:lang w:val="en-MY"/>
        </w:rPr>
        <w:fldChar w:fldCharType="end"/>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found that the diffusion of oxygen to the anolyte from the </w:t>
      </w:r>
      <w:r w:rsidRPr="00DC4DEC">
        <w:rPr>
          <w:rFonts w:ascii="Times New Roman" w:hAnsi="Times New Roman"/>
          <w:sz w:val="20"/>
          <w:szCs w:val="20"/>
        </w:rPr>
        <w:t>catholyte</w:t>
      </w:r>
      <w:r w:rsidRPr="00DC4DEC">
        <w:rPr>
          <w:rFonts w:ascii="Times New Roman" w:hAnsi="Times New Roman"/>
          <w:color w:val="000000"/>
          <w:sz w:val="20"/>
          <w:szCs w:val="20"/>
          <w:lang w:val="en-MY"/>
        </w:rPr>
        <w:t xml:space="preserve"> would lead to 21- 50</w:t>
      </w:r>
      <w:r>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 loss of substrate to aerobic oxidation by bacteria, which translates as the loss of generated electricity through the MFC. </w:t>
      </w:r>
    </w:p>
    <w:p w:rsidR="00D01991" w:rsidRDefault="00D01991" w:rsidP="00D01991">
      <w:pPr>
        <w:autoSpaceDE w:val="0"/>
        <w:autoSpaceDN w:val="0"/>
        <w:adjustRightInd w:val="0"/>
        <w:spacing w:after="0" w:line="240" w:lineRule="auto"/>
        <w:jc w:val="both"/>
        <w:rPr>
          <w:rFonts w:ascii="Times New Roman" w:hAnsi="Times New Roman"/>
          <w:color w:val="000000"/>
          <w:sz w:val="20"/>
          <w:szCs w:val="20"/>
          <w:lang w:val="en-MY"/>
        </w:rPr>
      </w:pPr>
    </w:p>
    <w:p w:rsidR="00D01991" w:rsidRDefault="00D01991" w:rsidP="00D01991">
      <w:pPr>
        <w:autoSpaceDE w:val="0"/>
        <w:autoSpaceDN w:val="0"/>
        <w:adjustRightInd w:val="0"/>
        <w:spacing w:after="0" w:line="240" w:lineRule="auto"/>
        <w:jc w:val="both"/>
        <w:rPr>
          <w:rFonts w:ascii="Times New Roman" w:hAnsi="Times New Roman"/>
          <w:sz w:val="20"/>
          <w:szCs w:val="20"/>
          <w:lang w:val="en-MY"/>
        </w:rPr>
      </w:pPr>
      <w:r w:rsidRPr="00DC4DEC">
        <w:rPr>
          <w:rFonts w:ascii="Times New Roman" w:hAnsi="Times New Roman"/>
          <w:color w:val="000000"/>
          <w:sz w:val="20"/>
          <w:szCs w:val="20"/>
          <w:lang w:val="en-MY"/>
        </w:rPr>
        <w:t xml:space="preserve">A more detail work was done by Li et al.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[3]</w:t>
      </w:r>
      <w:r w:rsidRPr="00DC4DEC">
        <w:rPr>
          <w:rFonts w:ascii="Times New Roman" w:hAnsi="Times New Roman"/>
          <w:sz w:val="20"/>
          <w:szCs w:val="20"/>
          <w:lang w:val="en-MY"/>
        </w:rPr>
        <w:fldChar w:fldCharType="end"/>
      </w:r>
      <w:r w:rsidRPr="00DC4DEC" w:rsidDel="002D639B">
        <w:rPr>
          <w:rFonts w:ascii="Times New Roman" w:hAnsi="Times New Roman"/>
          <w:color w:val="000000"/>
          <w:sz w:val="20"/>
          <w:szCs w:val="20"/>
          <w:lang w:val="en-MY"/>
        </w:rPr>
        <w:t xml:space="preserve"> </w:t>
      </w:r>
      <w:r w:rsidRPr="00DC4DEC">
        <w:rPr>
          <w:rFonts w:ascii="Times New Roman" w:hAnsi="Times New Roman"/>
          <w:color w:val="000000"/>
          <w:sz w:val="20"/>
          <w:szCs w:val="20"/>
          <w:lang w:val="en-MY"/>
        </w:rPr>
        <w:t xml:space="preserve">on the response of </w:t>
      </w:r>
      <w:r w:rsidRPr="00DC4DEC">
        <w:rPr>
          <w:rFonts w:ascii="Times New Roman" w:hAnsi="Times New Roman"/>
          <w:i/>
          <w:sz w:val="20"/>
          <w:szCs w:val="20"/>
          <w:lang w:val="en-MY"/>
        </w:rPr>
        <w:t xml:space="preserve">Shewanella decolorationis </w:t>
      </w:r>
      <w:r w:rsidRPr="00DC4DEC">
        <w:rPr>
          <w:rFonts w:ascii="Times New Roman" w:hAnsi="Times New Roman"/>
          <w:sz w:val="20"/>
          <w:szCs w:val="20"/>
          <w:lang w:val="en-MY"/>
        </w:rPr>
        <w:t xml:space="preserve">with oxygen  within six days of changing the flowing of argon gas and air into the MFCs to create alternate condition of aerobic and anaerobic. They discovered that in contact with oxygen, </w:t>
      </w:r>
      <w:r w:rsidRPr="00DC4DEC">
        <w:rPr>
          <w:rFonts w:ascii="Times New Roman" w:hAnsi="Times New Roman"/>
          <w:i/>
          <w:sz w:val="20"/>
          <w:szCs w:val="20"/>
          <w:lang w:val="en-MY"/>
        </w:rPr>
        <w:t>S. decolorationis</w:t>
      </w:r>
      <w:r w:rsidRPr="00DC4DEC">
        <w:rPr>
          <w:rFonts w:ascii="Times New Roman" w:hAnsi="Times New Roman"/>
          <w:sz w:val="20"/>
          <w:szCs w:val="20"/>
          <w:lang w:val="en-MY"/>
        </w:rPr>
        <w:t xml:space="preserve"> </w:t>
      </w:r>
      <w:r w:rsidRPr="00DC4DEC">
        <w:rPr>
          <w:rFonts w:ascii="Times New Roman" w:hAnsi="Times New Roman"/>
          <w:sz w:val="20"/>
          <w:szCs w:val="20"/>
        </w:rPr>
        <w:t>reduced more NAD to NADH</w:t>
      </w:r>
      <w:r w:rsidRPr="00DC4DEC">
        <w:rPr>
          <w:rFonts w:ascii="Times New Roman" w:hAnsi="Times New Roman"/>
          <w:sz w:val="20"/>
          <w:szCs w:val="20"/>
          <w:lang w:val="en-MY"/>
        </w:rPr>
        <w:t xml:space="preserve">, which in turns increase in charge production. However, the dissolved oxygen (DO) in the anolyte increased aerobic respiration and biomass production that leads to current reduction in MFCs. There are not many studies reported on aerobic effect towards the anodic biofilm of MFCs </w:t>
      </w:r>
      <w:r w:rsidRPr="00DC4DEC">
        <w:rPr>
          <w:rFonts w:ascii="Times New Roman" w:hAnsi="Times New Roman"/>
          <w:sz w:val="20"/>
          <w:szCs w:val="20"/>
          <w:lang w:val="en-MY"/>
        </w:rPr>
        <w:fldChar w:fldCharType="begin"/>
      </w:r>
      <w:r>
        <w:rPr>
          <w:rFonts w:ascii="Times New Roman" w:hAnsi="Times New Roman"/>
          <w:sz w:val="20"/>
          <w:szCs w:val="20"/>
          <w:lang w:val="en-MY"/>
        </w:rPr>
        <w:instrText xml:space="preserve"> ADDIN EN.CITE &lt;EndNote&gt;&lt;Cite&gt;&lt;Author&gt;Venkata Mohan&lt;/Author&gt;&lt;Year&gt;2014&lt;/Year&gt;&lt;RecNum&gt;764&lt;/RecNum&gt;&lt;DisplayText&gt;[9]&lt;/DisplayText&gt;&lt;record&gt;&lt;rec-number&gt;764&lt;/rec-number&gt;&lt;foreign-keys&gt;&lt;key app="EN" db-id="pev00ptf6vtps6eafrqvzezz9dd2pprw2s2v" timestamp="0"&gt;764&lt;/key&gt;&lt;/foreign-keys&gt;&lt;ref-type name="Journal Article"&gt;17&lt;/ref-type&gt;&lt;contributors&gt;&lt;authors&gt;&lt;author&gt;Venkata Mohan, S.&lt;/author&gt;&lt;author&gt;Velvizhi, G.&lt;/author&gt;&lt;author&gt;Annie Modestra, J.&lt;/author&gt;&lt;author&gt;Srikanth, S.&lt;/author&gt;&lt;/authors&gt;&lt;/contributors&gt;&lt;titles&gt;&lt;title&gt;Microbial fuel cell: Critical factors regulating bio-catalyzed electrochemical process and recent advancements&lt;/title&gt;&lt;secondary-title&gt;Renewable and Sustainable Energy Reviews&lt;/secondary-title&gt;&lt;/titles&gt;&lt;pages&gt;779-797&lt;/pages&gt;&lt;volume&gt;40&lt;/volume&gt;&lt;number&gt;0&lt;/number&gt;&lt;keywords&gt;&lt;keyword&gt;Bioenergy&lt;/keyword&gt;&lt;keyword&gt;Bioelectricity&lt;/keyword&gt;&lt;keyword&gt;Bioelectrochemical System (BES)&lt;/keyword&gt;&lt;keyword&gt;Wastewater treatment&lt;/keyword&gt;&lt;keyword&gt;Electron transfer&lt;/keyword&gt;&lt;/keywords&gt;&lt;dates&gt;&lt;year&gt;2014&lt;/year&gt;&lt;/dates&gt;&lt;isbn&gt;1364-0321&lt;/isbn&gt;&lt;urls&gt;&lt;related-urls&gt;&lt;url&gt;http://www.sciencedirect.com/science/article/pii/S1364032114005619&lt;/url&gt;&lt;/related-urls&gt;&lt;/urls&gt;&lt;electronic-resource-num&gt;http://dx.doi.org/10.1016/j.rser.2014.07.109&lt;/electronic-resource-num&gt;&lt;/record&gt;&lt;/Cite&gt;&lt;/EndNote&gt;</w:instrText>
      </w:r>
      <w:r w:rsidRPr="00DC4DEC">
        <w:rPr>
          <w:rFonts w:ascii="Times New Roman" w:hAnsi="Times New Roman"/>
          <w:sz w:val="20"/>
          <w:szCs w:val="20"/>
          <w:lang w:val="en-MY"/>
        </w:rPr>
        <w:fldChar w:fldCharType="separate"/>
      </w:r>
      <w:r>
        <w:rPr>
          <w:rFonts w:ascii="Times New Roman" w:hAnsi="Times New Roman"/>
          <w:noProof/>
          <w:sz w:val="20"/>
          <w:szCs w:val="20"/>
          <w:lang w:val="en-MY"/>
        </w:rPr>
        <w:t>[9]</w:t>
      </w:r>
      <w:r w:rsidRPr="00DC4DEC">
        <w:rPr>
          <w:rFonts w:ascii="Times New Roman" w:hAnsi="Times New Roman"/>
          <w:sz w:val="20"/>
          <w:szCs w:val="20"/>
          <w:lang w:val="en-MY"/>
        </w:rPr>
        <w:fldChar w:fldCharType="end"/>
      </w:r>
      <w:r w:rsidRPr="00DC4DEC">
        <w:rPr>
          <w:rFonts w:ascii="Times New Roman" w:hAnsi="Times New Roman"/>
          <w:sz w:val="20"/>
          <w:szCs w:val="20"/>
          <w:lang w:val="en-MY"/>
        </w:rPr>
        <w:t xml:space="preserve">. Though available findings pointed out the short term adverse effect of oxygen on generation of current by bacteria in MFCs, to our knowledge there are no reports that show long term oxygen exposure on anolyte in MFC. </w:t>
      </w:r>
    </w:p>
    <w:p w:rsidR="00D01991" w:rsidRDefault="00D01991" w:rsidP="00D01991">
      <w:pPr>
        <w:autoSpaceDE w:val="0"/>
        <w:autoSpaceDN w:val="0"/>
        <w:adjustRightInd w:val="0"/>
        <w:spacing w:after="0" w:line="240" w:lineRule="auto"/>
        <w:jc w:val="both"/>
        <w:rPr>
          <w:rFonts w:ascii="Times New Roman" w:hAnsi="Times New Roman"/>
          <w:sz w:val="20"/>
          <w:szCs w:val="20"/>
          <w:lang w:val="en-MY"/>
        </w:rPr>
      </w:pPr>
    </w:p>
    <w:p w:rsidR="00D01991" w:rsidRPr="00522B4B" w:rsidRDefault="00D01991" w:rsidP="00D01991">
      <w:pPr>
        <w:autoSpaceDE w:val="0"/>
        <w:autoSpaceDN w:val="0"/>
        <w:adjustRightInd w:val="0"/>
        <w:spacing w:after="0" w:line="240" w:lineRule="auto"/>
        <w:jc w:val="both"/>
        <w:rPr>
          <w:rFonts w:ascii="Times New Roman" w:hAnsi="Times New Roman"/>
          <w:color w:val="000000"/>
          <w:sz w:val="20"/>
          <w:szCs w:val="20"/>
          <w:lang w:val="en-MY"/>
        </w:rPr>
      </w:pPr>
      <w:r w:rsidRPr="00DC4DEC">
        <w:rPr>
          <w:rFonts w:ascii="Times New Roman" w:hAnsi="Times New Roman"/>
          <w:sz w:val="20"/>
          <w:szCs w:val="20"/>
          <w:lang w:val="en-MY"/>
        </w:rPr>
        <w:t xml:space="preserve">Therefore, this study aims to analyse the effect of long-duration exposure towards oxygen on the electrochemical performance of enriched multi-cultured bacteria in MFCs. In this work, effluent from </w:t>
      </w:r>
      <w:r w:rsidRPr="00DC4DEC">
        <w:rPr>
          <w:rFonts w:ascii="Times New Roman" w:hAnsi="Times New Roman"/>
          <w:sz w:val="20"/>
          <w:szCs w:val="20"/>
        </w:rPr>
        <w:t>an air-cathode MFC operated for about eight months was used</w:t>
      </w:r>
      <w:r w:rsidRPr="00DC4DEC">
        <w:rPr>
          <w:rFonts w:ascii="Times New Roman" w:hAnsi="Times New Roman"/>
          <w:sz w:val="20"/>
          <w:szCs w:val="20"/>
          <w:lang w:val="en-MY"/>
        </w:rPr>
        <w:t xml:space="preserve"> as inocula for aerobic and anaerobic MFCs. After 30 days, the conditions of the system were changed by swapping between the nitrogen and air. This turned the aerobic into anaerobic and anaerobic into aerobic and were let to acclimatize in their new condition for 11 days. The electrochemical performance of the MFCs before and after the gas swapping were compared in view of maximum power density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current density (</w:t>
      </w:r>
      <w:r w:rsidRPr="00DC4DEC">
        <w:rPr>
          <w:rFonts w:ascii="Times New Roman" w:hAnsi="Times New Roman"/>
          <w:i/>
          <w:sz w:val="20"/>
          <w:szCs w:val="20"/>
          <w:lang w:val="en-MY"/>
        </w:rPr>
        <w:t>I</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at </w:t>
      </w:r>
      <w:r w:rsidRPr="00DC4DEC">
        <w:rPr>
          <w:rFonts w:ascii="Times New Roman" w:hAnsi="Times New Roman"/>
          <w:i/>
          <w:sz w:val="20"/>
          <w:szCs w:val="20"/>
          <w:lang w:val="en-MY"/>
        </w:rPr>
        <w:t>P</w:t>
      </w:r>
      <w:r w:rsidRPr="00DC4DEC">
        <w:rPr>
          <w:rFonts w:ascii="Times New Roman" w:hAnsi="Times New Roman"/>
          <w:i/>
          <w:sz w:val="20"/>
          <w:szCs w:val="20"/>
          <w:vertAlign w:val="subscript"/>
          <w:lang w:val="en-MY"/>
        </w:rPr>
        <w:t>max</w:t>
      </w:r>
      <w:r w:rsidRPr="00DC4DEC">
        <w:rPr>
          <w:rFonts w:ascii="Times New Roman" w:hAnsi="Times New Roman"/>
          <w:sz w:val="20"/>
          <w:szCs w:val="20"/>
          <w:lang w:val="en-MY"/>
        </w:rPr>
        <w:t xml:space="preserve"> and internal resistance (</w:t>
      </w:r>
      <w:r w:rsidRPr="00DC4DEC">
        <w:rPr>
          <w:rFonts w:ascii="Times New Roman" w:hAnsi="Times New Roman"/>
          <w:i/>
          <w:sz w:val="20"/>
          <w:szCs w:val="20"/>
          <w:lang w:val="en-MY"/>
        </w:rPr>
        <w:t>R</w:t>
      </w:r>
      <w:r w:rsidRPr="00DC4DEC">
        <w:rPr>
          <w:rFonts w:ascii="Times New Roman" w:hAnsi="Times New Roman"/>
          <w:i/>
          <w:sz w:val="20"/>
          <w:szCs w:val="20"/>
          <w:vertAlign w:val="subscript"/>
          <w:lang w:val="en-MY"/>
        </w:rPr>
        <w:t>int</w:t>
      </w:r>
      <w:r w:rsidRPr="00DC4DEC">
        <w:rPr>
          <w:rFonts w:ascii="Times New Roman" w:hAnsi="Times New Roman"/>
          <w:sz w:val="20"/>
          <w:szCs w:val="20"/>
          <w:lang w:val="en-MY"/>
        </w:rPr>
        <w:t xml:space="preserve">) accomplished within the systems. </w:t>
      </w:r>
    </w:p>
    <w:p w:rsidR="00D01991" w:rsidRPr="00F447A7" w:rsidRDefault="00D01991" w:rsidP="00D01991">
      <w:pPr>
        <w:spacing w:after="0" w:line="240" w:lineRule="auto"/>
        <w:jc w:val="center"/>
        <w:rPr>
          <w:rFonts w:ascii="Times New Roman" w:hAnsi="Times New Roman"/>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01991" w:rsidRPr="00B261C9" w:rsidRDefault="00D01991" w:rsidP="00D01991">
      <w:pPr>
        <w:pStyle w:val="Heading3"/>
        <w:spacing w:before="0" w:line="240" w:lineRule="auto"/>
        <w:jc w:val="both"/>
        <w:rPr>
          <w:rFonts w:ascii="Times New Roman" w:hAnsi="Times New Roman"/>
          <w:b/>
          <w:i w:val="0"/>
          <w:smallCaps w:val="0"/>
          <w:sz w:val="20"/>
          <w:szCs w:val="20"/>
        </w:rPr>
      </w:pPr>
      <w:bookmarkStart w:id="1" w:name="_Toc425947358"/>
      <w:r w:rsidRPr="00B261C9">
        <w:rPr>
          <w:rFonts w:ascii="Times New Roman" w:hAnsi="Times New Roman"/>
          <w:b/>
          <w:i w:val="0"/>
          <w:smallCaps w:val="0"/>
          <w:sz w:val="20"/>
          <w:szCs w:val="20"/>
        </w:rPr>
        <w:t>Chemicals</w:t>
      </w:r>
      <w:bookmarkEnd w:id="1"/>
    </w:p>
    <w:p w:rsidR="00D01991" w:rsidRPr="00B261C9" w:rsidRDefault="00D01991" w:rsidP="00D01991">
      <w:pPr>
        <w:pStyle w:val="Default"/>
        <w:jc w:val="both"/>
        <w:rPr>
          <w:rFonts w:ascii="Times New Roman" w:hAnsi="Times New Roman" w:cs="Times New Roman"/>
          <w:sz w:val="20"/>
          <w:szCs w:val="20"/>
        </w:rPr>
      </w:pPr>
      <w:r w:rsidRPr="00B261C9">
        <w:rPr>
          <w:rFonts w:ascii="Times New Roman" w:hAnsi="Times New Roman" w:cs="Times New Roman"/>
          <w:sz w:val="20"/>
          <w:szCs w:val="20"/>
        </w:rPr>
        <w:t>Chemicals were of analytical grade. Peptone was purchased from Merck (Darmstadt, Germany). Yeast extract was purchased from Scharlau (Barcelona, Spain). Ammonium chloride (NH</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Cl) and sodium acetate anhydrous (CH</w:t>
      </w:r>
      <w:r w:rsidRPr="00B261C9">
        <w:rPr>
          <w:rFonts w:ascii="Times New Roman" w:hAnsi="Times New Roman" w:cs="Times New Roman"/>
          <w:sz w:val="20"/>
          <w:szCs w:val="20"/>
          <w:vertAlign w:val="subscript"/>
        </w:rPr>
        <w:t>3</w:t>
      </w:r>
      <w:r w:rsidRPr="00B261C9">
        <w:rPr>
          <w:rFonts w:ascii="Times New Roman" w:hAnsi="Times New Roman" w:cs="Times New Roman"/>
          <w:sz w:val="20"/>
          <w:szCs w:val="20"/>
        </w:rPr>
        <w:t>.COONa) was purchased from AnalaR®, BDH Laboratory Supplies (Poole, England). Di-sodium hydrogen orthophosphate anhydrous (Na</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HPO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 and potassium chloride (KCl) were purchased from Fisher Scientific UK Ltd. (Leicestershire, UK). Sodium dihydrogen orthosphosphate (NaH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PO</w:t>
      </w:r>
      <w:r w:rsidRPr="00B261C9">
        <w:rPr>
          <w:rFonts w:ascii="Times New Roman" w:hAnsi="Times New Roman" w:cs="Times New Roman"/>
          <w:sz w:val="20"/>
          <w:szCs w:val="20"/>
          <w:vertAlign w:val="subscript"/>
        </w:rPr>
        <w:t>4</w:t>
      </w:r>
      <w:r w:rsidRPr="00B261C9">
        <w:rPr>
          <w:rFonts w:ascii="Times New Roman" w:hAnsi="Times New Roman" w:cs="Times New Roman"/>
          <w:sz w:val="20"/>
          <w:szCs w:val="20"/>
        </w:rPr>
        <w:t>.H</w:t>
      </w:r>
      <w:r w:rsidRPr="00B261C9">
        <w:rPr>
          <w:rFonts w:ascii="Times New Roman" w:hAnsi="Times New Roman" w:cs="Times New Roman"/>
          <w:sz w:val="20"/>
          <w:szCs w:val="20"/>
          <w:vertAlign w:val="subscript"/>
        </w:rPr>
        <w:t>2</w:t>
      </w:r>
      <w:r w:rsidRPr="00B261C9">
        <w:rPr>
          <w:rFonts w:ascii="Times New Roman" w:hAnsi="Times New Roman" w:cs="Times New Roman"/>
          <w:sz w:val="20"/>
          <w:szCs w:val="20"/>
        </w:rPr>
        <w:t>O) was purchased from LabServTM, Biolab (Aust) Ltd. (Victoria, Australia). All analytical solution was made using distilled water unless otherwise stated.</w:t>
      </w:r>
      <w:bookmarkStart w:id="2" w:name="_Toc425947359"/>
    </w:p>
    <w:p w:rsidR="00D01991" w:rsidRPr="00B261C9" w:rsidRDefault="00D01991" w:rsidP="00D01991">
      <w:pPr>
        <w:pStyle w:val="Default"/>
        <w:jc w:val="both"/>
        <w:rPr>
          <w:rFonts w:ascii="Times New Roman" w:hAnsi="Times New Roman" w:cs="Times New Roman"/>
          <w:sz w:val="20"/>
          <w:szCs w:val="20"/>
        </w:rPr>
      </w:pPr>
    </w:p>
    <w:p w:rsidR="00D01991" w:rsidRPr="00B261C9" w:rsidRDefault="00D01991" w:rsidP="00D01991">
      <w:pPr>
        <w:pStyle w:val="Default"/>
        <w:jc w:val="both"/>
        <w:rPr>
          <w:rFonts w:ascii="Times New Roman" w:hAnsi="Times New Roman" w:cs="Times New Roman"/>
          <w:b/>
          <w:bCs/>
          <w:sz w:val="20"/>
          <w:szCs w:val="20"/>
        </w:rPr>
      </w:pPr>
      <w:r w:rsidRPr="00B261C9">
        <w:rPr>
          <w:rFonts w:ascii="Times New Roman" w:hAnsi="Times New Roman" w:cs="Times New Roman"/>
          <w:b/>
          <w:bCs/>
          <w:sz w:val="20"/>
          <w:szCs w:val="20"/>
        </w:rPr>
        <w:t>Inoculum, buffers, reagents and media</w:t>
      </w:r>
      <w:bookmarkEnd w:id="2"/>
    </w:p>
    <w:p w:rsidR="00D01991" w:rsidRPr="00B261C9" w:rsidRDefault="00D01991" w:rsidP="00D01991">
      <w:pPr>
        <w:autoSpaceDE w:val="0"/>
        <w:autoSpaceDN w:val="0"/>
        <w:adjustRightInd w:val="0"/>
        <w:spacing w:after="0" w:line="240" w:lineRule="auto"/>
        <w:jc w:val="both"/>
        <w:rPr>
          <w:rFonts w:ascii="Times New Roman" w:eastAsiaTheme="minorHAnsi" w:hAnsi="Times New Roman"/>
          <w:color w:val="000000"/>
          <w:sz w:val="20"/>
          <w:szCs w:val="20"/>
          <w:lang w:val="en-MY"/>
        </w:rPr>
      </w:pPr>
      <w:r w:rsidRPr="00B261C9">
        <w:rPr>
          <w:rFonts w:ascii="Times New Roman" w:hAnsi="Times New Roman"/>
          <w:sz w:val="20"/>
          <w:szCs w:val="20"/>
        </w:rPr>
        <w:t>Effluent from an air cathode MFC inoculated with sludge collected from Bromley Wastewater treatment plant and operated about eight months using acetate as the electron donor was used to inoculate air-cathode MFCs used in this study. The basal medium was prepared by dissolving</w:t>
      </w:r>
      <w:r w:rsidRPr="00B261C9">
        <w:rPr>
          <w:rFonts w:ascii="Times New Roman" w:hAnsi="Times New Roman"/>
          <w:color w:val="000000"/>
          <w:sz w:val="20"/>
          <w:szCs w:val="20"/>
          <w:lang w:val="en-MY"/>
        </w:rPr>
        <w:t xml:space="preserve"> 0.31 g/L NH</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Cl, 3.12 g/L NaH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∙2H</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0, 4.58 g/L Na</w:t>
      </w:r>
      <w:r w:rsidRPr="00B261C9">
        <w:rPr>
          <w:rFonts w:ascii="Times New Roman" w:hAnsi="Times New Roman"/>
          <w:color w:val="000000"/>
          <w:sz w:val="20"/>
          <w:szCs w:val="20"/>
          <w:vertAlign w:val="subscript"/>
          <w:lang w:val="en-MY"/>
        </w:rPr>
        <w:t>2</w:t>
      </w:r>
      <w:r w:rsidRPr="00B261C9">
        <w:rPr>
          <w:rFonts w:ascii="Times New Roman" w:hAnsi="Times New Roman"/>
          <w:color w:val="000000"/>
          <w:sz w:val="20"/>
          <w:szCs w:val="20"/>
          <w:lang w:val="en-MY"/>
        </w:rPr>
        <w:t>HPO</w:t>
      </w:r>
      <w:r w:rsidRPr="00B261C9">
        <w:rPr>
          <w:rFonts w:ascii="Times New Roman" w:hAnsi="Times New Roman"/>
          <w:color w:val="000000"/>
          <w:sz w:val="20"/>
          <w:szCs w:val="20"/>
          <w:vertAlign w:val="subscript"/>
          <w:lang w:val="en-MY"/>
        </w:rPr>
        <w:t>4</w:t>
      </w:r>
      <w:r w:rsidRPr="00B261C9">
        <w:rPr>
          <w:rFonts w:ascii="Times New Roman" w:hAnsi="Times New Roman"/>
          <w:color w:val="000000"/>
          <w:sz w:val="20"/>
          <w:szCs w:val="20"/>
          <w:lang w:val="en-MY"/>
        </w:rPr>
        <w:t xml:space="preserve">, and 0.13 g/L KCl </w:t>
      </w:r>
      <w:r w:rsidRPr="00B261C9">
        <w:rPr>
          <w:rFonts w:ascii="Times New Roman" w:hAnsi="Times New Roman"/>
          <w:sz w:val="20"/>
          <w:szCs w:val="20"/>
        </w:rPr>
        <w:t>in phosphate buffer (50 mM, pH 7.0)</w:t>
      </w:r>
      <w:r w:rsidRPr="00B261C9">
        <w:rPr>
          <w:rFonts w:ascii="Times New Roman" w:hAnsi="Times New Roman"/>
          <w:color w:val="000000"/>
          <w:sz w:val="20"/>
          <w:szCs w:val="20"/>
          <w:lang w:val="en-MY"/>
        </w:rPr>
        <w:t xml:space="preserve"> </w:t>
      </w:r>
      <w:r w:rsidRPr="00B261C9">
        <w:rPr>
          <w:rFonts w:ascii="Times New Roman" w:hAnsi="Times New Roman"/>
          <w:color w:val="000000"/>
          <w:sz w:val="20"/>
          <w:szCs w:val="20"/>
          <w:lang w:val="en-MY"/>
        </w:rPr>
        <w:fldChar w:fldCharType="begin"/>
      </w:r>
      <w:r w:rsidRPr="00B261C9">
        <w:rPr>
          <w:rFonts w:ascii="Times New Roman" w:hAnsi="Times New Roman"/>
          <w:color w:val="000000"/>
          <w:sz w:val="20"/>
          <w:szCs w:val="20"/>
          <w:lang w:val="en-MY"/>
        </w:rPr>
        <w:instrText xml:space="preserve"> ADDIN EN.CITE &lt;EndNote&gt;&lt;Cite&gt;&lt;Author&gt;Kim&lt;/Author&gt;&lt;Year&gt;2005&lt;/Year&gt;&lt;RecNum&gt;444&lt;/RecNum&gt;&lt;DisplayText&gt;[10, 11]&lt;/DisplayText&gt;&lt;record&gt;&lt;rec-number&gt;444&lt;/rec-number&gt;&lt;foreign-keys&gt;&lt;key app="EN" db-id="pev00ptf6vtps6eafrqvzezz9dd2pprw2s2v" timestamp="0"&gt;444&lt;/key&gt;&lt;/foreign-keys&gt;&lt;ref-type name="Journal Article"&gt;17&lt;/ref-type&gt;&lt;contributors&gt;&lt;authors&gt;&lt;author&gt;Kim,Jung Rae &lt;/author&gt;&lt;author&gt;Min,Booki &lt;/author&gt;&lt;author&gt;Logan,Bruce E. &lt;/author&gt;&lt;/authors&gt;&lt;/contributors&gt;&lt;titles&gt;&lt;title&gt;Evaluation of procedures to acclimate a microbial fuel cell for electricity production&lt;/title&gt;&lt;secondary-title&gt;Applied Microbial Biotechnology&lt;/secondary-title&gt;&lt;/titles&gt;&lt;pages&gt;23-30&lt;/pages&gt;&lt;volume&gt;68&lt;/volume&gt;&lt;dates&gt;&lt;year&gt;2005&lt;/year&gt;&lt;/dates&gt;&lt;urls&gt;&lt;/urls&gt;&lt;/record&gt;&lt;/Cite&gt;&lt;Cite&gt;&lt;Author&gt;Rader&lt;/Author&gt;&lt;Year&gt;2010&lt;/Year&gt;&lt;RecNum&gt;252&lt;/RecNum&gt;&lt;record&gt;&lt;rec-number&gt;252&lt;/rec-number&gt;&lt;foreign-keys&gt;&lt;key app="EN" db-id="pev00ptf6vtps6eafrqvzezz9dd2pprw2s2v" timestamp="0"&gt;252&lt;/key&gt;&lt;/foreign-keys&gt;&lt;ref-type name="Journal Article"&gt;17&lt;/ref-type&gt;&lt;contributors&gt;&lt;authors&gt;&lt;author&gt;Rader, G. K.&lt;/author&gt;&lt;author&gt;Logan, B. E.&lt;/author&gt;&lt;/authors&gt;&lt;/contributors&gt;&lt;titles&gt;&lt;title&gt;Multi-electrode continuous flow microbial electrolysis cell for biogas production from acetate&lt;/title&gt;&lt;secondary-title&gt;International Journal of Hydrogen Energy&lt;/secondary-title&gt;&lt;/titles&gt;&lt;periodical&gt;&lt;full-title&gt;International Journal of Hydrogen Energy&lt;/full-title&gt;&lt;/periodical&gt;&lt;pages&gt;8848-8854&lt;/pages&gt;&lt;volume&gt;35&lt;/volume&gt;&lt;number&gt;17&lt;/number&gt;&lt;dates&gt;&lt;year&gt;2010&lt;/year&gt;&lt;/dates&gt;&lt;isbn&gt;0360-3199&lt;/isbn&gt;&lt;accession-num&gt;WOS:000282241900003&lt;/accession-num&gt;&lt;urls&gt;&lt;related-urls&gt;&lt;url&gt;&amp;lt;Go to ISI&amp;gt;://WOS:000282241900003&lt;/url&gt;&lt;/related-urls&gt;&lt;/urls&gt;&lt;electronic-resource-num&gt;10.1016/j.ijhydene.2010.06.033&lt;/electronic-resource-num&gt;&lt;/record&gt;&lt;/Cite&gt;&lt;/EndNote&gt;</w:instrText>
      </w:r>
      <w:r w:rsidRPr="00B261C9">
        <w:rPr>
          <w:rFonts w:ascii="Times New Roman" w:hAnsi="Times New Roman"/>
          <w:color w:val="000000"/>
          <w:sz w:val="20"/>
          <w:szCs w:val="20"/>
          <w:lang w:val="en-MY"/>
        </w:rPr>
        <w:fldChar w:fldCharType="separate"/>
      </w:r>
      <w:r w:rsidRPr="00B261C9">
        <w:rPr>
          <w:rFonts w:ascii="Times New Roman" w:hAnsi="Times New Roman"/>
          <w:noProof/>
          <w:color w:val="000000"/>
          <w:sz w:val="20"/>
          <w:szCs w:val="20"/>
          <w:lang w:val="en-MY"/>
        </w:rPr>
        <w:t>[10, 11]</w:t>
      </w:r>
      <w:r w:rsidRPr="00B261C9">
        <w:rPr>
          <w:rFonts w:ascii="Times New Roman" w:hAnsi="Times New Roman"/>
          <w:color w:val="000000"/>
          <w:sz w:val="20"/>
          <w:szCs w:val="20"/>
          <w:lang w:val="en-MY"/>
        </w:rPr>
        <w:fldChar w:fldCharType="end"/>
      </w:r>
      <w:r w:rsidRPr="00B261C9">
        <w:rPr>
          <w:rFonts w:ascii="Times New Roman" w:hAnsi="Times New Roman"/>
          <w:color w:val="000000"/>
          <w:sz w:val="20"/>
          <w:szCs w:val="20"/>
          <w:lang w:val="en-MY"/>
        </w:rPr>
        <w:t xml:space="preserve">. </w:t>
      </w:r>
      <w:r w:rsidRPr="00B261C9">
        <w:rPr>
          <w:rFonts w:ascii="Times New Roman" w:hAnsi="Times New Roman"/>
          <w:sz w:val="20"/>
          <w:szCs w:val="20"/>
        </w:rPr>
        <w:t>The acetate medium was made by dissolving</w:t>
      </w:r>
      <w:r w:rsidRPr="00B261C9">
        <w:rPr>
          <w:rFonts w:ascii="Times New Roman" w:hAnsi="Times New Roman"/>
          <w:color w:val="000000"/>
          <w:sz w:val="20"/>
          <w:szCs w:val="20"/>
          <w:lang w:val="en-MY"/>
        </w:rPr>
        <w:t xml:space="preserve"> </w:t>
      </w:r>
      <w:r w:rsidRPr="00B261C9">
        <w:rPr>
          <w:rFonts w:ascii="Times New Roman" w:eastAsiaTheme="minorHAnsi" w:hAnsi="Times New Roman"/>
          <w:color w:val="000000"/>
          <w:sz w:val="20"/>
          <w:szCs w:val="20"/>
          <w:lang w:val="en-MY"/>
        </w:rPr>
        <w:t>1 g/ L CH</w:t>
      </w:r>
      <w:r w:rsidRPr="00B261C9">
        <w:rPr>
          <w:rFonts w:ascii="Times New Roman" w:eastAsiaTheme="minorHAnsi" w:hAnsi="Times New Roman"/>
          <w:color w:val="000000"/>
          <w:sz w:val="20"/>
          <w:szCs w:val="20"/>
          <w:vertAlign w:val="subscript"/>
          <w:lang w:val="en-MY"/>
        </w:rPr>
        <w:t>3</w:t>
      </w:r>
      <w:r w:rsidRPr="00B261C9">
        <w:rPr>
          <w:rFonts w:ascii="Times New Roman" w:eastAsiaTheme="minorHAnsi" w:hAnsi="Times New Roman"/>
          <w:color w:val="000000"/>
          <w:sz w:val="20"/>
          <w:szCs w:val="20"/>
          <w:lang w:val="en-MY"/>
        </w:rPr>
        <w:t xml:space="preserve"> COONa, 1 g/ L peptone of casein and 2 g/ L yeast extract  </w:t>
      </w:r>
      <w:r w:rsidRPr="00B261C9">
        <w:rPr>
          <w:rFonts w:ascii="Times New Roman" w:hAnsi="Times New Roman"/>
          <w:sz w:val="20"/>
          <w:szCs w:val="20"/>
        </w:rPr>
        <w:t>in the basal medium</w:t>
      </w:r>
      <w:r w:rsidRPr="00B261C9">
        <w:rPr>
          <w:rFonts w:ascii="Times New Roman" w:eastAsiaTheme="minorHAnsi" w:hAnsi="Times New Roman"/>
          <w:color w:val="000000"/>
          <w:sz w:val="20"/>
          <w:szCs w:val="20"/>
          <w:lang w:val="en-MY"/>
        </w:rPr>
        <w:t xml:space="preserve"> </w:t>
      </w:r>
      <w:r w:rsidRPr="00B261C9">
        <w:rPr>
          <w:rFonts w:ascii="Times New Roman" w:eastAsiaTheme="minorHAnsi" w:hAnsi="Times New Roman"/>
          <w:color w:val="000000"/>
          <w:sz w:val="20"/>
          <w:szCs w:val="20"/>
          <w:lang w:val="en-MY"/>
        </w:rPr>
        <w:fldChar w:fldCharType="begin"/>
      </w:r>
      <w:r w:rsidRPr="00B261C9">
        <w:rPr>
          <w:rFonts w:ascii="Times New Roman" w:eastAsiaTheme="minorHAnsi" w:hAnsi="Times New Roman"/>
          <w:color w:val="000000"/>
          <w:sz w:val="20"/>
          <w:szCs w:val="20"/>
          <w:lang w:val="en-MY"/>
        </w:rPr>
        <w:instrText xml:space="preserve"> ADDIN EN.CITE &lt;EndNote&gt;&lt;Cite&gt;&lt;Author&gt;Atlas&lt;/Author&gt;&lt;Year&gt;2005&lt;/Year&gt;&lt;RecNum&gt;889&lt;/RecNum&gt;&lt;DisplayText&gt;[12]&lt;/DisplayText&gt;&lt;record&gt;&lt;rec-number&gt;889&lt;/rec-number&gt;&lt;foreign-keys&gt;&lt;key app="EN" db-id="pev00ptf6vtps6eafrqvzezz9dd2pprw2s2v" timestamp="1433210294"&gt;889&lt;/key&gt;&lt;/foreign-keys&gt;&lt;ref-type name="Book"&gt;6&lt;/ref-type&gt;&lt;contributors&gt;&lt;authors&gt;&lt;author&gt;Atlas, Ronald M.&lt;/author&gt;&lt;/authors&gt;&lt;/contributors&gt;&lt;titles&gt;&lt;title&gt;Handbook of microbiological media&lt;/title&gt;&lt;secondary-title&gt;Acetate agar&lt;/secondary-title&gt;&lt;/titles&gt;&lt;edition&gt;Second Edition&lt;/edition&gt;&lt;section&gt;23&lt;/section&gt;&lt;dates&gt;&lt;year&gt;2005&lt;/year&gt;&lt;/dates&gt;&lt;pub-location&gt;Fluorida&lt;/pub-location&gt;&lt;publisher&gt;Taylor &amp;amp; Francis Group&lt;/publisher&gt;&lt;urls&gt;&lt;related-urls&gt;&lt;url&gt;http://www.scribd.com/doc/63966324/Atlas-Handbook-of-Media-for-Environmental-Microbiology-2nd-Ed#scribd&lt;/url&gt;&lt;/related-urls&gt;&lt;/urls&gt;&lt;/record&gt;&lt;/Cite&gt;&lt;/EndNote&gt;</w:instrText>
      </w:r>
      <w:r w:rsidRPr="00B261C9">
        <w:rPr>
          <w:rFonts w:ascii="Times New Roman" w:eastAsiaTheme="minorHAnsi" w:hAnsi="Times New Roman"/>
          <w:color w:val="000000"/>
          <w:sz w:val="20"/>
          <w:szCs w:val="20"/>
          <w:lang w:val="en-MY"/>
        </w:rPr>
        <w:fldChar w:fldCharType="separate"/>
      </w:r>
      <w:r w:rsidRPr="00B261C9">
        <w:rPr>
          <w:rFonts w:ascii="Times New Roman" w:eastAsiaTheme="minorHAnsi" w:hAnsi="Times New Roman"/>
          <w:noProof/>
          <w:color w:val="000000"/>
          <w:sz w:val="20"/>
          <w:szCs w:val="20"/>
          <w:lang w:val="en-MY"/>
        </w:rPr>
        <w:t>[12]</w:t>
      </w:r>
      <w:r w:rsidRPr="00B261C9">
        <w:rPr>
          <w:rFonts w:ascii="Times New Roman" w:eastAsiaTheme="minorHAnsi" w:hAnsi="Times New Roman"/>
          <w:color w:val="000000"/>
          <w:sz w:val="20"/>
          <w:szCs w:val="20"/>
          <w:lang w:val="en-MY"/>
        </w:rPr>
        <w:fldChar w:fldCharType="end"/>
      </w:r>
      <w:r w:rsidRPr="00B261C9">
        <w:rPr>
          <w:rFonts w:ascii="Times New Roman" w:eastAsiaTheme="minorHAnsi" w:hAnsi="Times New Roman"/>
          <w:color w:val="000000"/>
          <w:sz w:val="20"/>
          <w:szCs w:val="20"/>
          <w:lang w:val="en-MY"/>
        </w:rPr>
        <w:t xml:space="preserve">. The medium was autoclaved at 121 </w:t>
      </w:r>
      <w:r w:rsidRPr="00B261C9">
        <w:rPr>
          <w:rFonts w:ascii="Times New Roman" w:eastAsiaTheme="minorHAnsi" w:hAnsi="Times New Roman"/>
          <w:color w:val="000000"/>
          <w:sz w:val="20"/>
          <w:szCs w:val="20"/>
          <w:vertAlign w:val="superscript"/>
          <w:lang w:val="en-MY"/>
        </w:rPr>
        <w:t>o</w:t>
      </w:r>
      <w:r w:rsidRPr="00B261C9">
        <w:rPr>
          <w:rFonts w:ascii="Times New Roman" w:eastAsiaTheme="minorHAnsi" w:hAnsi="Times New Roman"/>
          <w:color w:val="000000"/>
          <w:sz w:val="20"/>
          <w:szCs w:val="20"/>
          <w:lang w:val="en-MY"/>
        </w:rPr>
        <w:t>C for 15 min prior to use.</w:t>
      </w:r>
    </w:p>
    <w:p w:rsidR="00D01991" w:rsidRPr="00B261C9" w:rsidRDefault="00D01991" w:rsidP="00D01991">
      <w:pPr>
        <w:autoSpaceDE w:val="0"/>
        <w:autoSpaceDN w:val="0"/>
        <w:adjustRightInd w:val="0"/>
        <w:spacing w:after="0" w:line="240" w:lineRule="auto"/>
        <w:jc w:val="both"/>
        <w:rPr>
          <w:rFonts w:ascii="Times New Roman" w:hAnsi="Times New Roman"/>
          <w:color w:val="000000"/>
          <w:sz w:val="20"/>
          <w:szCs w:val="20"/>
          <w:lang w:val="en-MY"/>
        </w:rPr>
      </w:pPr>
    </w:p>
    <w:p w:rsidR="00D01991" w:rsidRPr="00B261C9" w:rsidRDefault="00D01991" w:rsidP="00D01991">
      <w:pPr>
        <w:pStyle w:val="Heading3"/>
        <w:spacing w:before="0" w:line="240" w:lineRule="auto"/>
        <w:jc w:val="both"/>
        <w:rPr>
          <w:rFonts w:ascii="Times New Roman" w:hAnsi="Times New Roman"/>
          <w:b/>
          <w:i w:val="0"/>
          <w:smallCaps w:val="0"/>
          <w:sz w:val="20"/>
          <w:szCs w:val="20"/>
        </w:rPr>
      </w:pPr>
      <w:bookmarkStart w:id="3" w:name="_Toc425947360"/>
      <w:r w:rsidRPr="00B261C9">
        <w:rPr>
          <w:rFonts w:ascii="Times New Roman" w:hAnsi="Times New Roman"/>
          <w:b/>
          <w:i w:val="0"/>
          <w:smallCaps w:val="0"/>
          <w:sz w:val="20"/>
          <w:szCs w:val="20"/>
        </w:rPr>
        <w:lastRenderedPageBreak/>
        <w:t>MFC air-cathode construction</w:t>
      </w:r>
      <w:bookmarkEnd w:id="3"/>
    </w:p>
    <w:p w:rsidR="00D01991" w:rsidRPr="00B261C9" w:rsidRDefault="00D01991" w:rsidP="00D01991">
      <w:pPr>
        <w:pStyle w:val="BodyText"/>
        <w:spacing w:after="0" w:line="240" w:lineRule="auto"/>
        <w:jc w:val="both"/>
        <w:rPr>
          <w:rFonts w:ascii="Times New Roman" w:hAnsi="Times New Roman"/>
          <w:sz w:val="20"/>
          <w:szCs w:val="20"/>
        </w:rPr>
      </w:pPr>
      <w:r w:rsidRPr="00B261C9">
        <w:rPr>
          <w:rFonts w:ascii="Times New Roman" w:hAnsi="Times New Roman"/>
          <w:sz w:val="20"/>
          <w:szCs w:val="20"/>
        </w:rPr>
        <w:t xml:space="preserve">The study utilized single chambered air-cathode MFCs as described in Weld &amp; Singh </w:t>
      </w:r>
      <w:r w:rsidRPr="00B261C9">
        <w:rPr>
          <w:rFonts w:ascii="Times New Roman" w:hAnsi="Times New Roman"/>
          <w:sz w:val="20"/>
          <w:szCs w:val="20"/>
        </w:rPr>
        <w:fldChar w:fldCharType="begin"/>
      </w:r>
      <w:r w:rsidRPr="00B261C9">
        <w:rPr>
          <w:rFonts w:ascii="Times New Roman" w:hAnsi="Times New Roman"/>
          <w:sz w:val="20"/>
          <w:szCs w:val="20"/>
        </w:rPr>
        <w:instrText xml:space="preserve"> ADDIN EN.CITE &lt;EndNote&gt;&lt;Cite&gt;&lt;Author&gt;Weld&lt;/Author&gt;&lt;Year&gt;2011&lt;/Year&gt;&lt;RecNum&gt;266&lt;/RecNum&gt;&lt;DisplayText&gt;[13]&lt;/DisplayText&gt;&lt;record&gt;&lt;rec-number&gt;266&lt;/rec-number&gt;&lt;foreign-keys&gt;&lt;key app="EN" db-id="pev00ptf6vtps6eafrqvzezz9dd2pprw2s2v" timestamp="0"&gt;266&lt;/key&gt;&lt;/foreign-keys&gt;&lt;ref-type name="Journal Article"&gt;17&lt;/ref-type&gt;&lt;contributors&gt;&lt;authors&gt;&lt;author&gt;Weld, Richard J.&lt;/author&gt;&lt;author&gt;Singh, Rupinder&lt;/author&gt;&lt;/authors&gt;&lt;/contributors&gt;&lt;titles&gt;&lt;title&gt;Functional stability of a hybrid anaerobic digester/microbial fuel cell system treating municipal wastewater&lt;/title&gt;&lt;secondary-title&gt;Bioresource Technology&lt;/secondary-title&gt;&lt;/titles&gt;&lt;periodical&gt;&lt;full-title&gt;Bioresource Technology&lt;/full-title&gt;&lt;/periodical&gt;&lt;pages&gt;842-847&lt;/pages&gt;&lt;volume&gt;102&lt;/volume&gt;&lt;number&gt;2&lt;/number&gt;&lt;keywords&gt;&lt;keyword&gt;MFC&lt;/keyword&gt;&lt;keyword&gt;Anaerobic&lt;/keyword&gt;&lt;keyword&gt;Wastewater&lt;/keyword&gt;&lt;keyword&gt;pH&lt;/keyword&gt;&lt;keyword&gt;Hybrid&lt;/keyword&gt;&lt;/keywords&gt;&lt;dates&gt;&lt;year&gt;2011&lt;/year&gt;&lt;/dates&gt;&lt;isbn&gt;0960-8524&lt;/isbn&gt;&lt;work-type&gt;doi: DOI: 10.1016/j.biortech.2010.09.002&lt;/work-type&gt;&lt;urls&gt;&lt;related-urls&gt;&lt;url&gt;http://www.sciencedirect.com/science/article/B6V24-50YK825-1/2/7a149994e5c6fe88f83b7042eb26192e&lt;/url&gt;&lt;/related-urls&gt;&lt;/urls&gt;&lt;/record&gt;&lt;/Cite&gt;&lt;/EndNote&gt;</w:instrText>
      </w:r>
      <w:r w:rsidRPr="00B261C9">
        <w:rPr>
          <w:rFonts w:ascii="Times New Roman" w:hAnsi="Times New Roman"/>
          <w:sz w:val="20"/>
          <w:szCs w:val="20"/>
        </w:rPr>
        <w:fldChar w:fldCharType="separate"/>
      </w:r>
      <w:r w:rsidRPr="00B261C9">
        <w:rPr>
          <w:rFonts w:ascii="Times New Roman" w:hAnsi="Times New Roman"/>
          <w:noProof/>
          <w:sz w:val="20"/>
          <w:szCs w:val="20"/>
        </w:rPr>
        <w:t>[13]</w:t>
      </w:r>
      <w:r w:rsidRPr="00B261C9">
        <w:rPr>
          <w:rFonts w:ascii="Times New Roman" w:hAnsi="Times New Roman"/>
          <w:sz w:val="20"/>
          <w:szCs w:val="20"/>
        </w:rPr>
        <w:fldChar w:fldCharType="end"/>
      </w:r>
      <w:r w:rsidRPr="00B261C9">
        <w:rPr>
          <w:rFonts w:ascii="Times New Roman" w:hAnsi="Times New Roman"/>
          <w:sz w:val="20"/>
          <w:szCs w:val="20"/>
        </w:rPr>
        <w:t>. The reactor was constructed using three machined polycarbonate pieces with O-rings and steel bolts. T</w:t>
      </w:r>
      <w:r>
        <w:rPr>
          <w:rFonts w:ascii="Times New Roman" w:hAnsi="Times New Roman"/>
          <w:sz w:val="20"/>
          <w:szCs w:val="20"/>
        </w:rPr>
        <w:t>he internal volume was 19.2 mL (Figure 1)</w:t>
      </w:r>
      <w:r w:rsidRPr="00B261C9">
        <w:rPr>
          <w:rFonts w:ascii="Times New Roman" w:hAnsi="Times New Roman"/>
          <w:sz w:val="20"/>
          <w:szCs w:val="20"/>
        </w:rPr>
        <w:t xml:space="preserve">. The middle polycarbonate had its top equipped with three holes: two big holes of ø 1.8 cm and ø 1.0 cm for batch mode feeding and reference electrode respectively and one small hole of ø 0.4 cm for gas inlet. The anode chamber was separated from an air cathode by using cation exchange membrane (Ultrex) from BASF Fuel Cell Inc. (Somerset, NJ. USA). </w:t>
      </w:r>
    </w:p>
    <w:p w:rsidR="00D01991" w:rsidRPr="00B261C9" w:rsidRDefault="00D01991" w:rsidP="00D01991">
      <w:pPr>
        <w:pStyle w:val="BodyText"/>
        <w:spacing w:after="0" w:line="240" w:lineRule="auto"/>
        <w:jc w:val="both"/>
        <w:rPr>
          <w:rFonts w:ascii="Times New Roman" w:hAnsi="Times New Roman"/>
          <w:sz w:val="20"/>
          <w:szCs w:val="20"/>
        </w:rPr>
      </w:pPr>
    </w:p>
    <w:p w:rsidR="00D01991" w:rsidRDefault="00D01991" w:rsidP="00D01991">
      <w:pPr>
        <w:pStyle w:val="BodyText"/>
        <w:spacing w:after="0" w:line="240" w:lineRule="auto"/>
        <w:jc w:val="both"/>
        <w:rPr>
          <w:rFonts w:ascii="Times New Roman" w:eastAsiaTheme="minorHAnsi" w:hAnsi="Times New Roman"/>
          <w:sz w:val="20"/>
          <w:szCs w:val="20"/>
        </w:rPr>
      </w:pPr>
      <w:r w:rsidRPr="00B261C9">
        <w:rPr>
          <w:rFonts w:ascii="Times New Roman" w:hAnsi="Times New Roman"/>
          <w:sz w:val="20"/>
          <w:szCs w:val="20"/>
        </w:rPr>
        <w:t xml:space="preserve">The air-cathode and the anode were 4 cm × 4 cm of 10% Pt-carbon cloth (Fuel Cell Earth LLC, Stoneham, MA) covered with a layer of 4 cm × 4 cm plain carbon cloth (Fuel Cell Earth LLC, </w:t>
      </w:r>
      <w:r w:rsidRPr="00B261C9">
        <w:rPr>
          <w:rFonts w:ascii="Times New Roman" w:eastAsiaTheme="minorHAnsi" w:hAnsi="Times New Roman"/>
          <w:sz w:val="20"/>
          <w:szCs w:val="20"/>
        </w:rPr>
        <w:t xml:space="preserve">Stoneham, MA) and </w:t>
      </w:r>
      <w:r w:rsidRPr="00B261C9">
        <w:rPr>
          <w:rFonts w:ascii="Times New Roman" w:hAnsi="Times New Roman"/>
          <w:sz w:val="20"/>
          <w:szCs w:val="20"/>
        </w:rPr>
        <w:t>4 cm × 4 cm plain carbon cloth</w:t>
      </w:r>
      <w:r w:rsidRPr="00B261C9">
        <w:rPr>
          <w:rFonts w:ascii="Times New Roman" w:eastAsiaTheme="minorHAnsi" w:hAnsi="Times New Roman"/>
          <w:sz w:val="20"/>
          <w:szCs w:val="20"/>
        </w:rPr>
        <w:t xml:space="preserve"> respectively. The cathode was fastened to the exterior wall of the Ultrex membrane with a nickel strip, acted as current collector and also used to grip the anode.</w:t>
      </w:r>
    </w:p>
    <w:p w:rsidR="00D01991" w:rsidRPr="00B261C9" w:rsidRDefault="00D01991" w:rsidP="00D01991">
      <w:pPr>
        <w:pStyle w:val="BodyText"/>
        <w:spacing w:after="0" w:line="240" w:lineRule="auto"/>
        <w:jc w:val="both"/>
        <w:rPr>
          <w:rFonts w:ascii="Times New Roman" w:hAnsi="Times New Roman"/>
          <w:sz w:val="20"/>
          <w:szCs w:val="20"/>
        </w:rPr>
      </w:pPr>
    </w:p>
    <w:p w:rsidR="00D01991" w:rsidRPr="00B261C9" w:rsidRDefault="00D01991" w:rsidP="00D01991">
      <w:pPr>
        <w:pStyle w:val="BodyText"/>
        <w:spacing w:after="0" w:line="240" w:lineRule="auto"/>
        <w:jc w:val="both"/>
        <w:rPr>
          <w:rFonts w:ascii="Times New Roman" w:eastAsiaTheme="minorHAnsi" w:hAnsi="Times New Roman"/>
          <w:sz w:val="20"/>
          <w:szCs w:val="20"/>
        </w:rPr>
      </w:pPr>
      <w:r w:rsidRPr="00B261C9">
        <w:rPr>
          <w:rFonts w:ascii="Times New Roman" w:hAnsi="Times New Roman"/>
          <w:b/>
          <w:sz w:val="20"/>
          <w:szCs w:val="20"/>
        </w:rPr>
        <w:t>Operation</w:t>
      </w:r>
    </w:p>
    <w:p w:rsidR="00D01991" w:rsidRPr="00B261C9" w:rsidRDefault="00D01991" w:rsidP="00D01991">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Here, 2 % (v/v) of anolyte (OD</w:t>
      </w:r>
      <w:r w:rsidRPr="00B261C9">
        <w:rPr>
          <w:rFonts w:ascii="Times New Roman" w:hAnsi="Times New Roman"/>
          <w:sz w:val="20"/>
          <w:szCs w:val="20"/>
          <w:vertAlign w:val="subscript"/>
          <w:lang w:val="en-GB"/>
        </w:rPr>
        <w:t>600</w:t>
      </w:r>
      <w:r w:rsidRPr="00B261C9">
        <w:rPr>
          <w:rFonts w:ascii="Times New Roman" w:hAnsi="Times New Roman"/>
          <w:sz w:val="20"/>
          <w:szCs w:val="20"/>
          <w:lang w:val="en-GB"/>
        </w:rPr>
        <w:t xml:space="preserve"> of 2.85) from an eight month old MFC was incubated in acetate media for 24 h at 150 rpm and 24 °C. Each six new MFCs were filled with 0.4 mL of the incubated culture and topped up with acetate media. Two of the MFCs were bubbled with nitrogen to create anaerobic condition, the other two were bubbled with air to create aerobic condition, while two more were made as control, free from flowing of gas to create natural anaerobic condition. Except for the controlled MFCs, the anodes of gassed MFCs were poised at potential of +200 mV (vs. Ag/AgCl) for seven days and operated in controlled temperature of 28 °C. From the eighth day onwards, the anode poising was discontinued and the MFCs were connected to external resistors of 1,000 Ω.</w:t>
      </w:r>
    </w:p>
    <w:p w:rsidR="00D01991" w:rsidRDefault="00D01991" w:rsidP="00D01991">
      <w:pPr>
        <w:spacing w:after="0" w:line="240" w:lineRule="auto"/>
        <w:jc w:val="both"/>
        <w:rPr>
          <w:rFonts w:ascii="Times New Roman" w:hAnsi="Times New Roman"/>
          <w:sz w:val="20"/>
          <w:szCs w:val="20"/>
          <w:lang w:val="en-GB"/>
        </w:rPr>
      </w:pPr>
    </w:p>
    <w:p w:rsidR="00D01991" w:rsidRPr="00B261C9" w:rsidRDefault="00D01991" w:rsidP="00D01991">
      <w:pPr>
        <w:spacing w:after="0" w:line="240" w:lineRule="auto"/>
        <w:jc w:val="both"/>
        <w:rPr>
          <w:rFonts w:ascii="Times New Roman" w:hAnsi="Times New Roman"/>
          <w:sz w:val="20"/>
          <w:szCs w:val="20"/>
          <w:lang w:val="en-GB"/>
        </w:rPr>
      </w:pPr>
    </w:p>
    <w:p w:rsidR="00D01991" w:rsidRPr="00B261C9" w:rsidRDefault="00D01991" w:rsidP="00D01991">
      <w:pPr>
        <w:spacing w:after="0" w:line="240" w:lineRule="auto"/>
        <w:jc w:val="both"/>
        <w:rPr>
          <w:rFonts w:ascii="Times New Roman" w:hAnsi="Times New Roman"/>
          <w:sz w:val="20"/>
          <w:szCs w:val="20"/>
          <w:lang w:val="en-GB"/>
        </w:rPr>
      </w:pPr>
      <w:r w:rsidRPr="00B261C9">
        <w:rPr>
          <w:rFonts w:ascii="Times New Roman" w:hAnsi="Times New Roman"/>
          <w:noProof/>
          <w:sz w:val="20"/>
          <w:szCs w:val="20"/>
          <w:lang w:bidi="ar-SA"/>
        </w:rPr>
        <w:drawing>
          <wp:anchor distT="0" distB="0" distL="114300" distR="114300" simplePos="0" relativeHeight="251660800" behindDoc="0" locked="0" layoutInCell="1" allowOverlap="1" wp14:anchorId="16043C6F" wp14:editId="3B8F33B5">
            <wp:simplePos x="0" y="0"/>
            <wp:positionH relativeFrom="column">
              <wp:posOffset>1172845</wp:posOffset>
            </wp:positionH>
            <wp:positionV relativeFrom="paragraph">
              <wp:posOffset>35560</wp:posOffset>
            </wp:positionV>
            <wp:extent cx="3548380" cy="1389380"/>
            <wp:effectExtent l="19050" t="19050" r="13970" b="20320"/>
            <wp:wrapThrough wrapText="bothSides">
              <wp:wrapPolygon edited="0">
                <wp:start x="-116" y="-296"/>
                <wp:lineTo x="-116" y="21620"/>
                <wp:lineTo x="21569" y="21620"/>
                <wp:lineTo x="21569" y="-296"/>
                <wp:lineTo x="-116" y="-29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380" cy="13893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01991" w:rsidRPr="00B261C9" w:rsidRDefault="00D01991" w:rsidP="00D01991">
      <w:pPr>
        <w:spacing w:after="0" w:line="240" w:lineRule="auto"/>
        <w:jc w:val="both"/>
        <w:rPr>
          <w:rFonts w:ascii="Times New Roman" w:hAnsi="Times New Roman"/>
          <w:sz w:val="20"/>
          <w:szCs w:val="20"/>
        </w:rPr>
      </w:pPr>
      <w:bookmarkStart w:id="4" w:name="_Ref410124753"/>
      <w:bookmarkStart w:id="5" w:name="_Toc417068691"/>
      <w:bookmarkStart w:id="6" w:name="_Toc425947362"/>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both"/>
        <w:rPr>
          <w:rFonts w:ascii="Times New Roman" w:hAnsi="Times New Roman"/>
          <w:sz w:val="20"/>
          <w:szCs w:val="20"/>
        </w:rPr>
      </w:pPr>
    </w:p>
    <w:p w:rsidR="00D01991" w:rsidRPr="00B261C9" w:rsidRDefault="00D01991" w:rsidP="00D01991">
      <w:pPr>
        <w:spacing w:after="0" w:line="240" w:lineRule="auto"/>
        <w:jc w:val="center"/>
        <w:rPr>
          <w:rFonts w:ascii="Times New Roman" w:hAnsi="Times New Roman"/>
          <w:sz w:val="20"/>
          <w:szCs w:val="20"/>
        </w:rPr>
      </w:pPr>
      <w:r w:rsidRPr="00B261C9">
        <w:rPr>
          <w:rFonts w:ascii="Times New Roman" w:hAnsi="Times New Roman"/>
          <w:sz w:val="20"/>
          <w:szCs w:val="20"/>
        </w:rPr>
        <w:t xml:space="preserve">Figure </w:t>
      </w:r>
      <w:r w:rsidRPr="00B261C9">
        <w:rPr>
          <w:rFonts w:ascii="Times New Roman" w:hAnsi="Times New Roman"/>
          <w:sz w:val="20"/>
          <w:szCs w:val="20"/>
        </w:rPr>
        <w:fldChar w:fldCharType="begin"/>
      </w:r>
      <w:r w:rsidRPr="00B261C9">
        <w:rPr>
          <w:rFonts w:ascii="Times New Roman" w:hAnsi="Times New Roman"/>
          <w:sz w:val="20"/>
          <w:szCs w:val="20"/>
        </w:rPr>
        <w:instrText xml:space="preserve"> SEQ Figure \* ARABIC </w:instrText>
      </w:r>
      <w:r w:rsidRPr="00B261C9">
        <w:rPr>
          <w:rFonts w:ascii="Times New Roman" w:hAnsi="Times New Roman"/>
          <w:sz w:val="20"/>
          <w:szCs w:val="20"/>
        </w:rPr>
        <w:fldChar w:fldCharType="separate"/>
      </w:r>
      <w:r w:rsidR="00763CB9">
        <w:rPr>
          <w:rFonts w:ascii="Times New Roman" w:hAnsi="Times New Roman"/>
          <w:noProof/>
          <w:sz w:val="20"/>
          <w:szCs w:val="20"/>
        </w:rPr>
        <w:t>1</w:t>
      </w:r>
      <w:r w:rsidRPr="00B261C9">
        <w:rPr>
          <w:rFonts w:ascii="Times New Roman" w:hAnsi="Times New Roman"/>
          <w:sz w:val="20"/>
          <w:szCs w:val="20"/>
        </w:rPr>
        <w:fldChar w:fldCharType="end"/>
      </w:r>
      <w:r w:rsidRPr="00B261C9">
        <w:rPr>
          <w:rFonts w:ascii="Times New Roman" w:hAnsi="Times New Roman"/>
          <w:sz w:val="20"/>
          <w:szCs w:val="20"/>
        </w:rPr>
        <w:t xml:space="preserve">. </w:t>
      </w:r>
      <w:r>
        <w:rPr>
          <w:rFonts w:ascii="Times New Roman" w:hAnsi="Times New Roman"/>
          <w:sz w:val="20"/>
          <w:szCs w:val="20"/>
        </w:rPr>
        <w:t xml:space="preserve"> </w:t>
      </w:r>
      <w:r w:rsidRPr="00B261C9">
        <w:rPr>
          <w:rFonts w:ascii="Times New Roman" w:hAnsi="Times New Roman"/>
          <w:sz w:val="20"/>
          <w:szCs w:val="20"/>
        </w:rPr>
        <w:t>MFC used in this study</w:t>
      </w:r>
    </w:p>
    <w:p w:rsidR="00D01991" w:rsidRDefault="00D01991" w:rsidP="00D01991">
      <w:pPr>
        <w:spacing w:after="0" w:line="240" w:lineRule="auto"/>
        <w:jc w:val="both"/>
        <w:rPr>
          <w:rFonts w:ascii="Times New Roman" w:hAnsi="Times New Roman"/>
          <w:b/>
          <w:sz w:val="20"/>
          <w:szCs w:val="20"/>
        </w:rPr>
      </w:pPr>
    </w:p>
    <w:p w:rsidR="00D01991" w:rsidRPr="00B261C9" w:rsidRDefault="00D01991" w:rsidP="00D01991">
      <w:pPr>
        <w:spacing w:after="0" w:line="240" w:lineRule="auto"/>
        <w:jc w:val="both"/>
        <w:rPr>
          <w:rFonts w:ascii="Times New Roman" w:hAnsi="Times New Roman"/>
          <w:b/>
          <w:sz w:val="20"/>
          <w:szCs w:val="20"/>
        </w:rPr>
      </w:pPr>
    </w:p>
    <w:p w:rsidR="00D01991" w:rsidRPr="00B261C9" w:rsidRDefault="00D01991" w:rsidP="00D01991">
      <w:pPr>
        <w:spacing w:after="0" w:line="240" w:lineRule="auto"/>
        <w:jc w:val="both"/>
        <w:rPr>
          <w:rFonts w:ascii="Times New Roman" w:hAnsi="Times New Roman"/>
          <w:sz w:val="20"/>
          <w:szCs w:val="20"/>
        </w:rPr>
      </w:pPr>
      <w:r w:rsidRPr="00B261C9">
        <w:rPr>
          <w:rFonts w:ascii="Times New Roman" w:hAnsi="Times New Roman"/>
          <w:b/>
          <w:sz w:val="20"/>
          <w:szCs w:val="20"/>
        </w:rPr>
        <w:t>Analytical methods and calculation</w:t>
      </w:r>
      <w:bookmarkEnd w:id="4"/>
      <w:bookmarkEnd w:id="5"/>
      <w:bookmarkEnd w:id="6"/>
    </w:p>
    <w:p w:rsidR="00D01991" w:rsidRPr="00B261C9" w:rsidRDefault="00D01991" w:rsidP="00D01991">
      <w:pPr>
        <w:spacing w:after="0" w:line="240" w:lineRule="auto"/>
        <w:jc w:val="both"/>
        <w:rPr>
          <w:rFonts w:ascii="Times New Roman" w:hAnsi="Times New Roman"/>
          <w:sz w:val="20"/>
          <w:szCs w:val="20"/>
          <w:lang w:val="en-GB"/>
        </w:rPr>
      </w:pPr>
      <w:r w:rsidRPr="00B261C9">
        <w:rPr>
          <w:rFonts w:ascii="Times New Roman" w:hAnsi="Times New Roman"/>
          <w:sz w:val="20"/>
          <w:szCs w:val="20"/>
          <w:lang w:val="en-GB"/>
        </w:rPr>
        <w:t>Cell voltage (</w:t>
      </w:r>
      <w:r w:rsidRPr="00B261C9">
        <w:rPr>
          <w:rFonts w:ascii="Times New Roman" w:hAnsi="Times New Roman"/>
          <w:i/>
          <w:sz w:val="20"/>
          <w:szCs w:val="20"/>
          <w:lang w:val="en-GB"/>
        </w:rPr>
        <w:t>E</w:t>
      </w:r>
      <w:r w:rsidRPr="00B261C9">
        <w:rPr>
          <w:rFonts w:ascii="Times New Roman" w:hAnsi="Times New Roman"/>
          <w:sz w:val="20"/>
          <w:szCs w:val="20"/>
          <w:lang w:val="en-GB"/>
        </w:rPr>
        <w:t>) across the external resistor and cell current generated from the anode fixed potential poised were measured every twice a day using a Digitech QM 1326 multimeter or every 30 s to 30 min using a four channel Quadstat 164 potentiostat (eDAQ Pty Ltd, NSW, Australia) and continuous recording using an e-corder 1621 (eDAQ Pty Ltd, NSW, Australia) data acquisition system. Current (</w:t>
      </w:r>
      <w:r w:rsidRPr="00B261C9">
        <w:rPr>
          <w:rFonts w:ascii="Times New Roman" w:hAnsi="Times New Roman"/>
          <w:i/>
          <w:sz w:val="20"/>
          <w:szCs w:val="20"/>
          <w:lang w:val="en-GB"/>
        </w:rPr>
        <w:t>I</w:t>
      </w:r>
      <w:r w:rsidRPr="00B261C9">
        <w:rPr>
          <w:rFonts w:ascii="Times New Roman" w:hAnsi="Times New Roman"/>
          <w:sz w:val="20"/>
          <w:szCs w:val="20"/>
          <w:lang w:val="en-GB"/>
        </w:rPr>
        <w:t>) and power (</w:t>
      </w:r>
      <w:r w:rsidRPr="00B261C9">
        <w:rPr>
          <w:rFonts w:ascii="Times New Roman" w:hAnsi="Times New Roman"/>
          <w:i/>
          <w:sz w:val="20"/>
          <w:szCs w:val="20"/>
          <w:lang w:val="en-GB"/>
        </w:rPr>
        <w:t>P</w:t>
      </w:r>
      <w:r w:rsidRPr="00B261C9">
        <w:rPr>
          <w:rFonts w:ascii="Times New Roman" w:hAnsi="Times New Roman"/>
          <w:sz w:val="20"/>
          <w:szCs w:val="20"/>
          <w:lang w:val="en-GB"/>
        </w:rPr>
        <w:t>) were calculated using the Ohm’s law (Equation 1 and 2):</w:t>
      </w:r>
    </w:p>
    <w:p w:rsidR="00D01991" w:rsidRPr="00B261C9" w:rsidRDefault="00D01991" w:rsidP="00D01991">
      <w:pPr>
        <w:spacing w:after="0" w:line="240" w:lineRule="auto"/>
        <w:jc w:val="both"/>
        <w:rPr>
          <w:rFonts w:ascii="Times New Roman" w:hAnsi="Times New Roman"/>
          <w:sz w:val="20"/>
          <w:szCs w:val="20"/>
          <w:lang w:val="en-GB"/>
        </w:rPr>
      </w:pPr>
    </w:p>
    <w:p w:rsidR="00D01991" w:rsidRPr="00B261C9" w:rsidRDefault="00D01991" w:rsidP="00D01991">
      <w:pPr>
        <w:spacing w:after="0" w:line="240" w:lineRule="auto"/>
        <w:ind w:firstLine="720"/>
        <w:jc w:val="both"/>
        <w:rPr>
          <w:rFonts w:ascii="Times New Roman" w:hAnsi="Times New Roman"/>
          <w:sz w:val="20"/>
          <w:szCs w:val="20"/>
          <w:lang w:val="en-GB"/>
        </w:rPr>
      </w:pPr>
      <m:oMath>
        <m:r>
          <w:rPr>
            <w:rFonts w:ascii="Cambria Math" w:hAnsi="Cambria Math"/>
            <w:sz w:val="20"/>
            <w:szCs w:val="20"/>
            <w:lang w:val="en-GB"/>
          </w:rPr>
          <m:t>I=</m:t>
        </m:r>
        <m:f>
          <m:fPr>
            <m:ctrlPr>
              <w:rPr>
                <w:rFonts w:ascii="Cambria Math" w:hAnsi="Cambria Math"/>
                <w:i/>
                <w:sz w:val="20"/>
                <w:szCs w:val="20"/>
                <w:lang w:val="en-GB"/>
              </w:rPr>
            </m:ctrlPr>
          </m:fPr>
          <m:num>
            <m:r>
              <w:rPr>
                <w:rFonts w:ascii="Cambria Math" w:hAnsi="Cambria Math"/>
                <w:sz w:val="20"/>
                <w:szCs w:val="20"/>
                <w:lang w:val="en-GB"/>
              </w:rPr>
              <m:t>E</m:t>
            </m:r>
          </m:num>
          <m:den>
            <m:r>
              <w:rPr>
                <w:rFonts w:ascii="Cambria Math" w:hAnsi="Cambria Math"/>
                <w:sz w:val="20"/>
                <w:szCs w:val="20"/>
                <w:lang w:val="en-GB"/>
              </w:rPr>
              <m:t>Rext</m:t>
            </m:r>
          </m:den>
        </m:f>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I</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I</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sidRPr="00B261C9">
        <w:rPr>
          <w:rFonts w:ascii="Times New Roman" w:hAnsi="Times New Roman"/>
          <w:noProof/>
          <w:sz w:val="20"/>
          <w:szCs w:val="20"/>
        </w:rPr>
        <w:t xml:space="preserve">                    </w:t>
      </w:r>
      <w:r>
        <w:rPr>
          <w:rFonts w:ascii="Times New Roman" w:hAnsi="Times New Roman"/>
          <w:noProof/>
          <w:sz w:val="20"/>
          <w:szCs w:val="20"/>
        </w:rPr>
        <w:t xml:space="preserve">       </w:t>
      </w:r>
      <w:r w:rsidRPr="00B261C9">
        <w:rPr>
          <w:rFonts w:ascii="Times New Roman" w:hAnsi="Times New Roman"/>
          <w:noProof/>
          <w:sz w:val="20"/>
          <w:szCs w:val="20"/>
        </w:rPr>
        <w:t>(1)</w:t>
      </w:r>
    </w:p>
    <w:p w:rsidR="00D01991" w:rsidRPr="00B261C9" w:rsidRDefault="00D01991" w:rsidP="00D01991">
      <w:pPr>
        <w:spacing w:after="0" w:line="240" w:lineRule="auto"/>
        <w:jc w:val="both"/>
        <w:rPr>
          <w:rFonts w:ascii="Times New Roman" w:hAnsi="Times New Roman"/>
          <w:sz w:val="20"/>
          <w:szCs w:val="20"/>
          <w:lang w:val="en-GB"/>
        </w:rPr>
      </w:pPr>
      <m:oMath>
        <m:r>
          <w:rPr>
            <w:rFonts w:ascii="Cambria Math" w:hAnsi="Cambria Math"/>
            <w:sz w:val="20"/>
            <w:szCs w:val="20"/>
            <w:lang w:val="en-GB"/>
          </w:rPr>
          <m:t xml:space="preserve">                P=I x E</m:t>
        </m:r>
      </m:oMath>
      <w:r w:rsidRPr="00B261C9">
        <w:rPr>
          <w:rFonts w:ascii="Times New Roman" w:hAnsi="Times New Roman"/>
          <w:sz w:val="20"/>
          <w:szCs w:val="20"/>
          <w:lang w:val="en-GB"/>
        </w:rPr>
        <w:t xml:space="preserve">   , </w:t>
      </w:r>
      <m:oMath>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density</m:t>
            </m:r>
          </m:sub>
        </m:sSub>
        <m:r>
          <w:rPr>
            <w:rFonts w:ascii="Cambria Math" w:hAnsi="Cambria Math"/>
            <w:sz w:val="20"/>
            <w:szCs w:val="20"/>
            <w:lang w:val="en-GB"/>
          </w:rPr>
          <m:t>=</m:t>
        </m:r>
        <m:f>
          <m:fPr>
            <m:ctrlPr>
              <w:rPr>
                <w:rFonts w:ascii="Cambria Math" w:hAnsi="Cambria Math"/>
                <w:i/>
                <w:sz w:val="20"/>
                <w:szCs w:val="20"/>
                <w:lang w:val="en-GB"/>
              </w:rPr>
            </m:ctrlPr>
          </m:fPr>
          <m:num>
            <m:r>
              <w:rPr>
                <w:rFonts w:ascii="Cambria Math" w:hAnsi="Cambria Math"/>
                <w:sz w:val="20"/>
                <w:szCs w:val="20"/>
                <w:lang w:val="en-GB"/>
              </w:rPr>
              <m:t>P</m:t>
            </m:r>
          </m:num>
          <m:den>
            <m:r>
              <w:rPr>
                <w:rFonts w:ascii="Cambria Math" w:hAnsi="Cambria Math"/>
                <w:sz w:val="20"/>
                <w:szCs w:val="20"/>
                <w:lang w:val="en-GB"/>
              </w:rPr>
              <m:t>Anode area</m:t>
            </m:r>
          </m:den>
        </m:f>
      </m:oMath>
      <w:r w:rsidRPr="00B261C9">
        <w:rPr>
          <w:rFonts w:ascii="Times New Roman" w:hAnsi="Times New Roman"/>
          <w:sz w:val="20"/>
          <w:szCs w:val="20"/>
          <w:lang w:val="en-GB"/>
        </w:rPr>
        <w:t xml:space="preserve">                                                                                                          </w:t>
      </w:r>
      <w:r>
        <w:rPr>
          <w:rFonts w:ascii="Times New Roman" w:hAnsi="Times New Roman"/>
          <w:sz w:val="20"/>
          <w:szCs w:val="20"/>
          <w:lang w:val="en-GB"/>
        </w:rPr>
        <w:t xml:space="preserve">      </w:t>
      </w:r>
      <w:r w:rsidRPr="00B261C9">
        <w:rPr>
          <w:rFonts w:ascii="Times New Roman" w:hAnsi="Times New Roman"/>
          <w:noProof/>
          <w:sz w:val="20"/>
          <w:szCs w:val="20"/>
        </w:rPr>
        <w:t>(2)</w:t>
      </w:r>
    </w:p>
    <w:p w:rsidR="00D01991" w:rsidRPr="00B261C9" w:rsidRDefault="00D01991" w:rsidP="00D01991">
      <w:pPr>
        <w:spacing w:after="0" w:line="240" w:lineRule="auto"/>
        <w:jc w:val="both"/>
        <w:rPr>
          <w:rFonts w:ascii="Times New Roman" w:hAnsi="Times New Roman"/>
          <w:sz w:val="20"/>
          <w:szCs w:val="20"/>
          <w:lang w:val="en-GB"/>
        </w:rPr>
      </w:pPr>
    </w:p>
    <w:p w:rsidR="00D01991" w:rsidRPr="00B261C9" w:rsidRDefault="00D01991" w:rsidP="00D01991">
      <w:pPr>
        <w:spacing w:after="0" w:line="240" w:lineRule="auto"/>
        <w:jc w:val="both"/>
        <w:rPr>
          <w:rFonts w:ascii="Times New Roman" w:hAnsi="Times New Roman"/>
          <w:sz w:val="20"/>
          <w:szCs w:val="20"/>
          <w:lang w:val="en-GB"/>
        </w:rPr>
      </w:pPr>
      <w:r>
        <w:rPr>
          <w:rFonts w:ascii="Times New Roman" w:hAnsi="Times New Roman"/>
          <w:sz w:val="20"/>
          <w:szCs w:val="20"/>
          <w:lang w:val="en-GB"/>
        </w:rPr>
        <w:t>w</w:t>
      </w:r>
      <w:r w:rsidRPr="00B261C9">
        <w:rPr>
          <w:rFonts w:ascii="Times New Roman" w:hAnsi="Times New Roman"/>
          <w:sz w:val="20"/>
          <w:szCs w:val="20"/>
          <w:lang w:val="en-GB"/>
        </w:rPr>
        <w:t xml:space="preserve">here </w:t>
      </w:r>
      <w:r w:rsidRPr="00B261C9">
        <w:rPr>
          <w:rFonts w:ascii="Times New Roman" w:hAnsi="Times New Roman"/>
          <w:i/>
          <w:sz w:val="20"/>
          <w:szCs w:val="20"/>
          <w:lang w:val="en-GB"/>
        </w:rPr>
        <w:t>E</w:t>
      </w:r>
      <w:r w:rsidRPr="00B261C9">
        <w:rPr>
          <w:rFonts w:ascii="Times New Roman" w:hAnsi="Times New Roman"/>
          <w:sz w:val="20"/>
          <w:szCs w:val="20"/>
          <w:lang w:val="en-GB"/>
        </w:rPr>
        <w:t xml:space="preserve"> represents circuit’s potential and </w:t>
      </w:r>
      <w:r w:rsidRPr="00B261C9">
        <w:rPr>
          <w:rFonts w:ascii="Times New Roman" w:hAnsi="Times New Roman"/>
          <w:i/>
          <w:sz w:val="20"/>
          <w:szCs w:val="20"/>
          <w:lang w:val="en-GB"/>
        </w:rPr>
        <w:t>R</w:t>
      </w:r>
      <w:r w:rsidRPr="00B261C9">
        <w:rPr>
          <w:rFonts w:ascii="Times New Roman" w:hAnsi="Times New Roman"/>
          <w:i/>
          <w:sz w:val="20"/>
          <w:szCs w:val="20"/>
          <w:vertAlign w:val="subscript"/>
          <w:lang w:val="en-GB"/>
        </w:rPr>
        <w:t>ext</w:t>
      </w:r>
      <w:r w:rsidRPr="00B261C9">
        <w:rPr>
          <w:rFonts w:ascii="Times New Roman" w:hAnsi="Times New Roman"/>
          <w:i/>
          <w:sz w:val="20"/>
          <w:szCs w:val="20"/>
          <w:lang w:val="en-GB"/>
        </w:rPr>
        <w:t xml:space="preserve"> </w:t>
      </w:r>
      <w:r w:rsidRPr="00B261C9">
        <w:rPr>
          <w:rFonts w:ascii="Times New Roman" w:hAnsi="Times New Roman"/>
          <w:sz w:val="20"/>
          <w:szCs w:val="20"/>
          <w:lang w:val="en-GB"/>
        </w:rPr>
        <w:t xml:space="preserve">represents circuit external resistance, with the current density, </w:t>
      </w:r>
      <w:r w:rsidRPr="00B261C9">
        <w:rPr>
          <w:rFonts w:ascii="Times New Roman" w:hAnsi="Times New Roman"/>
          <w:i/>
          <w:sz w:val="20"/>
          <w:szCs w:val="20"/>
          <w:lang w:val="en-GB"/>
        </w:rPr>
        <w:t>I</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and power density, </w:t>
      </w:r>
      <w:r w:rsidRPr="00B261C9">
        <w:rPr>
          <w:rFonts w:ascii="Times New Roman" w:hAnsi="Times New Roman"/>
          <w:i/>
          <w:sz w:val="20"/>
          <w:szCs w:val="20"/>
          <w:lang w:val="en-GB"/>
        </w:rPr>
        <w:t>P</w:t>
      </w:r>
      <w:r w:rsidRPr="00B261C9">
        <w:rPr>
          <w:rFonts w:ascii="Times New Roman" w:hAnsi="Times New Roman"/>
          <w:i/>
          <w:sz w:val="20"/>
          <w:szCs w:val="20"/>
          <w:vertAlign w:val="subscript"/>
          <w:lang w:val="en-GB"/>
        </w:rPr>
        <w:t>density</w:t>
      </w:r>
      <w:r w:rsidRPr="00B261C9">
        <w:rPr>
          <w:rFonts w:ascii="Times New Roman" w:hAnsi="Times New Roman"/>
          <w:sz w:val="20"/>
          <w:szCs w:val="20"/>
          <w:lang w:val="en-GB"/>
        </w:rPr>
        <w:t xml:space="preserve"> normalized by the projected area of the anode [14]. </w:t>
      </w:r>
    </w:p>
    <w:p w:rsidR="00D01991" w:rsidRPr="00B261C9" w:rsidRDefault="00D01991" w:rsidP="00D01991">
      <w:pPr>
        <w:spacing w:after="0" w:line="240" w:lineRule="auto"/>
        <w:jc w:val="both"/>
        <w:rPr>
          <w:rFonts w:ascii="Times New Roman" w:hAnsi="Times New Roman"/>
          <w:sz w:val="20"/>
          <w:szCs w:val="20"/>
          <w:lang w:val="en-GB"/>
        </w:rPr>
      </w:pPr>
    </w:p>
    <w:p w:rsidR="00D01991" w:rsidRPr="00B261C9" w:rsidRDefault="00D01991" w:rsidP="00D01991">
      <w:pPr>
        <w:spacing w:after="0" w:line="240" w:lineRule="auto"/>
        <w:jc w:val="both"/>
        <w:rPr>
          <w:rFonts w:ascii="Times New Roman" w:hAnsi="Times New Roman"/>
          <w:noProof/>
          <w:sz w:val="20"/>
          <w:szCs w:val="20"/>
          <w:lang w:bidi="ar-SA"/>
        </w:rPr>
      </w:pPr>
      <w:r w:rsidRPr="00B261C9">
        <w:rPr>
          <w:rFonts w:ascii="Times New Roman" w:hAnsi="Times New Roman"/>
          <w:sz w:val="20"/>
          <w:szCs w:val="20"/>
          <w:lang w:val="en-GB"/>
        </w:rPr>
        <w:t xml:space="preserve">Dissolved oxygen concentration in the anolyte was determined before the gas swapping activity from the aerobic MFCs as 7.5 ppm, using HQ40d portable multi-parameter meter (pH/ conductivity/ dissolved oxygen/ ORP/ ISE) </w:t>
      </w:r>
      <w:r w:rsidRPr="00B261C9">
        <w:rPr>
          <w:rFonts w:ascii="Times New Roman" w:hAnsi="Times New Roman"/>
          <w:sz w:val="20"/>
          <w:szCs w:val="20"/>
          <w:lang w:val="en-GB"/>
        </w:rPr>
        <w:lastRenderedPageBreak/>
        <w:t xml:space="preserve">(Hach Company, Colorado, US). The polarization curve and the power density curves were produced by using method in Luo et al. </w:t>
      </w:r>
      <w:r w:rsidRPr="00B261C9">
        <w:rPr>
          <w:rFonts w:ascii="Times New Roman" w:hAnsi="Times New Roman"/>
          <w:noProof/>
          <w:sz w:val="20"/>
          <w:szCs w:val="20"/>
          <w:lang w:val="en-GB"/>
        </w:rPr>
        <w:t xml:space="preserve"> </w:t>
      </w:r>
      <w:r w:rsidRPr="00B261C9">
        <w:rPr>
          <w:rFonts w:ascii="Times New Roman" w:hAnsi="Times New Roman"/>
          <w:noProof/>
          <w:sz w:val="20"/>
          <w:szCs w:val="20"/>
          <w:lang w:val="en-GB"/>
        </w:rPr>
        <w:fldChar w:fldCharType="begin"/>
      </w:r>
      <w:r w:rsidRPr="00B261C9">
        <w:rPr>
          <w:rFonts w:ascii="Times New Roman" w:hAnsi="Times New Roman"/>
          <w:noProof/>
          <w:sz w:val="20"/>
          <w:szCs w:val="20"/>
          <w:lang w:val="en-GB"/>
        </w:rPr>
        <w:instrText xml:space="preserve"> ADDIN EN.CITE &lt;EndNote&gt;&lt;Cite&gt;&lt;Author&gt;Luo&lt;/Author&gt;&lt;Year&gt;2011&lt;/Year&gt;&lt;RecNum&gt;519&lt;/RecNum&gt;&lt;DisplayText&gt;[14]&lt;/DisplayText&gt;&lt;record&gt;&lt;rec-number&gt;519&lt;/rec-number&gt;&lt;foreign-keys&gt;&lt;key app="EN" db-id="pev00ptf6vtps6eafrqvzezz9dd2pprw2s2v" timestamp="0"&gt;519&lt;/key&gt;&lt;/foreign-keys&gt;&lt;ref-type name="Journal Article"&gt;17&lt;/ref-type&gt;&lt;contributors&gt;&lt;authors&gt;&lt;author&gt;Luo, Yong&lt;/author&gt;&lt;author&gt;Zhang, Fang&lt;/author&gt;&lt;author&gt;Wei, Bin&lt;/author&gt;&lt;author&gt;Liu, Guangli&lt;/author&gt;&lt;author&gt;Zhang, Renduo&lt;/author&gt;&lt;author&gt;Logan, Bruce E.&lt;/author&gt;&lt;/authors&gt;&lt;/contributors&gt;&lt;titles&gt;&lt;title&gt;Power generation using carbon mesh cathodes with different diffusion layers in microbial fuel cells&lt;/title&gt;&lt;secondary-title&gt;Journal of Power Sources&lt;/secondary-title&gt;&lt;/titles&gt;&lt;periodical&gt;&lt;full-title&gt;Journal of Power Sources&lt;/full-title&gt;&lt;/periodical&gt;&lt;pages&gt;9317-9321&lt;/pages&gt;&lt;volume&gt;196&lt;/volume&gt;&lt;number&gt;22&lt;/number&gt;&lt;keywords&gt;&lt;keyword&gt;Carbon mesh&lt;/keyword&gt;&lt;keyword&gt;Microbial fuel cell&lt;/keyword&gt;&lt;keyword&gt;Polytetrafluoroethylene (PTFE)&lt;/keyword&gt;&lt;keyword&gt;Poly(dimethylsiloxane) (PDMS)&lt;/keyword&gt;&lt;keyword&gt;Low cost&lt;/keyword&gt;&lt;/keywords&gt;&lt;dates&gt;&lt;year&gt;2011&lt;/year&gt;&lt;/dates&gt;&lt;isbn&gt;0378-7753&lt;/isbn&gt;&lt;work-type&gt;doi: 10.1016/j.jpowsour.2011.07.077&lt;/work-type&gt;&lt;urls&gt;&lt;related-urls&gt;&lt;url&gt;http://www.sciencedirect.com/science/article/pii/S037877531101487X&lt;/url&gt;&lt;/related-urls&gt;&lt;/urls&gt;&lt;/record&gt;&lt;/Cite&gt;&lt;/EndNote&gt;</w:instrText>
      </w:r>
      <w:r w:rsidRPr="00B261C9">
        <w:rPr>
          <w:rFonts w:ascii="Times New Roman" w:hAnsi="Times New Roman"/>
          <w:noProof/>
          <w:sz w:val="20"/>
          <w:szCs w:val="20"/>
          <w:lang w:val="en-GB"/>
        </w:rPr>
        <w:fldChar w:fldCharType="separate"/>
      </w:r>
      <w:r w:rsidRPr="00B261C9">
        <w:rPr>
          <w:rFonts w:ascii="Times New Roman" w:hAnsi="Times New Roman"/>
          <w:noProof/>
          <w:sz w:val="20"/>
          <w:szCs w:val="20"/>
          <w:lang w:val="en-GB"/>
        </w:rPr>
        <w:t>[14]</w:t>
      </w:r>
      <w:r w:rsidRPr="00B261C9">
        <w:rPr>
          <w:rFonts w:ascii="Times New Roman" w:hAnsi="Times New Roman"/>
          <w:noProof/>
          <w:sz w:val="20"/>
          <w:szCs w:val="20"/>
          <w:lang w:val="en-GB"/>
        </w:rPr>
        <w:fldChar w:fldCharType="end"/>
      </w:r>
      <w:r w:rsidRPr="00B261C9">
        <w:rPr>
          <w:rFonts w:ascii="Times New Roman" w:hAnsi="Times New Roman"/>
          <w:noProof/>
          <w:sz w:val="20"/>
          <w:szCs w:val="20"/>
          <w:lang w:val="en-GB"/>
        </w:rPr>
        <w:t xml:space="preserve"> and </w:t>
      </w:r>
      <w:r w:rsidRPr="00B261C9">
        <w:rPr>
          <w:rFonts w:ascii="Times New Roman" w:hAnsi="Times New Roman"/>
          <w:noProof/>
          <w:sz w:val="20"/>
          <w:szCs w:val="20"/>
        </w:rPr>
        <w:t xml:space="preserve">Watson and Logan, </w:t>
      </w:r>
      <w:r w:rsidRPr="00B261C9">
        <w:rPr>
          <w:rFonts w:ascii="Times New Roman" w:hAnsi="Times New Roman"/>
          <w:noProof/>
          <w:sz w:val="20"/>
          <w:szCs w:val="20"/>
        </w:rPr>
        <w:fldChar w:fldCharType="begin"/>
      </w:r>
      <w:r w:rsidRPr="00B261C9">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B261C9">
        <w:rPr>
          <w:rFonts w:ascii="Times New Roman" w:hAnsi="Times New Roman"/>
          <w:noProof/>
          <w:sz w:val="20"/>
          <w:szCs w:val="20"/>
        </w:rPr>
        <w:fldChar w:fldCharType="separate"/>
      </w:r>
      <w:r w:rsidRPr="00B261C9">
        <w:rPr>
          <w:rFonts w:ascii="Times New Roman" w:hAnsi="Times New Roman"/>
          <w:noProof/>
          <w:sz w:val="20"/>
          <w:szCs w:val="20"/>
        </w:rPr>
        <w:t>[15]</w:t>
      </w:r>
      <w:r w:rsidRPr="00B261C9">
        <w:rPr>
          <w:rFonts w:ascii="Times New Roman" w:hAnsi="Times New Roman"/>
          <w:noProof/>
          <w:sz w:val="20"/>
          <w:szCs w:val="20"/>
        </w:rPr>
        <w:fldChar w:fldCharType="end"/>
      </w:r>
      <w:r w:rsidRPr="00B261C9">
        <w:rPr>
          <w:rFonts w:ascii="Times New Roman" w:hAnsi="Times New Roman"/>
          <w:noProof/>
          <w:sz w:val="20"/>
          <w:szCs w:val="20"/>
        </w:rPr>
        <w:t xml:space="preserve"> to obtain the open circuit voltage (OCV), </w:t>
      </w:r>
      <w:r w:rsidRPr="00B261C9">
        <w:rPr>
          <w:rFonts w:ascii="Times New Roman" w:hAnsi="Times New Roman"/>
          <w:i/>
          <w:noProof/>
          <w:sz w:val="20"/>
          <w:szCs w:val="20"/>
        </w:rPr>
        <w:t>P</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w:t>
      </w:r>
      <w:r w:rsidRPr="00B261C9">
        <w:rPr>
          <w:rFonts w:ascii="Times New Roman" w:hAnsi="Times New Roman"/>
          <w:i/>
          <w:noProof/>
          <w:sz w:val="20"/>
          <w:szCs w:val="20"/>
        </w:rPr>
        <w:t>I</w:t>
      </w:r>
      <w:r w:rsidRPr="00B261C9">
        <w:rPr>
          <w:rFonts w:ascii="Times New Roman" w:hAnsi="Times New Roman"/>
          <w:i/>
          <w:noProof/>
          <w:sz w:val="20"/>
          <w:szCs w:val="20"/>
          <w:vertAlign w:val="subscript"/>
        </w:rPr>
        <w:t>max</w:t>
      </w:r>
      <w:r w:rsidRPr="00B261C9">
        <w:rPr>
          <w:rFonts w:ascii="Times New Roman" w:hAnsi="Times New Roman"/>
          <w:noProof/>
          <w:sz w:val="20"/>
          <w:szCs w:val="20"/>
        </w:rPr>
        <w:t xml:space="preserve"> and </w:t>
      </w:r>
      <w:r w:rsidRPr="00B261C9">
        <w:rPr>
          <w:rFonts w:ascii="Times New Roman" w:hAnsi="Times New Roman"/>
          <w:i/>
          <w:noProof/>
          <w:sz w:val="20"/>
          <w:szCs w:val="20"/>
        </w:rPr>
        <w:t>R</w:t>
      </w:r>
      <w:r w:rsidRPr="00B261C9">
        <w:rPr>
          <w:rFonts w:ascii="Times New Roman" w:hAnsi="Times New Roman"/>
          <w:i/>
          <w:noProof/>
          <w:sz w:val="20"/>
          <w:szCs w:val="20"/>
          <w:vertAlign w:val="subscript"/>
        </w:rPr>
        <w:t xml:space="preserve">int </w:t>
      </w:r>
      <w:r w:rsidRPr="00B261C9">
        <w:rPr>
          <w:rFonts w:ascii="Times New Roman" w:hAnsi="Times New Roman"/>
          <w:noProof/>
          <w:sz w:val="20"/>
          <w:szCs w:val="20"/>
        </w:rPr>
        <w:t>of the system</w:t>
      </w:r>
      <w:r w:rsidRPr="00B261C9">
        <w:rPr>
          <w:rFonts w:ascii="Times New Roman" w:hAnsi="Times New Roman"/>
          <w:noProof/>
          <w:sz w:val="20"/>
          <w:szCs w:val="20"/>
          <w:lang w:val="en-GB"/>
        </w:rPr>
        <w:t>. In this study, the polarization curves were obtained using multiple resistors (820 kΩ to 18 kΩ), with each resistance changed in decreasing order after every pseudo steady-state achieved or not more than 20 min intervals (which ever comes first) over a complete fed batch cycle.</w:t>
      </w:r>
      <w:r w:rsidRPr="00B261C9">
        <w:rPr>
          <w:rFonts w:ascii="Times New Roman" w:hAnsi="Times New Roman"/>
          <w:noProof/>
          <w:color w:val="FF0000"/>
          <w:sz w:val="20"/>
          <w:szCs w:val="20"/>
        </w:rPr>
        <w:t xml:space="preserve"> </w:t>
      </w:r>
      <w:r w:rsidRPr="00B261C9">
        <w:rPr>
          <w:rFonts w:ascii="Times New Roman" w:hAnsi="Times New Roman"/>
          <w:noProof/>
          <w:sz w:val="20"/>
          <w:szCs w:val="20"/>
          <w:lang w:val="en-GB"/>
        </w:rPr>
        <w:t>Analysis was conducted once the voltage output was stabilised after replenishing the media. The analysis was done for two consecutive cycles to ensure that the voltage response was unchanged with successive cycles.</w:t>
      </w:r>
    </w:p>
    <w:p w:rsidR="00D01991" w:rsidRDefault="00D01991" w:rsidP="00D01991">
      <w:pPr>
        <w:spacing w:after="0" w:line="240" w:lineRule="auto"/>
        <w:jc w:val="center"/>
        <w:rPr>
          <w:rFonts w:ascii="Times New Roman" w:hAnsi="Times New Roman"/>
          <w:b/>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01991" w:rsidRPr="00F235BF" w:rsidRDefault="00D01991" w:rsidP="00D01991">
      <w:pPr>
        <w:spacing w:after="0" w:line="240" w:lineRule="auto"/>
        <w:jc w:val="both"/>
        <w:rPr>
          <w:rFonts w:ascii="Times New Roman" w:hAnsi="Times New Roman"/>
          <w:sz w:val="20"/>
          <w:szCs w:val="20"/>
          <w:shd w:val="clear" w:color="auto" w:fill="FFFFFF"/>
        </w:rPr>
      </w:pPr>
      <w:r w:rsidRPr="00D404B0">
        <w:rPr>
          <w:rFonts w:ascii="Times New Roman" w:hAnsi="Times New Roman"/>
          <w:sz w:val="20"/>
          <w:szCs w:val="20"/>
          <w:lang w:val="en-GB"/>
        </w:rPr>
        <w:t>Current density shows that once the anode poising was discontinued, only anaerobic MFCs show high current density with total daily average from day-8 till day-25 of 38.26 ± 0.13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and lowest by aerobic MFCs of 2.08 ± 0.01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while the control gave an average of 20.65 ± 0.28 mA/ m</w:t>
      </w:r>
      <w:r w:rsidRPr="00D404B0">
        <w:rPr>
          <w:rFonts w:ascii="Times New Roman" w:hAnsi="Times New Roman"/>
          <w:sz w:val="20"/>
          <w:szCs w:val="20"/>
          <w:vertAlign w:val="superscript"/>
          <w:lang w:val="en-GB"/>
        </w:rPr>
        <w:t>2</w:t>
      </w:r>
      <w:r>
        <w:rPr>
          <w:rFonts w:ascii="Times New Roman" w:hAnsi="Times New Roman"/>
          <w:sz w:val="20"/>
          <w:szCs w:val="20"/>
          <w:lang w:val="en-GB"/>
        </w:rPr>
        <w:t xml:space="preserve"> (Figure 2)</w:t>
      </w:r>
      <w:r w:rsidRPr="00D404B0">
        <w:rPr>
          <w:rFonts w:ascii="Times New Roman" w:hAnsi="Times New Roman"/>
          <w:sz w:val="20"/>
          <w:szCs w:val="20"/>
          <w:lang w:val="en-GB"/>
        </w:rPr>
        <w:t>. As soon as the MFC characterisation started (day 23, 24 and 25), the aerobic MFCs began to show significant in current density (t-test, p&lt;0.05), which is higher than anaerobic MFCs with total daily average from day-26 till day-30 of 70.93 ± 0.19 and 67.49 ± 0.32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respectively. For the control system, there was not much increase in current density recorded after day-26, 30.69 ± 0.68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w:t>
      </w:r>
    </w:p>
    <w:p w:rsidR="00D01991" w:rsidRDefault="00D01991" w:rsidP="00D01991">
      <w:pPr>
        <w:spacing w:after="0" w:line="240" w:lineRule="auto"/>
        <w:jc w:val="both"/>
        <w:rPr>
          <w:rFonts w:ascii="Times New Roman" w:hAnsi="Times New Roman"/>
          <w:sz w:val="20"/>
          <w:szCs w:val="20"/>
        </w:rPr>
      </w:pPr>
    </w:p>
    <w:p w:rsidR="00D01991" w:rsidRPr="00D404B0" w:rsidRDefault="00D01991" w:rsidP="00D01991">
      <w:pPr>
        <w:spacing w:after="0" w:line="240" w:lineRule="auto"/>
        <w:jc w:val="both"/>
        <w:rPr>
          <w:rFonts w:ascii="Times New Roman" w:hAnsi="Times New Roman"/>
          <w:sz w:val="20"/>
          <w:szCs w:val="20"/>
        </w:rPr>
      </w:pPr>
    </w:p>
    <w:p w:rsidR="00D01991" w:rsidRPr="00D404B0" w:rsidRDefault="00D01991" w:rsidP="00D01991">
      <w:pPr>
        <w:spacing w:after="0" w:line="240" w:lineRule="auto"/>
        <w:jc w:val="center"/>
        <w:rPr>
          <w:rFonts w:ascii="Times New Roman" w:hAnsi="Times New Roman"/>
          <w:sz w:val="20"/>
          <w:szCs w:val="20"/>
          <w:shd w:val="clear" w:color="auto" w:fill="FFFFFF"/>
        </w:rPr>
      </w:pPr>
      <w:bookmarkStart w:id="7" w:name="_Ref254816684"/>
      <w:bookmarkStart w:id="8" w:name="_Toc418235779"/>
      <w:bookmarkStart w:id="9" w:name="_Toc425849623"/>
      <w:r w:rsidRPr="00D404B0">
        <w:rPr>
          <w:rFonts w:ascii="Times New Roman" w:hAnsi="Times New Roman"/>
          <w:noProof/>
          <w:sz w:val="20"/>
          <w:szCs w:val="20"/>
          <w:lang w:bidi="ar-SA"/>
        </w:rPr>
        <w:drawing>
          <wp:inline distT="0" distB="0" distL="0" distR="0" wp14:anchorId="7FBF883B" wp14:editId="71DA4BB2">
            <wp:extent cx="4228185" cy="1324052"/>
            <wp:effectExtent l="19050" t="19050" r="203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9287" cy="1336923"/>
                    </a:xfrm>
                    <a:prstGeom prst="rect">
                      <a:avLst/>
                    </a:prstGeom>
                    <a:noFill/>
                    <a:ln>
                      <a:solidFill>
                        <a:schemeClr val="tx1"/>
                      </a:solidFill>
                    </a:ln>
                  </pic:spPr>
                </pic:pic>
              </a:graphicData>
            </a:graphic>
          </wp:inline>
        </w:drawing>
      </w:r>
    </w:p>
    <w:p w:rsidR="00D01991" w:rsidRDefault="00D01991" w:rsidP="00D01991">
      <w:pPr>
        <w:spacing w:after="0" w:line="240" w:lineRule="auto"/>
        <w:ind w:left="851" w:hanging="851"/>
        <w:jc w:val="both"/>
        <w:rPr>
          <w:rFonts w:ascii="Times New Roman" w:hAnsi="Times New Roman"/>
          <w:sz w:val="20"/>
          <w:szCs w:val="20"/>
          <w:shd w:val="clear" w:color="auto" w:fill="FFFFFF"/>
        </w:rPr>
      </w:pPr>
    </w:p>
    <w:p w:rsidR="00D01991" w:rsidRPr="00D404B0" w:rsidRDefault="00D01991" w:rsidP="00D01991">
      <w:pPr>
        <w:spacing w:after="0" w:line="240" w:lineRule="auto"/>
        <w:ind w:left="855" w:hanging="855"/>
        <w:rPr>
          <w:rFonts w:ascii="Times New Roman" w:hAnsi="Times New Roman"/>
          <w:sz w:val="20"/>
          <w:szCs w:val="20"/>
          <w:lang w:val="en-GB"/>
        </w:rPr>
      </w:pPr>
      <w:r w:rsidRPr="00D404B0">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E96ED10" wp14:editId="5F117353">
                <wp:simplePos x="0" y="0"/>
                <wp:positionH relativeFrom="column">
                  <wp:posOffset>5629910</wp:posOffset>
                </wp:positionH>
                <wp:positionV relativeFrom="paragraph">
                  <wp:posOffset>168910</wp:posOffset>
                </wp:positionV>
                <wp:extent cx="74295" cy="84455"/>
                <wp:effectExtent l="0" t="0" r="20955" b="10795"/>
                <wp:wrapNone/>
                <wp:docPr id="3" name="Isosceles Triangle 3"/>
                <wp:cNvGraphicFramePr/>
                <a:graphic xmlns:a="http://schemas.openxmlformats.org/drawingml/2006/main">
                  <a:graphicData uri="http://schemas.microsoft.com/office/word/2010/wordprocessingShape">
                    <wps:wsp>
                      <wps:cNvSpPr/>
                      <wps:spPr>
                        <a:xfrm>
                          <a:off x="0" y="0"/>
                          <a:ext cx="74295" cy="84455"/>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443.3pt;margin-top:13.3pt;width:5.85pt;height:6.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" fillcolor="#bfbfbf [2412]" strokecolor="#bfbfbf [2412]" strokeweight="2pt"/>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B82224D" wp14:editId="0A6AB413">
                <wp:simplePos x="0" y="0"/>
                <wp:positionH relativeFrom="column">
                  <wp:posOffset>4396740</wp:posOffset>
                </wp:positionH>
                <wp:positionV relativeFrom="paragraph">
                  <wp:posOffset>255905</wp:posOffset>
                </wp:positionV>
                <wp:extent cx="0" cy="165100"/>
                <wp:effectExtent l="76200" t="38100" r="57150" b="25400"/>
                <wp:wrapNone/>
                <wp:docPr id="27" name="Straight Arrow Connector 27"/>
                <wp:cNvGraphicFramePr/>
                <a:graphic xmlns:a="http://schemas.openxmlformats.org/drawingml/2006/main">
                  <a:graphicData uri="http://schemas.microsoft.com/office/word/2010/wordprocessingShape">
                    <wps:wsp>
                      <wps:cNvCnPr/>
                      <wps:spPr>
                        <a:xfrm flipV="1">
                          <a:off x="0" y="0"/>
                          <a:ext cx="0" cy="16510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46.2pt;margin-top:20.15pt;width:0;height:13pt;flip:y;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" strokecolor="#7f7f7f [1612]">
                <v:stroke endarrow="block"/>
              </v:shape>
            </w:pict>
          </mc:Fallback>
        </mc:AlternateContent>
      </w:r>
      <w:r w:rsidRPr="00D404B0">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3A8AF70C" wp14:editId="00345F68">
                <wp:simplePos x="0" y="0"/>
                <wp:positionH relativeFrom="column">
                  <wp:posOffset>2917190</wp:posOffset>
                </wp:positionH>
                <wp:positionV relativeFrom="paragraph">
                  <wp:posOffset>188595</wp:posOffset>
                </wp:positionV>
                <wp:extent cx="95250" cy="63500"/>
                <wp:effectExtent l="19050" t="19050" r="38100" b="31750"/>
                <wp:wrapNone/>
                <wp:docPr id="4" name="Diamond 4"/>
                <wp:cNvGraphicFramePr/>
                <a:graphic xmlns:a="http://schemas.openxmlformats.org/drawingml/2006/main">
                  <a:graphicData uri="http://schemas.microsoft.com/office/word/2010/wordprocessingShape">
                    <wps:wsp>
                      <wps:cNvSpPr/>
                      <wps:spPr>
                        <a:xfrm>
                          <a:off x="0" y="0"/>
                          <a:ext cx="95250" cy="6350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 coordsize="21600,21600" o:spt="4" path="m10800,l,10800,10800,21600,21600,10800xe">
                <v:stroke joinstyle="miter"/>
                <v:path gradientshapeok="t" o:connecttype="rect" textboxrect="5400,5400,16200,16200"/>
              </v:shapetype>
              <v:shape id="Diamond 4" o:spid="_x0000_s1026" type="#_x0000_t4" style="position:absolute;margin-left:229.7pt;margin-top:14.85pt;width:7.5pt;height: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" fillcolor="black [3213]" strokecolor="black [3213]" strokeweight="2pt"/>
            </w:pict>
          </mc:Fallback>
        </mc:AlternateContent>
      </w:r>
      <w:r w:rsidRPr="00D404B0">
        <w:rPr>
          <w:rFonts w:ascii="Times New Roman" w:hAnsi="Times New Roman"/>
          <w:sz w:val="20"/>
          <w:szCs w:val="20"/>
          <w:shd w:val="clear" w:color="auto" w:fill="FFFFFF"/>
        </w:rPr>
        <w:t xml:space="preserve">Figure </w:t>
      </w:r>
      <w:r w:rsidRPr="00D404B0">
        <w:rPr>
          <w:rFonts w:ascii="Times New Roman" w:hAnsi="Times New Roman"/>
          <w:sz w:val="20"/>
          <w:szCs w:val="20"/>
          <w:shd w:val="clear" w:color="auto" w:fill="FFFFFF"/>
        </w:rPr>
        <w:fldChar w:fldCharType="begin"/>
      </w:r>
      <w:r w:rsidRPr="00D404B0">
        <w:rPr>
          <w:rFonts w:ascii="Times New Roman" w:hAnsi="Times New Roman"/>
          <w:sz w:val="20"/>
          <w:szCs w:val="20"/>
          <w:shd w:val="clear" w:color="auto" w:fill="FFFFFF"/>
        </w:rPr>
        <w:instrText xml:space="preserve"> SEQ Figure \* ARABIC \s 1 </w:instrText>
      </w:r>
      <w:r w:rsidRPr="00D404B0">
        <w:rPr>
          <w:rFonts w:ascii="Times New Roman" w:hAnsi="Times New Roman"/>
          <w:sz w:val="20"/>
          <w:szCs w:val="20"/>
          <w:shd w:val="clear" w:color="auto" w:fill="FFFFFF"/>
        </w:rPr>
        <w:fldChar w:fldCharType="separate"/>
      </w:r>
      <w:r w:rsidR="00763CB9">
        <w:rPr>
          <w:rFonts w:ascii="Times New Roman" w:hAnsi="Times New Roman"/>
          <w:noProof/>
          <w:sz w:val="20"/>
          <w:szCs w:val="20"/>
          <w:shd w:val="clear" w:color="auto" w:fill="FFFFFF"/>
        </w:rPr>
        <w:t>2</w:t>
      </w:r>
      <w:r w:rsidRPr="00D404B0">
        <w:rPr>
          <w:rFonts w:ascii="Times New Roman" w:hAnsi="Times New Roman"/>
          <w:sz w:val="20"/>
          <w:szCs w:val="20"/>
          <w:shd w:val="clear" w:color="auto" w:fill="FFFFFF"/>
        </w:rPr>
        <w:fldChar w:fldCharType="end"/>
      </w:r>
      <w:bookmarkEnd w:id="7"/>
      <w:r w:rsidRPr="00D404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r>
      <w:r w:rsidRPr="00D404B0">
        <w:rPr>
          <w:rFonts w:ascii="Times New Roman" w:hAnsi="Times New Roman"/>
          <w:sz w:val="20"/>
          <w:szCs w:val="20"/>
          <w:shd w:val="clear" w:color="auto" w:fill="FFFFFF"/>
        </w:rPr>
        <w:t>Biocatalytic current generation compared between aerobic and anaerobic environment</w:t>
      </w:r>
      <w:bookmarkEnd w:id="8"/>
      <w:r w:rsidRPr="00D404B0">
        <w:rPr>
          <w:rFonts w:ascii="Times New Roman" w:hAnsi="Times New Roman"/>
          <w:sz w:val="20"/>
          <w:szCs w:val="20"/>
          <w:shd w:val="clear" w:color="auto" w:fill="FFFFFF"/>
        </w:rPr>
        <w:t>.</w:t>
      </w:r>
      <w:bookmarkEnd w:id="9"/>
      <w:r w:rsidRPr="00D404B0">
        <w:rPr>
          <w:rFonts w:ascii="Times New Roman" w:hAnsi="Times New Roman"/>
          <w:bCs/>
          <w:sz w:val="20"/>
          <w:szCs w:val="20"/>
          <w:shd w:val="clear" w:color="auto" w:fill="FFFFFF"/>
          <w:lang w:val="en-GB"/>
        </w:rPr>
        <w:t>The air-cathode MFCs: anode chamber bubbled with nitrogen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xml:space="preserve">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 anode chamber bubbled with air (</w:t>
      </w:r>
      <w:r w:rsidRPr="00D404B0">
        <w:rPr>
          <w:rFonts w:ascii="Times New Roman" w:hAnsi="Times New Roman"/>
          <w:bCs/>
          <w:color w:val="4A442A" w:themeColor="background2" w:themeShade="40"/>
          <w:sz w:val="20"/>
          <w:szCs w:val="20"/>
          <w:shd w:val="clear" w:color="auto" w:fill="FFFFFF"/>
          <w:lang w:val="en-GB"/>
        </w:rPr>
        <w:t>x</w:t>
      </w:r>
      <w:r w:rsidRPr="00D404B0">
        <w:rPr>
          <w:rFonts w:ascii="Times New Roman" w:hAnsi="Times New Roman"/>
          <w:bCs/>
          <w:sz w:val="20"/>
          <w:szCs w:val="20"/>
          <w:shd w:val="clear" w:color="auto" w:fill="FFFFFF"/>
          <w:lang w:val="en-GB"/>
        </w:rPr>
        <w:t xml:space="preserve">) and control (  </w:t>
      </w:r>
      <w:r>
        <w:rPr>
          <w:rFonts w:ascii="Times New Roman" w:hAnsi="Times New Roman"/>
          <w:bCs/>
          <w:sz w:val="20"/>
          <w:szCs w:val="20"/>
          <w:shd w:val="clear" w:color="auto" w:fill="FFFFFF"/>
          <w:lang w:val="en-GB"/>
        </w:rPr>
        <w:t xml:space="preserve"> ). </w:t>
      </w:r>
      <w:r w:rsidRPr="00D404B0">
        <w:rPr>
          <w:rFonts w:ascii="Times New Roman" w:hAnsi="Times New Roman"/>
          <w:bCs/>
          <w:sz w:val="20"/>
          <w:szCs w:val="20"/>
          <w:shd w:val="clear" w:color="auto" w:fill="FFFFFF"/>
          <w:lang w:val="en-GB"/>
        </w:rPr>
        <w:t xml:space="preserve">The frequency of batch feeding mode was in daily average (represented by   </w:t>
      </w:r>
      <w:r>
        <w:rPr>
          <w:rFonts w:ascii="Times New Roman" w:hAnsi="Times New Roman"/>
          <w:bCs/>
          <w:sz w:val="20"/>
          <w:szCs w:val="20"/>
          <w:shd w:val="clear" w:color="auto" w:fill="FFFFFF"/>
          <w:lang w:val="en-GB"/>
        </w:rPr>
        <w:t xml:space="preserve"> </w:t>
      </w:r>
      <w:r w:rsidRPr="00D404B0">
        <w:rPr>
          <w:rFonts w:ascii="Times New Roman" w:hAnsi="Times New Roman"/>
          <w:bCs/>
          <w:sz w:val="20"/>
          <w:szCs w:val="20"/>
          <w:shd w:val="clear" w:color="auto" w:fill="FFFFFF"/>
          <w:lang w:val="en-GB"/>
        </w:rPr>
        <w:t>)</w:t>
      </w:r>
      <w:r w:rsidRPr="00D404B0">
        <w:rPr>
          <w:rFonts w:ascii="Times New Roman" w:hAnsi="Times New Roman"/>
          <w:sz w:val="20"/>
          <w:szCs w:val="20"/>
          <w:lang w:val="en-GB"/>
        </w:rPr>
        <w:t>(n=2).</w:t>
      </w:r>
    </w:p>
    <w:p w:rsidR="00D01991"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poising of the anode was to allow consistent control of the biofilm electrode potential, by making the electrode as the sole electron acceptor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&lt;EndNote&gt;&lt;Cite&gt;&lt;Author&gt;Babauta&lt;/Author&gt;&lt;Year&gt;2012&lt;/Year&gt;&lt;RecNum&gt;678&lt;/RecNum&gt;&lt;DisplayText&gt;[16]&lt;/DisplayText&gt;&lt;record&gt;&lt;rec-number&gt;678&lt;/rec-number&gt;&lt;foreign-keys&gt;&lt;key app="EN" db-id="pev00ptf6vtps6eafrqvzezz9dd2pprw2s2v" timestamp="0"&gt;678&lt;/key&gt;&lt;/foreign-keys&gt;&lt;ref-type name="Journal Article"&gt;17&lt;/ref-type&gt;&lt;contributors&gt;&lt;authors&gt;&lt;author&gt;Babauta, Jerome&lt;/author&gt;&lt;author&gt;Renslow, Ryan&lt;/author&gt;&lt;author&gt;Lewandowski, Zbigniew&lt;/author&gt;&lt;author&gt;Beyenal, Haluk&lt;/author&gt;&lt;/authors&gt;&lt;/contributors&gt;&lt;titles&gt;&lt;title&gt;Electrochemically active biofilms: facts and fiction. A review&lt;/title&gt;&lt;secondary-title&gt;Biofouling&lt;/secondary-title&gt;&lt;/titles&gt;&lt;pages&gt;789-812&lt;/pages&gt;&lt;volume&gt;28&lt;/volume&gt;&lt;number&gt;8&lt;/number&gt;&lt;dates&gt;&lt;year&gt;2012&lt;/year&gt;&lt;pub-dates&gt;&lt;date&gt;2012/09/01&lt;/date&gt;&lt;/pub-dates&gt;&lt;/dates&gt;&lt;publisher&gt;Taylor &amp;amp; Francis&lt;/publisher&gt;&lt;isbn&gt;0892-7014&lt;/isbn&gt;&lt;work-type&gt;doi: 10.1080/08927014.2012.710324&lt;/work-type&gt;&lt;urls&gt;&lt;related-urls&gt;&lt;url&gt;http://dx.doi.org/10.1080/08927014.2012.710324&lt;/url&gt;&lt;/related-urls&gt;&lt;/urls&gt;&lt;electronic-resource-num&gt;10.1080/08927014.2012.710324&lt;/electronic-resource-num&gt;&lt;access-date&gt;2013/08/11&lt;/access-date&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[16]</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reason of nitrogen bubbling into the anode compartment was to accelerate the anaerobic condition in the system simultaneously increase the MFC electrochemical performance. The control MFCs were solely depending on the bacteria in the anode chamber to create anaerobic environment by gradually consuming the soluble oxygen in the anolyte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&lt;EndNote&gt;&lt;Cite&gt;&lt;Author&gt;Ringeisen&lt;/Author&gt;&lt;Year&gt;2007&lt;/Year&gt;&lt;RecNum&gt;16&lt;/RecNum&gt;&lt;DisplayText&gt;[17]&lt;/DisplayText&gt;&lt;record&gt;&lt;rec-number&gt;16&lt;/rec-number&gt;&lt;foreign-keys&gt;&lt;key app="EN" db-id="pev00ptf6vtps6eafrqvzezz9dd2pprw2s2v" timestamp="0"&gt;16&lt;/key&gt;&lt;/foreign-keys&gt;&lt;ref-type name="Journal Article"&gt;17&lt;/ref-type&gt;&lt;contributors&gt;&lt;authors&gt;&lt;author&gt;Ringeisen, Bradley R. &lt;/author&gt;&lt;author&gt;Ray,Ricky &lt;/author&gt;&lt;author&gt;Little,Brenda &lt;/author&gt;&lt;/authors&gt;&lt;/contributors&gt;&lt;titles&gt;&lt;title&gt;A miniature microbial fuel cell operating with an aerobic anode chamber&lt;/title&gt;&lt;secondary-title&gt;Journal of Power Sources&lt;/secondary-title&gt;&lt;/titles&gt;&lt;periodical&gt;&lt;full-title&gt;Journal of Power Sources&lt;/full-title&gt;&lt;/periodical&gt;&lt;pages&gt;591-597&lt;/pages&gt;&lt;volume&gt;165&lt;/volume&gt;&lt;dates&gt;&lt;year&gt;2007&lt;/year&gt;&lt;/dates&gt;&lt;urls&gt;&lt;/urls&gt;&lt;electronic-resource-num&gt;10.1016/j.jpowsour.2006.10.026&lt;/electronic-resource-num&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The current density generated by the control MFCs was almost 2-fold less than that generated by nitrogen bubbled MFCs. The high mass of bacteria inoculated in the anode compartment of the control MFCs, capable to consume oxygen available in the chamber for a short time. When the condition became suitable for anaerobic bacteria to survive and perform anodophilic transfer, then only current density started to gain pace. A similar situation was observed by </w:t>
      </w:r>
      <w:r w:rsidRPr="00D404B0">
        <w:rPr>
          <w:rFonts w:ascii="Times New Roman" w:hAnsi="Times New Roman"/>
          <w:noProof/>
          <w:sz w:val="20"/>
          <w:szCs w:val="20"/>
        </w:rPr>
        <w:t xml:space="preserve">Hutchinson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&lt;EndNote&gt;&lt;Cite&gt;&lt;Author&gt;Hutchinson&lt;/Author&gt;&lt;Year&gt;2011&lt;/Year&gt;&lt;RecNum&gt;543&lt;/RecNum&gt;&lt;DisplayText&gt;[18]&lt;/DisplayText&gt;&lt;record&gt;&lt;rec-number&gt;543&lt;/rec-number&gt;&lt;foreign-keys&gt;&lt;key app="EN" db-id="pev00ptf6vtps6eafrqvzezz9dd2pprw2s2v" timestamp="0"&gt;543&lt;/key&gt;&lt;/foreign-keys&gt;&lt;ref-type name="Journal Article"&gt;17&lt;/ref-type&gt;&lt;contributors&gt;&lt;authors&gt;&lt;author&gt;Hutchinson, Adam J.&lt;/author&gt;&lt;author&gt;Tokash, Justin C.&lt;/author&gt;&lt;author&gt;Logan, Bruce E.&lt;/author&gt;&lt;/authors&gt;&lt;/contributors&gt;&lt;titles&gt;&lt;title&gt;Analysis of carbon fiber brush loading in anodes on startup and performance of microbial fuel cells&lt;/title&gt;&lt;secondary-title&gt;Journal of Power Sources&lt;/secondary-title&gt;&lt;/titles&gt;&lt;periodical&gt;&lt;full-title&gt;Journal of Power Sources&lt;/full-title&gt;&lt;/periodical&gt;&lt;pages&gt;9213-9219&lt;/pages&gt;&lt;volume&gt;196&lt;/volume&gt;&lt;number&gt;22&lt;/number&gt;&lt;keywords&gt;&lt;keyword&gt;Microbial fuel cell&lt;/keyword&gt;&lt;keyword&gt;Carbon fiber brush anodes&lt;/keyword&gt;&lt;keyword&gt;Internal resistance&lt;/keyword&gt;&lt;keyword&gt;Electrochemical impedance spectroscopy&lt;/keyword&gt;&lt;/keywords&gt;&lt;dates&gt;&lt;year&gt;2011&lt;/year&gt;&lt;/dates&gt;&lt;isbn&gt;0378-7753&lt;/isbn&gt;&lt;work-type&gt;doi: 10.1016/j.jpowsour.2011.07.040&lt;/work-type&gt;&lt;urls&gt;&lt;related-urls&gt;&lt;url&gt;http://www.sciencedirect.com/science/article/pii/S0378775311013784&lt;/url&gt;&lt;/related-urls&gt;&lt;/urls&gt;&lt;/record&gt;&lt;/Cite&gt;&lt;/EndNote&gt;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[18]</w:t>
      </w:r>
      <w:r w:rsidRPr="00D404B0">
        <w:rPr>
          <w:rFonts w:ascii="Times New Roman" w:hAnsi="Times New Roman"/>
          <w:noProof/>
          <w:sz w:val="20"/>
          <w:szCs w:val="20"/>
        </w:rPr>
        <w:fldChar w:fldCharType="end"/>
      </w:r>
      <w:r w:rsidRPr="00D404B0">
        <w:rPr>
          <w:rFonts w:ascii="Times New Roman" w:hAnsi="Times New Roman"/>
          <w:noProof/>
          <w:sz w:val="20"/>
          <w:szCs w:val="20"/>
        </w:rPr>
        <w:t>, who stated the importance of having the anode compartment free of diffused oxygen from the cathode esspecially during startup. In this study, feeding was done manually through a designated cavity at the top of the MFC reactor.</w:t>
      </w:r>
      <w:r w:rsidRPr="00D404B0">
        <w:rPr>
          <w:rFonts w:ascii="Times New Roman" w:hAnsi="Times New Roman"/>
          <w:sz w:val="20"/>
          <w:szCs w:val="20"/>
          <w:lang w:val="en-GB"/>
        </w:rPr>
        <w:t xml:space="preserve"> This action might allow air to seep into the control MFCs, while for the anaerobic MFCs, the pressure created by the nitrogen bubbled MFC kept the air out during feeding. Therefore, the nitrogen bubbled MFCs could generate high current without the interference of air. In contrast, air bubbled MFCs remained at much lower current density than the control MFCs during the gassing period. </w:t>
      </w: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The characterisation of the MFCs for power and polarization curves, appeared to increase the current intensity of the aerobic and the anaerobic MFCs. From the Ohm’s law in equation 1, new voltage at the electrodes can be obtained through changing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During the characterisation analysis,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applied had values larger than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used for the MFCs’ operation. The large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values were necessary to obtain the standard MFC characterisation and </w:t>
      </w:r>
      <w:r w:rsidRPr="00D404B0">
        <w:rPr>
          <w:rFonts w:ascii="Times New Roman" w:hAnsi="Times New Roman"/>
          <w:sz w:val="20"/>
          <w:szCs w:val="20"/>
          <w:lang w:val="en-GB"/>
        </w:rPr>
        <w:lastRenderedPageBreak/>
        <w:t xml:space="preserve">polarization curves. This might attributed to the moment surged in current intensity once the MFC characterisation was stopped and the system were again connected to the fixed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 xml:space="preserve">ext, </w:t>
      </w:r>
      <w:r w:rsidRPr="00D404B0">
        <w:rPr>
          <w:rFonts w:ascii="Times New Roman" w:hAnsi="Times New Roman"/>
          <w:sz w:val="20"/>
          <w:szCs w:val="20"/>
          <w:lang w:val="en-GB"/>
        </w:rPr>
        <w:t xml:space="preserve">which had much lower value. Similar incident was experienced by Aelterman et al.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&lt;EndNote&gt;&lt;Cite&gt;&lt;Author&gt;Aelterman&lt;/Author&gt;&lt;Year&gt;2008&lt;/Year&gt;&lt;RecNum&gt;216&lt;/RecNum&gt;&lt;DisplayText&gt;[19]&lt;/DisplayText&gt;&lt;record&gt;&lt;rec-number&gt;216&lt;/rec-number&gt;&lt;foreign-keys&gt;&lt;key app="EN" db-id="pev00ptf6vtps6eafrqvzezz9dd2pprw2s2v" timestamp="0"&gt;216&lt;/key&gt;&lt;/foreign-keys&gt;&lt;ref-type name="Journal Article"&gt;17&lt;/ref-type&gt;&lt;contributors&gt;&lt;authors&gt;&lt;author&gt;Aelterman, Peter &lt;/author&gt;&lt;author&gt;Versichele, Mathias &lt;/author&gt;&lt;author&gt;Boon, Nico &lt;/author&gt;&lt;author&gt;Verstraete,Willy &lt;/author&gt;&lt;/authors&gt;&lt;/contributors&gt;&lt;titles&gt;&lt;title&gt;Loading rate and external resistance control the electricity generation of microbial fuel cells with different three-dimensional anodes&lt;/title&gt;&lt;secondary-title&gt;Bioresource Technology&lt;/secondary-title&gt;&lt;/titles&gt;&lt;periodical&gt;&lt;full-title&gt;Bioresource Technology&lt;/full-title&gt;&lt;/periodical&gt;&lt;pages&gt;8895–8902&lt;/pages&gt;&lt;volume&gt;99&lt;/volume&gt;&lt;dates&gt;&lt;year&gt;2008&lt;/year&gt;&lt;/dates&gt;&lt;urls&gt;&lt;/urls&gt;&lt;/record&gt;&lt;/Cite&gt;&lt;/EndNote&gt;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[19]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their studies on the effect of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ranges towards MFCs current generation. They found that the current intensity of their MFCs increased by 3.29-fold when they changed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ext</w:t>
      </w:r>
      <w:r w:rsidRPr="00D404B0">
        <w:rPr>
          <w:rFonts w:ascii="Times New Roman" w:hAnsi="Times New Roman"/>
          <w:sz w:val="20"/>
          <w:szCs w:val="20"/>
          <w:lang w:val="en-GB"/>
        </w:rPr>
        <w:t xml:space="preserve"> from 50 to 10.5 Ω. However, further study is necessary to identify reason on how the aerobic increased in current density by one fold more than the anaerobic after characterisation analysis was done.</w:t>
      </w:r>
    </w:p>
    <w:p w:rsidR="00D01991" w:rsidRPr="00D404B0" w:rsidRDefault="00D01991" w:rsidP="00D01991">
      <w:pPr>
        <w:spacing w:after="0" w:line="240" w:lineRule="auto"/>
        <w:jc w:val="both"/>
        <w:rPr>
          <w:rFonts w:ascii="Times New Roman" w:hAnsi="Times New Roman"/>
          <w:sz w:val="20"/>
          <w:szCs w:val="20"/>
          <w:lang w:val="en-GB"/>
        </w:rPr>
      </w:pPr>
    </w:p>
    <w:p w:rsidR="00D01991" w:rsidRPr="00F235BF" w:rsidRDefault="00D01991" w:rsidP="00D01991">
      <w:pPr>
        <w:spacing w:after="0" w:line="240" w:lineRule="auto"/>
        <w:jc w:val="both"/>
        <w:rPr>
          <w:rFonts w:ascii="Times New Roman" w:hAnsi="Times New Roman"/>
          <w:sz w:val="20"/>
          <w:szCs w:val="20"/>
        </w:rPr>
      </w:pPr>
      <w:r w:rsidRPr="00D404B0">
        <w:rPr>
          <w:rFonts w:ascii="Times New Roman" w:hAnsi="Times New Roman"/>
          <w:sz w:val="20"/>
          <w:szCs w:val="20"/>
          <w:lang w:val="en-GB"/>
        </w:rPr>
        <w:t>The switching of gasses between air and nitrogen began on day-33 until day 44. The total daily average current calculated for the 11 days after gas swapping did not show any significant in current density (t-test, p &gt;0.05) between before (day-26 to 30) and after gas swapping for each MFC conditions (day-33 to 44): 49.89 ± 0.19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(nitrogen gassed MFCs) and 74.81 ± 0.18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xml:space="preserve"> (aerated MFCs)</w:t>
      </w:r>
      <w:r>
        <w:rPr>
          <w:rFonts w:ascii="Times New Roman" w:hAnsi="Times New Roman"/>
          <w:sz w:val="20"/>
          <w:szCs w:val="20"/>
          <w:lang w:val="en-GB"/>
        </w:rPr>
        <w:t xml:space="preserve"> ( Figure 3</w:t>
      </w:r>
      <w:r w:rsidRPr="00D404B0">
        <w:rPr>
          <w:rFonts w:ascii="Times New Roman" w:hAnsi="Times New Roman"/>
          <w:sz w:val="20"/>
          <w:szCs w:val="20"/>
          <w:lang w:val="en-GB"/>
        </w:rPr>
        <w:t xml:space="preserve">). </w:t>
      </w:r>
    </w:p>
    <w:p w:rsidR="00D01991" w:rsidRDefault="00D01991" w:rsidP="00D01991">
      <w:pPr>
        <w:spacing w:after="0" w:line="240" w:lineRule="auto"/>
        <w:jc w:val="both"/>
        <w:rPr>
          <w:rFonts w:ascii="Times New Roman" w:hAnsi="Times New Roman"/>
          <w:color w:val="E36C0A" w:themeColor="accent6" w:themeShade="BF"/>
          <w:sz w:val="20"/>
          <w:szCs w:val="20"/>
          <w:lang w:val="en-GB"/>
        </w:rPr>
      </w:pPr>
    </w:p>
    <w:p w:rsidR="00D01991" w:rsidRPr="00D404B0" w:rsidRDefault="00D01991" w:rsidP="00D01991">
      <w:pPr>
        <w:spacing w:after="0" w:line="240" w:lineRule="auto"/>
        <w:jc w:val="both"/>
        <w:rPr>
          <w:rFonts w:ascii="Times New Roman" w:hAnsi="Times New Roman"/>
          <w:color w:val="E36C0A" w:themeColor="accent6" w:themeShade="BF"/>
          <w:sz w:val="20"/>
          <w:szCs w:val="20"/>
          <w:lang w:val="en-GB"/>
        </w:rPr>
      </w:pPr>
    </w:p>
    <w:p w:rsidR="00D01991" w:rsidRPr="00D404B0" w:rsidRDefault="00D01991" w:rsidP="00D01991">
      <w:pPr>
        <w:spacing w:after="0" w:line="240" w:lineRule="auto"/>
        <w:jc w:val="center"/>
        <w:rPr>
          <w:rFonts w:ascii="Times New Roman" w:hAnsi="Times New Roman"/>
          <w:sz w:val="20"/>
          <w:szCs w:val="20"/>
          <w:lang w:val="en-GB"/>
        </w:rPr>
      </w:pPr>
      <w:r w:rsidRPr="00D404B0">
        <w:rPr>
          <w:rFonts w:ascii="Times New Roman" w:hAnsi="Times New Roman"/>
          <w:sz w:val="20"/>
          <w:szCs w:val="20"/>
        </w:rPr>
        <w:object w:dxaOrig="1732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15pt;height:120.0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PBrush" ShapeID="_x0000_i1025" DrawAspect="Content" ObjectID="_1531603778" r:id="rId14"/>
        </w:object>
      </w:r>
    </w:p>
    <w:p w:rsidR="00D01991" w:rsidRDefault="00D01991" w:rsidP="00D01991">
      <w:pPr>
        <w:pStyle w:val="Caption"/>
      </w:pPr>
      <w:bookmarkStart w:id="10" w:name="_Ref273869356"/>
      <w:bookmarkStart w:id="11" w:name="_Ref426983592"/>
      <w:bookmarkStart w:id="12" w:name="_Toc418235778"/>
      <w:bookmarkStart w:id="13" w:name="_Toc425849624"/>
      <w:r w:rsidRPr="00D404B0">
        <w:rPr>
          <w:shd w:val="clear" w:color="auto" w:fill="FFFFFF"/>
        </w:rPr>
        <mc:AlternateContent>
          <mc:Choice Requires="wps">
            <w:drawing>
              <wp:anchor distT="0" distB="0" distL="114279" distR="114279" simplePos="0" relativeHeight="251667968" behindDoc="0" locked="0" layoutInCell="1" allowOverlap="1" wp14:anchorId="743CB64D" wp14:editId="582A978B">
                <wp:simplePos x="0" y="0"/>
                <wp:positionH relativeFrom="column">
                  <wp:posOffset>1933575</wp:posOffset>
                </wp:positionH>
                <wp:positionV relativeFrom="paragraph">
                  <wp:posOffset>107950</wp:posOffset>
                </wp:positionV>
                <wp:extent cx="0" cy="177165"/>
                <wp:effectExtent l="76200" t="0" r="57150" b="51435"/>
                <wp:wrapNone/>
                <wp:docPr id="3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tx1"/>
                          </a:solidFill>
                          <a:round/>
                          <a:headEnd type="triangle"/>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152.25pt;margin-top:8.5pt;width:0;height:13.95pt;flip:y;z-index:251667968;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" strokecolor="black [3213]">
                <v:stroke startarrow="block"/>
              </v:shape>
            </w:pict>
          </mc:Fallback>
        </mc:AlternateContent>
      </w:r>
    </w:p>
    <w:p w:rsidR="00D01991" w:rsidRPr="00D404B0" w:rsidRDefault="00D01991" w:rsidP="00D01991">
      <w:pPr>
        <w:pStyle w:val="Caption"/>
        <w:ind w:left="900" w:hanging="900"/>
        <w:rPr>
          <w:shd w:val="clear" w:color="auto" w:fill="FFFFFF"/>
        </w:rPr>
      </w:pPr>
      <w:r w:rsidRPr="00D404B0">
        <w:rPr>
          <w:shd w:val="clear" w:color="auto" w:fill="FFFFFF"/>
        </w:rPr>
        <mc:AlternateContent>
          <mc:Choice Requires="wps">
            <w:drawing>
              <wp:anchor distT="0" distB="0" distL="114279" distR="114279" simplePos="0" relativeHeight="251666944" behindDoc="0" locked="0" layoutInCell="1" allowOverlap="1" wp14:anchorId="7504830A" wp14:editId="492404C7">
                <wp:simplePos x="0" y="0"/>
                <wp:positionH relativeFrom="column">
                  <wp:posOffset>3330575</wp:posOffset>
                </wp:positionH>
                <wp:positionV relativeFrom="paragraph">
                  <wp:posOffset>137160</wp:posOffset>
                </wp:positionV>
                <wp:extent cx="0" cy="177165"/>
                <wp:effectExtent l="76200" t="38100" r="57150" b="13335"/>
                <wp:wrapNone/>
                <wp:docPr id="66"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165"/>
                        </a:xfrm>
                        <a:prstGeom prst="straightConnector1">
                          <a:avLst/>
                        </a:prstGeom>
                        <a:noFill/>
                        <a:ln w="9525">
                          <a:solidFill>
                            <a:schemeClr val="bg1">
                              <a:lumMod val="5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262.25pt;margin-top:10.8pt;width:0;height:13.95pt;flip:y;z-index:251666944;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" strokecolor="#7f7f7f [1612]">
                <v:stroke endarrow="block"/>
              </v:shape>
            </w:pict>
          </mc:Fallback>
        </mc:AlternateContent>
      </w:r>
      <w:bookmarkEnd w:id="10"/>
      <w:r w:rsidRPr="00D404B0">
        <w:t xml:space="preserve">Figure </w:t>
      </w:r>
      <w:r w:rsidRPr="00D404B0">
        <w:fldChar w:fldCharType="begin"/>
      </w:r>
      <w:r w:rsidRPr="00D404B0">
        <w:instrText xml:space="preserve"> SEQ Figure \* ARABIC </w:instrText>
      </w:r>
      <w:r w:rsidRPr="00D404B0">
        <w:fldChar w:fldCharType="separate"/>
      </w:r>
      <w:r w:rsidR="00763CB9">
        <w:t>3</w:t>
      </w:r>
      <w:r w:rsidRPr="00D404B0">
        <w:fldChar w:fldCharType="end"/>
      </w:r>
      <w:bookmarkEnd w:id="11"/>
      <w:r w:rsidRPr="00D404B0">
        <w:t xml:space="preserve">. </w:t>
      </w:r>
      <w:r>
        <w:t xml:space="preserve"> </w:t>
      </w:r>
      <w:r>
        <w:tab/>
      </w:r>
      <w:r w:rsidRPr="00D404B0">
        <w:rPr>
          <w:shd w:val="clear" w:color="auto" w:fill="FFFFFF"/>
        </w:rPr>
        <w:t xml:space="preserve">Effect of gas swapping (  </w:t>
      </w:r>
      <w:r>
        <w:rPr>
          <w:shd w:val="clear" w:color="auto" w:fill="FFFFFF"/>
        </w:rPr>
        <w:t xml:space="preserve"> </w:t>
      </w:r>
      <w:r w:rsidRPr="00D404B0">
        <w:rPr>
          <w:shd w:val="clear" w:color="auto" w:fill="FFFFFF"/>
        </w:rPr>
        <w:t xml:space="preserve"> ) between the aerobic and anaerobic MFCs.</w:t>
      </w:r>
      <w:bookmarkEnd w:id="12"/>
      <w:bookmarkEnd w:id="13"/>
      <w:r w:rsidRPr="00D404B0">
        <w:rPr>
          <w:shd w:val="clear" w:color="auto" w:fill="FFFFFF"/>
        </w:rPr>
        <w:t xml:space="preserve"> </w:t>
      </w:r>
      <w:r w:rsidRPr="00D404B0">
        <w:rPr>
          <w:shd w:val="clear" w:color="auto" w:fill="FFFFFF"/>
          <w:lang w:val="en-GB"/>
        </w:rPr>
        <w:t xml:space="preserve">The frequency of batch feeding mode was in average every two days (represented by   </w:t>
      </w:r>
      <w:r>
        <w:rPr>
          <w:shd w:val="clear" w:color="auto" w:fill="FFFFFF"/>
          <w:lang w:val="en-GB"/>
        </w:rPr>
        <w:t xml:space="preserve"> </w:t>
      </w:r>
      <w:r w:rsidRPr="00D404B0">
        <w:rPr>
          <w:shd w:val="clear" w:color="auto" w:fill="FFFFFF"/>
          <w:lang w:val="en-GB"/>
        </w:rPr>
        <w:t>)(n=2)</w:t>
      </w:r>
      <w:bookmarkStart w:id="14" w:name="_Ref426983663"/>
      <w:bookmarkStart w:id="15" w:name="_Toc425849608"/>
    </w:p>
    <w:p w:rsidR="00D01991" w:rsidRDefault="00D01991" w:rsidP="00D01991">
      <w:pPr>
        <w:spacing w:after="0" w:line="240" w:lineRule="auto"/>
        <w:ind w:left="900" w:hanging="900"/>
        <w:jc w:val="both"/>
        <w:rPr>
          <w:rFonts w:ascii="Times New Roman" w:hAnsi="Times New Roman"/>
          <w:bCs/>
          <w:noProof/>
          <w:sz w:val="20"/>
          <w:szCs w:val="20"/>
        </w:rPr>
      </w:pPr>
    </w:p>
    <w:p w:rsidR="00D01991" w:rsidRPr="00D404B0" w:rsidRDefault="00D01991" w:rsidP="00D01991">
      <w:pPr>
        <w:spacing w:after="0" w:line="240" w:lineRule="auto"/>
        <w:jc w:val="both"/>
        <w:rPr>
          <w:rFonts w:ascii="Times New Roman" w:hAnsi="Times New Roman"/>
          <w:bCs/>
          <w:noProof/>
          <w:sz w:val="20"/>
          <w:szCs w:val="20"/>
        </w:rPr>
      </w:pPr>
    </w:p>
    <w:p w:rsidR="00D01991" w:rsidRPr="00D404B0" w:rsidRDefault="00D01991" w:rsidP="00D01991">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However, when looking at the individual daily average in current density (</w:t>
      </w:r>
      <w:r>
        <w:rPr>
          <w:rFonts w:ascii="Times New Roman" w:hAnsi="Times New Roman"/>
          <w:sz w:val="20"/>
          <w:szCs w:val="20"/>
          <w:lang w:val="en-GB"/>
        </w:rPr>
        <w:t>Table 1</w:t>
      </w:r>
      <w:r w:rsidRPr="00D404B0">
        <w:rPr>
          <w:rFonts w:ascii="Times New Roman" w:hAnsi="Times New Roman"/>
          <w:sz w:val="20"/>
          <w:szCs w:val="20"/>
          <w:lang w:val="en-GB"/>
        </w:rPr>
        <w:t>), there seems to be clear decreasing trend for the anaerobic MFCs from the beginning of the swapping till day-43. For aerobic MFCs, the effect of nitrogen bubble seems evidenced within the first four days after gas swapping and the anaerobic effect slowly became reduced and stabilized at about 50 mA/ m</w:t>
      </w:r>
      <w:r w:rsidRPr="00D404B0">
        <w:rPr>
          <w:rFonts w:ascii="Times New Roman" w:hAnsi="Times New Roman"/>
          <w:sz w:val="20"/>
          <w:szCs w:val="20"/>
          <w:vertAlign w:val="superscript"/>
          <w:lang w:val="en-GB"/>
        </w:rPr>
        <w:t>2</w:t>
      </w:r>
      <w:r w:rsidRPr="00D404B0">
        <w:rPr>
          <w:rFonts w:ascii="Times New Roman" w:hAnsi="Times New Roman"/>
          <w:sz w:val="20"/>
          <w:szCs w:val="20"/>
          <w:lang w:val="en-GB"/>
        </w:rPr>
        <w:t>. Further study would need to be carried out to understand this phenomenon.</w:t>
      </w:r>
    </w:p>
    <w:p w:rsidR="00D01991" w:rsidRDefault="00D01991" w:rsidP="00D01991">
      <w:pPr>
        <w:pStyle w:val="Caption"/>
      </w:pPr>
    </w:p>
    <w:p w:rsidR="00D01991" w:rsidRPr="00D404B0" w:rsidRDefault="00D01991" w:rsidP="00D01991">
      <w:pPr>
        <w:spacing w:after="0" w:line="240" w:lineRule="auto"/>
        <w:jc w:val="both"/>
        <w:rPr>
          <w:rFonts w:ascii="Times New Roman" w:hAnsi="Times New Roman"/>
          <w:noProof/>
          <w:sz w:val="20"/>
          <w:szCs w:val="20"/>
        </w:rPr>
      </w:pPr>
      <w:r w:rsidRPr="00D404B0">
        <w:rPr>
          <w:rFonts w:ascii="Times New Roman" w:hAnsi="Times New Roman"/>
          <w:sz w:val="20"/>
          <w:szCs w:val="20"/>
          <w:lang w:val="en-GB"/>
        </w:rPr>
        <w:t>The impact of the gas swapping before and after can be observed through the polarization and the power curves.  Comparisons done on the OCV from the polarization curves between the aerobic and anaerobic MFCs before and after the gas swapping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763CB9" w:rsidRPr="00763CB9">
        <w:rPr>
          <w:rFonts w:ascii="Times New Roman" w:hAnsi="Times New Roman"/>
          <w:sz w:val="20"/>
          <w:szCs w:val="20"/>
        </w:rPr>
        <w:t xml:space="preserve">Figure </w:t>
      </w:r>
      <w:r w:rsidR="00763CB9" w:rsidRPr="00763CB9">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a), which was about 20 days apart and the control, shows that the aerobic MFCs possessed 2.3 fold higher OCV than before the gas swapping (150 mV, vs. Ag/ AgCl), and 1.2 fold higher OCV than both the anaerobic (before and after gas swapping) and the control MFCs (300 mV, vs. Ag/ AgCl)(</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763CB9" w:rsidRPr="00763CB9">
        <w:rPr>
          <w:rFonts w:ascii="Times New Roman" w:hAnsi="Times New Roman"/>
          <w:sz w:val="20"/>
          <w:szCs w:val="20"/>
        </w:rPr>
        <w:t xml:space="preserve">Figure </w:t>
      </w:r>
      <w:r w:rsidR="00763CB9" w:rsidRPr="00763CB9">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a). </w:t>
      </w:r>
      <w:r w:rsidRPr="00D404B0">
        <w:rPr>
          <w:rFonts w:ascii="Times New Roman" w:hAnsi="Times New Roman"/>
          <w:noProof/>
          <w:sz w:val="20"/>
          <w:szCs w:val="20"/>
        </w:rPr>
        <w:t>The OCV zone is known as the activation loss zone and refers to the electron transfers reaction at the electrode surface. The OCV is the highest voltage produced in an MFC, measured in the absence of current and take into consideration various potential losses as follows (Equation 3 and 4)</w: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PEVuZE5vdGU+PENpdGU+PEF1dGhvcj5Mb2dhbjwvQXV0aG9yPjxZZWFyPjIwMDY8L1llYXI+PFJl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[20, 21]</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both"/>
        <w:rPr>
          <w:rFonts w:ascii="Times New Roman" w:hAnsi="Times New Roman"/>
          <w:noProof/>
          <w:sz w:val="20"/>
          <w:szCs w:val="20"/>
        </w:rPr>
      </w:pPr>
      <w:r w:rsidRPr="00D404B0">
        <w:rPr>
          <w:rFonts w:ascii="Times New Roman" w:hAnsi="Times New Roman"/>
          <w:noProof/>
          <w:sz w:val="20"/>
          <w:szCs w:val="20"/>
        </w:rPr>
        <w:tab/>
      </w:r>
      <m:oMath>
        <m:r>
          <w:rPr>
            <w:rFonts w:ascii="Cambria Math" w:hAnsi="Cambria Math"/>
            <w:noProof/>
            <w:sz w:val="20"/>
            <w:szCs w:val="20"/>
          </w:rPr>
          <m:t>OCV=</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(3)</w:t>
      </w: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both"/>
        <w:rPr>
          <w:rFonts w:ascii="Times New Roman" w:hAnsi="Times New Roman"/>
          <w:noProof/>
          <w:sz w:val="20"/>
          <w:szCs w:val="20"/>
        </w:rPr>
      </w:pPr>
      <m:oMath>
        <m:sSub>
          <m:sSubPr>
            <m:ctrlPr>
              <w:rPr>
                <w:rFonts w:ascii="Cambria Math" w:hAnsi="Cambria Math"/>
                <w:i/>
                <w:noProof/>
                <w:sz w:val="20"/>
                <w:szCs w:val="20"/>
              </w:rPr>
            </m:ctrlPr>
          </m:sSubPr>
          <m:e>
            <m:r>
              <w:rPr>
                <w:rFonts w:ascii="Cambria Math" w:hAnsi="Cambria Math"/>
                <w:noProof/>
                <w:sz w:val="20"/>
                <w:szCs w:val="20"/>
              </w:rPr>
              <m:t xml:space="preserve">                E</m:t>
            </m:r>
          </m:e>
          <m:sub>
            <m:r>
              <w:rPr>
                <w:rFonts w:ascii="Cambria Math" w:hAnsi="Cambria Math"/>
                <w:noProof/>
                <w:sz w:val="20"/>
                <w:szCs w:val="20"/>
              </w:rPr>
              <m:t>cell</m:t>
            </m:r>
          </m:sub>
        </m:sSub>
        <m:r>
          <w:rPr>
            <w:rFonts w:ascii="Cambria Math" w:hAnsi="Cambria Math"/>
            <w:noProof/>
            <w:sz w:val="20"/>
            <w:szCs w:val="20"/>
          </w:rPr>
          <m:t xml:space="preserve"> = </m:t>
        </m:r>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m:t>
        </m:r>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404B0">
        <w:rPr>
          <w:rFonts w:ascii="Times New Roman" w:hAnsi="Times New Roman"/>
          <w:noProof/>
          <w:sz w:val="20"/>
          <w:szCs w:val="20"/>
        </w:rPr>
        <w:t xml:space="preserve">                                                                                            </w:t>
      </w:r>
      <w:r>
        <w:rPr>
          <w:rFonts w:ascii="Times New Roman" w:hAnsi="Times New Roman"/>
          <w:noProof/>
          <w:sz w:val="20"/>
          <w:szCs w:val="20"/>
        </w:rPr>
        <w:t xml:space="preserve">       </w:t>
      </w:r>
      <w:r w:rsidRPr="00D404B0">
        <w:rPr>
          <w:rFonts w:ascii="Times New Roman" w:hAnsi="Times New Roman"/>
          <w:noProof/>
          <w:sz w:val="20"/>
          <w:szCs w:val="20"/>
        </w:rPr>
        <w:t xml:space="preserve">  (4)</w:t>
      </w:r>
    </w:p>
    <w:p w:rsidR="00D01991" w:rsidRPr="00D404B0" w:rsidRDefault="00D01991" w:rsidP="00D01991">
      <w:pPr>
        <w:spacing w:after="0" w:line="240" w:lineRule="auto"/>
        <w:jc w:val="both"/>
        <w:rPr>
          <w:rFonts w:ascii="Times New Roman" w:hAnsi="Times New Roman"/>
          <w:noProof/>
          <w:sz w:val="20"/>
          <w:szCs w:val="20"/>
        </w:rPr>
      </w:pPr>
    </w:p>
    <w:p w:rsidR="00D01991" w:rsidRDefault="00D01991" w:rsidP="00D01991">
      <w:pPr>
        <w:spacing w:after="0" w:line="240" w:lineRule="auto"/>
        <w:jc w:val="both"/>
        <w:rPr>
          <w:rFonts w:ascii="Times New Roman" w:hAnsi="Times New Roman"/>
          <w:noProof/>
          <w:sz w:val="20"/>
          <w:szCs w:val="20"/>
        </w:rPr>
      </w:pPr>
      <w:r>
        <w:rPr>
          <w:rFonts w:ascii="Times New Roman" w:hAnsi="Times New Roman"/>
          <w:noProof/>
          <w:sz w:val="20"/>
          <w:szCs w:val="20"/>
        </w:rPr>
        <w:t>w</w:t>
      </w:r>
      <w:r w:rsidRPr="00D404B0">
        <w:rPr>
          <w:rFonts w:ascii="Times New Roman" w:hAnsi="Times New Roman"/>
          <w:noProof/>
          <w:sz w:val="20"/>
          <w:szCs w:val="20"/>
        </w:rPr>
        <w:t xml:space="preserve">here the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cell</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measured cell voltage, </w:t>
      </w:r>
      <m:oMath>
        <m:sSub>
          <m:sSubPr>
            <m:ctrlPr>
              <w:rPr>
                <w:rFonts w:ascii="Cambria Math" w:hAnsi="Cambria Math"/>
                <w:i/>
                <w:noProof/>
                <w:sz w:val="20"/>
                <w:szCs w:val="20"/>
              </w:rPr>
            </m:ctrlPr>
          </m:sSubPr>
          <m:e>
            <m:r>
              <w:rPr>
                <w:rFonts w:ascii="Cambria Math" w:hAnsi="Cambria Math"/>
                <w:noProof/>
                <w:sz w:val="20"/>
                <w:szCs w:val="20"/>
              </w:rPr>
              <m:t>IR</m:t>
            </m:r>
          </m:e>
          <m:sub>
            <m:r>
              <w:rPr>
                <w:rFonts w:ascii="Cambria Math" w:hAnsi="Cambria Math"/>
                <w:noProof/>
                <w:sz w:val="20"/>
                <w:szCs w:val="20"/>
              </w:rPr>
              <m:t>int</m:t>
            </m:r>
          </m:sub>
        </m:sSub>
        <m:r>
          <w:rPr>
            <w:rFonts w:ascii="Cambria Math" w:hAnsi="Cambria Math"/>
            <w:noProof/>
            <w:sz w:val="20"/>
            <w:szCs w:val="20"/>
          </w:rPr>
          <m:t xml:space="preserve"> </m:t>
        </m:r>
      </m:oMath>
      <w:r w:rsidRPr="00D404B0">
        <w:rPr>
          <w:rFonts w:ascii="Times New Roman" w:hAnsi="Times New Roman"/>
          <w:noProof/>
          <w:sz w:val="20"/>
          <w:szCs w:val="20"/>
        </w:rPr>
        <w:t xml:space="preserve"> is the sum of all internal losses of the MFC,  </w:t>
      </w:r>
      <m:oMath>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a</m:t>
                </m:r>
              </m:sub>
            </m:sSub>
          </m:e>
        </m:nary>
        <m:r>
          <w:rPr>
            <w:rFonts w:ascii="Cambria Math" w:hAnsi="Cambria Math"/>
            <w:noProof/>
            <w:sz w:val="20"/>
            <w:szCs w:val="20"/>
          </w:rPr>
          <m:t xml:space="preserve"> </m:t>
        </m:r>
        <m:r>
          <m:rPr>
            <m:sty m:val="p"/>
          </m:rPr>
          <w:rPr>
            <w:rFonts w:ascii="Cambria Math" w:hAnsi="Cambria Math"/>
            <w:noProof/>
            <w:sz w:val="20"/>
            <w:szCs w:val="20"/>
          </w:rPr>
          <m:t>and</m:t>
        </m:r>
        <m:r>
          <w:rPr>
            <w:rFonts w:ascii="Cambria Math" w:hAnsi="Cambria Math"/>
            <w:noProof/>
            <w:sz w:val="20"/>
            <w:szCs w:val="20"/>
          </w:rPr>
          <m:t xml:space="preserve"> </m:t>
        </m:r>
        <m:d>
          <m:dPr>
            <m:begChr m:val="|"/>
            <m:endChr m:val="|"/>
            <m:ctrlPr>
              <w:rPr>
                <w:rFonts w:ascii="Cambria Math" w:hAnsi="Cambria Math"/>
                <w:i/>
                <w:noProof/>
                <w:sz w:val="20"/>
                <w:szCs w:val="20"/>
              </w:rPr>
            </m:ctrlPr>
          </m:dPr>
          <m:e>
            <m:nary>
              <m:naryPr>
                <m:chr m:val="∑"/>
                <m:limLoc m:val="undOvr"/>
                <m:subHide m:val="1"/>
                <m:supHide m:val="1"/>
                <m:ctrlPr>
                  <w:rPr>
                    <w:rFonts w:ascii="Cambria Math" w:hAnsi="Cambria Math"/>
                    <w:i/>
                    <w:noProof/>
                    <w:sz w:val="20"/>
                    <w:szCs w:val="20"/>
                  </w:rPr>
                </m:ctrlPr>
              </m:naryPr>
              <m:sub/>
              <m:sup/>
              <m:e>
                <m:sSub>
                  <m:sSubPr>
                    <m:ctrlPr>
                      <w:rPr>
                        <w:rFonts w:ascii="Cambria Math" w:hAnsi="Cambria Math"/>
                        <w:i/>
                        <w:noProof/>
                        <w:sz w:val="20"/>
                        <w:szCs w:val="20"/>
                      </w:rPr>
                    </m:ctrlPr>
                  </m:sSubPr>
                  <m:e>
                    <m:r>
                      <w:rPr>
                        <w:rFonts w:ascii="Cambria Math" w:hAnsi="Cambria Math"/>
                        <w:noProof/>
                        <w:sz w:val="20"/>
                        <w:szCs w:val="20"/>
                      </w:rPr>
                      <m:t>η</m:t>
                    </m:r>
                  </m:e>
                  <m:sub>
                    <m:r>
                      <w:rPr>
                        <w:rFonts w:ascii="Cambria Math" w:hAnsi="Cambria Math"/>
                        <w:noProof/>
                        <w:sz w:val="20"/>
                        <w:szCs w:val="20"/>
                      </w:rPr>
                      <m:t>c</m:t>
                    </m:r>
                  </m:sub>
                </m:sSub>
              </m:e>
            </m:nary>
          </m:e>
        </m:d>
        <m:r>
          <w:rPr>
            <w:rFonts w:ascii="Cambria Math" w:hAnsi="Cambria Math"/>
            <w:noProof/>
            <w:sz w:val="20"/>
            <w:szCs w:val="20"/>
          </w:rPr>
          <m:t xml:space="preserve"> </m:t>
        </m:r>
      </m:oMath>
      <w:r w:rsidRPr="00D404B0">
        <w:rPr>
          <w:rFonts w:ascii="Times New Roman" w:hAnsi="Times New Roman"/>
          <w:noProof/>
          <w:sz w:val="20"/>
          <w:szCs w:val="20"/>
        </w:rPr>
        <w:t xml:space="preserve">represents the overpotentials of the anode and cathode respectively. The overpotential of the anode and cathode reflect the influence of slow kinetics of heterogenous electron transfer, which is the movement of electrons between a chemical species and a solid-state electrode, together with ohmic resistance and concentration </w:t>
      </w:r>
      <w:r w:rsidRPr="00D404B0">
        <w:rPr>
          <w:rFonts w:ascii="Times New Roman" w:hAnsi="Times New Roman"/>
          <w:noProof/>
          <w:sz w:val="20"/>
          <w:szCs w:val="20"/>
        </w:rPr>
        <w:lastRenderedPageBreak/>
        <w:t xml:space="preserve">gradients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&lt;EndNote&gt;&lt;Cite&gt;&lt;Author&gt;Tayhas&lt;/Author&gt;&lt;Year&gt;1994&lt;/Year&gt;&lt;RecNum&gt;743&lt;/RecNum&gt;&lt;DisplayText&gt;[22]&lt;/DisplayText&gt;&lt;record&gt;&lt;rec-number&gt;743&lt;/rec-number&gt;&lt;foreign-keys&gt;&lt;key app="EN" db-id="pev00ptf6vtps6eafrqvzezz9dd2pprw2s2v" timestamp="0"&gt;743&lt;/key&gt;&lt;/foreign-keys&gt;&lt;ref-type name="Electronic Book"&gt;44&lt;/ref-type&gt;&lt;contributors&gt;&lt;authors&gt;&lt;author&gt;Tayhas, G&lt;/author&gt;&lt;author&gt;Palmore, R&lt;/author&gt;&lt;author&gt;Whitesides, George, M&lt;/author&gt;&lt;/authors&gt;&lt;/contributors&gt;&lt;titles&gt;&lt;title&gt;Chapter 14: Microbial and enzymatic biofuel cells&lt;/title&gt;&lt;secondary-title&gt;Enzymatic conversion of biomass for fuels production&lt;/secondary-title&gt;&lt;/titles&gt;&lt;volume&gt;271-290&lt;/volume&gt;&lt;dates&gt;&lt;year&gt;1994&lt;/year&gt;&lt;/dates&gt;&lt;pub-location&gt;Massachusetts&lt;/pub-location&gt;&lt;publisher&gt;American Chemical Society&lt;/publisher&gt;&lt;urls&gt;&lt;/urls&gt;&lt;/record&gt;&lt;/Cite&gt;&lt;/EndNote&gt;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w:t>
      </w:r>
      <m:oMath>
        <m:sSub>
          <m:sSubPr>
            <m:ctrlPr>
              <w:rPr>
                <w:rFonts w:ascii="Cambria Math" w:hAnsi="Cambria Math"/>
                <w:i/>
                <w:noProof/>
                <w:sz w:val="20"/>
                <w:szCs w:val="20"/>
              </w:rPr>
            </m:ctrlPr>
          </m:sSubPr>
          <m:e>
            <m:r>
              <w:rPr>
                <w:rFonts w:ascii="Cambria Math" w:hAnsi="Cambria Math"/>
                <w:noProof/>
                <w:sz w:val="20"/>
                <w:szCs w:val="20"/>
              </w:rPr>
              <m:t>E</m:t>
            </m:r>
          </m:e>
          <m:sub>
            <m:r>
              <w:rPr>
                <w:rFonts w:ascii="Cambria Math" w:hAnsi="Cambria Math"/>
                <w:noProof/>
                <w:sz w:val="20"/>
                <w:szCs w:val="20"/>
              </w:rPr>
              <m:t>emf</m:t>
            </m:r>
          </m:sub>
        </m:sSub>
        <m:r>
          <w:rPr>
            <w:rFonts w:ascii="Cambria Math" w:hAnsi="Cambria Math"/>
            <w:noProof/>
            <w:sz w:val="20"/>
            <w:szCs w:val="20"/>
          </w:rPr>
          <m:t xml:space="preserve"> </m:t>
        </m:r>
      </m:oMath>
      <w:r w:rsidRPr="00D404B0">
        <w:rPr>
          <w:rFonts w:ascii="Times New Roman" w:hAnsi="Times New Roman"/>
          <w:noProof/>
          <w:sz w:val="20"/>
          <w:szCs w:val="20"/>
        </w:rPr>
        <w:t xml:space="preserve">is the cell electromotive force from the differece of cathode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cat</w:t>
      </w:r>
      <w:r w:rsidRPr="00D404B0">
        <w:rPr>
          <w:rFonts w:ascii="Times New Roman" w:hAnsi="Times New Roman"/>
          <w:noProof/>
          <w:sz w:val="20"/>
          <w:szCs w:val="20"/>
        </w:rPr>
        <w:t xml:space="preserve"> to anode potential, </w:t>
      </w:r>
      <w:r w:rsidRPr="00D404B0">
        <w:rPr>
          <w:rFonts w:ascii="Times New Roman" w:hAnsi="Times New Roman"/>
          <w:i/>
          <w:noProof/>
          <w:sz w:val="20"/>
          <w:szCs w:val="20"/>
        </w:rPr>
        <w:t>E</w:t>
      </w:r>
      <w:r w:rsidRPr="00D404B0">
        <w:rPr>
          <w:rFonts w:ascii="Times New Roman" w:hAnsi="Times New Roman"/>
          <w:i/>
          <w:noProof/>
          <w:sz w:val="20"/>
          <w:szCs w:val="20"/>
          <w:vertAlign w:val="subscript"/>
        </w:rPr>
        <w:t>an</w:t>
      </w:r>
      <w:r w:rsidRPr="00D404B0">
        <w:rPr>
          <w:rFonts w:ascii="Times New Roman" w:hAnsi="Times New Roman"/>
          <w:noProof/>
          <w:sz w:val="20"/>
          <w:szCs w:val="20"/>
        </w:rPr>
        <w:t xml:space="preserve"> , and </w:t>
      </w:r>
      <m:oMath>
        <m:r>
          <w:rPr>
            <w:rFonts w:ascii="Cambria Math" w:hAnsi="Cambria Math"/>
            <w:noProof/>
            <w:sz w:val="20"/>
            <w:szCs w:val="20"/>
          </w:rPr>
          <m:t>I</m:t>
        </m:r>
        <m:sSub>
          <m:sSubPr>
            <m:ctrlPr>
              <w:rPr>
                <w:rFonts w:ascii="Cambria Math" w:hAnsi="Cambria Math"/>
                <w:i/>
                <w:noProof/>
                <w:sz w:val="20"/>
                <w:szCs w:val="20"/>
              </w:rPr>
            </m:ctrlPr>
          </m:sSubPr>
          <m:e>
            <m:r>
              <w:rPr>
                <w:rFonts w:ascii="Cambria Math" w:hAnsi="Cambria Math"/>
                <w:noProof/>
                <w:sz w:val="20"/>
                <w:szCs w:val="20"/>
              </w:rPr>
              <m:t>R</m:t>
            </m:r>
          </m:e>
          <m:sub>
            <m:r>
              <m:rPr>
                <m:sty m:val="p"/>
              </m:rPr>
              <w:rPr>
                <w:rFonts w:ascii="Cambria Math" w:hAnsi="Cambria Math"/>
                <w:noProof/>
                <w:sz w:val="20"/>
                <w:szCs w:val="20"/>
              </w:rPr>
              <m:t>Ω</m:t>
            </m:r>
          </m:sub>
        </m:sSub>
        <m:r>
          <w:rPr>
            <w:rFonts w:ascii="Cambria Math" w:hAnsi="Cambria Math"/>
            <w:noProof/>
            <w:sz w:val="20"/>
            <w:szCs w:val="20"/>
          </w:rPr>
          <m:t xml:space="preserve"> </m:t>
        </m:r>
      </m:oMath>
      <w:r w:rsidRPr="00D404B0">
        <w:rPr>
          <w:rFonts w:ascii="Times New Roman" w:hAnsi="Times New Roman"/>
          <w:noProof/>
          <w:sz w:val="20"/>
          <w:szCs w:val="20"/>
        </w:rPr>
        <w:t xml:space="preserve">represents the sum of all ohmic losses. </w:t>
      </w:r>
    </w:p>
    <w:p w:rsidR="00D01991" w:rsidRDefault="00D01991" w:rsidP="00D01991">
      <w:pPr>
        <w:spacing w:after="0" w:line="240" w:lineRule="auto"/>
        <w:jc w:val="both"/>
        <w:rPr>
          <w:rFonts w:ascii="Times New Roman" w:hAnsi="Times New Roman"/>
          <w:noProof/>
          <w:sz w:val="20"/>
          <w:szCs w:val="20"/>
        </w:rPr>
      </w:pPr>
    </w:p>
    <w:p w:rsidR="00D01991" w:rsidRDefault="00D01991" w:rsidP="00D01991">
      <w:pPr>
        <w:spacing w:after="0" w:line="240" w:lineRule="auto"/>
        <w:jc w:val="both"/>
        <w:rPr>
          <w:rFonts w:ascii="Times New Roman" w:hAnsi="Times New Roman"/>
          <w:noProof/>
          <w:sz w:val="20"/>
          <w:szCs w:val="20"/>
        </w:rPr>
      </w:pPr>
    </w:p>
    <w:p w:rsidR="00D01991" w:rsidRPr="00EE0F2C" w:rsidRDefault="00D01991" w:rsidP="00D01991">
      <w:pPr>
        <w:spacing w:after="0" w:line="240" w:lineRule="auto"/>
        <w:jc w:val="center"/>
        <w:rPr>
          <w:rFonts w:ascii="Times New Roman" w:hAnsi="Times New Roman"/>
          <w:noProof/>
          <w:sz w:val="20"/>
          <w:szCs w:val="20"/>
        </w:rPr>
      </w:pPr>
      <w:r w:rsidRPr="00EE0F2C">
        <w:rPr>
          <w:rFonts w:ascii="Times New Roman" w:hAnsi="Times New Roman"/>
          <w:sz w:val="20"/>
          <w:szCs w:val="20"/>
        </w:rPr>
        <w:t>Table 1.  Daily average current calculated after gas swapping (± standard error of mean) (n=2)</w:t>
      </w:r>
      <w:bookmarkEnd w:id="14"/>
      <w:bookmarkEnd w:id="15"/>
    </w:p>
    <w:tbl>
      <w:tblPr>
        <w:tblStyle w:val="TableGrid"/>
        <w:tblpPr w:leftFromText="180" w:rightFromText="180" w:vertAnchor="text" w:horzAnchor="margin" w:tblpXSpec="center" w:tblpY="15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2439"/>
        <w:gridCol w:w="2228"/>
      </w:tblGrid>
      <w:tr w:rsidR="00D01991" w:rsidRPr="00D404B0" w:rsidTr="00FF5A66">
        <w:tc>
          <w:tcPr>
            <w:tcW w:w="0" w:type="auto"/>
            <w:tcBorders>
              <w:top w:val="single" w:sz="4" w:space="0" w:color="auto"/>
              <w:bottom w:val="single" w:sz="4" w:space="0" w:color="auto"/>
            </w:tcBorders>
            <w:vAlign w:val="center"/>
          </w:tcPr>
          <w:p w:rsidR="00D01991" w:rsidRPr="00D404B0" w:rsidRDefault="00D01991" w:rsidP="00FF5A66">
            <w:pPr>
              <w:spacing w:after="0" w:line="240" w:lineRule="auto"/>
              <w:jc w:val="both"/>
              <w:rPr>
                <w:b/>
                <w:sz w:val="20"/>
                <w:szCs w:val="20"/>
                <w:lang w:val="en-GB"/>
              </w:rPr>
            </w:pPr>
            <w:r w:rsidRPr="00D404B0">
              <w:rPr>
                <w:b/>
                <w:sz w:val="20"/>
                <w:szCs w:val="20"/>
                <w:lang w:val="en-GB"/>
              </w:rPr>
              <w:t>Day</w:t>
            </w:r>
          </w:p>
        </w:tc>
        <w:tc>
          <w:tcPr>
            <w:tcW w:w="0" w:type="auto"/>
            <w:tcBorders>
              <w:top w:val="single" w:sz="4" w:space="0" w:color="auto"/>
              <w:bottom w:val="single" w:sz="4" w:space="0" w:color="auto"/>
            </w:tcBorders>
          </w:tcPr>
          <w:p w:rsidR="00D01991" w:rsidRPr="00D404B0" w:rsidRDefault="00D01991" w:rsidP="00FF5A66">
            <w:pPr>
              <w:spacing w:before="60" w:after="0" w:line="240" w:lineRule="auto"/>
              <w:jc w:val="center"/>
              <w:rPr>
                <w:b/>
                <w:sz w:val="20"/>
                <w:szCs w:val="20"/>
                <w:lang w:val="en-GB"/>
              </w:rPr>
            </w:pPr>
            <w:r w:rsidRPr="00D404B0">
              <w:rPr>
                <w:b/>
                <w:sz w:val="20"/>
                <w:szCs w:val="20"/>
                <w:lang w:val="en-GB"/>
              </w:rPr>
              <w:t>Anaerobic MFCs bubbled</w:t>
            </w:r>
          </w:p>
          <w:p w:rsidR="00D01991" w:rsidRPr="00D404B0" w:rsidRDefault="00D01991" w:rsidP="00FF5A66">
            <w:pPr>
              <w:spacing w:after="60" w:line="240" w:lineRule="auto"/>
              <w:jc w:val="center"/>
              <w:rPr>
                <w:b/>
                <w:sz w:val="20"/>
                <w:szCs w:val="20"/>
                <w:lang w:val="en-GB"/>
              </w:rPr>
            </w:pPr>
            <w:r w:rsidRPr="00D404B0">
              <w:rPr>
                <w:b/>
                <w:sz w:val="20"/>
                <w:szCs w:val="20"/>
                <w:lang w:val="en-GB"/>
              </w:rPr>
              <w:t>with air (mA/ m</w:t>
            </w:r>
            <w:r w:rsidRPr="00D404B0">
              <w:rPr>
                <w:b/>
                <w:sz w:val="20"/>
                <w:szCs w:val="20"/>
                <w:vertAlign w:val="superscript"/>
                <w:lang w:val="en-GB"/>
              </w:rPr>
              <w:t>2</w:t>
            </w:r>
            <w:r w:rsidRPr="00D404B0">
              <w:rPr>
                <w:b/>
                <w:sz w:val="20"/>
                <w:szCs w:val="20"/>
                <w:lang w:val="en-GB"/>
              </w:rPr>
              <w:t>)</w:t>
            </w:r>
          </w:p>
        </w:tc>
        <w:tc>
          <w:tcPr>
            <w:tcW w:w="0" w:type="auto"/>
            <w:tcBorders>
              <w:top w:val="single" w:sz="4" w:space="0" w:color="auto"/>
              <w:bottom w:val="single" w:sz="4" w:space="0" w:color="auto"/>
            </w:tcBorders>
          </w:tcPr>
          <w:p w:rsidR="00D01991" w:rsidRPr="00D404B0" w:rsidRDefault="00D01991" w:rsidP="00FF5A66">
            <w:pPr>
              <w:spacing w:before="60" w:after="0" w:line="240" w:lineRule="auto"/>
              <w:jc w:val="center"/>
              <w:rPr>
                <w:b/>
                <w:sz w:val="20"/>
                <w:szCs w:val="20"/>
                <w:lang w:val="en-GB"/>
              </w:rPr>
            </w:pPr>
            <w:r w:rsidRPr="00D404B0">
              <w:rPr>
                <w:b/>
                <w:sz w:val="20"/>
                <w:szCs w:val="20"/>
                <w:lang w:val="en-GB"/>
              </w:rPr>
              <w:t>Aerobic MFCs bubbled</w:t>
            </w:r>
          </w:p>
          <w:p w:rsidR="00D01991" w:rsidRPr="00D404B0" w:rsidRDefault="00D01991" w:rsidP="00FF5A66">
            <w:pPr>
              <w:spacing w:after="0" w:line="240" w:lineRule="auto"/>
              <w:jc w:val="center"/>
              <w:rPr>
                <w:b/>
                <w:sz w:val="20"/>
                <w:szCs w:val="20"/>
                <w:lang w:val="en-GB"/>
              </w:rPr>
            </w:pPr>
            <w:r w:rsidRPr="00D404B0">
              <w:rPr>
                <w:b/>
                <w:sz w:val="20"/>
                <w:szCs w:val="20"/>
                <w:lang w:val="en-GB"/>
              </w:rPr>
              <w:t>with nitrogen (mA/ m</w:t>
            </w:r>
            <w:r w:rsidRPr="00D404B0">
              <w:rPr>
                <w:b/>
                <w:sz w:val="20"/>
                <w:szCs w:val="20"/>
                <w:vertAlign w:val="superscript"/>
                <w:lang w:val="en-GB"/>
              </w:rPr>
              <w:t>2</w:t>
            </w:r>
            <w:r w:rsidRPr="00D404B0">
              <w:rPr>
                <w:b/>
                <w:sz w:val="20"/>
                <w:szCs w:val="20"/>
                <w:lang w:val="en-GB"/>
              </w:rPr>
              <w:t>)</w:t>
            </w:r>
          </w:p>
        </w:tc>
      </w:tr>
      <w:tr w:rsidR="00D01991" w:rsidRPr="00D404B0" w:rsidTr="00FF5A66">
        <w:trPr>
          <w:trHeight w:val="66"/>
        </w:trPr>
        <w:tc>
          <w:tcPr>
            <w:tcW w:w="0" w:type="auto"/>
            <w:tcBorders>
              <w:top w:val="single" w:sz="4" w:space="0" w:color="auto"/>
              <w:bottom w:val="nil"/>
            </w:tcBorders>
          </w:tcPr>
          <w:p w:rsidR="00D01991" w:rsidRPr="00D404B0" w:rsidRDefault="00D01991" w:rsidP="00FF5A66">
            <w:pPr>
              <w:spacing w:before="60" w:after="0" w:line="240" w:lineRule="auto"/>
              <w:jc w:val="both"/>
              <w:rPr>
                <w:sz w:val="20"/>
                <w:szCs w:val="20"/>
                <w:lang w:val="en-GB"/>
              </w:rPr>
            </w:pPr>
            <w:r w:rsidRPr="00D404B0">
              <w:rPr>
                <w:sz w:val="20"/>
                <w:szCs w:val="20"/>
                <w:lang w:val="en-GB"/>
              </w:rPr>
              <w:t xml:space="preserve">26 – 30 </w:t>
            </w:r>
            <w:r w:rsidRPr="00D404B0">
              <w:rPr>
                <w:sz w:val="20"/>
                <w:szCs w:val="20"/>
                <w:vertAlign w:val="subscript"/>
                <w:lang w:val="en-GB"/>
              </w:rPr>
              <w:t>(before gas swap)</w:t>
            </w:r>
          </w:p>
        </w:tc>
        <w:tc>
          <w:tcPr>
            <w:tcW w:w="0" w:type="auto"/>
            <w:tcBorders>
              <w:top w:val="single" w:sz="4" w:space="0" w:color="auto"/>
              <w:bottom w:val="nil"/>
            </w:tcBorders>
          </w:tcPr>
          <w:p w:rsidR="00D01991" w:rsidRPr="00D404B0" w:rsidRDefault="00D01991" w:rsidP="00FF5A66">
            <w:pPr>
              <w:spacing w:before="60" w:after="0" w:line="240" w:lineRule="auto"/>
              <w:jc w:val="center"/>
              <w:rPr>
                <w:sz w:val="20"/>
                <w:szCs w:val="20"/>
                <w:lang w:val="en-GB"/>
              </w:rPr>
            </w:pPr>
            <w:r w:rsidRPr="00D404B0">
              <w:rPr>
                <w:sz w:val="20"/>
                <w:szCs w:val="20"/>
                <w:lang w:val="en-GB"/>
              </w:rPr>
              <w:t>70.93 ± 0.19</w:t>
            </w:r>
          </w:p>
        </w:tc>
        <w:tc>
          <w:tcPr>
            <w:tcW w:w="0" w:type="auto"/>
            <w:tcBorders>
              <w:top w:val="single" w:sz="4" w:space="0" w:color="auto"/>
              <w:bottom w:val="nil"/>
            </w:tcBorders>
          </w:tcPr>
          <w:p w:rsidR="00D01991" w:rsidRPr="00D404B0" w:rsidRDefault="00D01991" w:rsidP="00FF5A66">
            <w:pPr>
              <w:spacing w:before="60" w:after="0" w:line="240" w:lineRule="auto"/>
              <w:jc w:val="center"/>
              <w:rPr>
                <w:sz w:val="20"/>
                <w:szCs w:val="20"/>
                <w:lang w:val="en-GB"/>
              </w:rPr>
            </w:pPr>
            <w:r w:rsidRPr="00D404B0">
              <w:rPr>
                <w:sz w:val="20"/>
                <w:szCs w:val="20"/>
                <w:lang w:val="en-GB"/>
              </w:rPr>
              <w:t>67.49 ± 0.32</w:t>
            </w:r>
          </w:p>
        </w:tc>
      </w:tr>
      <w:tr w:rsidR="00D01991" w:rsidRPr="00D404B0" w:rsidTr="00FF5A66">
        <w:trPr>
          <w:trHeight w:val="122"/>
        </w:trPr>
        <w:tc>
          <w:tcPr>
            <w:tcW w:w="0" w:type="auto"/>
            <w:gridSpan w:val="2"/>
            <w:tcBorders>
              <w:top w:val="nil"/>
              <w:bottom w:val="nil"/>
            </w:tcBorders>
          </w:tcPr>
          <w:p w:rsidR="00D01991" w:rsidRPr="00D404B0" w:rsidRDefault="00D01991" w:rsidP="00FF5A66">
            <w:pPr>
              <w:spacing w:before="60" w:after="0" w:line="240" w:lineRule="auto"/>
              <w:jc w:val="both"/>
              <w:rPr>
                <w:bCs/>
                <w:i/>
                <w:iCs/>
                <w:sz w:val="20"/>
                <w:szCs w:val="20"/>
                <w:lang w:val="en-GB"/>
              </w:rPr>
            </w:pPr>
            <w:r w:rsidRPr="00D404B0">
              <w:rPr>
                <w:bCs/>
                <w:i/>
                <w:iCs/>
                <w:sz w:val="20"/>
                <w:szCs w:val="20"/>
                <w:lang w:val="en-GB"/>
              </w:rPr>
              <w:t>Gas swapping dates:</w:t>
            </w:r>
          </w:p>
        </w:tc>
        <w:tc>
          <w:tcPr>
            <w:tcW w:w="0" w:type="auto"/>
            <w:tcBorders>
              <w:top w:val="nil"/>
              <w:bottom w:val="nil"/>
            </w:tcBorders>
            <w:shd w:val="clear" w:color="auto" w:fill="auto"/>
          </w:tcPr>
          <w:p w:rsidR="00D01991" w:rsidRPr="00D404B0" w:rsidRDefault="00D01991" w:rsidP="00FF5A66">
            <w:pPr>
              <w:spacing w:after="0" w:line="240" w:lineRule="auto"/>
              <w:jc w:val="both"/>
              <w:rPr>
                <w:sz w:val="20"/>
                <w:szCs w:val="20"/>
                <w:lang w:val="en-GB"/>
              </w:rPr>
            </w:pPr>
          </w:p>
        </w:tc>
      </w:tr>
      <w:tr w:rsidR="00D01991" w:rsidRPr="00D404B0" w:rsidTr="00FF5A66">
        <w:tc>
          <w:tcPr>
            <w:tcW w:w="0" w:type="auto"/>
            <w:tcBorders>
              <w:top w:val="nil"/>
            </w:tcBorders>
          </w:tcPr>
          <w:p w:rsidR="00D01991" w:rsidRPr="00D404B0" w:rsidRDefault="00D01991" w:rsidP="00FF5A66">
            <w:pPr>
              <w:spacing w:before="60" w:after="0" w:line="240" w:lineRule="auto"/>
              <w:rPr>
                <w:sz w:val="20"/>
                <w:szCs w:val="20"/>
                <w:lang w:val="en-GB"/>
              </w:rPr>
            </w:pPr>
            <w:r w:rsidRPr="00D404B0">
              <w:rPr>
                <w:sz w:val="20"/>
                <w:szCs w:val="20"/>
                <w:lang w:val="en-GB"/>
              </w:rPr>
              <w:t>33 – 34</w:t>
            </w:r>
          </w:p>
        </w:tc>
        <w:tc>
          <w:tcPr>
            <w:tcW w:w="0" w:type="auto"/>
            <w:tcBorders>
              <w:top w:val="nil"/>
            </w:tcBorders>
          </w:tcPr>
          <w:p w:rsidR="00D01991" w:rsidRPr="00D404B0" w:rsidRDefault="00D01991" w:rsidP="00FF5A66">
            <w:pPr>
              <w:spacing w:before="60" w:after="0" w:line="240" w:lineRule="auto"/>
              <w:jc w:val="center"/>
              <w:rPr>
                <w:sz w:val="20"/>
                <w:szCs w:val="20"/>
                <w:lang w:val="en-GB"/>
              </w:rPr>
            </w:pPr>
            <w:r w:rsidRPr="00D404B0">
              <w:rPr>
                <w:sz w:val="20"/>
                <w:szCs w:val="20"/>
                <w:lang w:val="en-GB"/>
              </w:rPr>
              <w:t>53.40 ± 0.58</w:t>
            </w:r>
          </w:p>
        </w:tc>
        <w:tc>
          <w:tcPr>
            <w:tcW w:w="0" w:type="auto"/>
            <w:tcBorders>
              <w:top w:val="nil"/>
            </w:tcBorders>
          </w:tcPr>
          <w:p w:rsidR="00D01991" w:rsidRPr="00D404B0" w:rsidRDefault="00D01991" w:rsidP="00FF5A66">
            <w:pPr>
              <w:spacing w:before="60" w:after="0" w:line="240" w:lineRule="auto"/>
              <w:jc w:val="center"/>
              <w:rPr>
                <w:sz w:val="20"/>
                <w:szCs w:val="20"/>
                <w:lang w:val="en-GB"/>
              </w:rPr>
            </w:pPr>
            <w:r w:rsidRPr="00D404B0">
              <w:rPr>
                <w:sz w:val="20"/>
                <w:szCs w:val="20"/>
                <w:lang w:val="en-GB"/>
              </w:rPr>
              <w:t>71.92 ± 0.16</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35 – 36</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33.89 ± 0.17</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85.28 ± 0.39</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 xml:space="preserve">36 </w:t>
            </w:r>
            <w:r w:rsidRPr="00D404B0">
              <w:rPr>
                <w:sz w:val="20"/>
                <w:szCs w:val="20"/>
                <w:vertAlign w:val="subscript"/>
                <w:lang w:val="en-GB"/>
              </w:rPr>
              <w:t>(feed)</w:t>
            </w:r>
            <w:r w:rsidRPr="00D404B0">
              <w:rPr>
                <w:sz w:val="20"/>
                <w:szCs w:val="20"/>
                <w:lang w:val="en-GB"/>
              </w:rPr>
              <w:t xml:space="preserve"> – 37</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82.84 ± 0.69</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124.66 ± 0.59</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37 – 38</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30.68 ± 0.17</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69.21 ± 0.17</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 xml:space="preserve">38 </w:t>
            </w:r>
            <w:r w:rsidRPr="00D404B0">
              <w:rPr>
                <w:sz w:val="20"/>
                <w:szCs w:val="20"/>
                <w:vertAlign w:val="subscript"/>
                <w:lang w:val="en-GB"/>
              </w:rPr>
              <w:t>(feed)</w:t>
            </w:r>
            <w:r w:rsidRPr="00D404B0">
              <w:rPr>
                <w:sz w:val="20"/>
                <w:szCs w:val="20"/>
                <w:lang w:val="en-GB"/>
              </w:rPr>
              <w:t xml:space="preserve"> – 39</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74.19 ± 0.75</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87.11 ± 0.53</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39 – 40</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30.70 ± 0.08</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50.43 ± 0.04</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 xml:space="preserve">40 </w:t>
            </w:r>
            <w:r w:rsidRPr="00D404B0">
              <w:rPr>
                <w:sz w:val="20"/>
                <w:szCs w:val="20"/>
                <w:vertAlign w:val="subscript"/>
                <w:lang w:val="en-GB"/>
              </w:rPr>
              <w:t>(feed)</w:t>
            </w:r>
            <w:r w:rsidRPr="00D404B0">
              <w:rPr>
                <w:sz w:val="20"/>
                <w:szCs w:val="20"/>
                <w:lang w:val="en-GB"/>
              </w:rPr>
              <w:t xml:space="preserve"> – 41</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69.36 ± 0.54</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72.69 ± 0.44</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 xml:space="preserve">41 </w:t>
            </w:r>
            <w:r w:rsidRPr="00D404B0">
              <w:rPr>
                <w:sz w:val="20"/>
                <w:szCs w:val="20"/>
                <w:vertAlign w:val="subscript"/>
                <w:lang w:val="en-GB"/>
              </w:rPr>
              <w:t>(feed)</w:t>
            </w:r>
            <w:r w:rsidRPr="00D404B0">
              <w:rPr>
                <w:sz w:val="20"/>
                <w:szCs w:val="20"/>
                <w:lang w:val="en-GB"/>
              </w:rPr>
              <w:t xml:space="preserve"> – 42</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31.66 ± 0.16</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47.88 ± 0.07</w:t>
            </w:r>
          </w:p>
        </w:tc>
      </w:tr>
      <w:tr w:rsidR="00D01991" w:rsidRPr="00D404B0" w:rsidTr="00FF5A66">
        <w:tc>
          <w:tcPr>
            <w:tcW w:w="0" w:type="auto"/>
          </w:tcPr>
          <w:p w:rsidR="00D01991" w:rsidRPr="00D404B0" w:rsidRDefault="00D01991" w:rsidP="00FF5A66">
            <w:pPr>
              <w:spacing w:before="60" w:after="0" w:line="240" w:lineRule="auto"/>
              <w:rPr>
                <w:sz w:val="20"/>
                <w:szCs w:val="20"/>
                <w:lang w:val="en-GB"/>
              </w:rPr>
            </w:pPr>
            <w:r w:rsidRPr="00D404B0">
              <w:rPr>
                <w:sz w:val="20"/>
                <w:szCs w:val="20"/>
                <w:lang w:val="en-GB"/>
              </w:rPr>
              <w:t xml:space="preserve">42 </w:t>
            </w:r>
            <w:r w:rsidRPr="00D404B0">
              <w:rPr>
                <w:sz w:val="20"/>
                <w:szCs w:val="20"/>
                <w:vertAlign w:val="subscript"/>
                <w:lang w:val="en-GB"/>
              </w:rPr>
              <w:t>(feed)</w:t>
            </w:r>
            <w:r w:rsidRPr="00D404B0">
              <w:rPr>
                <w:sz w:val="20"/>
                <w:szCs w:val="20"/>
                <w:lang w:val="en-GB"/>
              </w:rPr>
              <w:t xml:space="preserve"> – 43</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33.08 ± 0.29</w:t>
            </w:r>
          </w:p>
        </w:tc>
        <w:tc>
          <w:tcPr>
            <w:tcW w:w="0" w:type="auto"/>
          </w:tcPr>
          <w:p w:rsidR="00D01991" w:rsidRPr="00D404B0" w:rsidRDefault="00D01991" w:rsidP="00FF5A66">
            <w:pPr>
              <w:spacing w:before="60" w:after="0" w:line="240" w:lineRule="auto"/>
              <w:jc w:val="center"/>
              <w:rPr>
                <w:sz w:val="20"/>
                <w:szCs w:val="20"/>
                <w:lang w:val="en-GB"/>
              </w:rPr>
            </w:pPr>
            <w:r w:rsidRPr="00D404B0">
              <w:rPr>
                <w:sz w:val="20"/>
                <w:szCs w:val="20"/>
                <w:lang w:val="en-GB"/>
              </w:rPr>
              <w:t>52.23 ± 0.25</w:t>
            </w:r>
          </w:p>
        </w:tc>
      </w:tr>
      <w:tr w:rsidR="00D01991" w:rsidRPr="00D404B0" w:rsidTr="00FF5A66">
        <w:trPr>
          <w:trHeight w:val="66"/>
        </w:trPr>
        <w:tc>
          <w:tcPr>
            <w:tcW w:w="0" w:type="auto"/>
          </w:tcPr>
          <w:p w:rsidR="00D01991" w:rsidRPr="00D404B0" w:rsidRDefault="00D01991" w:rsidP="00FF5A66">
            <w:pPr>
              <w:spacing w:before="60" w:after="60" w:line="240" w:lineRule="auto"/>
              <w:rPr>
                <w:sz w:val="20"/>
                <w:szCs w:val="20"/>
                <w:lang w:val="en-GB"/>
              </w:rPr>
            </w:pPr>
            <w:r w:rsidRPr="00D404B0">
              <w:rPr>
                <w:sz w:val="20"/>
                <w:szCs w:val="20"/>
                <w:lang w:val="en-GB"/>
              </w:rPr>
              <w:t xml:space="preserve">43 </w:t>
            </w:r>
            <w:r w:rsidRPr="00D404B0">
              <w:rPr>
                <w:sz w:val="20"/>
                <w:szCs w:val="20"/>
                <w:vertAlign w:val="subscript"/>
                <w:lang w:val="en-GB"/>
              </w:rPr>
              <w:t>(feed)</w:t>
            </w:r>
            <w:r w:rsidRPr="00D404B0">
              <w:rPr>
                <w:sz w:val="20"/>
                <w:szCs w:val="20"/>
                <w:lang w:val="en-GB"/>
              </w:rPr>
              <w:t xml:space="preserve"> – 44</w:t>
            </w:r>
          </w:p>
        </w:tc>
        <w:tc>
          <w:tcPr>
            <w:tcW w:w="0" w:type="auto"/>
          </w:tcPr>
          <w:p w:rsidR="00D01991" w:rsidRPr="00D404B0" w:rsidRDefault="00D01991" w:rsidP="00FF5A66">
            <w:pPr>
              <w:spacing w:before="60" w:after="60" w:line="240" w:lineRule="auto"/>
              <w:jc w:val="center"/>
              <w:rPr>
                <w:sz w:val="20"/>
                <w:szCs w:val="20"/>
                <w:lang w:val="en-GB"/>
              </w:rPr>
            </w:pPr>
            <w:r w:rsidRPr="00D404B0">
              <w:rPr>
                <w:sz w:val="20"/>
                <w:szCs w:val="20"/>
                <w:lang w:val="en-GB"/>
              </w:rPr>
              <w:t>28.49 ± 0.23</w:t>
            </w:r>
          </w:p>
        </w:tc>
        <w:tc>
          <w:tcPr>
            <w:tcW w:w="0" w:type="auto"/>
          </w:tcPr>
          <w:p w:rsidR="00D01991" w:rsidRPr="00D404B0" w:rsidRDefault="00D01991" w:rsidP="00FF5A66">
            <w:pPr>
              <w:spacing w:before="60" w:after="60" w:line="240" w:lineRule="auto"/>
              <w:jc w:val="center"/>
              <w:rPr>
                <w:sz w:val="20"/>
                <w:szCs w:val="20"/>
                <w:lang w:val="en-GB"/>
              </w:rPr>
            </w:pPr>
            <w:r w:rsidRPr="00D404B0">
              <w:rPr>
                <w:sz w:val="20"/>
                <w:szCs w:val="20"/>
                <w:lang w:val="en-GB"/>
              </w:rPr>
              <w:t>49.15 ± 0.17</w:t>
            </w:r>
          </w:p>
        </w:tc>
      </w:tr>
    </w:tbl>
    <w:p w:rsidR="00D01991" w:rsidRPr="00D404B0" w:rsidRDefault="00D01991" w:rsidP="00D01991">
      <w:pPr>
        <w:pStyle w:val="BodyText"/>
        <w:spacing w:after="0" w:line="240" w:lineRule="auto"/>
        <w:jc w:val="both"/>
        <w:rPr>
          <w:rFonts w:ascii="Times New Roman" w:hAnsi="Times New Roman"/>
          <w:sz w:val="20"/>
          <w:szCs w:val="20"/>
          <w:lang w:val="en-US" w:eastAsia="en-US"/>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noProof/>
          <w:sz w:val="20"/>
          <w:szCs w:val="20"/>
        </w:rPr>
      </w:pPr>
    </w:p>
    <w:p w:rsidR="00D01991" w:rsidRDefault="00D01991" w:rsidP="00D01991">
      <w:pPr>
        <w:spacing w:after="0" w:line="240" w:lineRule="auto"/>
        <w:jc w:val="both"/>
        <w:rPr>
          <w:rFonts w:ascii="Times New Roman" w:hAnsi="Times New Roman"/>
          <w:noProof/>
          <w:sz w:val="20"/>
          <w:szCs w:val="20"/>
        </w:rPr>
      </w:pPr>
    </w:p>
    <w:p w:rsidR="00D01991" w:rsidRDefault="00D01991" w:rsidP="00D01991">
      <w:pPr>
        <w:spacing w:after="0" w:line="240" w:lineRule="auto"/>
        <w:jc w:val="both"/>
        <w:rPr>
          <w:rFonts w:ascii="Times New Roman" w:hAnsi="Times New Roman"/>
          <w:noProof/>
          <w:sz w:val="20"/>
          <w:szCs w:val="20"/>
        </w:rPr>
      </w:pPr>
    </w:p>
    <w:p w:rsidR="00D01991"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1824" behindDoc="0" locked="0" layoutInCell="1" allowOverlap="1" wp14:anchorId="79E8B24E" wp14:editId="6F0D4269">
                <wp:simplePos x="0" y="0"/>
                <wp:positionH relativeFrom="column">
                  <wp:posOffset>1089965</wp:posOffset>
                </wp:positionH>
                <wp:positionV relativeFrom="paragraph">
                  <wp:posOffset>73152</wp:posOffset>
                </wp:positionV>
                <wp:extent cx="490118" cy="263347"/>
                <wp:effectExtent l="0" t="0" r="0" b="38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63347"/>
                        </a:xfrm>
                        <a:prstGeom prst="rect">
                          <a:avLst/>
                        </a:prstGeom>
                        <a:noFill/>
                        <a:ln w="9525">
                          <a:noFill/>
                          <a:miter lim="800000"/>
                          <a:headEnd/>
                          <a:tailEnd/>
                        </a:ln>
                      </wps:spPr>
                      <wps:txbx>
                        <w:txbxContent>
                          <w:p w:rsidR="00D01991" w:rsidRPr="00DC4DEC" w:rsidRDefault="00D01991" w:rsidP="00D01991">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5.8pt;margin-top:5.75pt;width:38.6pt;height:20.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" filled="f" stroked="f">
                <v:textbox>
                  <w:txbxContent>
                    <w:p w:rsidR="00D01991" w:rsidRPr="00DC4DEC" w:rsidRDefault="00D01991" w:rsidP="00D01991">
                      <w:pPr>
                        <w:rPr>
                          <w:rFonts w:ascii="Times New Roman" w:hAnsi="Times New Roman"/>
                          <w:sz w:val="20"/>
                          <w:szCs w:val="20"/>
                        </w:rPr>
                      </w:pPr>
                      <w:r w:rsidRPr="00D61176">
                        <w:rPr>
                          <w:rFonts w:ascii="Times New Roman" w:hAnsi="Times New Roman"/>
                          <w:sz w:val="18"/>
                          <w:szCs w:val="18"/>
                        </w:rPr>
                        <w:t>(a</w:t>
                      </w:r>
                      <w:r w:rsidRPr="00DC4DEC">
                        <w:rPr>
                          <w:rFonts w:ascii="Times New Roman" w:hAnsi="Times New Roman"/>
                          <w:sz w:val="20"/>
                          <w:szCs w:val="20"/>
                        </w:rPr>
                        <w:t>)</w:t>
                      </w:r>
                    </w:p>
                  </w:txbxContent>
                </v:textbox>
              </v:shape>
            </w:pict>
          </mc:Fallback>
        </mc:AlternateContent>
      </w:r>
      <w:r w:rsidRPr="00D404B0">
        <w:rPr>
          <w:rFonts w:ascii="Times New Roman" w:hAnsi="Times New Roman"/>
          <w:b/>
          <w:noProof/>
          <w:sz w:val="20"/>
          <w:szCs w:val="20"/>
          <w:lang w:bidi="ar-SA"/>
        </w:rPr>
        <w:drawing>
          <wp:inline distT="0" distB="0" distL="0" distR="0" wp14:anchorId="6AB99B85" wp14:editId="6D903460">
            <wp:extent cx="3659915" cy="1528877"/>
            <wp:effectExtent l="19050" t="19050" r="17145" b="146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2000" cy="1533925"/>
                    </a:xfrm>
                    <a:prstGeom prst="rect">
                      <a:avLst/>
                    </a:prstGeom>
                    <a:noFill/>
                    <a:ln>
                      <a:solidFill>
                        <a:schemeClr val="tx1"/>
                      </a:solidFill>
                    </a:ln>
                  </pic:spPr>
                </pic:pic>
              </a:graphicData>
            </a:graphic>
          </wp:inline>
        </w:drawing>
      </w: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spacing w:after="0" w:line="240" w:lineRule="auto"/>
        <w:jc w:val="center"/>
        <w:rPr>
          <w:rFonts w:ascii="Times New Roman" w:hAnsi="Times New Roman"/>
          <w:noProof/>
          <w:sz w:val="20"/>
          <w:szCs w:val="20"/>
        </w:rPr>
      </w:pPr>
      <w:r w:rsidRPr="00D404B0">
        <w:rPr>
          <w:rFonts w:ascii="Times New Roman" w:hAnsi="Times New Roman"/>
          <w:b/>
          <w:noProof/>
          <w:sz w:val="20"/>
          <w:szCs w:val="20"/>
          <w:lang w:bidi="ar-SA"/>
        </w:rPr>
        <mc:AlternateContent>
          <mc:Choice Requires="wps">
            <w:drawing>
              <wp:anchor distT="45720" distB="45720" distL="114300" distR="114300" simplePos="0" relativeHeight="251662848" behindDoc="0" locked="0" layoutInCell="1" allowOverlap="1" wp14:anchorId="503638C4" wp14:editId="4B2C94A3">
                <wp:simplePos x="0" y="0"/>
                <wp:positionH relativeFrom="column">
                  <wp:posOffset>1091565</wp:posOffset>
                </wp:positionH>
                <wp:positionV relativeFrom="paragraph">
                  <wp:posOffset>73025</wp:posOffset>
                </wp:positionV>
                <wp:extent cx="361315" cy="32956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p w:rsidR="00D01991" w:rsidRPr="00DC4DEC" w:rsidRDefault="00D01991" w:rsidP="00D01991">
                            <w:pPr>
                              <w:rPr>
                                <w:rFonts w:ascii="Times New Roman" w:hAnsi="Times New Roman"/>
                                <w:sz w:val="20"/>
                                <w:szCs w:val="20"/>
                              </w:rPr>
                            </w:pPr>
                            <w:r w:rsidRPr="00DC4DEC">
                              <w:rPr>
                                <w:rFonts w:ascii="Times New Roman" w:hAnsi="Times New Roman"/>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5.95pt;margin-top:5.75pt;width:28.45pt;height:25.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" filled="f" stroked="f">
                <v:textbox>
                  <w:txbxContent>
                    <w:p w:rsidR="00D01991" w:rsidRPr="00DC4DEC" w:rsidRDefault="00D01991" w:rsidP="00D01991">
                      <w:pPr>
                        <w:rPr>
                          <w:rFonts w:ascii="Times New Roman" w:hAnsi="Times New Roman"/>
                          <w:sz w:val="20"/>
                          <w:szCs w:val="20"/>
                        </w:rPr>
                      </w:pPr>
                      <w:r w:rsidRPr="00DC4DEC">
                        <w:rPr>
                          <w:rFonts w:ascii="Times New Roman" w:hAnsi="Times New Roman"/>
                          <w:sz w:val="20"/>
                          <w:szCs w:val="20"/>
                        </w:rPr>
                        <w:t>(b)</w:t>
                      </w:r>
                    </w:p>
                  </w:txbxContent>
                </v:textbox>
              </v:shape>
            </w:pict>
          </mc:Fallback>
        </mc:AlternateContent>
      </w:r>
      <w:r w:rsidRPr="00D404B0">
        <w:rPr>
          <w:rFonts w:ascii="Times New Roman" w:hAnsi="Times New Roman"/>
          <w:b/>
          <w:noProof/>
          <w:sz w:val="20"/>
          <w:szCs w:val="20"/>
          <w:lang w:bidi="ar-SA"/>
        </w:rPr>
        <w:drawing>
          <wp:inline distT="0" distB="0" distL="0" distR="0" wp14:anchorId="084F1E77" wp14:editId="5E506843">
            <wp:extent cx="3635654" cy="1528877"/>
            <wp:effectExtent l="19050" t="19050" r="22225"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5654" cy="1528877"/>
                    </a:xfrm>
                    <a:prstGeom prst="rect">
                      <a:avLst/>
                    </a:prstGeom>
                    <a:noFill/>
                    <a:ln>
                      <a:solidFill>
                        <a:schemeClr val="tx1"/>
                      </a:solidFill>
                    </a:ln>
                  </pic:spPr>
                </pic:pic>
              </a:graphicData>
            </a:graphic>
          </wp:inline>
        </w:drawing>
      </w:r>
    </w:p>
    <w:p w:rsidR="00D01991" w:rsidRPr="00D404B0" w:rsidRDefault="00D01991" w:rsidP="00D01991">
      <w:pPr>
        <w:spacing w:after="0" w:line="240" w:lineRule="auto"/>
        <w:jc w:val="both"/>
        <w:rPr>
          <w:rFonts w:ascii="Times New Roman" w:hAnsi="Times New Roman"/>
          <w:noProof/>
          <w:sz w:val="20"/>
          <w:szCs w:val="20"/>
        </w:rPr>
      </w:pPr>
    </w:p>
    <w:p w:rsidR="00D01991" w:rsidRPr="00D404B0" w:rsidRDefault="00D01991" w:rsidP="00D01991">
      <w:pPr>
        <w:pStyle w:val="Caption"/>
        <w:ind w:left="900" w:hanging="900"/>
      </w:pPr>
      <w:bookmarkStart w:id="16" w:name="_Ref385491181"/>
      <w:bookmarkStart w:id="17" w:name="_Toc418235780"/>
      <w:bookmarkStart w:id="18" w:name="_Toc425849625"/>
      <w:r w:rsidRPr="00D404B0">
        <w:t xml:space="preserve">Figure </w:t>
      </w:r>
      <w:r w:rsidRPr="00D404B0">
        <w:fldChar w:fldCharType="begin"/>
      </w:r>
      <w:r w:rsidRPr="00D404B0">
        <w:instrText xml:space="preserve"> SEQ Figure \* ARABIC \s 1 </w:instrText>
      </w:r>
      <w:r w:rsidRPr="00D404B0">
        <w:fldChar w:fldCharType="separate"/>
      </w:r>
      <w:r w:rsidR="00763CB9">
        <w:t>4</w:t>
      </w:r>
      <w:r w:rsidRPr="00D404B0">
        <w:fldChar w:fldCharType="end"/>
      </w:r>
      <w:bookmarkEnd w:id="16"/>
      <w:r w:rsidRPr="00D404B0">
        <w:t xml:space="preserve">. </w:t>
      </w:r>
      <w:r>
        <w:t xml:space="preserve"> </w:t>
      </w:r>
      <w:r>
        <w:tab/>
      </w:r>
      <w:r w:rsidRPr="00D404B0">
        <w:t>Polarization (a) and power density (b) curves recorded.</w:t>
      </w:r>
      <w:bookmarkEnd w:id="17"/>
      <w:bookmarkEnd w:id="18"/>
      <w:r w:rsidRPr="00D404B0">
        <w:t xml:space="preserve"> Symbols in the figure represent anaerobic MFCs before (</w:t>
      </w:r>
      <w:r w:rsidRPr="00D404B0">
        <w:rPr>
          <w:color w:val="000000" w:themeColor="text1"/>
          <w:shd w:val="clear" w:color="auto" w:fill="808080" w:themeFill="background1" w:themeFillShade="80"/>
        </w:rPr>
        <w:sym w:font="Wingdings 3" w:char="F072"/>
      </w:r>
      <w:r w:rsidRPr="00D404B0">
        <w:t>) and after (</w:t>
      </w:r>
      <w:r w:rsidRPr="00D404B0">
        <w:rPr>
          <w14:textOutline w14:w="9525" w14:cap="rnd" w14:cmpd="sng" w14:algn="ctr">
            <w14:solidFill>
              <w14:schemeClr w14:val="bg1">
                <w14:lumMod w14:val="50000"/>
              </w14:schemeClr>
            </w14:solidFill>
            <w14:prstDash w14:val="solid"/>
            <w14:bevel/>
          </w14:textOutline>
        </w:rPr>
        <w:sym w:font="Wingdings 3" w:char="F072"/>
      </w:r>
      <w:r w:rsidRPr="00D404B0">
        <w:t>) gas switching and aerobic MFCs before (</w:t>
      </w:r>
      <w:r w:rsidRPr="00D404B0">
        <w:rPr>
          <w:color w:val="000000" w:themeColor="text1"/>
        </w:rPr>
        <w:sym w:font="Wingdings 2" w:char="F098"/>
      </w:r>
      <w:r w:rsidRPr="00D404B0">
        <w:t>) and after (</w:t>
      </w:r>
      <w:r w:rsidRPr="00D404B0">
        <w:rPr>
          <w14:textOutline w14:w="9525" w14:cap="rnd" w14:cmpd="sng" w14:algn="ctr">
            <w14:solidFill>
              <w14:schemeClr w14:val="tx1"/>
            </w14:solidFill>
            <w14:prstDash w14:val="solid"/>
            <w14:bevel/>
          </w14:textOutline>
        </w:rPr>
        <w:sym w:font="Wingdings 2" w:char="F099"/>
      </w:r>
      <w:r w:rsidRPr="00D404B0">
        <w:t>) gas switching as well as controls (x)(n=2).</w:t>
      </w:r>
    </w:p>
    <w:p w:rsidR="00D01991"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noProof/>
          <w:sz w:val="20"/>
          <w:szCs w:val="20"/>
        </w:rPr>
      </w:pPr>
      <w:r w:rsidRPr="00D404B0">
        <w:rPr>
          <w:rFonts w:ascii="Times New Roman" w:hAnsi="Times New Roman"/>
          <w:noProof/>
          <w:sz w:val="20"/>
          <w:szCs w:val="20"/>
        </w:rPr>
        <w:t xml:space="preserve">Hence, apart from the low concentraiton of oxygen in air (ca. 21%), the reduced in OCV could be attributed to factors, such as potential generated by the exoelectrogen that formed the anodic biofilm, diffused oxygen into the anode compartment that interrupts the anodic  biofilm and inefficient oxygen reduction reaction (ORR) occurs at the cathode site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&lt;EndNote&gt;&lt;Cite&gt;&lt;Author&gt;Cheng&lt;/Author&gt;&lt;Year&gt;2006&lt;/Year&gt;&lt;RecNum&gt;451&lt;/RecNum&gt;&lt;DisplayText&gt;[23]&lt;/DisplayText&gt;&lt;record&gt;&lt;rec-number&gt;451&lt;/rec-number&gt;&lt;foreign-keys&gt;&lt;key app="EN" db-id="pev00ptf6vtps6eafrqvzezz9dd2pprw2s2v" timestamp="0"&gt;451&lt;/key&gt;&lt;/foreign-keys&gt;&lt;ref-type name="Journal Article"&gt;17&lt;/ref-type&gt;&lt;contributors&gt;&lt;authors&gt;&lt;author&gt;Cheng, S.&lt;/author&gt;&lt;author&gt;Liu, H.&lt;/author&gt;&lt;author&gt;Logan, B. E.&lt;/author&gt;&lt;/authors&gt;&lt;/contributors&gt;&lt;titles&gt;&lt;title&gt;Increased power generation in a continuous flow MFC with advective flow through the porous anode and reduced electrode spacing&lt;/title&gt;&lt;secondary-title&gt;Environmental Science &amp;amp; Technology&lt;/secondary-title&gt;&lt;/titles&gt;&lt;periodical&gt;&lt;full-title&gt;Environmental Science &amp;amp; Technology&lt;/full-title&gt;&lt;/periodical&gt;&lt;pages&gt;2426-2432&lt;/pages&gt;&lt;volume&gt;40&lt;/volume&gt;&lt;number&gt;7&lt;/number&gt;&lt;dates&gt;&lt;year&gt;2006&lt;/year&gt;&lt;pub-dates&gt;&lt;date&gt;Apr 1&lt;/date&gt;&lt;/pub-dates&gt;&lt;/dates&gt;&lt;isbn&gt;0013-936X&lt;/isbn&gt;&lt;accession-num&gt;WOS:000236691600065&lt;/accession-num&gt;&lt;urls&gt;&lt;related-urls&gt;&lt;url&gt;&amp;lt;Go to ISI&amp;gt;://WOS:000236691600065&lt;/url&gt;&lt;/related-urls&gt;&lt;/urls&gt;&lt;electronic-resource-num&gt;10.1021/es051652w&lt;/electronic-resource-num&gt;&lt;/record&gt;&lt;/Cite&gt;&lt;/EndNote&gt;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[23]</w:t>
      </w:r>
      <w:r w:rsidRPr="00D404B0">
        <w:rPr>
          <w:rFonts w:ascii="Times New Roman" w:hAnsi="Times New Roman"/>
          <w:noProof/>
          <w:sz w:val="20"/>
          <w:szCs w:val="20"/>
        </w:rPr>
        <w:fldChar w:fldCharType="end"/>
      </w:r>
      <w:r w:rsidRPr="00D404B0">
        <w:rPr>
          <w:rFonts w:ascii="Times New Roman" w:hAnsi="Times New Roman"/>
          <w:noProof/>
          <w:sz w:val="20"/>
          <w:szCs w:val="20"/>
        </w:rPr>
        <w:t>. Ideally, an OCV of an air-cathode MFC should be around +621 mV (vs. Ag/AgCl) (+820 mV, vs. SHE) when pure oxygen is used. The 820 mV is based on the potential of redox couple between pure oxygen and water (½ O2/ H</w:t>
      </w:r>
      <w:r w:rsidRPr="00D404B0">
        <w:rPr>
          <w:rFonts w:ascii="Times New Roman" w:hAnsi="Times New Roman"/>
          <w:noProof/>
          <w:sz w:val="20"/>
          <w:szCs w:val="20"/>
          <w:vertAlign w:val="subscript"/>
        </w:rPr>
        <w:t>2</w:t>
      </w:r>
      <w:r w:rsidRPr="00D404B0">
        <w:rPr>
          <w:rFonts w:ascii="Times New Roman" w:hAnsi="Times New Roman"/>
          <w:noProof/>
          <w:sz w:val="20"/>
          <w:szCs w:val="20"/>
        </w:rPr>
        <w:t>O, 2e</w:t>
      </w:r>
      <w:r w:rsidRPr="00D404B0">
        <w:rPr>
          <w:rFonts w:ascii="Times New Roman" w:hAnsi="Times New Roman"/>
          <w:noProof/>
          <w:sz w:val="20"/>
          <w:szCs w:val="20"/>
          <w:vertAlign w:val="superscript"/>
        </w:rPr>
        <w:t>-</w:t>
      </w:r>
      <w:r w:rsidRPr="00D404B0">
        <w:rPr>
          <w:rFonts w:ascii="Times New Roman" w:hAnsi="Times New Roman"/>
          <w:noProof/>
          <w:sz w:val="20"/>
          <w:szCs w:val="20"/>
        </w:rPr>
        <w:t xml:space="preserve">)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However when air is used at the cathode side, OCV obtained are much lower than the ideal. In an MFC study done by Li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&lt;EndNote&gt;&lt;Cite&gt;&lt;Author&gt;Li&lt;/Author&gt;&lt;Year&gt;2013&lt;/Year&gt;&lt;RecNum&gt;879&lt;/RecNum&gt;&lt;DisplayText&gt;[25]&lt;/DisplayText&gt;&lt;record&gt;&lt;rec-number&gt;879&lt;/rec-number&gt;&lt;foreign-keys&gt;&lt;key app="EN" db-id="pev00ptf6vtps6eafrqvzezz9dd2pprw2s2v" timestamp="1431920746"&gt;879&lt;/key&gt;&lt;/foreign-keys&gt;&lt;ref-type name="Journal Article"&gt;17&lt;/ref-type&gt;&lt;contributors&gt;&lt;authors&gt;&lt;author&gt;Li, Xiao Min&lt;/author&gt;&lt;author&gt;Cheng, Ka Yu&lt;/author&gt;&lt;author&gt;Selvam, Ammaiyappan&lt;/author&gt;&lt;author&gt;Wong, Jonathan W. C.&lt;/author&gt;&lt;/authors&gt;&lt;/contributors&gt;&lt;titles&gt;&lt;title&gt;Bioelectricity production from acidic food waste leachate using microbial fuel cells: Effect of microbial inocula&lt;/title&gt;&lt;secondary-title&gt;Process Biochemistry&lt;/secondary-title&gt;&lt;/titles&gt;&lt;pages&gt;283-288&lt;/pages&gt;&lt;volume&gt;48&lt;/volume&gt;&lt;number&gt;2&lt;/number&gt;&lt;keywords&gt;&lt;keyword&gt;Bioelectrochemical systems&lt;/keyword&gt;&lt;keyword&gt;Anaerobic digestion&lt;/keyword&gt;&lt;keyword&gt;Waste-to-energy&lt;/keyword&gt;&lt;keyword&gt;Acidic condition&lt;/keyword&gt;&lt;keyword&gt;Microbial community&lt;/keyword&gt;&lt;/keywords&gt;&lt;dates&gt;&lt;year&gt;2013&lt;/year&gt;&lt;pub-dates&gt;&lt;date&gt;2//&lt;/date&gt;&lt;/pub-dates&gt;&lt;/dates&gt;&lt;isbn&gt;1359-5113&lt;/isbn&gt;&lt;urls&gt;&lt;related-urls&gt;&lt;url&gt;http://www.sciencedirect.com/science/article/pii/S1359511312003704&lt;/url&gt;&lt;/related-urls&gt;&lt;/urls&gt;&lt;electronic-resource-num&gt;http://dx.doi.org/10.1016/j.procbio.2012.10.001&lt;/electronic-resource-num&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wastewater as inoculum in a 75.6 mL dual chambered MFC with air bubbled in deionized catholyte, OCV was within the range of +419 to +489 mV (vs. Ag/ AgCl). In other study done by Khan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&lt;EndNote&gt;&lt;Cite&gt;&lt;Author&gt;Khan&lt;/Author&gt;&lt;Year&gt;2015&lt;/Year&gt;&lt;RecNum&gt;833&lt;/RecNum&gt;&lt;DisplayText&gt;[26]&lt;/DisplayText&gt;&lt;record&gt;&lt;rec-number&gt;833&lt;/rec-number&gt;&lt;foreign-keys&gt;&lt;key app="EN" db-id="pev00ptf6vtps6eafrqvzezz9dd2pprw2s2v" timestamp="1431400678"&gt;833&lt;/key&gt;&lt;/foreign-keys&gt;&lt;ref-type name="Journal Article"&gt;17&lt;/ref-type&gt;&lt;contributors&gt;&lt;authors&gt;&lt;author&gt;Khan, Maksudur Rahman &lt;/author&gt;&lt;author&gt;Chan, Kar Min &lt;/author&gt;&lt;author&gt;Ong, Huei Ruey &lt;/author&gt;&lt;author&gt;Cheng, Chin Kui &lt;/author&gt;&lt;author&gt;Rahman,Wasikur &lt;/author&gt;&lt;/authors&gt;&lt;/contributors&gt;&lt;titles&gt;&lt;title&gt;Nanostructured pt/mno2 catalysts and their performance for oxygen reduction reaction in air cathode microbial fuel cell&lt;/title&gt;&lt;secondary-title&gt;International Journal of Electrical, Computer, Electronics and Communication Engineering&lt;/secondary-title&gt;&lt;/titles&gt;&lt;pages&gt;295-301&lt;/pages&gt;&lt;volume&gt;9&lt;/volume&gt;&lt;number&gt;3&lt;/number&gt;&lt;dates&gt;&lt;year&gt;2015&lt;/year&gt;&lt;/dates&gt;&lt;urls&gt;&lt;/urls&gt;&lt;/record&gt;&lt;/Cite&gt;&lt;/EndNote&gt;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[26]</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using anaerobic digester from palm oil waste as inoculum in 20 mL single chamber air-cathode, found that the OCV also dependent on the catalyst applied onto the cathode, which could ranged from +385 to +626 mV (vs. Ag/ ACl). In this study, however, the high OCV recorded for the aerobic MFCs after the anolyte was continously bubbled with nitrogen for 11 days, might have increased the population of the exoelectrogens in the anode compartment, thus reduce the overpotential of the anode and the internal losses in the MFC.</w:t>
      </w: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From the MFC characterisations</w:t>
      </w:r>
      <w:r>
        <w:rPr>
          <w:rFonts w:ascii="Times New Roman" w:hAnsi="Times New Roman"/>
          <w:sz w:val="20"/>
          <w:szCs w:val="20"/>
          <w:lang w:val="en-GB"/>
        </w:rPr>
        <w:t xml:space="preserve"> (Table 2)</w:t>
      </w:r>
      <w:r w:rsidRPr="00D404B0">
        <w:rPr>
          <w:rFonts w:ascii="Times New Roman" w:hAnsi="Times New Roman"/>
          <w:sz w:val="20"/>
          <w:szCs w:val="20"/>
          <w:lang w:val="en-GB"/>
        </w:rPr>
        <w:t xml:space="preserve">, positive changed were seen on the aerobic MFCs where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increased by more than 1,000- fold, increased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42-fold, once the air in the anolyte was replaced with nitrogen. The change in the anaerobic MFCs after the nitrogen bubble replaced with air was small, about 1.4- fold of decreased in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along with a slight decreased in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by 2.8-fold. This increase in both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for the aerobic MFCs after the gas swapping shows that when MFCs were in the aerobic state, the exoelectrogens were already there, and these became active once the environment turned to anaerobic. Exoelectrogens are believed to be facultative bacteria that could survive in both conditions, aerobic and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&lt;EndNote&gt;&lt;Cite&gt;&lt;Author&gt;Lefebvre&lt;/Author&gt;&lt;Year&gt;2011&lt;/Year&gt;&lt;RecNum&gt;420&lt;/RecNum&gt;&lt;DisplayText&gt;[27]&lt;/DisplayText&gt;&lt;record&gt;&lt;rec-number&gt;420&lt;/rec-number&gt;&lt;foreign-keys&gt;&lt;key app="EN" db-id="pev00ptf6vtps6eafrqvzezz9dd2pprw2s2v" timestamp="0"&gt;420&lt;/key&gt;&lt;/foreign-keys&gt;&lt;ref-type name="Journal Article"&gt;17&lt;/ref-type&gt;&lt;contributors&gt;&lt;authors&gt;&lt;author&gt;Lefebvre, Olivier&lt;/author&gt;&lt;author&gt;Shen, Yujia&lt;/author&gt;&lt;author&gt;Tan, Zi&lt;/author&gt;&lt;author&gt;Uzabiaga, Arnaud&lt;/author&gt;&lt;author&gt;Chang, In Seop&lt;/author&gt;&lt;author&gt;Ng, How Y.&lt;/author&gt;&lt;/authors&gt;&lt;/contributors&gt;&lt;titles&gt;&lt;title&gt;A comparison of membranes and enrichment strategies for microbial fuel cells&lt;/title&gt;&lt;secondary-title&gt;Bioresource Technology&lt;/secondary-title&gt;&lt;/titles&gt;&lt;periodical&gt;&lt;full-title&gt;Bioresource Technology&lt;/full-title&gt;&lt;/periodical&gt;&lt;pages&gt;6291-6294&lt;/pages&gt;&lt;volume&gt;102&lt;/volume&gt;&lt;number&gt;10&lt;/number&gt;&lt;keywords&gt;&lt;keyword&gt;Biomax&lt;/keyword&gt;&lt;keyword&gt;Isopore&lt;/keyword&gt;&lt;keyword&gt;Microbial fuel cell&lt;/keyword&gt;&lt;keyword&gt;Selemion&lt;/keyword&gt;&lt;keyword&gt;Oxygen diffusion&lt;/keyword&gt;&lt;/keywords&gt;&lt;dates&gt;&lt;year&gt;2011&lt;/year&gt;&lt;/dates&gt;&lt;isbn&gt;0960-8524&lt;/isbn&gt;&lt;work-type&gt;doi: 10.1016/j.biortech.2011.02.003&lt;/work-type&gt;&lt;urls&gt;&lt;related-urls&gt;&lt;url&gt;http://www.sciencedirect.com/science/article/pii/S096085241100188X&lt;/url&gt;&lt;/related-urls&gt;&lt;/urls&gt;&lt;/record&gt;&lt;/Cite&gt;&lt;/EndNote&gt;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[27]</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In the air bubbling anode chamber, the small number of exoelectrogenic bacteria near the anode still survive because concentration of oxygen lessen with the increasing depth of biofilm; while the centre is already anaerobic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&lt;EndNote&gt;&lt;Cite&gt;&lt;Author&gt;Cunningham&lt;/Author&gt;&lt;Year&gt;2001-2008&lt;/Year&gt;&lt;RecNum&gt;735&lt;/RecNum&gt;&lt;DisplayText&gt;[28]&lt;/DisplayText&gt;&lt;record&gt;&lt;rec-number&gt;735&lt;/rec-number&gt;&lt;foreign-keys&gt;&lt;key app="EN" db-id="pev00ptf6vtps6eafrqvzezz9dd2pprw2s2v" timestamp="0"&gt;735&lt;/key&gt;&lt;/foreign-keys&gt;&lt;ref-type name="Web Page"&gt;12&lt;/ref-type&gt;&lt;contributors&gt;&lt;authors&gt;&lt;author&gt;Cunningham, Alfred B&lt;/author&gt;&lt;author&gt;Lennox, John E&lt;/author&gt;&lt;author&gt;Ross, Rockford J&lt;/author&gt;&lt;/authors&gt;&lt;/contributors&gt;&lt;titles&gt;&lt;title&gt;The Biofilms Hypertextbook: Intermediate level&lt;/title&gt;&lt;secondary-title&gt;Chapter 2: Biofilm formation and growth&lt;/secondary-title&gt;&lt;/titles&gt;&lt;pages&gt;Section 3: Biofilm development&lt;/pages&gt;&lt;volume&gt;2014&lt;/volume&gt;&lt;number&gt;19 September&lt;/number&gt;&lt;dates&gt;&lt;year&gt;2001-2008&lt;/year&gt;&lt;/dates&gt;&lt;pub-location&gt;Montana&lt;/pub-location&gt;&lt;publisher&gt;Montana State University&lt;/publisher&gt;&lt;urls&gt;&lt;related-urls&gt;&lt;url&gt;http://biofilmbook.hypertextbookshop.com/public_version/contents/chapters/chapter002/section003/blue/page003.html&lt;/url&gt;&lt;/related-urls&gt;&lt;/urls&gt;&lt;/record&gt;&lt;/Cite&gt;&lt;/EndNote&gt;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[28]</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Diffused oxygen is consumed in the outer layers of biofilm, providing favourable conditions for growth of facultative and strict anaerobes in the deep layers of the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&lt;EndNote&gt;&lt;Cite&gt;&lt;Author&gt;Pastorella&lt;/Author&gt;&lt;Year&gt;2012&lt;/Year&gt;&lt;RecNum&gt;740&lt;/RecNum&gt;&lt;DisplayText&gt;[29]&lt;/DisplayText&gt;&lt;record&gt;&lt;rec-number&gt;740&lt;/rec-number&gt;&lt;foreign-keys&gt;&lt;key app="EN" db-id="pev00ptf6vtps6eafrqvzezz9dd2pprw2s2v" timestamp="0"&gt;740&lt;/key&gt;&lt;/foreign-keys&gt;&lt;ref-type name="Book Section"&gt;5&lt;/ref-type&gt;&lt;contributors&gt;&lt;authors&gt;&lt;author&gt;Pastorella, Gabriele&lt;/author&gt;&lt;author&gt;Gazzola, Giulio&lt;/author&gt;&lt;author&gt;Guadarrama, Seratna&lt;/author&gt;&lt;author&gt;Marsili, Enrico&lt;/author&gt;&lt;/authors&gt;&lt;secondary-authors&gt;&lt;author&gt;Lear, Gavin&lt;/author&gt;&lt;author&gt;Lewis, Gillian D&lt;/author&gt;&lt;/secondary-authors&gt;&lt;/contributors&gt;&lt;titles&gt;&lt;title&gt;Biofilms: Applications in bioremediation&lt;/title&gt;&lt;secondary-title&gt;Microbial Biofilms: Current research and applications&lt;/secondary-title&gt;&lt;/titles&gt;&lt;pages&gt;73-98&lt;/pages&gt;&lt;dates&gt;&lt;year&gt;2012&lt;/year&gt;&lt;/dates&gt;&lt;pub-location&gt;UK&lt;/pub-location&gt;&lt;publisher&gt;Horizon Scientific Press&lt;/publisher&gt;&lt;urls&gt;&lt;/urls&gt;&lt;/record&gt;&lt;/Cite&gt;&lt;/EndNote&gt;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[29]</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Similar to oxygen, substrate diffusion also decrease with the increase of biofilm mass depth from bulk fluid to the interior biofilm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&lt;EndNote&gt;&lt;Cite&gt;&lt;Author&gt;Dirckx&lt;/Author&gt;&lt;Year&gt;1997&lt;/Year&gt;&lt;RecNum&gt;736&lt;/RecNum&gt;&lt;DisplayText&gt;[30]&lt;/DisplayText&gt;&lt;record&gt;&lt;rec-number&gt;736&lt;/rec-number&gt;&lt;foreign-keys&gt;&lt;key app="EN" db-id="pev00ptf6vtps6eafrqvzezz9dd2pprw2s2v" timestamp="0"&gt;736&lt;/key&gt;&lt;/foreign-keys&gt;&lt;ref-type name="Figure"&gt;37&lt;/ref-type&gt;&lt;contributors&gt;&lt;authors&gt;&lt;author&gt;Dirckx, Peg&lt;/author&gt;&lt;/authors&gt;&lt;secondary-authors&gt;&lt;author&gt;Biofilm.jpg&lt;/author&gt;&lt;/secondary-authors&gt;&lt;/contributors&gt;&lt;titles&gt;&lt;title&gt;Biofilm structure with labels&lt;/title&gt;&lt;/titles&gt;&lt;dates&gt;&lt;year&gt;1997&lt;/year&gt;&lt;/dates&gt;&lt;pub-location&gt;Montana&lt;/pub-location&gt;&lt;publisher&gt;Center for Biofilm Engineering&lt;/publisher&gt;&lt;urls&gt;&lt;related-urls&gt;&lt;url&gt;http://www.biofilm.montana.edu/resources/images/multicellularextracellular/biofilm-structure-labels.html&lt;/url&gt;&lt;/related-urls&gt;&lt;/urls&gt;&lt;/record&gt;&lt;/Cite&gt;&lt;/EndNote&gt;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[30]</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w:t>
      </w:r>
      <w:bookmarkStart w:id="19" w:name="_Ref424667069"/>
      <w:bookmarkStart w:id="20" w:name="_Toc425849609"/>
    </w:p>
    <w:p w:rsidR="00D01991"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p>
    <w:bookmarkEnd w:id="19"/>
    <w:p w:rsidR="00D01991" w:rsidRPr="00D404B0" w:rsidRDefault="00D01991" w:rsidP="00D01991">
      <w:pPr>
        <w:spacing w:after="0" w:line="240" w:lineRule="auto"/>
        <w:jc w:val="center"/>
        <w:rPr>
          <w:rFonts w:ascii="Times New Roman" w:hAnsi="Times New Roman"/>
          <w:sz w:val="20"/>
          <w:szCs w:val="20"/>
          <w:lang w:val="en-GB"/>
        </w:rPr>
      </w:pPr>
      <w:r>
        <w:rPr>
          <w:rFonts w:ascii="Times New Roman" w:hAnsi="Times New Roman"/>
          <w:sz w:val="20"/>
          <w:szCs w:val="20"/>
        </w:rPr>
        <w:t xml:space="preserve">Table 2.  </w:t>
      </w:r>
      <w:r w:rsidRPr="00D404B0">
        <w:rPr>
          <w:rFonts w:ascii="Times New Roman" w:hAnsi="Times New Roman"/>
          <w:sz w:val="20"/>
          <w:szCs w:val="20"/>
        </w:rPr>
        <w:t>Details obtained from MFC electrochemical characterizations</w:t>
      </w:r>
      <w:bookmarkEnd w:id="20"/>
    </w:p>
    <w:tbl>
      <w:tblPr>
        <w:tblStyle w:val="TableGrid"/>
        <w:tblpPr w:leftFromText="180" w:rightFromText="180" w:vertAnchor="text" w:horzAnchor="margin" w:tblpXSpec="center" w:tblpY="115"/>
        <w:tblW w:w="75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1349"/>
        <w:gridCol w:w="1472"/>
        <w:gridCol w:w="1344"/>
      </w:tblGrid>
      <w:tr w:rsidR="00D01991" w:rsidRPr="00D404B0" w:rsidTr="00FF5A66">
        <w:trPr>
          <w:trHeight w:val="458"/>
        </w:trPr>
        <w:tc>
          <w:tcPr>
            <w:tcW w:w="3432" w:type="dxa"/>
            <w:tcBorders>
              <w:top w:val="single" w:sz="4" w:space="0" w:color="auto"/>
              <w:bottom w:val="single" w:sz="4" w:space="0" w:color="auto"/>
            </w:tcBorders>
            <w:vAlign w:val="center"/>
          </w:tcPr>
          <w:p w:rsidR="00D01991" w:rsidRPr="00D404B0" w:rsidRDefault="00D01991" w:rsidP="00FF5A66">
            <w:pPr>
              <w:tabs>
                <w:tab w:val="left" w:pos="709"/>
              </w:tabs>
              <w:spacing w:after="0" w:line="240" w:lineRule="auto"/>
              <w:rPr>
                <w:b/>
                <w:bCs/>
                <w:sz w:val="20"/>
                <w:szCs w:val="20"/>
                <w:shd w:val="clear" w:color="auto" w:fill="FFFFFF"/>
              </w:rPr>
            </w:pPr>
            <w:r w:rsidRPr="00D404B0">
              <w:rPr>
                <w:b/>
                <w:bCs/>
                <w:sz w:val="20"/>
                <w:szCs w:val="20"/>
                <w:shd w:val="clear" w:color="auto" w:fill="FFFFFF"/>
              </w:rPr>
              <w:t>MFC</w:t>
            </w:r>
          </w:p>
        </w:tc>
        <w:tc>
          <w:tcPr>
            <w:tcW w:w="1349" w:type="dxa"/>
            <w:tcBorders>
              <w:top w:val="single" w:sz="4" w:space="0" w:color="auto"/>
              <w:bottom w:val="single" w:sz="4" w:space="0" w:color="auto"/>
            </w:tcBorders>
            <w:vAlign w:val="center"/>
          </w:tcPr>
          <w:p w:rsidR="00D01991" w:rsidRPr="00D404B0" w:rsidRDefault="00D01991" w:rsidP="00FF5A66">
            <w:pPr>
              <w:tabs>
                <w:tab w:val="left" w:pos="709"/>
              </w:tabs>
              <w:spacing w:before="60" w:after="60" w:line="240" w:lineRule="auto"/>
              <w:jc w:val="center"/>
              <w:rPr>
                <w:b/>
                <w:bCs/>
                <w:sz w:val="20"/>
                <w:szCs w:val="20"/>
                <w:shd w:val="clear" w:color="auto" w:fill="FFFFFF"/>
              </w:rPr>
            </w:pPr>
            <w:r w:rsidRPr="00D404B0">
              <w:rPr>
                <w:b/>
                <w:bCs/>
                <w:i/>
                <w:sz w:val="20"/>
                <w:szCs w:val="20"/>
                <w:shd w:val="clear" w:color="auto" w:fill="FFFFFF"/>
              </w:rPr>
              <w:t>P</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(mW/ m</w:t>
            </w:r>
            <w:r w:rsidRPr="00D404B0">
              <w:rPr>
                <w:b/>
                <w:bCs/>
                <w:sz w:val="20"/>
                <w:szCs w:val="20"/>
                <w:shd w:val="clear" w:color="auto" w:fill="FFFFFF"/>
                <w:vertAlign w:val="superscript"/>
              </w:rPr>
              <w:t>2</w:t>
            </w:r>
            <w:r w:rsidRPr="00D404B0">
              <w:rPr>
                <w:b/>
                <w:bCs/>
                <w:sz w:val="20"/>
                <w:szCs w:val="20"/>
                <w:shd w:val="clear" w:color="auto" w:fill="FFFFFF"/>
              </w:rPr>
              <w:t>)</w:t>
            </w:r>
          </w:p>
        </w:tc>
        <w:tc>
          <w:tcPr>
            <w:tcW w:w="1472" w:type="dxa"/>
            <w:tcBorders>
              <w:top w:val="single" w:sz="4" w:space="0" w:color="auto"/>
              <w:bottom w:val="single" w:sz="4" w:space="0" w:color="auto"/>
            </w:tcBorders>
            <w:vAlign w:val="center"/>
          </w:tcPr>
          <w:p w:rsidR="00D01991" w:rsidRPr="00D404B0" w:rsidRDefault="00D01991" w:rsidP="00FF5A6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I</w:t>
            </w:r>
            <w:r w:rsidRPr="00D404B0">
              <w:rPr>
                <w:b/>
                <w:bCs/>
                <w:i/>
                <w:sz w:val="20"/>
                <w:szCs w:val="20"/>
                <w:shd w:val="clear" w:color="auto" w:fill="FFFFFF"/>
                <w:vertAlign w:val="subscript"/>
              </w:rPr>
              <w:t xml:space="preserve">max </w:t>
            </w:r>
            <w:r w:rsidRPr="00D404B0">
              <w:rPr>
                <w:b/>
                <w:bCs/>
                <w:sz w:val="20"/>
                <w:szCs w:val="20"/>
                <w:shd w:val="clear" w:color="auto" w:fill="FFFFFF"/>
                <w:vertAlign w:val="subscript"/>
              </w:rPr>
              <w:t xml:space="preserve">                                   </w:t>
            </w:r>
            <w:r w:rsidRPr="00D404B0">
              <w:rPr>
                <w:b/>
                <w:bCs/>
                <w:sz w:val="20"/>
                <w:szCs w:val="20"/>
                <w:shd w:val="clear" w:color="auto" w:fill="FFFFFF"/>
              </w:rPr>
              <w:t>(mA/ m</w:t>
            </w:r>
            <w:r w:rsidRPr="00D404B0">
              <w:rPr>
                <w:b/>
                <w:bCs/>
                <w:sz w:val="20"/>
                <w:szCs w:val="20"/>
                <w:shd w:val="clear" w:color="auto" w:fill="FFFFFF"/>
                <w:vertAlign w:val="superscript"/>
              </w:rPr>
              <w:t>2</w:t>
            </w:r>
            <w:r w:rsidRPr="00D404B0">
              <w:rPr>
                <w:b/>
                <w:bCs/>
                <w:sz w:val="20"/>
                <w:szCs w:val="20"/>
                <w:shd w:val="clear" w:color="auto" w:fill="FFFFFF"/>
              </w:rPr>
              <w:t>)</w:t>
            </w:r>
          </w:p>
        </w:tc>
        <w:tc>
          <w:tcPr>
            <w:tcW w:w="1344" w:type="dxa"/>
            <w:tcBorders>
              <w:top w:val="single" w:sz="4" w:space="0" w:color="auto"/>
              <w:bottom w:val="single" w:sz="4" w:space="0" w:color="auto"/>
            </w:tcBorders>
            <w:vAlign w:val="center"/>
          </w:tcPr>
          <w:p w:rsidR="00D01991" w:rsidRPr="00D404B0" w:rsidRDefault="00D01991" w:rsidP="00FF5A66">
            <w:pPr>
              <w:tabs>
                <w:tab w:val="left" w:pos="709"/>
              </w:tabs>
              <w:spacing w:before="60" w:after="0" w:line="240" w:lineRule="auto"/>
              <w:jc w:val="center"/>
              <w:rPr>
                <w:b/>
                <w:bCs/>
                <w:sz w:val="20"/>
                <w:szCs w:val="20"/>
                <w:shd w:val="clear" w:color="auto" w:fill="FFFFFF"/>
              </w:rPr>
            </w:pPr>
            <w:r w:rsidRPr="00D404B0">
              <w:rPr>
                <w:b/>
                <w:bCs/>
                <w:i/>
                <w:sz w:val="20"/>
                <w:szCs w:val="20"/>
                <w:shd w:val="clear" w:color="auto" w:fill="FFFFFF"/>
              </w:rPr>
              <w:t>R</w:t>
            </w:r>
            <w:r w:rsidRPr="00D404B0">
              <w:rPr>
                <w:b/>
                <w:bCs/>
                <w:i/>
                <w:sz w:val="20"/>
                <w:szCs w:val="20"/>
                <w:shd w:val="clear" w:color="auto" w:fill="FFFFFF"/>
                <w:vertAlign w:val="subscript"/>
              </w:rPr>
              <w:t xml:space="preserve">int                               </w:t>
            </w:r>
            <w:r w:rsidRPr="00D404B0">
              <w:rPr>
                <w:b/>
                <w:bCs/>
                <w:sz w:val="20"/>
                <w:szCs w:val="20"/>
                <w:shd w:val="clear" w:color="auto" w:fill="FFFFFF"/>
              </w:rPr>
              <w:t>(k</w:t>
            </w:r>
            <w:r w:rsidRPr="00D404B0">
              <w:rPr>
                <w:b/>
                <w:bCs/>
                <w:sz w:val="20"/>
                <w:szCs w:val="20"/>
                <w:shd w:val="clear" w:color="auto" w:fill="FFFFFF"/>
              </w:rPr>
              <w:sym w:font="Symbol" w:char="F057"/>
            </w:r>
            <w:r w:rsidRPr="00D404B0">
              <w:rPr>
                <w:b/>
                <w:bCs/>
                <w:sz w:val="20"/>
                <w:szCs w:val="20"/>
                <w:shd w:val="clear" w:color="auto" w:fill="FFFFFF"/>
              </w:rPr>
              <w:t>)</w:t>
            </w:r>
          </w:p>
        </w:tc>
      </w:tr>
      <w:tr w:rsidR="00D01991" w:rsidRPr="00D404B0" w:rsidTr="00FF5A66">
        <w:trPr>
          <w:trHeight w:val="56"/>
        </w:trPr>
        <w:tc>
          <w:tcPr>
            <w:tcW w:w="3432" w:type="dxa"/>
            <w:tcBorders>
              <w:top w:val="single" w:sz="4" w:space="0" w:color="auto"/>
            </w:tcBorders>
            <w:vAlign w:val="bottom"/>
          </w:tcPr>
          <w:p w:rsidR="00D01991" w:rsidRPr="00D404B0" w:rsidRDefault="00D01991" w:rsidP="00FF5A66">
            <w:pPr>
              <w:tabs>
                <w:tab w:val="left" w:pos="709"/>
              </w:tabs>
              <w:spacing w:before="60" w:after="0" w:line="240" w:lineRule="auto"/>
              <w:rPr>
                <w:bCs/>
                <w:sz w:val="20"/>
                <w:szCs w:val="20"/>
                <w:shd w:val="clear" w:color="auto" w:fill="FFFFFF"/>
              </w:rPr>
            </w:pPr>
            <w:r w:rsidRPr="00D404B0">
              <w:rPr>
                <w:bCs/>
                <w:sz w:val="20"/>
                <w:szCs w:val="20"/>
                <w:shd w:val="clear" w:color="auto" w:fill="FFFFFF"/>
              </w:rPr>
              <w:t>Anaerobic- before gas swap</w:t>
            </w:r>
          </w:p>
        </w:tc>
        <w:tc>
          <w:tcPr>
            <w:tcW w:w="1349" w:type="dxa"/>
            <w:tcBorders>
              <w:top w:val="single" w:sz="4" w:space="0" w:color="auto"/>
            </w:tcBorders>
            <w:vAlign w:val="bottom"/>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10.88 ± 8.33</w:t>
            </w:r>
          </w:p>
        </w:tc>
        <w:tc>
          <w:tcPr>
            <w:tcW w:w="1472" w:type="dxa"/>
            <w:tcBorders>
              <w:top w:val="single" w:sz="4" w:space="0" w:color="auto"/>
            </w:tcBorders>
            <w:vAlign w:val="bottom"/>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114.61 ± 49.97</w:t>
            </w:r>
          </w:p>
        </w:tc>
        <w:tc>
          <w:tcPr>
            <w:tcW w:w="1344" w:type="dxa"/>
            <w:tcBorders>
              <w:top w:val="single" w:sz="4" w:space="0" w:color="auto"/>
            </w:tcBorders>
            <w:vAlign w:val="bottom"/>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30.55 ± 0.00</w:t>
            </w:r>
          </w:p>
        </w:tc>
      </w:tr>
      <w:tr w:rsidR="00D01991" w:rsidRPr="00D404B0" w:rsidTr="00FF5A66">
        <w:trPr>
          <w:trHeight w:val="223"/>
        </w:trPr>
        <w:tc>
          <w:tcPr>
            <w:tcW w:w="3432" w:type="dxa"/>
          </w:tcPr>
          <w:p w:rsidR="00D01991" w:rsidRPr="00D404B0" w:rsidRDefault="00D01991" w:rsidP="00FF5A6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Anaerobic- after gas swap </w:t>
            </w:r>
            <w:r w:rsidRPr="00D404B0">
              <w:rPr>
                <w:bCs/>
                <w:sz w:val="20"/>
                <w:szCs w:val="20"/>
                <w:shd w:val="clear" w:color="auto" w:fill="FFFFFF"/>
                <w:vertAlign w:val="subscript"/>
              </w:rPr>
              <w:t>(aerobic condition)</w:t>
            </w:r>
          </w:p>
        </w:tc>
        <w:tc>
          <w:tcPr>
            <w:tcW w:w="1349"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7.87 ± 2.13</w:t>
            </w:r>
          </w:p>
        </w:tc>
        <w:tc>
          <w:tcPr>
            <w:tcW w:w="1472"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41.29 ± 5.35</w:t>
            </w:r>
          </w:p>
        </w:tc>
        <w:tc>
          <w:tcPr>
            <w:tcW w:w="1344"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226.40 ± 2.45</w:t>
            </w:r>
          </w:p>
        </w:tc>
      </w:tr>
      <w:tr w:rsidR="00D01991" w:rsidRPr="00D404B0" w:rsidTr="00FF5A66">
        <w:trPr>
          <w:trHeight w:val="223"/>
        </w:trPr>
        <w:tc>
          <w:tcPr>
            <w:tcW w:w="3432" w:type="dxa"/>
          </w:tcPr>
          <w:p w:rsidR="00D01991" w:rsidRPr="00D404B0" w:rsidRDefault="00D01991" w:rsidP="00FF5A66">
            <w:pPr>
              <w:tabs>
                <w:tab w:val="left" w:pos="709"/>
              </w:tabs>
              <w:spacing w:before="60" w:after="0" w:line="240" w:lineRule="auto"/>
              <w:rPr>
                <w:bCs/>
                <w:sz w:val="20"/>
                <w:szCs w:val="20"/>
                <w:shd w:val="clear" w:color="auto" w:fill="FFFFFF"/>
              </w:rPr>
            </w:pPr>
            <w:r w:rsidRPr="00D404B0">
              <w:rPr>
                <w:bCs/>
                <w:sz w:val="20"/>
                <w:szCs w:val="20"/>
                <w:shd w:val="clear" w:color="auto" w:fill="FFFFFF"/>
              </w:rPr>
              <w:t>Aerobic- before gas swap</w:t>
            </w:r>
          </w:p>
        </w:tc>
        <w:tc>
          <w:tcPr>
            <w:tcW w:w="1349"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0.02 ± 0.02</w:t>
            </w:r>
          </w:p>
        </w:tc>
        <w:tc>
          <w:tcPr>
            <w:tcW w:w="1472"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2.50 ± 2.25</w:t>
            </w:r>
          </w:p>
        </w:tc>
        <w:tc>
          <w:tcPr>
            <w:tcW w:w="1344"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50.92 ± 0.00</w:t>
            </w:r>
          </w:p>
        </w:tc>
      </w:tr>
      <w:tr w:rsidR="00D01991" w:rsidRPr="00D404B0" w:rsidTr="00FF5A66">
        <w:trPr>
          <w:trHeight w:val="223"/>
        </w:trPr>
        <w:tc>
          <w:tcPr>
            <w:tcW w:w="3432" w:type="dxa"/>
          </w:tcPr>
          <w:p w:rsidR="00D01991" w:rsidRPr="00D404B0" w:rsidRDefault="00D01991" w:rsidP="00FF5A66">
            <w:pPr>
              <w:tabs>
                <w:tab w:val="left" w:pos="709"/>
              </w:tabs>
              <w:spacing w:before="60" w:after="0" w:line="240" w:lineRule="auto"/>
              <w:rPr>
                <w:bCs/>
                <w:sz w:val="20"/>
                <w:szCs w:val="20"/>
                <w:shd w:val="clear" w:color="auto" w:fill="FFFFFF"/>
              </w:rPr>
            </w:pPr>
            <w:r w:rsidRPr="00D404B0">
              <w:rPr>
                <w:bCs/>
                <w:sz w:val="20"/>
                <w:szCs w:val="20"/>
                <w:shd w:val="clear" w:color="auto" w:fill="FFFFFF"/>
              </w:rPr>
              <w:t xml:space="preserve">Aerobic- after gas swap </w:t>
            </w:r>
            <w:r w:rsidRPr="00D404B0">
              <w:rPr>
                <w:bCs/>
                <w:sz w:val="20"/>
                <w:szCs w:val="20"/>
                <w:shd w:val="clear" w:color="auto" w:fill="FFFFFF"/>
                <w:vertAlign w:val="subscript"/>
              </w:rPr>
              <w:t>(anaerobic condition)</w:t>
            </w:r>
          </w:p>
        </w:tc>
        <w:tc>
          <w:tcPr>
            <w:tcW w:w="1349"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24.07 ± 4.06</w:t>
            </w:r>
          </w:p>
        </w:tc>
        <w:tc>
          <w:tcPr>
            <w:tcW w:w="1472"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106.22 ± 11.20</w:t>
            </w:r>
          </w:p>
        </w:tc>
        <w:tc>
          <w:tcPr>
            <w:tcW w:w="1344"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107.79 ± 3.89</w:t>
            </w:r>
          </w:p>
        </w:tc>
      </w:tr>
      <w:tr w:rsidR="00D01991" w:rsidRPr="00D404B0" w:rsidTr="00FF5A66">
        <w:trPr>
          <w:trHeight w:val="66"/>
        </w:trPr>
        <w:tc>
          <w:tcPr>
            <w:tcW w:w="3432" w:type="dxa"/>
          </w:tcPr>
          <w:p w:rsidR="00D01991" w:rsidRPr="00D404B0" w:rsidRDefault="00D01991" w:rsidP="00FF5A66">
            <w:pPr>
              <w:tabs>
                <w:tab w:val="left" w:pos="709"/>
              </w:tabs>
              <w:spacing w:before="60" w:after="60" w:line="240" w:lineRule="auto"/>
              <w:rPr>
                <w:bCs/>
                <w:sz w:val="20"/>
                <w:szCs w:val="20"/>
                <w:shd w:val="clear" w:color="auto" w:fill="FFFFFF"/>
              </w:rPr>
            </w:pPr>
            <w:r w:rsidRPr="00D404B0">
              <w:rPr>
                <w:bCs/>
                <w:sz w:val="20"/>
                <w:szCs w:val="20"/>
                <w:shd w:val="clear" w:color="auto" w:fill="FFFFFF"/>
              </w:rPr>
              <w:t>Control</w:t>
            </w:r>
          </w:p>
        </w:tc>
        <w:tc>
          <w:tcPr>
            <w:tcW w:w="1349"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2.91 ± 2.52</w:t>
            </w:r>
          </w:p>
        </w:tc>
        <w:tc>
          <w:tcPr>
            <w:tcW w:w="1472"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31.09 ± 17.94</w:t>
            </w:r>
          </w:p>
        </w:tc>
        <w:tc>
          <w:tcPr>
            <w:tcW w:w="1344" w:type="dxa"/>
          </w:tcPr>
          <w:p w:rsidR="00D01991" w:rsidRPr="00D404B0" w:rsidRDefault="00D01991" w:rsidP="00FF5A66">
            <w:pPr>
              <w:tabs>
                <w:tab w:val="left" w:pos="709"/>
              </w:tabs>
              <w:spacing w:before="60" w:after="0" w:line="240" w:lineRule="auto"/>
              <w:jc w:val="center"/>
              <w:rPr>
                <w:bCs/>
                <w:sz w:val="20"/>
                <w:szCs w:val="20"/>
                <w:shd w:val="clear" w:color="auto" w:fill="FFFFFF"/>
              </w:rPr>
            </w:pPr>
            <w:r w:rsidRPr="00D404B0">
              <w:rPr>
                <w:bCs/>
                <w:sz w:val="20"/>
                <w:szCs w:val="20"/>
                <w:shd w:val="clear" w:color="auto" w:fill="FFFFFF"/>
              </w:rPr>
              <w:t>2.41 ± 0.00</w:t>
            </w:r>
          </w:p>
        </w:tc>
      </w:tr>
    </w:tbl>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sz w:val="20"/>
          <w:szCs w:val="20"/>
          <w:lang w:val="en-GB"/>
        </w:rPr>
      </w:pPr>
      <w:r w:rsidRPr="00D404B0">
        <w:rPr>
          <w:rFonts w:ascii="Times New Roman" w:hAnsi="Times New Roman"/>
          <w:sz w:val="20"/>
          <w:szCs w:val="20"/>
          <w:lang w:val="en-GB"/>
        </w:rPr>
        <w:t xml:space="preserve">Although both the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the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showed expected results with the swapping of gasses,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for aerobic MFCs showed an increment of 2.1-fold after the gas swapping. Comparison between the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of aerobic and anaerobic MFCs after the gas swapping however shows that the nitrogen replacing the air in aerobic MFCs, reduced its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sz w:val="20"/>
          <w:szCs w:val="20"/>
          <w:lang w:val="en-GB"/>
        </w:rPr>
        <w:t xml:space="preserve"> lower than that of anaerobic MFCs. This effect can be seen clearly in the power curves where the curve of aerobic MFCs after the swapping was not symmetrical as the power curve of the anaerobic MFCs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REF _Ref385491181 \h  \* MERGEFORMAT </w:instrText>
      </w:r>
      <w:r w:rsidRPr="00D404B0">
        <w:rPr>
          <w:rFonts w:ascii="Times New Roman" w:hAnsi="Times New Roman"/>
          <w:sz w:val="20"/>
          <w:szCs w:val="20"/>
          <w:lang w:val="en-GB"/>
        </w:rPr>
      </w:r>
      <w:r w:rsidRPr="00D404B0">
        <w:rPr>
          <w:rFonts w:ascii="Times New Roman" w:hAnsi="Times New Roman"/>
          <w:sz w:val="20"/>
          <w:szCs w:val="20"/>
          <w:lang w:val="en-GB"/>
        </w:rPr>
        <w:fldChar w:fldCharType="separate"/>
      </w:r>
      <w:r w:rsidR="00763CB9" w:rsidRPr="00763CB9">
        <w:rPr>
          <w:rFonts w:ascii="Times New Roman" w:hAnsi="Times New Roman"/>
          <w:sz w:val="20"/>
          <w:szCs w:val="20"/>
        </w:rPr>
        <w:t xml:space="preserve">Figure </w:t>
      </w:r>
      <w:r w:rsidR="00763CB9" w:rsidRPr="00763CB9">
        <w:rPr>
          <w:rFonts w:ascii="Times New Roman" w:hAnsi="Times New Roman"/>
          <w:noProof/>
          <w:sz w:val="20"/>
          <w:szCs w:val="20"/>
        </w:rPr>
        <w:t>4</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b). </w:t>
      </w:r>
      <w:r w:rsidRPr="00D404B0">
        <w:rPr>
          <w:rFonts w:ascii="Times New Roman" w:hAnsi="Times New Roman"/>
          <w:noProof/>
          <w:sz w:val="20"/>
          <w:szCs w:val="20"/>
        </w:rPr>
        <w:t xml:space="preserve">Based on Logan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&lt;EndNote&gt;&lt;Cite&gt;&lt;Author&gt;Logan&lt;/Author&gt;&lt;Year&gt;2006&lt;/Year&gt;&lt;RecNum&gt;460&lt;/RecNum&gt;&lt;DisplayText&gt;[20]&lt;/DisplayText&gt;&lt;record&gt;&lt;rec-number&gt;460&lt;/rec-number&gt;&lt;foreign-keys&gt;&lt;key app="EN" db-id="pev00ptf6vtps6eafrqvzezz9dd2pprw2s2v" timestamp="0"&gt;460&lt;/key&gt;&lt;/foreign-keys&gt;&lt;ref-type name="Journal Article"&gt;17&lt;/ref-type&gt;&lt;contributors&gt;&lt;authors&gt;&lt;author&gt;Logan, Bruce E.&lt;/author&gt;&lt;author&gt;Hamelers, Bert&lt;/author&gt;&lt;author&gt;Rozendal, Rene&lt;/author&gt;&lt;author&gt;Schroder, Uwe&lt;/author&gt;&lt;author&gt;Keller, Jurg&lt;/author&gt;&lt;author&gt;Freguia, Stefano&lt;/author&gt;&lt;author&gt;Aelterman, Peter&lt;/author&gt;&lt;author&gt;Verstraete, Willy&lt;/author&gt;&lt;author&gt;Rabaey, Korneel&lt;/author&gt;&lt;/authors&gt;&lt;/contributors&gt;&lt;titles&gt;&lt;title&gt;Microbial fuel cells: Methodology and technology&lt;/title&gt;&lt;secondary-title&gt;Environmental Science &amp;amp; Technology&lt;/secondary-title&gt;&lt;/titles&gt;&lt;periodical&gt;&lt;full-title&gt;Environmental Science &amp;amp; Technology&lt;/full-title&gt;&lt;/periodical&gt;&lt;pages&gt;5181-5192&lt;/pages&gt;&lt;volume&gt;40&lt;/volume&gt;&lt;number&gt;17&lt;/number&gt;&lt;dates&gt;&lt;year&gt;2006&lt;/year&gt;&lt;pub-dates&gt;&lt;date&gt;2006/09/01&lt;/date&gt;&lt;/pub-dates&gt;&lt;/dates&gt;&lt;publisher&gt;American Chemical Society&lt;/publisher&gt;&lt;isbn&gt;0013-936X&lt;/isbn&gt;&lt;work-type&gt;doi: 10.1021/es0605016&lt;/work-type&gt;&lt;urls&gt;&lt;related-urls&gt;&lt;url&gt;http://dx.doi.org/10.1021/es0605016&lt;/url&gt;&lt;/related-urls&gt;&lt;/urls&gt;&lt;electronic-resource-num&gt;10.1021/es0605016&lt;/electronic-resource-num&gt;&lt;access-date&gt;2011/11/02&lt;/access-date&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[20]</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the symmetric nature of the power density curve obtained from the MFC characterisation analysis, which was also seen in this study represents a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xml:space="preserve"> in an MFC mostly due to the ohmic resistance (</w:t>
      </w:r>
      <w:r w:rsidRPr="00D404B0">
        <w:rPr>
          <w:rFonts w:ascii="Times New Roman" w:hAnsi="Times New Roman"/>
          <w:i/>
          <w:noProof/>
          <w:sz w:val="20"/>
          <w:szCs w:val="20"/>
        </w:rPr>
        <w:t>R</w:t>
      </w:r>
      <w:r w:rsidRPr="00D404B0">
        <w:rPr>
          <w:rFonts w:ascii="Times New Roman" w:hAnsi="Times New Roman"/>
          <w:i/>
          <w:noProof/>
          <w:sz w:val="20"/>
          <w:szCs w:val="20"/>
          <w:vertAlign w:val="subscript"/>
        </w:rPr>
        <w:t>Ω</w:t>
      </w:r>
      <w:r w:rsidRPr="00D404B0">
        <w:rPr>
          <w:rFonts w:ascii="Times New Roman" w:hAnsi="Times New Roman"/>
          <w:noProof/>
          <w:sz w:val="20"/>
          <w:szCs w:val="20"/>
        </w:rPr>
        <w:t xml:space="preserve">) at the point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w:t>
      </w:r>
      <w:r w:rsidRPr="00D404B0">
        <w:rPr>
          <w:rFonts w:ascii="Times New Roman" w:hAnsi="Times New Roman"/>
          <w:i/>
          <w:noProof/>
          <w:sz w:val="20"/>
          <w:szCs w:val="20"/>
        </w:rPr>
        <w:t>R</w:t>
      </w:r>
      <w:r w:rsidRPr="00D404B0">
        <w:rPr>
          <w:rFonts w:ascii="Times New Roman" w:hAnsi="Times New Roman"/>
          <w:noProof/>
          <w:sz w:val="20"/>
          <w:szCs w:val="20"/>
          <w:vertAlign w:val="subscript"/>
        </w:rPr>
        <w:t xml:space="preserve">Ω </w:t>
      </w:r>
      <w:r w:rsidRPr="00D404B0">
        <w:rPr>
          <w:rFonts w:ascii="Times New Roman" w:hAnsi="Times New Roman"/>
          <w:noProof/>
          <w:sz w:val="20"/>
          <w:szCs w:val="20"/>
        </w:rPr>
        <w:t xml:space="preserve">is derived from any material that creates resistance in the system, such as substrates, bacteria, gap between electrodes, loose contacts between components, and low ionic conductivity in the substrate. </w:t>
      </w:r>
      <w:r w:rsidRPr="00D404B0">
        <w:rPr>
          <w:rFonts w:ascii="Times New Roman" w:hAnsi="Times New Roman"/>
          <w:sz w:val="20"/>
          <w:szCs w:val="20"/>
          <w:lang w:val="en-GB"/>
        </w:rPr>
        <w:t xml:space="preserve">The continuous air bubbling in the anode chamber probably helped with the growth of aerobic microbes due to a direct reduction of </w:t>
      </w:r>
      <w:r w:rsidRPr="00D404B0">
        <w:rPr>
          <w:rFonts w:ascii="Times New Roman" w:hAnsi="Times New Roman"/>
          <w:sz w:val="20"/>
          <w:szCs w:val="20"/>
          <w:lang w:val="en-GB"/>
        </w:rPr>
        <w:lastRenderedPageBreak/>
        <w:t xml:space="preserve">oxygen in the cell to increase biomass production. Although increase in biomass means increase in the NADH production, which leads to increase in electrons production, most of these electrons however will be consumed for biomass before able to  generate electricity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&lt;EndNote&gt;&lt;Cite&gt;&lt;Author&gt;Li&lt;/Author&gt;&lt;Year&gt;2010&lt;/Year&gt;&lt;RecNum&gt;134&lt;/RecNum&gt;&lt;DisplayText&gt;[3]&lt;/DisplayText&gt;&lt;record&gt;&lt;rec-number&gt;134&lt;/rec-number&gt;&lt;foreign-keys&gt;&lt;key app="EN" db-id="pev00ptf6vtps6eafrqvzezz9dd2pprw2s2v" timestamp="0"&gt;134&lt;/key&gt;&lt;/foreign-keys&gt;&lt;ref-type name="Journal Article"&gt;17&lt;/ref-type&gt;&lt;contributors&gt;&lt;authors&gt;&lt;author&gt;Li, Shiue-Lin &lt;/author&gt;&lt;author&gt;Freguia,Stefano &lt;/author&gt;&lt;author&gt;Liu, Shiu-Mei &lt;/author&gt;&lt;author&gt;Cheng, Sheng-Shung &lt;/author&gt;&lt;author&gt;Tsujimura, Seiya &lt;/author&gt;&lt;author&gt;Shiraib, Osamu &lt;/author&gt;&lt;author&gt;Kanob,Kenji &lt;/author&gt;&lt;/authors&gt;&lt;/contributors&gt;&lt;titles&gt;&lt;title&gt;&lt;style face="normal" font="default" size="100%"&gt;Effects of oxygen on &lt;/style&gt;&lt;style face="italic" font="default" size="100%"&gt;Shewanella decolorationis&lt;/style&gt;&lt;style face="normal" font="default" size="100%"&gt; NTOU1 electron transfer to carbon-felt electrodes&lt;/style&gt;&lt;/title&gt;&lt;secondary-title&gt;Biosensors and Bioelectronics&lt;/secondary-title&gt;&lt;/titles&gt;&lt;periodical&gt;&lt;full-title&gt;Biosensors and Bioelectronics&lt;/full-title&gt;&lt;/periodical&gt;&lt;pages&gt;2651–2656 &lt;/pages&gt;&lt;volume&gt;25&lt;/volume&gt;&lt;dates&gt;&lt;year&gt;2010&lt;/year&gt;&lt;/dates&gt;&lt;urls&gt;&lt;/urls&gt;&lt;/record&gt;&lt;/Cite&gt;&lt;/EndNote&gt;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[3]</w:t>
      </w:r>
      <w:r w:rsidRPr="00D404B0">
        <w:rPr>
          <w:rFonts w:ascii="Times New Roman" w:hAnsi="Times New Roman"/>
          <w:sz w:val="20"/>
          <w:szCs w:val="20"/>
          <w:lang w:val="en-GB"/>
        </w:rPr>
        <w:fldChar w:fldCharType="end"/>
      </w:r>
      <w:r w:rsidRPr="00D404B0">
        <w:rPr>
          <w:rFonts w:ascii="Times New Roman" w:hAnsi="Times New Roman"/>
          <w:sz w:val="20"/>
          <w:szCs w:val="20"/>
          <w:lang w:val="en-GB"/>
        </w:rPr>
        <w:t xml:space="preserve">. This could be the reason for the high </w:t>
      </w:r>
      <w:r w:rsidRPr="00D404B0">
        <w:rPr>
          <w:rFonts w:ascii="Times New Roman" w:hAnsi="Times New Roman"/>
          <w:i/>
          <w:sz w:val="20"/>
          <w:szCs w:val="20"/>
          <w:lang w:val="en-GB"/>
        </w:rPr>
        <w:t>R</w:t>
      </w:r>
      <w:r w:rsidRPr="00D404B0">
        <w:rPr>
          <w:rFonts w:ascii="Times New Roman" w:hAnsi="Times New Roman"/>
          <w:i/>
          <w:sz w:val="20"/>
          <w:szCs w:val="20"/>
          <w:vertAlign w:val="subscript"/>
          <w:lang w:val="en-GB"/>
        </w:rPr>
        <w:t>int</w:t>
      </w:r>
      <w:r w:rsidRPr="00D404B0">
        <w:rPr>
          <w:rFonts w:ascii="Times New Roman" w:hAnsi="Times New Roman"/>
          <w:i/>
          <w:sz w:val="20"/>
          <w:szCs w:val="20"/>
          <w:lang w:val="en-GB"/>
        </w:rPr>
        <w:t xml:space="preserve"> </w:t>
      </w:r>
      <w:r w:rsidRPr="00D404B0">
        <w:rPr>
          <w:rFonts w:ascii="Times New Roman" w:hAnsi="Times New Roman"/>
          <w:sz w:val="20"/>
          <w:szCs w:val="20"/>
          <w:lang w:val="en-GB"/>
        </w:rPr>
        <w:t xml:space="preserve">observed from aerobic MFCs before the gas swapping with very poor </w:t>
      </w:r>
      <w:r w:rsidRPr="00D404B0">
        <w:rPr>
          <w:rFonts w:ascii="Times New Roman" w:hAnsi="Times New Roman"/>
          <w:i/>
          <w:sz w:val="20"/>
          <w:szCs w:val="20"/>
          <w:lang w:val="en-GB"/>
        </w:rPr>
        <w:t>I</w:t>
      </w:r>
      <w:r w:rsidRPr="00D404B0">
        <w:rPr>
          <w:rFonts w:ascii="Times New Roman" w:hAnsi="Times New Roman"/>
          <w:i/>
          <w:sz w:val="20"/>
          <w:szCs w:val="20"/>
          <w:vertAlign w:val="subscript"/>
          <w:lang w:val="en-GB"/>
        </w:rPr>
        <w:t>max</w:t>
      </w:r>
      <w:r w:rsidRPr="00D404B0">
        <w:rPr>
          <w:rFonts w:ascii="Times New Roman" w:hAnsi="Times New Roman"/>
          <w:sz w:val="20"/>
          <w:szCs w:val="20"/>
          <w:lang w:val="en-GB"/>
        </w:rPr>
        <w:t xml:space="preserve"> and </w:t>
      </w:r>
      <w:r w:rsidRPr="00D404B0">
        <w:rPr>
          <w:rFonts w:ascii="Times New Roman" w:hAnsi="Times New Roman"/>
          <w:i/>
          <w:sz w:val="20"/>
          <w:szCs w:val="20"/>
          <w:lang w:val="en-GB"/>
        </w:rPr>
        <w:t>P</w:t>
      </w:r>
      <w:r w:rsidRPr="00D404B0">
        <w:rPr>
          <w:rFonts w:ascii="Times New Roman" w:hAnsi="Times New Roman"/>
          <w:i/>
          <w:sz w:val="20"/>
          <w:szCs w:val="20"/>
          <w:vertAlign w:val="subscript"/>
          <w:lang w:val="en-GB"/>
        </w:rPr>
        <w:t xml:space="preserve">max </w:t>
      </w:r>
      <w:r w:rsidRPr="00D404B0">
        <w:rPr>
          <w:rFonts w:ascii="Times New Roman" w:hAnsi="Times New Roman"/>
          <w:sz w:val="20"/>
          <w:szCs w:val="20"/>
          <w:lang w:val="en-GB"/>
        </w:rPr>
        <w:fldChar w:fldCharType="begin"/>
      </w:r>
      <w:r w:rsidRPr="00D404B0">
        <w:rPr>
          <w:rFonts w:ascii="Times New Roman" w:hAnsi="Times New Roman"/>
          <w:sz w:val="20"/>
          <w:szCs w:val="20"/>
          <w:lang w:val="en-GB"/>
        </w:rPr>
        <w:instrText xml:space="preserve"> ADDIN EN.CITE &lt;EndNote&gt;&lt;Cite&gt;&lt;Author&gt;Logan&lt;/Author&gt;&lt;Year&gt;2008&lt;/Year&gt;&lt;RecNum&gt;38&lt;/RecNum&gt;&lt;DisplayText&gt;[24]&lt;/DisplayText&gt;&lt;record&gt;&lt;rec-number&gt;38&lt;/rec-number&gt;&lt;foreign-keys&gt;&lt;key app="EN" db-id="pev00ptf6vtps6eafrqvzezz9dd2pprw2s2v" timestamp="0"&gt;38&lt;/key&gt;&lt;/foreign-keys&gt;&lt;ref-type name="Book Section"&gt;5&lt;/ref-type&gt;&lt;contributors&gt;&lt;authors&gt;&lt;author&gt;Logan, Bruce E.&lt;/author&gt;&lt;/authors&gt;&lt;/contributors&gt;&lt;titles&gt;&lt;title&gt;Mechanism of electron transfer&lt;/title&gt;&lt;secondary-title&gt;Microbial Fuel Cell&lt;/secondary-title&gt;&lt;/titles&gt;&lt;pages&gt;13&lt;/pages&gt;&lt;section&gt;2&lt;/section&gt;&lt;dates&gt;&lt;year&gt;2008&lt;/year&gt;&lt;/dates&gt;&lt;pub-location&gt;New Jersey&lt;/pub-location&gt;&lt;publisher&gt;John Wiley &amp;amp; Sons, Inc&lt;/publisher&gt;&lt;isbn&gt;ISBN 978-0-470-23948-3&lt;/isbn&gt;&lt;urls&gt;&lt;/urls&gt;&lt;research-notes&gt;Bacteria are so far known to transfer electrons to a surface via two mechanisms: electron &amp;#xD;shuttling via self-produced mediators (such as pycocyanin and related compounds &amp;#xD;produced by Pseudomonas aeruginosa (Rabaey et al. 2005~; Rabaey et al. 2004) and nanowires produced by both Geobacter and Shewanella species (Gorby and Beveridge 2005; Reguera et al. 2005). In addition, research shows that ferric iron reduction by Shewanella involves membrane-bound electron carriers.&lt;/research-notes&gt;&lt;/record&gt;&lt;/Cite&gt;&lt;/EndNote&gt;</w:instrText>
      </w:r>
      <w:r w:rsidRPr="00D404B0">
        <w:rPr>
          <w:rFonts w:ascii="Times New Roman" w:hAnsi="Times New Roman"/>
          <w:sz w:val="20"/>
          <w:szCs w:val="20"/>
          <w:lang w:val="en-GB"/>
        </w:rPr>
        <w:fldChar w:fldCharType="separate"/>
      </w:r>
      <w:r w:rsidRPr="00D404B0">
        <w:rPr>
          <w:rFonts w:ascii="Times New Roman" w:hAnsi="Times New Roman"/>
          <w:noProof/>
          <w:sz w:val="20"/>
          <w:szCs w:val="20"/>
          <w:lang w:val="en-GB"/>
        </w:rPr>
        <w:t>[24]</w:t>
      </w:r>
      <w:r w:rsidRPr="00D404B0">
        <w:rPr>
          <w:rFonts w:ascii="Times New Roman" w:hAnsi="Times New Roman"/>
          <w:sz w:val="20"/>
          <w:szCs w:val="20"/>
          <w:lang w:val="en-GB"/>
        </w:rPr>
        <w:fldChar w:fldCharType="end"/>
      </w:r>
      <w:r w:rsidRPr="00D404B0">
        <w:rPr>
          <w:rFonts w:ascii="Times New Roman" w:hAnsi="Times New Roman"/>
          <w:sz w:val="20"/>
          <w:szCs w:val="20"/>
          <w:lang w:val="en-GB"/>
        </w:rPr>
        <w:t>.</w:t>
      </w:r>
    </w:p>
    <w:p w:rsidR="00D01991" w:rsidRPr="00D404B0" w:rsidRDefault="00D01991" w:rsidP="00D01991">
      <w:pPr>
        <w:spacing w:after="0" w:line="240" w:lineRule="auto"/>
        <w:jc w:val="both"/>
        <w:rPr>
          <w:rFonts w:ascii="Times New Roman" w:hAnsi="Times New Roman"/>
          <w:sz w:val="20"/>
          <w:szCs w:val="20"/>
          <w:lang w:val="en-GB"/>
        </w:rPr>
      </w:pPr>
    </w:p>
    <w:p w:rsidR="00D01991" w:rsidRPr="00D404B0" w:rsidRDefault="00D01991" w:rsidP="00D01991">
      <w:pPr>
        <w:spacing w:after="0" w:line="240" w:lineRule="auto"/>
        <w:jc w:val="both"/>
        <w:rPr>
          <w:rFonts w:ascii="Times New Roman" w:hAnsi="Times New Roman"/>
          <w:noProof/>
          <w:sz w:val="20"/>
          <w:szCs w:val="20"/>
          <w:lang w:bidi="ar-SA"/>
        </w:rPr>
      </w:pPr>
      <w:r w:rsidRPr="00D404B0">
        <w:rPr>
          <w:rFonts w:ascii="Times New Roman" w:hAnsi="Times New Roman"/>
          <w:noProof/>
          <w:sz w:val="20"/>
          <w:szCs w:val="20"/>
        </w:rPr>
        <w:t>Although this study was able to culture exoelectrogen from aerobic sludge originated from trickling filter, the electrochemical performance was way too low from results that have been reported in other publications, which is no less than 100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According to </w:t>
      </w:r>
      <w:r w:rsidRPr="00D404B0">
        <w:rPr>
          <w:rFonts w:ascii="Times New Roman" w:hAnsi="Times New Roman"/>
          <w:sz w:val="20"/>
          <w:szCs w:val="20"/>
        </w:rPr>
        <w:t>Rahimnejad</w:t>
      </w:r>
      <w:r w:rsidRPr="00D404B0">
        <w:rPr>
          <w:rFonts w:ascii="Times New Roman" w:hAnsi="Times New Roman"/>
          <w:noProof/>
          <w:sz w:val="20"/>
          <w:szCs w:val="20"/>
        </w:rPr>
        <w:t xml:space="preserve"> et al. and </w:t>
      </w:r>
      <w:r w:rsidRPr="00D404B0">
        <w:rPr>
          <w:rFonts w:ascii="Times New Roman" w:hAnsi="Times New Roman"/>
          <w:sz w:val="20"/>
          <w:szCs w:val="20"/>
        </w:rPr>
        <w:t>Haslett</w:t>
      </w:r>
      <w:r w:rsidRPr="00D404B0">
        <w:rPr>
          <w:rFonts w:ascii="Times New Roman" w:hAnsi="Times New Roman"/>
          <w:noProof/>
          <w:sz w:val="20"/>
          <w:szCs w:val="20"/>
        </w:rPr>
        <w:t xml:space="preserve"> et al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Style w:val="CommentReference"/>
          <w:rFonts w:ascii="Times New Roman" w:hAnsi="Times New Roman"/>
          <w:sz w:val="20"/>
          <w:szCs w:val="20"/>
        </w:rPr>
        <w:t xml:space="preserve">, </w:t>
      </w:r>
      <w:r w:rsidRPr="00D404B0">
        <w:rPr>
          <w:rFonts w:ascii="Times New Roman" w:hAnsi="Times New Roman"/>
          <w:noProof/>
          <w:sz w:val="20"/>
          <w:szCs w:val="20"/>
        </w:rPr>
        <w:t xml:space="preserve">the performance of MFCs are commmonly associated with the following: 1) Substrates oxidation in the anode compartment, 2) Microorganism used for inoculum, 3) Mediator, 4) Permeabililty of cation exchange membrane (if any), 5) Electrode material and their surface area, 6) Electron acceptor at the cathode chamber, 7) Electron trasport pathway to anode surface, 8) Overpotential at the electrodes, 9) External load applied, 10) Distance between electrodes, 11) Mass transport, and 12) Operational temperature </w: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 </w:instrText>
      </w:r>
      <w:r w:rsidRPr="00D404B0">
        <w:rPr>
          <w:rFonts w:ascii="Times New Roman" w:hAnsi="Times New Roman"/>
          <w:noProof/>
          <w:sz w:val="20"/>
          <w:szCs w:val="20"/>
        </w:rPr>
        <w:fldChar w:fldCharType="begin">
          <w:fldData xml:space="preserve">PEVuZE5vdGU+PENpdGU+PEF1dGhvcj5SYWhpbW5lamFkPC9BdXRob3I+PFllYXI+MjAxMTwvWWVh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</w:fldData>
        </w:fldChar>
      </w:r>
      <w:r w:rsidRPr="00D404B0">
        <w:rPr>
          <w:rFonts w:ascii="Times New Roman" w:hAnsi="Times New Roman"/>
          <w:noProof/>
          <w:sz w:val="20"/>
          <w:szCs w:val="20"/>
        </w:rPr>
        <w:instrText xml:space="preserve"> ADDIN EN.CITE.DATA </w:instrText>
      </w:r>
      <w:r w:rsidRPr="00D404B0">
        <w:rPr>
          <w:rFonts w:ascii="Times New Roman" w:hAnsi="Times New Roman"/>
          <w:noProof/>
          <w:sz w:val="20"/>
          <w:szCs w:val="20"/>
        </w:rPr>
      </w:r>
      <w:r w:rsidRPr="00D404B0">
        <w:rPr>
          <w:rFonts w:ascii="Times New Roman" w:hAnsi="Times New Roman"/>
          <w:noProof/>
          <w:sz w:val="20"/>
          <w:szCs w:val="20"/>
        </w:rPr>
        <w:fldChar w:fldCharType="end"/>
      </w:r>
      <w:r w:rsidRPr="00D404B0">
        <w:rPr>
          <w:rFonts w:ascii="Times New Roman" w:hAnsi="Times New Roman"/>
          <w:noProof/>
          <w:sz w:val="20"/>
          <w:szCs w:val="20"/>
        </w:rPr>
      </w:r>
      <w:r w:rsidRPr="00D404B0">
        <w:rPr>
          <w:rFonts w:ascii="Times New Roman" w:hAnsi="Times New Roman"/>
          <w:noProof/>
          <w:sz w:val="20"/>
          <w:szCs w:val="20"/>
        </w:rPr>
        <w:fldChar w:fldCharType="separate"/>
      </w:r>
      <w:r w:rsidRPr="00D404B0">
        <w:rPr>
          <w:rFonts w:ascii="Times New Roman" w:hAnsi="Times New Roman"/>
          <w:noProof/>
          <w:sz w:val="20"/>
          <w:szCs w:val="20"/>
        </w:rPr>
        <w:t>[31, 32]</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For instance Feng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&lt;EndNote&gt;&lt;Cite&gt;&lt;Author&gt;Feng&lt;/Author&gt;&lt;Year&gt;2010&lt;/Year&gt;&lt;RecNum&gt;549&lt;/RecNum&gt;&lt;DisplayText&gt;[33]&lt;/DisplayText&gt;&lt;record&gt;&lt;rec-number&gt;549&lt;/rec-number&gt;&lt;foreign-keys&gt;&lt;key app="EN" db-id="pev00ptf6vtps6eafrqvzezz9dd2pprw2s2v" timestamp="0"&gt;549&lt;/key&gt;&lt;/foreign-keys&gt;&lt;ref-type name="Journal Article"&gt;17&lt;/ref-type&gt;&lt;contributors&gt;&lt;authors&gt;&lt;author&gt;Feng, Yujie&lt;/author&gt;&lt;author&gt;Yang, Qiao&lt;/author&gt;&lt;author&gt;Wang, Xin&lt;/author&gt;&lt;author&gt;Logan, Bruce E.&lt;/author&gt;&lt;/authors&gt;&lt;/contributors&gt;&lt;titles&gt;&lt;title&gt;Treatment of carbon fiber brush anodes for improving power generation in air-cathode microbial fuel cells&lt;/title&gt;&lt;secondary-title&gt;Journal of Power Sources&lt;/secondary-title&gt;&lt;/titles&gt;&lt;periodical&gt;&lt;full-title&gt;Journal of Power Sources&lt;/full-title&gt;&lt;/periodical&gt;&lt;pages&gt;1841-1844&lt;/pages&gt;&lt;volume&gt;195&lt;/volume&gt;&lt;number&gt;7&lt;/number&gt;&lt;keywords&gt;&lt;keyword&gt;Carbon fiber&lt;/keyword&gt;&lt;keyword&gt;Pretreatment&lt;/keyword&gt;&lt;keyword&gt;Microbial fuel cells&lt;/keyword&gt;&lt;keyword&gt;Power generation&lt;/keyword&gt;&lt;/keywords&gt;&lt;dates&gt;&lt;year&gt;2010&lt;/year&gt;&lt;/dates&gt;&lt;isbn&gt;0378-7753&lt;/isbn&gt;&lt;work-type&gt;doi: 10.1016/j.jpowsour.2009.10.030&lt;/work-type&gt;&lt;urls&gt;&lt;related-urls&gt;&lt;url&gt;http://www.sciencedirect.com/science/article/pii/S0378775309018321&lt;/url&gt;&lt;/related-urls&gt;&lt;/urls&gt;&lt;/record&gt;&lt;/Cite&gt;&lt;/EndNote&gt;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[33]</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analysed the effect of acid modified carbon fiber brush in 28 mL air-cathode MFC having 20% inoculum from domestic wastewater with external load of 1 kΩ, achieved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of  1,370 mW/ 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Watson and Logan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&lt;EndNote&gt;&lt;Cite&gt;&lt;Author&gt;Watson&lt;/Author&gt;&lt;Year&gt;2011&lt;/Year&gt;&lt;RecNum&gt;424&lt;/RecNum&gt;&lt;DisplayText&gt;[15]&lt;/DisplayText&gt;&lt;record&gt;&lt;rec-number&gt;424&lt;/rec-number&gt;&lt;foreign-keys&gt;&lt;key app="EN" db-id="pev00ptf6vtps6eafrqvzezz9dd2pprw2s2v" timestamp="0"&gt;424&lt;/key&gt;&lt;/foreign-keys&gt;&lt;ref-type name="Journal Article"&gt;17&lt;/ref-type&gt;&lt;contributors&gt;&lt;authors&gt;&lt;author&gt;Watson, Valerie J.&lt;/author&gt;&lt;author&gt;Logan, Bruce E.&lt;/author&gt;&lt;/authors&gt;&lt;/contributors&gt;&lt;titles&gt;&lt;title&gt;Analysis of polarization methods for elimination of power overshoot in microbial fuel cells&lt;/title&gt;&lt;secondary-title&gt;Electrochemistry Communications&lt;/secondary-title&gt;&lt;/titles&gt;&lt;pages&gt;54-56&lt;/pages&gt;&lt;volume&gt;13&lt;/volume&gt;&lt;number&gt;1&lt;/number&gt;&lt;keywords&gt;&lt;keyword&gt;Microbial fuel cell&lt;/keyword&gt;&lt;keyword&gt;Power overshoot&lt;/keyword&gt;&lt;keyword&gt;Polarization&lt;/keyword&gt;&lt;/keywords&gt;&lt;dates&gt;&lt;year&gt;2011&lt;/year&gt;&lt;/dates&gt;&lt;isbn&gt;1388-2481&lt;/isbn&gt;&lt;work-type&gt;doi: 10.1016/j.elecom.2010.11.011&lt;/work-type&gt;&lt;urls&gt;&lt;related-urls&gt;&lt;url&gt;http://www.sciencedirect.com/science/article/pii/S1388248110004765&lt;/url&gt;&lt;/related-urls&gt;&lt;/urls&gt;&lt;/record&gt;&lt;/Cite&gt;&lt;/EndNote&gt;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[15]</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adapted similar MFC design with an increased of inoculum concentration upto 50%, different type of microorganism and used a non modified carbon fiber brush, had achieved 1.6 fold lower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than the later. Santoro et al. </w:t>
      </w:r>
      <w:r w:rsidRPr="00D404B0">
        <w:rPr>
          <w:rFonts w:ascii="Times New Roman" w:hAnsi="Times New Roman"/>
          <w:noProof/>
          <w:sz w:val="20"/>
          <w:szCs w:val="20"/>
        </w:rPr>
        <w:fldChar w:fldCharType="begin"/>
      </w:r>
      <w:r w:rsidRPr="00D404B0">
        <w:rPr>
          <w:rFonts w:ascii="Times New Roman" w:hAnsi="Times New Roman"/>
          <w:noProof/>
          <w:sz w:val="20"/>
          <w:szCs w:val="20"/>
        </w:rPr>
        <w:instrText xml:space="preserve"> ADDIN EN.CITE &lt;EndNote&gt;&lt;Cite ExcludeAuth="1"&gt;&lt;Author&gt;Santoro&lt;/Author&gt;&lt;Year&gt;2012&lt;/Year&gt;&lt;RecNum&gt;539&lt;/RecNum&gt;&lt;DisplayText&gt;[34]&lt;/DisplayText&gt;&lt;record&gt;&lt;rec-number&gt;539&lt;/rec-number&gt;&lt;foreign-keys&gt;&lt;key app="EN" db-id="pev00ptf6vtps6eafrqvzezz9dd2pprw2s2v" timestamp="0"&gt;539&lt;/key&gt;&lt;/foreign-keys&gt;&lt;ref-type name="Journal Article"&gt;17&lt;/ref-type&gt;&lt;contributors&gt;&lt;authors&gt;&lt;author&gt;Santoro, Carlo&lt;/author&gt;&lt;author&gt;Lei, Yu&lt;/author&gt;&lt;author&gt;Li, Baikun&lt;/author&gt;&lt;author&gt;Cristiani, Pierangela&lt;/author&gt;&lt;/authors&gt;&lt;/contributors&gt;&lt;titles&gt;&lt;title&gt;Power generation from wastewater using single chamber microbial fuel cells (MFCs) with platinum-free cathodes and pre-colonized anodes&lt;/title&gt;&lt;secondary-title&gt;Biochemical Engineering Journal&lt;/secondary-title&gt;&lt;/titles&gt;&lt;pages&gt;8-16&lt;/pages&gt;&lt;volume&gt;62&lt;/volume&gt;&lt;number&gt;0&lt;/number&gt;&lt;keywords&gt;&lt;keyword&gt;Microbial fuel cell&lt;/keyword&gt;&lt;keyword&gt;Platinum-free anode&lt;/keyword&gt;&lt;keyword&gt;Anode area&lt;/keyword&gt;&lt;keyword&gt;Pre-colonized anode&lt;/keyword&gt;&lt;keyword&gt;Power generation&lt;/keyword&gt;&lt;/keywords&gt;&lt;dates&gt;&lt;year&gt;2012&lt;/year&gt;&lt;/dates&gt;&lt;isbn&gt;1369-703X&lt;/isbn&gt;&lt;work-type&gt;doi: 10.1016/j.bej.2011.12.006&lt;/work-type&gt;&lt;urls&gt;&lt;related-urls&gt;&lt;url&gt;http://www.sciencedirect.com/science/article/pii/S1369703X11003263&lt;/url&gt;&lt;/related-urls&gt;&lt;/urls&gt;&lt;/record&gt;&lt;/Cite&gt;&lt;/EndNote&gt;</w:instrText>
      </w:r>
      <w:r w:rsidRPr="00D404B0">
        <w:rPr>
          <w:rFonts w:ascii="Times New Roman" w:hAnsi="Times New Roman"/>
          <w:noProof/>
          <w:sz w:val="20"/>
          <w:szCs w:val="20"/>
        </w:rPr>
        <w:fldChar w:fldCharType="separate"/>
      </w:r>
      <w:r w:rsidRPr="00D404B0">
        <w:rPr>
          <w:rFonts w:ascii="Times New Roman" w:hAnsi="Times New Roman"/>
          <w:noProof/>
          <w:sz w:val="20"/>
          <w:szCs w:val="20"/>
        </w:rPr>
        <w:t>[34]</w:t>
      </w:r>
      <w:r w:rsidRPr="00D404B0">
        <w:rPr>
          <w:rFonts w:ascii="Times New Roman" w:hAnsi="Times New Roman"/>
          <w:noProof/>
          <w:sz w:val="20"/>
          <w:szCs w:val="20"/>
        </w:rPr>
        <w:fldChar w:fldCharType="end"/>
      </w:r>
      <w:r w:rsidRPr="00D404B0">
        <w:rPr>
          <w:rFonts w:ascii="Times New Roman" w:hAnsi="Times New Roman"/>
          <w:noProof/>
          <w:sz w:val="20"/>
          <w:szCs w:val="20"/>
        </w:rPr>
        <w:t xml:space="preserve"> on the other hand with completely different MFC design, used 4.6 fold more volume and non modified carbon cloth for anode and cathode, only achieved 268 mW/m</w:t>
      </w:r>
      <w:r w:rsidRPr="00D404B0">
        <w:rPr>
          <w:rFonts w:ascii="Times New Roman" w:hAnsi="Times New Roman"/>
          <w:noProof/>
          <w:sz w:val="20"/>
          <w:szCs w:val="20"/>
          <w:vertAlign w:val="superscript"/>
        </w:rPr>
        <w:t>2</w:t>
      </w:r>
      <w:r w:rsidRPr="00D404B0">
        <w:rPr>
          <w:rFonts w:ascii="Times New Roman" w:hAnsi="Times New Roman"/>
          <w:noProof/>
          <w:sz w:val="20"/>
          <w:szCs w:val="20"/>
        </w:rPr>
        <w:t xml:space="preserve"> of </w:t>
      </w:r>
      <w:r w:rsidRPr="00D404B0">
        <w:rPr>
          <w:rFonts w:ascii="Times New Roman" w:hAnsi="Times New Roman"/>
          <w:i/>
          <w:noProof/>
          <w:sz w:val="20"/>
          <w:szCs w:val="20"/>
        </w:rPr>
        <w:t>P</w:t>
      </w:r>
      <w:r w:rsidRPr="00D404B0">
        <w:rPr>
          <w:rFonts w:ascii="Times New Roman" w:hAnsi="Times New Roman"/>
          <w:i/>
          <w:noProof/>
          <w:sz w:val="20"/>
          <w:szCs w:val="20"/>
          <w:vertAlign w:val="subscript"/>
        </w:rPr>
        <w:t>max</w:t>
      </w:r>
      <w:r w:rsidRPr="00D404B0">
        <w:rPr>
          <w:rFonts w:ascii="Times New Roman" w:hAnsi="Times New Roman"/>
          <w:noProof/>
          <w:sz w:val="20"/>
          <w:szCs w:val="20"/>
        </w:rPr>
        <w:t xml:space="preserve">. To identify the reason of poor electrochemical performance in this study and to reduce such high </w:t>
      </w:r>
      <w:r w:rsidRPr="00D404B0">
        <w:rPr>
          <w:rFonts w:ascii="Times New Roman" w:hAnsi="Times New Roman"/>
          <w:i/>
          <w:noProof/>
          <w:sz w:val="20"/>
          <w:szCs w:val="20"/>
        </w:rPr>
        <w:t>R</w:t>
      </w:r>
      <w:r w:rsidRPr="00D404B0">
        <w:rPr>
          <w:rFonts w:ascii="Times New Roman" w:hAnsi="Times New Roman"/>
          <w:i/>
          <w:noProof/>
          <w:sz w:val="20"/>
          <w:szCs w:val="20"/>
          <w:vertAlign w:val="subscript"/>
        </w:rPr>
        <w:t>int</w:t>
      </w:r>
      <w:r w:rsidRPr="00D404B0">
        <w:rPr>
          <w:rFonts w:ascii="Times New Roman" w:hAnsi="Times New Roman"/>
          <w:noProof/>
          <w:sz w:val="20"/>
          <w:szCs w:val="20"/>
        </w:rPr>
        <w:t>, the variables affecting the performance of MFCs listed above need to be analyzed and compare them with those having similar MFC designs.</w:t>
      </w:r>
    </w:p>
    <w:p w:rsidR="00D01991" w:rsidRDefault="00D01991" w:rsidP="00D01991">
      <w:pPr>
        <w:spacing w:after="0" w:line="240" w:lineRule="auto"/>
        <w:jc w:val="center"/>
        <w:rPr>
          <w:rFonts w:ascii="Times New Roman" w:hAnsi="Times New Roman"/>
          <w:b/>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01991" w:rsidRDefault="00D01991" w:rsidP="00D01991">
      <w:pPr>
        <w:pStyle w:val="BodyText"/>
        <w:spacing w:after="0" w:line="240" w:lineRule="auto"/>
        <w:jc w:val="both"/>
        <w:rPr>
          <w:rFonts w:ascii="Times New Roman" w:hAnsi="Times New Roman"/>
          <w:sz w:val="20"/>
          <w:szCs w:val="20"/>
          <w:lang w:val="en-GB"/>
        </w:rPr>
      </w:pPr>
      <w:r w:rsidRPr="00DC4DEC">
        <w:rPr>
          <w:rFonts w:ascii="Times New Roman" w:hAnsi="Times New Roman"/>
          <w:sz w:val="20"/>
          <w:szCs w:val="20"/>
          <w:lang w:val="en-GB"/>
        </w:rPr>
        <w:t>The goal of this study was to analyse the effect of long-duration exposure towards oxygen in air through gas swapping on the electrochemical performance of enriched multi-cultured bacteria in air-cathode MFCs. The results showed that prolong exposure in 7.5 mg/L (ppm) of dissolved oxygen MFCs for a month on the enriched multi-cultured bacteria culture, makes the bacteria electrochemically inactive and produced low power and current generation. This however is not permanent since it could easily and quickly be rectified with improvements up to 100</w:t>
      </w:r>
      <w:r>
        <w:rPr>
          <w:rFonts w:ascii="Times New Roman" w:hAnsi="Times New Roman"/>
          <w:sz w:val="20"/>
          <w:szCs w:val="20"/>
          <w:lang w:val="en-GB"/>
        </w:rPr>
        <w:t xml:space="preserve"> </w:t>
      </w:r>
      <w:r w:rsidRPr="00DC4DEC">
        <w:rPr>
          <w:rFonts w:ascii="Times New Roman" w:hAnsi="Times New Roman"/>
          <w:sz w:val="20"/>
          <w:szCs w:val="20"/>
          <w:lang w:val="en-GB"/>
        </w:rPr>
        <w:t xml:space="preserve">% in </w:t>
      </w:r>
      <w:r w:rsidRPr="00DC4DEC">
        <w:rPr>
          <w:rFonts w:ascii="Times New Roman" w:hAnsi="Times New Roman"/>
          <w:i/>
          <w:sz w:val="20"/>
          <w:szCs w:val="20"/>
          <w:lang w:val="en-GB"/>
        </w:rPr>
        <w:t>P</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w:t>
      </w:r>
      <w:r w:rsidRPr="00DC4DEC">
        <w:rPr>
          <w:rFonts w:ascii="Times New Roman" w:hAnsi="Times New Roman"/>
          <w:i/>
          <w:sz w:val="20"/>
          <w:szCs w:val="20"/>
          <w:lang w:val="en-GB"/>
        </w:rPr>
        <w:t>I</w:t>
      </w:r>
      <w:r w:rsidRPr="00DC4DEC">
        <w:rPr>
          <w:rFonts w:ascii="Times New Roman" w:hAnsi="Times New Roman"/>
          <w:i/>
          <w:sz w:val="20"/>
          <w:szCs w:val="20"/>
          <w:vertAlign w:val="subscript"/>
          <w:lang w:val="en-GB"/>
        </w:rPr>
        <w:t>max</w:t>
      </w:r>
      <w:r w:rsidRPr="00DC4DEC">
        <w:rPr>
          <w:rFonts w:ascii="Times New Roman" w:hAnsi="Times New Roman"/>
          <w:sz w:val="20"/>
          <w:szCs w:val="20"/>
          <w:lang w:val="en-GB"/>
        </w:rPr>
        <w:t xml:space="preserve"> and a reduction in </w:t>
      </w:r>
      <w:r w:rsidRPr="00DC4DEC">
        <w:rPr>
          <w:rFonts w:ascii="Times New Roman" w:hAnsi="Times New Roman"/>
          <w:i/>
          <w:sz w:val="20"/>
          <w:szCs w:val="20"/>
          <w:lang w:val="en-GB"/>
        </w:rPr>
        <w:t>R</w:t>
      </w:r>
      <w:r w:rsidRPr="00DC4DEC">
        <w:rPr>
          <w:rFonts w:ascii="Times New Roman" w:hAnsi="Times New Roman"/>
          <w:i/>
          <w:sz w:val="20"/>
          <w:szCs w:val="20"/>
          <w:vertAlign w:val="subscript"/>
          <w:lang w:val="en-GB"/>
        </w:rPr>
        <w:t>int</w:t>
      </w:r>
      <w:r w:rsidRPr="00DC4DEC">
        <w:rPr>
          <w:rFonts w:ascii="Times New Roman" w:hAnsi="Times New Roman"/>
          <w:sz w:val="20"/>
          <w:szCs w:val="20"/>
          <w:lang w:val="en-GB"/>
        </w:rPr>
        <w:t xml:space="preserve"> of up to 53</w:t>
      </w:r>
      <w:r>
        <w:rPr>
          <w:rFonts w:ascii="Times New Roman" w:hAnsi="Times New Roman"/>
          <w:sz w:val="20"/>
          <w:szCs w:val="20"/>
          <w:lang w:val="en-GB"/>
        </w:rPr>
        <w:t xml:space="preserve"> </w:t>
      </w:r>
      <w:r w:rsidRPr="00DC4DEC">
        <w:rPr>
          <w:rFonts w:ascii="Times New Roman" w:hAnsi="Times New Roman"/>
          <w:sz w:val="20"/>
          <w:szCs w:val="20"/>
          <w:lang w:val="en-GB"/>
        </w:rPr>
        <w:t>%, when introduced into an anaerobic environment. Future studies could be carried out to gain a more in-depth understanding on electrochemical performance of MFCs before and after gas swapping, and also understanding of its effect on microbial community in the biofilm and half-wave redox potential (</w:t>
      </w:r>
      <w:r w:rsidRPr="00DC4DEC">
        <w:rPr>
          <w:rFonts w:ascii="Times New Roman" w:hAnsi="Times New Roman"/>
          <w:i/>
          <w:sz w:val="20"/>
          <w:szCs w:val="20"/>
          <w:lang w:val="en-GB"/>
        </w:rPr>
        <w:t>E</w:t>
      </w:r>
      <w:r w:rsidRPr="00DC4DEC">
        <w:rPr>
          <w:rFonts w:ascii="Times New Roman" w:hAnsi="Times New Roman"/>
          <w:i/>
          <w:sz w:val="20"/>
          <w:szCs w:val="20"/>
          <w:vertAlign w:val="subscript"/>
          <w:lang w:val="en-GB"/>
        </w:rPr>
        <w:t>1/2</w:t>
      </w:r>
      <w:r w:rsidRPr="00DC4DEC">
        <w:rPr>
          <w:rFonts w:ascii="Times New Roman" w:hAnsi="Times New Roman"/>
          <w:sz w:val="20"/>
          <w:szCs w:val="20"/>
          <w:lang w:val="en-GB"/>
        </w:rPr>
        <w:t xml:space="preserve">). Further research can also be carried out on electrode polarization and the effect of different oxygen concentration ranges on MFC performance.  </w:t>
      </w:r>
    </w:p>
    <w:p w:rsidR="00D01991" w:rsidRPr="00F447A7" w:rsidRDefault="00D01991" w:rsidP="00D01991">
      <w:pPr>
        <w:spacing w:after="0" w:line="240" w:lineRule="auto"/>
        <w:jc w:val="center"/>
        <w:rPr>
          <w:rFonts w:ascii="Times New Roman" w:hAnsi="Times New Roman"/>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D01991" w:rsidRPr="00D12E56" w:rsidRDefault="00D01991" w:rsidP="00D01991">
      <w:pPr>
        <w:autoSpaceDE w:val="0"/>
        <w:autoSpaceDN w:val="0"/>
        <w:adjustRightInd w:val="0"/>
        <w:spacing w:after="0" w:line="240" w:lineRule="auto"/>
        <w:jc w:val="both"/>
        <w:rPr>
          <w:rFonts w:ascii="Times New Roman" w:eastAsiaTheme="minorHAnsi" w:hAnsi="Times New Roman"/>
          <w:sz w:val="20"/>
          <w:szCs w:val="20"/>
        </w:rPr>
      </w:pPr>
      <w:r w:rsidRPr="00DC4DEC">
        <w:rPr>
          <w:rFonts w:ascii="Times New Roman" w:eastAsiaTheme="minorHAnsi" w:hAnsi="Times New Roman"/>
          <w:sz w:val="20"/>
          <w:szCs w:val="20"/>
        </w:rPr>
        <w:t>This work was supported by funding from Ministry of Higher Education of Malaysia (MoHE), Universiti Kebangsaan Malaysia (UKM), Lincoln University, Canterbury, New Zealand and lab facility from Lincoln Agritech Ltd, Christchurch, New Zealand.</w:t>
      </w:r>
    </w:p>
    <w:p w:rsidR="00D01991" w:rsidRPr="00F447A7" w:rsidRDefault="00D01991" w:rsidP="00D01991">
      <w:pPr>
        <w:spacing w:after="0" w:line="240" w:lineRule="auto"/>
        <w:jc w:val="center"/>
        <w:rPr>
          <w:rFonts w:ascii="Times New Roman" w:hAnsi="Times New Roman"/>
          <w:noProof/>
          <w:sz w:val="20"/>
          <w:szCs w:val="20"/>
          <w:lang w:bidi="ar-SA"/>
        </w:rPr>
      </w:pPr>
    </w:p>
    <w:p w:rsidR="00D01991" w:rsidRPr="00F447A7" w:rsidRDefault="00D01991" w:rsidP="00D0199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1D6DDB">
        <w:rPr>
          <w:rFonts w:ascii="Times New Roman" w:hAnsi="Times New Roman" w:cs="Times New Roman"/>
          <w:sz w:val="20"/>
          <w:szCs w:val="20"/>
        </w:rPr>
        <w:fldChar w:fldCharType="begin"/>
      </w:r>
      <w:r w:rsidRPr="001D6DDB">
        <w:rPr>
          <w:rFonts w:ascii="Times New Roman" w:hAnsi="Times New Roman" w:cs="Times New Roman"/>
          <w:sz w:val="20"/>
          <w:szCs w:val="20"/>
        </w:rPr>
        <w:instrText xml:space="preserve"> ADDIN EN.REFLIST </w:instrText>
      </w:r>
      <w:r w:rsidRPr="001D6DDB">
        <w:rPr>
          <w:rFonts w:ascii="Times New Roman" w:hAnsi="Times New Roman" w:cs="Times New Roman"/>
          <w:sz w:val="20"/>
          <w:szCs w:val="20"/>
        </w:rPr>
        <w:fldChar w:fldCharType="separate"/>
      </w:r>
      <w:r w:rsidRPr="001D6DDB">
        <w:rPr>
          <w:rFonts w:ascii="Times New Roman" w:hAnsi="Times New Roman" w:cs="Times New Roman"/>
          <w:sz w:val="20"/>
          <w:szCs w:val="20"/>
        </w:rPr>
        <w:t xml:space="preserve">Rittmann, B. E. (2006). </w:t>
      </w:r>
      <w:r w:rsidRPr="001D6DDB">
        <w:rPr>
          <w:rFonts w:ascii="Times New Roman" w:hAnsi="Times New Roman" w:cs="Times New Roman"/>
          <w:iCs/>
          <w:sz w:val="20"/>
          <w:szCs w:val="20"/>
        </w:rPr>
        <w:t xml:space="preserve">Microbial ecology to manage processes in environmental biotechnology. </w:t>
      </w:r>
      <w:r w:rsidRPr="001D6DDB">
        <w:rPr>
          <w:rFonts w:ascii="Times New Roman" w:hAnsi="Times New Roman" w:cs="Times New Roman"/>
          <w:i/>
          <w:iCs/>
          <w:sz w:val="20"/>
          <w:szCs w:val="20"/>
        </w:rPr>
        <w:t>Trends in Biotechnology</w:t>
      </w:r>
      <w:r w:rsidRPr="001D6DDB">
        <w:rPr>
          <w:rFonts w:ascii="Times New Roman" w:hAnsi="Times New Roman" w:cs="Times New Roman"/>
          <w:sz w:val="20"/>
          <w:szCs w:val="20"/>
        </w:rPr>
        <w:t>, 24(6): 261 - 266.</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H. J., Park, H. S., Hyun, M. S., Chang, I. S., Kim, M. and Kim, B. H. (2002). </w:t>
      </w:r>
      <w:r w:rsidRPr="00D12E56">
        <w:rPr>
          <w:rFonts w:ascii="Times New Roman" w:hAnsi="Times New Roman" w:cs="Times New Roman"/>
          <w:iCs/>
          <w:sz w:val="20"/>
          <w:szCs w:val="20"/>
        </w:rPr>
        <w:t>A mediator-less microbial fuel cell using a metal reducing bacterium, Shewanella putrefaciens.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Enzyme and Microbial Technology</w:t>
      </w:r>
      <w:r w:rsidRPr="00D12E56">
        <w:rPr>
          <w:rFonts w:ascii="Times New Roman" w:hAnsi="Times New Roman" w:cs="Times New Roman"/>
          <w:sz w:val="20"/>
          <w:szCs w:val="20"/>
        </w:rPr>
        <w:t>, 30(2): 145 - 152.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S.-L., Freguia, S., Liu, S. M., Cheng, S. S., Tsujimura, S., Shirai, O. and Kano, K. (2010). </w:t>
      </w:r>
      <w:r w:rsidRPr="00D12E56">
        <w:rPr>
          <w:rFonts w:ascii="Times New Roman" w:hAnsi="Times New Roman" w:cs="Times New Roman"/>
          <w:iCs/>
          <w:sz w:val="20"/>
          <w:szCs w:val="20"/>
        </w:rPr>
        <w:t>Effects of oxygen on Shewanella decolorationis NTOU1 electron transfer to carbon-felt electrodes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xml:space="preserve">, 25: 2651 - 2656. </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Wang , Y.-F., Cheng, S. S., Tsujimura, S., Ikeda, T. and Kano, K. (2006). </w:t>
      </w:r>
      <w:r w:rsidRPr="00D12E56">
        <w:rPr>
          <w:rFonts w:ascii="Times New Roman" w:hAnsi="Times New Roman" w:cs="Times New Roman"/>
          <w:iCs/>
          <w:sz w:val="20"/>
          <w:szCs w:val="20"/>
        </w:rPr>
        <w:t>E. coli-catalyzed bioelectrochemical oxidation of acetate in the presence of mediators</w:t>
      </w:r>
      <w:r w:rsidRPr="00D12E56">
        <w:rPr>
          <w:rFonts w:ascii="Times New Roman" w:hAnsi="Times New Roman" w:cs="Times New Roman"/>
          <w:i/>
          <w:sz w:val="20"/>
          <w:szCs w:val="20"/>
        </w:rPr>
        <w:t xml:space="preserve">. </w:t>
      </w:r>
      <w:r w:rsidRPr="00D12E56">
        <w:rPr>
          <w:rFonts w:ascii="Times New Roman" w:hAnsi="Times New Roman" w:cs="Times New Roman"/>
          <w:i/>
          <w:iCs/>
          <w:sz w:val="20"/>
          <w:szCs w:val="20"/>
        </w:rPr>
        <w:t>Bioelectrochemistry</w:t>
      </w:r>
      <w:r w:rsidRPr="00D12E56">
        <w:rPr>
          <w:rFonts w:ascii="Times New Roman" w:hAnsi="Times New Roman" w:cs="Times New Roman"/>
          <w:sz w:val="20"/>
          <w:szCs w:val="20"/>
        </w:rPr>
        <w:t>, 69(1): 74 - 81.</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Liu, H., Cheng, S. and Logan, B. E. (2005). </w:t>
      </w:r>
      <w:r w:rsidRPr="00D12E56">
        <w:rPr>
          <w:rFonts w:ascii="Times New Roman" w:hAnsi="Times New Roman" w:cs="Times New Roman"/>
          <w:iCs/>
          <w:sz w:val="20"/>
          <w:szCs w:val="20"/>
        </w:rPr>
        <w:t>Production of electricity from acetate or butyrate using a single-chamber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39(2): 658 - 662.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 xml:space="preserve">Kim, B. H., Park, H. S., Kim, H. J., Kim, G. T., Chang, I. S., Lee, J. and Phung, N. T. (2004). </w:t>
      </w:r>
      <w:r w:rsidRPr="00D12E56">
        <w:rPr>
          <w:rFonts w:ascii="Times New Roman" w:hAnsi="Times New Roman" w:cs="Times New Roman"/>
          <w:iCs/>
          <w:sz w:val="20"/>
          <w:szCs w:val="20"/>
        </w:rPr>
        <w:t>Enrichment of microbial community generating electricity using a fuel-cell-type electrochemical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Microbiol Biotechnology</w:t>
      </w:r>
      <w:r w:rsidRPr="00D12E56">
        <w:rPr>
          <w:rFonts w:ascii="Times New Roman" w:hAnsi="Times New Roman" w:cs="Times New Roman"/>
          <w:sz w:val="20"/>
          <w:szCs w:val="20"/>
        </w:rPr>
        <w:t>, 63(3): 672 – 681.</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B., Ikeda, T., Park, H. S., Kim, H. J., Hyun, M. S., Kano, K., Takagi, K. and Tatsumi, H. (1999). </w:t>
      </w:r>
      <w:r w:rsidRPr="00D12E56">
        <w:rPr>
          <w:rFonts w:ascii="Times New Roman" w:hAnsi="Times New Roman" w:cs="Times New Roman"/>
          <w:iCs/>
          <w:sz w:val="20"/>
          <w:szCs w:val="20"/>
        </w:rPr>
        <w:t>Electrochemical activity of an Fe(III)-reducing bacterium, Shewanella putrefaciens IR-1, in the presence of alternative electron acceptors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Biotechnology Techniques</w:t>
      </w:r>
      <w:r w:rsidRPr="00D12E56">
        <w:rPr>
          <w:rFonts w:ascii="Times New Roman" w:hAnsi="Times New Roman" w:cs="Times New Roman"/>
          <w:sz w:val="20"/>
          <w:szCs w:val="20"/>
        </w:rPr>
        <w:t>, 13(7): 475 - 478.</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Biffinger, J. C., Byrd, J. N., Dudley, B. L. and Ringeisen, B. R. (2008). </w:t>
      </w:r>
      <w:r w:rsidRPr="00D12E56">
        <w:rPr>
          <w:rFonts w:ascii="Times New Roman" w:hAnsi="Times New Roman" w:cs="Times New Roman"/>
          <w:iCs/>
          <w:sz w:val="20"/>
          <w:szCs w:val="20"/>
        </w:rPr>
        <w:t>Oxygen exposure promotes fuel diversity for Shewanella oneidensis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23(6):  820 - 826.</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Mohan, S. V., Velvizhi, G., Modestra, J. A., and Srikanth, S. (2014). </w:t>
      </w:r>
      <w:r w:rsidRPr="00D12E56">
        <w:rPr>
          <w:rFonts w:ascii="Times New Roman" w:hAnsi="Times New Roman" w:cs="Times New Roman"/>
          <w:iCs/>
          <w:sz w:val="20"/>
          <w:szCs w:val="20"/>
        </w:rPr>
        <w:t>Microbial fuel cell: Critical factors regulating bio-catalyzed electrochemical process and recent advancements.</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Renewable and Sustainable Energy Reviews</w:t>
      </w:r>
      <w:r w:rsidRPr="00D12E56">
        <w:rPr>
          <w:rFonts w:ascii="Times New Roman" w:hAnsi="Times New Roman" w:cs="Times New Roman"/>
          <w:sz w:val="20"/>
          <w:szCs w:val="20"/>
        </w:rPr>
        <w:t>, 40: 779 - 797.</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Kim, J. R., Min, B. and Logan, B. E. (2005). </w:t>
      </w:r>
      <w:r w:rsidRPr="00D12E56">
        <w:rPr>
          <w:rFonts w:ascii="Times New Roman" w:hAnsi="Times New Roman" w:cs="Times New Roman"/>
          <w:iCs/>
          <w:sz w:val="20"/>
          <w:szCs w:val="20"/>
        </w:rPr>
        <w:t xml:space="preserve">Evaluation of procedures to acclimate a microbial fuel cell for electricity production. </w:t>
      </w:r>
      <w:r w:rsidRPr="00D12E56">
        <w:rPr>
          <w:rFonts w:ascii="Times New Roman" w:hAnsi="Times New Roman" w:cs="Times New Roman"/>
          <w:i/>
          <w:iCs/>
          <w:sz w:val="20"/>
          <w:szCs w:val="20"/>
        </w:rPr>
        <w:t>Applied Microbial Biotechnology</w:t>
      </w:r>
      <w:r w:rsidRPr="00D12E56">
        <w:rPr>
          <w:rFonts w:ascii="Times New Roman" w:hAnsi="Times New Roman" w:cs="Times New Roman"/>
          <w:sz w:val="20"/>
          <w:szCs w:val="20"/>
        </w:rPr>
        <w:t>, 68: 23 - 30.</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Rader, G.K. and Logan, B. E. (2010). </w:t>
      </w:r>
      <w:r w:rsidRPr="00D12E56">
        <w:rPr>
          <w:rFonts w:ascii="Times New Roman" w:hAnsi="Times New Roman" w:cs="Times New Roman"/>
          <w:iCs/>
          <w:sz w:val="20"/>
          <w:szCs w:val="20"/>
        </w:rPr>
        <w:t>Multi-electrode continuous flow microbial electrolysis cell for biogas production from acetate.</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Hydrogen Energy</w:t>
      </w:r>
      <w:r w:rsidRPr="00D12E56">
        <w:rPr>
          <w:rFonts w:ascii="Times New Roman" w:hAnsi="Times New Roman" w:cs="Times New Roman"/>
          <w:sz w:val="20"/>
          <w:szCs w:val="20"/>
        </w:rPr>
        <w:t>, 35(17): 8848 - 8854.</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Atlas, R. M. (2005). </w:t>
      </w:r>
      <w:r w:rsidRPr="00D12E56">
        <w:rPr>
          <w:rFonts w:ascii="Times New Roman" w:hAnsi="Times New Roman" w:cs="Times New Roman"/>
          <w:iCs/>
          <w:sz w:val="20"/>
          <w:szCs w:val="20"/>
        </w:rPr>
        <w:t>Handbook of microbiological media.</w:t>
      </w:r>
      <w:r w:rsidRPr="00D12E56">
        <w:rPr>
          <w:rFonts w:ascii="Times New Roman" w:hAnsi="Times New Roman" w:cs="Times New Roman"/>
          <w:sz w:val="20"/>
          <w:szCs w:val="20"/>
        </w:rPr>
        <w:t xml:space="preserve"> Second Edition ed. Acetate agar, Fluorida: Taylor &amp; Francis Group.</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Weld, R. J. and Singh, R. (2011). </w:t>
      </w:r>
      <w:r w:rsidRPr="00D12E56">
        <w:rPr>
          <w:rFonts w:ascii="Times New Roman" w:hAnsi="Times New Roman" w:cs="Times New Roman"/>
          <w:iCs/>
          <w:sz w:val="20"/>
          <w:szCs w:val="20"/>
        </w:rPr>
        <w:t>Functional stability of a hybrid anaerobic digester/microbial fuel cell system treating municipal wastewater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102(2): 842 - 847.</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Luo, Y., Zhang, F., Wei, B., Liu, G., Zhang, R. and Logan, B. E. (2011). </w:t>
      </w:r>
      <w:r w:rsidRPr="00D12E56">
        <w:rPr>
          <w:rFonts w:ascii="Times New Roman" w:hAnsi="Times New Roman" w:cs="Times New Roman"/>
          <w:iCs/>
          <w:sz w:val="20"/>
          <w:szCs w:val="20"/>
        </w:rPr>
        <w:t>Power generation using carbon mesh cathodes with different diffusion layers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xml:space="preserve"> 196(22): 9317 - 9321.</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Watson, V.J. and Logan, B. E. (2011). </w:t>
      </w:r>
      <w:r w:rsidRPr="00D12E56">
        <w:rPr>
          <w:rFonts w:ascii="Times New Roman" w:hAnsi="Times New Roman" w:cs="Times New Roman"/>
          <w:iCs/>
          <w:sz w:val="20"/>
          <w:szCs w:val="20"/>
        </w:rPr>
        <w:t>Analysis of polarization methods for elimination of power overshoot in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Electrochemistry Communications,</w:t>
      </w:r>
      <w:r w:rsidRPr="00D12E56">
        <w:rPr>
          <w:rFonts w:ascii="Times New Roman" w:hAnsi="Times New Roman" w:cs="Times New Roman"/>
          <w:sz w:val="20"/>
          <w:szCs w:val="20"/>
        </w:rPr>
        <w:t xml:space="preserve"> 13(1): p. 54-56.</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Babauta, J., Renslow, R., Lewandowski, Z. and Beyenal, H. (2012). </w:t>
      </w:r>
      <w:r w:rsidRPr="00D12E56">
        <w:rPr>
          <w:rFonts w:ascii="Times New Roman" w:hAnsi="Times New Roman" w:cs="Times New Roman"/>
          <w:iCs/>
          <w:sz w:val="20"/>
          <w:szCs w:val="20"/>
        </w:rPr>
        <w:t xml:space="preserve">Electrochemically active biofilms: facts and fiction. A review. </w:t>
      </w:r>
      <w:r w:rsidRPr="00D12E56">
        <w:rPr>
          <w:rFonts w:ascii="Times New Roman" w:hAnsi="Times New Roman" w:cs="Times New Roman"/>
          <w:i/>
          <w:iCs/>
          <w:sz w:val="20"/>
          <w:szCs w:val="20"/>
        </w:rPr>
        <w:t>Biofouling</w:t>
      </w:r>
      <w:r w:rsidRPr="00D12E56">
        <w:rPr>
          <w:rFonts w:ascii="Times New Roman" w:hAnsi="Times New Roman" w:cs="Times New Roman"/>
          <w:sz w:val="20"/>
          <w:szCs w:val="20"/>
        </w:rPr>
        <w:t>, 28(8): 789 - 812.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Ringeisen, B. R., Ray, R. and Little, B. (2007). </w:t>
      </w:r>
      <w:r w:rsidRPr="00D12E56">
        <w:rPr>
          <w:rFonts w:ascii="Times New Roman" w:hAnsi="Times New Roman" w:cs="Times New Roman"/>
          <w:iCs/>
          <w:sz w:val="20"/>
          <w:szCs w:val="20"/>
        </w:rPr>
        <w:t>A miniature microbial fuel cell operating with an aerobic anode chamber</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165: 591 - 597.</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Hutchinson, A. J., Tokash, J. C. and Logan, B. E. (2011). </w:t>
      </w:r>
      <w:r w:rsidRPr="00D12E56">
        <w:rPr>
          <w:rFonts w:ascii="Times New Roman" w:hAnsi="Times New Roman" w:cs="Times New Roman"/>
          <w:iCs/>
          <w:sz w:val="20"/>
          <w:szCs w:val="20"/>
        </w:rPr>
        <w:t>Analysis of carbon fiber brush loading in anodes on startup and performance of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196(22): 9213 -9219.</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Aelterman, P., Versichele, M., Marzorati, M., Boon, N. and Verstraete, W. (2008). </w:t>
      </w:r>
      <w:r w:rsidRPr="00D12E56">
        <w:rPr>
          <w:rFonts w:ascii="Times New Roman" w:hAnsi="Times New Roman" w:cs="Times New Roman"/>
          <w:iCs/>
          <w:sz w:val="20"/>
          <w:szCs w:val="20"/>
        </w:rPr>
        <w:t>Loading rate and external resistance control the electricity generation of microbial fuel cells with different three-dimensional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99: 8895- 8902.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Hamelers, B., Rozendal, R., Schröder, U., Keller, J., Freguia, S., Aelterman, P., Verstraete. W. and Rabaey, K. (2006). </w:t>
      </w:r>
      <w:r w:rsidRPr="00D12E56">
        <w:rPr>
          <w:rFonts w:ascii="Times New Roman" w:hAnsi="Times New Roman" w:cs="Times New Roman"/>
          <w:iCs/>
          <w:sz w:val="20"/>
          <w:szCs w:val="20"/>
        </w:rPr>
        <w:t>Microbial fuel cells: Methodology and technology</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40(17): 5181 - 5192.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Osman, M. H., Shah, A. A. and Walsh, F. C. (2010). </w:t>
      </w:r>
      <w:r w:rsidRPr="00D12E56">
        <w:rPr>
          <w:rFonts w:ascii="Times New Roman" w:hAnsi="Times New Roman" w:cs="Times New Roman"/>
          <w:iCs/>
          <w:sz w:val="20"/>
          <w:szCs w:val="20"/>
        </w:rPr>
        <w:t xml:space="preserve">Recent progress and continuing challenges in bio-fuel cells. Part II: Microbial. </w:t>
      </w:r>
      <w:r w:rsidRPr="00D12E56">
        <w:rPr>
          <w:rFonts w:ascii="Times New Roman" w:hAnsi="Times New Roman" w:cs="Times New Roman"/>
          <w:i/>
          <w:iCs/>
          <w:sz w:val="20"/>
          <w:szCs w:val="20"/>
        </w:rPr>
        <w:t>Biosensors and Bioelectronics</w:t>
      </w:r>
      <w:r w:rsidRPr="00D12E56">
        <w:rPr>
          <w:rFonts w:ascii="Times New Roman" w:hAnsi="Times New Roman" w:cs="Times New Roman"/>
          <w:sz w:val="20"/>
          <w:szCs w:val="20"/>
        </w:rPr>
        <w:t>, 26(3): 953 - 963.</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Tayhas, G., Palmore, R. and Whitesides, M. G. (1994). </w:t>
      </w:r>
      <w:r w:rsidRPr="00D12E56">
        <w:rPr>
          <w:rFonts w:ascii="Times New Roman" w:hAnsi="Times New Roman" w:cs="Times New Roman"/>
          <w:iCs/>
          <w:sz w:val="20"/>
          <w:szCs w:val="20"/>
        </w:rPr>
        <w:t>Chapter 14: Microbial and enzymatic biofuel cells, in Enzymatic conversion of biomass for fuels production</w:t>
      </w:r>
      <w:r w:rsidRPr="00D12E56">
        <w:rPr>
          <w:rFonts w:ascii="Times New Roman" w:hAnsi="Times New Roman" w:cs="Times New Roman"/>
          <w:sz w:val="20"/>
          <w:szCs w:val="20"/>
        </w:rPr>
        <w:t>. American Chemical Society: Massachusetts.</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Cheng, S., Liu, H. and Logan, B. E. (2006). </w:t>
      </w:r>
      <w:r w:rsidRPr="00D12E56">
        <w:rPr>
          <w:rFonts w:ascii="Times New Roman" w:hAnsi="Times New Roman" w:cs="Times New Roman"/>
          <w:iCs/>
          <w:sz w:val="20"/>
          <w:szCs w:val="20"/>
        </w:rPr>
        <w:t>Increased power generation in a continuous flow MFC with advective flow through the porous anode and reduced electrode spacing.</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Environmental Science &amp; Technology</w:t>
      </w:r>
      <w:r w:rsidRPr="00D12E56">
        <w:rPr>
          <w:rFonts w:ascii="Times New Roman" w:hAnsi="Times New Roman" w:cs="Times New Roman"/>
          <w:sz w:val="20"/>
          <w:szCs w:val="20"/>
        </w:rPr>
        <w:t>, 40(7): 2426 - 2432.</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Logan, B. E. (2008). </w:t>
      </w:r>
      <w:r w:rsidRPr="00D12E56">
        <w:rPr>
          <w:rFonts w:ascii="Times New Roman" w:hAnsi="Times New Roman" w:cs="Times New Roman"/>
          <w:iCs/>
          <w:sz w:val="20"/>
          <w:szCs w:val="20"/>
        </w:rPr>
        <w:t>Mechanism of electron transfer</w:t>
      </w:r>
      <w:r w:rsidRPr="00D12E56">
        <w:rPr>
          <w:rFonts w:ascii="Times New Roman" w:hAnsi="Times New Roman" w:cs="Times New Roman"/>
          <w:sz w:val="20"/>
          <w:szCs w:val="20"/>
        </w:rPr>
        <w:t xml:space="preserve">, in </w:t>
      </w:r>
      <w:r w:rsidRPr="00D12E56">
        <w:rPr>
          <w:rFonts w:ascii="Times New Roman" w:hAnsi="Times New Roman" w:cs="Times New Roman"/>
          <w:i/>
          <w:sz w:val="20"/>
          <w:szCs w:val="20"/>
        </w:rPr>
        <w:t>Microbial Fuel Cell</w:t>
      </w:r>
      <w:r w:rsidRPr="00D12E56">
        <w:rPr>
          <w:rFonts w:ascii="Times New Roman" w:hAnsi="Times New Roman" w:cs="Times New Roman"/>
          <w:sz w:val="20"/>
          <w:szCs w:val="20"/>
        </w:rPr>
        <w:t>.  John Wiley &amp; Sons, Inc: New Jersey. pp. 13.</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Li, X.M., Cheng, K. Y., Selvam, A. and Wong, J. W (2013). </w:t>
      </w:r>
      <w:r w:rsidRPr="00D12E56">
        <w:rPr>
          <w:rFonts w:ascii="Times New Roman" w:hAnsi="Times New Roman" w:cs="Times New Roman"/>
          <w:iCs/>
          <w:sz w:val="20"/>
          <w:szCs w:val="20"/>
        </w:rPr>
        <w:t>Bioelectricity production from acidic food waste leachate using microbial fuel cells: Effect of microbial inocula</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Process Biochemistry</w:t>
      </w:r>
      <w:r w:rsidRPr="00D12E56">
        <w:rPr>
          <w:rFonts w:ascii="Times New Roman" w:hAnsi="Times New Roman" w:cs="Times New Roman"/>
          <w:sz w:val="20"/>
          <w:szCs w:val="20"/>
        </w:rPr>
        <w:t>, 48(2):  283 - 288.</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Khan, M.R., Chan, K. M., Ong, H. R., Cheng, C. K. and Rahman, W. (2015). </w:t>
      </w:r>
      <w:r w:rsidRPr="00D12E56">
        <w:rPr>
          <w:rFonts w:ascii="Times New Roman" w:hAnsi="Times New Roman" w:cs="Times New Roman"/>
          <w:iCs/>
          <w:sz w:val="20"/>
          <w:szCs w:val="20"/>
        </w:rPr>
        <w:t>Nanostructured pt/mno2 catalysts and their performance for oxygen reduction reaction in air cathode microbial fuel cell</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International Journal of Electrical, Computer, Electronics and Communication Engineering</w:t>
      </w:r>
      <w:r w:rsidRPr="00D12E56">
        <w:rPr>
          <w:rFonts w:ascii="Times New Roman" w:hAnsi="Times New Roman" w:cs="Times New Roman"/>
          <w:sz w:val="20"/>
          <w:szCs w:val="20"/>
        </w:rPr>
        <w:t>, 9(3):  295 - 301.</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Lefebvre, O., Shen, Y., Tan, Z., Uzabiaga, A., Chang, I. S. and Ng, H. Y. (2011). </w:t>
      </w:r>
      <w:r w:rsidRPr="00D12E56">
        <w:rPr>
          <w:rFonts w:ascii="Times New Roman" w:hAnsi="Times New Roman" w:cs="Times New Roman"/>
          <w:iCs/>
          <w:sz w:val="20"/>
          <w:szCs w:val="20"/>
        </w:rPr>
        <w:t>A comparison of membranes and enrichment strategies for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Bioresource Technology</w:t>
      </w:r>
      <w:r w:rsidRPr="00D12E56">
        <w:rPr>
          <w:rFonts w:ascii="Times New Roman" w:hAnsi="Times New Roman" w:cs="Times New Roman"/>
          <w:sz w:val="20"/>
          <w:szCs w:val="20"/>
        </w:rPr>
        <w:t>, 102(10):  6291 - 6294.</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lastRenderedPageBreak/>
        <w:t>Cunningham, A.B., Lennox, J. E. and Ross, R. J. (2014). The Biofilms Hypertextbook: Intermediate level. Chapter 2: Biofilm formation and growth 2001-2008; Section 3: Biofilm development]. Available from: http://biofilmbook.hypertextbookshop.com/public_version/contents/chapters/chapter002/ section003/blue/page003.html [Access online 19 September 2014].</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Pastorella, G., Gazzola, G., Guadarrama, S. and Marsili, E. (2012). </w:t>
      </w:r>
      <w:r w:rsidRPr="00D12E56">
        <w:rPr>
          <w:rFonts w:ascii="Times New Roman" w:hAnsi="Times New Roman" w:cs="Times New Roman"/>
          <w:iCs/>
          <w:sz w:val="20"/>
          <w:szCs w:val="20"/>
        </w:rPr>
        <w:t>Biofilms: Applications in bioremediation, in Microbial Biofilms: Current research and applications</w:t>
      </w:r>
      <w:r w:rsidRPr="00D12E56">
        <w:rPr>
          <w:rFonts w:ascii="Times New Roman" w:hAnsi="Times New Roman" w:cs="Times New Roman"/>
          <w:sz w:val="20"/>
          <w:szCs w:val="20"/>
        </w:rPr>
        <w:t>, G. Lear and G.D. Lewis, Editors, Horizon Scientific Press: UK. : 73 - 98.</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Dirckx, P. (1997). </w:t>
      </w:r>
      <w:r w:rsidRPr="00D12E56">
        <w:rPr>
          <w:rFonts w:ascii="Times New Roman" w:hAnsi="Times New Roman" w:cs="Times New Roman"/>
          <w:iCs/>
          <w:sz w:val="20"/>
          <w:szCs w:val="20"/>
        </w:rPr>
        <w:t>Biofilm structure with labels,</w:t>
      </w:r>
      <w:r w:rsidRPr="00D12E56">
        <w:rPr>
          <w:rFonts w:ascii="Times New Roman" w:hAnsi="Times New Roman" w:cs="Times New Roman"/>
          <w:sz w:val="20"/>
          <w:szCs w:val="20"/>
        </w:rPr>
        <w:t xml:space="preserve"> Biofilm.jpg, Center for Biofilm Engineering: Montana.</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Rahimnejad, M., Ghoreyshi, A. A., Najafpour, G. and Jafary, T. (2011). </w:t>
      </w:r>
      <w:r w:rsidRPr="00D12E56">
        <w:rPr>
          <w:rFonts w:ascii="Times New Roman" w:hAnsi="Times New Roman" w:cs="Times New Roman"/>
          <w:iCs/>
          <w:sz w:val="20"/>
          <w:szCs w:val="20"/>
        </w:rPr>
        <w:t>Power generation from organic substrate in batch and continuous flow microbial fuel cell operations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Applied Energy</w:t>
      </w:r>
      <w:r w:rsidRPr="00D12E56">
        <w:rPr>
          <w:rFonts w:ascii="Times New Roman" w:hAnsi="Times New Roman" w:cs="Times New Roman"/>
          <w:sz w:val="20"/>
          <w:szCs w:val="20"/>
        </w:rPr>
        <w:t>, 88(11): 3999 -4004.</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Haslett, N. D. (2012). </w:t>
      </w:r>
      <w:r w:rsidRPr="00D12E56">
        <w:rPr>
          <w:rFonts w:ascii="Times New Roman" w:hAnsi="Times New Roman" w:cs="Times New Roman"/>
          <w:iCs/>
          <w:sz w:val="20"/>
          <w:szCs w:val="20"/>
        </w:rPr>
        <w:t>Development of a eukaryotic microbial fuel cell using Arxula adeninivorans, in Department of Agricultural Sciences</w:t>
      </w:r>
      <w:r w:rsidRPr="00D12E56">
        <w:rPr>
          <w:rFonts w:ascii="Times New Roman" w:hAnsi="Times New Roman" w:cs="Times New Roman"/>
          <w:sz w:val="20"/>
          <w:szCs w:val="20"/>
        </w:rPr>
        <w:t>. Lincoln University. pp. 245.</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Feng, Y., Yang, Q., Wang, X. and Logan, B. E. (2010).</w:t>
      </w:r>
      <w:r w:rsidRPr="00D12E56">
        <w:rPr>
          <w:rFonts w:ascii="Times New Roman" w:hAnsi="Times New Roman" w:cs="Times New Roman"/>
          <w:iCs/>
          <w:sz w:val="20"/>
          <w:szCs w:val="20"/>
        </w:rPr>
        <w:t>Treatment of carbon fiber brush anodes for improving power generation in air-cathode microbial fuel cells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Journal of Power Sources</w:t>
      </w:r>
      <w:r w:rsidRPr="00D12E56">
        <w:rPr>
          <w:rFonts w:ascii="Times New Roman" w:hAnsi="Times New Roman" w:cs="Times New Roman"/>
          <w:sz w:val="20"/>
          <w:szCs w:val="20"/>
        </w:rPr>
        <w:t>, 195(7): 1841 - 1844.</w:t>
      </w:r>
    </w:p>
    <w:p w:rsidR="00D01991" w:rsidRDefault="00D01991" w:rsidP="00D01991">
      <w:pPr>
        <w:pStyle w:val="EndNoteBibliography"/>
        <w:numPr>
          <w:ilvl w:val="0"/>
          <w:numId w:val="3"/>
        </w:numPr>
        <w:spacing w:after="0"/>
        <w:ind w:left="360"/>
        <w:jc w:val="both"/>
        <w:rPr>
          <w:rFonts w:ascii="Times New Roman" w:hAnsi="Times New Roman" w:cs="Times New Roman"/>
          <w:sz w:val="20"/>
          <w:szCs w:val="20"/>
        </w:rPr>
      </w:pPr>
      <w:r w:rsidRPr="00D12E56">
        <w:rPr>
          <w:rFonts w:ascii="Times New Roman" w:hAnsi="Times New Roman" w:cs="Times New Roman"/>
          <w:sz w:val="20"/>
          <w:szCs w:val="20"/>
        </w:rPr>
        <w:t xml:space="preserve">Santoro, C. Lei, Y., Li, B. and Cristiani, P. (2012). </w:t>
      </w:r>
      <w:r w:rsidRPr="00D12E56">
        <w:rPr>
          <w:rFonts w:ascii="Times New Roman" w:hAnsi="Times New Roman" w:cs="Times New Roman"/>
          <w:iCs/>
          <w:sz w:val="20"/>
          <w:szCs w:val="20"/>
        </w:rPr>
        <w:t>Power generation from wastewater using single chamber microbial fuel cells (MFCs) with platinum-free cathodes and pre-colonized anodes</w:t>
      </w:r>
      <w:r w:rsidRPr="00D12E56">
        <w:rPr>
          <w:rFonts w:ascii="Times New Roman" w:hAnsi="Times New Roman" w:cs="Times New Roman"/>
          <w:i/>
          <w:sz w:val="20"/>
          <w:szCs w:val="20"/>
        </w:rPr>
        <w:t>.</w:t>
      </w:r>
      <w:r w:rsidRPr="00D12E56">
        <w:rPr>
          <w:rFonts w:ascii="Times New Roman" w:hAnsi="Times New Roman" w:cs="Times New Roman"/>
          <w:sz w:val="20"/>
          <w:szCs w:val="20"/>
        </w:rPr>
        <w:t xml:space="preserve"> </w:t>
      </w:r>
      <w:r w:rsidRPr="00D12E56">
        <w:rPr>
          <w:rFonts w:ascii="Times New Roman" w:hAnsi="Times New Roman" w:cs="Times New Roman"/>
          <w:i/>
          <w:iCs/>
          <w:sz w:val="20"/>
          <w:szCs w:val="20"/>
        </w:rPr>
        <w:t>Biochemical Engineering Journal</w:t>
      </w:r>
      <w:r w:rsidRPr="00D12E56">
        <w:rPr>
          <w:rFonts w:ascii="Times New Roman" w:hAnsi="Times New Roman" w:cs="Times New Roman"/>
          <w:sz w:val="20"/>
          <w:szCs w:val="20"/>
        </w:rPr>
        <w:t>, 62:  8 - 16.</w:t>
      </w:r>
    </w:p>
    <w:p w:rsidR="00D01991" w:rsidRPr="00D12E56" w:rsidRDefault="00D01991" w:rsidP="00D01991">
      <w:pPr>
        <w:pStyle w:val="EndNoteBibliography"/>
        <w:spacing w:after="0"/>
        <w:jc w:val="both"/>
        <w:rPr>
          <w:rFonts w:ascii="Times New Roman" w:hAnsi="Times New Roman" w:cs="Times New Roman"/>
          <w:sz w:val="20"/>
          <w:szCs w:val="20"/>
        </w:rPr>
      </w:pPr>
    </w:p>
    <w:p w:rsidR="00A74A7E" w:rsidRPr="007A738C" w:rsidRDefault="00D01991" w:rsidP="00D01991">
      <w:pPr>
        <w:spacing w:after="0" w:line="240" w:lineRule="auto"/>
        <w:jc w:val="both"/>
        <w:rPr>
          <w:rFonts w:ascii="Times New Roman" w:hAnsi="Times New Roman"/>
          <w:noProof/>
          <w:lang w:bidi="ar-SA"/>
        </w:rPr>
      </w:pPr>
      <w:r w:rsidRPr="001D6DDB">
        <w:rPr>
          <w:rFonts w:ascii="Times New Roman" w:hAnsi="Times New Roman"/>
          <w:sz w:val="20"/>
          <w:szCs w:val="20"/>
        </w:rPr>
        <w:fldChar w:fldCharType="end"/>
      </w:r>
    </w:p>
    <w:sectPr w:rsidR="00A74A7E" w:rsidRPr="007A738C" w:rsidSect="007E050E">
      <w:headerReference w:type="even" r:id="rId17"/>
      <w:headerReference w:type="default" r:id="rId18"/>
      <w:footerReference w:type="even" r:id="rId19"/>
      <w:footerReference w:type="default" r:id="rId20"/>
      <w:pgSz w:w="12240" w:h="15840" w:code="1"/>
      <w:pgMar w:top="1800" w:right="1469" w:bottom="1699" w:left="1440" w:header="706" w:footer="706" w:gutter="0"/>
      <w:pgNumType w:start="9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63CB9">
          <w:rPr>
            <w:rFonts w:ascii="Times New Roman" w:hAnsi="Times New Roman"/>
            <w:noProof/>
          </w:rPr>
          <w:t>912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63CB9">
          <w:rPr>
            <w:rFonts w:ascii="Times New Roman" w:hAnsi="Times New Roman"/>
            <w:noProof/>
          </w:rPr>
          <w:t>913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E050E">
      <w:rPr>
        <w:rFonts w:ascii="Times New Roman" w:hAnsi="Times New Roman"/>
        <w:i/>
        <w:lang w:val="en-US"/>
      </w:rPr>
      <w:t>904</w:t>
    </w:r>
    <w:r w:rsidR="004B43FF">
      <w:rPr>
        <w:rFonts w:ascii="Times New Roman" w:hAnsi="Times New Roman"/>
        <w:i/>
        <w:lang w:val="en-US"/>
      </w:rPr>
      <w:t xml:space="preserve"> </w:t>
    </w:r>
    <w:r w:rsidR="00583C85">
      <w:rPr>
        <w:rFonts w:ascii="Times New Roman" w:hAnsi="Times New Roman"/>
        <w:i/>
        <w:lang w:val="en-US"/>
      </w:rPr>
      <w:t>-</w:t>
    </w:r>
    <w:r w:rsidR="007E050E">
      <w:rPr>
        <w:rFonts w:ascii="Times New Roman" w:hAnsi="Times New Roman"/>
        <w:i/>
        <w:lang w:val="en-US"/>
      </w:rPr>
      <w:t xml:space="preserve"> 913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7E050E">
      <w:rPr>
        <w:rFonts w:ascii="Times New Roman" w:hAnsi="Times New Roman"/>
        <w:i/>
        <w:lang w:val="en-US"/>
      </w:rPr>
      <w:t>-26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0E" w:rsidRPr="007E050E" w:rsidRDefault="007E050E" w:rsidP="007E050E">
    <w:pPr>
      <w:pStyle w:val="BodyText"/>
      <w:spacing w:after="0" w:line="240" w:lineRule="auto"/>
      <w:ind w:left="1530" w:hanging="1530"/>
      <w:rPr>
        <w:rFonts w:ascii="Times New Roman" w:hAnsi="Times New Roman"/>
        <w:bCs/>
        <w:sz w:val="20"/>
        <w:szCs w:val="20"/>
      </w:rPr>
    </w:pPr>
    <w:r>
      <w:rPr>
        <w:rFonts w:ascii="Times New Roman" w:hAnsi="Times New Roman"/>
        <w:sz w:val="20"/>
        <w:szCs w:val="20"/>
        <w:lang w:val="en-US"/>
      </w:rPr>
      <w:t>Mimi Hani et al</w:t>
    </w:r>
    <w:r w:rsidR="008E6968" w:rsidRPr="007E050E">
      <w:rPr>
        <w:rFonts w:ascii="Times New Roman" w:hAnsi="Times New Roman"/>
        <w:sz w:val="20"/>
        <w:szCs w:val="20"/>
        <w:lang w:val="en-US"/>
      </w:rPr>
      <w:t xml:space="preserve">:  </w:t>
    </w:r>
    <w:r>
      <w:rPr>
        <w:rFonts w:ascii="Times New Roman" w:hAnsi="Times New Roman"/>
        <w:sz w:val="20"/>
        <w:szCs w:val="20"/>
        <w:lang w:val="en-US"/>
      </w:rPr>
      <w:t xml:space="preserve"> </w:t>
    </w:r>
    <w:r>
      <w:rPr>
        <w:rFonts w:ascii="Times New Roman" w:hAnsi="Times New Roman"/>
        <w:sz w:val="20"/>
        <w:szCs w:val="20"/>
        <w:lang w:val="en-US"/>
      </w:rPr>
      <w:tab/>
    </w:r>
    <w:r w:rsidRPr="007E050E">
      <w:rPr>
        <w:rFonts w:ascii="Times New Roman" w:hAnsi="Times New Roman"/>
        <w:bCs/>
        <w:sz w:val="20"/>
        <w:szCs w:val="20"/>
      </w:rPr>
      <w:t>EFFECT OF LONG TIME OXYGEN EXPOSURE ON POWER GENERATION OF MICROBIAL FUEL CELL WITH ENRICHED MIXED CULTURE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7AB2A22"/>
    <w:multiLevelType w:val="hybridMultilevel"/>
    <w:tmpl w:val="093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A6E79"/>
    <w:rsid w:val="005C6768"/>
    <w:rsid w:val="00634C25"/>
    <w:rsid w:val="006416AB"/>
    <w:rsid w:val="006768E9"/>
    <w:rsid w:val="00687982"/>
    <w:rsid w:val="00695D0E"/>
    <w:rsid w:val="006A3A0F"/>
    <w:rsid w:val="006B3EC8"/>
    <w:rsid w:val="006D695E"/>
    <w:rsid w:val="00725A6A"/>
    <w:rsid w:val="00730CB3"/>
    <w:rsid w:val="00734F2F"/>
    <w:rsid w:val="00763CB9"/>
    <w:rsid w:val="007943F3"/>
    <w:rsid w:val="007A738C"/>
    <w:rsid w:val="007B1349"/>
    <w:rsid w:val="007E050E"/>
    <w:rsid w:val="007E25BD"/>
    <w:rsid w:val="00801E18"/>
    <w:rsid w:val="00802C35"/>
    <w:rsid w:val="0082181A"/>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01991"/>
    <w:rsid w:val="00D340BB"/>
    <w:rsid w:val="00D505D5"/>
    <w:rsid w:val="00D63C28"/>
    <w:rsid w:val="00D75B35"/>
    <w:rsid w:val="00D76E09"/>
    <w:rsid w:val="00D9736F"/>
    <w:rsid w:val="00D9792A"/>
    <w:rsid w:val="00DD377F"/>
    <w:rsid w:val="00E25547"/>
    <w:rsid w:val="00E2773B"/>
    <w:rsid w:val="00E3287E"/>
    <w:rsid w:val="00E66197"/>
    <w:rsid w:val="00F301E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D01991"/>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D01991"/>
    <w:rPr>
      <w:rFonts w:ascii="Calibri" w:eastAsia="Times New Roman" w:hAnsi="Calibri"/>
      <w:sz w:val="22"/>
      <w:szCs w:val="24"/>
      <w:lang w:val="en-NZ" w:eastAsia="en-AU"/>
    </w:rPr>
  </w:style>
  <w:style w:type="character" w:styleId="CommentReference">
    <w:name w:val="annotation reference"/>
    <w:basedOn w:val="DefaultParagraphFont"/>
    <w:rsid w:val="00D01991"/>
    <w:rPr>
      <w:sz w:val="16"/>
      <w:szCs w:val="16"/>
    </w:rPr>
  </w:style>
  <w:style w:type="character" w:customStyle="1" w:styleId="ListParagraphChar">
    <w:name w:val="List Paragraph Char"/>
    <w:basedOn w:val="DefaultParagraphFont"/>
    <w:link w:val="ListParagraph"/>
    <w:uiPriority w:val="34"/>
    <w:rsid w:val="00D01991"/>
    <w:rPr>
      <w:rFonts w:eastAsia="Times New Roman"/>
      <w:sz w:val="22"/>
      <w:szCs w:val="22"/>
      <w:lang w:bidi="en-US"/>
    </w:rPr>
  </w:style>
  <w:style w:type="paragraph" w:customStyle="1" w:styleId="Default">
    <w:name w:val="Default"/>
    <w:rsid w:val="00D01991"/>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D01991"/>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D01991"/>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01991"/>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D01991"/>
    <w:rPr>
      <w:rFonts w:ascii="Calibri" w:eastAsiaTheme="minorHAnsi" w:hAnsi="Calibri" w:cstheme="minorBidi"/>
      <w:noProof/>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
    <w:name w:val="Body Text"/>
    <w:basedOn w:val="Normal"/>
    <w:link w:val="BodyTextChar"/>
    <w:uiPriority w:val="1"/>
    <w:qFormat/>
    <w:rsid w:val="00D01991"/>
    <w:pPr>
      <w:spacing w:after="240" w:line="360" w:lineRule="auto"/>
    </w:pPr>
    <w:rPr>
      <w:rFonts w:ascii="Calibri" w:hAnsi="Calibri"/>
      <w:szCs w:val="24"/>
      <w:lang w:val="en-NZ" w:eastAsia="en-AU" w:bidi="ar-SA"/>
    </w:rPr>
  </w:style>
  <w:style w:type="character" w:customStyle="1" w:styleId="BodyTextChar">
    <w:name w:val="Body Text Char"/>
    <w:basedOn w:val="DefaultParagraphFont"/>
    <w:link w:val="BodyText"/>
    <w:uiPriority w:val="1"/>
    <w:rsid w:val="00D01991"/>
    <w:rPr>
      <w:rFonts w:ascii="Calibri" w:eastAsia="Times New Roman" w:hAnsi="Calibri"/>
      <w:sz w:val="22"/>
      <w:szCs w:val="24"/>
      <w:lang w:val="en-NZ" w:eastAsia="en-AU"/>
    </w:rPr>
  </w:style>
  <w:style w:type="character" w:styleId="CommentReference">
    <w:name w:val="annotation reference"/>
    <w:basedOn w:val="DefaultParagraphFont"/>
    <w:rsid w:val="00D01991"/>
    <w:rPr>
      <w:sz w:val="16"/>
      <w:szCs w:val="16"/>
    </w:rPr>
  </w:style>
  <w:style w:type="character" w:customStyle="1" w:styleId="ListParagraphChar">
    <w:name w:val="List Paragraph Char"/>
    <w:basedOn w:val="DefaultParagraphFont"/>
    <w:link w:val="ListParagraph"/>
    <w:uiPriority w:val="34"/>
    <w:rsid w:val="00D01991"/>
    <w:rPr>
      <w:rFonts w:eastAsia="Times New Roman"/>
      <w:sz w:val="22"/>
      <w:szCs w:val="22"/>
      <w:lang w:bidi="en-US"/>
    </w:rPr>
  </w:style>
  <w:style w:type="paragraph" w:customStyle="1" w:styleId="Default">
    <w:name w:val="Default"/>
    <w:rsid w:val="00D01991"/>
    <w:pPr>
      <w:autoSpaceDE w:val="0"/>
      <w:autoSpaceDN w:val="0"/>
      <w:adjustRightInd w:val="0"/>
    </w:pPr>
    <w:rPr>
      <w:rFonts w:ascii="Calibri" w:eastAsiaTheme="minorHAnsi" w:hAnsi="Calibri" w:cs="Calibri"/>
      <w:color w:val="000000"/>
      <w:sz w:val="24"/>
      <w:szCs w:val="24"/>
      <w:lang w:val="en-MY"/>
    </w:rPr>
  </w:style>
  <w:style w:type="paragraph" w:styleId="Caption">
    <w:name w:val="caption"/>
    <w:basedOn w:val="Normal"/>
    <w:next w:val="BodyText"/>
    <w:autoRedefine/>
    <w:qFormat/>
    <w:rsid w:val="00D01991"/>
    <w:pPr>
      <w:spacing w:after="0" w:line="240" w:lineRule="auto"/>
      <w:ind w:right="-130"/>
      <w:jc w:val="both"/>
    </w:pPr>
    <w:rPr>
      <w:rFonts w:ascii="Times New Roman" w:hAnsi="Times New Roman"/>
      <w:bCs/>
      <w:noProof/>
      <w:sz w:val="20"/>
      <w:szCs w:val="18"/>
      <w:lang w:bidi="ar-SA"/>
    </w:rPr>
  </w:style>
  <w:style w:type="table" w:styleId="TableGrid">
    <w:name w:val="Table Grid"/>
    <w:basedOn w:val="TableNormal"/>
    <w:rsid w:val="00D01991"/>
    <w:rPr>
      <w:rFonts w:ascii="Times New Roman" w:eastAsia="Times New Roman" w:hAnsi="Times New Roman"/>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01991"/>
    <w:pPr>
      <w:spacing w:after="160" w:line="240" w:lineRule="auto"/>
    </w:pPr>
    <w:rPr>
      <w:rFonts w:ascii="Calibri" w:eastAsiaTheme="minorHAnsi" w:hAnsi="Calibri" w:cstheme="minorBidi"/>
      <w:noProof/>
    </w:rPr>
  </w:style>
  <w:style w:type="character" w:customStyle="1" w:styleId="EndNoteBibliographyChar">
    <w:name w:val="EndNote Bibliography Char"/>
    <w:basedOn w:val="ListParagraphChar"/>
    <w:link w:val="EndNoteBibliography"/>
    <w:rsid w:val="00D01991"/>
    <w:rPr>
      <w:rFonts w:ascii="Calibri" w:eastAsiaTheme="minorHAnsi" w:hAnsi="Calibri" w:cstheme="minorBidi"/>
      <w:noProof/>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21F8-42A8-481D-8DF1-2216AFE0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11880</Words>
  <Characters>62489</Characters>
  <Application>Microsoft Office Word</Application>
  <DocSecurity>0</DocSecurity>
  <Lines>1179</Lines>
  <Paragraphs>434</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73935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7</cp:revision>
  <cp:lastPrinted>2016-08-01T16:40:00Z</cp:lastPrinted>
  <dcterms:created xsi:type="dcterms:W3CDTF">2016-08-01T16:36:00Z</dcterms:created>
  <dcterms:modified xsi:type="dcterms:W3CDTF">2016-08-01T16:40:00Z</dcterms:modified>
</cp:coreProperties>
</file>