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6B" w:rsidRDefault="003C1E6B" w:rsidP="003C1E6B">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C2168A">
        <w:rPr>
          <w:rFonts w:ascii="Times New Roman" w:hAnsi="Times New Roman"/>
          <w:sz w:val="24"/>
          <w:szCs w:val="24"/>
        </w:rPr>
        <w:t>Sciences Vol 20 No 4 (2016): 955 - 964</w:t>
      </w:r>
      <w:bookmarkStart w:id="0" w:name="_GoBack"/>
      <w:bookmarkEnd w:id="0"/>
    </w:p>
    <w:p w:rsidR="003C1E6B" w:rsidRDefault="003C1E6B" w:rsidP="003C1E6B">
      <w:pPr>
        <w:spacing w:after="0" w:line="240" w:lineRule="auto"/>
        <w:rPr>
          <w:rFonts w:ascii="Times New Roman" w:hAnsi="Times New Roman"/>
          <w:sz w:val="24"/>
          <w:szCs w:val="24"/>
        </w:rPr>
      </w:pPr>
    </w:p>
    <w:p w:rsidR="003C1E6B" w:rsidRDefault="003C1E6B" w:rsidP="003C1E6B">
      <w:pPr>
        <w:spacing w:after="0" w:line="240" w:lineRule="auto"/>
        <w:rPr>
          <w:rFonts w:ascii="Times New Roman" w:hAnsi="Times New Roman"/>
          <w:sz w:val="24"/>
          <w:szCs w:val="24"/>
        </w:rPr>
      </w:pPr>
    </w:p>
    <w:p w:rsidR="003C1E6B" w:rsidRPr="003C1E6B" w:rsidRDefault="003C1E6B" w:rsidP="003C1E6B">
      <w:pPr>
        <w:spacing w:after="0" w:line="240" w:lineRule="auto"/>
        <w:rPr>
          <w:rFonts w:ascii="Times New Roman" w:hAnsi="Times New Roman"/>
          <w:sz w:val="24"/>
          <w:szCs w:val="24"/>
        </w:rPr>
      </w:pPr>
    </w:p>
    <w:p w:rsidR="003C1E6B" w:rsidRDefault="003C1E6B" w:rsidP="003C1E6B">
      <w:pPr>
        <w:spacing w:after="0" w:line="240" w:lineRule="auto"/>
        <w:jc w:val="center"/>
        <w:rPr>
          <w:rFonts w:ascii="Times New Roman" w:hAnsi="Times New Roman"/>
          <w:sz w:val="28"/>
          <w:szCs w:val="28"/>
        </w:rPr>
      </w:pPr>
      <w:r w:rsidRPr="001D31A8">
        <w:rPr>
          <w:rFonts w:ascii="Times New Roman" w:hAnsi="Times New Roman"/>
          <w:sz w:val="28"/>
          <w:szCs w:val="28"/>
        </w:rPr>
        <w:t xml:space="preserve">ENERGY MANAGEMENT STRATEGY FOR </w:t>
      </w:r>
    </w:p>
    <w:p w:rsidR="003C1E6B" w:rsidRPr="001D31A8" w:rsidRDefault="003C1E6B" w:rsidP="003C1E6B">
      <w:pPr>
        <w:spacing w:after="0" w:line="240" w:lineRule="auto"/>
        <w:jc w:val="center"/>
        <w:rPr>
          <w:rFonts w:ascii="Times New Roman" w:hAnsi="Times New Roman"/>
          <w:sz w:val="28"/>
          <w:szCs w:val="28"/>
        </w:rPr>
      </w:pPr>
      <w:r w:rsidRPr="001D31A8">
        <w:rPr>
          <w:rFonts w:ascii="Times New Roman" w:hAnsi="Times New Roman"/>
          <w:sz w:val="28"/>
          <w:szCs w:val="28"/>
        </w:rPr>
        <w:t>A F</w:t>
      </w:r>
      <w:r>
        <w:rPr>
          <w:rFonts w:ascii="Times New Roman" w:hAnsi="Times New Roman"/>
          <w:sz w:val="28"/>
          <w:szCs w:val="28"/>
        </w:rPr>
        <w:t xml:space="preserve">UEL </w:t>
      </w:r>
      <w:r w:rsidRPr="001D31A8">
        <w:rPr>
          <w:rFonts w:ascii="Times New Roman" w:hAnsi="Times New Roman"/>
          <w:sz w:val="28"/>
          <w:szCs w:val="28"/>
        </w:rPr>
        <w:t>C</w:t>
      </w:r>
      <w:r>
        <w:rPr>
          <w:rFonts w:ascii="Times New Roman" w:hAnsi="Times New Roman"/>
          <w:sz w:val="28"/>
          <w:szCs w:val="28"/>
        </w:rPr>
        <w:t>ELL</w:t>
      </w:r>
      <w:r w:rsidRPr="001D31A8">
        <w:rPr>
          <w:rFonts w:ascii="Times New Roman" w:hAnsi="Times New Roman"/>
          <w:sz w:val="28"/>
          <w:szCs w:val="28"/>
        </w:rPr>
        <w:t>/U</w:t>
      </w:r>
      <w:r>
        <w:rPr>
          <w:rFonts w:ascii="Times New Roman" w:hAnsi="Times New Roman"/>
          <w:sz w:val="28"/>
          <w:szCs w:val="28"/>
        </w:rPr>
        <w:t>LTRA</w:t>
      </w:r>
      <w:r w:rsidRPr="001D31A8">
        <w:rPr>
          <w:rFonts w:ascii="Times New Roman" w:hAnsi="Times New Roman"/>
          <w:sz w:val="28"/>
          <w:szCs w:val="28"/>
        </w:rPr>
        <w:t>C</w:t>
      </w:r>
      <w:r>
        <w:rPr>
          <w:rFonts w:ascii="Times New Roman" w:hAnsi="Times New Roman"/>
          <w:sz w:val="28"/>
          <w:szCs w:val="28"/>
        </w:rPr>
        <w:t>APASITOR</w:t>
      </w:r>
      <w:r w:rsidRPr="001D31A8">
        <w:rPr>
          <w:rFonts w:ascii="Times New Roman" w:hAnsi="Times New Roman"/>
          <w:sz w:val="28"/>
          <w:szCs w:val="28"/>
        </w:rPr>
        <w:t>/B</w:t>
      </w:r>
      <w:r>
        <w:rPr>
          <w:rFonts w:ascii="Times New Roman" w:hAnsi="Times New Roman"/>
          <w:sz w:val="28"/>
          <w:szCs w:val="28"/>
        </w:rPr>
        <w:t xml:space="preserve">ATTERY HYBRID SYSTEM FOR </w:t>
      </w:r>
      <w:r w:rsidRPr="001D31A8">
        <w:rPr>
          <w:rFonts w:ascii="Times New Roman" w:hAnsi="Times New Roman"/>
          <w:sz w:val="28"/>
          <w:szCs w:val="28"/>
        </w:rPr>
        <w:t>PORTABLE APPLICATIONS</w:t>
      </w:r>
    </w:p>
    <w:p w:rsidR="003C1E6B" w:rsidRPr="00F447A7" w:rsidRDefault="003C1E6B" w:rsidP="003C1E6B">
      <w:pPr>
        <w:spacing w:after="0" w:line="240" w:lineRule="auto"/>
        <w:jc w:val="center"/>
        <w:rPr>
          <w:rFonts w:ascii="Times New Roman" w:hAnsi="Times New Roman"/>
          <w:noProof/>
          <w:sz w:val="24"/>
          <w:szCs w:val="24"/>
          <w:lang w:bidi="ar-SA"/>
        </w:rPr>
      </w:pPr>
    </w:p>
    <w:p w:rsidR="003C1E6B" w:rsidRDefault="003C1E6B" w:rsidP="003C1E6B">
      <w:pPr>
        <w:spacing w:after="0" w:line="240" w:lineRule="auto"/>
        <w:jc w:val="center"/>
        <w:rPr>
          <w:rFonts w:ascii="Times New Roman" w:hAnsi="Times New Roman"/>
          <w:sz w:val="24"/>
          <w:szCs w:val="24"/>
          <w:lang w:val="es-ES"/>
        </w:rPr>
      </w:pPr>
      <w:r w:rsidRPr="00A822BC">
        <w:rPr>
          <w:rFonts w:ascii="Times New Roman" w:hAnsi="Times New Roman"/>
          <w:sz w:val="24"/>
          <w:szCs w:val="24"/>
          <w:lang w:val="es-ES"/>
        </w:rPr>
        <w:t>(Strategi Penguru</w:t>
      </w:r>
      <w:r>
        <w:rPr>
          <w:rFonts w:ascii="Times New Roman" w:hAnsi="Times New Roman"/>
          <w:sz w:val="24"/>
          <w:szCs w:val="24"/>
          <w:lang w:val="es-ES"/>
        </w:rPr>
        <w:t>san Tenaga bagi Sistem Hibrid Sel Bahan Api/</w:t>
      </w:r>
      <w:r w:rsidRPr="008643F1">
        <w:t xml:space="preserve"> </w:t>
      </w:r>
      <w:r w:rsidRPr="008643F1">
        <w:rPr>
          <w:rFonts w:ascii="Times New Roman" w:hAnsi="Times New Roman"/>
          <w:sz w:val="24"/>
          <w:szCs w:val="24"/>
          <w:lang w:val="es-ES"/>
        </w:rPr>
        <w:t>Ultrakapasitor</w:t>
      </w:r>
      <w:r>
        <w:rPr>
          <w:rFonts w:ascii="Times New Roman" w:hAnsi="Times New Roman"/>
          <w:sz w:val="24"/>
          <w:szCs w:val="24"/>
          <w:lang w:val="es-ES"/>
        </w:rPr>
        <w:t>/Bateri</w:t>
      </w:r>
      <w:r w:rsidRPr="00A822BC">
        <w:rPr>
          <w:rFonts w:ascii="Times New Roman" w:hAnsi="Times New Roman"/>
          <w:sz w:val="24"/>
          <w:szCs w:val="24"/>
          <w:lang w:val="es-ES"/>
        </w:rPr>
        <w:t xml:space="preserve"> </w:t>
      </w:r>
    </w:p>
    <w:p w:rsidR="003C1E6B" w:rsidRPr="00A822BC" w:rsidRDefault="003C1E6B" w:rsidP="003C1E6B">
      <w:pPr>
        <w:spacing w:after="0" w:line="240" w:lineRule="auto"/>
        <w:jc w:val="center"/>
        <w:rPr>
          <w:rFonts w:ascii="Times New Roman" w:hAnsi="Times New Roman"/>
          <w:sz w:val="24"/>
          <w:szCs w:val="24"/>
          <w:lang w:val="es-ES"/>
        </w:rPr>
      </w:pPr>
      <w:r w:rsidRPr="00A822BC">
        <w:rPr>
          <w:rFonts w:ascii="Times New Roman" w:hAnsi="Times New Roman"/>
          <w:sz w:val="24"/>
          <w:szCs w:val="24"/>
          <w:lang w:val="es-ES"/>
        </w:rPr>
        <w:t>untuk Aplikasi Mudah Alih)</w:t>
      </w:r>
    </w:p>
    <w:p w:rsidR="003C1E6B" w:rsidRPr="00F447A7" w:rsidRDefault="003C1E6B" w:rsidP="003C1E6B">
      <w:pPr>
        <w:spacing w:after="0" w:line="240" w:lineRule="auto"/>
        <w:jc w:val="center"/>
        <w:rPr>
          <w:rFonts w:ascii="Times New Roman" w:hAnsi="Times New Roman"/>
          <w:noProof/>
          <w:sz w:val="20"/>
          <w:szCs w:val="20"/>
          <w:lang w:bidi="ar-SA"/>
        </w:rPr>
      </w:pPr>
    </w:p>
    <w:p w:rsidR="003C1E6B" w:rsidRPr="008643F1" w:rsidRDefault="003C1E6B" w:rsidP="003C1E6B">
      <w:pPr>
        <w:spacing w:after="0" w:line="240" w:lineRule="auto"/>
        <w:jc w:val="center"/>
        <w:rPr>
          <w:rFonts w:ascii="Times New Roman" w:hAnsi="Times New Roman"/>
          <w:bCs/>
          <w:sz w:val="20"/>
          <w:szCs w:val="20"/>
        </w:rPr>
      </w:pPr>
      <w:r w:rsidRPr="008643F1">
        <w:rPr>
          <w:rFonts w:ascii="Times New Roman" w:hAnsi="Times New Roman"/>
          <w:bCs/>
          <w:sz w:val="20"/>
          <w:szCs w:val="20"/>
        </w:rPr>
        <w:t>Siti Afiqah Abd. Hamid</w:t>
      </w:r>
      <w:r w:rsidRPr="008643F1">
        <w:rPr>
          <w:rFonts w:ascii="Times New Roman" w:hAnsi="Times New Roman"/>
          <w:bCs/>
          <w:sz w:val="20"/>
          <w:szCs w:val="20"/>
          <w:vertAlign w:val="superscript"/>
        </w:rPr>
        <w:t>1</w:t>
      </w:r>
      <w:r w:rsidRPr="008643F1">
        <w:rPr>
          <w:rFonts w:ascii="Times New Roman" w:hAnsi="Times New Roman"/>
          <w:bCs/>
          <w:sz w:val="20"/>
          <w:szCs w:val="20"/>
        </w:rPr>
        <w:t xml:space="preserve">, Edy Herianto </w:t>
      </w:r>
      <w:r>
        <w:rPr>
          <w:rFonts w:ascii="Times New Roman" w:hAnsi="Times New Roman"/>
          <w:bCs/>
          <w:sz w:val="20"/>
          <w:szCs w:val="20"/>
        </w:rPr>
        <w:t>Majlan</w:t>
      </w:r>
      <w:r w:rsidRPr="008643F1">
        <w:rPr>
          <w:rFonts w:ascii="Times New Roman" w:hAnsi="Times New Roman"/>
          <w:bCs/>
          <w:sz w:val="20"/>
          <w:szCs w:val="20"/>
          <w:vertAlign w:val="superscript"/>
        </w:rPr>
        <w:t>1</w:t>
      </w:r>
      <w:r w:rsidRPr="008860B2">
        <w:rPr>
          <w:rFonts w:ascii="Times New Roman" w:hAnsi="Times New Roman"/>
          <w:bCs/>
          <w:sz w:val="20"/>
          <w:szCs w:val="20"/>
        </w:rPr>
        <w:t>*</w:t>
      </w:r>
      <w:r w:rsidRPr="008643F1">
        <w:rPr>
          <w:rFonts w:ascii="Times New Roman" w:hAnsi="Times New Roman"/>
          <w:bCs/>
          <w:sz w:val="20"/>
          <w:szCs w:val="20"/>
        </w:rPr>
        <w:t>, Ros Emilia Rosli</w:t>
      </w:r>
      <w:r w:rsidRPr="008643F1">
        <w:rPr>
          <w:rFonts w:ascii="Times New Roman" w:hAnsi="Times New Roman"/>
          <w:bCs/>
          <w:sz w:val="20"/>
          <w:szCs w:val="20"/>
          <w:vertAlign w:val="superscript"/>
        </w:rPr>
        <w:t>1</w:t>
      </w:r>
      <w:r w:rsidRPr="008643F1">
        <w:rPr>
          <w:rFonts w:ascii="Times New Roman" w:hAnsi="Times New Roman"/>
          <w:bCs/>
          <w:sz w:val="20"/>
          <w:szCs w:val="20"/>
        </w:rPr>
        <w:t>, Wan Ramli Wan Daud</w:t>
      </w:r>
      <w:r w:rsidRPr="008643F1">
        <w:rPr>
          <w:rFonts w:ascii="Times New Roman" w:hAnsi="Times New Roman"/>
          <w:bCs/>
          <w:sz w:val="20"/>
          <w:szCs w:val="20"/>
          <w:vertAlign w:val="superscript"/>
        </w:rPr>
        <w:t>1</w:t>
      </w:r>
      <w:r w:rsidRPr="008643F1">
        <w:rPr>
          <w:rFonts w:ascii="Times New Roman" w:hAnsi="Times New Roman"/>
          <w:bCs/>
          <w:sz w:val="20"/>
          <w:szCs w:val="20"/>
        </w:rPr>
        <w:t>,</w:t>
      </w:r>
    </w:p>
    <w:p w:rsidR="003C1E6B" w:rsidRPr="008643F1" w:rsidRDefault="003C1E6B" w:rsidP="003C1E6B">
      <w:pPr>
        <w:spacing w:after="0" w:line="240" w:lineRule="auto"/>
        <w:jc w:val="center"/>
        <w:rPr>
          <w:rFonts w:ascii="Times New Roman" w:hAnsi="Times New Roman"/>
          <w:bCs/>
          <w:sz w:val="20"/>
          <w:szCs w:val="20"/>
          <w:vertAlign w:val="superscript"/>
        </w:rPr>
      </w:pPr>
      <w:r w:rsidRPr="008643F1">
        <w:rPr>
          <w:rFonts w:ascii="Times New Roman" w:hAnsi="Times New Roman"/>
          <w:bCs/>
          <w:sz w:val="20"/>
          <w:szCs w:val="20"/>
        </w:rPr>
        <w:t>Ramizi Mohamed</w:t>
      </w:r>
      <w:r w:rsidRPr="008643F1">
        <w:rPr>
          <w:rFonts w:ascii="Times New Roman" w:hAnsi="Times New Roman"/>
          <w:bCs/>
          <w:sz w:val="20"/>
          <w:szCs w:val="20"/>
          <w:vertAlign w:val="superscript"/>
        </w:rPr>
        <w:t>2</w:t>
      </w:r>
      <w:r w:rsidRPr="008643F1">
        <w:rPr>
          <w:rFonts w:ascii="Times New Roman" w:hAnsi="Times New Roman"/>
          <w:bCs/>
          <w:sz w:val="20"/>
          <w:szCs w:val="20"/>
        </w:rPr>
        <w:t>, Teuku Husaini</w:t>
      </w:r>
      <w:r w:rsidRPr="008643F1">
        <w:rPr>
          <w:rFonts w:ascii="Times New Roman" w:hAnsi="Times New Roman"/>
          <w:bCs/>
          <w:sz w:val="20"/>
          <w:szCs w:val="20"/>
          <w:vertAlign w:val="superscript"/>
        </w:rPr>
        <w:t>1</w:t>
      </w:r>
      <w:r w:rsidRPr="008643F1">
        <w:rPr>
          <w:rFonts w:ascii="Times New Roman" w:hAnsi="Times New Roman"/>
          <w:bCs/>
          <w:sz w:val="20"/>
          <w:szCs w:val="20"/>
        </w:rPr>
        <w:t>, Ramli Sitanggang</w:t>
      </w:r>
      <w:r w:rsidRPr="008643F1">
        <w:rPr>
          <w:rFonts w:ascii="Times New Roman" w:hAnsi="Times New Roman"/>
          <w:bCs/>
          <w:sz w:val="20"/>
          <w:szCs w:val="20"/>
          <w:vertAlign w:val="superscript"/>
        </w:rPr>
        <w:t xml:space="preserve"> 3</w:t>
      </w:r>
    </w:p>
    <w:p w:rsidR="003C1E6B" w:rsidRPr="003C1E6B" w:rsidRDefault="003C1E6B" w:rsidP="003C1E6B">
      <w:pPr>
        <w:spacing w:after="0" w:line="240" w:lineRule="auto"/>
        <w:jc w:val="center"/>
        <w:rPr>
          <w:rFonts w:ascii="Times New Roman" w:hAnsi="Times New Roman"/>
          <w:noProof/>
          <w:sz w:val="20"/>
          <w:szCs w:val="20"/>
          <w:lang w:bidi="ar-SA"/>
        </w:rPr>
      </w:pPr>
    </w:p>
    <w:p w:rsidR="003C1E6B" w:rsidRPr="003C1E6B" w:rsidRDefault="003C1E6B" w:rsidP="003C1E6B">
      <w:pPr>
        <w:spacing w:after="0" w:line="240" w:lineRule="auto"/>
        <w:jc w:val="center"/>
        <w:rPr>
          <w:rFonts w:ascii="Times New Roman" w:hAnsi="Times New Roman"/>
          <w:i/>
          <w:sz w:val="20"/>
          <w:szCs w:val="20"/>
        </w:rPr>
      </w:pPr>
      <w:r w:rsidRPr="003C1E6B">
        <w:rPr>
          <w:rFonts w:ascii="Times New Roman" w:hAnsi="Times New Roman"/>
          <w:i/>
          <w:sz w:val="20"/>
          <w:szCs w:val="20"/>
          <w:vertAlign w:val="superscript"/>
        </w:rPr>
        <w:t>1</w:t>
      </w:r>
      <w:r w:rsidRPr="003C1E6B">
        <w:rPr>
          <w:rFonts w:ascii="Times New Roman" w:hAnsi="Times New Roman"/>
          <w:i/>
          <w:sz w:val="20"/>
          <w:szCs w:val="20"/>
        </w:rPr>
        <w:t>Fuel Cell Institute</w:t>
      </w:r>
    </w:p>
    <w:p w:rsidR="003C1E6B" w:rsidRPr="003C1E6B" w:rsidRDefault="003C1E6B" w:rsidP="003C1E6B">
      <w:pPr>
        <w:spacing w:after="0" w:line="240" w:lineRule="auto"/>
        <w:jc w:val="center"/>
        <w:outlineLvl w:val="0"/>
        <w:rPr>
          <w:rFonts w:ascii="Times New Roman" w:hAnsi="Times New Roman"/>
          <w:i/>
          <w:sz w:val="20"/>
          <w:szCs w:val="20"/>
        </w:rPr>
      </w:pPr>
      <w:r w:rsidRPr="003C1E6B">
        <w:rPr>
          <w:rFonts w:ascii="Times New Roman" w:hAnsi="Times New Roman"/>
          <w:i/>
          <w:sz w:val="20"/>
          <w:szCs w:val="20"/>
          <w:vertAlign w:val="superscript"/>
        </w:rPr>
        <w:t>2</w:t>
      </w:r>
      <w:r w:rsidRPr="003C1E6B">
        <w:rPr>
          <w:rFonts w:ascii="Times New Roman" w:hAnsi="Times New Roman"/>
          <w:i/>
          <w:sz w:val="20"/>
          <w:szCs w:val="20"/>
        </w:rPr>
        <w:t xml:space="preserve">Department of Electrical and System Engineering, Faculty of Engineering &amp; Built Environment </w:t>
      </w:r>
    </w:p>
    <w:p w:rsidR="003C1E6B" w:rsidRPr="003C1E6B" w:rsidRDefault="003C1E6B" w:rsidP="003C1E6B">
      <w:pPr>
        <w:spacing w:after="0" w:line="240" w:lineRule="auto"/>
        <w:jc w:val="center"/>
        <w:outlineLvl w:val="0"/>
        <w:rPr>
          <w:rFonts w:ascii="Times New Roman" w:hAnsi="Times New Roman"/>
          <w:i/>
          <w:sz w:val="20"/>
          <w:szCs w:val="20"/>
        </w:rPr>
      </w:pPr>
      <w:r w:rsidRPr="003C1E6B">
        <w:rPr>
          <w:rFonts w:ascii="Times New Roman" w:hAnsi="Times New Roman"/>
          <w:i/>
          <w:sz w:val="20"/>
          <w:szCs w:val="20"/>
        </w:rPr>
        <w:t>Universiti Kebangsaan Malaysia, 43600 UKM Bangi, Selangor, Malaysia</w:t>
      </w:r>
    </w:p>
    <w:p w:rsidR="003C1E6B" w:rsidRPr="003C1E6B" w:rsidRDefault="003C1E6B" w:rsidP="003C1E6B">
      <w:pPr>
        <w:spacing w:after="0" w:line="240" w:lineRule="auto"/>
        <w:jc w:val="center"/>
        <w:rPr>
          <w:rFonts w:ascii="Times New Roman" w:hAnsi="Times New Roman"/>
          <w:i/>
          <w:sz w:val="20"/>
          <w:szCs w:val="20"/>
        </w:rPr>
      </w:pPr>
      <w:r w:rsidRPr="003C1E6B">
        <w:rPr>
          <w:rFonts w:ascii="Times New Roman" w:hAnsi="Times New Roman"/>
          <w:i/>
          <w:sz w:val="20"/>
          <w:szCs w:val="20"/>
          <w:vertAlign w:val="superscript"/>
        </w:rPr>
        <w:t>3</w:t>
      </w:r>
      <w:r w:rsidRPr="003C1E6B">
        <w:rPr>
          <w:rFonts w:ascii="Times New Roman" w:hAnsi="Times New Roman"/>
          <w:i/>
          <w:sz w:val="20"/>
          <w:szCs w:val="20"/>
        </w:rPr>
        <w:t xml:space="preserve">Department of Chemical Engineering, Faculty of Industrial Engineering, </w:t>
      </w:r>
    </w:p>
    <w:p w:rsidR="003C1E6B" w:rsidRPr="003C1E6B" w:rsidRDefault="003C1E6B" w:rsidP="003C1E6B">
      <w:pPr>
        <w:spacing w:after="0" w:line="240" w:lineRule="auto"/>
        <w:jc w:val="center"/>
        <w:rPr>
          <w:rFonts w:ascii="Times New Roman" w:hAnsi="Times New Roman"/>
          <w:i/>
          <w:color w:val="000000" w:themeColor="text1"/>
          <w:sz w:val="20"/>
          <w:szCs w:val="20"/>
        </w:rPr>
      </w:pPr>
      <w:r w:rsidRPr="003C1E6B">
        <w:rPr>
          <w:rFonts w:ascii="Times New Roman" w:hAnsi="Times New Roman"/>
          <w:i/>
          <w:sz w:val="20"/>
          <w:szCs w:val="20"/>
        </w:rPr>
        <w:t>Universitas Pembangunan Nasional “Veteran” Yogyakarta, Yogyakarta 55283, Indonesia</w:t>
      </w:r>
    </w:p>
    <w:p w:rsidR="003C1E6B" w:rsidRPr="003C1E6B" w:rsidRDefault="003C1E6B" w:rsidP="003C1E6B">
      <w:pPr>
        <w:spacing w:after="0" w:line="240" w:lineRule="auto"/>
        <w:jc w:val="center"/>
        <w:rPr>
          <w:rFonts w:ascii="Times New Roman" w:hAnsi="Times New Roman"/>
          <w:noProof/>
          <w:sz w:val="20"/>
          <w:szCs w:val="20"/>
          <w:lang w:bidi="ar-SA"/>
        </w:rPr>
      </w:pPr>
    </w:p>
    <w:p w:rsidR="003C1E6B" w:rsidRPr="003C1E6B" w:rsidRDefault="003C1E6B" w:rsidP="003C1E6B">
      <w:pPr>
        <w:spacing w:after="0" w:line="240" w:lineRule="auto"/>
        <w:jc w:val="center"/>
        <w:rPr>
          <w:rFonts w:ascii="Times New Roman" w:hAnsi="Times New Roman"/>
          <w:i/>
          <w:noProof/>
          <w:sz w:val="20"/>
          <w:szCs w:val="20"/>
          <w:lang w:bidi="ar-SA"/>
        </w:rPr>
      </w:pPr>
      <w:r w:rsidRPr="003C1E6B">
        <w:rPr>
          <w:rFonts w:ascii="Times New Roman" w:hAnsi="Times New Roman"/>
          <w:i/>
          <w:noProof/>
          <w:sz w:val="20"/>
          <w:szCs w:val="20"/>
          <w:lang w:bidi="ar-SA"/>
        </w:rPr>
        <w:t xml:space="preserve">*Corresponding author: </w:t>
      </w:r>
      <w:r w:rsidRPr="003C1E6B">
        <w:rPr>
          <w:rFonts w:ascii="Times New Roman" w:hAnsi="Times New Roman"/>
          <w:bCs/>
          <w:i/>
          <w:sz w:val="20"/>
          <w:szCs w:val="20"/>
        </w:rPr>
        <w:t>edy@ukm.edu.my</w:t>
      </w:r>
    </w:p>
    <w:p w:rsidR="003C1E6B" w:rsidRPr="003C1E6B" w:rsidRDefault="003C1E6B" w:rsidP="003C1E6B">
      <w:pPr>
        <w:spacing w:after="0" w:line="240" w:lineRule="auto"/>
        <w:jc w:val="center"/>
        <w:rPr>
          <w:rFonts w:ascii="Times New Roman" w:hAnsi="Times New Roman"/>
          <w:noProof/>
          <w:sz w:val="20"/>
          <w:szCs w:val="20"/>
          <w:lang w:bidi="ar-SA"/>
        </w:rPr>
      </w:pPr>
    </w:p>
    <w:p w:rsidR="003C1E6B" w:rsidRPr="003C1E6B" w:rsidRDefault="003C1E6B" w:rsidP="003C1E6B">
      <w:pPr>
        <w:spacing w:after="0" w:line="240" w:lineRule="auto"/>
        <w:jc w:val="center"/>
        <w:rPr>
          <w:rFonts w:ascii="Times New Roman" w:hAnsi="Times New Roman"/>
          <w:noProof/>
          <w:sz w:val="20"/>
          <w:szCs w:val="20"/>
          <w:lang w:bidi="ar-SA"/>
        </w:rPr>
      </w:pPr>
    </w:p>
    <w:p w:rsidR="003C1E6B" w:rsidRPr="003C1E6B" w:rsidRDefault="003C1E6B" w:rsidP="003C1E6B">
      <w:pPr>
        <w:spacing w:after="0" w:line="240" w:lineRule="auto"/>
        <w:jc w:val="center"/>
        <w:rPr>
          <w:rFonts w:ascii="Times New Roman" w:hAnsi="Times New Roman"/>
          <w:noProof/>
          <w:sz w:val="20"/>
          <w:szCs w:val="20"/>
          <w:lang w:bidi="ar-SA"/>
        </w:rPr>
      </w:pPr>
      <w:r w:rsidRPr="003C1E6B">
        <w:rPr>
          <w:rFonts w:ascii="Times New Roman" w:hAnsi="Times New Roman"/>
          <w:noProof/>
          <w:sz w:val="20"/>
          <w:szCs w:val="20"/>
          <w:lang w:bidi="ar-SA"/>
        </w:rPr>
        <w:t>Received: 5 February 2016; Accepted: 22 April 2016</w:t>
      </w:r>
    </w:p>
    <w:p w:rsidR="003C1E6B" w:rsidRPr="003C1E6B" w:rsidRDefault="003C1E6B" w:rsidP="003C1E6B">
      <w:pPr>
        <w:spacing w:after="0" w:line="240" w:lineRule="auto"/>
        <w:jc w:val="center"/>
        <w:rPr>
          <w:rFonts w:ascii="Times New Roman" w:hAnsi="Times New Roman"/>
          <w:noProof/>
          <w:sz w:val="20"/>
          <w:szCs w:val="20"/>
          <w:lang w:bidi="ar-SA"/>
        </w:rPr>
      </w:pPr>
    </w:p>
    <w:p w:rsidR="003C1E6B" w:rsidRPr="003C1E6B" w:rsidRDefault="003C1E6B" w:rsidP="003C1E6B">
      <w:pPr>
        <w:spacing w:after="0" w:line="240" w:lineRule="auto"/>
        <w:jc w:val="center"/>
        <w:rPr>
          <w:rFonts w:ascii="Times New Roman" w:hAnsi="Times New Roman"/>
          <w:noProof/>
          <w:sz w:val="20"/>
          <w:szCs w:val="20"/>
          <w:lang w:bidi="ar-SA"/>
        </w:rPr>
      </w:pPr>
    </w:p>
    <w:p w:rsidR="003C1E6B" w:rsidRPr="003C1E6B" w:rsidRDefault="003C1E6B" w:rsidP="003C1E6B">
      <w:pPr>
        <w:spacing w:after="0" w:line="240" w:lineRule="auto"/>
        <w:jc w:val="center"/>
        <w:rPr>
          <w:rFonts w:ascii="Times New Roman" w:hAnsi="Times New Roman"/>
          <w:b/>
          <w:noProof/>
          <w:sz w:val="20"/>
          <w:szCs w:val="20"/>
          <w:lang w:bidi="ar-SA"/>
        </w:rPr>
      </w:pPr>
      <w:r w:rsidRPr="003C1E6B">
        <w:rPr>
          <w:rFonts w:ascii="Times New Roman" w:hAnsi="Times New Roman"/>
          <w:b/>
          <w:noProof/>
          <w:sz w:val="20"/>
          <w:szCs w:val="20"/>
          <w:lang w:bidi="ar-SA"/>
        </w:rPr>
        <w:t>Abstract</w:t>
      </w:r>
    </w:p>
    <w:p w:rsidR="003C1E6B" w:rsidRPr="003C1E6B" w:rsidRDefault="003C1E6B" w:rsidP="003C1E6B">
      <w:pPr>
        <w:spacing w:after="0" w:line="240" w:lineRule="auto"/>
        <w:jc w:val="both"/>
        <w:rPr>
          <w:rFonts w:ascii="Times New Roman" w:hAnsi="Times New Roman"/>
          <w:sz w:val="20"/>
          <w:szCs w:val="20"/>
        </w:rPr>
      </w:pPr>
      <w:r w:rsidRPr="003C1E6B">
        <w:rPr>
          <w:rFonts w:ascii="Times New Roman" w:hAnsi="Times New Roman"/>
          <w:sz w:val="20"/>
          <w:szCs w:val="20"/>
        </w:rPr>
        <w:t>A proton exchange membrane (PEM) fuel cells (FCs) with ultracapacitor (UC) and battery (BT) hybrid system has fast transient response compare to stand alone FCs. This hybrid system is promising candidates for environmentally friendly alternative energy sources. An energy management system design and control strategy was introduced in this study. The energy management strategy FC/UC/BT hybrid system model has been developed and the control strategy was programmed in the LabVIEW™ environment and implemented using National Instrument (NI) devices. The energy management strategy is able to manage the energy flow between the main power source (FCs) and auxiliary sources (UC and BT). To control the hybrid system and achieved proper performance, a controller circuit was developed with the three energy sources aligned in parallel to deliver the requested power. The developed model demonstrates the proportion power from the FC, UC and BT under various load demand. Experimental results demonstrate that FC/UC/BT hybrid system operated automatically with the varying load condition. The experimental results are presented; showing that the proposed strategy utilized the characteristic of both energy storage devices thus satisfies the load requirement.</w:t>
      </w:r>
    </w:p>
    <w:p w:rsidR="003C1E6B" w:rsidRPr="003C1E6B" w:rsidRDefault="003C1E6B" w:rsidP="003C1E6B">
      <w:pPr>
        <w:spacing w:after="0" w:line="240" w:lineRule="auto"/>
        <w:jc w:val="both"/>
        <w:rPr>
          <w:rFonts w:ascii="Times New Roman" w:hAnsi="Times New Roman"/>
          <w:sz w:val="20"/>
          <w:szCs w:val="20"/>
        </w:rPr>
      </w:pPr>
    </w:p>
    <w:p w:rsidR="003C1E6B" w:rsidRPr="003C1E6B" w:rsidRDefault="003C1E6B" w:rsidP="003C1E6B">
      <w:pPr>
        <w:spacing w:after="0" w:line="240" w:lineRule="auto"/>
        <w:jc w:val="both"/>
        <w:rPr>
          <w:rFonts w:ascii="Times New Roman" w:hAnsi="Times New Roman"/>
          <w:b/>
          <w:noProof/>
          <w:sz w:val="20"/>
          <w:szCs w:val="20"/>
          <w:lang w:bidi="ar-SA"/>
        </w:rPr>
      </w:pPr>
      <w:r w:rsidRPr="003C1E6B">
        <w:rPr>
          <w:rFonts w:ascii="Times New Roman" w:hAnsi="Times New Roman"/>
          <w:b/>
          <w:sz w:val="20"/>
          <w:szCs w:val="20"/>
        </w:rPr>
        <w:t>Keywords:</w:t>
      </w:r>
      <w:r w:rsidRPr="003C1E6B">
        <w:rPr>
          <w:rFonts w:ascii="Times New Roman" w:hAnsi="Times New Roman"/>
          <w:sz w:val="20"/>
          <w:szCs w:val="20"/>
        </w:rPr>
        <w:t xml:space="preserve">  proton exchange membrane fuel cell, ultracapacitor, battery, hybrid energy system, energy management strategy</w:t>
      </w:r>
    </w:p>
    <w:p w:rsidR="003C1E6B" w:rsidRPr="003C1E6B" w:rsidRDefault="003C1E6B" w:rsidP="003C1E6B">
      <w:pPr>
        <w:spacing w:after="0" w:line="240" w:lineRule="auto"/>
        <w:jc w:val="center"/>
        <w:rPr>
          <w:rFonts w:ascii="Times New Roman" w:hAnsi="Times New Roman"/>
          <w:b/>
          <w:noProof/>
          <w:sz w:val="20"/>
          <w:szCs w:val="20"/>
          <w:lang w:bidi="ar-SA"/>
        </w:rPr>
      </w:pPr>
    </w:p>
    <w:p w:rsidR="003C1E6B" w:rsidRPr="003C1E6B" w:rsidRDefault="003C1E6B" w:rsidP="003C1E6B">
      <w:pPr>
        <w:spacing w:after="0" w:line="240" w:lineRule="auto"/>
        <w:jc w:val="center"/>
        <w:rPr>
          <w:rFonts w:ascii="Times New Roman" w:hAnsi="Times New Roman"/>
          <w:b/>
          <w:noProof/>
          <w:sz w:val="20"/>
          <w:szCs w:val="20"/>
          <w:lang w:bidi="ar-SA"/>
        </w:rPr>
      </w:pPr>
      <w:r w:rsidRPr="003C1E6B">
        <w:rPr>
          <w:rFonts w:ascii="Times New Roman" w:hAnsi="Times New Roman"/>
          <w:b/>
          <w:noProof/>
          <w:sz w:val="20"/>
          <w:szCs w:val="20"/>
          <w:lang w:bidi="ar-SA"/>
        </w:rPr>
        <w:t>Abstrak</w:t>
      </w:r>
    </w:p>
    <w:p w:rsidR="003C1E6B" w:rsidRPr="003C1E6B" w:rsidRDefault="003C1E6B" w:rsidP="003C1E6B">
      <w:pPr>
        <w:pStyle w:val="ListParagraph"/>
        <w:spacing w:after="0" w:line="240" w:lineRule="auto"/>
        <w:ind w:left="0"/>
        <w:jc w:val="both"/>
        <w:rPr>
          <w:rFonts w:ascii="Times New Roman" w:hAnsi="Times New Roman"/>
          <w:sz w:val="20"/>
          <w:szCs w:val="20"/>
          <w:lang w:val="es-ES"/>
        </w:rPr>
      </w:pPr>
      <w:r w:rsidRPr="003C1E6B">
        <w:rPr>
          <w:rFonts w:ascii="Times New Roman" w:hAnsi="Times New Roman"/>
          <w:sz w:val="20"/>
          <w:szCs w:val="20"/>
        </w:rPr>
        <w:t xml:space="preserve">Sistem hibrid sel bahan api (FC) membran penukaran proton (PEM) dengan ultrakapasitor (UC) dan bateri (BT) mempunyai tindak balas yang lebih cepat berbanding FC sahaja. Sistem hibrid adalah salah satu sumber tenaga alternatif mesra alam yang amat berpotensi. Satu reka bentuk sistem pengurusan tenaga dan strategi kawalan telah diperkenalkan dalam kajian ini. Model strategi pengurusan tenaga sistem hibrid FC/UC/BT telah dibangunkan dan strategi kawalan telah diprogramkan dalam perisian LabVIEW™ dan dilaksanakan dengan menggunakan peranti instrument Nasional (NI). </w:t>
      </w:r>
      <w:r w:rsidRPr="003C1E6B">
        <w:rPr>
          <w:rFonts w:ascii="Times New Roman" w:hAnsi="Times New Roman"/>
          <w:sz w:val="20"/>
          <w:szCs w:val="20"/>
          <w:lang w:val="es-ES"/>
        </w:rPr>
        <w:t xml:space="preserve">Strategi pengurusan tenaga ini mampu untuk menguruskan aliran tenaga di antara sumber kuasa utama (FC) dan sumber kuasa tambahan lain (UC dan BT). Untuk mengawal sistem hibrid dan mencapai </w:t>
      </w:r>
      <w:r w:rsidRPr="003C1E6B">
        <w:rPr>
          <w:rFonts w:ascii="Times New Roman" w:hAnsi="Times New Roman"/>
          <w:sz w:val="20"/>
          <w:szCs w:val="20"/>
          <w:lang w:val="es-ES"/>
        </w:rPr>
        <w:lastRenderedPageBreak/>
        <w:t>prestasi yang sewajarnya, litar pengawal telah dibangunkan dengan tiga sumber tenaga sejajar selari untuk menyediakan permintaan kuasa. Model yang dibangunkan menunjukkan keseimbangan jumlah kuasa daripada FC, UC dan BT di bawah pelbagai permintaan beban. Keputusan eksperimen menunjukkan bahawa sistem hibrid FC/UC/BT beroperasi secara automatik dengan keadaan beban yang berbeza-beza. Keputusan eksperimen dibentangkan, menunjukkan bahawa strategi yang dicadangkan memanfaatkan ciri kedua-dua sumber kuasa tambahan  dengan itu memenuhi keperluan beban.</w:t>
      </w:r>
    </w:p>
    <w:p w:rsidR="003C1E6B" w:rsidRPr="003C1E6B" w:rsidRDefault="003C1E6B" w:rsidP="003C1E6B">
      <w:pPr>
        <w:spacing w:after="0" w:line="240" w:lineRule="auto"/>
        <w:jc w:val="both"/>
        <w:rPr>
          <w:rFonts w:ascii="Times New Roman" w:hAnsi="Times New Roman"/>
          <w:sz w:val="20"/>
          <w:szCs w:val="20"/>
          <w:lang w:val="es-ES"/>
        </w:rPr>
      </w:pPr>
    </w:p>
    <w:p w:rsidR="00843A70" w:rsidRDefault="003C1E6B" w:rsidP="003C1E6B">
      <w:pPr>
        <w:spacing w:after="0" w:line="240" w:lineRule="auto"/>
        <w:ind w:left="1170" w:hanging="1170"/>
        <w:jc w:val="both"/>
        <w:rPr>
          <w:rFonts w:ascii="Times New Roman" w:hAnsi="Times New Roman"/>
          <w:sz w:val="20"/>
          <w:szCs w:val="20"/>
          <w:lang w:val="es-ES"/>
        </w:rPr>
      </w:pPr>
      <w:r w:rsidRPr="003C1E6B">
        <w:rPr>
          <w:rFonts w:ascii="Times New Roman" w:hAnsi="Times New Roman"/>
          <w:b/>
          <w:sz w:val="20"/>
          <w:szCs w:val="20"/>
          <w:lang w:val="es-ES"/>
        </w:rPr>
        <w:t>Kata kunci:</w:t>
      </w:r>
      <w:r w:rsidRPr="003C1E6B">
        <w:rPr>
          <w:rFonts w:ascii="Times New Roman" w:hAnsi="Times New Roman"/>
          <w:sz w:val="20"/>
          <w:szCs w:val="20"/>
          <w:lang w:val="es-ES"/>
        </w:rPr>
        <w:t xml:space="preserve"> </w:t>
      </w:r>
      <w:r>
        <w:rPr>
          <w:rFonts w:ascii="Times New Roman" w:hAnsi="Times New Roman"/>
          <w:sz w:val="20"/>
          <w:szCs w:val="20"/>
          <w:lang w:val="es-ES"/>
        </w:rPr>
        <w:tab/>
      </w:r>
      <w:r w:rsidRPr="003C1E6B">
        <w:rPr>
          <w:rFonts w:ascii="Times New Roman" w:hAnsi="Times New Roman"/>
          <w:sz w:val="20"/>
          <w:szCs w:val="20"/>
          <w:lang w:val="es-ES"/>
        </w:rPr>
        <w:t>Sel bahan api membran penukaran proton, ultrakapasitor, bateri, sistem tenaga hibrid, strategi pengurusan tenaga</w:t>
      </w:r>
    </w:p>
    <w:p w:rsidR="003C1E6B" w:rsidRDefault="003C1E6B" w:rsidP="003C1E6B">
      <w:pPr>
        <w:spacing w:after="0" w:line="240" w:lineRule="auto"/>
        <w:ind w:left="1170" w:hanging="1170"/>
        <w:jc w:val="both"/>
        <w:rPr>
          <w:rFonts w:ascii="Times New Roman" w:hAnsi="Times New Roman"/>
          <w:sz w:val="18"/>
          <w:szCs w:val="18"/>
          <w:lang w:val="es-ES"/>
        </w:rPr>
      </w:pPr>
    </w:p>
    <w:p w:rsidR="003C1E6B" w:rsidRPr="00F447A7" w:rsidRDefault="003C1E6B" w:rsidP="003C1E6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C1E6B" w:rsidRDefault="003C1E6B" w:rsidP="003C1E6B">
      <w:pPr>
        <w:pStyle w:val="EndNoteBibliography"/>
        <w:numPr>
          <w:ilvl w:val="0"/>
          <w:numId w:val="1"/>
        </w:numPr>
        <w:spacing w:after="0"/>
        <w:ind w:left="360"/>
        <w:rPr>
          <w:sz w:val="20"/>
          <w:szCs w:val="20"/>
        </w:rPr>
      </w:pPr>
      <w:r w:rsidRPr="00602EE3">
        <w:rPr>
          <w:sz w:val="20"/>
          <w:szCs w:val="20"/>
        </w:rPr>
        <w:fldChar w:fldCharType="begin"/>
      </w:r>
      <w:r w:rsidRPr="00602EE3">
        <w:rPr>
          <w:sz w:val="20"/>
          <w:szCs w:val="20"/>
        </w:rPr>
        <w:instrText xml:space="preserve"> ADDIN EN.REFLIST </w:instrText>
      </w:r>
      <w:r w:rsidRPr="00602EE3">
        <w:rPr>
          <w:sz w:val="20"/>
          <w:szCs w:val="20"/>
        </w:rPr>
        <w:fldChar w:fldCharType="separate"/>
      </w:r>
      <w:bookmarkStart w:id="1" w:name="_ENREF_1"/>
      <w:r w:rsidRPr="00602EE3">
        <w:rPr>
          <w:sz w:val="20"/>
          <w:szCs w:val="20"/>
        </w:rPr>
        <w:t xml:space="preserve">Baharuddin, N. A., Rahman, H. </w:t>
      </w:r>
      <w:r>
        <w:rPr>
          <w:sz w:val="20"/>
          <w:szCs w:val="20"/>
        </w:rPr>
        <w:t>A., Muchtar, A., Abu Bakar, S. and</w:t>
      </w:r>
      <w:r w:rsidRPr="00602EE3">
        <w:rPr>
          <w:sz w:val="20"/>
          <w:szCs w:val="20"/>
        </w:rPr>
        <w:t xml:space="preserve"> Huda, A. (2014). Kesan masa pengendapan dan saiz elektrod lawan dalam penghasilan katod komposit LSCF-SDC </w:t>
      </w:r>
      <w:r>
        <w:rPr>
          <w:sz w:val="20"/>
          <w:szCs w:val="20"/>
        </w:rPr>
        <w:t>k</w:t>
      </w:r>
      <w:r w:rsidRPr="00602EE3">
        <w:rPr>
          <w:sz w:val="20"/>
          <w:szCs w:val="20"/>
        </w:rPr>
        <w:t xml:space="preserve">arbonat untuk SOFC. </w:t>
      </w:r>
      <w:r w:rsidRPr="00602EE3">
        <w:rPr>
          <w:i/>
          <w:sz w:val="20"/>
          <w:szCs w:val="20"/>
        </w:rPr>
        <w:t>Sains Malaysiana,</w:t>
      </w:r>
      <w:r w:rsidRPr="00602EE3">
        <w:rPr>
          <w:sz w:val="20"/>
          <w:szCs w:val="20"/>
        </w:rPr>
        <w:t xml:space="preserve"> 43(4): 595</w:t>
      </w:r>
      <w:r>
        <w:rPr>
          <w:sz w:val="20"/>
          <w:szCs w:val="20"/>
        </w:rPr>
        <w:t xml:space="preserve"> </w:t>
      </w:r>
      <w:r w:rsidRPr="00602EE3">
        <w:rPr>
          <w:sz w:val="20"/>
          <w:szCs w:val="20"/>
        </w:rPr>
        <w:t>-</w:t>
      </w:r>
      <w:r>
        <w:rPr>
          <w:sz w:val="20"/>
          <w:szCs w:val="20"/>
        </w:rPr>
        <w:t xml:space="preserve"> </w:t>
      </w:r>
      <w:r w:rsidRPr="00602EE3">
        <w:rPr>
          <w:sz w:val="20"/>
          <w:szCs w:val="20"/>
        </w:rPr>
        <w:t>601.</w:t>
      </w:r>
      <w:bookmarkStart w:id="2" w:name="_ENREF_2"/>
      <w:bookmarkEnd w:id="1"/>
    </w:p>
    <w:p w:rsidR="003C1E6B" w:rsidRDefault="003C1E6B" w:rsidP="003C1E6B">
      <w:pPr>
        <w:pStyle w:val="EndNoteBibliography"/>
        <w:numPr>
          <w:ilvl w:val="0"/>
          <w:numId w:val="1"/>
        </w:numPr>
        <w:spacing w:after="0"/>
        <w:ind w:left="360"/>
        <w:rPr>
          <w:sz w:val="20"/>
          <w:szCs w:val="20"/>
        </w:rPr>
      </w:pPr>
      <w:r w:rsidRPr="008C5FE2">
        <w:rPr>
          <w:sz w:val="20"/>
          <w:szCs w:val="20"/>
        </w:rPr>
        <w:t xml:space="preserve">Juhana Jaafar, Ismail, A. F., Matsuura, T. and Mohd Norddin, M. N. A. (2013). Stability of SPEEK-triaminopyrimide polymer electrolyte membrane for direct methanol fuel cell application. </w:t>
      </w:r>
      <w:r w:rsidRPr="008C5FE2">
        <w:rPr>
          <w:i/>
          <w:sz w:val="20"/>
          <w:szCs w:val="20"/>
        </w:rPr>
        <w:t>Sains Malaysiana,</w:t>
      </w:r>
      <w:r w:rsidRPr="008C5FE2">
        <w:rPr>
          <w:sz w:val="20"/>
          <w:szCs w:val="20"/>
        </w:rPr>
        <w:t xml:space="preserve"> 42(11): 1671 - 1677.</w:t>
      </w:r>
      <w:bookmarkStart w:id="3" w:name="_ENREF_3"/>
      <w:bookmarkEnd w:id="2"/>
    </w:p>
    <w:p w:rsidR="003C1E6B" w:rsidRDefault="003C1E6B" w:rsidP="003C1E6B">
      <w:pPr>
        <w:pStyle w:val="EndNoteBibliography"/>
        <w:numPr>
          <w:ilvl w:val="0"/>
          <w:numId w:val="1"/>
        </w:numPr>
        <w:spacing w:after="0"/>
        <w:ind w:left="360"/>
        <w:rPr>
          <w:sz w:val="20"/>
          <w:szCs w:val="20"/>
        </w:rPr>
      </w:pPr>
      <w:r w:rsidRPr="008C5FE2">
        <w:rPr>
          <w:sz w:val="20"/>
          <w:szCs w:val="20"/>
        </w:rPr>
        <w:t xml:space="preserve">Ahmad, A. A., Othman, R., Yusof, F. and Wahab, M. F. A. (2014). A Hybrid enzymatic zinc-air fuel cell. </w:t>
      </w:r>
      <w:r w:rsidRPr="008C5FE2">
        <w:rPr>
          <w:i/>
          <w:sz w:val="20"/>
          <w:szCs w:val="20"/>
        </w:rPr>
        <w:t>Sains Malaysiana,</w:t>
      </w:r>
      <w:r w:rsidRPr="008C5FE2">
        <w:rPr>
          <w:sz w:val="20"/>
          <w:szCs w:val="20"/>
        </w:rPr>
        <w:t xml:space="preserve"> 43(3): 459 - 465.</w:t>
      </w:r>
      <w:bookmarkStart w:id="4" w:name="_ENREF_4"/>
      <w:bookmarkEnd w:id="3"/>
    </w:p>
    <w:p w:rsidR="003C1E6B" w:rsidRDefault="003C1E6B" w:rsidP="003C1E6B">
      <w:pPr>
        <w:pStyle w:val="EndNoteBibliography"/>
        <w:numPr>
          <w:ilvl w:val="0"/>
          <w:numId w:val="1"/>
        </w:numPr>
        <w:spacing w:after="0"/>
        <w:ind w:left="360"/>
        <w:rPr>
          <w:sz w:val="20"/>
          <w:szCs w:val="20"/>
        </w:rPr>
      </w:pPr>
      <w:r w:rsidRPr="008C5FE2">
        <w:rPr>
          <w:sz w:val="20"/>
          <w:szCs w:val="20"/>
        </w:rPr>
        <w:t xml:space="preserve">Arifin, K., Wan Ramli Wan, D. and Mohammad, K. (2014). A novel ruthenium-tungsten bimetallic complex dye-sensitizer for photoelectrochemical cells application. </w:t>
      </w:r>
      <w:r w:rsidRPr="008C5FE2">
        <w:rPr>
          <w:i/>
          <w:sz w:val="20"/>
          <w:szCs w:val="20"/>
        </w:rPr>
        <w:t>Sains Malaysiana,</w:t>
      </w:r>
      <w:r w:rsidRPr="008C5FE2">
        <w:rPr>
          <w:sz w:val="20"/>
          <w:szCs w:val="20"/>
        </w:rPr>
        <w:t xml:space="preserve"> 43(1): 95 - 101.</w:t>
      </w:r>
      <w:bookmarkStart w:id="5" w:name="_ENREF_5"/>
      <w:bookmarkEnd w:id="4"/>
    </w:p>
    <w:p w:rsidR="003C1E6B" w:rsidRDefault="003C1E6B" w:rsidP="003C1E6B">
      <w:pPr>
        <w:pStyle w:val="EndNoteBibliography"/>
        <w:numPr>
          <w:ilvl w:val="0"/>
          <w:numId w:val="1"/>
        </w:numPr>
        <w:spacing w:after="0"/>
        <w:ind w:left="360"/>
        <w:rPr>
          <w:sz w:val="20"/>
          <w:szCs w:val="20"/>
        </w:rPr>
      </w:pPr>
      <w:r w:rsidRPr="008C5FE2">
        <w:rPr>
          <w:sz w:val="20"/>
          <w:szCs w:val="20"/>
        </w:rPr>
        <w:t xml:space="preserve">Panuh, D., Muchtar, A., Norhamidi, M., Majlan, E. H. and Wan Ramli. W. D. (2014). Elektrolit dwi lapisan Sm0.2Ce0.8O1.90 (SDC)/ Y0.25Bi0.75O1.5 (YSB) untuk sel fuel oksida pepejal bersuhu sederhana. </w:t>
      </w:r>
      <w:r w:rsidRPr="008C5FE2">
        <w:rPr>
          <w:i/>
          <w:sz w:val="20"/>
          <w:szCs w:val="20"/>
        </w:rPr>
        <w:t>Sains Malaysiana,</w:t>
      </w:r>
      <w:r w:rsidRPr="008C5FE2">
        <w:rPr>
          <w:sz w:val="20"/>
          <w:szCs w:val="20"/>
        </w:rPr>
        <w:t xml:space="preserve"> 43(11): 1769 - 1774.</w:t>
      </w:r>
      <w:bookmarkStart w:id="6" w:name="_ENREF_6"/>
      <w:bookmarkEnd w:id="5"/>
    </w:p>
    <w:p w:rsidR="003C1E6B" w:rsidRDefault="003C1E6B" w:rsidP="003C1E6B">
      <w:pPr>
        <w:pStyle w:val="EndNoteBibliography"/>
        <w:numPr>
          <w:ilvl w:val="0"/>
          <w:numId w:val="1"/>
        </w:numPr>
        <w:spacing w:after="0"/>
        <w:ind w:left="360"/>
        <w:rPr>
          <w:sz w:val="20"/>
          <w:szCs w:val="20"/>
        </w:rPr>
      </w:pPr>
      <w:r w:rsidRPr="008C5FE2">
        <w:rPr>
          <w:sz w:val="20"/>
          <w:szCs w:val="20"/>
        </w:rPr>
        <w:t xml:space="preserve">Taniguchi, A., Akita, T., Yasuda, K. and Miyazaki, Y. (2004). Analysis of electrocatalyst degradation in PEMFC caused by cell reversal during fuel starvation. </w:t>
      </w:r>
      <w:r w:rsidRPr="008C5FE2">
        <w:rPr>
          <w:i/>
          <w:sz w:val="20"/>
          <w:szCs w:val="20"/>
        </w:rPr>
        <w:t>Journal of Power Sources,</w:t>
      </w:r>
      <w:r w:rsidRPr="008C5FE2">
        <w:rPr>
          <w:sz w:val="20"/>
          <w:szCs w:val="20"/>
        </w:rPr>
        <w:t xml:space="preserve"> 130(1-2): 42 - 49.</w:t>
      </w:r>
      <w:bookmarkStart w:id="7" w:name="_ENREF_7"/>
      <w:bookmarkEnd w:id="6"/>
    </w:p>
    <w:p w:rsidR="003C1E6B" w:rsidRDefault="003C1E6B" w:rsidP="003C1E6B">
      <w:pPr>
        <w:pStyle w:val="EndNoteBibliography"/>
        <w:numPr>
          <w:ilvl w:val="0"/>
          <w:numId w:val="1"/>
        </w:numPr>
        <w:spacing w:after="0"/>
        <w:ind w:left="360"/>
        <w:rPr>
          <w:sz w:val="20"/>
          <w:szCs w:val="20"/>
        </w:rPr>
      </w:pPr>
      <w:r w:rsidRPr="008C5FE2">
        <w:rPr>
          <w:sz w:val="20"/>
          <w:szCs w:val="20"/>
        </w:rPr>
        <w:t xml:space="preserve">Van Vliet, O. P. R., Kruithof, T., Turkenburg, W. C. and Faaij, A. P. C. (2010). Techno-economic comparison of series hybrid, plug-in hybrid, fuel cell and regular cars. </w:t>
      </w:r>
      <w:r w:rsidRPr="008C5FE2">
        <w:rPr>
          <w:i/>
          <w:sz w:val="20"/>
          <w:szCs w:val="20"/>
        </w:rPr>
        <w:t>Journal of Power Sources,</w:t>
      </w:r>
      <w:r w:rsidRPr="008C5FE2">
        <w:rPr>
          <w:sz w:val="20"/>
          <w:szCs w:val="20"/>
        </w:rPr>
        <w:t xml:space="preserve"> 195(19): 6570 - 6585.</w:t>
      </w:r>
      <w:bookmarkStart w:id="8" w:name="_ENREF_8"/>
      <w:bookmarkEnd w:id="7"/>
    </w:p>
    <w:p w:rsidR="003C1E6B" w:rsidRDefault="003C1E6B" w:rsidP="003C1E6B">
      <w:pPr>
        <w:pStyle w:val="EndNoteBibliography"/>
        <w:numPr>
          <w:ilvl w:val="0"/>
          <w:numId w:val="1"/>
        </w:numPr>
        <w:spacing w:after="0"/>
        <w:ind w:left="360"/>
        <w:rPr>
          <w:sz w:val="20"/>
          <w:szCs w:val="20"/>
        </w:rPr>
      </w:pPr>
      <w:r w:rsidRPr="008C5FE2">
        <w:rPr>
          <w:sz w:val="20"/>
          <w:szCs w:val="20"/>
        </w:rPr>
        <w:t xml:space="preserve">Burke, A. F. (2007). Batteries and ultracapacitors for electric, hybrid, and fuel cell vehicles. </w:t>
      </w:r>
      <w:r w:rsidRPr="008C5FE2">
        <w:rPr>
          <w:i/>
          <w:sz w:val="20"/>
          <w:szCs w:val="20"/>
        </w:rPr>
        <w:t>Proceedings of the IEEE,</w:t>
      </w:r>
      <w:r w:rsidRPr="008C5FE2">
        <w:rPr>
          <w:sz w:val="20"/>
          <w:szCs w:val="20"/>
        </w:rPr>
        <w:t xml:space="preserve"> 95(4): 806 - 820.</w:t>
      </w:r>
      <w:bookmarkStart w:id="9" w:name="_ENREF_9"/>
      <w:bookmarkEnd w:id="8"/>
    </w:p>
    <w:p w:rsidR="003C1E6B" w:rsidRDefault="003C1E6B" w:rsidP="003C1E6B">
      <w:pPr>
        <w:pStyle w:val="EndNoteBibliography"/>
        <w:numPr>
          <w:ilvl w:val="0"/>
          <w:numId w:val="1"/>
        </w:numPr>
        <w:spacing w:after="0"/>
        <w:ind w:left="360"/>
        <w:rPr>
          <w:sz w:val="20"/>
          <w:szCs w:val="20"/>
        </w:rPr>
      </w:pPr>
      <w:r w:rsidRPr="008C5FE2">
        <w:rPr>
          <w:sz w:val="20"/>
          <w:szCs w:val="20"/>
        </w:rPr>
        <w:t xml:space="preserve">Hwang, J. J. and Chang, W. R. (2012). Characteristic study on fuel cell/battery hybrid power system on a light electric vehicle. </w:t>
      </w:r>
      <w:r w:rsidRPr="008C5FE2">
        <w:rPr>
          <w:i/>
          <w:sz w:val="20"/>
          <w:szCs w:val="20"/>
        </w:rPr>
        <w:t>Journal of Power Sources,</w:t>
      </w:r>
      <w:r w:rsidRPr="008C5FE2">
        <w:rPr>
          <w:sz w:val="20"/>
          <w:szCs w:val="20"/>
        </w:rPr>
        <w:t xml:space="preserve"> 207: 111 - 119.</w:t>
      </w:r>
      <w:bookmarkStart w:id="10" w:name="_ENREF_10"/>
      <w:bookmarkEnd w:id="9"/>
    </w:p>
    <w:p w:rsidR="003C1E6B" w:rsidRDefault="003C1E6B" w:rsidP="003C1E6B">
      <w:pPr>
        <w:pStyle w:val="EndNoteBibliography"/>
        <w:numPr>
          <w:ilvl w:val="0"/>
          <w:numId w:val="1"/>
        </w:numPr>
        <w:spacing w:after="0"/>
        <w:ind w:left="360"/>
        <w:rPr>
          <w:sz w:val="20"/>
          <w:szCs w:val="20"/>
        </w:rPr>
      </w:pPr>
      <w:r w:rsidRPr="008C5FE2">
        <w:rPr>
          <w:sz w:val="20"/>
          <w:szCs w:val="20"/>
        </w:rPr>
        <w:t xml:space="preserve">Khaligh, A. and Zhihao, L. (2010). Battery, ultracapacitor, fuel cell, and hybrid energy storage systems for electric, hybrid electric, fuel cell, and plug-in hybrid electric vehicles: State of the art. </w:t>
      </w:r>
      <w:r w:rsidRPr="008C5FE2">
        <w:rPr>
          <w:i/>
          <w:sz w:val="20"/>
          <w:szCs w:val="20"/>
        </w:rPr>
        <w:t>IEEE Transactions on Vehicular Technology,</w:t>
      </w:r>
      <w:r w:rsidRPr="008C5FE2">
        <w:rPr>
          <w:sz w:val="20"/>
          <w:szCs w:val="20"/>
        </w:rPr>
        <w:t xml:space="preserve"> 59(6): 2806 - 2814.</w:t>
      </w:r>
      <w:bookmarkStart w:id="11" w:name="_ENREF_11"/>
      <w:bookmarkEnd w:id="10"/>
    </w:p>
    <w:p w:rsidR="003C1E6B" w:rsidRDefault="003C1E6B" w:rsidP="003C1E6B">
      <w:pPr>
        <w:pStyle w:val="EndNoteBibliography"/>
        <w:numPr>
          <w:ilvl w:val="0"/>
          <w:numId w:val="1"/>
        </w:numPr>
        <w:spacing w:after="0"/>
        <w:ind w:left="360"/>
        <w:rPr>
          <w:sz w:val="20"/>
          <w:szCs w:val="20"/>
        </w:rPr>
      </w:pPr>
      <w:r w:rsidRPr="008C5FE2">
        <w:rPr>
          <w:sz w:val="20"/>
          <w:szCs w:val="20"/>
        </w:rPr>
        <w:t xml:space="preserve">Schaltz, E., Khaligh, A. and Rasmussen, P. O. (2008). Investigation of battery/ultracapacitor energy storage rating for a fuel cell hybrid electric vehicle. </w:t>
      </w:r>
      <w:r w:rsidRPr="008C5FE2">
        <w:rPr>
          <w:i/>
          <w:sz w:val="20"/>
          <w:szCs w:val="20"/>
        </w:rPr>
        <w:t>Vehicle Power and Propulsion Conference</w:t>
      </w:r>
      <w:bookmarkEnd w:id="11"/>
      <w:r w:rsidRPr="008C5FE2">
        <w:rPr>
          <w:i/>
          <w:sz w:val="20"/>
          <w:szCs w:val="20"/>
        </w:rPr>
        <w:t xml:space="preserve">: </w:t>
      </w:r>
      <w:r w:rsidRPr="008C5FE2">
        <w:rPr>
          <w:iCs/>
          <w:sz w:val="20"/>
          <w:szCs w:val="20"/>
        </w:rPr>
        <w:t>1- 6.</w:t>
      </w:r>
      <w:bookmarkStart w:id="12" w:name="_ENREF_12"/>
    </w:p>
    <w:p w:rsidR="003C1E6B" w:rsidRDefault="003C1E6B" w:rsidP="003C1E6B">
      <w:pPr>
        <w:pStyle w:val="EndNoteBibliography"/>
        <w:numPr>
          <w:ilvl w:val="0"/>
          <w:numId w:val="1"/>
        </w:numPr>
        <w:spacing w:after="0"/>
        <w:ind w:left="360"/>
        <w:rPr>
          <w:sz w:val="20"/>
          <w:szCs w:val="20"/>
        </w:rPr>
      </w:pPr>
      <w:r w:rsidRPr="008C5FE2">
        <w:rPr>
          <w:sz w:val="20"/>
          <w:szCs w:val="20"/>
        </w:rPr>
        <w:t xml:space="preserve">Erdinc, O., Vural, B. and Uzunoglu, M. (2009). A wavelet-fuzzy logic based energy management strategy for a fuel cell/battery/ultra-capacitor hybrid vehicular power system. </w:t>
      </w:r>
      <w:r w:rsidRPr="008C5FE2">
        <w:rPr>
          <w:i/>
          <w:sz w:val="20"/>
          <w:szCs w:val="20"/>
        </w:rPr>
        <w:t>Journal of Power Sources</w:t>
      </w:r>
      <w:r w:rsidRPr="008C5FE2">
        <w:rPr>
          <w:sz w:val="20"/>
          <w:szCs w:val="20"/>
        </w:rPr>
        <w:t>. 194(1): 369 - 380.</w:t>
      </w:r>
      <w:bookmarkStart w:id="13" w:name="_ENREF_13"/>
      <w:bookmarkEnd w:id="12"/>
    </w:p>
    <w:p w:rsidR="003C1E6B" w:rsidRDefault="003C1E6B" w:rsidP="003C1E6B">
      <w:pPr>
        <w:pStyle w:val="EndNoteBibliography"/>
        <w:numPr>
          <w:ilvl w:val="0"/>
          <w:numId w:val="1"/>
        </w:numPr>
        <w:spacing w:after="0"/>
        <w:ind w:left="360"/>
        <w:rPr>
          <w:sz w:val="20"/>
          <w:szCs w:val="20"/>
        </w:rPr>
      </w:pPr>
      <w:r w:rsidRPr="008C5FE2">
        <w:rPr>
          <w:sz w:val="20"/>
          <w:szCs w:val="20"/>
        </w:rPr>
        <w:t xml:space="preserve">Bernard, J., Hofer, M., Hannesen, U., Toth, A., Tsukada, A., Büchi, F. N. and Dietrich, P. (2011). Fuel cell/battery passive hybrid power source for electric powertrains. </w:t>
      </w:r>
      <w:r w:rsidRPr="008C5FE2">
        <w:rPr>
          <w:i/>
          <w:sz w:val="20"/>
          <w:szCs w:val="20"/>
        </w:rPr>
        <w:t>Journal of Power Sources,</w:t>
      </w:r>
      <w:r w:rsidRPr="008C5FE2">
        <w:rPr>
          <w:sz w:val="20"/>
          <w:szCs w:val="20"/>
        </w:rPr>
        <w:t xml:space="preserve"> 196(14): 5867 - 5872.</w:t>
      </w:r>
      <w:bookmarkStart w:id="14" w:name="_ENREF_14"/>
      <w:bookmarkEnd w:id="13"/>
    </w:p>
    <w:p w:rsidR="003C1E6B" w:rsidRDefault="003C1E6B" w:rsidP="003C1E6B">
      <w:pPr>
        <w:pStyle w:val="EndNoteBibliography"/>
        <w:numPr>
          <w:ilvl w:val="0"/>
          <w:numId w:val="1"/>
        </w:numPr>
        <w:spacing w:after="0"/>
        <w:ind w:left="360"/>
        <w:rPr>
          <w:sz w:val="20"/>
          <w:szCs w:val="20"/>
        </w:rPr>
      </w:pPr>
      <w:r w:rsidRPr="008C5FE2">
        <w:rPr>
          <w:sz w:val="20"/>
          <w:szCs w:val="20"/>
        </w:rPr>
        <w:t xml:space="preserve">Uzunoglu, M. and Alam, M. S. (2007). Dynamic modeling, design and simulation of a PEM fuel cell/ultra-capacitor hybrid system for vehicular applications. </w:t>
      </w:r>
      <w:r w:rsidRPr="008C5FE2">
        <w:rPr>
          <w:i/>
          <w:sz w:val="20"/>
          <w:szCs w:val="20"/>
        </w:rPr>
        <w:t>Energy Conversion and Management,</w:t>
      </w:r>
      <w:r w:rsidRPr="008C5FE2">
        <w:rPr>
          <w:sz w:val="20"/>
          <w:szCs w:val="20"/>
        </w:rPr>
        <w:t xml:space="preserve"> 48(5): 1544 - 1553.</w:t>
      </w:r>
      <w:bookmarkStart w:id="15" w:name="_ENREF_15"/>
      <w:bookmarkEnd w:id="14"/>
    </w:p>
    <w:p w:rsidR="003C1E6B" w:rsidRPr="008C5FE2" w:rsidRDefault="003C1E6B" w:rsidP="003C1E6B">
      <w:pPr>
        <w:pStyle w:val="EndNoteBibliography"/>
        <w:numPr>
          <w:ilvl w:val="0"/>
          <w:numId w:val="1"/>
        </w:numPr>
        <w:spacing w:after="0"/>
        <w:ind w:left="360"/>
        <w:rPr>
          <w:sz w:val="20"/>
          <w:szCs w:val="20"/>
        </w:rPr>
      </w:pPr>
      <w:r w:rsidRPr="008C5FE2">
        <w:rPr>
          <w:sz w:val="20"/>
          <w:szCs w:val="20"/>
        </w:rPr>
        <w:t xml:space="preserve">Zhang, Y. and Zhou, B. (2011). Modeling and control of a portable proton exchange membrane fuel cell–battery power system. </w:t>
      </w:r>
      <w:r w:rsidRPr="008C5FE2">
        <w:rPr>
          <w:i/>
          <w:sz w:val="20"/>
          <w:szCs w:val="20"/>
        </w:rPr>
        <w:t>Journal of Power Sources</w:t>
      </w:r>
      <w:r w:rsidRPr="008C5FE2">
        <w:rPr>
          <w:sz w:val="20"/>
          <w:szCs w:val="20"/>
        </w:rPr>
        <w:t>, 196(20): 8413 - 8423.</w:t>
      </w:r>
      <w:bookmarkEnd w:id="15"/>
    </w:p>
    <w:p w:rsidR="003C1E6B" w:rsidRPr="003C1E6B" w:rsidRDefault="003C1E6B" w:rsidP="003C1E6B">
      <w:pPr>
        <w:spacing w:after="0" w:line="240" w:lineRule="auto"/>
        <w:jc w:val="both"/>
        <w:rPr>
          <w:rFonts w:ascii="Times New Roman" w:hAnsi="Times New Roman"/>
          <w:sz w:val="18"/>
          <w:szCs w:val="18"/>
          <w:lang w:val="es-ES"/>
        </w:rPr>
      </w:pPr>
      <w:r w:rsidRPr="00602EE3">
        <w:rPr>
          <w:rFonts w:ascii="Times New Roman" w:hAnsi="Times New Roman"/>
          <w:sz w:val="20"/>
          <w:szCs w:val="20"/>
        </w:rPr>
        <w:fldChar w:fldCharType="end"/>
      </w:r>
    </w:p>
    <w:sectPr w:rsidR="003C1E6B" w:rsidRPr="003C1E6B" w:rsidSect="003C1E6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D0B2F"/>
    <w:multiLevelType w:val="hybridMultilevel"/>
    <w:tmpl w:val="8AB01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6B"/>
    <w:rsid w:val="003C1E6B"/>
    <w:rsid w:val="00843A70"/>
    <w:rsid w:val="00C2168A"/>
    <w:rsid w:val="00D0718B"/>
    <w:rsid w:val="00D31C7D"/>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6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1E6B"/>
    <w:pPr>
      <w:ind w:left="720"/>
      <w:contextualSpacing/>
    </w:pPr>
  </w:style>
  <w:style w:type="character" w:customStyle="1" w:styleId="ListParagraphChar">
    <w:name w:val="List Paragraph Char"/>
    <w:basedOn w:val="DefaultParagraphFont"/>
    <w:link w:val="ListParagraph"/>
    <w:uiPriority w:val="34"/>
    <w:rsid w:val="003C1E6B"/>
    <w:rPr>
      <w:rFonts w:ascii="Cambria" w:eastAsia="Times New Roman" w:hAnsi="Cambria" w:cs="Times New Roman"/>
      <w:lang w:bidi="en-US"/>
    </w:rPr>
  </w:style>
  <w:style w:type="paragraph" w:customStyle="1" w:styleId="EndNoteBibliography">
    <w:name w:val="EndNote Bibliography"/>
    <w:basedOn w:val="Normal"/>
    <w:link w:val="EndNoteBibliographyChar"/>
    <w:rsid w:val="003C1E6B"/>
    <w:pPr>
      <w:spacing w:line="240" w:lineRule="auto"/>
      <w:jc w:val="both"/>
    </w:pPr>
    <w:rPr>
      <w:rFonts w:ascii="Times New Roman" w:eastAsiaTheme="minorEastAsia" w:hAnsi="Times New Roman"/>
      <w:noProof/>
      <w:lang w:eastAsia="ko-KR"/>
    </w:rPr>
  </w:style>
  <w:style w:type="character" w:customStyle="1" w:styleId="EndNoteBibliographyChar">
    <w:name w:val="EndNote Bibliography Char"/>
    <w:basedOn w:val="ListParagraphChar"/>
    <w:link w:val="EndNoteBibliography"/>
    <w:rsid w:val="003C1E6B"/>
    <w:rPr>
      <w:rFonts w:ascii="Times New Roman" w:eastAsiaTheme="minorEastAsia" w:hAnsi="Times New Roman" w:cs="Times New Roman"/>
      <w:noProof/>
      <w:lang w:eastAsia="ko-KR"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6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1E6B"/>
    <w:pPr>
      <w:ind w:left="720"/>
      <w:contextualSpacing/>
    </w:pPr>
  </w:style>
  <w:style w:type="character" w:customStyle="1" w:styleId="ListParagraphChar">
    <w:name w:val="List Paragraph Char"/>
    <w:basedOn w:val="DefaultParagraphFont"/>
    <w:link w:val="ListParagraph"/>
    <w:uiPriority w:val="34"/>
    <w:rsid w:val="003C1E6B"/>
    <w:rPr>
      <w:rFonts w:ascii="Cambria" w:eastAsia="Times New Roman" w:hAnsi="Cambria" w:cs="Times New Roman"/>
      <w:lang w:bidi="en-US"/>
    </w:rPr>
  </w:style>
  <w:style w:type="paragraph" w:customStyle="1" w:styleId="EndNoteBibliography">
    <w:name w:val="EndNote Bibliography"/>
    <w:basedOn w:val="Normal"/>
    <w:link w:val="EndNoteBibliographyChar"/>
    <w:rsid w:val="003C1E6B"/>
    <w:pPr>
      <w:spacing w:line="240" w:lineRule="auto"/>
      <w:jc w:val="both"/>
    </w:pPr>
    <w:rPr>
      <w:rFonts w:ascii="Times New Roman" w:eastAsiaTheme="minorEastAsia" w:hAnsi="Times New Roman"/>
      <w:noProof/>
      <w:lang w:eastAsia="ko-KR"/>
    </w:rPr>
  </w:style>
  <w:style w:type="character" w:customStyle="1" w:styleId="EndNoteBibliographyChar">
    <w:name w:val="EndNote Bibliography Char"/>
    <w:basedOn w:val="ListParagraphChar"/>
    <w:link w:val="EndNoteBibliography"/>
    <w:rsid w:val="003C1E6B"/>
    <w:rPr>
      <w:rFonts w:ascii="Times New Roman" w:eastAsiaTheme="minorEastAsia" w:hAnsi="Times New Roman" w:cs="Times New Roman"/>
      <w:noProof/>
      <w:lang w:eastAsia="ko-K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2016-07-25T14:46:00Z</dcterms:created>
  <dcterms:modified xsi:type="dcterms:W3CDTF">2016-08-05T01:21:00Z</dcterms:modified>
</cp:coreProperties>
</file>