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236" w:rsidRDefault="006F1236" w:rsidP="006F1236">
      <w:pPr>
        <w:pStyle w:val="TTPTitle"/>
        <w:spacing w:after="0"/>
        <w:jc w:val="left"/>
        <w:rPr>
          <w:rFonts w:ascii="Times New Roman" w:eastAsia="BatangChe" w:hAnsi="Times New Roman" w:cs="Times New Roman"/>
          <w:b w:val="0"/>
          <w:sz w:val="24"/>
          <w:szCs w:val="24"/>
        </w:rPr>
      </w:pPr>
      <w:r>
        <w:rPr>
          <w:rFonts w:ascii="Times New Roman" w:eastAsia="BatangChe" w:hAnsi="Times New Roman" w:cs="Times New Roman"/>
          <w:b w:val="0"/>
          <w:sz w:val="24"/>
          <w:szCs w:val="24"/>
        </w:rPr>
        <w:t>Malaysian Journal of Analytical</w:t>
      </w:r>
      <w:r w:rsidR="00242B69">
        <w:rPr>
          <w:rFonts w:ascii="Times New Roman" w:eastAsia="BatangChe" w:hAnsi="Times New Roman" w:cs="Times New Roman"/>
          <w:b w:val="0"/>
          <w:sz w:val="24"/>
          <w:szCs w:val="24"/>
        </w:rPr>
        <w:t xml:space="preserve"> </w:t>
      </w:r>
      <w:r w:rsidR="00AB6E32">
        <w:rPr>
          <w:rFonts w:ascii="Times New Roman" w:eastAsia="BatangChe" w:hAnsi="Times New Roman" w:cs="Times New Roman"/>
          <w:b w:val="0"/>
          <w:sz w:val="24"/>
          <w:szCs w:val="24"/>
        </w:rPr>
        <w:t>Sciences Vol 20 No 4 (2016): 838 - 843</w:t>
      </w:r>
      <w:bookmarkStart w:id="0" w:name="_GoBack"/>
      <w:bookmarkEnd w:id="0"/>
    </w:p>
    <w:p w:rsidR="006F1236" w:rsidRDefault="006F1236" w:rsidP="006F1236">
      <w:pPr>
        <w:spacing w:after="0" w:line="240" w:lineRule="auto"/>
        <w:rPr>
          <w:rFonts w:eastAsia="BatangChe"/>
          <w:lang w:bidi="ar-SA"/>
        </w:rPr>
      </w:pPr>
    </w:p>
    <w:p w:rsidR="006F1236" w:rsidRDefault="006F1236" w:rsidP="006F1236">
      <w:pPr>
        <w:spacing w:after="0" w:line="240" w:lineRule="auto"/>
        <w:rPr>
          <w:rFonts w:eastAsia="BatangChe"/>
          <w:lang w:bidi="ar-SA"/>
        </w:rPr>
      </w:pPr>
    </w:p>
    <w:p w:rsidR="006F1236" w:rsidRPr="006F1236" w:rsidRDefault="006F1236" w:rsidP="006F1236">
      <w:pPr>
        <w:spacing w:after="0" w:line="240" w:lineRule="auto"/>
        <w:rPr>
          <w:rFonts w:eastAsia="BatangChe"/>
          <w:lang w:bidi="ar-SA"/>
        </w:rPr>
      </w:pPr>
    </w:p>
    <w:p w:rsidR="006F1236" w:rsidRDefault="006F1236" w:rsidP="006F1236">
      <w:pPr>
        <w:pStyle w:val="TTPTitle"/>
        <w:spacing w:after="0"/>
        <w:rPr>
          <w:rFonts w:ascii="Times New Roman" w:eastAsia="BatangChe" w:hAnsi="Times New Roman" w:cs="Times New Roman"/>
          <w:b w:val="0"/>
          <w:sz w:val="28"/>
          <w:szCs w:val="28"/>
        </w:rPr>
      </w:pPr>
      <w:r w:rsidRPr="00852E76">
        <w:rPr>
          <w:rFonts w:ascii="Times New Roman" w:eastAsia="BatangChe" w:hAnsi="Times New Roman" w:cs="Times New Roman"/>
          <w:b w:val="0"/>
          <w:sz w:val="28"/>
          <w:szCs w:val="28"/>
        </w:rPr>
        <w:t>CHARACTERISATION OF CATFISH (</w:t>
      </w:r>
      <w:r w:rsidRPr="00852E76">
        <w:rPr>
          <w:rFonts w:ascii="Times New Roman" w:eastAsia="BatangChe" w:hAnsi="Times New Roman" w:cs="Times New Roman"/>
          <w:b w:val="0"/>
          <w:i/>
          <w:iCs/>
          <w:sz w:val="28"/>
          <w:szCs w:val="28"/>
        </w:rPr>
        <w:t>Clarias batrachus</w:t>
      </w:r>
      <w:r w:rsidRPr="00852E76">
        <w:rPr>
          <w:rFonts w:ascii="Times New Roman" w:eastAsia="BatangChe" w:hAnsi="Times New Roman" w:cs="Times New Roman"/>
          <w:b w:val="0"/>
          <w:sz w:val="28"/>
          <w:szCs w:val="28"/>
        </w:rPr>
        <w:t>) OIL:</w:t>
      </w:r>
      <w:r>
        <w:rPr>
          <w:rFonts w:ascii="Times New Roman" w:eastAsia="BatangChe" w:hAnsi="Times New Roman" w:cs="Times New Roman"/>
          <w:b w:val="0"/>
          <w:sz w:val="28"/>
          <w:szCs w:val="28"/>
        </w:rPr>
        <w:t xml:space="preserve"> </w:t>
      </w:r>
    </w:p>
    <w:p w:rsidR="006F1236" w:rsidRPr="00B31639" w:rsidRDefault="006F1236" w:rsidP="006F1236">
      <w:pPr>
        <w:pStyle w:val="TTPTitle"/>
        <w:spacing w:after="0"/>
        <w:rPr>
          <w:rFonts w:ascii="Times New Roman" w:eastAsia="BatangChe" w:hAnsi="Times New Roman" w:cs="Times New Roman"/>
          <w:b w:val="0"/>
          <w:sz w:val="28"/>
          <w:szCs w:val="28"/>
        </w:rPr>
      </w:pPr>
      <w:r w:rsidRPr="00852E76">
        <w:rPr>
          <w:rFonts w:ascii="Times New Roman" w:hAnsi="Times New Roman" w:cs="Times New Roman"/>
          <w:b w:val="0"/>
          <w:sz w:val="28"/>
          <w:szCs w:val="28"/>
        </w:rPr>
        <w:t>β-CYCLODEXTRIN INCLUSION COMPLEX</w:t>
      </w:r>
    </w:p>
    <w:p w:rsidR="006F1236" w:rsidRPr="00F447A7" w:rsidRDefault="006F1236" w:rsidP="006F1236">
      <w:pPr>
        <w:spacing w:after="0" w:line="240" w:lineRule="auto"/>
        <w:jc w:val="center"/>
        <w:rPr>
          <w:rFonts w:ascii="Times New Roman" w:hAnsi="Times New Roman"/>
          <w:noProof/>
          <w:sz w:val="24"/>
          <w:szCs w:val="24"/>
          <w:lang w:bidi="ar-SA"/>
        </w:rPr>
      </w:pPr>
    </w:p>
    <w:p w:rsidR="006F1236" w:rsidRPr="00B31639" w:rsidRDefault="006F1236" w:rsidP="006F1236">
      <w:pPr>
        <w:jc w:val="center"/>
        <w:outlineLvl w:val="0"/>
        <w:rPr>
          <w:rFonts w:ascii="Times New Roman" w:hAnsi="Times New Roman"/>
          <w:sz w:val="24"/>
        </w:rPr>
      </w:pPr>
      <w:r w:rsidRPr="00852E76">
        <w:rPr>
          <w:rFonts w:ascii="Times New Roman" w:hAnsi="Times New Roman"/>
          <w:sz w:val="24"/>
        </w:rPr>
        <w:t>(Pencirian Kompleks Rangkuman Minyak Ikan Keli (</w:t>
      </w:r>
      <w:r w:rsidRPr="00852E76">
        <w:rPr>
          <w:rFonts w:ascii="Times New Roman" w:hAnsi="Times New Roman"/>
          <w:i/>
          <w:sz w:val="24"/>
        </w:rPr>
        <w:t>Clarias batrachus</w:t>
      </w:r>
      <w:r w:rsidRPr="00852E76">
        <w:rPr>
          <w:rFonts w:ascii="Times New Roman" w:hAnsi="Times New Roman"/>
          <w:sz w:val="24"/>
        </w:rPr>
        <w:t>):</w:t>
      </w:r>
      <w:r>
        <w:rPr>
          <w:rFonts w:ascii="Times New Roman" w:hAnsi="Times New Roman"/>
          <w:sz w:val="24"/>
        </w:rPr>
        <w:t xml:space="preserve"> </w:t>
      </w:r>
      <w:r w:rsidRPr="00852E76">
        <w:rPr>
          <w:rFonts w:ascii="Times New Roman" w:hAnsi="Times New Roman"/>
          <w:sz w:val="24"/>
        </w:rPr>
        <w:t>β-siklodekstrin)</w:t>
      </w:r>
    </w:p>
    <w:p w:rsidR="006F1236" w:rsidRPr="00B31639" w:rsidRDefault="006F1236" w:rsidP="006F1236">
      <w:pPr>
        <w:pStyle w:val="Heading1"/>
        <w:spacing w:before="0" w:line="240" w:lineRule="auto"/>
        <w:contextualSpacing w:val="0"/>
        <w:jc w:val="center"/>
        <w:rPr>
          <w:rFonts w:ascii="Times New Roman" w:hAnsi="Times New Roman"/>
          <w:b/>
          <w:smallCaps w:val="0"/>
          <w:sz w:val="20"/>
          <w:szCs w:val="20"/>
        </w:rPr>
      </w:pPr>
      <w:r w:rsidRPr="00B31639">
        <w:rPr>
          <w:rFonts w:ascii="Times New Roman" w:hAnsi="Times New Roman"/>
          <w:smallCaps w:val="0"/>
          <w:sz w:val="20"/>
          <w:szCs w:val="20"/>
        </w:rPr>
        <w:t>Zaibunnisa Abdul Haiyee</w:t>
      </w:r>
      <w:r w:rsidRPr="00B31639">
        <w:rPr>
          <w:rFonts w:ascii="Times New Roman" w:hAnsi="Times New Roman"/>
          <w:smallCaps w:val="0"/>
          <w:sz w:val="20"/>
          <w:szCs w:val="20"/>
          <w:vertAlign w:val="superscript"/>
        </w:rPr>
        <w:t>1</w:t>
      </w:r>
      <w:r w:rsidRPr="00B31639">
        <w:rPr>
          <w:rFonts w:ascii="Times New Roman" w:hAnsi="Times New Roman"/>
          <w:smallCaps w:val="0"/>
          <w:sz w:val="20"/>
          <w:szCs w:val="20"/>
        </w:rPr>
        <w:t>*, Nor Izzatul Adyani Yahya</w:t>
      </w:r>
      <w:r w:rsidRPr="00B31639">
        <w:rPr>
          <w:rFonts w:ascii="Times New Roman" w:hAnsi="Times New Roman"/>
          <w:smallCaps w:val="0"/>
          <w:sz w:val="20"/>
          <w:szCs w:val="20"/>
          <w:vertAlign w:val="superscript"/>
        </w:rPr>
        <w:t>1</w:t>
      </w:r>
      <w:r w:rsidRPr="00B31639">
        <w:rPr>
          <w:rFonts w:ascii="Times New Roman" w:hAnsi="Times New Roman"/>
          <w:smallCaps w:val="0"/>
          <w:sz w:val="20"/>
          <w:szCs w:val="20"/>
        </w:rPr>
        <w:t>, Norizzah Abd Rashid</w:t>
      </w:r>
      <w:r w:rsidRPr="00B31639">
        <w:rPr>
          <w:rFonts w:ascii="Times New Roman" w:hAnsi="Times New Roman"/>
          <w:smallCaps w:val="0"/>
          <w:sz w:val="20"/>
          <w:szCs w:val="20"/>
          <w:vertAlign w:val="superscript"/>
        </w:rPr>
        <w:t>1</w:t>
      </w:r>
      <w:r w:rsidRPr="00B31639">
        <w:rPr>
          <w:rFonts w:ascii="Times New Roman" w:hAnsi="Times New Roman"/>
          <w:smallCaps w:val="0"/>
          <w:sz w:val="20"/>
          <w:szCs w:val="20"/>
        </w:rPr>
        <w:t xml:space="preserve">, </w:t>
      </w:r>
      <w:r>
        <w:rPr>
          <w:rFonts w:ascii="Times New Roman" w:hAnsi="Times New Roman"/>
          <w:smallCaps w:val="0"/>
          <w:sz w:val="20"/>
          <w:szCs w:val="20"/>
        </w:rPr>
        <w:t>Dzulkifly</w:t>
      </w:r>
      <w:r>
        <w:rPr>
          <w:rFonts w:ascii="Times New Roman" w:hAnsi="Times New Roman"/>
          <w:smallCaps w:val="0"/>
          <w:sz w:val="20"/>
          <w:szCs w:val="20"/>
          <w:lang w:val="en-US"/>
        </w:rPr>
        <w:t xml:space="preserve"> </w:t>
      </w:r>
      <w:r w:rsidRPr="00B31639">
        <w:rPr>
          <w:rFonts w:ascii="Times New Roman" w:hAnsi="Times New Roman"/>
          <w:smallCaps w:val="0"/>
          <w:sz w:val="20"/>
          <w:szCs w:val="20"/>
        </w:rPr>
        <w:t>Mat Hashim</w:t>
      </w:r>
      <w:r w:rsidRPr="00B31639">
        <w:rPr>
          <w:rFonts w:ascii="Times New Roman" w:hAnsi="Times New Roman"/>
          <w:smallCaps w:val="0"/>
          <w:sz w:val="20"/>
          <w:szCs w:val="20"/>
          <w:vertAlign w:val="superscript"/>
        </w:rPr>
        <w:t>2</w:t>
      </w:r>
    </w:p>
    <w:p w:rsidR="006F1236" w:rsidRPr="006F1236" w:rsidRDefault="006F1236" w:rsidP="006F1236">
      <w:pPr>
        <w:spacing w:after="0" w:line="240" w:lineRule="auto"/>
        <w:jc w:val="center"/>
        <w:rPr>
          <w:rFonts w:ascii="Times New Roman" w:hAnsi="Times New Roman"/>
          <w:noProof/>
          <w:sz w:val="20"/>
          <w:szCs w:val="20"/>
          <w:lang w:bidi="ar-SA"/>
        </w:rPr>
      </w:pPr>
    </w:p>
    <w:p w:rsidR="006F1236" w:rsidRPr="006F1236" w:rsidRDefault="006F1236" w:rsidP="006F1236">
      <w:pPr>
        <w:spacing w:after="0" w:line="240" w:lineRule="auto"/>
        <w:jc w:val="center"/>
        <w:outlineLvl w:val="0"/>
        <w:rPr>
          <w:rFonts w:ascii="Times New Roman" w:hAnsi="Times New Roman"/>
          <w:i/>
          <w:sz w:val="20"/>
          <w:szCs w:val="20"/>
        </w:rPr>
      </w:pPr>
      <w:r w:rsidRPr="006F1236">
        <w:rPr>
          <w:rFonts w:ascii="Times New Roman" w:hAnsi="Times New Roman"/>
          <w:i/>
          <w:sz w:val="20"/>
          <w:szCs w:val="20"/>
          <w:vertAlign w:val="superscript"/>
        </w:rPr>
        <w:t>1</w:t>
      </w:r>
      <w:r w:rsidRPr="006F1236">
        <w:rPr>
          <w:rFonts w:ascii="Times New Roman" w:hAnsi="Times New Roman"/>
          <w:i/>
          <w:sz w:val="20"/>
          <w:szCs w:val="20"/>
        </w:rPr>
        <w:t xml:space="preserve">Food Technology Programme, Faculty of Applied Sciences, </w:t>
      </w:r>
    </w:p>
    <w:p w:rsidR="006F1236" w:rsidRPr="006F1236" w:rsidRDefault="006F1236" w:rsidP="006F1236">
      <w:pPr>
        <w:spacing w:after="0" w:line="240" w:lineRule="auto"/>
        <w:jc w:val="center"/>
        <w:outlineLvl w:val="0"/>
        <w:rPr>
          <w:rFonts w:ascii="Times New Roman" w:hAnsi="Times New Roman"/>
          <w:i/>
          <w:sz w:val="20"/>
          <w:szCs w:val="20"/>
        </w:rPr>
      </w:pPr>
      <w:r w:rsidRPr="006F1236">
        <w:rPr>
          <w:rFonts w:ascii="Times New Roman" w:hAnsi="Times New Roman"/>
          <w:i/>
          <w:sz w:val="20"/>
          <w:szCs w:val="20"/>
        </w:rPr>
        <w:t>Universiti Teknologi MARA, 40450 Shah Alam, Selangor, Malaysia</w:t>
      </w:r>
    </w:p>
    <w:p w:rsidR="006F1236" w:rsidRPr="006F1236" w:rsidRDefault="006F1236" w:rsidP="006F1236">
      <w:pPr>
        <w:spacing w:after="0" w:line="240" w:lineRule="auto"/>
        <w:jc w:val="center"/>
        <w:rPr>
          <w:rFonts w:ascii="Times New Roman" w:hAnsi="Times New Roman"/>
          <w:i/>
          <w:sz w:val="20"/>
          <w:szCs w:val="20"/>
        </w:rPr>
      </w:pPr>
      <w:r w:rsidRPr="006F1236">
        <w:rPr>
          <w:rFonts w:ascii="Times New Roman" w:hAnsi="Times New Roman"/>
          <w:i/>
          <w:sz w:val="20"/>
          <w:szCs w:val="20"/>
          <w:vertAlign w:val="superscript"/>
        </w:rPr>
        <w:t>2</w:t>
      </w:r>
      <w:r w:rsidRPr="006F1236">
        <w:rPr>
          <w:rFonts w:ascii="Times New Roman" w:hAnsi="Times New Roman"/>
          <w:i/>
          <w:sz w:val="20"/>
          <w:szCs w:val="20"/>
        </w:rPr>
        <w:t xml:space="preserve">Halal Products Research Institute, </w:t>
      </w:r>
    </w:p>
    <w:p w:rsidR="006F1236" w:rsidRPr="006F1236" w:rsidRDefault="006F1236" w:rsidP="006F1236">
      <w:pPr>
        <w:spacing w:after="0" w:line="240" w:lineRule="auto"/>
        <w:jc w:val="center"/>
        <w:rPr>
          <w:rFonts w:ascii="Times New Roman" w:hAnsi="Times New Roman"/>
          <w:i/>
          <w:sz w:val="20"/>
          <w:szCs w:val="20"/>
        </w:rPr>
      </w:pPr>
      <w:r w:rsidRPr="006F1236">
        <w:rPr>
          <w:rFonts w:ascii="Times New Roman" w:hAnsi="Times New Roman"/>
          <w:i/>
          <w:sz w:val="20"/>
          <w:szCs w:val="20"/>
        </w:rPr>
        <w:t>Universiti Putra Malaysia, Putra Infoport, 43400 UPM Serdang, Selangor, Malaysia</w:t>
      </w:r>
    </w:p>
    <w:p w:rsidR="006F1236" w:rsidRPr="006F1236" w:rsidRDefault="006F1236" w:rsidP="006F1236">
      <w:pPr>
        <w:spacing w:after="0" w:line="240" w:lineRule="auto"/>
        <w:jc w:val="center"/>
        <w:rPr>
          <w:rFonts w:ascii="Times New Roman" w:hAnsi="Times New Roman"/>
          <w:i/>
          <w:noProof/>
          <w:sz w:val="20"/>
          <w:szCs w:val="20"/>
          <w:lang w:bidi="ar-SA"/>
        </w:rPr>
      </w:pPr>
    </w:p>
    <w:p w:rsidR="006F1236" w:rsidRPr="006F1236" w:rsidRDefault="006F1236" w:rsidP="006F1236">
      <w:pPr>
        <w:spacing w:after="0" w:line="240" w:lineRule="auto"/>
        <w:jc w:val="center"/>
        <w:outlineLvl w:val="0"/>
        <w:rPr>
          <w:rFonts w:ascii="Times New Roman" w:hAnsi="Times New Roman"/>
          <w:i/>
          <w:sz w:val="20"/>
          <w:szCs w:val="20"/>
        </w:rPr>
      </w:pPr>
      <w:r w:rsidRPr="006F1236">
        <w:rPr>
          <w:rFonts w:ascii="Times New Roman" w:hAnsi="Times New Roman"/>
          <w:i/>
          <w:noProof/>
          <w:sz w:val="20"/>
          <w:szCs w:val="20"/>
          <w:lang w:bidi="ar-SA"/>
        </w:rPr>
        <w:t xml:space="preserve">*Corresponding author: </w:t>
      </w:r>
      <w:r w:rsidRPr="006F1236">
        <w:rPr>
          <w:rFonts w:ascii="Times New Roman" w:hAnsi="Times New Roman"/>
          <w:bCs/>
          <w:i/>
          <w:sz w:val="20"/>
          <w:szCs w:val="20"/>
        </w:rPr>
        <w:t>nisha@salam.uitm.edu.my</w:t>
      </w:r>
    </w:p>
    <w:p w:rsidR="006F1236" w:rsidRPr="006F1236" w:rsidRDefault="006F1236" w:rsidP="006F1236">
      <w:pPr>
        <w:spacing w:after="0" w:line="240" w:lineRule="auto"/>
        <w:jc w:val="center"/>
        <w:rPr>
          <w:rFonts w:ascii="Times New Roman" w:hAnsi="Times New Roman"/>
          <w:noProof/>
          <w:sz w:val="20"/>
          <w:szCs w:val="20"/>
          <w:lang w:bidi="ar-SA"/>
        </w:rPr>
      </w:pPr>
    </w:p>
    <w:p w:rsidR="006F1236" w:rsidRPr="006F1236" w:rsidRDefault="006F1236" w:rsidP="006F1236">
      <w:pPr>
        <w:spacing w:after="0" w:line="240" w:lineRule="auto"/>
        <w:jc w:val="center"/>
        <w:rPr>
          <w:rFonts w:ascii="Times New Roman" w:hAnsi="Times New Roman"/>
          <w:noProof/>
          <w:sz w:val="20"/>
          <w:szCs w:val="20"/>
          <w:lang w:bidi="ar-SA"/>
        </w:rPr>
      </w:pPr>
    </w:p>
    <w:p w:rsidR="006F1236" w:rsidRPr="006F1236" w:rsidRDefault="006F1236" w:rsidP="006F1236">
      <w:pPr>
        <w:spacing w:after="0" w:line="240" w:lineRule="auto"/>
        <w:jc w:val="center"/>
        <w:rPr>
          <w:rFonts w:ascii="Times New Roman" w:hAnsi="Times New Roman"/>
          <w:noProof/>
          <w:sz w:val="20"/>
          <w:szCs w:val="20"/>
          <w:lang w:bidi="ar-SA"/>
        </w:rPr>
      </w:pPr>
      <w:r w:rsidRPr="006F1236">
        <w:rPr>
          <w:rFonts w:ascii="Times New Roman" w:hAnsi="Times New Roman"/>
          <w:noProof/>
          <w:sz w:val="20"/>
          <w:szCs w:val="20"/>
          <w:lang w:bidi="ar-SA"/>
        </w:rPr>
        <w:t>Received: 24 February 2015; Accepted: 27 October 2015</w:t>
      </w:r>
    </w:p>
    <w:p w:rsidR="006F1236" w:rsidRPr="006F1236" w:rsidRDefault="006F1236" w:rsidP="006F1236">
      <w:pPr>
        <w:spacing w:after="0" w:line="240" w:lineRule="auto"/>
        <w:jc w:val="center"/>
        <w:rPr>
          <w:rFonts w:ascii="Times New Roman" w:hAnsi="Times New Roman"/>
          <w:noProof/>
          <w:sz w:val="20"/>
          <w:szCs w:val="20"/>
          <w:lang w:bidi="ar-SA"/>
        </w:rPr>
      </w:pPr>
    </w:p>
    <w:p w:rsidR="006F1236" w:rsidRPr="006F1236" w:rsidRDefault="006F1236" w:rsidP="006F1236">
      <w:pPr>
        <w:spacing w:after="0" w:line="240" w:lineRule="auto"/>
        <w:jc w:val="center"/>
        <w:rPr>
          <w:rFonts w:ascii="Times New Roman" w:hAnsi="Times New Roman"/>
          <w:noProof/>
          <w:sz w:val="20"/>
          <w:szCs w:val="20"/>
          <w:lang w:bidi="ar-SA"/>
        </w:rPr>
      </w:pPr>
    </w:p>
    <w:p w:rsidR="006F1236" w:rsidRPr="006F1236" w:rsidRDefault="006F1236" w:rsidP="006F1236">
      <w:pPr>
        <w:spacing w:after="0" w:line="240" w:lineRule="auto"/>
        <w:jc w:val="center"/>
        <w:rPr>
          <w:rFonts w:ascii="Times New Roman" w:hAnsi="Times New Roman"/>
          <w:b/>
          <w:noProof/>
          <w:sz w:val="20"/>
          <w:szCs w:val="20"/>
          <w:lang w:bidi="ar-SA"/>
        </w:rPr>
      </w:pPr>
      <w:r w:rsidRPr="006F1236">
        <w:rPr>
          <w:rFonts w:ascii="Times New Roman" w:hAnsi="Times New Roman"/>
          <w:b/>
          <w:noProof/>
          <w:sz w:val="20"/>
          <w:szCs w:val="20"/>
          <w:lang w:bidi="ar-SA"/>
        </w:rPr>
        <w:t>Abstract</w:t>
      </w:r>
    </w:p>
    <w:p w:rsidR="006F1236" w:rsidRPr="006F1236" w:rsidRDefault="006F1236" w:rsidP="006F1236">
      <w:pPr>
        <w:spacing w:after="0" w:line="240" w:lineRule="auto"/>
        <w:jc w:val="both"/>
        <w:rPr>
          <w:rFonts w:ascii="Times New Roman" w:hAnsi="Times New Roman"/>
          <w:sz w:val="20"/>
          <w:szCs w:val="20"/>
        </w:rPr>
      </w:pPr>
      <w:r w:rsidRPr="006F1236">
        <w:rPr>
          <w:rFonts w:ascii="Times New Roman" w:hAnsi="Times New Roman"/>
          <w:bCs/>
          <w:sz w:val="20"/>
          <w:szCs w:val="20"/>
        </w:rPr>
        <w:t xml:space="preserve">Catfish is a cheap source of essential omega-3 fatty acids especially </w:t>
      </w:r>
      <w:r w:rsidRPr="006F1236">
        <w:rPr>
          <w:rFonts w:ascii="Times New Roman" w:hAnsi="Times New Roman"/>
          <w:sz w:val="20"/>
          <w:szCs w:val="20"/>
        </w:rPr>
        <w:t>eicosapentaenoic acid (</w:t>
      </w:r>
      <w:r w:rsidRPr="006F1236">
        <w:rPr>
          <w:rFonts w:ascii="Times New Roman" w:hAnsi="Times New Roman"/>
          <w:bCs/>
          <w:sz w:val="20"/>
          <w:szCs w:val="20"/>
        </w:rPr>
        <w:t xml:space="preserve">EPA) and </w:t>
      </w:r>
      <w:r w:rsidRPr="006F1236">
        <w:rPr>
          <w:rFonts w:ascii="Times New Roman" w:hAnsi="Times New Roman"/>
          <w:sz w:val="20"/>
          <w:szCs w:val="20"/>
        </w:rPr>
        <w:t>docosahexaenoic acid</w:t>
      </w:r>
      <w:r w:rsidRPr="006F1236">
        <w:rPr>
          <w:rFonts w:ascii="Times New Roman" w:hAnsi="Times New Roman"/>
          <w:bCs/>
          <w:sz w:val="20"/>
          <w:szCs w:val="20"/>
        </w:rPr>
        <w:t xml:space="preserve"> (DHA). Catfish oil was extracted and clean-up using pressurised liquid extraction (PLE) from the viscera of catfish (</w:t>
      </w:r>
      <w:r w:rsidRPr="006F1236">
        <w:rPr>
          <w:rFonts w:ascii="Times New Roman" w:hAnsi="Times New Roman"/>
          <w:bCs/>
          <w:i/>
          <w:iCs/>
          <w:sz w:val="20"/>
          <w:szCs w:val="20"/>
        </w:rPr>
        <w:t>Clarias batrachus</w:t>
      </w:r>
      <w:r w:rsidRPr="006F1236">
        <w:rPr>
          <w:rFonts w:ascii="Times New Roman" w:hAnsi="Times New Roman"/>
          <w:bCs/>
          <w:sz w:val="20"/>
          <w:szCs w:val="20"/>
        </w:rPr>
        <w:t xml:space="preserve">). However, the characteristics of catfish oils are sticky, strong fishy odour and can easily be oxidised with short shelf-life. In this study, catfish oil was converted into powder by formation of inclusion complex with </w:t>
      </w:r>
      <w:r w:rsidRPr="006F1236">
        <w:rPr>
          <w:rFonts w:ascii="Times New Roman" w:hAnsi="Times New Roman"/>
          <w:sz w:val="20"/>
          <w:szCs w:val="20"/>
        </w:rPr>
        <w:t>β</w:t>
      </w:r>
      <w:r w:rsidRPr="006F1236">
        <w:rPr>
          <w:rFonts w:ascii="Times New Roman" w:hAnsi="Times New Roman"/>
          <w:bCs/>
          <w:sz w:val="20"/>
          <w:szCs w:val="20"/>
        </w:rPr>
        <w:t>–cyclodextrin.</w:t>
      </w:r>
      <w:r w:rsidRPr="006F1236">
        <w:rPr>
          <w:rFonts w:ascii="Times New Roman" w:hAnsi="Times New Roman"/>
          <w:sz w:val="20"/>
          <w:szCs w:val="20"/>
        </w:rPr>
        <w:t xml:space="preserve"> Inclusion complex was prepared by using co-precipitation and kneading methods and compared with physical mixture. The inclusion complex formed were characterised by using field emission scanning electron microscopy (FESEM), differential scanning calorimeter (DSC) and fourier transform infrared spectroscopy (FTIR). FESEM images revealed that inclusion complex using co-precipitation and kneading methods has smaller in crystal sizes and appeared as different morphology compared to physical mixture. DSC proved that co-precipitation method was able to form new solid phase due to shifting of melting point to</w:t>
      </w:r>
      <w:r w:rsidRPr="006F1236">
        <w:rPr>
          <w:rFonts w:ascii="Times New Roman" w:hAnsi="Times New Roman"/>
          <w:strike/>
          <w:sz w:val="20"/>
          <w:szCs w:val="20"/>
        </w:rPr>
        <w:t xml:space="preserve"> </w:t>
      </w:r>
      <w:r w:rsidRPr="006F1236">
        <w:rPr>
          <w:rFonts w:ascii="Times New Roman" w:hAnsi="Times New Roman"/>
          <w:sz w:val="20"/>
          <w:szCs w:val="20"/>
        </w:rPr>
        <w:t>higher temperature (145.22 °C). FTIR supported the result by proving strengthening of carbonyl group (C=O). Therefore, co-precipitation method was able to successfully produce inclusion complex of catfish oil, β-cyclodextrin.</w:t>
      </w:r>
    </w:p>
    <w:p w:rsidR="006F1236" w:rsidRPr="006F1236" w:rsidRDefault="006F1236" w:rsidP="006F1236">
      <w:pPr>
        <w:spacing w:after="0" w:line="240" w:lineRule="auto"/>
        <w:jc w:val="both"/>
        <w:outlineLvl w:val="0"/>
        <w:rPr>
          <w:rFonts w:ascii="Times New Roman" w:hAnsi="Times New Roman"/>
          <w:sz w:val="20"/>
          <w:szCs w:val="20"/>
        </w:rPr>
      </w:pPr>
    </w:p>
    <w:p w:rsidR="006F1236" w:rsidRPr="006F1236" w:rsidRDefault="006F1236" w:rsidP="006F1236">
      <w:pPr>
        <w:pStyle w:val="ListParagraph"/>
        <w:spacing w:after="0" w:line="240" w:lineRule="auto"/>
        <w:ind w:hanging="720"/>
        <w:jc w:val="both"/>
        <w:rPr>
          <w:rFonts w:ascii="Times New Roman" w:hAnsi="Times New Roman"/>
          <w:sz w:val="20"/>
          <w:szCs w:val="20"/>
        </w:rPr>
      </w:pPr>
      <w:r w:rsidRPr="006F1236">
        <w:rPr>
          <w:rFonts w:ascii="Times New Roman" w:hAnsi="Times New Roman"/>
          <w:b/>
          <w:sz w:val="20"/>
          <w:szCs w:val="20"/>
        </w:rPr>
        <w:t>Keywords</w:t>
      </w:r>
      <w:r w:rsidRPr="006F1236">
        <w:rPr>
          <w:rFonts w:ascii="Times New Roman" w:hAnsi="Times New Roman"/>
          <w:sz w:val="20"/>
          <w:szCs w:val="20"/>
        </w:rPr>
        <w:t>:  catfish oil, β-cyclodextrin, co-precipitation, kneading, physical mixture</w:t>
      </w:r>
    </w:p>
    <w:p w:rsidR="006F1236" w:rsidRPr="006F1236" w:rsidRDefault="006F1236" w:rsidP="006F1236">
      <w:pPr>
        <w:spacing w:after="0" w:line="240" w:lineRule="auto"/>
        <w:jc w:val="center"/>
        <w:rPr>
          <w:rFonts w:ascii="Times New Roman" w:hAnsi="Times New Roman"/>
          <w:b/>
          <w:noProof/>
          <w:sz w:val="20"/>
          <w:szCs w:val="20"/>
          <w:lang w:bidi="ar-SA"/>
        </w:rPr>
      </w:pPr>
    </w:p>
    <w:p w:rsidR="006F1236" w:rsidRPr="006F1236" w:rsidRDefault="006F1236" w:rsidP="006F1236">
      <w:pPr>
        <w:spacing w:after="0" w:line="240" w:lineRule="auto"/>
        <w:jc w:val="center"/>
        <w:rPr>
          <w:rFonts w:ascii="Times New Roman" w:hAnsi="Times New Roman"/>
          <w:b/>
          <w:noProof/>
          <w:sz w:val="20"/>
          <w:szCs w:val="20"/>
          <w:lang w:bidi="ar-SA"/>
        </w:rPr>
      </w:pPr>
      <w:r w:rsidRPr="006F1236">
        <w:rPr>
          <w:rFonts w:ascii="Times New Roman" w:hAnsi="Times New Roman"/>
          <w:b/>
          <w:noProof/>
          <w:sz w:val="20"/>
          <w:szCs w:val="20"/>
          <w:lang w:bidi="ar-SA"/>
        </w:rPr>
        <w:t>Abstrak</w:t>
      </w:r>
    </w:p>
    <w:p w:rsidR="006F1236" w:rsidRPr="006F1236" w:rsidRDefault="006F1236" w:rsidP="006F1236">
      <w:pPr>
        <w:pStyle w:val="HTMLPreformatted"/>
        <w:shd w:val="clear" w:color="auto" w:fill="FFFFFF"/>
        <w:jc w:val="both"/>
        <w:rPr>
          <w:rFonts w:ascii="Times New Roman" w:hAnsi="Times New Roman" w:cs="Times New Roman"/>
          <w:shd w:val="clear" w:color="auto" w:fill="FFFFFF"/>
        </w:rPr>
      </w:pPr>
      <w:r w:rsidRPr="006F1236">
        <w:rPr>
          <w:rFonts w:ascii="Times New Roman" w:hAnsi="Times New Roman" w:cs="Times New Roman"/>
        </w:rPr>
        <w:t xml:space="preserve">Ikan keli merupakan sumber murah yang mengandungi asid lemak omega-3 terutama </w:t>
      </w:r>
      <w:r w:rsidRPr="006F1236">
        <w:rPr>
          <w:rStyle w:val="Emphasis"/>
          <w:rFonts w:ascii="Times New Roman" w:hAnsi="Times New Roman" w:cs="Times New Roman"/>
          <w:b w:val="0"/>
          <w:bCs w:val="0"/>
          <w:shd w:val="clear" w:color="auto" w:fill="FFFFFF"/>
        </w:rPr>
        <w:t>asid eikosapentaenoik</w:t>
      </w:r>
      <w:r w:rsidRPr="006F1236">
        <w:rPr>
          <w:rStyle w:val="Emphasis"/>
          <w:rFonts w:ascii="Times New Roman" w:hAnsi="Times New Roman" w:cs="Times New Roman"/>
          <w:bCs w:val="0"/>
          <w:shd w:val="clear" w:color="auto" w:fill="FFFFFF"/>
        </w:rPr>
        <w:t xml:space="preserve"> (</w:t>
      </w:r>
      <w:r w:rsidRPr="006F1236">
        <w:rPr>
          <w:rFonts w:ascii="Times New Roman" w:hAnsi="Times New Roman" w:cs="Times New Roman"/>
        </w:rPr>
        <w:t>EPA) dan a</w:t>
      </w:r>
      <w:r w:rsidRPr="006F1236">
        <w:rPr>
          <w:rStyle w:val="Emphasis"/>
          <w:rFonts w:ascii="Times New Roman" w:hAnsi="Times New Roman" w:cs="Times New Roman"/>
          <w:bCs w:val="0"/>
          <w:shd w:val="clear" w:color="auto" w:fill="FFFFFF"/>
        </w:rPr>
        <w:t>sid</w:t>
      </w:r>
      <w:r w:rsidRPr="006F1236">
        <w:rPr>
          <w:rStyle w:val="apple-converted-space"/>
          <w:rFonts w:ascii="Times New Roman" w:hAnsi="Times New Roman" w:cs="Times New Roman"/>
          <w:shd w:val="clear" w:color="auto" w:fill="FFFFFF"/>
        </w:rPr>
        <w:t> </w:t>
      </w:r>
      <w:r w:rsidRPr="006F1236">
        <w:rPr>
          <w:rFonts w:ascii="Times New Roman" w:hAnsi="Times New Roman" w:cs="Times New Roman"/>
          <w:shd w:val="clear" w:color="auto" w:fill="FFFFFF"/>
        </w:rPr>
        <w:t>dokosaheksaenoik</w:t>
      </w:r>
      <w:r w:rsidRPr="006F1236">
        <w:rPr>
          <w:rStyle w:val="apple-converted-space"/>
          <w:rFonts w:ascii="Times New Roman" w:hAnsi="Times New Roman" w:cs="Times New Roman"/>
          <w:shd w:val="clear" w:color="auto" w:fill="FFFFFF"/>
        </w:rPr>
        <w:t> (</w:t>
      </w:r>
      <w:r w:rsidRPr="006F1236">
        <w:rPr>
          <w:rFonts w:ascii="Times New Roman" w:hAnsi="Times New Roman" w:cs="Times New Roman"/>
        </w:rPr>
        <w:t>DHA). Minyak ikan keli telah diekstrak dan disulingkan dengan menggunakan pengekstrakan cecair tekanan tinggi (PLE) daripada visera ikan keli (</w:t>
      </w:r>
      <w:r w:rsidRPr="006F1236">
        <w:rPr>
          <w:rFonts w:ascii="Times New Roman" w:hAnsi="Times New Roman" w:cs="Times New Roman"/>
          <w:i/>
        </w:rPr>
        <w:t>Clarias batrachus</w:t>
      </w:r>
      <w:r w:rsidRPr="006F1236">
        <w:rPr>
          <w:rFonts w:ascii="Times New Roman" w:hAnsi="Times New Roman" w:cs="Times New Roman"/>
        </w:rPr>
        <w:t xml:space="preserve">). Walau bagaimanapun, ciri – ciri minyak ikan keli adalah melekit, bau hanyir yang kuat, mudah teroksida dengan mempunyai jangka hayat yang terhad. Dalam kajian ini, minyak ikan keli telah ditukarkan menjadi serbuk melalui pembentukan kompleks rangkuman dengan β-siklodekstrin (BCD). Kompleks rangkuman telah dihasilkan dengan menggunakan teknik ko-pemendakan dan penggulian serta dibandingkan dengan campuran fizikal. Kompleks rangkuman telah dicirikan dengan menggunakan mikroskop elektron imbasan medan (FESEM), kalorimeter imbasan kebezaan (DSC) dan </w:t>
      </w:r>
      <w:r w:rsidRPr="006F1236">
        <w:rPr>
          <w:rStyle w:val="Emphasis"/>
          <w:rFonts w:ascii="Times New Roman" w:hAnsi="Times New Roman" w:cs="Times New Roman"/>
          <w:b w:val="0"/>
          <w:bCs w:val="0"/>
          <w:shd w:val="clear" w:color="auto" w:fill="FFFFFF"/>
        </w:rPr>
        <w:t>spektrofotometer</w:t>
      </w:r>
      <w:r w:rsidRPr="006F1236">
        <w:rPr>
          <w:rStyle w:val="Emphasis"/>
          <w:rFonts w:ascii="Times New Roman" w:hAnsi="Times New Roman" w:cs="Times New Roman"/>
          <w:bCs w:val="0"/>
          <w:shd w:val="clear" w:color="auto" w:fill="FFFFFF"/>
        </w:rPr>
        <w:t xml:space="preserve"> </w:t>
      </w:r>
      <w:r w:rsidRPr="006F1236">
        <w:rPr>
          <w:rFonts w:ascii="Times New Roman" w:hAnsi="Times New Roman" w:cs="Times New Roman"/>
          <w:shd w:val="clear" w:color="auto" w:fill="FFFFFF"/>
        </w:rPr>
        <w:t>infra merah transformasi fourier</w:t>
      </w:r>
      <w:r w:rsidRPr="006F1236">
        <w:rPr>
          <w:rFonts w:ascii="Times New Roman" w:hAnsi="Times New Roman" w:cs="Times New Roman"/>
        </w:rPr>
        <w:t xml:space="preserve"> (FTIR). Hasil kajian daripada imej FESEM menunjukkan bahawa </w:t>
      </w:r>
      <w:r w:rsidRPr="006F1236">
        <w:rPr>
          <w:rFonts w:ascii="Times New Roman" w:hAnsi="Times New Roman" w:cs="Times New Roman"/>
          <w:lang w:val="ms-MY"/>
        </w:rPr>
        <w:t>pembentukan kompleks rangkuman  menggunakan teknik ko-pemendakan dan penggulian mempunyai saiz kristal yang kecil dan muncul  sebagai morfologi yang berbeza dibandingkan dengan campuran fizikal</w:t>
      </w:r>
      <w:r w:rsidRPr="006F1236">
        <w:rPr>
          <w:rFonts w:ascii="Times New Roman" w:hAnsi="Times New Roman" w:cs="Times New Roman"/>
        </w:rPr>
        <w:t xml:space="preserve">. DSC membuktikan ko-pemendakan  mampu  menghasilkan fasa baru kerana takat pencairan berubah dari yang asal ke </w:t>
      </w:r>
      <w:r w:rsidRPr="006F1236">
        <w:rPr>
          <w:rFonts w:ascii="Times New Roman" w:hAnsi="Times New Roman" w:cs="Times New Roman"/>
        </w:rPr>
        <w:lastRenderedPageBreak/>
        <w:t>suhu yang lebih tinggi (145.22 ºC). FTIR mendokong keputusan melalui bukti penegangan kumpulan karbonil dan C=O telah digunakan untuk rangkuman. Oleh itu, kaedah ko-pemendakan membuktikan kaedah yang paling sesuai untuk merangkum minyak ikan keli menggunakan β-siklodekstrin.</w:t>
      </w:r>
    </w:p>
    <w:p w:rsidR="006F1236" w:rsidRPr="006F1236" w:rsidRDefault="006F1236" w:rsidP="006F1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
    <w:p w:rsidR="009D7177" w:rsidRDefault="006F1236" w:rsidP="006F1236">
      <w:pPr>
        <w:spacing w:after="0" w:line="240" w:lineRule="auto"/>
        <w:jc w:val="both"/>
        <w:outlineLvl w:val="0"/>
        <w:rPr>
          <w:rFonts w:ascii="Times New Roman" w:hAnsi="Times New Roman"/>
          <w:sz w:val="20"/>
          <w:szCs w:val="20"/>
        </w:rPr>
      </w:pPr>
      <w:r w:rsidRPr="006F1236">
        <w:rPr>
          <w:rFonts w:ascii="Times New Roman" w:hAnsi="Times New Roman"/>
          <w:b/>
          <w:sz w:val="20"/>
          <w:szCs w:val="20"/>
        </w:rPr>
        <w:t>Kata kunci:</w:t>
      </w:r>
      <w:r w:rsidRPr="006F1236">
        <w:rPr>
          <w:rFonts w:ascii="Times New Roman" w:hAnsi="Times New Roman"/>
          <w:sz w:val="20"/>
          <w:szCs w:val="20"/>
        </w:rPr>
        <w:t xml:space="preserve">  minyak ikan keli, β-siklodekstrin, ko-pemendakan, penggulian, campuran fizikal </w:t>
      </w:r>
    </w:p>
    <w:p w:rsidR="006F1236" w:rsidRDefault="006F1236" w:rsidP="006F1236">
      <w:pPr>
        <w:spacing w:after="0" w:line="240" w:lineRule="auto"/>
        <w:jc w:val="both"/>
        <w:outlineLvl w:val="0"/>
        <w:rPr>
          <w:rFonts w:ascii="Times New Roman" w:hAnsi="Times New Roman"/>
          <w:sz w:val="20"/>
          <w:szCs w:val="20"/>
        </w:rPr>
      </w:pPr>
    </w:p>
    <w:p w:rsidR="006F1236" w:rsidRPr="00F447A7" w:rsidRDefault="006F1236" w:rsidP="006F123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F1236" w:rsidRPr="00E86199" w:rsidRDefault="006F1236" w:rsidP="006F1236">
      <w:pPr>
        <w:pStyle w:val="ListParagraph"/>
        <w:numPr>
          <w:ilvl w:val="0"/>
          <w:numId w:val="1"/>
        </w:numPr>
        <w:spacing w:after="0" w:line="240" w:lineRule="auto"/>
        <w:ind w:left="360"/>
        <w:jc w:val="both"/>
        <w:rPr>
          <w:rFonts w:ascii="Times New Roman" w:hAnsi="Times New Roman"/>
          <w:sz w:val="20"/>
          <w:szCs w:val="20"/>
        </w:rPr>
      </w:pPr>
      <w:r w:rsidRPr="00E86199">
        <w:rPr>
          <w:rFonts w:ascii="Times New Roman" w:hAnsi="Times New Roman"/>
          <w:sz w:val="20"/>
          <w:szCs w:val="20"/>
        </w:rPr>
        <w:t xml:space="preserve">Nayak, S., Solanki, H. U. and Dwivedi, R. M. (2003). Utilization of IRS P4 ocean colour data for potential fishing zone- a cost benefit analysis. </w:t>
      </w:r>
      <w:r w:rsidRPr="00E86199">
        <w:rPr>
          <w:rFonts w:ascii="Times New Roman" w:hAnsi="Times New Roman"/>
          <w:i/>
          <w:sz w:val="20"/>
          <w:szCs w:val="20"/>
        </w:rPr>
        <w:t>Indian Journal of Marine Sciences</w:t>
      </w:r>
      <w:r w:rsidRPr="00E86199">
        <w:rPr>
          <w:rFonts w:ascii="Times New Roman" w:hAnsi="Times New Roman"/>
          <w:sz w:val="20"/>
          <w:szCs w:val="20"/>
        </w:rPr>
        <w:t>, 32 (3): 244 − 248.</w:t>
      </w:r>
    </w:p>
    <w:p w:rsidR="006F1236" w:rsidRPr="00E86199" w:rsidRDefault="006F1236" w:rsidP="006F1236">
      <w:pPr>
        <w:pStyle w:val="ListParagraph"/>
        <w:numPr>
          <w:ilvl w:val="0"/>
          <w:numId w:val="1"/>
        </w:numPr>
        <w:spacing w:after="0" w:line="240" w:lineRule="auto"/>
        <w:ind w:left="360"/>
        <w:jc w:val="both"/>
        <w:rPr>
          <w:rFonts w:ascii="Times New Roman" w:hAnsi="Times New Roman"/>
          <w:sz w:val="20"/>
          <w:szCs w:val="20"/>
        </w:rPr>
      </w:pPr>
      <w:r w:rsidRPr="00E86199">
        <w:rPr>
          <w:rFonts w:ascii="Times New Roman" w:hAnsi="Times New Roman"/>
          <w:noProof/>
          <w:sz w:val="20"/>
          <w:szCs w:val="20"/>
        </w:rPr>
        <w:t xml:space="preserve">Malaysia Department of Fisheries (2004). </w:t>
      </w:r>
      <w:r w:rsidRPr="00E86199">
        <w:rPr>
          <w:rFonts w:ascii="Times New Roman" w:hAnsi="Times New Roman"/>
          <w:i/>
          <w:noProof/>
          <w:sz w:val="20"/>
          <w:szCs w:val="20"/>
        </w:rPr>
        <w:t>Perangkaan Perikanan Tahunan 2004</w:t>
      </w:r>
      <w:r w:rsidRPr="00E86199">
        <w:rPr>
          <w:rFonts w:ascii="Times New Roman" w:hAnsi="Times New Roman"/>
          <w:noProof/>
          <w:sz w:val="20"/>
          <w:szCs w:val="20"/>
        </w:rPr>
        <w:t>. Access from http://www.dof.gov.my/index.php/pages/view/111</w:t>
      </w:r>
    </w:p>
    <w:p w:rsidR="006F1236" w:rsidRPr="00E86199" w:rsidRDefault="006F1236" w:rsidP="006F1236">
      <w:pPr>
        <w:pStyle w:val="ListParagraph"/>
        <w:numPr>
          <w:ilvl w:val="0"/>
          <w:numId w:val="1"/>
        </w:numPr>
        <w:spacing w:after="0" w:line="240" w:lineRule="auto"/>
        <w:ind w:left="360"/>
        <w:jc w:val="both"/>
        <w:rPr>
          <w:rFonts w:ascii="Times New Roman" w:hAnsi="Times New Roman"/>
          <w:sz w:val="20"/>
          <w:szCs w:val="20"/>
        </w:rPr>
      </w:pPr>
      <w:r w:rsidRPr="00E86199">
        <w:rPr>
          <w:rFonts w:ascii="Times New Roman" w:hAnsi="Times New Roman"/>
          <w:sz w:val="20"/>
          <w:szCs w:val="20"/>
        </w:rPr>
        <w:t xml:space="preserve">Tacon, A. G. J. and Metian, M. (2008). Global overview on the use of fish meal and fish oil in industrially compounded aquafeeds: trends and future prospects. </w:t>
      </w:r>
      <w:r w:rsidRPr="00E86199">
        <w:rPr>
          <w:rFonts w:ascii="Times New Roman" w:hAnsi="Times New Roman"/>
          <w:i/>
          <w:sz w:val="20"/>
          <w:szCs w:val="20"/>
        </w:rPr>
        <w:t>Aquaculture</w:t>
      </w:r>
      <w:r w:rsidRPr="00E86199">
        <w:rPr>
          <w:rFonts w:ascii="Times New Roman" w:hAnsi="Times New Roman"/>
          <w:sz w:val="20"/>
          <w:szCs w:val="20"/>
        </w:rPr>
        <w:t>, 285: 146 − 158.</w:t>
      </w:r>
    </w:p>
    <w:p w:rsidR="006F1236" w:rsidRPr="00E86199" w:rsidRDefault="006F1236" w:rsidP="006F1236">
      <w:pPr>
        <w:pStyle w:val="ListParagraph"/>
        <w:numPr>
          <w:ilvl w:val="0"/>
          <w:numId w:val="1"/>
        </w:numPr>
        <w:spacing w:after="0" w:line="240" w:lineRule="auto"/>
        <w:ind w:left="360"/>
        <w:jc w:val="both"/>
        <w:rPr>
          <w:rFonts w:ascii="Times New Roman" w:hAnsi="Times New Roman"/>
          <w:sz w:val="20"/>
          <w:szCs w:val="20"/>
        </w:rPr>
      </w:pPr>
      <w:r w:rsidRPr="00E86199">
        <w:rPr>
          <w:rFonts w:ascii="Times New Roman" w:hAnsi="Times New Roman"/>
          <w:sz w:val="20"/>
          <w:szCs w:val="20"/>
        </w:rPr>
        <w:t>Simopoulus, A. P., Leaf, A. and Salem, N. (1999). Essentiality of and recommended dietary intakes for omega-6 and omega-3 fatty acids</w:t>
      </w:r>
      <w:r w:rsidRPr="00E86199">
        <w:rPr>
          <w:rFonts w:ascii="Times New Roman" w:hAnsi="Times New Roman"/>
          <w:i/>
          <w:sz w:val="20"/>
          <w:szCs w:val="20"/>
        </w:rPr>
        <w:t>. Annals Nutrition and Metabolism</w:t>
      </w:r>
      <w:r w:rsidRPr="00E86199">
        <w:rPr>
          <w:rFonts w:ascii="Times New Roman" w:hAnsi="Times New Roman"/>
          <w:sz w:val="20"/>
          <w:szCs w:val="20"/>
        </w:rPr>
        <w:t>, 43: 127 – 131.</w:t>
      </w:r>
    </w:p>
    <w:p w:rsidR="006F1236" w:rsidRPr="00E86199" w:rsidRDefault="006F1236" w:rsidP="006F1236">
      <w:pPr>
        <w:pStyle w:val="ListParagraph"/>
        <w:numPr>
          <w:ilvl w:val="0"/>
          <w:numId w:val="1"/>
        </w:numPr>
        <w:spacing w:after="0" w:line="240" w:lineRule="auto"/>
        <w:ind w:left="360"/>
        <w:jc w:val="both"/>
        <w:rPr>
          <w:rStyle w:val="apple-converted-space"/>
          <w:rFonts w:ascii="Times New Roman" w:hAnsi="Times New Roman"/>
          <w:sz w:val="20"/>
          <w:szCs w:val="20"/>
        </w:rPr>
      </w:pPr>
      <w:r w:rsidRPr="00E86199">
        <w:rPr>
          <w:rStyle w:val="apple-converted-space"/>
          <w:rFonts w:ascii="Times New Roman" w:hAnsi="Times New Roman"/>
          <w:sz w:val="20"/>
          <w:szCs w:val="20"/>
        </w:rPr>
        <w:t xml:space="preserve">Haraldsson, G .G., Kristinsson, B., Sigurdardottir, R., Gudmundsson, G.G. and Breivik, H. (1997). The preparation of concentrates of eicosapentaenoic acid and docosahexaenoic acid by lipase-catalyzed transesterification of fish oil with ethanol. </w:t>
      </w:r>
      <w:r w:rsidRPr="00E86199">
        <w:rPr>
          <w:rStyle w:val="apple-converted-space"/>
          <w:rFonts w:ascii="Times New Roman" w:hAnsi="Times New Roman"/>
          <w:i/>
          <w:sz w:val="20"/>
          <w:szCs w:val="20"/>
        </w:rPr>
        <w:t>Journal of the American Oil Chemist’s Society</w:t>
      </w:r>
      <w:r w:rsidRPr="00E86199">
        <w:rPr>
          <w:rStyle w:val="apple-converted-space"/>
          <w:rFonts w:ascii="Times New Roman" w:hAnsi="Times New Roman"/>
          <w:sz w:val="20"/>
          <w:szCs w:val="20"/>
        </w:rPr>
        <w:t>, 74: 1419 − 1424.</w:t>
      </w:r>
    </w:p>
    <w:p w:rsidR="006F1236" w:rsidRPr="00E86199" w:rsidRDefault="006F1236" w:rsidP="006F1236">
      <w:pPr>
        <w:pStyle w:val="ListParagraph"/>
        <w:numPr>
          <w:ilvl w:val="0"/>
          <w:numId w:val="1"/>
        </w:numPr>
        <w:spacing w:after="0" w:line="240" w:lineRule="auto"/>
        <w:ind w:left="360"/>
        <w:jc w:val="both"/>
        <w:rPr>
          <w:rFonts w:ascii="Times New Roman" w:hAnsi="Times New Roman"/>
          <w:sz w:val="20"/>
          <w:szCs w:val="20"/>
        </w:rPr>
      </w:pPr>
      <w:r w:rsidRPr="00E86199">
        <w:rPr>
          <w:rFonts w:ascii="Times New Roman" w:hAnsi="Times New Roman"/>
          <w:sz w:val="20"/>
          <w:szCs w:val="20"/>
          <w:shd w:val="clear" w:color="auto" w:fill="FFFFFF"/>
        </w:rPr>
        <w:t xml:space="preserve">Choi, M. J., Ruktanonchai, U., Min, S. G., Chun, J. Y. and Soottitantawat, A. (2010). </w:t>
      </w:r>
      <w:r w:rsidRPr="00E86199">
        <w:rPr>
          <w:rFonts w:ascii="Times New Roman" w:eastAsia="Arial Unicode MS" w:hAnsi="Times New Roman"/>
          <w:sz w:val="20"/>
          <w:szCs w:val="20"/>
        </w:rPr>
        <w:t xml:space="preserve">Physical characteristics of fish oil encapsulated by β-cyclodextrin using an aggregation method or polycaprolactone using an emulsion–diffusion method. </w:t>
      </w:r>
      <w:r w:rsidRPr="00E86199">
        <w:rPr>
          <w:rFonts w:ascii="Times New Roman" w:hAnsi="Times New Roman"/>
          <w:i/>
          <w:sz w:val="20"/>
          <w:szCs w:val="20"/>
          <w:lang w:val="ms-MY"/>
        </w:rPr>
        <w:t>Food Chemistry</w:t>
      </w:r>
      <w:r w:rsidRPr="00E86199">
        <w:rPr>
          <w:rFonts w:ascii="Times New Roman" w:hAnsi="Times New Roman"/>
          <w:sz w:val="20"/>
          <w:szCs w:val="20"/>
          <w:lang w:val="ms-MY"/>
        </w:rPr>
        <w:t>,</w:t>
      </w:r>
      <w:r w:rsidRPr="00E86199">
        <w:rPr>
          <w:rFonts w:ascii="Times New Roman" w:hAnsi="Times New Roman"/>
          <w:i/>
          <w:sz w:val="20"/>
          <w:szCs w:val="20"/>
          <w:lang w:val="ms-MY"/>
        </w:rPr>
        <w:t xml:space="preserve"> </w:t>
      </w:r>
      <w:r w:rsidRPr="00E86199">
        <w:rPr>
          <w:rFonts w:ascii="Times New Roman" w:hAnsi="Times New Roman"/>
          <w:sz w:val="20"/>
          <w:szCs w:val="20"/>
          <w:lang w:val="ms-MY"/>
        </w:rPr>
        <w:t>119 (4): 1694 −</w:t>
      </w:r>
      <w:r w:rsidRPr="00E86199">
        <w:rPr>
          <w:rFonts w:ascii="Times New Roman" w:hAnsi="Times New Roman"/>
          <w:i/>
          <w:sz w:val="20"/>
          <w:szCs w:val="20"/>
          <w:lang w:val="ms-MY"/>
        </w:rPr>
        <w:t xml:space="preserve"> </w:t>
      </w:r>
      <w:r w:rsidRPr="00E86199">
        <w:rPr>
          <w:rFonts w:ascii="Times New Roman" w:hAnsi="Times New Roman"/>
          <w:sz w:val="20"/>
          <w:szCs w:val="20"/>
          <w:lang w:val="ms-MY"/>
        </w:rPr>
        <w:t>1703.</w:t>
      </w:r>
    </w:p>
    <w:p w:rsidR="006F1236" w:rsidRPr="00E86199" w:rsidRDefault="006F1236" w:rsidP="006F1236">
      <w:pPr>
        <w:pStyle w:val="ListParagraph"/>
        <w:numPr>
          <w:ilvl w:val="0"/>
          <w:numId w:val="1"/>
        </w:numPr>
        <w:spacing w:after="0" w:line="240" w:lineRule="auto"/>
        <w:ind w:left="360"/>
        <w:jc w:val="both"/>
        <w:rPr>
          <w:rFonts w:ascii="Times New Roman" w:hAnsi="Times New Roman"/>
          <w:sz w:val="20"/>
          <w:szCs w:val="20"/>
        </w:rPr>
      </w:pPr>
      <w:r w:rsidRPr="00E86199">
        <w:rPr>
          <w:rFonts w:ascii="Times New Roman" w:hAnsi="Times New Roman"/>
          <w:sz w:val="20"/>
          <w:szCs w:val="20"/>
        </w:rPr>
        <w:t xml:space="preserve">Zhang, A., Liu, W., Wang L. and Wen, Y. (2005). </w:t>
      </w:r>
      <w:r w:rsidRPr="00F97EFE">
        <w:rPr>
          <w:rFonts w:ascii="Times New Roman" w:hAnsi="Times New Roman"/>
          <w:sz w:val="20"/>
          <w:szCs w:val="20"/>
        </w:rPr>
        <w:t>Characterization of Inclusion Complexation between Fenoxaprop-</w:t>
      </w:r>
      <w:r w:rsidRPr="00F97EFE">
        <w:rPr>
          <w:rFonts w:ascii="Times New Roman" w:hAnsi="Times New Roman"/>
          <w:i/>
          <w:iCs/>
          <w:sz w:val="20"/>
          <w:szCs w:val="20"/>
        </w:rPr>
        <w:t>p</w:t>
      </w:r>
      <w:r w:rsidRPr="00F97EFE">
        <w:rPr>
          <w:rFonts w:ascii="Times New Roman" w:hAnsi="Times New Roman"/>
          <w:sz w:val="20"/>
          <w:szCs w:val="20"/>
        </w:rPr>
        <w:t>-ethyl and Cyclodextrin</w:t>
      </w:r>
      <w:r w:rsidRPr="00E86199">
        <w:rPr>
          <w:rStyle w:val="nlmstring-name"/>
          <w:rFonts w:ascii="Times New Roman" w:hAnsi="Times New Roman"/>
          <w:sz w:val="20"/>
          <w:szCs w:val="20"/>
        </w:rPr>
        <w:t xml:space="preserve">. </w:t>
      </w:r>
      <w:r w:rsidRPr="00E86199">
        <w:rPr>
          <w:rStyle w:val="nlmsource"/>
          <w:rFonts w:ascii="Times New Roman" w:hAnsi="Times New Roman"/>
          <w:i/>
          <w:iCs/>
          <w:sz w:val="20"/>
          <w:szCs w:val="20"/>
        </w:rPr>
        <w:t xml:space="preserve">Journal of Agricultural and Food Chemistry, </w:t>
      </w:r>
      <w:r w:rsidRPr="00E86199">
        <w:rPr>
          <w:rStyle w:val="Emphasis"/>
          <w:rFonts w:ascii="Times New Roman" w:hAnsi="Times New Roman"/>
          <w:sz w:val="20"/>
          <w:szCs w:val="20"/>
        </w:rPr>
        <w:t>53</w:t>
      </w:r>
      <w:r w:rsidRPr="00E86199">
        <w:rPr>
          <w:rStyle w:val="apple-converted-space"/>
          <w:rFonts w:ascii="Times New Roman" w:hAnsi="Times New Roman"/>
          <w:sz w:val="20"/>
          <w:szCs w:val="20"/>
        </w:rPr>
        <w:t> </w:t>
      </w:r>
      <w:r w:rsidRPr="00E86199">
        <w:rPr>
          <w:rFonts w:ascii="Times New Roman" w:hAnsi="Times New Roman"/>
          <w:sz w:val="20"/>
          <w:szCs w:val="20"/>
        </w:rPr>
        <w:t>(18): 7193 – 7197.</w:t>
      </w:r>
    </w:p>
    <w:p w:rsidR="006F1236" w:rsidRPr="00E86199" w:rsidRDefault="006F1236" w:rsidP="006F1236">
      <w:pPr>
        <w:pStyle w:val="ListParagraph"/>
        <w:numPr>
          <w:ilvl w:val="0"/>
          <w:numId w:val="1"/>
        </w:numPr>
        <w:spacing w:after="0" w:line="240" w:lineRule="auto"/>
        <w:ind w:left="360"/>
        <w:jc w:val="both"/>
        <w:rPr>
          <w:rFonts w:ascii="Times New Roman" w:hAnsi="Times New Roman"/>
          <w:sz w:val="20"/>
          <w:szCs w:val="20"/>
        </w:rPr>
      </w:pPr>
      <w:r w:rsidRPr="00E86199">
        <w:rPr>
          <w:rFonts w:ascii="Times New Roman" w:hAnsi="Times New Roman"/>
          <w:sz w:val="20"/>
          <w:szCs w:val="20"/>
        </w:rPr>
        <w:t xml:space="preserve">Waleczek, K. J., Marques, C., Hempel, B. and Schmidt, P. C. (2003). Phase solubility studies of pure (2)-a-bisabolol and camomile essential oil with b-cyclodextrin. </w:t>
      </w:r>
      <w:r w:rsidRPr="00E86199">
        <w:rPr>
          <w:rFonts w:ascii="Times New Roman" w:hAnsi="Times New Roman"/>
          <w:i/>
          <w:sz w:val="20"/>
          <w:szCs w:val="20"/>
        </w:rPr>
        <w:t>European Journal of Pharmaceutics and Biopharmaceutics</w:t>
      </w:r>
      <w:r w:rsidRPr="00E86199">
        <w:rPr>
          <w:rFonts w:ascii="Times New Roman" w:hAnsi="Times New Roman"/>
          <w:sz w:val="20"/>
          <w:szCs w:val="20"/>
        </w:rPr>
        <w:t>, 55: 247 – 251.</w:t>
      </w:r>
    </w:p>
    <w:p w:rsidR="006F1236" w:rsidRPr="00E86199" w:rsidRDefault="006F1236" w:rsidP="006F1236">
      <w:pPr>
        <w:pStyle w:val="ListParagraph"/>
        <w:numPr>
          <w:ilvl w:val="0"/>
          <w:numId w:val="1"/>
        </w:numPr>
        <w:spacing w:after="0" w:line="240" w:lineRule="auto"/>
        <w:ind w:left="360"/>
        <w:jc w:val="both"/>
        <w:rPr>
          <w:rFonts w:ascii="Times New Roman" w:hAnsi="Times New Roman"/>
          <w:sz w:val="20"/>
          <w:szCs w:val="20"/>
        </w:rPr>
      </w:pPr>
      <w:r w:rsidRPr="00E86199">
        <w:rPr>
          <w:rFonts w:ascii="Times New Roman" w:hAnsi="Times New Roman"/>
          <w:sz w:val="20"/>
          <w:szCs w:val="20"/>
        </w:rPr>
        <w:t xml:space="preserve">Zaibunnisa, A. H., Siti Rashima, R. and Nur Ain, A.H. (2011). Stabilization of curcumin with γ-cyclodextrin: phase solubility study and its characterisation. </w:t>
      </w:r>
      <w:r w:rsidRPr="00E86199">
        <w:rPr>
          <w:rFonts w:ascii="Times New Roman" w:hAnsi="Times New Roman"/>
          <w:i/>
          <w:sz w:val="20"/>
          <w:szCs w:val="20"/>
        </w:rPr>
        <w:t>2</w:t>
      </w:r>
      <w:r w:rsidRPr="00E86199">
        <w:rPr>
          <w:rFonts w:ascii="Times New Roman" w:hAnsi="Times New Roman"/>
          <w:i/>
          <w:sz w:val="20"/>
          <w:szCs w:val="20"/>
          <w:vertAlign w:val="superscript"/>
        </w:rPr>
        <w:t>nd</w:t>
      </w:r>
      <w:r w:rsidRPr="00E86199">
        <w:rPr>
          <w:rFonts w:ascii="Times New Roman" w:hAnsi="Times New Roman"/>
          <w:i/>
          <w:sz w:val="20"/>
          <w:szCs w:val="20"/>
        </w:rPr>
        <w:t xml:space="preserve"> International Conference on Biotechnology and Food Science IPCBEE</w:t>
      </w:r>
      <w:r w:rsidRPr="00E86199">
        <w:rPr>
          <w:rFonts w:ascii="Times New Roman" w:hAnsi="Times New Roman"/>
          <w:sz w:val="20"/>
          <w:szCs w:val="20"/>
        </w:rPr>
        <w:t xml:space="preserve">, 7: 9 − 13. </w:t>
      </w:r>
    </w:p>
    <w:p w:rsidR="006F1236" w:rsidRPr="00E86199" w:rsidRDefault="006F1236" w:rsidP="006F1236">
      <w:pPr>
        <w:pStyle w:val="ListParagraph"/>
        <w:numPr>
          <w:ilvl w:val="0"/>
          <w:numId w:val="1"/>
        </w:numPr>
        <w:spacing w:after="0" w:line="240" w:lineRule="auto"/>
        <w:ind w:left="360"/>
        <w:jc w:val="both"/>
        <w:rPr>
          <w:rFonts w:ascii="Times New Roman" w:hAnsi="Times New Roman"/>
          <w:sz w:val="20"/>
          <w:szCs w:val="20"/>
        </w:rPr>
      </w:pPr>
      <w:r w:rsidRPr="00E86199">
        <w:rPr>
          <w:rFonts w:ascii="Times New Roman" w:hAnsi="Times New Roman"/>
          <w:sz w:val="20"/>
          <w:szCs w:val="20"/>
        </w:rPr>
        <w:t>William III, R. O., Mahaguna, V. and Sriwongjany, M. (1998). Characterization of an inclusion complex of cholesterol with hydroxyproopyl-</w:t>
      </w:r>
      <w:r w:rsidRPr="00E86199">
        <w:rPr>
          <w:rFonts w:ascii="Times New Roman" w:hAnsi="Times New Roman"/>
          <w:bCs/>
          <w:sz w:val="20"/>
          <w:szCs w:val="20"/>
          <w:lang w:val="el-GR"/>
        </w:rPr>
        <w:t>β</w:t>
      </w:r>
      <w:r w:rsidRPr="00E86199">
        <w:rPr>
          <w:rFonts w:ascii="Times New Roman" w:hAnsi="Times New Roman"/>
          <w:bCs/>
          <w:sz w:val="20"/>
          <w:szCs w:val="20"/>
        </w:rPr>
        <w:t xml:space="preserve">-cyclodextrins. </w:t>
      </w:r>
      <w:r w:rsidRPr="00E86199">
        <w:rPr>
          <w:rFonts w:ascii="Times New Roman" w:hAnsi="Times New Roman"/>
          <w:bCs/>
          <w:i/>
          <w:sz w:val="20"/>
          <w:szCs w:val="20"/>
        </w:rPr>
        <w:t>European Journal of Pharmaceutics and Biopharmaceutics</w:t>
      </w:r>
      <w:r w:rsidRPr="00E86199">
        <w:rPr>
          <w:rFonts w:ascii="Times New Roman" w:hAnsi="Times New Roman"/>
          <w:bCs/>
          <w:sz w:val="20"/>
          <w:szCs w:val="20"/>
        </w:rPr>
        <w:t xml:space="preserve">, </w:t>
      </w:r>
      <w:r w:rsidRPr="00E86199">
        <w:rPr>
          <w:rFonts w:ascii="Times New Roman" w:hAnsi="Times New Roman"/>
          <w:bCs/>
          <w:i/>
          <w:sz w:val="20"/>
          <w:szCs w:val="20"/>
        </w:rPr>
        <w:t>46</w:t>
      </w:r>
      <w:r w:rsidRPr="00E86199">
        <w:rPr>
          <w:rFonts w:ascii="Times New Roman" w:hAnsi="Times New Roman"/>
          <w:bCs/>
          <w:sz w:val="20"/>
          <w:szCs w:val="20"/>
        </w:rPr>
        <w:t>: 355 − 360.</w:t>
      </w:r>
    </w:p>
    <w:p w:rsidR="006F1236" w:rsidRPr="00E86199" w:rsidRDefault="006F1236" w:rsidP="006F1236">
      <w:pPr>
        <w:pStyle w:val="ListParagraph"/>
        <w:numPr>
          <w:ilvl w:val="0"/>
          <w:numId w:val="1"/>
        </w:numPr>
        <w:spacing w:after="0" w:line="240" w:lineRule="auto"/>
        <w:ind w:left="360"/>
        <w:jc w:val="both"/>
        <w:rPr>
          <w:rFonts w:ascii="Times New Roman" w:hAnsi="Times New Roman"/>
          <w:sz w:val="20"/>
          <w:szCs w:val="20"/>
        </w:rPr>
      </w:pPr>
      <w:r w:rsidRPr="00E86199">
        <w:rPr>
          <w:rFonts w:ascii="Times New Roman" w:hAnsi="Times New Roman"/>
          <w:sz w:val="20"/>
          <w:szCs w:val="20"/>
        </w:rPr>
        <w:t>Reddy, M. N., Rehana, T., Ramakrishna, S., Chowdary, K. P. R. and Diwan, P. V. (2004).</w:t>
      </w:r>
      <w:r w:rsidRPr="00E86199">
        <w:rPr>
          <w:rFonts w:ascii="Times New Roman" w:hAnsi="Times New Roman"/>
          <w:bCs/>
          <w:sz w:val="20"/>
          <w:szCs w:val="20"/>
        </w:rPr>
        <w:t xml:space="preserve"> </w:t>
      </w:r>
      <w:r w:rsidRPr="00E86199">
        <w:rPr>
          <w:rFonts w:ascii="Times New Roman" w:hAnsi="Times New Roman"/>
          <w:bCs/>
          <w:sz w:val="20"/>
          <w:szCs w:val="20"/>
          <w:lang w:val="el-GR"/>
        </w:rPr>
        <w:t>β</w:t>
      </w:r>
      <w:r w:rsidRPr="00E86199">
        <w:rPr>
          <w:rFonts w:ascii="Times New Roman" w:hAnsi="Times New Roman"/>
          <w:bCs/>
          <w:sz w:val="20"/>
          <w:szCs w:val="20"/>
        </w:rPr>
        <w:t xml:space="preserve">-cyclodextrin complexes of celecoxib: molecular modelling, characterization, and dissolution studies. </w:t>
      </w:r>
      <w:r w:rsidRPr="00E86199">
        <w:rPr>
          <w:rFonts w:ascii="Times New Roman" w:hAnsi="Times New Roman"/>
          <w:bCs/>
          <w:i/>
          <w:sz w:val="20"/>
          <w:szCs w:val="20"/>
        </w:rPr>
        <w:t xml:space="preserve">AAPS Pharmaceutical Sciences, </w:t>
      </w:r>
      <w:r w:rsidRPr="00E86199">
        <w:rPr>
          <w:rFonts w:ascii="Times New Roman" w:hAnsi="Times New Roman"/>
          <w:bCs/>
          <w:sz w:val="20"/>
          <w:szCs w:val="20"/>
        </w:rPr>
        <w:t>6(1): 1 − 9</w:t>
      </w:r>
      <w:r w:rsidRPr="00E86199">
        <w:rPr>
          <w:rFonts w:ascii="Times New Roman" w:hAnsi="Times New Roman"/>
          <w:sz w:val="20"/>
          <w:szCs w:val="20"/>
        </w:rPr>
        <w:t>.</w:t>
      </w:r>
    </w:p>
    <w:p w:rsidR="006F1236" w:rsidRPr="00E86199" w:rsidRDefault="006F1236" w:rsidP="006F1236">
      <w:pPr>
        <w:pStyle w:val="ListParagraph"/>
        <w:numPr>
          <w:ilvl w:val="0"/>
          <w:numId w:val="1"/>
        </w:numPr>
        <w:spacing w:after="0" w:line="240" w:lineRule="auto"/>
        <w:ind w:left="360"/>
        <w:jc w:val="both"/>
        <w:rPr>
          <w:rFonts w:ascii="Times New Roman" w:hAnsi="Times New Roman"/>
          <w:sz w:val="20"/>
          <w:szCs w:val="20"/>
        </w:rPr>
      </w:pPr>
      <w:r w:rsidRPr="00E86199">
        <w:rPr>
          <w:rFonts w:ascii="Times New Roman" w:hAnsi="Times New Roman"/>
          <w:sz w:val="20"/>
          <w:szCs w:val="20"/>
        </w:rPr>
        <w:t xml:space="preserve">Zaibunnisa, A. H., Norashikin, S., Mamot, S., Rosli, M. I., Wan A, W. M. and Osman, H. (2009). Characterization of cyclodextrin complexes with turmeric oleoresin. </w:t>
      </w:r>
      <w:r w:rsidRPr="00E86199">
        <w:rPr>
          <w:rFonts w:ascii="Times New Roman" w:hAnsi="Times New Roman"/>
          <w:i/>
          <w:sz w:val="20"/>
          <w:szCs w:val="20"/>
        </w:rPr>
        <w:t>Food Chemistry</w:t>
      </w:r>
      <w:r w:rsidRPr="00E86199">
        <w:rPr>
          <w:rFonts w:ascii="Times New Roman" w:hAnsi="Times New Roman"/>
          <w:sz w:val="20"/>
          <w:szCs w:val="20"/>
        </w:rPr>
        <w:t>. 114: 459 − 465.</w:t>
      </w:r>
    </w:p>
    <w:p w:rsidR="006F1236" w:rsidRPr="006F1236" w:rsidRDefault="006F1236" w:rsidP="006F1236">
      <w:pPr>
        <w:spacing w:after="0" w:line="240" w:lineRule="auto"/>
        <w:jc w:val="both"/>
        <w:outlineLvl w:val="0"/>
        <w:rPr>
          <w:rFonts w:ascii="Times New Roman" w:hAnsi="Times New Roman"/>
          <w:sz w:val="20"/>
          <w:szCs w:val="20"/>
        </w:rPr>
      </w:pPr>
    </w:p>
    <w:sectPr w:rsidR="006F1236" w:rsidRPr="006F1236" w:rsidSect="006F123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E0753"/>
    <w:multiLevelType w:val="hybridMultilevel"/>
    <w:tmpl w:val="41085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36"/>
    <w:rsid w:val="00242B69"/>
    <w:rsid w:val="006F1236"/>
    <w:rsid w:val="009D7177"/>
    <w:rsid w:val="00AB6E3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36"/>
    <w:rPr>
      <w:rFonts w:ascii="Cambria" w:eastAsia="Times New Roman" w:hAnsi="Cambria" w:cs="Times New Roman"/>
      <w:lang w:bidi="en-US"/>
    </w:rPr>
  </w:style>
  <w:style w:type="paragraph" w:styleId="Heading1">
    <w:name w:val="heading 1"/>
    <w:basedOn w:val="Normal"/>
    <w:next w:val="Normal"/>
    <w:link w:val="Heading1Char"/>
    <w:uiPriority w:val="9"/>
    <w:rsid w:val="006F1236"/>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36"/>
    <w:rPr>
      <w:rFonts w:ascii="Cambria" w:eastAsia="Times New Roman" w:hAnsi="Cambria" w:cs="Times New Roman"/>
      <w:smallCaps/>
      <w:spacing w:val="5"/>
      <w:sz w:val="36"/>
      <w:szCs w:val="36"/>
      <w:lang w:val="x-none" w:eastAsia="x-none" w:bidi="en-US"/>
    </w:rPr>
  </w:style>
  <w:style w:type="character" w:styleId="Emphasis">
    <w:name w:val="Emphasis"/>
    <w:uiPriority w:val="20"/>
    <w:qFormat/>
    <w:rsid w:val="006F1236"/>
    <w:rPr>
      <w:b/>
      <w:bCs/>
      <w:i/>
      <w:iCs/>
      <w:spacing w:val="10"/>
    </w:rPr>
  </w:style>
  <w:style w:type="paragraph" w:styleId="ListParagraph">
    <w:name w:val="List Paragraph"/>
    <w:basedOn w:val="Normal"/>
    <w:uiPriority w:val="34"/>
    <w:qFormat/>
    <w:rsid w:val="006F1236"/>
    <w:pPr>
      <w:ind w:left="720"/>
      <w:contextualSpacing/>
    </w:pPr>
  </w:style>
  <w:style w:type="paragraph" w:customStyle="1" w:styleId="TTPTitle">
    <w:name w:val="TTP Title"/>
    <w:basedOn w:val="Normal"/>
    <w:next w:val="Normal"/>
    <w:uiPriority w:val="99"/>
    <w:rsid w:val="006F1236"/>
    <w:pPr>
      <w:autoSpaceDE w:val="0"/>
      <w:autoSpaceDN w:val="0"/>
      <w:spacing w:after="120" w:line="240" w:lineRule="auto"/>
      <w:jc w:val="center"/>
    </w:pPr>
    <w:rPr>
      <w:rFonts w:ascii="Arial" w:hAnsi="Arial" w:cs="Arial"/>
      <w:b/>
      <w:bCs/>
      <w:sz w:val="30"/>
      <w:szCs w:val="30"/>
      <w:lang w:bidi="ar-SA"/>
    </w:rPr>
  </w:style>
  <w:style w:type="paragraph" w:styleId="HTMLPreformatted">
    <w:name w:val="HTML Preformatted"/>
    <w:basedOn w:val="Normal"/>
    <w:link w:val="HTMLPreformattedChar"/>
    <w:uiPriority w:val="99"/>
    <w:unhideWhenUsed/>
    <w:rsid w:val="006F1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F1236"/>
    <w:rPr>
      <w:rFonts w:ascii="Courier New" w:eastAsia="Times New Roman" w:hAnsi="Courier New" w:cs="Courier New"/>
      <w:sz w:val="20"/>
      <w:szCs w:val="20"/>
    </w:rPr>
  </w:style>
  <w:style w:type="character" w:customStyle="1" w:styleId="apple-converted-space">
    <w:name w:val="apple-converted-space"/>
    <w:basedOn w:val="DefaultParagraphFont"/>
    <w:rsid w:val="006F1236"/>
  </w:style>
  <w:style w:type="character" w:customStyle="1" w:styleId="nlmstring-name">
    <w:name w:val="nlm_string-name"/>
    <w:basedOn w:val="DefaultParagraphFont"/>
    <w:rsid w:val="006F1236"/>
  </w:style>
  <w:style w:type="character" w:customStyle="1" w:styleId="nlmsource">
    <w:name w:val="nlm_source"/>
    <w:basedOn w:val="DefaultParagraphFont"/>
    <w:rsid w:val="006F1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36"/>
    <w:rPr>
      <w:rFonts w:ascii="Cambria" w:eastAsia="Times New Roman" w:hAnsi="Cambria" w:cs="Times New Roman"/>
      <w:lang w:bidi="en-US"/>
    </w:rPr>
  </w:style>
  <w:style w:type="paragraph" w:styleId="Heading1">
    <w:name w:val="heading 1"/>
    <w:basedOn w:val="Normal"/>
    <w:next w:val="Normal"/>
    <w:link w:val="Heading1Char"/>
    <w:uiPriority w:val="9"/>
    <w:rsid w:val="006F1236"/>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36"/>
    <w:rPr>
      <w:rFonts w:ascii="Cambria" w:eastAsia="Times New Roman" w:hAnsi="Cambria" w:cs="Times New Roman"/>
      <w:smallCaps/>
      <w:spacing w:val="5"/>
      <w:sz w:val="36"/>
      <w:szCs w:val="36"/>
      <w:lang w:val="x-none" w:eastAsia="x-none" w:bidi="en-US"/>
    </w:rPr>
  </w:style>
  <w:style w:type="character" w:styleId="Emphasis">
    <w:name w:val="Emphasis"/>
    <w:uiPriority w:val="20"/>
    <w:qFormat/>
    <w:rsid w:val="006F1236"/>
    <w:rPr>
      <w:b/>
      <w:bCs/>
      <w:i/>
      <w:iCs/>
      <w:spacing w:val="10"/>
    </w:rPr>
  </w:style>
  <w:style w:type="paragraph" w:styleId="ListParagraph">
    <w:name w:val="List Paragraph"/>
    <w:basedOn w:val="Normal"/>
    <w:uiPriority w:val="34"/>
    <w:qFormat/>
    <w:rsid w:val="006F1236"/>
    <w:pPr>
      <w:ind w:left="720"/>
      <w:contextualSpacing/>
    </w:pPr>
  </w:style>
  <w:style w:type="paragraph" w:customStyle="1" w:styleId="TTPTitle">
    <w:name w:val="TTP Title"/>
    <w:basedOn w:val="Normal"/>
    <w:next w:val="Normal"/>
    <w:uiPriority w:val="99"/>
    <w:rsid w:val="006F1236"/>
    <w:pPr>
      <w:autoSpaceDE w:val="0"/>
      <w:autoSpaceDN w:val="0"/>
      <w:spacing w:after="120" w:line="240" w:lineRule="auto"/>
      <w:jc w:val="center"/>
    </w:pPr>
    <w:rPr>
      <w:rFonts w:ascii="Arial" w:hAnsi="Arial" w:cs="Arial"/>
      <w:b/>
      <w:bCs/>
      <w:sz w:val="30"/>
      <w:szCs w:val="30"/>
      <w:lang w:bidi="ar-SA"/>
    </w:rPr>
  </w:style>
  <w:style w:type="paragraph" w:styleId="HTMLPreformatted">
    <w:name w:val="HTML Preformatted"/>
    <w:basedOn w:val="Normal"/>
    <w:link w:val="HTMLPreformattedChar"/>
    <w:uiPriority w:val="99"/>
    <w:unhideWhenUsed/>
    <w:rsid w:val="006F1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F1236"/>
    <w:rPr>
      <w:rFonts w:ascii="Courier New" w:eastAsia="Times New Roman" w:hAnsi="Courier New" w:cs="Courier New"/>
      <w:sz w:val="20"/>
      <w:szCs w:val="20"/>
    </w:rPr>
  </w:style>
  <w:style w:type="character" w:customStyle="1" w:styleId="apple-converted-space">
    <w:name w:val="apple-converted-space"/>
    <w:basedOn w:val="DefaultParagraphFont"/>
    <w:rsid w:val="006F1236"/>
  </w:style>
  <w:style w:type="character" w:customStyle="1" w:styleId="nlmstring-name">
    <w:name w:val="nlm_string-name"/>
    <w:basedOn w:val="DefaultParagraphFont"/>
    <w:rsid w:val="006F1236"/>
  </w:style>
  <w:style w:type="character" w:customStyle="1" w:styleId="nlmsource">
    <w:name w:val="nlm_source"/>
    <w:basedOn w:val="DefaultParagraphFont"/>
    <w:rsid w:val="006F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3</cp:revision>
  <dcterms:created xsi:type="dcterms:W3CDTF">2016-07-13T15:00:00Z</dcterms:created>
  <dcterms:modified xsi:type="dcterms:W3CDTF">2016-08-05T02:49:00Z</dcterms:modified>
</cp:coreProperties>
</file>