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DE78D3" w:rsidRPr="00DE78D3" w:rsidRDefault="00DE78D3" w:rsidP="00DE78D3">
      <w:pPr>
        <w:spacing w:after="0" w:line="240" w:lineRule="auto"/>
        <w:jc w:val="center"/>
        <w:rPr>
          <w:rFonts w:ascii="Times New Roman" w:hAnsi="Times New Roman"/>
          <w:sz w:val="28"/>
        </w:rPr>
      </w:pPr>
      <w:r w:rsidRPr="00DE78D3">
        <w:rPr>
          <w:rFonts w:ascii="Times New Roman" w:hAnsi="Times New Roman"/>
          <w:sz w:val="28"/>
        </w:rPr>
        <w:t>SPECTROSCOPIC CHARA</w:t>
      </w:r>
      <w:r>
        <w:rPr>
          <w:rFonts w:ascii="Times New Roman" w:hAnsi="Times New Roman"/>
          <w:sz w:val="28"/>
        </w:rPr>
        <w:t xml:space="preserve">CTERIZATION OF COPPER(II)-BASED </w:t>
      </w:r>
      <w:r w:rsidRPr="00DE78D3">
        <w:rPr>
          <w:rFonts w:ascii="Times New Roman" w:hAnsi="Times New Roman"/>
          <w:sz w:val="28"/>
        </w:rPr>
        <w:t>TETRAPEPTIDES</w:t>
      </w:r>
    </w:p>
    <w:p w:rsidR="006768E9" w:rsidRPr="00F447A7" w:rsidRDefault="006768E9" w:rsidP="00DE78D3">
      <w:pPr>
        <w:spacing w:after="0" w:line="240" w:lineRule="auto"/>
        <w:jc w:val="center"/>
        <w:rPr>
          <w:rFonts w:ascii="Times New Roman" w:hAnsi="Times New Roman"/>
          <w:noProof/>
          <w:sz w:val="24"/>
          <w:szCs w:val="24"/>
          <w:lang w:bidi="ar-SA"/>
        </w:rPr>
      </w:pPr>
    </w:p>
    <w:p w:rsidR="00DE78D3" w:rsidRPr="00DE78D3" w:rsidRDefault="00DE78D3" w:rsidP="00DE78D3">
      <w:pPr>
        <w:spacing w:after="0" w:line="240" w:lineRule="auto"/>
        <w:jc w:val="center"/>
        <w:rPr>
          <w:rFonts w:ascii="Times New Roman" w:hAnsi="Times New Roman"/>
          <w:sz w:val="24"/>
          <w:szCs w:val="24"/>
        </w:rPr>
      </w:pPr>
      <w:r w:rsidRPr="00DE78D3">
        <w:rPr>
          <w:rFonts w:ascii="Times New Roman" w:hAnsi="Times New Roman"/>
          <w:sz w:val="24"/>
          <w:szCs w:val="24"/>
        </w:rPr>
        <w:t>(Pencirian Spektroskopik Kuprum(II) Tetrapeptida)</w:t>
      </w:r>
    </w:p>
    <w:p w:rsidR="006768E9" w:rsidRPr="00F447A7" w:rsidRDefault="006768E9" w:rsidP="00DE78D3">
      <w:pPr>
        <w:spacing w:after="0" w:line="240" w:lineRule="auto"/>
        <w:jc w:val="center"/>
        <w:rPr>
          <w:rFonts w:ascii="Times New Roman" w:hAnsi="Times New Roman"/>
          <w:noProof/>
          <w:sz w:val="20"/>
          <w:szCs w:val="20"/>
          <w:lang w:bidi="ar-SA"/>
        </w:rPr>
      </w:pPr>
    </w:p>
    <w:p w:rsidR="00DE78D3" w:rsidRPr="00DE78D3" w:rsidRDefault="00DE78D3" w:rsidP="00DE78D3">
      <w:pPr>
        <w:spacing w:after="0" w:line="240" w:lineRule="auto"/>
        <w:jc w:val="center"/>
        <w:rPr>
          <w:rFonts w:ascii="Times New Roman" w:hAnsi="Times New Roman"/>
          <w:sz w:val="20"/>
        </w:rPr>
      </w:pPr>
      <w:r w:rsidRPr="00DE78D3">
        <w:rPr>
          <w:rFonts w:ascii="Times New Roman" w:hAnsi="Times New Roman"/>
          <w:sz w:val="20"/>
        </w:rPr>
        <w:t>Mohd. Basyaruddin Abdul Rahman</w:t>
      </w:r>
      <w:r w:rsidRPr="00DE78D3">
        <w:rPr>
          <w:rFonts w:ascii="Times New Roman" w:hAnsi="Times New Roman"/>
          <w:sz w:val="20"/>
          <w:vertAlign w:val="superscript"/>
        </w:rPr>
        <w:t>1,2</w:t>
      </w:r>
      <w:r w:rsidRPr="00DE78D3">
        <w:rPr>
          <w:rFonts w:ascii="Times New Roman" w:hAnsi="Times New Roman"/>
          <w:sz w:val="20"/>
        </w:rPr>
        <w:t>*, Sharifa Zaithun Begum</w:t>
      </w:r>
      <w:r w:rsidRPr="00DE78D3">
        <w:rPr>
          <w:rFonts w:ascii="Times New Roman" w:hAnsi="Times New Roman"/>
          <w:sz w:val="20"/>
          <w:vertAlign w:val="superscript"/>
        </w:rPr>
        <w:t>1</w:t>
      </w:r>
      <w:r w:rsidRPr="00DE78D3">
        <w:rPr>
          <w:rFonts w:ascii="Times New Roman" w:hAnsi="Times New Roman"/>
          <w:sz w:val="20"/>
        </w:rPr>
        <w:t>, Mohamed Ibrahim Mohamed Tahir</w:t>
      </w:r>
      <w:r w:rsidRPr="00DE78D3">
        <w:rPr>
          <w:rFonts w:ascii="Times New Roman" w:hAnsi="Times New Roman"/>
          <w:sz w:val="20"/>
          <w:vertAlign w:val="superscript"/>
        </w:rPr>
        <w:t>2</w:t>
      </w:r>
      <w:r w:rsidRPr="00DE78D3">
        <w:rPr>
          <w:rFonts w:ascii="Times New Roman" w:hAnsi="Times New Roman"/>
          <w:sz w:val="20"/>
        </w:rPr>
        <w:t>,</w:t>
      </w:r>
    </w:p>
    <w:p w:rsidR="00DE78D3" w:rsidRPr="00DE78D3" w:rsidRDefault="00DE78D3" w:rsidP="00DE78D3">
      <w:pPr>
        <w:spacing w:after="0" w:line="240" w:lineRule="auto"/>
        <w:jc w:val="center"/>
        <w:rPr>
          <w:rFonts w:ascii="Times New Roman" w:hAnsi="Times New Roman"/>
          <w:sz w:val="20"/>
          <w:vertAlign w:val="superscript"/>
        </w:rPr>
      </w:pPr>
      <w:r w:rsidRPr="00DE78D3">
        <w:rPr>
          <w:rFonts w:ascii="Times New Roman" w:hAnsi="Times New Roman"/>
          <w:sz w:val="20"/>
        </w:rPr>
        <w:t>Haslina Ahmad</w:t>
      </w:r>
      <w:r w:rsidRPr="00DE78D3">
        <w:rPr>
          <w:rFonts w:ascii="Times New Roman" w:hAnsi="Times New Roman"/>
          <w:sz w:val="20"/>
          <w:vertAlign w:val="superscript"/>
        </w:rPr>
        <w:t>1,2</w:t>
      </w:r>
      <w:r w:rsidR="00615122">
        <w:rPr>
          <w:rFonts w:ascii="Times New Roman" w:hAnsi="Times New Roman"/>
          <w:sz w:val="20"/>
        </w:rPr>
        <w:t xml:space="preserve">, </w:t>
      </w:r>
      <w:r w:rsidRPr="00DE78D3">
        <w:rPr>
          <w:rFonts w:ascii="Times New Roman" w:hAnsi="Times New Roman"/>
          <w:sz w:val="20"/>
        </w:rPr>
        <w:t>Emilia Abdul Malek</w:t>
      </w:r>
      <w:r w:rsidRPr="00DE78D3">
        <w:rPr>
          <w:rFonts w:ascii="Times New Roman" w:hAnsi="Times New Roman"/>
          <w:sz w:val="20"/>
          <w:vertAlign w:val="superscript"/>
        </w:rPr>
        <w:t>1,2</w:t>
      </w:r>
    </w:p>
    <w:p w:rsidR="00615122" w:rsidRPr="00615122" w:rsidRDefault="00615122" w:rsidP="00615122">
      <w:pPr>
        <w:spacing w:after="0" w:line="240" w:lineRule="auto"/>
        <w:jc w:val="center"/>
        <w:rPr>
          <w:rFonts w:ascii="Times New Roman" w:hAnsi="Times New Roman"/>
          <w:sz w:val="18"/>
          <w:szCs w:val="18"/>
        </w:rPr>
      </w:pPr>
    </w:p>
    <w:p w:rsidR="00615122" w:rsidRPr="00615122" w:rsidRDefault="00615122" w:rsidP="00615122">
      <w:pPr>
        <w:spacing w:after="0" w:line="240" w:lineRule="auto"/>
        <w:jc w:val="center"/>
        <w:rPr>
          <w:rFonts w:ascii="Times New Roman" w:hAnsi="Times New Roman"/>
          <w:i/>
          <w:sz w:val="18"/>
          <w:szCs w:val="18"/>
        </w:rPr>
      </w:pPr>
      <w:r w:rsidRPr="00615122">
        <w:rPr>
          <w:rFonts w:ascii="Times New Roman" w:hAnsi="Times New Roman"/>
          <w:i/>
          <w:sz w:val="18"/>
          <w:szCs w:val="18"/>
          <w:vertAlign w:val="superscript"/>
        </w:rPr>
        <w:t>1</w:t>
      </w:r>
      <w:r w:rsidRPr="00615122">
        <w:rPr>
          <w:rFonts w:ascii="Times New Roman" w:hAnsi="Times New Roman"/>
          <w:i/>
          <w:sz w:val="18"/>
          <w:szCs w:val="18"/>
        </w:rPr>
        <w:t>Enzyme an</w:t>
      </w:r>
      <w:r>
        <w:rPr>
          <w:rFonts w:ascii="Times New Roman" w:hAnsi="Times New Roman"/>
          <w:i/>
          <w:sz w:val="18"/>
          <w:szCs w:val="18"/>
        </w:rPr>
        <w:t>d Microbial Technology Research</w:t>
      </w:r>
    </w:p>
    <w:p w:rsidR="00615122" w:rsidRPr="00615122" w:rsidRDefault="00615122" w:rsidP="00615122">
      <w:pPr>
        <w:spacing w:after="0" w:line="240" w:lineRule="auto"/>
        <w:jc w:val="center"/>
        <w:rPr>
          <w:rFonts w:ascii="Times New Roman" w:hAnsi="Times New Roman"/>
          <w:i/>
          <w:sz w:val="18"/>
          <w:szCs w:val="18"/>
        </w:rPr>
      </w:pPr>
      <w:r w:rsidRPr="00615122">
        <w:rPr>
          <w:rFonts w:ascii="Times New Roman" w:hAnsi="Times New Roman"/>
          <w:i/>
          <w:sz w:val="18"/>
          <w:szCs w:val="18"/>
          <w:vertAlign w:val="superscript"/>
        </w:rPr>
        <w:t>2</w:t>
      </w:r>
      <w:r w:rsidRPr="00615122">
        <w:rPr>
          <w:rFonts w:ascii="Times New Roman" w:hAnsi="Times New Roman"/>
          <w:i/>
          <w:sz w:val="18"/>
          <w:szCs w:val="18"/>
        </w:rPr>
        <w:t xml:space="preserve">Department </w:t>
      </w:r>
      <w:r>
        <w:rPr>
          <w:rFonts w:ascii="Times New Roman" w:hAnsi="Times New Roman"/>
          <w:i/>
          <w:sz w:val="18"/>
          <w:szCs w:val="18"/>
        </w:rPr>
        <w:t>of Chemistry, Faculty of Science</w:t>
      </w:r>
    </w:p>
    <w:p w:rsidR="00615122" w:rsidRPr="00615122" w:rsidRDefault="00615122" w:rsidP="00615122">
      <w:pPr>
        <w:spacing w:after="0" w:line="240" w:lineRule="auto"/>
        <w:jc w:val="center"/>
        <w:rPr>
          <w:rFonts w:ascii="Times New Roman" w:hAnsi="Times New Roman"/>
          <w:i/>
          <w:sz w:val="18"/>
          <w:szCs w:val="18"/>
        </w:rPr>
      </w:pPr>
      <w:r w:rsidRPr="00615122">
        <w:rPr>
          <w:rFonts w:ascii="Times New Roman" w:hAnsi="Times New Roman"/>
          <w:i/>
          <w:sz w:val="18"/>
          <w:szCs w:val="18"/>
        </w:rPr>
        <w:t xml:space="preserve">Universiti Putra Malaysia, </w:t>
      </w:r>
      <w:r>
        <w:rPr>
          <w:rFonts w:ascii="Times New Roman" w:hAnsi="Times New Roman"/>
          <w:i/>
          <w:sz w:val="18"/>
          <w:szCs w:val="18"/>
        </w:rPr>
        <w:t xml:space="preserve">43400 UPM </w:t>
      </w:r>
      <w:r w:rsidRPr="00615122">
        <w:rPr>
          <w:rFonts w:ascii="Times New Roman" w:hAnsi="Times New Roman"/>
          <w:i/>
          <w:sz w:val="18"/>
          <w:szCs w:val="18"/>
        </w:rPr>
        <w:t>Serdang,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615122" w:rsidRDefault="006768E9" w:rsidP="00F447A7">
      <w:pPr>
        <w:spacing w:after="0" w:line="240" w:lineRule="auto"/>
        <w:jc w:val="center"/>
        <w:rPr>
          <w:rFonts w:ascii="Times New Roman" w:hAnsi="Times New Roman"/>
          <w:i/>
          <w:noProof/>
          <w:sz w:val="18"/>
          <w:szCs w:val="18"/>
          <w:lang w:bidi="ar-SA"/>
        </w:rPr>
      </w:pPr>
      <w:r w:rsidRPr="00615122">
        <w:rPr>
          <w:rFonts w:ascii="Times New Roman" w:hAnsi="Times New Roman"/>
          <w:i/>
          <w:noProof/>
          <w:sz w:val="18"/>
          <w:szCs w:val="18"/>
          <w:lang w:bidi="ar-SA"/>
        </w:rPr>
        <w:t>*Corresponding author:</w:t>
      </w:r>
      <w:r w:rsidR="00BE7C30" w:rsidRPr="00615122">
        <w:rPr>
          <w:rFonts w:ascii="Times New Roman" w:hAnsi="Times New Roman"/>
          <w:i/>
          <w:noProof/>
          <w:sz w:val="18"/>
          <w:szCs w:val="18"/>
          <w:lang w:bidi="ar-SA"/>
        </w:rPr>
        <w:t xml:space="preserve"> </w:t>
      </w:r>
      <w:r w:rsidR="00615122" w:rsidRPr="00615122">
        <w:rPr>
          <w:rFonts w:ascii="Times New Roman" w:hAnsi="Times New Roman"/>
          <w:i/>
          <w:sz w:val="18"/>
        </w:rPr>
        <w:t>basya@upm.edu.my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00148">
        <w:rPr>
          <w:rFonts w:ascii="Times New Roman" w:hAnsi="Times New Roman"/>
          <w:noProof/>
          <w:sz w:val="18"/>
          <w:szCs w:val="18"/>
          <w:lang w:bidi="ar-SA"/>
        </w:rPr>
        <w:t>17 August 2015</w:t>
      </w:r>
      <w:r>
        <w:rPr>
          <w:rFonts w:ascii="Times New Roman" w:hAnsi="Times New Roman"/>
          <w:noProof/>
          <w:sz w:val="18"/>
          <w:szCs w:val="18"/>
          <w:lang w:bidi="ar-SA"/>
        </w:rPr>
        <w:t xml:space="preserve">; Accepted: </w:t>
      </w:r>
      <w:r w:rsidR="00E00148">
        <w:rPr>
          <w:rFonts w:ascii="Times New Roman" w:hAnsi="Times New Roman"/>
          <w:noProof/>
          <w:sz w:val="18"/>
          <w:szCs w:val="18"/>
          <w:lang w:bidi="ar-SA"/>
        </w:rPr>
        <w:t>7 May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15122" w:rsidRPr="00615122" w:rsidRDefault="00615122" w:rsidP="00615122">
      <w:pPr>
        <w:spacing w:after="0" w:line="240" w:lineRule="auto"/>
        <w:jc w:val="both"/>
        <w:rPr>
          <w:rFonts w:ascii="Times New Roman" w:hAnsi="Times New Roman"/>
          <w:sz w:val="18"/>
        </w:rPr>
      </w:pPr>
      <w:r w:rsidRPr="00615122">
        <w:rPr>
          <w:rFonts w:ascii="Times New Roman" w:hAnsi="Times New Roman"/>
          <w:sz w:val="18"/>
        </w:rPr>
        <w:t>Five different histidine and aspartic acid based tetrapeptides were designed using LOMETS and PyMol. They were chemically synthesized following the solid phase Fmoc-peptide synthesis protocols and were analysed using the reverse-phase High Performance Liquid Chromatography (HPLC) C</w:t>
      </w:r>
      <w:r w:rsidRPr="00615122">
        <w:rPr>
          <w:rFonts w:ascii="Times New Roman" w:hAnsi="Times New Roman"/>
          <w:sz w:val="18"/>
          <w:vertAlign w:val="subscript"/>
        </w:rPr>
        <w:t>18</w:t>
      </w:r>
      <w:r w:rsidRPr="00615122">
        <w:rPr>
          <w:rFonts w:ascii="Times New Roman" w:hAnsi="Times New Roman"/>
          <w:sz w:val="18"/>
        </w:rPr>
        <w:t xml:space="preserve"> analytical column for the purity. The peptides were further analysed by Liquid Chromatography Mass Spectrometry (LCMS) to see if the desired peptides were synthesized systematically. Copper(II) acetate monohydrate was bound to the peptides and the best molar ratio for the binding of these metal salts to peptides was 2:1. These observations were monitored through several spectroscopic techniques. The first physical observations for the successful synthesis of metallopeptides were the colour change, the melting/decomposition points and the solubility of these metallopeptides. Due to the visible colour change of the peptides to metallopeptides, UV-Visible spectroscopy and UV-Fluorescence spectroscopy were used as a qualitative analysis tests and the results were in agreement with other researchers’ data from similar researches.</w:t>
      </w:r>
    </w:p>
    <w:p w:rsidR="00615122" w:rsidRPr="00615122" w:rsidRDefault="00615122" w:rsidP="00615122">
      <w:pPr>
        <w:spacing w:after="0" w:line="240" w:lineRule="auto"/>
        <w:jc w:val="both"/>
        <w:rPr>
          <w:rFonts w:ascii="Times New Roman" w:hAnsi="Times New Roman"/>
          <w:sz w:val="18"/>
        </w:rPr>
      </w:pPr>
      <w:r w:rsidRPr="00615122">
        <w:rPr>
          <w:rFonts w:ascii="Times New Roman" w:hAnsi="Times New Roman"/>
          <w:sz w:val="18"/>
        </w:rPr>
        <w:t xml:space="preserve"> </w:t>
      </w:r>
    </w:p>
    <w:p w:rsidR="00615122" w:rsidRPr="00615122" w:rsidRDefault="00615122" w:rsidP="00615122">
      <w:pPr>
        <w:spacing w:after="0" w:line="240" w:lineRule="auto"/>
        <w:jc w:val="both"/>
        <w:rPr>
          <w:rFonts w:ascii="Times New Roman" w:hAnsi="Times New Roman"/>
          <w:sz w:val="18"/>
        </w:rPr>
      </w:pPr>
      <w:r w:rsidRPr="00615122">
        <w:rPr>
          <w:rFonts w:ascii="Times New Roman" w:hAnsi="Times New Roman"/>
          <w:b/>
          <w:sz w:val="18"/>
        </w:rPr>
        <w:t xml:space="preserve">Keywords: </w:t>
      </w:r>
      <w:r>
        <w:rPr>
          <w:rFonts w:ascii="Times New Roman" w:hAnsi="Times New Roman"/>
          <w:sz w:val="18"/>
        </w:rPr>
        <w:t>c</w:t>
      </w:r>
      <w:r w:rsidRPr="00615122">
        <w:rPr>
          <w:rFonts w:ascii="Times New Roman" w:hAnsi="Times New Roman"/>
          <w:sz w:val="18"/>
        </w:rPr>
        <w:t>opper(II), histidine, aspartic acid, tetrapeptides, spectroscopic</w:t>
      </w:r>
    </w:p>
    <w:p w:rsidR="00DD377F" w:rsidRDefault="00DD377F" w:rsidP="00615122">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615122" w:rsidRPr="005E26EF" w:rsidRDefault="00615122" w:rsidP="00615122">
      <w:pPr>
        <w:spacing w:after="0" w:line="240" w:lineRule="auto"/>
        <w:jc w:val="both"/>
        <w:rPr>
          <w:rFonts w:ascii="Times New Roman" w:hAnsi="Times New Roman"/>
          <w:sz w:val="18"/>
        </w:rPr>
      </w:pPr>
      <w:r w:rsidRPr="005E26EF">
        <w:rPr>
          <w:rFonts w:ascii="Times New Roman" w:hAnsi="Times New Roman"/>
          <w:sz w:val="18"/>
        </w:rPr>
        <w:t>Lima tetrapeptida berbeza yang mempunyai histidine dan asid aspartik direkabentuk oleh LOMETS dan PyMol. Tetrapeptida ini disintesis mengikut skim fasa pepejal peptida dan dianalisis menggunakan fasa sonsang Kromatografi Cecair Berprestasi Tinggi (HPLC) C</w:t>
      </w:r>
      <w:r w:rsidRPr="005E26EF">
        <w:rPr>
          <w:rFonts w:ascii="Times New Roman" w:hAnsi="Times New Roman"/>
          <w:sz w:val="18"/>
          <w:vertAlign w:val="subscript"/>
        </w:rPr>
        <w:t>18</w:t>
      </w:r>
      <w:r w:rsidRPr="005E26EF">
        <w:rPr>
          <w:rFonts w:ascii="Times New Roman" w:hAnsi="Times New Roman"/>
          <w:sz w:val="18"/>
        </w:rPr>
        <w:t xml:space="preserve"> turus analisis untuk mengetahui keaslian peptida. Kesemua peptida ini dianalisis mengunakan Kromatografi Cecair-Spektrometer Jisim (LC-MS) untuk mengkaji sintesis peptida secara sistematik. Kuprum(II) asetat monohidrat terikat kepada peptida dan nisbah mol yang terbaik untuk mengikat garam logam ini kepada peptida adalah 2:1. Cerapan ini telah dipantau melalui beberapa teknik spektroskopi. Pemerhatian fizikal pertama untuk logam peptida yang berjaya disintesis ialah perubahan warna, takat lebur/penguraian dan kebolehlarutan peptida logam ini. Oleh kerana perubahan warna yang nyata dalam dari peptida kepada logam peptida, spektroskopi Ultralembayung-tampak (UV-Vis) dan spektroskopi Ultralembayung-Pendafluor (UV-Fluorescence) digunakan sebagai ujian analisis kuantatif dan data yang diperolehi adalah setara dengan perolehan data bagi penyelidikan yang serupa.</w:t>
      </w:r>
    </w:p>
    <w:p w:rsidR="00615122" w:rsidRPr="005E26EF" w:rsidRDefault="00615122" w:rsidP="00615122">
      <w:pPr>
        <w:spacing w:after="0" w:line="240" w:lineRule="auto"/>
        <w:jc w:val="both"/>
        <w:rPr>
          <w:rFonts w:ascii="Times New Roman" w:hAnsi="Times New Roman"/>
          <w:sz w:val="18"/>
        </w:rPr>
      </w:pPr>
    </w:p>
    <w:p w:rsidR="00615122" w:rsidRPr="005E26EF" w:rsidRDefault="00615122" w:rsidP="00615122">
      <w:pPr>
        <w:spacing w:after="0" w:line="240" w:lineRule="auto"/>
        <w:jc w:val="both"/>
        <w:rPr>
          <w:rFonts w:ascii="Times New Roman" w:hAnsi="Times New Roman"/>
          <w:sz w:val="18"/>
        </w:rPr>
      </w:pPr>
      <w:r w:rsidRPr="005E26EF">
        <w:rPr>
          <w:rFonts w:ascii="Times New Roman" w:hAnsi="Times New Roman"/>
          <w:sz w:val="18"/>
        </w:rPr>
        <w:t xml:space="preserve"> </w:t>
      </w:r>
      <w:r w:rsidRPr="005E26EF">
        <w:rPr>
          <w:rFonts w:ascii="Times New Roman" w:hAnsi="Times New Roman"/>
          <w:b/>
          <w:sz w:val="18"/>
        </w:rPr>
        <w:t xml:space="preserve">Kata kunci: </w:t>
      </w:r>
      <w:r w:rsidRPr="005E26EF">
        <w:rPr>
          <w:rFonts w:ascii="Times New Roman" w:hAnsi="Times New Roman"/>
          <w:sz w:val="18"/>
        </w:rPr>
        <w:t>Kuprum(II), histidin, asid aspartik, tetrapeptida, spektroskopi</w:t>
      </w:r>
    </w:p>
    <w:p w:rsidR="006768E9" w:rsidRDefault="006768E9" w:rsidP="00615122">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615122" w:rsidRDefault="00615122" w:rsidP="00F447A7">
      <w:pPr>
        <w:spacing w:after="0" w:line="240" w:lineRule="auto"/>
        <w:jc w:val="center"/>
        <w:rPr>
          <w:rFonts w:ascii="Times New Roman" w:hAnsi="Times New Roman"/>
          <w:noProof/>
          <w:sz w:val="20"/>
          <w:szCs w:val="20"/>
          <w:lang w:bidi="ar-SA"/>
        </w:rPr>
      </w:pPr>
    </w:p>
    <w:p w:rsidR="00615122" w:rsidRPr="00BE7C30" w:rsidRDefault="00615122"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615122" w:rsidRPr="005E26EF" w:rsidRDefault="00615122" w:rsidP="00615122">
      <w:pPr>
        <w:spacing w:after="0" w:line="240" w:lineRule="auto"/>
        <w:jc w:val="both"/>
        <w:rPr>
          <w:rFonts w:ascii="Times New Roman" w:hAnsi="Times New Roman"/>
          <w:sz w:val="20"/>
        </w:rPr>
      </w:pPr>
      <w:r w:rsidRPr="005E26EF">
        <w:rPr>
          <w:rFonts w:ascii="Times New Roman" w:hAnsi="Times New Roman"/>
          <w:sz w:val="20"/>
        </w:rPr>
        <w:t xml:space="preserve">Metallopeptides that are easier and cheaper to synthesise when compared to metalloproteins have caught the attention of many researchers. Metallopeptides, synthesized from metal salt and peptides, are known as </w:t>
      </w:r>
      <w:r w:rsidRPr="005E26EF">
        <w:rPr>
          <w:rFonts w:ascii="Times New Roman" w:hAnsi="Times New Roman"/>
          <w:i/>
          <w:sz w:val="20"/>
        </w:rPr>
        <w:t>pseudo</w:t>
      </w:r>
      <w:r w:rsidRPr="005E26EF">
        <w:rPr>
          <w:rFonts w:ascii="Times New Roman" w:hAnsi="Times New Roman"/>
          <w:sz w:val="20"/>
        </w:rPr>
        <w:t>-proteins. They imitate the applications of large proteins especially in the industrial field of catalysis as well as in biological applications [1]. Metallopeptides are hybrid structures that combine peptides and metal and in this project, the transition metal copper(II) was used, that has various roles when used as biological probes [2]. The purpose of inserting a metal, particularly a transition metal is to increase the stability of short chain peptides, to provide the active site for various organic catalytic reactions (by behaving like an enzyme), to act as an antimicrobial agent in peptides that have no antimicrobial properties, to improve the anticancer properties of peptides and also to proliferate normal cells, amongst others [3].</w:t>
      </w:r>
    </w:p>
    <w:p w:rsidR="00615122" w:rsidRPr="005E26EF" w:rsidRDefault="00615122" w:rsidP="00615122">
      <w:pPr>
        <w:spacing w:after="0" w:line="240" w:lineRule="auto"/>
        <w:jc w:val="both"/>
        <w:rPr>
          <w:rFonts w:ascii="Times New Roman" w:hAnsi="Times New Roman"/>
          <w:sz w:val="20"/>
        </w:rPr>
      </w:pPr>
    </w:p>
    <w:p w:rsidR="006768E9" w:rsidRPr="00F447A7" w:rsidRDefault="00615122" w:rsidP="00615122">
      <w:pPr>
        <w:spacing w:after="0" w:line="240" w:lineRule="auto"/>
        <w:jc w:val="both"/>
        <w:rPr>
          <w:rFonts w:ascii="Times New Roman" w:hAnsi="Times New Roman"/>
          <w:noProof/>
          <w:sz w:val="20"/>
          <w:szCs w:val="20"/>
          <w:lang w:bidi="ar-SA"/>
        </w:rPr>
      </w:pPr>
      <w:r w:rsidRPr="005E26EF">
        <w:rPr>
          <w:rFonts w:ascii="Times New Roman" w:hAnsi="Times New Roman"/>
          <w:sz w:val="20"/>
        </w:rPr>
        <w:t>The industrial applications of metallopeptides are applicable only when there is an understanding on its synthesis, for instance, the stability of the copper(II)-tetrapeptides will be understood only when data is available on the structure and geometry of copper(II) binding to the peptide. After confirming the stability of the metallocomplex, they can be applied as a catalyst or in biological assays. In this project, copper(II) acetate was bound to tetrapeptides containing metal binding amino acids; histidine and aspartic acid. Sulphur containing amino acids, though they are also metal binding amino acids were not used as they can be hazardous when applied in biological applications. In this research, the confirmation of the binding of metal to side chain of a particular amino acid in the peptides through UV-Visible spectroscopy and UV-Fluorescence is discussed. A brief discussion on how these two spectroscopic techniques can help in predicting the geometry of the copper(II) peptides is outlined, whether they form square planar, tetrahedral or octahedral complexes.</w:t>
      </w:r>
    </w:p>
    <w:p w:rsidR="00615122" w:rsidRDefault="00615122"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615122" w:rsidRDefault="00615122" w:rsidP="00615122">
      <w:pPr>
        <w:spacing w:after="0" w:line="240" w:lineRule="auto"/>
        <w:jc w:val="both"/>
        <w:rPr>
          <w:rFonts w:ascii="Times New Roman" w:hAnsi="Times New Roman"/>
          <w:sz w:val="20"/>
        </w:rPr>
      </w:pPr>
      <w:r w:rsidRPr="00615122">
        <w:rPr>
          <w:rFonts w:ascii="Times New Roman" w:hAnsi="Times New Roman"/>
          <w:sz w:val="20"/>
        </w:rPr>
        <w:t>Five peptides were designed (P1: (Fmoc)NH-HAAD, P2: (Fmoc)NH-HAFD, P3: (Fmoc)NH-HAVD, P4: NH</w:t>
      </w:r>
      <w:r w:rsidRPr="00615122">
        <w:rPr>
          <w:rFonts w:ascii="Times New Roman" w:hAnsi="Times New Roman"/>
          <w:sz w:val="20"/>
          <w:vertAlign w:val="subscript"/>
        </w:rPr>
        <w:t>2</w:t>
      </w:r>
      <w:r w:rsidRPr="00615122">
        <w:rPr>
          <w:rFonts w:ascii="Times New Roman" w:hAnsi="Times New Roman"/>
          <w:sz w:val="20"/>
        </w:rPr>
        <w:t>-AGHD, P5: NH</w:t>
      </w:r>
      <w:r w:rsidRPr="00615122">
        <w:rPr>
          <w:rFonts w:ascii="Times New Roman" w:hAnsi="Times New Roman"/>
          <w:sz w:val="20"/>
          <w:vertAlign w:val="subscript"/>
        </w:rPr>
        <w:t>2</w:t>
      </w:r>
      <w:r w:rsidRPr="00615122">
        <w:rPr>
          <w:rFonts w:ascii="Times New Roman" w:hAnsi="Times New Roman"/>
          <w:sz w:val="20"/>
        </w:rPr>
        <w:t xml:space="preserve">-PGHD), synthesized and purified. They were characterized by High Performance Liquid Chromatography-Ultraviolet detector (HPLC-UV) for its purity and Liquid Chromatography-Mass Spectroscopy (LC-MS) for confirmation of the formation of peptides by its molecular weight. Copper(II) acetate monohydrate was bound to these five peptides in a 2:1 mole ratio. </w:t>
      </w:r>
    </w:p>
    <w:p w:rsidR="00615122" w:rsidRPr="00615122" w:rsidRDefault="00615122" w:rsidP="00615122">
      <w:pPr>
        <w:spacing w:after="0" w:line="240" w:lineRule="auto"/>
        <w:jc w:val="both"/>
        <w:rPr>
          <w:rFonts w:ascii="Times New Roman" w:hAnsi="Times New Roman"/>
          <w:sz w:val="20"/>
        </w:rPr>
      </w:pPr>
    </w:p>
    <w:p w:rsidR="00615122" w:rsidRPr="00615122" w:rsidRDefault="00615122" w:rsidP="00615122">
      <w:pPr>
        <w:spacing w:after="0" w:line="240" w:lineRule="auto"/>
        <w:jc w:val="both"/>
        <w:rPr>
          <w:rFonts w:ascii="Times New Roman" w:hAnsi="Times New Roman"/>
          <w:b/>
          <w:sz w:val="20"/>
        </w:rPr>
      </w:pPr>
      <w:r w:rsidRPr="00615122">
        <w:rPr>
          <w:rFonts w:ascii="Times New Roman" w:hAnsi="Times New Roman"/>
          <w:b/>
          <w:sz w:val="20"/>
        </w:rPr>
        <w:t>Synthesis of metallopeptides</w:t>
      </w:r>
    </w:p>
    <w:p w:rsidR="00615122" w:rsidRPr="00615122" w:rsidRDefault="00615122" w:rsidP="00615122">
      <w:pPr>
        <w:spacing w:after="0" w:line="240" w:lineRule="auto"/>
        <w:jc w:val="both"/>
        <w:rPr>
          <w:rFonts w:ascii="Times New Roman" w:hAnsi="Times New Roman"/>
          <w:sz w:val="20"/>
          <w:szCs w:val="20"/>
        </w:rPr>
      </w:pPr>
      <w:r w:rsidRPr="00615122">
        <w:rPr>
          <w:rFonts w:ascii="Times New Roman" w:hAnsi="Times New Roman"/>
          <w:sz w:val="20"/>
          <w:szCs w:val="20"/>
        </w:rPr>
        <w:t>Copper(II) acetate monohydrate (Cu(CH</w:t>
      </w:r>
      <w:r w:rsidRPr="00615122">
        <w:rPr>
          <w:rFonts w:ascii="Times New Roman" w:hAnsi="Times New Roman"/>
          <w:sz w:val="20"/>
          <w:szCs w:val="20"/>
          <w:vertAlign w:val="subscript"/>
        </w:rPr>
        <w:t>3</w:t>
      </w:r>
      <w:r w:rsidRPr="00615122">
        <w:rPr>
          <w:rFonts w:ascii="Times New Roman" w:hAnsi="Times New Roman"/>
          <w:sz w:val="20"/>
          <w:szCs w:val="20"/>
        </w:rPr>
        <w:t>COO)</w:t>
      </w:r>
      <w:r w:rsidRPr="00615122">
        <w:rPr>
          <w:rFonts w:ascii="Times New Roman" w:hAnsi="Times New Roman"/>
          <w:sz w:val="20"/>
          <w:szCs w:val="20"/>
          <w:vertAlign w:val="subscript"/>
        </w:rPr>
        <w:t>2</w:t>
      </w:r>
      <w:r w:rsidRPr="00615122">
        <w:rPr>
          <w:rFonts w:ascii="Times New Roman" w:hAnsi="Times New Roman"/>
          <w:sz w:val="20"/>
          <w:szCs w:val="20"/>
        </w:rPr>
        <w:t>.H</w:t>
      </w:r>
      <w:r w:rsidRPr="00615122">
        <w:rPr>
          <w:rFonts w:ascii="Times New Roman" w:hAnsi="Times New Roman"/>
          <w:sz w:val="20"/>
          <w:szCs w:val="20"/>
          <w:vertAlign w:val="subscript"/>
        </w:rPr>
        <w:t>2</w:t>
      </w:r>
      <w:r w:rsidRPr="00615122">
        <w:rPr>
          <w:rFonts w:ascii="Times New Roman" w:hAnsi="Times New Roman"/>
          <w:sz w:val="20"/>
          <w:szCs w:val="20"/>
        </w:rPr>
        <w:t>O (189mg, 2 mol) was dissolved in deionized water (~10mL until all has dissolved) and heated in a water bath. In a separate test tube, the peptides P1-3 (300 mg) were dissolved in a mixture of deionized water and acetonitrile (20 mL and 10 mL respectively). Except for P4 and P5, these peptides were dissolved in deionized water only (20 mL) as the other three peptides had an FMOC group (hydrophobic group). The metal salt solution (cooled to room temperature) was added dropwise into the peptide solution with constant stirring at 40 – 60 °C. The resultant solution was stirred until the solution changed color and a precipitate was observed. After the precipitate was formed, the stirring was continued for another 1 – 2 hours to ensure that the reaction was completed (No further observation). The precipitate was vacuum-filtered and washed with cold deionized water and dried with acetone [4]. The final product was analyzed and characterized biophysically using UV-Vis and UV-Fluorescence spectroscopy. The product was purified through crystallization.</w:t>
      </w:r>
    </w:p>
    <w:p w:rsidR="00615122" w:rsidRPr="00615122" w:rsidRDefault="00615122" w:rsidP="00615122">
      <w:pPr>
        <w:spacing w:after="0" w:line="240" w:lineRule="auto"/>
        <w:jc w:val="both"/>
        <w:rPr>
          <w:rFonts w:ascii="Times New Roman" w:hAnsi="Times New Roman"/>
          <w:sz w:val="20"/>
          <w:szCs w:val="20"/>
        </w:rPr>
      </w:pPr>
    </w:p>
    <w:p w:rsidR="00615122" w:rsidRPr="00615122" w:rsidRDefault="00615122" w:rsidP="00615122">
      <w:pPr>
        <w:spacing w:after="0" w:line="240" w:lineRule="auto"/>
        <w:jc w:val="both"/>
        <w:rPr>
          <w:rFonts w:ascii="Times New Roman" w:hAnsi="Times New Roman"/>
          <w:sz w:val="20"/>
          <w:szCs w:val="20"/>
        </w:rPr>
      </w:pPr>
      <w:r w:rsidRPr="00615122">
        <w:rPr>
          <w:rFonts w:ascii="Times New Roman" w:hAnsi="Times New Roman"/>
          <w:b/>
          <w:sz w:val="20"/>
          <w:szCs w:val="20"/>
        </w:rPr>
        <w:t>UV-Visible spectroscopic analysis of Cu(II)-tetrapeptides and its parent peptides</w:t>
      </w:r>
    </w:p>
    <w:p w:rsidR="00615122" w:rsidRDefault="00615122" w:rsidP="00615122">
      <w:pPr>
        <w:spacing w:after="0" w:line="240" w:lineRule="auto"/>
        <w:jc w:val="both"/>
        <w:rPr>
          <w:rFonts w:ascii="Times New Roman" w:hAnsi="Times New Roman"/>
          <w:sz w:val="20"/>
        </w:rPr>
      </w:pPr>
      <w:r w:rsidRPr="00615122">
        <w:rPr>
          <w:rFonts w:ascii="Times New Roman" w:hAnsi="Times New Roman"/>
          <w:sz w:val="20"/>
        </w:rPr>
        <w:t>Peptides (10mM) and metallopeptides (5 – 10 mM) were dissolved in 5 mL of water and 10 mL of KH</w:t>
      </w:r>
      <w:r w:rsidRPr="00615122">
        <w:rPr>
          <w:rFonts w:ascii="Times New Roman" w:hAnsi="Times New Roman"/>
          <w:sz w:val="20"/>
          <w:vertAlign w:val="subscript"/>
        </w:rPr>
        <w:t>2</w:t>
      </w:r>
      <w:r w:rsidRPr="00615122">
        <w:rPr>
          <w:rFonts w:ascii="Times New Roman" w:hAnsi="Times New Roman"/>
          <w:sz w:val="20"/>
        </w:rPr>
        <w:t>PO</w:t>
      </w:r>
      <w:r w:rsidRPr="00615122">
        <w:rPr>
          <w:rFonts w:ascii="Times New Roman" w:hAnsi="Times New Roman"/>
          <w:sz w:val="20"/>
          <w:vertAlign w:val="subscript"/>
        </w:rPr>
        <w:t>4</w:t>
      </w:r>
      <w:r w:rsidRPr="00615122">
        <w:rPr>
          <w:rFonts w:ascii="Times New Roman" w:hAnsi="Times New Roman"/>
          <w:sz w:val="20"/>
        </w:rPr>
        <w:t xml:space="preserve"> buffer [11.11 mM] separately and were placed into 1 cm path length rectangular quartz cuvettes. The UV-Vis wavelength range was set from 200 – 1000 nm with fast scanning speed.  The average of three scan readings were taken and plotted.</w:t>
      </w:r>
    </w:p>
    <w:p w:rsidR="00C75A85" w:rsidRPr="00615122" w:rsidRDefault="00C75A85" w:rsidP="00615122">
      <w:pPr>
        <w:spacing w:after="0" w:line="240" w:lineRule="auto"/>
        <w:jc w:val="both"/>
        <w:rPr>
          <w:rFonts w:ascii="Times New Roman" w:hAnsi="Times New Roman"/>
          <w:sz w:val="20"/>
        </w:rPr>
      </w:pPr>
    </w:p>
    <w:p w:rsidR="00615122" w:rsidRPr="00615122" w:rsidRDefault="00615122" w:rsidP="00615122">
      <w:pPr>
        <w:spacing w:after="0" w:line="240" w:lineRule="auto"/>
        <w:jc w:val="both"/>
        <w:rPr>
          <w:rFonts w:ascii="Times New Roman" w:hAnsi="Times New Roman"/>
          <w:sz w:val="20"/>
        </w:rPr>
      </w:pPr>
      <w:r w:rsidRPr="00615122">
        <w:rPr>
          <w:rFonts w:ascii="Times New Roman" w:hAnsi="Times New Roman"/>
          <w:b/>
          <w:sz w:val="20"/>
          <w:szCs w:val="20"/>
        </w:rPr>
        <w:t>UV-Fluorescence spectroscopic analysis of Cu(II)-tetrapeptides and its parent peptides</w:t>
      </w:r>
    </w:p>
    <w:p w:rsidR="00615122" w:rsidRPr="00615122" w:rsidRDefault="00615122" w:rsidP="00615122">
      <w:pPr>
        <w:spacing w:after="0" w:line="240" w:lineRule="auto"/>
        <w:jc w:val="both"/>
        <w:rPr>
          <w:rFonts w:ascii="Times New Roman" w:hAnsi="Times New Roman"/>
          <w:sz w:val="20"/>
        </w:rPr>
      </w:pPr>
      <w:r w:rsidRPr="00615122">
        <w:rPr>
          <w:rFonts w:ascii="Times New Roman" w:hAnsi="Times New Roman"/>
          <w:sz w:val="20"/>
        </w:rPr>
        <w:t xml:space="preserve">Peptides (10mM) and metallopeptides (5-10mM) prepared for UV-Vis were used for UV- fluorescence as well. The samples were placed in a fluorescent cuvette. The scanning wavelength was set from 250 – 650 nm. The excitation wavelength was set to 280 nm. The slit width was 5 nm and the spectrum recorded was an average of three scans at fast speed. </w:t>
      </w:r>
    </w:p>
    <w:p w:rsidR="006768E9" w:rsidRPr="00615122" w:rsidRDefault="006768E9" w:rsidP="00615122">
      <w:pPr>
        <w:spacing w:after="0" w:line="240" w:lineRule="auto"/>
        <w:jc w:val="both"/>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C75A85" w:rsidRPr="00C75A85" w:rsidRDefault="00C75A85" w:rsidP="00C75A85">
      <w:pPr>
        <w:spacing w:after="0" w:line="240" w:lineRule="auto"/>
        <w:jc w:val="both"/>
        <w:rPr>
          <w:rFonts w:ascii="Times New Roman" w:hAnsi="Times New Roman"/>
          <w:sz w:val="20"/>
          <w:szCs w:val="20"/>
        </w:rPr>
      </w:pPr>
      <w:r w:rsidRPr="00C75A85">
        <w:rPr>
          <w:rFonts w:ascii="Times New Roman" w:hAnsi="Times New Roman"/>
          <w:sz w:val="20"/>
          <w:szCs w:val="20"/>
        </w:rPr>
        <w:t>Five histidine and aspartic acid based tetrapeptides that were designed computationally had proven random secondary structure and were synthesized and analyzed by HPLC and LC-MS as shown in Table 1. Their physical observations and their % yields are also mentioned.</w:t>
      </w:r>
    </w:p>
    <w:p w:rsidR="00C75A85" w:rsidRPr="00C75A85" w:rsidRDefault="00C75A85" w:rsidP="00C75A85">
      <w:pPr>
        <w:spacing w:after="0" w:line="240" w:lineRule="auto"/>
        <w:jc w:val="both"/>
        <w:rPr>
          <w:rFonts w:ascii="Times New Roman" w:hAnsi="Times New Roman"/>
          <w:sz w:val="20"/>
          <w:szCs w:val="20"/>
        </w:rPr>
      </w:pPr>
    </w:p>
    <w:p w:rsidR="00C75A85" w:rsidRPr="00C75A85" w:rsidRDefault="00C75A85" w:rsidP="00C75A85">
      <w:pPr>
        <w:spacing w:after="0" w:line="240" w:lineRule="auto"/>
        <w:jc w:val="both"/>
        <w:rPr>
          <w:rFonts w:ascii="Times New Roman" w:hAnsi="Times New Roman"/>
          <w:sz w:val="20"/>
          <w:szCs w:val="20"/>
        </w:rPr>
      </w:pPr>
    </w:p>
    <w:p w:rsidR="00C75A85" w:rsidRPr="00C75A85" w:rsidRDefault="00C75A85" w:rsidP="00C75A85">
      <w:pPr>
        <w:spacing w:after="120" w:line="240" w:lineRule="auto"/>
        <w:jc w:val="center"/>
        <w:rPr>
          <w:rFonts w:ascii="Times New Roman" w:hAnsi="Times New Roman"/>
          <w:sz w:val="20"/>
          <w:szCs w:val="20"/>
        </w:rPr>
      </w:pPr>
      <w:r w:rsidRPr="00C75A85">
        <w:rPr>
          <w:rFonts w:ascii="Times New Roman" w:hAnsi="Times New Roman"/>
          <w:sz w:val="20"/>
          <w:szCs w:val="20"/>
        </w:rPr>
        <w:t>Table 1.</w:t>
      </w:r>
      <w:r>
        <w:rPr>
          <w:rFonts w:ascii="Times New Roman" w:hAnsi="Times New Roman"/>
          <w:sz w:val="20"/>
          <w:szCs w:val="20"/>
        </w:rPr>
        <w:t xml:space="preserve"> </w:t>
      </w:r>
      <w:r w:rsidRPr="00C75A85">
        <w:rPr>
          <w:rFonts w:ascii="Times New Roman" w:hAnsi="Times New Roman"/>
          <w:sz w:val="20"/>
          <w:szCs w:val="20"/>
        </w:rPr>
        <w:t xml:space="preserve"> Physical observations, solubility in water and % yields of peptides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1738"/>
        <w:gridCol w:w="2111"/>
        <w:gridCol w:w="1794"/>
        <w:gridCol w:w="878"/>
      </w:tblGrid>
      <w:tr w:rsidR="00C75A85" w:rsidRPr="00C75A85" w:rsidTr="00C75A85">
        <w:trPr>
          <w:trHeight w:val="305"/>
          <w:jc w:val="center"/>
        </w:trPr>
        <w:tc>
          <w:tcPr>
            <w:tcW w:w="0" w:type="auto"/>
            <w:tcBorders>
              <w:top w:val="single" w:sz="4" w:space="0" w:color="auto"/>
              <w:bottom w:val="single" w:sz="4" w:space="0" w:color="auto"/>
            </w:tcBorders>
          </w:tcPr>
          <w:p w:rsidR="00C75A85" w:rsidRPr="00C75A85" w:rsidRDefault="00C75A85" w:rsidP="00C75A85">
            <w:pPr>
              <w:spacing w:before="60" w:after="60" w:line="240" w:lineRule="auto"/>
              <w:rPr>
                <w:b/>
                <w:bCs/>
                <w:sz w:val="20"/>
                <w:szCs w:val="20"/>
                <w:lang w:val="en-US"/>
              </w:rPr>
            </w:pPr>
            <w:r w:rsidRPr="00C75A85">
              <w:rPr>
                <w:b/>
                <w:bCs/>
                <w:sz w:val="20"/>
                <w:szCs w:val="20"/>
                <w:lang w:val="en-US"/>
              </w:rPr>
              <w:t>No.</w:t>
            </w:r>
          </w:p>
        </w:tc>
        <w:tc>
          <w:tcPr>
            <w:tcW w:w="0" w:type="auto"/>
            <w:tcBorders>
              <w:top w:val="single" w:sz="4" w:space="0" w:color="auto"/>
              <w:bottom w:val="single" w:sz="4" w:space="0" w:color="auto"/>
            </w:tcBorders>
          </w:tcPr>
          <w:p w:rsidR="00C75A85" w:rsidRPr="00C75A85" w:rsidRDefault="00C75A85" w:rsidP="00C75A85">
            <w:pPr>
              <w:spacing w:before="60" w:after="60" w:line="240" w:lineRule="auto"/>
              <w:rPr>
                <w:b/>
                <w:bCs/>
                <w:sz w:val="20"/>
                <w:szCs w:val="20"/>
                <w:lang w:val="en-US"/>
              </w:rPr>
            </w:pPr>
            <w:r w:rsidRPr="00C75A85">
              <w:rPr>
                <w:b/>
                <w:bCs/>
                <w:sz w:val="20"/>
                <w:szCs w:val="20"/>
                <w:lang w:val="en-US"/>
              </w:rPr>
              <w:t>Peptides</w:t>
            </w:r>
          </w:p>
        </w:tc>
        <w:tc>
          <w:tcPr>
            <w:tcW w:w="0" w:type="auto"/>
            <w:tcBorders>
              <w:top w:val="single" w:sz="4" w:space="0" w:color="auto"/>
              <w:bottom w:val="single" w:sz="4" w:space="0" w:color="auto"/>
            </w:tcBorders>
          </w:tcPr>
          <w:p w:rsidR="00C75A85" w:rsidRPr="00C75A85" w:rsidRDefault="00C75A85" w:rsidP="00C75A85">
            <w:pPr>
              <w:spacing w:before="60" w:after="60" w:line="240" w:lineRule="auto"/>
              <w:rPr>
                <w:b/>
                <w:bCs/>
                <w:sz w:val="20"/>
                <w:szCs w:val="20"/>
                <w:lang w:val="en-US"/>
              </w:rPr>
            </w:pPr>
            <w:r w:rsidRPr="00C75A85">
              <w:rPr>
                <w:b/>
                <w:bCs/>
                <w:sz w:val="20"/>
                <w:szCs w:val="20"/>
                <w:lang w:val="en-US"/>
              </w:rPr>
              <w:t>Morphology of solid</w:t>
            </w:r>
          </w:p>
        </w:tc>
        <w:tc>
          <w:tcPr>
            <w:tcW w:w="0" w:type="auto"/>
            <w:tcBorders>
              <w:top w:val="single" w:sz="4" w:space="0" w:color="auto"/>
              <w:bottom w:val="single" w:sz="4" w:space="0" w:color="auto"/>
            </w:tcBorders>
          </w:tcPr>
          <w:p w:rsidR="00C75A85" w:rsidRPr="00C75A85" w:rsidRDefault="00C75A85" w:rsidP="00C75A85">
            <w:pPr>
              <w:spacing w:before="60" w:after="60" w:line="240" w:lineRule="auto"/>
              <w:rPr>
                <w:b/>
                <w:bCs/>
                <w:sz w:val="20"/>
                <w:szCs w:val="20"/>
                <w:lang w:val="en-US"/>
              </w:rPr>
            </w:pPr>
            <w:r w:rsidRPr="00C75A85">
              <w:rPr>
                <w:b/>
                <w:bCs/>
                <w:sz w:val="20"/>
                <w:szCs w:val="20"/>
                <w:lang w:val="en-US"/>
              </w:rPr>
              <w:t>Solubility in water</w:t>
            </w:r>
          </w:p>
        </w:tc>
        <w:tc>
          <w:tcPr>
            <w:tcW w:w="0" w:type="auto"/>
            <w:tcBorders>
              <w:top w:val="single" w:sz="4" w:space="0" w:color="auto"/>
              <w:bottom w:val="single" w:sz="4" w:space="0" w:color="auto"/>
            </w:tcBorders>
          </w:tcPr>
          <w:p w:rsidR="00C75A85" w:rsidRPr="00C75A85" w:rsidRDefault="00C75A85" w:rsidP="00C75A85">
            <w:pPr>
              <w:spacing w:before="60" w:after="60" w:line="240" w:lineRule="auto"/>
              <w:jc w:val="center"/>
              <w:rPr>
                <w:b/>
                <w:bCs/>
                <w:sz w:val="20"/>
                <w:szCs w:val="20"/>
                <w:lang w:val="en-US"/>
              </w:rPr>
            </w:pPr>
            <w:r w:rsidRPr="00C75A85">
              <w:rPr>
                <w:b/>
                <w:bCs/>
                <w:sz w:val="20"/>
                <w:szCs w:val="20"/>
                <w:lang w:val="en-US"/>
              </w:rPr>
              <w:t>% yield</w:t>
            </w:r>
          </w:p>
        </w:tc>
      </w:tr>
      <w:tr w:rsidR="00C75A85" w:rsidRPr="00C75A85" w:rsidTr="000543EF">
        <w:trPr>
          <w:trHeight w:val="227"/>
          <w:jc w:val="center"/>
        </w:trPr>
        <w:tc>
          <w:tcPr>
            <w:tcW w:w="0" w:type="auto"/>
            <w:tcBorders>
              <w:top w:val="single" w:sz="4" w:space="0" w:color="auto"/>
            </w:tcBorders>
          </w:tcPr>
          <w:p w:rsidR="00C75A85" w:rsidRPr="00C75A85" w:rsidRDefault="00C75A85" w:rsidP="00C75A85">
            <w:pPr>
              <w:spacing w:before="60" w:after="0" w:line="240" w:lineRule="auto"/>
              <w:rPr>
                <w:sz w:val="20"/>
                <w:szCs w:val="20"/>
                <w:lang w:val="en-US"/>
              </w:rPr>
            </w:pPr>
            <w:r w:rsidRPr="00C75A85">
              <w:rPr>
                <w:sz w:val="20"/>
                <w:szCs w:val="20"/>
                <w:lang w:val="en-US"/>
              </w:rPr>
              <w:t>P1</w:t>
            </w:r>
          </w:p>
        </w:tc>
        <w:tc>
          <w:tcPr>
            <w:tcW w:w="0" w:type="auto"/>
            <w:tcBorders>
              <w:top w:val="single" w:sz="4" w:space="0" w:color="auto"/>
            </w:tcBorders>
          </w:tcPr>
          <w:p w:rsidR="00C75A85" w:rsidRPr="00C75A85" w:rsidRDefault="00C75A85" w:rsidP="00C75A85">
            <w:pPr>
              <w:spacing w:before="60" w:after="0" w:line="240" w:lineRule="auto"/>
              <w:rPr>
                <w:sz w:val="20"/>
                <w:szCs w:val="20"/>
              </w:rPr>
            </w:pPr>
            <w:r w:rsidRPr="00C75A85">
              <w:rPr>
                <w:sz w:val="20"/>
                <w:szCs w:val="20"/>
                <w:lang w:val="en-US"/>
              </w:rPr>
              <w:t>(Fmoc)NH-HAAD</w:t>
            </w:r>
          </w:p>
        </w:tc>
        <w:tc>
          <w:tcPr>
            <w:tcW w:w="0" w:type="auto"/>
            <w:tcBorders>
              <w:top w:val="single" w:sz="4" w:space="0" w:color="auto"/>
            </w:tcBorders>
          </w:tcPr>
          <w:p w:rsidR="00C75A85" w:rsidRPr="00C75A85" w:rsidRDefault="00C75A85" w:rsidP="00C75A85">
            <w:pPr>
              <w:spacing w:before="60" w:after="0" w:line="240" w:lineRule="auto"/>
              <w:rPr>
                <w:sz w:val="20"/>
                <w:szCs w:val="20"/>
              </w:rPr>
            </w:pPr>
            <w:r w:rsidRPr="00C75A85">
              <w:rPr>
                <w:sz w:val="20"/>
                <w:szCs w:val="20"/>
              </w:rPr>
              <w:t>White clumps</w:t>
            </w:r>
          </w:p>
        </w:tc>
        <w:tc>
          <w:tcPr>
            <w:tcW w:w="0" w:type="auto"/>
            <w:tcBorders>
              <w:top w:val="single" w:sz="4" w:space="0" w:color="auto"/>
            </w:tcBorders>
          </w:tcPr>
          <w:p w:rsidR="00C75A85" w:rsidRPr="00C75A85" w:rsidRDefault="00C75A85" w:rsidP="00C75A85">
            <w:pPr>
              <w:spacing w:before="60" w:after="0" w:line="240" w:lineRule="auto"/>
              <w:rPr>
                <w:sz w:val="20"/>
                <w:szCs w:val="20"/>
                <w:lang w:val="en-US"/>
              </w:rPr>
            </w:pPr>
            <w:r w:rsidRPr="00C75A85">
              <w:rPr>
                <w:sz w:val="20"/>
                <w:szCs w:val="20"/>
                <w:lang w:val="en-US"/>
              </w:rPr>
              <w:t>Hydrophilic</w:t>
            </w:r>
          </w:p>
        </w:tc>
        <w:tc>
          <w:tcPr>
            <w:tcW w:w="0" w:type="auto"/>
            <w:tcBorders>
              <w:top w:val="single" w:sz="4" w:space="0" w:color="auto"/>
            </w:tcBorders>
          </w:tcPr>
          <w:p w:rsidR="00C75A85" w:rsidRPr="00C75A85" w:rsidRDefault="00C75A85" w:rsidP="00C75A85">
            <w:pPr>
              <w:spacing w:before="60" w:after="0" w:line="240" w:lineRule="auto"/>
              <w:jc w:val="center"/>
              <w:rPr>
                <w:sz w:val="20"/>
                <w:szCs w:val="20"/>
                <w:lang w:val="en-US"/>
              </w:rPr>
            </w:pPr>
            <w:r w:rsidRPr="00C75A85">
              <w:rPr>
                <w:sz w:val="20"/>
                <w:szCs w:val="20"/>
                <w:lang w:val="en-US"/>
              </w:rPr>
              <w:t>74.0</w:t>
            </w:r>
          </w:p>
        </w:tc>
      </w:tr>
      <w:tr w:rsidR="00C75A85" w:rsidRPr="00C75A85" w:rsidTr="000543EF">
        <w:trPr>
          <w:trHeight w:val="272"/>
          <w:jc w:val="center"/>
        </w:trPr>
        <w:tc>
          <w:tcPr>
            <w:tcW w:w="0" w:type="auto"/>
          </w:tcPr>
          <w:p w:rsidR="00C75A85" w:rsidRPr="00C75A85" w:rsidRDefault="00C75A85" w:rsidP="00C75A85">
            <w:pPr>
              <w:spacing w:before="60" w:after="0" w:line="240" w:lineRule="auto"/>
              <w:rPr>
                <w:sz w:val="20"/>
                <w:szCs w:val="20"/>
                <w:lang w:val="en-US"/>
              </w:rPr>
            </w:pPr>
            <w:r w:rsidRPr="00C75A85">
              <w:rPr>
                <w:sz w:val="20"/>
                <w:szCs w:val="20"/>
                <w:lang w:val="en-US"/>
              </w:rPr>
              <w:t>P2</w:t>
            </w:r>
          </w:p>
        </w:tc>
        <w:tc>
          <w:tcPr>
            <w:tcW w:w="0" w:type="auto"/>
          </w:tcPr>
          <w:p w:rsidR="00C75A85" w:rsidRPr="00C75A85" w:rsidRDefault="00C75A85" w:rsidP="00C75A85">
            <w:pPr>
              <w:spacing w:before="60" w:after="0" w:line="240" w:lineRule="auto"/>
              <w:rPr>
                <w:sz w:val="20"/>
                <w:szCs w:val="20"/>
              </w:rPr>
            </w:pPr>
            <w:r w:rsidRPr="00C75A85">
              <w:rPr>
                <w:sz w:val="20"/>
                <w:szCs w:val="20"/>
                <w:lang w:val="en-US"/>
              </w:rPr>
              <w:t>(Fmoc)NH-HAFD</w:t>
            </w:r>
          </w:p>
        </w:tc>
        <w:tc>
          <w:tcPr>
            <w:tcW w:w="0" w:type="auto"/>
          </w:tcPr>
          <w:p w:rsidR="00C75A85" w:rsidRPr="00C75A85" w:rsidRDefault="00C75A85" w:rsidP="00C75A85">
            <w:pPr>
              <w:spacing w:before="60" w:after="0" w:line="240" w:lineRule="auto"/>
              <w:rPr>
                <w:sz w:val="20"/>
                <w:szCs w:val="20"/>
              </w:rPr>
            </w:pPr>
            <w:r w:rsidRPr="00C75A85">
              <w:rPr>
                <w:sz w:val="20"/>
                <w:szCs w:val="20"/>
              </w:rPr>
              <w:t>Whitish-yellow powder</w:t>
            </w:r>
          </w:p>
        </w:tc>
        <w:tc>
          <w:tcPr>
            <w:tcW w:w="0" w:type="auto"/>
          </w:tcPr>
          <w:p w:rsidR="00C75A85" w:rsidRPr="00C75A85" w:rsidRDefault="00C75A85" w:rsidP="00C75A85">
            <w:pPr>
              <w:spacing w:before="60" w:after="0" w:line="240" w:lineRule="auto"/>
              <w:rPr>
                <w:sz w:val="20"/>
                <w:szCs w:val="20"/>
                <w:lang w:val="en-US"/>
              </w:rPr>
            </w:pPr>
            <w:r w:rsidRPr="00C75A85">
              <w:rPr>
                <w:sz w:val="20"/>
                <w:szCs w:val="20"/>
                <w:lang w:val="en-US"/>
              </w:rPr>
              <w:t>Hydrophobic</w:t>
            </w:r>
          </w:p>
        </w:tc>
        <w:tc>
          <w:tcPr>
            <w:tcW w:w="0" w:type="auto"/>
          </w:tcPr>
          <w:p w:rsidR="00C75A85" w:rsidRPr="00C75A85" w:rsidRDefault="00C75A85" w:rsidP="00C75A85">
            <w:pPr>
              <w:spacing w:before="60" w:after="0" w:line="240" w:lineRule="auto"/>
              <w:jc w:val="center"/>
              <w:rPr>
                <w:sz w:val="20"/>
                <w:szCs w:val="20"/>
                <w:lang w:val="en-US"/>
              </w:rPr>
            </w:pPr>
            <w:r w:rsidRPr="00C75A85">
              <w:rPr>
                <w:sz w:val="20"/>
                <w:szCs w:val="20"/>
                <w:lang w:val="en-US"/>
              </w:rPr>
              <w:t>74.2</w:t>
            </w:r>
          </w:p>
        </w:tc>
      </w:tr>
      <w:tr w:rsidR="00C75A85" w:rsidRPr="00C75A85" w:rsidTr="000543EF">
        <w:trPr>
          <w:trHeight w:val="227"/>
          <w:jc w:val="center"/>
        </w:trPr>
        <w:tc>
          <w:tcPr>
            <w:tcW w:w="0" w:type="auto"/>
          </w:tcPr>
          <w:p w:rsidR="00C75A85" w:rsidRPr="00C75A85" w:rsidRDefault="00C75A85" w:rsidP="00C75A85">
            <w:pPr>
              <w:spacing w:before="60" w:after="0" w:line="240" w:lineRule="auto"/>
              <w:rPr>
                <w:sz w:val="20"/>
                <w:szCs w:val="20"/>
                <w:lang w:val="en-US"/>
              </w:rPr>
            </w:pPr>
            <w:r w:rsidRPr="00C75A85">
              <w:rPr>
                <w:sz w:val="20"/>
                <w:szCs w:val="20"/>
                <w:lang w:val="en-US"/>
              </w:rPr>
              <w:t>P3</w:t>
            </w:r>
          </w:p>
        </w:tc>
        <w:tc>
          <w:tcPr>
            <w:tcW w:w="0" w:type="auto"/>
          </w:tcPr>
          <w:p w:rsidR="00C75A85" w:rsidRPr="00C75A85" w:rsidRDefault="00C75A85" w:rsidP="00C75A85">
            <w:pPr>
              <w:spacing w:before="60" w:after="0" w:line="240" w:lineRule="auto"/>
              <w:rPr>
                <w:sz w:val="20"/>
                <w:szCs w:val="20"/>
              </w:rPr>
            </w:pPr>
            <w:r w:rsidRPr="00C75A85">
              <w:rPr>
                <w:sz w:val="20"/>
                <w:szCs w:val="20"/>
                <w:lang w:val="en-US"/>
              </w:rPr>
              <w:t>(Fmoc)NH-HAVD</w:t>
            </w:r>
          </w:p>
        </w:tc>
        <w:tc>
          <w:tcPr>
            <w:tcW w:w="0" w:type="auto"/>
          </w:tcPr>
          <w:p w:rsidR="00C75A85" w:rsidRPr="00C75A85" w:rsidRDefault="00C75A85" w:rsidP="00C75A85">
            <w:pPr>
              <w:spacing w:before="60" w:after="0" w:line="240" w:lineRule="auto"/>
              <w:rPr>
                <w:sz w:val="20"/>
                <w:szCs w:val="20"/>
              </w:rPr>
            </w:pPr>
            <w:r w:rsidRPr="00C75A85">
              <w:rPr>
                <w:sz w:val="20"/>
                <w:szCs w:val="20"/>
              </w:rPr>
              <w:t>White powder</w:t>
            </w:r>
          </w:p>
        </w:tc>
        <w:tc>
          <w:tcPr>
            <w:tcW w:w="0" w:type="auto"/>
          </w:tcPr>
          <w:p w:rsidR="00C75A85" w:rsidRPr="00C75A85" w:rsidRDefault="00C75A85" w:rsidP="00C75A85">
            <w:pPr>
              <w:spacing w:before="60" w:after="0" w:line="240" w:lineRule="auto"/>
              <w:rPr>
                <w:sz w:val="20"/>
                <w:szCs w:val="20"/>
                <w:lang w:val="en-US"/>
              </w:rPr>
            </w:pPr>
            <w:r w:rsidRPr="00C75A85">
              <w:rPr>
                <w:sz w:val="20"/>
                <w:szCs w:val="20"/>
                <w:lang w:val="en-US"/>
              </w:rPr>
              <w:t>Hydrophilic</w:t>
            </w:r>
          </w:p>
        </w:tc>
        <w:tc>
          <w:tcPr>
            <w:tcW w:w="0" w:type="auto"/>
          </w:tcPr>
          <w:p w:rsidR="00C75A85" w:rsidRPr="00C75A85" w:rsidRDefault="00C75A85" w:rsidP="00C75A85">
            <w:pPr>
              <w:spacing w:before="60" w:after="0" w:line="240" w:lineRule="auto"/>
              <w:jc w:val="center"/>
              <w:rPr>
                <w:sz w:val="20"/>
                <w:szCs w:val="20"/>
                <w:lang w:val="en-US"/>
              </w:rPr>
            </w:pPr>
            <w:r w:rsidRPr="00C75A85">
              <w:rPr>
                <w:sz w:val="20"/>
                <w:szCs w:val="20"/>
                <w:lang w:val="en-US"/>
              </w:rPr>
              <w:t>83.1</w:t>
            </w:r>
          </w:p>
        </w:tc>
      </w:tr>
      <w:tr w:rsidR="00C75A85" w:rsidRPr="00C75A85" w:rsidTr="000543EF">
        <w:trPr>
          <w:trHeight w:val="240"/>
          <w:jc w:val="center"/>
        </w:trPr>
        <w:tc>
          <w:tcPr>
            <w:tcW w:w="0" w:type="auto"/>
          </w:tcPr>
          <w:p w:rsidR="00C75A85" w:rsidRPr="00C75A85" w:rsidRDefault="00C75A85" w:rsidP="00C75A85">
            <w:pPr>
              <w:spacing w:before="60" w:after="0" w:line="240" w:lineRule="auto"/>
              <w:rPr>
                <w:sz w:val="20"/>
                <w:szCs w:val="20"/>
                <w:lang w:val="en-US"/>
              </w:rPr>
            </w:pPr>
            <w:r w:rsidRPr="00C75A85">
              <w:rPr>
                <w:sz w:val="20"/>
                <w:szCs w:val="20"/>
                <w:lang w:val="en-US"/>
              </w:rPr>
              <w:t>P4</w:t>
            </w:r>
          </w:p>
        </w:tc>
        <w:tc>
          <w:tcPr>
            <w:tcW w:w="0" w:type="auto"/>
          </w:tcPr>
          <w:p w:rsidR="00C75A85" w:rsidRPr="00C75A85" w:rsidRDefault="00C75A85" w:rsidP="00C75A85">
            <w:pPr>
              <w:spacing w:before="60" w:after="0" w:line="240" w:lineRule="auto"/>
              <w:rPr>
                <w:sz w:val="20"/>
                <w:szCs w:val="20"/>
              </w:rPr>
            </w:pPr>
            <w:r w:rsidRPr="00C75A85">
              <w:rPr>
                <w:sz w:val="20"/>
                <w:szCs w:val="20"/>
                <w:lang w:val="en-US"/>
              </w:rPr>
              <w:t>NH</w:t>
            </w:r>
            <w:r w:rsidRPr="00C75A85">
              <w:rPr>
                <w:sz w:val="20"/>
                <w:szCs w:val="20"/>
                <w:vertAlign w:val="subscript"/>
                <w:lang w:val="en-US"/>
              </w:rPr>
              <w:t>2</w:t>
            </w:r>
            <w:r w:rsidRPr="00C75A85">
              <w:rPr>
                <w:sz w:val="20"/>
                <w:szCs w:val="20"/>
                <w:lang w:val="en-US"/>
              </w:rPr>
              <w:t>-AGHD</w:t>
            </w:r>
          </w:p>
        </w:tc>
        <w:tc>
          <w:tcPr>
            <w:tcW w:w="0" w:type="auto"/>
          </w:tcPr>
          <w:p w:rsidR="00C75A85" w:rsidRPr="00C75A85" w:rsidRDefault="00C75A85" w:rsidP="00C75A85">
            <w:pPr>
              <w:spacing w:before="60" w:after="0" w:line="240" w:lineRule="auto"/>
              <w:rPr>
                <w:sz w:val="20"/>
                <w:szCs w:val="20"/>
              </w:rPr>
            </w:pPr>
            <w:r w:rsidRPr="00C75A85">
              <w:rPr>
                <w:sz w:val="20"/>
                <w:szCs w:val="20"/>
              </w:rPr>
              <w:t>White powder</w:t>
            </w:r>
          </w:p>
        </w:tc>
        <w:tc>
          <w:tcPr>
            <w:tcW w:w="0" w:type="auto"/>
          </w:tcPr>
          <w:p w:rsidR="00C75A85" w:rsidRPr="00C75A85" w:rsidRDefault="00C75A85" w:rsidP="00C75A85">
            <w:pPr>
              <w:spacing w:before="60" w:after="0" w:line="240" w:lineRule="auto"/>
              <w:rPr>
                <w:sz w:val="20"/>
                <w:szCs w:val="20"/>
                <w:lang w:val="en-US"/>
              </w:rPr>
            </w:pPr>
            <w:r w:rsidRPr="00C75A85">
              <w:rPr>
                <w:sz w:val="20"/>
                <w:szCs w:val="20"/>
                <w:lang w:val="en-US"/>
              </w:rPr>
              <w:t>Hydrophilic</w:t>
            </w:r>
          </w:p>
        </w:tc>
        <w:tc>
          <w:tcPr>
            <w:tcW w:w="0" w:type="auto"/>
          </w:tcPr>
          <w:p w:rsidR="00C75A85" w:rsidRPr="00C75A85" w:rsidRDefault="00C75A85" w:rsidP="00C75A85">
            <w:pPr>
              <w:spacing w:before="60" w:after="0" w:line="240" w:lineRule="auto"/>
              <w:jc w:val="center"/>
              <w:rPr>
                <w:sz w:val="20"/>
                <w:szCs w:val="20"/>
                <w:lang w:val="en-US"/>
              </w:rPr>
            </w:pPr>
            <w:r w:rsidRPr="00C75A85">
              <w:rPr>
                <w:sz w:val="20"/>
                <w:szCs w:val="20"/>
                <w:lang w:val="en-US"/>
              </w:rPr>
              <w:t>69.9</w:t>
            </w:r>
          </w:p>
        </w:tc>
      </w:tr>
      <w:tr w:rsidR="00C75A85" w:rsidRPr="00C75A85" w:rsidTr="000543EF">
        <w:trPr>
          <w:trHeight w:val="240"/>
          <w:jc w:val="center"/>
        </w:trPr>
        <w:tc>
          <w:tcPr>
            <w:tcW w:w="0" w:type="auto"/>
          </w:tcPr>
          <w:p w:rsidR="00C75A85" w:rsidRPr="00C75A85" w:rsidRDefault="00C75A85" w:rsidP="00C75A85">
            <w:pPr>
              <w:spacing w:before="60" w:after="60" w:line="240" w:lineRule="auto"/>
              <w:rPr>
                <w:sz w:val="20"/>
                <w:szCs w:val="20"/>
                <w:lang w:val="en-US"/>
              </w:rPr>
            </w:pPr>
            <w:r w:rsidRPr="00C75A85">
              <w:rPr>
                <w:sz w:val="20"/>
                <w:szCs w:val="20"/>
                <w:lang w:val="en-US"/>
              </w:rPr>
              <w:t>P5</w:t>
            </w:r>
          </w:p>
        </w:tc>
        <w:tc>
          <w:tcPr>
            <w:tcW w:w="0" w:type="auto"/>
          </w:tcPr>
          <w:p w:rsidR="00C75A85" w:rsidRPr="00C75A85" w:rsidRDefault="00C75A85" w:rsidP="00C75A85">
            <w:pPr>
              <w:spacing w:before="60" w:after="0" w:line="240" w:lineRule="auto"/>
              <w:rPr>
                <w:sz w:val="20"/>
                <w:szCs w:val="20"/>
              </w:rPr>
            </w:pPr>
            <w:r w:rsidRPr="00C75A85">
              <w:rPr>
                <w:sz w:val="20"/>
                <w:szCs w:val="20"/>
                <w:lang w:val="en-US"/>
              </w:rPr>
              <w:t>NH</w:t>
            </w:r>
            <w:r w:rsidRPr="00C75A85">
              <w:rPr>
                <w:sz w:val="20"/>
                <w:szCs w:val="20"/>
                <w:vertAlign w:val="subscript"/>
                <w:lang w:val="en-US"/>
              </w:rPr>
              <w:t>2</w:t>
            </w:r>
            <w:r w:rsidRPr="00C75A85">
              <w:rPr>
                <w:sz w:val="20"/>
                <w:szCs w:val="20"/>
                <w:lang w:val="en-US"/>
              </w:rPr>
              <w:t>-PGHD</w:t>
            </w:r>
          </w:p>
        </w:tc>
        <w:tc>
          <w:tcPr>
            <w:tcW w:w="0" w:type="auto"/>
          </w:tcPr>
          <w:p w:rsidR="00C75A85" w:rsidRPr="00C75A85" w:rsidRDefault="00C75A85" w:rsidP="00C75A85">
            <w:pPr>
              <w:spacing w:before="60" w:after="0" w:line="240" w:lineRule="auto"/>
              <w:rPr>
                <w:sz w:val="20"/>
                <w:szCs w:val="20"/>
              </w:rPr>
            </w:pPr>
            <w:r w:rsidRPr="00C75A85">
              <w:rPr>
                <w:sz w:val="20"/>
                <w:szCs w:val="20"/>
              </w:rPr>
              <w:t>White powder</w:t>
            </w:r>
          </w:p>
        </w:tc>
        <w:tc>
          <w:tcPr>
            <w:tcW w:w="0" w:type="auto"/>
          </w:tcPr>
          <w:p w:rsidR="00C75A85" w:rsidRPr="00C75A85" w:rsidRDefault="00C75A85" w:rsidP="00C75A85">
            <w:pPr>
              <w:spacing w:before="60" w:after="0" w:line="240" w:lineRule="auto"/>
              <w:rPr>
                <w:sz w:val="20"/>
                <w:szCs w:val="20"/>
                <w:lang w:val="en-US"/>
              </w:rPr>
            </w:pPr>
            <w:r w:rsidRPr="00C75A85">
              <w:rPr>
                <w:sz w:val="20"/>
                <w:szCs w:val="20"/>
                <w:lang w:val="en-US"/>
              </w:rPr>
              <w:t>Hydrophilic</w:t>
            </w:r>
          </w:p>
        </w:tc>
        <w:tc>
          <w:tcPr>
            <w:tcW w:w="0" w:type="auto"/>
          </w:tcPr>
          <w:p w:rsidR="00C75A85" w:rsidRPr="00C75A85" w:rsidRDefault="00C75A85" w:rsidP="00C75A85">
            <w:pPr>
              <w:spacing w:before="60" w:after="0" w:line="240" w:lineRule="auto"/>
              <w:jc w:val="center"/>
              <w:rPr>
                <w:sz w:val="20"/>
                <w:szCs w:val="20"/>
                <w:lang w:val="en-US"/>
              </w:rPr>
            </w:pPr>
            <w:r w:rsidRPr="00C75A85">
              <w:rPr>
                <w:sz w:val="20"/>
                <w:szCs w:val="20"/>
                <w:lang w:val="en-US"/>
              </w:rPr>
              <w:t>65.6</w:t>
            </w:r>
          </w:p>
        </w:tc>
      </w:tr>
    </w:tbl>
    <w:p w:rsidR="00C75A85" w:rsidRPr="00C75A85" w:rsidRDefault="00C75A85" w:rsidP="00C75A85">
      <w:pPr>
        <w:spacing w:before="60" w:after="0" w:line="240" w:lineRule="auto"/>
        <w:rPr>
          <w:rFonts w:ascii="Times New Roman" w:hAnsi="Times New Roman"/>
          <w:iCs/>
          <w:sz w:val="18"/>
          <w:szCs w:val="18"/>
        </w:rPr>
      </w:pPr>
      <w:r w:rsidRPr="00C75A85">
        <w:rPr>
          <w:rFonts w:ascii="Times New Roman" w:hAnsi="Times New Roman"/>
          <w:sz w:val="20"/>
          <w:szCs w:val="20"/>
        </w:rPr>
        <w:t xml:space="preserve">                         </w:t>
      </w:r>
      <w:r w:rsidRPr="00C75A85">
        <w:rPr>
          <w:rFonts w:ascii="Times New Roman" w:hAnsi="Times New Roman"/>
          <w:iCs/>
          <w:sz w:val="18"/>
          <w:szCs w:val="18"/>
        </w:rPr>
        <w:t>Fmoc- Fluorenylmethyloxycarbonyl chloride</w:t>
      </w:r>
    </w:p>
    <w:p w:rsidR="00C75A85" w:rsidRDefault="00C75A85" w:rsidP="00C75A85">
      <w:pPr>
        <w:spacing w:after="0" w:line="240" w:lineRule="auto"/>
        <w:jc w:val="both"/>
        <w:rPr>
          <w:rFonts w:ascii="Times New Roman" w:hAnsi="Times New Roman"/>
          <w:sz w:val="20"/>
          <w:szCs w:val="20"/>
        </w:rPr>
      </w:pPr>
    </w:p>
    <w:p w:rsidR="00C75A85" w:rsidRDefault="00C75A85" w:rsidP="00C75A85">
      <w:pPr>
        <w:spacing w:after="0" w:line="240" w:lineRule="auto"/>
        <w:jc w:val="both"/>
        <w:rPr>
          <w:rFonts w:ascii="Times New Roman" w:hAnsi="Times New Roman"/>
          <w:sz w:val="20"/>
          <w:szCs w:val="20"/>
        </w:rPr>
      </w:pPr>
    </w:p>
    <w:p w:rsidR="00C75A85" w:rsidRDefault="00C75A85" w:rsidP="00C75A85">
      <w:pPr>
        <w:spacing w:after="0" w:line="240" w:lineRule="auto"/>
        <w:jc w:val="both"/>
        <w:rPr>
          <w:rFonts w:ascii="Times New Roman" w:hAnsi="Times New Roman"/>
          <w:sz w:val="20"/>
          <w:szCs w:val="20"/>
        </w:rPr>
      </w:pPr>
      <w:r w:rsidRPr="00C75A85">
        <w:rPr>
          <w:rFonts w:ascii="Times New Roman" w:hAnsi="Times New Roman"/>
          <w:sz w:val="20"/>
          <w:szCs w:val="20"/>
        </w:rPr>
        <w:t>The purity of all these peptides was above 80% and they were not purified further. Copper(II) acetate-tetrapeptides (% yields: 50 – 65%) were analyzed by UV-Visible and UV-Fluorescence spectroscopy and the results are discussed in the sections below.</w:t>
      </w:r>
    </w:p>
    <w:p w:rsidR="00C75A85" w:rsidRPr="00C75A85" w:rsidRDefault="00C75A85" w:rsidP="00C75A85">
      <w:pPr>
        <w:spacing w:after="0" w:line="240" w:lineRule="auto"/>
        <w:jc w:val="both"/>
        <w:rPr>
          <w:rFonts w:ascii="Times New Roman" w:hAnsi="Times New Roman"/>
          <w:sz w:val="20"/>
          <w:szCs w:val="20"/>
        </w:rPr>
      </w:pPr>
    </w:p>
    <w:p w:rsidR="00C75A85" w:rsidRPr="00C75A85" w:rsidRDefault="00C75A85" w:rsidP="00C75A85">
      <w:pPr>
        <w:spacing w:after="0" w:line="240" w:lineRule="auto"/>
        <w:jc w:val="both"/>
        <w:rPr>
          <w:rFonts w:ascii="Times New Roman" w:hAnsi="Times New Roman"/>
          <w:sz w:val="20"/>
          <w:szCs w:val="20"/>
        </w:rPr>
      </w:pPr>
      <w:r w:rsidRPr="00C75A85">
        <w:rPr>
          <w:rFonts w:ascii="Times New Roman" w:hAnsi="Times New Roman"/>
          <w:b/>
          <w:sz w:val="20"/>
          <w:szCs w:val="20"/>
        </w:rPr>
        <w:t>UV-Visible spectral analysis</w:t>
      </w:r>
    </w:p>
    <w:p w:rsidR="00C75A85" w:rsidRPr="00C75A85" w:rsidRDefault="00C75A85" w:rsidP="00C75A85">
      <w:pPr>
        <w:spacing w:after="0" w:line="240" w:lineRule="auto"/>
        <w:jc w:val="both"/>
        <w:rPr>
          <w:rFonts w:ascii="Times New Roman" w:hAnsi="Times New Roman"/>
          <w:sz w:val="20"/>
          <w:szCs w:val="20"/>
        </w:rPr>
      </w:pPr>
      <w:r w:rsidRPr="00C75A85">
        <w:rPr>
          <w:rFonts w:ascii="Times New Roman" w:hAnsi="Times New Roman"/>
          <w:sz w:val="20"/>
          <w:szCs w:val="20"/>
        </w:rPr>
        <w:t>One of the distinctive features of successful binding is the colour of the metallopeptide (refer to Figure 1). Colour is always associated with d-d transitions, ligand-metal charge transfer (LMCT) and metal-ligand charge transfer (MLCT). This analysis points out where and to what intensity these bands appear and are shown in Table 2.</w:t>
      </w:r>
    </w:p>
    <w:p w:rsidR="002D6747" w:rsidRDefault="002D6747" w:rsidP="002D6747">
      <w:pPr>
        <w:spacing w:after="0" w:line="240" w:lineRule="auto"/>
        <w:jc w:val="both"/>
        <w:rPr>
          <w:rFonts w:ascii="Times New Roman" w:hAnsi="Times New Roman"/>
          <w:sz w:val="20"/>
          <w:szCs w:val="20"/>
        </w:rPr>
      </w:pPr>
    </w:p>
    <w:p w:rsidR="002D6747" w:rsidRPr="002D6747" w:rsidRDefault="002D6747" w:rsidP="002D6747">
      <w:pPr>
        <w:spacing w:after="0" w:line="240" w:lineRule="auto"/>
        <w:jc w:val="both"/>
        <w:rPr>
          <w:rFonts w:ascii="Times New Roman" w:hAnsi="Times New Roman"/>
          <w:sz w:val="20"/>
        </w:rPr>
      </w:pPr>
    </w:p>
    <w:tbl>
      <w:tblPr>
        <w:tblStyle w:val="TableGrid"/>
        <w:tblW w:w="0" w:type="auto"/>
        <w:jc w:val="center"/>
        <w:tblLook w:val="04A0" w:firstRow="1" w:lastRow="0" w:firstColumn="1" w:lastColumn="0" w:noHBand="0" w:noVBand="1"/>
      </w:tblPr>
      <w:tblGrid>
        <w:gridCol w:w="6187"/>
      </w:tblGrid>
      <w:tr w:rsidR="002D6747" w:rsidTr="00631E19">
        <w:trPr>
          <w:trHeight w:val="2268"/>
          <w:jc w:val="center"/>
        </w:trPr>
        <w:tc>
          <w:tcPr>
            <w:tcW w:w="6187" w:type="dxa"/>
          </w:tcPr>
          <w:p w:rsidR="002D6747" w:rsidRDefault="002D6747" w:rsidP="00631E19">
            <w:pPr>
              <w:jc w:val="both"/>
              <w:rPr>
                <w:b/>
                <w:sz w:val="16"/>
                <w:lang w:val="en-US"/>
              </w:rPr>
            </w:pPr>
          </w:p>
          <w:p w:rsidR="002D6747" w:rsidRDefault="002D6747" w:rsidP="00631E19">
            <w:pPr>
              <w:jc w:val="both"/>
              <w:rPr>
                <w:b/>
                <w:sz w:val="16"/>
                <w:lang w:val="en-US"/>
              </w:rPr>
            </w:pPr>
          </w:p>
          <w:p w:rsidR="002D6747" w:rsidRDefault="002D6747" w:rsidP="00631E19">
            <w:pPr>
              <w:jc w:val="both"/>
              <w:rPr>
                <w:b/>
                <w:sz w:val="16"/>
                <w:lang w:val="en-US"/>
              </w:rPr>
            </w:pPr>
          </w:p>
          <w:p w:rsidR="002D6747" w:rsidRDefault="002D6747" w:rsidP="00631E19">
            <w:pPr>
              <w:jc w:val="both"/>
              <w:rPr>
                <w:b/>
                <w:sz w:val="16"/>
                <w:lang w:val="en-US"/>
              </w:rPr>
            </w:pPr>
          </w:p>
          <w:p w:rsidR="002D6747" w:rsidRDefault="002D6747" w:rsidP="00631E19">
            <w:pPr>
              <w:jc w:val="both"/>
              <w:rPr>
                <w:b/>
                <w:sz w:val="16"/>
                <w:lang w:val="en-US"/>
              </w:rPr>
            </w:pPr>
          </w:p>
          <w:p w:rsidR="002D6747" w:rsidRDefault="002D6747" w:rsidP="00631E19">
            <w:pPr>
              <w:jc w:val="both"/>
              <w:rPr>
                <w:b/>
                <w:sz w:val="16"/>
                <w:lang w:val="en-US"/>
              </w:rPr>
            </w:pPr>
          </w:p>
          <w:p w:rsidR="002D6747" w:rsidRPr="009B4ECE" w:rsidRDefault="002D6747" w:rsidP="00631E19">
            <w:pPr>
              <w:rPr>
                <w:sz w:val="20"/>
                <w:lang w:val="en-US"/>
              </w:rPr>
            </w:pPr>
            <w:r>
              <w:rPr>
                <w:noProof/>
                <w:lang w:val="en-US"/>
              </w:rPr>
              <w:drawing>
                <wp:anchor distT="0" distB="0" distL="114300" distR="114300" simplePos="0" relativeHeight="251660800" behindDoc="1" locked="0" layoutInCell="1" allowOverlap="1" wp14:anchorId="4443825C" wp14:editId="6CECCAC0">
                  <wp:simplePos x="0" y="0"/>
                  <wp:positionH relativeFrom="column">
                    <wp:posOffset>599440</wp:posOffset>
                  </wp:positionH>
                  <wp:positionV relativeFrom="paragraph">
                    <wp:posOffset>-1200785</wp:posOffset>
                  </wp:positionV>
                  <wp:extent cx="2466975" cy="1198880"/>
                  <wp:effectExtent l="0" t="0" r="9525" b="1270"/>
                  <wp:wrapTight wrapText="bothSides">
                    <wp:wrapPolygon edited="0">
                      <wp:start x="0" y="0"/>
                      <wp:lineTo x="0" y="21280"/>
                      <wp:lineTo x="21517" y="21280"/>
                      <wp:lineTo x="21517" y="0"/>
                      <wp:lineTo x="0" y="0"/>
                    </wp:wrapPolygon>
                  </wp:wrapTight>
                  <wp:docPr id="30" name="Picture 30" descr="20131125_13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20131125_131742"/>
                          <pic:cNvPicPr>
                            <a:picLocks noChangeAspect="1" noChangeArrowheads="1"/>
                          </pic:cNvPicPr>
                        </pic:nvPicPr>
                        <pic:blipFill>
                          <a:blip r:embed="rId11" cstate="print">
                            <a:extLst>
                              <a:ext uri="{28A0092B-C50C-407E-A947-70E740481C1C}">
                                <a14:useLocalDpi xmlns:a14="http://schemas.microsoft.com/office/drawing/2010/main" val="0"/>
                              </a:ext>
                            </a:extLst>
                          </a:blip>
                          <a:srcRect l="3104" t="24828" b="3448"/>
                          <a:stretch>
                            <a:fillRect/>
                          </a:stretch>
                        </pic:blipFill>
                        <pic:spPr bwMode="auto">
                          <a:xfrm>
                            <a:off x="0" y="0"/>
                            <a:ext cx="2466975"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lang w:val="en-US"/>
              </w:rPr>
              <w:t xml:space="preserve">                           1</w:t>
            </w:r>
            <w:r>
              <w:rPr>
                <w:sz w:val="20"/>
                <w:lang w:val="en-US"/>
              </w:rPr>
              <w:tab/>
            </w:r>
            <w:r>
              <w:rPr>
                <w:sz w:val="20"/>
                <w:lang w:val="en-US"/>
              </w:rPr>
              <w:tab/>
            </w:r>
            <w:r>
              <w:rPr>
                <w:sz w:val="20"/>
                <w:lang w:val="en-US"/>
              </w:rPr>
              <w:tab/>
              <w:t xml:space="preserve">             10</w:t>
            </w:r>
          </w:p>
        </w:tc>
      </w:tr>
    </w:tbl>
    <w:p w:rsidR="002D6747" w:rsidRPr="00615122" w:rsidRDefault="002D6747" w:rsidP="002D6747">
      <w:pPr>
        <w:spacing w:after="0" w:line="240" w:lineRule="auto"/>
        <w:jc w:val="both"/>
        <w:rPr>
          <w:b/>
          <w:sz w:val="16"/>
        </w:rPr>
      </w:pPr>
    </w:p>
    <w:p w:rsidR="002D6747" w:rsidRPr="00615122" w:rsidRDefault="002D6747" w:rsidP="002D6747">
      <w:pPr>
        <w:spacing w:after="0" w:line="240" w:lineRule="auto"/>
        <w:jc w:val="center"/>
        <w:rPr>
          <w:rFonts w:ascii="Times New Roman" w:hAnsi="Times New Roman"/>
          <w:sz w:val="20"/>
        </w:rPr>
      </w:pPr>
      <w:r w:rsidRPr="00615122">
        <w:rPr>
          <w:rFonts w:ascii="Times New Roman" w:hAnsi="Times New Roman"/>
          <w:sz w:val="20"/>
        </w:rPr>
        <w:t xml:space="preserve">Figure 1. </w:t>
      </w:r>
      <w:r>
        <w:rPr>
          <w:rFonts w:ascii="Times New Roman" w:hAnsi="Times New Roman"/>
          <w:sz w:val="20"/>
        </w:rPr>
        <w:t xml:space="preserve"> </w:t>
      </w:r>
      <w:r w:rsidRPr="00615122">
        <w:rPr>
          <w:rFonts w:ascii="Times New Roman" w:hAnsi="Times New Roman"/>
          <w:sz w:val="20"/>
        </w:rPr>
        <w:t>Copper(II) based tetrapeptides (2, 4, 6, 8 and 10)</w:t>
      </w:r>
    </w:p>
    <w:p w:rsidR="002D6747" w:rsidRDefault="002D6747" w:rsidP="002D6747">
      <w:pPr>
        <w:spacing w:after="0" w:line="240" w:lineRule="auto"/>
        <w:jc w:val="both"/>
        <w:rPr>
          <w:rFonts w:ascii="Times New Roman" w:hAnsi="Times New Roman"/>
          <w:sz w:val="20"/>
          <w:szCs w:val="20"/>
        </w:rPr>
      </w:pPr>
    </w:p>
    <w:p w:rsidR="002D6747" w:rsidRDefault="002D6747" w:rsidP="00C75A85">
      <w:pPr>
        <w:spacing w:after="0" w:line="240" w:lineRule="auto"/>
        <w:jc w:val="both"/>
        <w:rPr>
          <w:rFonts w:ascii="Times New Roman" w:hAnsi="Times New Roman"/>
          <w:sz w:val="20"/>
          <w:szCs w:val="20"/>
        </w:rPr>
      </w:pPr>
    </w:p>
    <w:p w:rsidR="00C75A85" w:rsidRDefault="00C75A85" w:rsidP="00C75A85">
      <w:pPr>
        <w:spacing w:after="0" w:line="240" w:lineRule="auto"/>
        <w:jc w:val="both"/>
        <w:rPr>
          <w:rFonts w:ascii="Times New Roman" w:hAnsi="Times New Roman"/>
          <w:sz w:val="20"/>
          <w:szCs w:val="20"/>
        </w:rPr>
      </w:pPr>
      <w:r w:rsidRPr="00C75A85">
        <w:rPr>
          <w:rFonts w:ascii="Times New Roman" w:hAnsi="Times New Roman"/>
          <w:sz w:val="20"/>
          <w:szCs w:val="20"/>
        </w:rPr>
        <w:t>The results are in agreement with other reported data that d-d transitions have absorptions at the said wavelength with molar absorptivity in the range of about 2 – 3 Lcm</w:t>
      </w:r>
      <w:r w:rsidRPr="00C75A85">
        <w:rPr>
          <w:rFonts w:ascii="Times New Roman" w:hAnsi="Times New Roman"/>
          <w:sz w:val="20"/>
          <w:szCs w:val="20"/>
          <w:vertAlign w:val="superscript"/>
        </w:rPr>
        <w:t>-1</w:t>
      </w:r>
      <w:r w:rsidRPr="00C75A85">
        <w:rPr>
          <w:rFonts w:ascii="Times New Roman" w:hAnsi="Times New Roman"/>
          <w:sz w:val="20"/>
          <w:szCs w:val="20"/>
        </w:rPr>
        <w:t>mol</w:t>
      </w:r>
      <w:r w:rsidRPr="00C75A85">
        <w:rPr>
          <w:rFonts w:ascii="Times New Roman" w:hAnsi="Times New Roman"/>
          <w:sz w:val="20"/>
          <w:szCs w:val="20"/>
          <w:vertAlign w:val="superscript"/>
        </w:rPr>
        <w:t>-1</w:t>
      </w:r>
      <w:r w:rsidRPr="00C75A85">
        <w:rPr>
          <w:rFonts w:ascii="Times New Roman" w:hAnsi="Times New Roman"/>
          <w:sz w:val="20"/>
          <w:szCs w:val="20"/>
        </w:rPr>
        <w:t xml:space="preserve"> [5] and the charge transfer bands (CT bands) for copper bound peptides normally have similar or lower molar absorptivity than that of d-d transition bands and appear in the range of 400 – 600 nm [6].</w:t>
      </w:r>
    </w:p>
    <w:p w:rsidR="00C75A85" w:rsidRPr="00C75A85" w:rsidRDefault="00C75A85" w:rsidP="00C75A85">
      <w:pPr>
        <w:spacing w:after="0" w:line="240" w:lineRule="auto"/>
        <w:jc w:val="both"/>
        <w:rPr>
          <w:rFonts w:ascii="Times New Roman" w:hAnsi="Times New Roman"/>
          <w:sz w:val="20"/>
          <w:szCs w:val="20"/>
        </w:rPr>
      </w:pPr>
    </w:p>
    <w:p w:rsidR="00C75A85" w:rsidRPr="00C75A85" w:rsidRDefault="00C75A85" w:rsidP="00C75A85">
      <w:pPr>
        <w:spacing w:after="0" w:line="240" w:lineRule="auto"/>
        <w:jc w:val="both"/>
        <w:rPr>
          <w:rFonts w:ascii="Times New Roman" w:hAnsi="Times New Roman"/>
          <w:sz w:val="20"/>
          <w:szCs w:val="20"/>
        </w:rPr>
      </w:pPr>
      <w:r w:rsidRPr="00C75A85">
        <w:rPr>
          <w:rFonts w:ascii="Times New Roman" w:hAnsi="Times New Roman"/>
          <w:sz w:val="20"/>
          <w:szCs w:val="20"/>
        </w:rPr>
        <w:t xml:space="preserve">No charge transfer bands and only a weak d-d transition band were observed in MP5 probably due to the low concentration of metallopeptide. All the metal salts were expected to bind to the imidazole ring of histidine. This was observed in both the UV-Vis and UV-Fluorescence spectra. According to Boka </w:t>
      </w:r>
      <w:r w:rsidRPr="00C75A85">
        <w:rPr>
          <w:rFonts w:ascii="Times New Roman" w:hAnsi="Times New Roman"/>
          <w:iCs/>
          <w:sz w:val="20"/>
          <w:szCs w:val="20"/>
        </w:rPr>
        <w:t>et al.</w:t>
      </w:r>
      <w:r w:rsidRPr="00C75A85">
        <w:rPr>
          <w:rFonts w:ascii="Times New Roman" w:hAnsi="Times New Roman"/>
          <w:sz w:val="20"/>
          <w:szCs w:val="20"/>
        </w:rPr>
        <w:t xml:space="preserve">, copper and zinc binds to </w:t>
      </w:r>
      <w:r w:rsidRPr="00C75A85">
        <w:rPr>
          <w:rFonts w:ascii="Times New Roman" w:hAnsi="Times New Roman"/>
          <w:sz w:val="20"/>
          <w:szCs w:val="20"/>
        </w:rPr>
        <w:lastRenderedPageBreak/>
        <w:t>the nitrogen (C=N) in the imidazole ring of histidine in the range of 250 – 300 nm giving rise to a strong sharp peak with high absorbance. However, it was also mentioned that copper also binds to the carboxylate side chain of aspartic acid and henceforth, the values are shifted further right (higher wavelength) due to the acidic nature of the metallopeptides [7], as observed in this study.</w:t>
      </w:r>
    </w:p>
    <w:p w:rsidR="00C75A85" w:rsidRDefault="00C75A85" w:rsidP="00C75A85">
      <w:pPr>
        <w:spacing w:after="0" w:line="240" w:lineRule="auto"/>
        <w:jc w:val="both"/>
        <w:rPr>
          <w:rFonts w:ascii="Times New Roman" w:hAnsi="Times New Roman"/>
          <w:sz w:val="20"/>
          <w:szCs w:val="20"/>
        </w:rPr>
      </w:pPr>
    </w:p>
    <w:p w:rsidR="00C75A85" w:rsidRPr="00C75A85" w:rsidRDefault="00C75A85" w:rsidP="00C75A85">
      <w:pPr>
        <w:spacing w:after="0" w:line="240" w:lineRule="auto"/>
        <w:jc w:val="both"/>
        <w:rPr>
          <w:rFonts w:ascii="Times New Roman" w:hAnsi="Times New Roman"/>
          <w:sz w:val="20"/>
          <w:szCs w:val="20"/>
        </w:rPr>
      </w:pPr>
    </w:p>
    <w:p w:rsidR="00C75A85" w:rsidRPr="00C75A85" w:rsidRDefault="00C75A85" w:rsidP="00C75A85">
      <w:pPr>
        <w:spacing w:after="120" w:line="240" w:lineRule="auto"/>
        <w:jc w:val="center"/>
        <w:rPr>
          <w:rFonts w:ascii="Times New Roman" w:hAnsi="Times New Roman"/>
          <w:sz w:val="20"/>
          <w:szCs w:val="20"/>
        </w:rPr>
      </w:pPr>
      <w:r w:rsidRPr="00C75A85">
        <w:rPr>
          <w:rFonts w:ascii="Times New Roman" w:hAnsi="Times New Roman"/>
          <w:sz w:val="20"/>
          <w:szCs w:val="20"/>
        </w:rPr>
        <w:t xml:space="preserve">Table 2. </w:t>
      </w:r>
      <w:r>
        <w:rPr>
          <w:rFonts w:ascii="Times New Roman" w:hAnsi="Times New Roman"/>
          <w:sz w:val="20"/>
          <w:szCs w:val="20"/>
        </w:rPr>
        <w:t xml:space="preserve"> </w:t>
      </w:r>
      <w:r w:rsidRPr="00C75A85">
        <w:rPr>
          <w:rFonts w:ascii="Times New Roman" w:hAnsi="Times New Roman"/>
          <w:sz w:val="20"/>
          <w:szCs w:val="20"/>
        </w:rPr>
        <w:t>d-d transition, LMCT and MLCT transitions of metallopeptides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1774"/>
        <w:gridCol w:w="1661"/>
      </w:tblGrid>
      <w:tr w:rsidR="00C75A85" w:rsidRPr="00C75A85" w:rsidTr="000543EF">
        <w:trPr>
          <w:jc w:val="center"/>
        </w:trPr>
        <w:tc>
          <w:tcPr>
            <w:tcW w:w="0" w:type="auto"/>
            <w:tcBorders>
              <w:top w:val="single" w:sz="4" w:space="0" w:color="auto"/>
              <w:left w:val="nil"/>
              <w:bottom w:val="single" w:sz="4" w:space="0" w:color="auto"/>
              <w:right w:val="nil"/>
            </w:tcBorders>
            <w:hideMark/>
          </w:tcPr>
          <w:p w:rsidR="00C75A85" w:rsidRPr="00C75A85" w:rsidRDefault="00C75A85" w:rsidP="00C75A85">
            <w:pPr>
              <w:spacing w:before="60" w:after="0" w:line="240" w:lineRule="auto"/>
              <w:rPr>
                <w:b/>
                <w:bCs/>
                <w:sz w:val="20"/>
                <w:szCs w:val="20"/>
              </w:rPr>
            </w:pPr>
            <w:r w:rsidRPr="00C75A85">
              <w:rPr>
                <w:b/>
                <w:bCs/>
                <w:sz w:val="20"/>
                <w:szCs w:val="20"/>
              </w:rPr>
              <w:t>Metallopeptides</w:t>
            </w:r>
            <w:r w:rsidRPr="00C75A85">
              <w:rPr>
                <w:b/>
                <w:bCs/>
                <w:sz w:val="20"/>
                <w:szCs w:val="20"/>
                <w:vertAlign w:val="superscript"/>
              </w:rPr>
              <w:t>a</w:t>
            </w:r>
          </w:p>
        </w:tc>
        <w:tc>
          <w:tcPr>
            <w:tcW w:w="0" w:type="auto"/>
            <w:tcBorders>
              <w:top w:val="single" w:sz="4" w:space="0" w:color="auto"/>
              <w:left w:val="nil"/>
              <w:bottom w:val="single" w:sz="4" w:space="0" w:color="auto"/>
              <w:right w:val="nil"/>
            </w:tcBorders>
            <w:hideMark/>
          </w:tcPr>
          <w:p w:rsidR="00C75A85" w:rsidRPr="00C75A85" w:rsidRDefault="00C75A85" w:rsidP="00C75A85">
            <w:pPr>
              <w:spacing w:before="60" w:after="0" w:line="240" w:lineRule="auto"/>
              <w:jc w:val="center"/>
              <w:rPr>
                <w:b/>
                <w:bCs/>
                <w:sz w:val="20"/>
                <w:szCs w:val="20"/>
              </w:rPr>
            </w:pPr>
            <w:r w:rsidRPr="00C75A85">
              <w:rPr>
                <w:b/>
                <w:bCs/>
                <w:sz w:val="20"/>
                <w:szCs w:val="20"/>
              </w:rPr>
              <w:t>Wavelength/nm</w:t>
            </w:r>
          </w:p>
          <w:p w:rsidR="00C75A85" w:rsidRPr="00C75A85" w:rsidRDefault="00C75A85" w:rsidP="00C75A85">
            <w:pPr>
              <w:spacing w:after="60" w:line="240" w:lineRule="auto"/>
              <w:jc w:val="center"/>
              <w:rPr>
                <w:b/>
                <w:bCs/>
                <w:sz w:val="20"/>
                <w:szCs w:val="20"/>
              </w:rPr>
            </w:pPr>
            <w:r w:rsidRPr="00C75A85">
              <w:rPr>
                <w:b/>
                <w:bCs/>
                <w:sz w:val="20"/>
                <w:szCs w:val="20"/>
              </w:rPr>
              <w:t>(log ε/ Lcm</w:t>
            </w:r>
            <w:r w:rsidRPr="00C75A85">
              <w:rPr>
                <w:b/>
                <w:bCs/>
                <w:sz w:val="20"/>
                <w:szCs w:val="20"/>
                <w:vertAlign w:val="superscript"/>
              </w:rPr>
              <w:t>-1</w:t>
            </w:r>
            <w:r w:rsidRPr="00C75A85">
              <w:rPr>
                <w:b/>
                <w:bCs/>
                <w:sz w:val="20"/>
                <w:szCs w:val="20"/>
              </w:rPr>
              <w:t>mol</w:t>
            </w:r>
            <w:r w:rsidRPr="00C75A85">
              <w:rPr>
                <w:b/>
                <w:bCs/>
                <w:sz w:val="20"/>
                <w:szCs w:val="20"/>
                <w:vertAlign w:val="superscript"/>
              </w:rPr>
              <w:t>-1</w:t>
            </w:r>
            <w:r w:rsidRPr="00C75A85">
              <w:rPr>
                <w:b/>
                <w:bCs/>
                <w:sz w:val="20"/>
                <w:szCs w:val="20"/>
              </w:rPr>
              <w:t>)</w:t>
            </w:r>
          </w:p>
        </w:tc>
        <w:tc>
          <w:tcPr>
            <w:tcW w:w="0" w:type="auto"/>
            <w:tcBorders>
              <w:top w:val="single" w:sz="4" w:space="0" w:color="auto"/>
              <w:left w:val="nil"/>
              <w:bottom w:val="single" w:sz="4" w:space="0" w:color="auto"/>
              <w:right w:val="nil"/>
            </w:tcBorders>
            <w:hideMark/>
          </w:tcPr>
          <w:p w:rsidR="00C75A85" w:rsidRPr="00C75A85" w:rsidRDefault="00C75A85" w:rsidP="00C75A85">
            <w:pPr>
              <w:spacing w:before="60" w:after="0" w:line="240" w:lineRule="auto"/>
              <w:rPr>
                <w:b/>
                <w:bCs/>
                <w:sz w:val="20"/>
                <w:szCs w:val="20"/>
              </w:rPr>
            </w:pPr>
            <w:r w:rsidRPr="00C75A85">
              <w:rPr>
                <w:b/>
                <w:bCs/>
                <w:sz w:val="20"/>
                <w:szCs w:val="20"/>
              </w:rPr>
              <w:t>Assignment</w:t>
            </w:r>
          </w:p>
        </w:tc>
      </w:tr>
      <w:tr w:rsidR="00C75A85" w:rsidRPr="00C75A85" w:rsidTr="000543EF">
        <w:trPr>
          <w:jc w:val="center"/>
        </w:trPr>
        <w:tc>
          <w:tcPr>
            <w:tcW w:w="0" w:type="auto"/>
            <w:tcBorders>
              <w:top w:val="single" w:sz="4" w:space="0" w:color="auto"/>
              <w:left w:val="nil"/>
              <w:right w:val="nil"/>
            </w:tcBorders>
          </w:tcPr>
          <w:p w:rsidR="00C75A85" w:rsidRPr="00C75A85" w:rsidRDefault="00C75A85" w:rsidP="00C75A85">
            <w:pPr>
              <w:spacing w:before="60" w:after="0" w:line="240" w:lineRule="auto"/>
              <w:rPr>
                <w:sz w:val="20"/>
                <w:szCs w:val="20"/>
              </w:rPr>
            </w:pPr>
            <w:r w:rsidRPr="00C75A85">
              <w:rPr>
                <w:sz w:val="20"/>
                <w:szCs w:val="20"/>
              </w:rPr>
              <w:t>MP1 (Cu-P1-Cu)</w:t>
            </w:r>
          </w:p>
          <w:p w:rsidR="00C75A85" w:rsidRPr="00C75A85" w:rsidRDefault="00C75A85" w:rsidP="00C75A85">
            <w:pPr>
              <w:spacing w:before="60" w:after="0" w:line="240" w:lineRule="auto"/>
              <w:rPr>
                <w:sz w:val="20"/>
                <w:szCs w:val="20"/>
              </w:rPr>
            </w:pPr>
          </w:p>
        </w:tc>
        <w:tc>
          <w:tcPr>
            <w:tcW w:w="0" w:type="auto"/>
            <w:tcBorders>
              <w:top w:val="single" w:sz="4" w:space="0" w:color="auto"/>
              <w:left w:val="nil"/>
              <w:right w:val="nil"/>
            </w:tcBorders>
            <w:hideMark/>
          </w:tcPr>
          <w:p w:rsidR="00C75A85" w:rsidRPr="00C75A85" w:rsidRDefault="00C75A85" w:rsidP="00C75A85">
            <w:pPr>
              <w:spacing w:before="60" w:after="0" w:line="240" w:lineRule="auto"/>
              <w:jc w:val="center"/>
              <w:rPr>
                <w:sz w:val="20"/>
                <w:szCs w:val="20"/>
              </w:rPr>
            </w:pPr>
            <w:r w:rsidRPr="00C75A85">
              <w:rPr>
                <w:sz w:val="20"/>
                <w:szCs w:val="20"/>
              </w:rPr>
              <w:t>714 (2.04)</w:t>
            </w:r>
          </w:p>
          <w:p w:rsidR="00C75A85" w:rsidRPr="00C75A85" w:rsidRDefault="00C75A85" w:rsidP="00C75A85">
            <w:pPr>
              <w:spacing w:before="60" w:after="0" w:line="240" w:lineRule="auto"/>
              <w:jc w:val="center"/>
              <w:rPr>
                <w:sz w:val="20"/>
                <w:szCs w:val="20"/>
              </w:rPr>
            </w:pPr>
            <w:r w:rsidRPr="00C75A85">
              <w:rPr>
                <w:sz w:val="20"/>
                <w:szCs w:val="20"/>
              </w:rPr>
              <w:t>458 (1.98)</w:t>
            </w:r>
          </w:p>
          <w:p w:rsidR="00C75A85" w:rsidRPr="00C75A85" w:rsidRDefault="00C75A85" w:rsidP="00C75A85">
            <w:pPr>
              <w:spacing w:before="60" w:after="0" w:line="240" w:lineRule="auto"/>
              <w:jc w:val="center"/>
              <w:rPr>
                <w:sz w:val="20"/>
                <w:szCs w:val="20"/>
              </w:rPr>
            </w:pPr>
            <w:r w:rsidRPr="00C75A85">
              <w:rPr>
                <w:sz w:val="20"/>
                <w:szCs w:val="20"/>
              </w:rPr>
              <w:t>239 (3.84)</w:t>
            </w:r>
          </w:p>
        </w:tc>
        <w:tc>
          <w:tcPr>
            <w:tcW w:w="0" w:type="auto"/>
            <w:tcBorders>
              <w:top w:val="single" w:sz="4" w:space="0" w:color="auto"/>
              <w:left w:val="nil"/>
              <w:right w:val="nil"/>
            </w:tcBorders>
            <w:hideMark/>
          </w:tcPr>
          <w:p w:rsidR="00C75A85" w:rsidRPr="00C75A85" w:rsidRDefault="00C75A85" w:rsidP="00C75A85">
            <w:pPr>
              <w:spacing w:before="60" w:after="0" w:line="240" w:lineRule="auto"/>
              <w:rPr>
                <w:sz w:val="20"/>
                <w:szCs w:val="20"/>
              </w:rPr>
            </w:pPr>
            <w:r w:rsidRPr="00C75A85">
              <w:rPr>
                <w:sz w:val="20"/>
                <w:szCs w:val="20"/>
              </w:rPr>
              <w:t>d-d transition</w:t>
            </w:r>
          </w:p>
          <w:p w:rsidR="00C75A85" w:rsidRPr="00C75A85" w:rsidRDefault="00C75A85" w:rsidP="00C75A85">
            <w:pPr>
              <w:spacing w:before="60" w:after="0" w:line="240" w:lineRule="auto"/>
              <w:rPr>
                <w:sz w:val="20"/>
                <w:szCs w:val="20"/>
              </w:rPr>
            </w:pPr>
            <w:r w:rsidRPr="00C75A85">
              <w:rPr>
                <w:sz w:val="20"/>
                <w:szCs w:val="20"/>
              </w:rPr>
              <w:t>charge transfer</w:t>
            </w:r>
          </w:p>
          <w:p w:rsidR="00C75A85" w:rsidRPr="00C75A85" w:rsidRDefault="00C75A85" w:rsidP="00C75A85">
            <w:pPr>
              <w:spacing w:before="60" w:after="0" w:line="240" w:lineRule="auto"/>
              <w:rPr>
                <w:sz w:val="20"/>
                <w:szCs w:val="20"/>
              </w:rPr>
            </w:pPr>
            <w:r w:rsidRPr="00C75A85">
              <w:rPr>
                <w:sz w:val="20"/>
                <w:szCs w:val="20"/>
              </w:rPr>
              <w:t>bound to histidine</w:t>
            </w:r>
          </w:p>
        </w:tc>
      </w:tr>
      <w:tr w:rsidR="00C75A85" w:rsidRPr="00C75A85" w:rsidTr="000543EF">
        <w:trPr>
          <w:jc w:val="center"/>
        </w:trPr>
        <w:tc>
          <w:tcPr>
            <w:tcW w:w="0" w:type="auto"/>
            <w:tcBorders>
              <w:left w:val="nil"/>
              <w:right w:val="nil"/>
            </w:tcBorders>
          </w:tcPr>
          <w:p w:rsidR="00C75A85" w:rsidRPr="00C75A85" w:rsidRDefault="00C75A85" w:rsidP="00304B06">
            <w:pPr>
              <w:spacing w:before="120" w:after="0" w:line="240" w:lineRule="auto"/>
              <w:rPr>
                <w:sz w:val="20"/>
                <w:szCs w:val="20"/>
              </w:rPr>
            </w:pPr>
            <w:r w:rsidRPr="00C75A85">
              <w:rPr>
                <w:sz w:val="20"/>
                <w:szCs w:val="20"/>
              </w:rPr>
              <w:t>MP2 (Cu-P2-Cu)</w:t>
            </w:r>
          </w:p>
          <w:p w:rsidR="00C75A85" w:rsidRPr="00C75A85" w:rsidRDefault="00C75A85" w:rsidP="00C75A85">
            <w:pPr>
              <w:spacing w:before="60" w:after="0" w:line="240" w:lineRule="auto"/>
              <w:rPr>
                <w:sz w:val="20"/>
                <w:szCs w:val="20"/>
              </w:rPr>
            </w:pPr>
          </w:p>
        </w:tc>
        <w:tc>
          <w:tcPr>
            <w:tcW w:w="0" w:type="auto"/>
            <w:tcBorders>
              <w:left w:val="nil"/>
              <w:right w:val="nil"/>
            </w:tcBorders>
            <w:hideMark/>
          </w:tcPr>
          <w:p w:rsidR="00C75A85" w:rsidRPr="00C75A85" w:rsidRDefault="00C75A85" w:rsidP="00304B06">
            <w:pPr>
              <w:spacing w:before="120" w:after="0" w:line="240" w:lineRule="auto"/>
              <w:jc w:val="center"/>
              <w:rPr>
                <w:sz w:val="20"/>
                <w:szCs w:val="20"/>
              </w:rPr>
            </w:pPr>
            <w:r w:rsidRPr="00C75A85">
              <w:rPr>
                <w:sz w:val="20"/>
                <w:szCs w:val="20"/>
              </w:rPr>
              <w:t>708 (1.60)</w:t>
            </w:r>
          </w:p>
          <w:p w:rsidR="00C75A85" w:rsidRPr="00C75A85" w:rsidRDefault="00C75A85" w:rsidP="00C75A85">
            <w:pPr>
              <w:spacing w:before="60" w:after="0" w:line="240" w:lineRule="auto"/>
              <w:jc w:val="center"/>
              <w:rPr>
                <w:sz w:val="20"/>
                <w:szCs w:val="20"/>
              </w:rPr>
            </w:pPr>
            <w:r w:rsidRPr="00C75A85">
              <w:rPr>
                <w:sz w:val="20"/>
                <w:szCs w:val="20"/>
              </w:rPr>
              <w:t>530 (1.72)</w:t>
            </w:r>
          </w:p>
          <w:p w:rsidR="00C75A85" w:rsidRPr="00C75A85" w:rsidRDefault="00C75A85" w:rsidP="00C75A85">
            <w:pPr>
              <w:spacing w:before="60" w:after="0" w:line="240" w:lineRule="auto"/>
              <w:jc w:val="center"/>
              <w:rPr>
                <w:sz w:val="20"/>
                <w:szCs w:val="20"/>
              </w:rPr>
            </w:pPr>
            <w:r w:rsidRPr="00C75A85">
              <w:rPr>
                <w:sz w:val="20"/>
                <w:szCs w:val="20"/>
              </w:rPr>
              <w:t>268 (3.74)</w:t>
            </w:r>
          </w:p>
        </w:tc>
        <w:tc>
          <w:tcPr>
            <w:tcW w:w="0" w:type="auto"/>
            <w:tcBorders>
              <w:left w:val="nil"/>
              <w:right w:val="nil"/>
            </w:tcBorders>
            <w:hideMark/>
          </w:tcPr>
          <w:p w:rsidR="00C75A85" w:rsidRPr="00C75A85" w:rsidRDefault="00C75A85" w:rsidP="00304B06">
            <w:pPr>
              <w:spacing w:before="120" w:after="0" w:line="240" w:lineRule="auto"/>
              <w:rPr>
                <w:sz w:val="20"/>
                <w:szCs w:val="20"/>
              </w:rPr>
            </w:pPr>
            <w:r w:rsidRPr="00C75A85">
              <w:rPr>
                <w:sz w:val="20"/>
                <w:szCs w:val="20"/>
              </w:rPr>
              <w:t>d-d transition</w:t>
            </w:r>
          </w:p>
          <w:p w:rsidR="00C75A85" w:rsidRPr="00C75A85" w:rsidRDefault="00C75A85" w:rsidP="00C75A85">
            <w:pPr>
              <w:spacing w:before="60" w:after="0" w:line="240" w:lineRule="auto"/>
              <w:rPr>
                <w:sz w:val="20"/>
                <w:szCs w:val="20"/>
              </w:rPr>
            </w:pPr>
            <w:r w:rsidRPr="00C75A85">
              <w:rPr>
                <w:sz w:val="20"/>
                <w:szCs w:val="20"/>
              </w:rPr>
              <w:t>charge transfer</w:t>
            </w:r>
          </w:p>
          <w:p w:rsidR="00C75A85" w:rsidRPr="00C75A85" w:rsidRDefault="00C75A85" w:rsidP="00C75A85">
            <w:pPr>
              <w:spacing w:before="60" w:after="0" w:line="240" w:lineRule="auto"/>
              <w:rPr>
                <w:sz w:val="20"/>
                <w:szCs w:val="20"/>
              </w:rPr>
            </w:pPr>
            <w:r w:rsidRPr="00C75A85">
              <w:rPr>
                <w:sz w:val="20"/>
                <w:szCs w:val="20"/>
              </w:rPr>
              <w:t>bound to histidine</w:t>
            </w:r>
          </w:p>
        </w:tc>
      </w:tr>
      <w:tr w:rsidR="00C75A85" w:rsidRPr="00C75A85" w:rsidTr="000543EF">
        <w:trPr>
          <w:jc w:val="center"/>
        </w:trPr>
        <w:tc>
          <w:tcPr>
            <w:tcW w:w="0" w:type="auto"/>
            <w:tcBorders>
              <w:left w:val="nil"/>
              <w:right w:val="nil"/>
            </w:tcBorders>
          </w:tcPr>
          <w:p w:rsidR="00C75A85" w:rsidRPr="00C75A85" w:rsidRDefault="00C75A85" w:rsidP="00304B06">
            <w:pPr>
              <w:spacing w:before="120" w:after="0" w:line="240" w:lineRule="auto"/>
              <w:rPr>
                <w:sz w:val="20"/>
                <w:szCs w:val="20"/>
              </w:rPr>
            </w:pPr>
            <w:r w:rsidRPr="00C75A85">
              <w:rPr>
                <w:sz w:val="20"/>
                <w:szCs w:val="20"/>
              </w:rPr>
              <w:t>MP3 (Cu-P3-Cu)</w:t>
            </w:r>
          </w:p>
          <w:p w:rsidR="00C75A85" w:rsidRPr="00C75A85" w:rsidRDefault="00C75A85" w:rsidP="00513E40">
            <w:pPr>
              <w:spacing w:before="60" w:after="0" w:line="240" w:lineRule="auto"/>
              <w:rPr>
                <w:sz w:val="20"/>
                <w:szCs w:val="20"/>
              </w:rPr>
            </w:pPr>
          </w:p>
        </w:tc>
        <w:tc>
          <w:tcPr>
            <w:tcW w:w="0" w:type="auto"/>
            <w:tcBorders>
              <w:left w:val="nil"/>
              <w:right w:val="nil"/>
            </w:tcBorders>
            <w:hideMark/>
          </w:tcPr>
          <w:p w:rsidR="00C75A85" w:rsidRPr="00C75A85" w:rsidRDefault="00C75A85" w:rsidP="00304B06">
            <w:pPr>
              <w:spacing w:before="120" w:after="0" w:line="240" w:lineRule="auto"/>
              <w:jc w:val="center"/>
              <w:rPr>
                <w:sz w:val="20"/>
                <w:szCs w:val="20"/>
              </w:rPr>
            </w:pPr>
            <w:r w:rsidRPr="00C75A85">
              <w:rPr>
                <w:sz w:val="20"/>
                <w:szCs w:val="20"/>
              </w:rPr>
              <w:t>737 (2.17)</w:t>
            </w:r>
          </w:p>
          <w:p w:rsidR="00C75A85" w:rsidRPr="00C75A85" w:rsidRDefault="00C75A85" w:rsidP="00513E40">
            <w:pPr>
              <w:spacing w:before="60" w:after="0" w:line="240" w:lineRule="auto"/>
              <w:jc w:val="center"/>
              <w:rPr>
                <w:sz w:val="20"/>
                <w:szCs w:val="20"/>
              </w:rPr>
            </w:pPr>
            <w:r w:rsidRPr="00C75A85">
              <w:rPr>
                <w:sz w:val="20"/>
                <w:szCs w:val="20"/>
              </w:rPr>
              <w:t>648 (2.23)</w:t>
            </w:r>
          </w:p>
          <w:p w:rsidR="00C75A85" w:rsidRPr="00C75A85" w:rsidRDefault="00C75A85" w:rsidP="00513E40">
            <w:pPr>
              <w:spacing w:before="60" w:after="0" w:line="240" w:lineRule="auto"/>
              <w:jc w:val="center"/>
              <w:rPr>
                <w:sz w:val="20"/>
                <w:szCs w:val="20"/>
              </w:rPr>
            </w:pPr>
            <w:r w:rsidRPr="00C75A85">
              <w:rPr>
                <w:sz w:val="20"/>
                <w:szCs w:val="20"/>
              </w:rPr>
              <w:t>270 (3.85)</w:t>
            </w:r>
          </w:p>
        </w:tc>
        <w:tc>
          <w:tcPr>
            <w:tcW w:w="0" w:type="auto"/>
            <w:tcBorders>
              <w:left w:val="nil"/>
              <w:right w:val="nil"/>
            </w:tcBorders>
            <w:hideMark/>
          </w:tcPr>
          <w:p w:rsidR="00C75A85" w:rsidRPr="00C75A85" w:rsidRDefault="00C75A85" w:rsidP="00304B06">
            <w:pPr>
              <w:spacing w:before="120" w:after="0" w:line="240" w:lineRule="auto"/>
              <w:rPr>
                <w:sz w:val="20"/>
                <w:szCs w:val="20"/>
              </w:rPr>
            </w:pPr>
            <w:r w:rsidRPr="00C75A85">
              <w:rPr>
                <w:sz w:val="20"/>
                <w:szCs w:val="20"/>
              </w:rPr>
              <w:t>d-d transition</w:t>
            </w:r>
          </w:p>
          <w:p w:rsidR="00C75A85" w:rsidRPr="00C75A85" w:rsidRDefault="00C75A85" w:rsidP="00513E40">
            <w:pPr>
              <w:spacing w:before="60" w:after="0" w:line="240" w:lineRule="auto"/>
              <w:rPr>
                <w:sz w:val="20"/>
                <w:szCs w:val="20"/>
              </w:rPr>
            </w:pPr>
            <w:r w:rsidRPr="00C75A85">
              <w:rPr>
                <w:sz w:val="20"/>
                <w:szCs w:val="20"/>
              </w:rPr>
              <w:t>charge transfer</w:t>
            </w:r>
          </w:p>
          <w:p w:rsidR="00C75A85" w:rsidRPr="00C75A85" w:rsidRDefault="00C75A85" w:rsidP="00513E40">
            <w:pPr>
              <w:spacing w:before="60" w:after="0" w:line="240" w:lineRule="auto"/>
              <w:rPr>
                <w:sz w:val="20"/>
                <w:szCs w:val="20"/>
              </w:rPr>
            </w:pPr>
            <w:r w:rsidRPr="00C75A85">
              <w:rPr>
                <w:sz w:val="20"/>
                <w:szCs w:val="20"/>
              </w:rPr>
              <w:t>bound to histidine</w:t>
            </w:r>
          </w:p>
        </w:tc>
      </w:tr>
      <w:tr w:rsidR="00C75A85" w:rsidRPr="00C75A85" w:rsidTr="000543EF">
        <w:trPr>
          <w:jc w:val="center"/>
        </w:trPr>
        <w:tc>
          <w:tcPr>
            <w:tcW w:w="0" w:type="auto"/>
            <w:tcBorders>
              <w:left w:val="nil"/>
              <w:right w:val="nil"/>
            </w:tcBorders>
          </w:tcPr>
          <w:p w:rsidR="00C75A85" w:rsidRPr="00C75A85" w:rsidRDefault="00C75A85" w:rsidP="00304B06">
            <w:pPr>
              <w:spacing w:before="120" w:after="0" w:line="240" w:lineRule="auto"/>
              <w:rPr>
                <w:sz w:val="20"/>
                <w:szCs w:val="20"/>
              </w:rPr>
            </w:pPr>
            <w:r w:rsidRPr="00C75A85">
              <w:rPr>
                <w:sz w:val="20"/>
                <w:szCs w:val="20"/>
              </w:rPr>
              <w:t>MP4 (Cu-P4-Cu)</w:t>
            </w:r>
          </w:p>
          <w:p w:rsidR="00C75A85" w:rsidRPr="00C75A85" w:rsidRDefault="00C75A85" w:rsidP="00513E40">
            <w:pPr>
              <w:spacing w:before="60" w:after="0" w:line="240" w:lineRule="auto"/>
              <w:rPr>
                <w:sz w:val="20"/>
                <w:szCs w:val="20"/>
              </w:rPr>
            </w:pPr>
          </w:p>
        </w:tc>
        <w:tc>
          <w:tcPr>
            <w:tcW w:w="0" w:type="auto"/>
            <w:tcBorders>
              <w:left w:val="nil"/>
              <w:right w:val="nil"/>
            </w:tcBorders>
            <w:hideMark/>
          </w:tcPr>
          <w:p w:rsidR="00C75A85" w:rsidRPr="00C75A85" w:rsidRDefault="00C75A85" w:rsidP="00304B06">
            <w:pPr>
              <w:spacing w:before="120" w:after="0" w:line="240" w:lineRule="auto"/>
              <w:jc w:val="center"/>
              <w:rPr>
                <w:sz w:val="20"/>
                <w:szCs w:val="20"/>
              </w:rPr>
            </w:pPr>
            <w:r w:rsidRPr="00C75A85">
              <w:rPr>
                <w:sz w:val="20"/>
                <w:szCs w:val="20"/>
              </w:rPr>
              <w:t>747 (2.31)</w:t>
            </w:r>
          </w:p>
          <w:p w:rsidR="00C75A85" w:rsidRPr="00C75A85" w:rsidRDefault="00C75A85" w:rsidP="00513E40">
            <w:pPr>
              <w:spacing w:before="60" w:after="0" w:line="240" w:lineRule="auto"/>
              <w:jc w:val="center"/>
              <w:rPr>
                <w:sz w:val="20"/>
                <w:szCs w:val="20"/>
              </w:rPr>
            </w:pPr>
            <w:r w:rsidRPr="00C75A85">
              <w:rPr>
                <w:sz w:val="20"/>
                <w:szCs w:val="20"/>
              </w:rPr>
              <w:t>518 (1.25)</w:t>
            </w:r>
          </w:p>
          <w:p w:rsidR="00C75A85" w:rsidRPr="00C75A85" w:rsidRDefault="00C75A85" w:rsidP="00513E40">
            <w:pPr>
              <w:spacing w:before="60" w:after="0" w:line="240" w:lineRule="auto"/>
              <w:jc w:val="center"/>
              <w:rPr>
                <w:sz w:val="20"/>
                <w:szCs w:val="20"/>
              </w:rPr>
            </w:pPr>
            <w:r w:rsidRPr="00C75A85">
              <w:rPr>
                <w:sz w:val="20"/>
                <w:szCs w:val="20"/>
              </w:rPr>
              <w:t>307 (2.60)</w:t>
            </w:r>
          </w:p>
        </w:tc>
        <w:tc>
          <w:tcPr>
            <w:tcW w:w="0" w:type="auto"/>
            <w:tcBorders>
              <w:left w:val="nil"/>
              <w:right w:val="nil"/>
            </w:tcBorders>
            <w:hideMark/>
          </w:tcPr>
          <w:p w:rsidR="00C75A85" w:rsidRPr="00C75A85" w:rsidRDefault="00C75A85" w:rsidP="00304B06">
            <w:pPr>
              <w:spacing w:before="120" w:after="0" w:line="240" w:lineRule="auto"/>
              <w:rPr>
                <w:sz w:val="20"/>
                <w:szCs w:val="20"/>
              </w:rPr>
            </w:pPr>
            <w:r w:rsidRPr="00C75A85">
              <w:rPr>
                <w:sz w:val="20"/>
                <w:szCs w:val="20"/>
              </w:rPr>
              <w:t>d-d transition</w:t>
            </w:r>
          </w:p>
          <w:p w:rsidR="00C75A85" w:rsidRPr="00C75A85" w:rsidRDefault="00C75A85" w:rsidP="00513E40">
            <w:pPr>
              <w:spacing w:before="60" w:after="0" w:line="240" w:lineRule="auto"/>
              <w:rPr>
                <w:sz w:val="20"/>
                <w:szCs w:val="20"/>
              </w:rPr>
            </w:pPr>
            <w:r w:rsidRPr="00C75A85">
              <w:rPr>
                <w:sz w:val="20"/>
                <w:szCs w:val="20"/>
              </w:rPr>
              <w:t>charge transfer</w:t>
            </w:r>
          </w:p>
          <w:p w:rsidR="00C75A85" w:rsidRPr="00C75A85" w:rsidRDefault="00C75A85" w:rsidP="00513E40">
            <w:pPr>
              <w:spacing w:before="60" w:after="0" w:line="240" w:lineRule="auto"/>
              <w:rPr>
                <w:sz w:val="20"/>
                <w:szCs w:val="20"/>
              </w:rPr>
            </w:pPr>
            <w:r w:rsidRPr="00C75A85">
              <w:rPr>
                <w:sz w:val="20"/>
                <w:szCs w:val="20"/>
              </w:rPr>
              <w:t>bound to histidine</w:t>
            </w:r>
          </w:p>
        </w:tc>
      </w:tr>
      <w:tr w:rsidR="00C75A85" w:rsidRPr="00C75A85" w:rsidTr="000543EF">
        <w:trPr>
          <w:jc w:val="center"/>
        </w:trPr>
        <w:tc>
          <w:tcPr>
            <w:tcW w:w="0" w:type="auto"/>
            <w:tcBorders>
              <w:left w:val="nil"/>
              <w:bottom w:val="single" w:sz="4" w:space="0" w:color="auto"/>
              <w:right w:val="nil"/>
            </w:tcBorders>
          </w:tcPr>
          <w:p w:rsidR="00C75A85" w:rsidRPr="00C75A85" w:rsidRDefault="00C75A85" w:rsidP="00304B06">
            <w:pPr>
              <w:spacing w:before="120" w:after="0" w:line="240" w:lineRule="auto"/>
              <w:rPr>
                <w:sz w:val="20"/>
                <w:szCs w:val="20"/>
              </w:rPr>
            </w:pPr>
            <w:r w:rsidRPr="00C75A85">
              <w:rPr>
                <w:sz w:val="20"/>
                <w:szCs w:val="20"/>
              </w:rPr>
              <w:t>MP5 (Cu-P5-Cu)</w:t>
            </w:r>
          </w:p>
          <w:p w:rsidR="00C75A85" w:rsidRPr="00C75A85" w:rsidRDefault="00C75A85" w:rsidP="00513E40">
            <w:pPr>
              <w:spacing w:before="60" w:after="0" w:line="240" w:lineRule="auto"/>
              <w:rPr>
                <w:sz w:val="20"/>
                <w:szCs w:val="20"/>
              </w:rPr>
            </w:pPr>
          </w:p>
        </w:tc>
        <w:tc>
          <w:tcPr>
            <w:tcW w:w="0" w:type="auto"/>
            <w:tcBorders>
              <w:left w:val="nil"/>
              <w:bottom w:val="single" w:sz="4" w:space="0" w:color="auto"/>
              <w:right w:val="nil"/>
            </w:tcBorders>
            <w:hideMark/>
          </w:tcPr>
          <w:p w:rsidR="00C75A85" w:rsidRPr="00C75A85" w:rsidRDefault="00C75A85" w:rsidP="00304B06">
            <w:pPr>
              <w:spacing w:before="120" w:after="0" w:line="240" w:lineRule="auto"/>
              <w:jc w:val="center"/>
              <w:rPr>
                <w:sz w:val="20"/>
                <w:szCs w:val="20"/>
              </w:rPr>
            </w:pPr>
            <w:r w:rsidRPr="00C75A85">
              <w:rPr>
                <w:sz w:val="20"/>
                <w:szCs w:val="20"/>
              </w:rPr>
              <w:t>749 (1.16)</w:t>
            </w:r>
          </w:p>
          <w:p w:rsidR="00C75A85" w:rsidRPr="00C75A85" w:rsidRDefault="00C75A85" w:rsidP="00513E40">
            <w:pPr>
              <w:spacing w:before="60" w:after="0" w:line="240" w:lineRule="auto"/>
              <w:jc w:val="center"/>
              <w:rPr>
                <w:sz w:val="20"/>
                <w:szCs w:val="20"/>
              </w:rPr>
            </w:pPr>
            <w:r w:rsidRPr="00C75A85">
              <w:rPr>
                <w:sz w:val="20"/>
                <w:szCs w:val="20"/>
              </w:rPr>
              <w:t>-</w:t>
            </w:r>
          </w:p>
          <w:p w:rsidR="00C75A85" w:rsidRPr="00C75A85" w:rsidRDefault="00C75A85" w:rsidP="00513E40">
            <w:pPr>
              <w:spacing w:before="60" w:after="60" w:line="240" w:lineRule="auto"/>
              <w:jc w:val="center"/>
              <w:rPr>
                <w:sz w:val="20"/>
                <w:szCs w:val="20"/>
              </w:rPr>
            </w:pPr>
            <w:r w:rsidRPr="00C75A85">
              <w:rPr>
                <w:sz w:val="20"/>
                <w:szCs w:val="20"/>
              </w:rPr>
              <w:t>264 (1.93)</w:t>
            </w:r>
          </w:p>
        </w:tc>
        <w:tc>
          <w:tcPr>
            <w:tcW w:w="0" w:type="auto"/>
            <w:tcBorders>
              <w:left w:val="nil"/>
              <w:bottom w:val="single" w:sz="4" w:space="0" w:color="auto"/>
              <w:right w:val="nil"/>
            </w:tcBorders>
            <w:hideMark/>
          </w:tcPr>
          <w:p w:rsidR="00C75A85" w:rsidRPr="00C75A85" w:rsidRDefault="00C75A85" w:rsidP="00304B06">
            <w:pPr>
              <w:spacing w:before="120" w:after="0" w:line="240" w:lineRule="auto"/>
              <w:rPr>
                <w:sz w:val="20"/>
                <w:szCs w:val="20"/>
              </w:rPr>
            </w:pPr>
            <w:r w:rsidRPr="00C75A85">
              <w:rPr>
                <w:sz w:val="20"/>
                <w:szCs w:val="20"/>
              </w:rPr>
              <w:t>d-d transition</w:t>
            </w:r>
          </w:p>
          <w:p w:rsidR="00C75A85" w:rsidRPr="00C75A85" w:rsidRDefault="00C75A85" w:rsidP="00513E40">
            <w:pPr>
              <w:spacing w:before="60" w:after="0" w:line="240" w:lineRule="auto"/>
              <w:rPr>
                <w:sz w:val="20"/>
                <w:szCs w:val="20"/>
              </w:rPr>
            </w:pPr>
            <w:r w:rsidRPr="00C75A85">
              <w:rPr>
                <w:sz w:val="20"/>
                <w:szCs w:val="20"/>
              </w:rPr>
              <w:t>no charge transfer</w:t>
            </w:r>
          </w:p>
          <w:p w:rsidR="00C75A85" w:rsidRPr="00C75A85" w:rsidRDefault="00C75A85" w:rsidP="00513E40">
            <w:pPr>
              <w:spacing w:before="60" w:after="0" w:line="240" w:lineRule="auto"/>
              <w:rPr>
                <w:sz w:val="20"/>
                <w:szCs w:val="20"/>
              </w:rPr>
            </w:pPr>
            <w:r w:rsidRPr="00C75A85">
              <w:rPr>
                <w:sz w:val="20"/>
                <w:szCs w:val="20"/>
              </w:rPr>
              <w:t>bound to histidine</w:t>
            </w:r>
          </w:p>
        </w:tc>
      </w:tr>
    </w:tbl>
    <w:p w:rsidR="00C75A85" w:rsidRPr="00C75A85" w:rsidRDefault="00C75A85" w:rsidP="00C75A85">
      <w:pPr>
        <w:spacing w:after="0" w:line="240" w:lineRule="auto"/>
        <w:jc w:val="both"/>
        <w:rPr>
          <w:rFonts w:ascii="Times New Roman" w:hAnsi="Times New Roman"/>
          <w:sz w:val="20"/>
          <w:szCs w:val="20"/>
        </w:rPr>
      </w:pPr>
    </w:p>
    <w:p w:rsidR="00C75A85" w:rsidRPr="00C75A85" w:rsidRDefault="00C75A85" w:rsidP="00C75A85">
      <w:pPr>
        <w:spacing w:after="0" w:line="240" w:lineRule="auto"/>
        <w:jc w:val="both"/>
        <w:rPr>
          <w:rFonts w:ascii="Times New Roman" w:hAnsi="Times New Roman"/>
          <w:sz w:val="20"/>
          <w:szCs w:val="20"/>
        </w:rPr>
      </w:pPr>
    </w:p>
    <w:p w:rsidR="00C75A85" w:rsidRPr="00C75A85" w:rsidRDefault="00C75A85" w:rsidP="00C75A85">
      <w:pPr>
        <w:spacing w:after="0" w:line="240" w:lineRule="auto"/>
        <w:jc w:val="both"/>
        <w:rPr>
          <w:rFonts w:ascii="Times New Roman" w:hAnsi="Times New Roman"/>
          <w:sz w:val="20"/>
          <w:szCs w:val="20"/>
        </w:rPr>
      </w:pPr>
      <w:r w:rsidRPr="00C75A85">
        <w:rPr>
          <w:rFonts w:ascii="Times New Roman" w:hAnsi="Times New Roman"/>
          <w:b/>
          <w:sz w:val="20"/>
          <w:szCs w:val="20"/>
        </w:rPr>
        <w:t>UV-Fluorescence spectral analysis</w:t>
      </w:r>
    </w:p>
    <w:p w:rsidR="00C75A85" w:rsidRPr="00C75A85" w:rsidRDefault="00C75A85" w:rsidP="00C75A85">
      <w:pPr>
        <w:spacing w:after="0" w:line="240" w:lineRule="auto"/>
        <w:jc w:val="both"/>
        <w:rPr>
          <w:rFonts w:ascii="Times New Roman" w:hAnsi="Times New Roman"/>
          <w:sz w:val="20"/>
          <w:szCs w:val="20"/>
        </w:rPr>
      </w:pPr>
      <w:r w:rsidRPr="00C75A85">
        <w:rPr>
          <w:rFonts w:ascii="Times New Roman" w:hAnsi="Times New Roman"/>
          <w:sz w:val="20"/>
          <w:szCs w:val="20"/>
        </w:rPr>
        <w:t xml:space="preserve">UV-Fluorescence measures the intensity of light emitted during the relaxation process when a particular substance absorbs UV radiation. These substances are termed as chromophores. The imidazole ring, -CONH, COOH, and cyclic compounds are important chromophores in peptides. The shift in the wavelength and intensity of fluorescence emitted by these chromophores can be due to the presence of metal and other chromophores that are added into the system [8]. For instance, the presence of copper(II) binding to the nitrogen in the imidazole ring of His or to the COOH of the Asp resulted in quenching due to the formation of new bonds or electrostatic forces of attraction. Similarly, when copper(II) acetate was used to bind to peptides, the presence of acetate, a chromophore, could affect the peptide system. Either, an extra band was observed further down the wavelength or the intensity of the existing band increased [9], as observed in Figure 2. </w:t>
      </w:r>
    </w:p>
    <w:p w:rsidR="00C75A85" w:rsidRDefault="00C75A85" w:rsidP="00C75A85">
      <w:pPr>
        <w:spacing w:after="0" w:line="240" w:lineRule="auto"/>
        <w:jc w:val="both"/>
        <w:rPr>
          <w:rFonts w:ascii="Times New Roman" w:hAnsi="Times New Roman"/>
          <w:sz w:val="20"/>
          <w:szCs w:val="20"/>
        </w:rPr>
      </w:pPr>
    </w:p>
    <w:p w:rsidR="00304B06" w:rsidRPr="00C75A85" w:rsidRDefault="00304B06" w:rsidP="00304B06">
      <w:pPr>
        <w:spacing w:after="0" w:line="240" w:lineRule="auto"/>
        <w:jc w:val="both"/>
        <w:rPr>
          <w:rFonts w:ascii="Times New Roman" w:hAnsi="Times New Roman"/>
          <w:sz w:val="20"/>
          <w:szCs w:val="20"/>
        </w:rPr>
      </w:pPr>
      <w:r w:rsidRPr="00C75A85">
        <w:rPr>
          <w:rFonts w:ascii="Times New Roman" w:hAnsi="Times New Roman"/>
          <w:sz w:val="20"/>
          <w:szCs w:val="20"/>
        </w:rPr>
        <w:t xml:space="preserve">In most cases, addition of any metal into peptide or protein results in the quenching of its parent peptide as observed in the range of 600 – 650 nm [10]. Just like the UV-vis spectra, a strong signal was observed in the range of 285 – 340 nm (Figure 2). This was due to the presence of the imidazole ring of histidine [7]. In some of the metallopeptides, quenching was observed in this range. For the case of P4 and P5, the absence of Fmoc group at the N-terminal made them unstable and hence such emittance bands were observed. As for the copper(II) complexes of these two peptides (Figure 3), due to the positions of histidine and aspartic acid side by side, and the free N-terminal as a possible candidate for binding of one of the copper(II) ions also led to different results compared to MP1-3. </w:t>
      </w:r>
    </w:p>
    <w:p w:rsidR="00304B06" w:rsidRDefault="00304B06" w:rsidP="00C75A85">
      <w:pPr>
        <w:spacing w:after="0" w:line="240" w:lineRule="auto"/>
        <w:jc w:val="both"/>
        <w:rPr>
          <w:rFonts w:ascii="Times New Roman" w:hAnsi="Times New Roman"/>
          <w:sz w:val="20"/>
          <w:szCs w:val="20"/>
        </w:rPr>
      </w:pPr>
    </w:p>
    <w:p w:rsidR="00304B06" w:rsidRPr="00C75A85" w:rsidRDefault="00304B06" w:rsidP="00C75A85">
      <w:pPr>
        <w:spacing w:after="0" w:line="240" w:lineRule="auto"/>
        <w:jc w:val="both"/>
        <w:rPr>
          <w:rFonts w:ascii="Times New Roman" w:hAnsi="Times New Roman"/>
          <w:sz w:val="20"/>
          <w:szCs w:val="20"/>
        </w:rPr>
      </w:pPr>
    </w:p>
    <w:p w:rsidR="00C75A85" w:rsidRPr="00C75A85" w:rsidRDefault="00C75A85" w:rsidP="00C75A85">
      <w:pPr>
        <w:spacing w:after="0" w:line="240" w:lineRule="auto"/>
        <w:jc w:val="center"/>
        <w:rPr>
          <w:rFonts w:ascii="Times New Roman" w:hAnsi="Times New Roman"/>
          <w:sz w:val="20"/>
          <w:szCs w:val="20"/>
        </w:rPr>
      </w:pPr>
      <w:r w:rsidRPr="00C75A85">
        <w:rPr>
          <w:rFonts w:ascii="Times New Roman" w:hAnsi="Times New Roman"/>
          <w:noProof/>
          <w:sz w:val="20"/>
          <w:szCs w:val="20"/>
          <w:lang w:bidi="ar-SA"/>
        </w:rPr>
        <w:lastRenderedPageBreak/>
        <w:drawing>
          <wp:inline distT="0" distB="0" distL="0" distR="0" wp14:anchorId="24C1FBF2" wp14:editId="40EB2C4F">
            <wp:extent cx="3434963" cy="2679590"/>
            <wp:effectExtent l="19050" t="19050" r="13335"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4510" t="14925" r="47658" b="15111"/>
                    <a:stretch>
                      <a:fillRect/>
                    </a:stretch>
                  </pic:blipFill>
                  <pic:spPr bwMode="auto">
                    <a:xfrm>
                      <a:off x="0" y="0"/>
                      <a:ext cx="3438525" cy="2682369"/>
                    </a:xfrm>
                    <a:prstGeom prst="rect">
                      <a:avLst/>
                    </a:prstGeom>
                    <a:noFill/>
                    <a:ln>
                      <a:solidFill>
                        <a:schemeClr val="tx1"/>
                      </a:solidFill>
                    </a:ln>
                  </pic:spPr>
                </pic:pic>
              </a:graphicData>
            </a:graphic>
          </wp:inline>
        </w:drawing>
      </w:r>
    </w:p>
    <w:p w:rsidR="00C75A85" w:rsidRDefault="00C75A85" w:rsidP="00304B06">
      <w:pPr>
        <w:spacing w:before="120" w:after="0" w:line="240" w:lineRule="auto"/>
        <w:jc w:val="center"/>
        <w:rPr>
          <w:rFonts w:ascii="Times New Roman" w:hAnsi="Times New Roman"/>
          <w:sz w:val="20"/>
          <w:szCs w:val="20"/>
        </w:rPr>
      </w:pPr>
      <w:r w:rsidRPr="00C75A85">
        <w:rPr>
          <w:rFonts w:ascii="Times New Roman" w:hAnsi="Times New Roman"/>
          <w:sz w:val="20"/>
          <w:szCs w:val="20"/>
        </w:rPr>
        <w:t xml:space="preserve">Figure 2. </w:t>
      </w:r>
      <w:r w:rsidR="00304B06">
        <w:rPr>
          <w:rFonts w:ascii="Times New Roman" w:hAnsi="Times New Roman"/>
          <w:sz w:val="20"/>
          <w:szCs w:val="20"/>
        </w:rPr>
        <w:t xml:space="preserve"> </w:t>
      </w:r>
      <w:r w:rsidRPr="00C75A85">
        <w:rPr>
          <w:rFonts w:ascii="Times New Roman" w:hAnsi="Times New Roman"/>
          <w:sz w:val="20"/>
          <w:szCs w:val="20"/>
        </w:rPr>
        <w:t>UV-Fluorescence spectra of P1-P3 and its copper(II) complexes</w:t>
      </w:r>
    </w:p>
    <w:p w:rsidR="00304B06" w:rsidRDefault="00304B06" w:rsidP="00304B06">
      <w:pPr>
        <w:spacing w:after="0" w:line="240" w:lineRule="auto"/>
        <w:jc w:val="both"/>
        <w:rPr>
          <w:rFonts w:ascii="Times New Roman" w:hAnsi="Times New Roman"/>
          <w:sz w:val="20"/>
          <w:szCs w:val="20"/>
        </w:rPr>
      </w:pPr>
    </w:p>
    <w:p w:rsidR="00304B06" w:rsidRPr="00C75A85" w:rsidRDefault="00304B06" w:rsidP="00304B06">
      <w:pPr>
        <w:spacing w:after="0" w:line="240" w:lineRule="auto"/>
        <w:jc w:val="both"/>
        <w:rPr>
          <w:rFonts w:ascii="Times New Roman" w:hAnsi="Times New Roman"/>
          <w:sz w:val="20"/>
          <w:szCs w:val="20"/>
        </w:rPr>
      </w:pPr>
    </w:p>
    <w:p w:rsidR="00C75A85" w:rsidRPr="00C75A85" w:rsidRDefault="00C75A85" w:rsidP="00C75A85">
      <w:pPr>
        <w:spacing w:after="0" w:line="240" w:lineRule="auto"/>
        <w:jc w:val="center"/>
        <w:rPr>
          <w:rFonts w:ascii="Times New Roman" w:hAnsi="Times New Roman"/>
          <w:sz w:val="20"/>
          <w:szCs w:val="20"/>
        </w:rPr>
      </w:pPr>
      <w:r w:rsidRPr="00C75A85">
        <w:rPr>
          <w:rFonts w:ascii="Times New Roman" w:hAnsi="Times New Roman"/>
          <w:noProof/>
          <w:sz w:val="20"/>
          <w:szCs w:val="20"/>
          <w:lang w:bidi="ar-SA"/>
        </w:rPr>
        <w:drawing>
          <wp:inline distT="0" distB="0" distL="0" distR="0" wp14:anchorId="190FB1C9" wp14:editId="0A2432C1">
            <wp:extent cx="3486150" cy="2398980"/>
            <wp:effectExtent l="19050" t="19050" r="19050" b="209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423" t="17672" r="41588" b="13793"/>
                    <a:stretch/>
                  </pic:blipFill>
                  <pic:spPr bwMode="auto">
                    <a:xfrm>
                      <a:off x="0" y="0"/>
                      <a:ext cx="3493778" cy="240422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6768E9" w:rsidRPr="00C75A85" w:rsidRDefault="00C75A85" w:rsidP="00304B06">
      <w:pPr>
        <w:spacing w:before="120" w:after="0" w:line="240" w:lineRule="auto"/>
        <w:jc w:val="center"/>
        <w:rPr>
          <w:rFonts w:ascii="Times New Roman" w:hAnsi="Times New Roman"/>
          <w:noProof/>
          <w:sz w:val="20"/>
          <w:szCs w:val="20"/>
          <w:lang w:bidi="ar-SA"/>
        </w:rPr>
      </w:pPr>
      <w:r w:rsidRPr="00C75A85">
        <w:rPr>
          <w:rFonts w:ascii="Times New Roman" w:hAnsi="Times New Roman"/>
          <w:sz w:val="20"/>
          <w:szCs w:val="20"/>
        </w:rPr>
        <w:t xml:space="preserve">Figure 3. </w:t>
      </w:r>
      <w:r w:rsidR="00304B06">
        <w:rPr>
          <w:rFonts w:ascii="Times New Roman" w:hAnsi="Times New Roman"/>
          <w:sz w:val="20"/>
          <w:szCs w:val="20"/>
        </w:rPr>
        <w:t xml:space="preserve"> </w:t>
      </w:r>
      <w:r w:rsidR="002D6747">
        <w:rPr>
          <w:rFonts w:ascii="Times New Roman" w:hAnsi="Times New Roman"/>
          <w:sz w:val="20"/>
          <w:szCs w:val="20"/>
        </w:rPr>
        <w:t xml:space="preserve">UV-Fluorescence spectra </w:t>
      </w:r>
      <w:r w:rsidR="002D6747">
        <w:rPr>
          <w:sz w:val="20"/>
        </w:rPr>
        <w:t>of P4, P5 and its copper(II) complexes</w:t>
      </w:r>
    </w:p>
    <w:p w:rsidR="00304B06" w:rsidRDefault="00304B06" w:rsidP="00F447A7">
      <w:pPr>
        <w:spacing w:after="0" w:line="240" w:lineRule="auto"/>
        <w:jc w:val="center"/>
        <w:rPr>
          <w:rFonts w:ascii="Times New Roman" w:hAnsi="Times New Roman"/>
          <w:b/>
          <w:noProof/>
          <w:sz w:val="20"/>
          <w:szCs w:val="20"/>
          <w:lang w:bidi="ar-SA"/>
        </w:rPr>
      </w:pPr>
      <w:bookmarkStart w:id="0" w:name="_GoBack"/>
      <w:bookmarkEnd w:id="0"/>
    </w:p>
    <w:p w:rsidR="00304B06" w:rsidRDefault="00304B06"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04B06" w:rsidRPr="00304B06" w:rsidRDefault="00304B06" w:rsidP="00304B06">
      <w:pPr>
        <w:spacing w:after="0" w:line="240" w:lineRule="auto"/>
        <w:jc w:val="both"/>
        <w:rPr>
          <w:rFonts w:ascii="Times New Roman" w:hAnsi="Times New Roman"/>
          <w:sz w:val="20"/>
        </w:rPr>
      </w:pPr>
      <w:r w:rsidRPr="00304B06">
        <w:rPr>
          <w:rFonts w:ascii="Times New Roman" w:hAnsi="Times New Roman"/>
          <w:sz w:val="20"/>
        </w:rPr>
        <w:t>Based on the data reported in this work, it can be concluded that copper(II) acetate bound to the imidazole ring of histidine and at carboxylate of aspartic acid (one copper(II) at each amino acid) for all the peptides. The UV-Fluorescence shows the existence of the acetate (CH</w:t>
      </w:r>
      <w:r w:rsidRPr="00304B06">
        <w:rPr>
          <w:rFonts w:ascii="Times New Roman" w:hAnsi="Times New Roman"/>
          <w:sz w:val="20"/>
          <w:vertAlign w:val="subscript"/>
        </w:rPr>
        <w:t>3</w:t>
      </w:r>
      <w:r w:rsidRPr="00304B06">
        <w:rPr>
          <w:rFonts w:ascii="Times New Roman" w:hAnsi="Times New Roman"/>
          <w:sz w:val="20"/>
        </w:rPr>
        <w:t>COO) ion in the complex. From the color of copper-peptides (blue), it was also concluded that water was bound to the complex.. Hence, for each copper(II) complex, the geometry is predicted to be a square planar or tetrahedral. To confirm the structure and the geometry, single crystal X-ray diffraction needs to be carried out but suitable crystals have not yet been obtained.</w:t>
      </w:r>
    </w:p>
    <w:p w:rsidR="006768E9" w:rsidRDefault="006768E9" w:rsidP="00304B06">
      <w:pPr>
        <w:spacing w:after="0" w:line="240" w:lineRule="auto"/>
        <w:jc w:val="center"/>
        <w:rPr>
          <w:rFonts w:ascii="Times New Roman" w:hAnsi="Times New Roman"/>
          <w:noProof/>
          <w:sz w:val="20"/>
          <w:szCs w:val="20"/>
          <w:lang w:bidi="ar-SA"/>
        </w:rPr>
      </w:pPr>
    </w:p>
    <w:p w:rsidR="00304B06" w:rsidRDefault="00304B06" w:rsidP="00304B06">
      <w:pPr>
        <w:spacing w:after="0" w:line="240" w:lineRule="auto"/>
        <w:jc w:val="center"/>
        <w:rPr>
          <w:rFonts w:ascii="Times New Roman" w:hAnsi="Times New Roman"/>
          <w:noProof/>
          <w:sz w:val="20"/>
          <w:szCs w:val="20"/>
          <w:lang w:bidi="ar-SA"/>
        </w:rPr>
      </w:pPr>
    </w:p>
    <w:p w:rsidR="00304B06" w:rsidRDefault="00304B06" w:rsidP="00304B06">
      <w:pPr>
        <w:spacing w:after="0" w:line="240" w:lineRule="auto"/>
        <w:jc w:val="center"/>
        <w:rPr>
          <w:rFonts w:ascii="Times New Roman" w:hAnsi="Times New Roman"/>
          <w:noProof/>
          <w:sz w:val="20"/>
          <w:szCs w:val="20"/>
          <w:lang w:bidi="ar-SA"/>
        </w:rPr>
      </w:pPr>
    </w:p>
    <w:p w:rsidR="00304B06" w:rsidRPr="00F447A7" w:rsidRDefault="00304B06" w:rsidP="00304B06">
      <w:pPr>
        <w:spacing w:after="0" w:line="240" w:lineRule="auto"/>
        <w:jc w:val="center"/>
        <w:rPr>
          <w:rFonts w:ascii="Times New Roman" w:hAnsi="Times New Roman"/>
          <w:noProof/>
          <w:sz w:val="20"/>
          <w:szCs w:val="20"/>
          <w:lang w:bidi="ar-SA"/>
        </w:rPr>
      </w:pPr>
    </w:p>
    <w:p w:rsidR="00304B06" w:rsidRDefault="002B3BD8" w:rsidP="00304B0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Acknowledgement</w:t>
      </w:r>
    </w:p>
    <w:p w:rsidR="006768E9" w:rsidRPr="00304B06" w:rsidRDefault="00304B06" w:rsidP="00304B06">
      <w:pPr>
        <w:spacing w:after="0" w:line="240" w:lineRule="auto"/>
        <w:jc w:val="both"/>
        <w:rPr>
          <w:rFonts w:ascii="Times New Roman" w:hAnsi="Times New Roman"/>
          <w:b/>
          <w:noProof/>
          <w:sz w:val="20"/>
          <w:szCs w:val="20"/>
          <w:lang w:bidi="ar-SA"/>
        </w:rPr>
      </w:pPr>
      <w:r w:rsidRPr="00304B06">
        <w:rPr>
          <w:rFonts w:ascii="Times New Roman" w:hAnsi="Times New Roman"/>
          <w:sz w:val="20"/>
        </w:rPr>
        <w:t>We gratefully acknowledge the Fundamental Grant Research Scheme (FGRS 5524292) entitled “Rational Design of Peptide Chiral Catalyst Based on Aldo-Ketoreductase for asymmetric Aldol reaction”, the Faculty of Science, UPM and Malaysian Genome Institute for providing laboratory services and facilities.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04B06" w:rsidRPr="00304B06" w:rsidRDefault="00304B06" w:rsidP="00304B06">
      <w:pPr>
        <w:pStyle w:val="ListParagraph"/>
        <w:numPr>
          <w:ilvl w:val="0"/>
          <w:numId w:val="2"/>
        </w:numPr>
        <w:spacing w:after="0" w:line="240" w:lineRule="auto"/>
        <w:ind w:left="360"/>
        <w:contextualSpacing w:val="0"/>
        <w:jc w:val="both"/>
        <w:rPr>
          <w:rFonts w:ascii="Times New Roman" w:hAnsi="Times New Roman"/>
          <w:sz w:val="20"/>
          <w:szCs w:val="20"/>
        </w:rPr>
      </w:pPr>
      <w:r w:rsidRPr="00304B06">
        <w:rPr>
          <w:rFonts w:ascii="Times New Roman" w:hAnsi="Times New Roman"/>
          <w:noProof/>
          <w:sz w:val="20"/>
          <w:szCs w:val="20"/>
        </w:rPr>
        <w:t xml:space="preserve">Ming, L. J. (2010). Metallopeptides from drug discovery to catalysis. </w:t>
      </w:r>
      <w:r w:rsidRPr="00304B06">
        <w:rPr>
          <w:rFonts w:ascii="Times New Roman" w:hAnsi="Times New Roman"/>
          <w:i/>
          <w:noProof/>
          <w:sz w:val="20"/>
          <w:szCs w:val="20"/>
        </w:rPr>
        <w:t>Journal of Chinese Chemical Society,</w:t>
      </w:r>
      <w:r w:rsidRPr="00304B06">
        <w:rPr>
          <w:rFonts w:ascii="Times New Roman" w:hAnsi="Times New Roman"/>
          <w:noProof/>
          <w:sz w:val="20"/>
          <w:szCs w:val="20"/>
        </w:rPr>
        <w:t xml:space="preserve"> 57</w:t>
      </w:r>
      <w:r w:rsidRPr="00304B06">
        <w:rPr>
          <w:rFonts w:ascii="Times New Roman" w:hAnsi="Times New Roman"/>
          <w:i/>
          <w:noProof/>
          <w:sz w:val="20"/>
          <w:szCs w:val="20"/>
        </w:rPr>
        <w:t>:</w:t>
      </w:r>
      <w:r w:rsidRPr="00304B06">
        <w:rPr>
          <w:rFonts w:ascii="Times New Roman" w:hAnsi="Times New Roman"/>
          <w:noProof/>
          <w:sz w:val="20"/>
          <w:szCs w:val="20"/>
        </w:rPr>
        <w:t xml:space="preserve"> 285 – 299.</w:t>
      </w:r>
    </w:p>
    <w:p w:rsidR="00304B06" w:rsidRPr="00304B06" w:rsidRDefault="00304B06" w:rsidP="00304B06">
      <w:pPr>
        <w:pStyle w:val="ListParagraph"/>
        <w:numPr>
          <w:ilvl w:val="0"/>
          <w:numId w:val="2"/>
        </w:numPr>
        <w:spacing w:after="0" w:line="240" w:lineRule="auto"/>
        <w:ind w:left="360"/>
        <w:contextualSpacing w:val="0"/>
        <w:jc w:val="both"/>
        <w:rPr>
          <w:rFonts w:ascii="Times New Roman" w:hAnsi="Times New Roman"/>
          <w:sz w:val="20"/>
          <w:szCs w:val="20"/>
        </w:rPr>
      </w:pPr>
      <w:r w:rsidRPr="00304B06">
        <w:rPr>
          <w:rFonts w:ascii="Times New Roman" w:hAnsi="Times New Roman"/>
          <w:sz w:val="20"/>
          <w:szCs w:val="20"/>
          <w:lang w:val="en-MY"/>
        </w:rPr>
        <w:t xml:space="preserve">Ball, Z. T. and Zaykov, A. N. (2011). A general synthesis of dirhodium metallopeptides as MDM2 ligands. </w:t>
      </w:r>
      <w:r w:rsidRPr="00304B06">
        <w:rPr>
          <w:rFonts w:ascii="Times New Roman" w:hAnsi="Times New Roman"/>
          <w:i/>
          <w:iCs/>
          <w:sz w:val="20"/>
          <w:szCs w:val="20"/>
          <w:lang w:val="en-MY"/>
        </w:rPr>
        <w:t xml:space="preserve">Chemical Communications, </w:t>
      </w:r>
      <w:r w:rsidRPr="00304B06">
        <w:rPr>
          <w:rFonts w:ascii="Times New Roman" w:hAnsi="Times New Roman"/>
          <w:sz w:val="20"/>
          <w:szCs w:val="20"/>
          <w:lang w:val="en-MY"/>
        </w:rPr>
        <w:t>47: 10927 – 10929.</w:t>
      </w:r>
    </w:p>
    <w:p w:rsidR="00304B06" w:rsidRPr="00304B06" w:rsidRDefault="00304B06" w:rsidP="00304B06">
      <w:pPr>
        <w:pStyle w:val="ListParagraph"/>
        <w:numPr>
          <w:ilvl w:val="0"/>
          <w:numId w:val="2"/>
        </w:numPr>
        <w:spacing w:after="0" w:line="240" w:lineRule="auto"/>
        <w:ind w:left="360"/>
        <w:contextualSpacing w:val="0"/>
        <w:jc w:val="both"/>
        <w:rPr>
          <w:rFonts w:ascii="Times New Roman" w:hAnsi="Times New Roman"/>
          <w:sz w:val="20"/>
          <w:szCs w:val="20"/>
        </w:rPr>
      </w:pPr>
      <w:r w:rsidRPr="00304B06">
        <w:rPr>
          <w:rFonts w:ascii="Times New Roman" w:hAnsi="Times New Roman"/>
          <w:sz w:val="20"/>
          <w:szCs w:val="20"/>
        </w:rPr>
        <w:t xml:space="preserve">Tay, W. M (2010). Metallopeptides as model systems for the study of Cu(II)-dependent oxidation chemistry, </w:t>
      </w:r>
      <w:r w:rsidRPr="00304B06">
        <w:rPr>
          <w:rFonts w:ascii="Times New Roman" w:hAnsi="Times New Roman"/>
          <w:i/>
          <w:iCs/>
          <w:sz w:val="20"/>
          <w:szCs w:val="20"/>
        </w:rPr>
        <w:t xml:space="preserve"> </w:t>
      </w:r>
      <w:r w:rsidRPr="00304B06">
        <w:rPr>
          <w:rFonts w:ascii="Times New Roman" w:hAnsi="Times New Roman"/>
          <w:sz w:val="20"/>
          <w:szCs w:val="20"/>
        </w:rPr>
        <w:t>Thesis University of South Florida.</w:t>
      </w:r>
    </w:p>
    <w:p w:rsidR="00304B06" w:rsidRPr="00304B06" w:rsidRDefault="00304B06" w:rsidP="00304B06">
      <w:pPr>
        <w:pStyle w:val="ListParagraph"/>
        <w:numPr>
          <w:ilvl w:val="0"/>
          <w:numId w:val="2"/>
        </w:numPr>
        <w:spacing w:after="0" w:line="240" w:lineRule="auto"/>
        <w:ind w:left="360"/>
        <w:contextualSpacing w:val="0"/>
        <w:jc w:val="both"/>
        <w:rPr>
          <w:rFonts w:ascii="Times New Roman" w:hAnsi="Times New Roman"/>
          <w:sz w:val="20"/>
          <w:szCs w:val="20"/>
        </w:rPr>
      </w:pPr>
      <w:r w:rsidRPr="00304B06">
        <w:rPr>
          <w:rFonts w:ascii="Times New Roman" w:hAnsi="Times New Roman"/>
          <w:noProof/>
          <w:sz w:val="20"/>
          <w:szCs w:val="20"/>
        </w:rPr>
        <w:t xml:space="preserve">Sambasivan, R. and Ball, Z. T. (2010). Metallopeptides for asymmetric dirhodium catalysis. </w:t>
      </w:r>
      <w:r w:rsidRPr="00304B06">
        <w:rPr>
          <w:rFonts w:ascii="Times New Roman" w:hAnsi="Times New Roman"/>
          <w:i/>
          <w:noProof/>
          <w:sz w:val="20"/>
          <w:szCs w:val="20"/>
        </w:rPr>
        <w:t xml:space="preserve">Journal of the American Chemical Society. </w:t>
      </w:r>
      <w:r w:rsidRPr="00304B06">
        <w:rPr>
          <w:rFonts w:ascii="Times New Roman" w:hAnsi="Times New Roman"/>
          <w:noProof/>
          <w:sz w:val="20"/>
          <w:szCs w:val="20"/>
        </w:rPr>
        <w:t>132: 9289 – 9295.</w:t>
      </w:r>
    </w:p>
    <w:p w:rsidR="00304B06" w:rsidRPr="00304B06" w:rsidRDefault="00304B06" w:rsidP="00304B06">
      <w:pPr>
        <w:pStyle w:val="ListParagraph"/>
        <w:numPr>
          <w:ilvl w:val="0"/>
          <w:numId w:val="2"/>
        </w:numPr>
        <w:spacing w:after="0" w:line="240" w:lineRule="auto"/>
        <w:ind w:left="360"/>
        <w:contextualSpacing w:val="0"/>
        <w:jc w:val="both"/>
        <w:rPr>
          <w:rFonts w:ascii="Times New Roman" w:hAnsi="Times New Roman"/>
          <w:sz w:val="20"/>
          <w:szCs w:val="20"/>
        </w:rPr>
      </w:pPr>
      <w:r w:rsidRPr="00304B06">
        <w:rPr>
          <w:rFonts w:ascii="Times New Roman" w:hAnsi="Times New Roman"/>
          <w:noProof/>
          <w:sz w:val="20"/>
          <w:szCs w:val="20"/>
        </w:rPr>
        <w:t xml:space="preserve">Karavelas, T., Mylonas, M., Malandrinos, G., Plakatouras, J. C., Hadjiliadis, N., Mlynarz, P. and Kozlowski, H. (2005). Coordination properties of Cu(II) and Ni(II) ions towards the C-terminal peptide fragment -ELAKHA- of histone H2B. </w:t>
      </w:r>
      <w:r w:rsidRPr="00304B06">
        <w:rPr>
          <w:rFonts w:ascii="Times New Roman" w:hAnsi="Times New Roman"/>
          <w:i/>
          <w:noProof/>
          <w:sz w:val="20"/>
          <w:szCs w:val="20"/>
        </w:rPr>
        <w:t>Journal of Inorganic Biochemistry.</w:t>
      </w:r>
      <w:r w:rsidRPr="00304B06">
        <w:rPr>
          <w:rFonts w:ascii="Times New Roman" w:hAnsi="Times New Roman"/>
          <w:noProof/>
          <w:sz w:val="20"/>
          <w:szCs w:val="20"/>
        </w:rPr>
        <w:t xml:space="preserve"> 99(2): 606 – 615. </w:t>
      </w:r>
    </w:p>
    <w:p w:rsidR="00304B06" w:rsidRPr="00304B06" w:rsidRDefault="00304B06" w:rsidP="00304B06">
      <w:pPr>
        <w:pStyle w:val="ListParagraph"/>
        <w:numPr>
          <w:ilvl w:val="0"/>
          <w:numId w:val="2"/>
        </w:numPr>
        <w:spacing w:after="0" w:line="240" w:lineRule="auto"/>
        <w:ind w:left="360"/>
        <w:contextualSpacing w:val="0"/>
        <w:jc w:val="both"/>
        <w:rPr>
          <w:rFonts w:ascii="Times New Roman" w:hAnsi="Times New Roman"/>
          <w:sz w:val="20"/>
          <w:szCs w:val="20"/>
        </w:rPr>
      </w:pPr>
      <w:r w:rsidRPr="00304B06">
        <w:rPr>
          <w:rFonts w:ascii="Times New Roman" w:hAnsi="Times New Roman"/>
          <w:noProof/>
          <w:sz w:val="20"/>
          <w:szCs w:val="20"/>
        </w:rPr>
        <w:t xml:space="preserve">Neupane, K. P, Aldous, A. R. and Kritzer, J. A. (2013). Macrocyclization of the ATCUN motif controls metal binding and catalysis. </w:t>
      </w:r>
      <w:r w:rsidRPr="00304B06">
        <w:rPr>
          <w:rFonts w:ascii="Times New Roman" w:hAnsi="Times New Roman"/>
          <w:i/>
          <w:noProof/>
          <w:sz w:val="20"/>
          <w:szCs w:val="20"/>
        </w:rPr>
        <w:t>Inorganic Chemistry</w:t>
      </w:r>
      <w:r w:rsidRPr="00304B06">
        <w:rPr>
          <w:rFonts w:ascii="Times New Roman" w:hAnsi="Times New Roman"/>
          <w:noProof/>
          <w:sz w:val="20"/>
          <w:szCs w:val="20"/>
        </w:rPr>
        <w:t xml:space="preserve">. 52(5): 2729 – 2735. </w:t>
      </w:r>
    </w:p>
    <w:p w:rsidR="00304B06" w:rsidRPr="00304B06" w:rsidRDefault="00304B06" w:rsidP="00304B06">
      <w:pPr>
        <w:pStyle w:val="ListParagraph"/>
        <w:numPr>
          <w:ilvl w:val="0"/>
          <w:numId w:val="2"/>
        </w:numPr>
        <w:spacing w:after="0" w:line="240" w:lineRule="auto"/>
        <w:ind w:left="360"/>
        <w:contextualSpacing w:val="0"/>
        <w:jc w:val="both"/>
        <w:rPr>
          <w:rFonts w:ascii="Times New Roman" w:hAnsi="Times New Roman"/>
          <w:sz w:val="20"/>
          <w:szCs w:val="20"/>
        </w:rPr>
      </w:pPr>
      <w:r w:rsidRPr="00304B06">
        <w:rPr>
          <w:rFonts w:ascii="Times New Roman" w:hAnsi="Times New Roman"/>
          <w:noProof/>
          <w:sz w:val="20"/>
          <w:szCs w:val="20"/>
        </w:rPr>
        <w:t>Boka, B., Myari, A., Sovago, I. and Hadjiliadis, N. (2004). Copper(II) and zinc(II) complexes of the peptides Ac-HisValHis-NH</w:t>
      </w:r>
      <w:r w:rsidRPr="00304B06">
        <w:rPr>
          <w:rFonts w:ascii="Times New Roman" w:hAnsi="Times New Roman"/>
          <w:noProof/>
          <w:sz w:val="20"/>
          <w:szCs w:val="20"/>
          <w:vertAlign w:val="subscript"/>
        </w:rPr>
        <w:t>2</w:t>
      </w:r>
      <w:r w:rsidRPr="00304B06">
        <w:rPr>
          <w:rFonts w:ascii="Times New Roman" w:hAnsi="Times New Roman"/>
          <w:noProof/>
          <w:sz w:val="20"/>
          <w:szCs w:val="20"/>
        </w:rPr>
        <w:t xml:space="preserve"> and Ac-HisValGlyAsp-NH</w:t>
      </w:r>
      <w:r w:rsidRPr="00304B06">
        <w:rPr>
          <w:rFonts w:ascii="Times New Roman" w:hAnsi="Times New Roman"/>
          <w:noProof/>
          <w:sz w:val="20"/>
          <w:szCs w:val="20"/>
          <w:vertAlign w:val="subscript"/>
        </w:rPr>
        <w:t>2</w:t>
      </w:r>
      <w:r w:rsidRPr="00304B06">
        <w:rPr>
          <w:rFonts w:ascii="Times New Roman" w:hAnsi="Times New Roman"/>
          <w:noProof/>
          <w:sz w:val="20"/>
          <w:szCs w:val="20"/>
        </w:rPr>
        <w:t xml:space="preserve"> related to the active site of the enzyme CuZnSOD. </w:t>
      </w:r>
      <w:r w:rsidRPr="00304B06">
        <w:rPr>
          <w:rFonts w:ascii="Times New Roman" w:hAnsi="Times New Roman"/>
          <w:i/>
          <w:noProof/>
          <w:sz w:val="20"/>
          <w:szCs w:val="20"/>
        </w:rPr>
        <w:t>Journal of Inorganic Biochemistry</w:t>
      </w:r>
      <w:r w:rsidRPr="00304B06">
        <w:rPr>
          <w:rFonts w:ascii="Times New Roman" w:hAnsi="Times New Roman"/>
          <w:noProof/>
          <w:sz w:val="20"/>
          <w:szCs w:val="20"/>
        </w:rPr>
        <w:t>. 98(1): 113 – 122.</w:t>
      </w:r>
    </w:p>
    <w:p w:rsidR="00304B06" w:rsidRPr="00304B06" w:rsidRDefault="00304B06" w:rsidP="00304B06">
      <w:pPr>
        <w:pStyle w:val="ListParagraph"/>
        <w:numPr>
          <w:ilvl w:val="0"/>
          <w:numId w:val="2"/>
        </w:numPr>
        <w:spacing w:after="0" w:line="240" w:lineRule="auto"/>
        <w:ind w:left="360"/>
        <w:contextualSpacing w:val="0"/>
        <w:jc w:val="both"/>
        <w:rPr>
          <w:rFonts w:ascii="Times New Roman" w:hAnsi="Times New Roman"/>
          <w:sz w:val="20"/>
          <w:szCs w:val="20"/>
        </w:rPr>
      </w:pPr>
      <w:r w:rsidRPr="00304B06">
        <w:rPr>
          <w:rFonts w:ascii="Times New Roman" w:hAnsi="Times New Roman"/>
          <w:noProof/>
          <w:sz w:val="20"/>
          <w:szCs w:val="20"/>
        </w:rPr>
        <w:t xml:space="preserve">Penner, M. H. (2010). Ultraviolet, visible and fluorescence spectroscopy. In </w:t>
      </w:r>
      <w:r w:rsidRPr="00304B06">
        <w:rPr>
          <w:rFonts w:ascii="Times New Roman" w:hAnsi="Times New Roman"/>
          <w:i/>
          <w:noProof/>
          <w:sz w:val="20"/>
          <w:szCs w:val="20"/>
        </w:rPr>
        <w:t>Food Analysis, 4</w:t>
      </w:r>
      <w:r w:rsidRPr="00304B06">
        <w:rPr>
          <w:rFonts w:ascii="Times New Roman" w:hAnsi="Times New Roman"/>
          <w:i/>
          <w:noProof/>
          <w:sz w:val="20"/>
          <w:szCs w:val="20"/>
          <w:vertAlign w:val="superscript"/>
        </w:rPr>
        <w:t>th</w:t>
      </w:r>
      <w:r w:rsidRPr="00304B06">
        <w:rPr>
          <w:rFonts w:ascii="Times New Roman" w:hAnsi="Times New Roman"/>
          <w:i/>
          <w:noProof/>
          <w:sz w:val="20"/>
          <w:szCs w:val="20"/>
        </w:rPr>
        <w:t xml:space="preserve"> Ed</w:t>
      </w:r>
      <w:r w:rsidRPr="00304B06">
        <w:rPr>
          <w:rFonts w:ascii="Times New Roman" w:hAnsi="Times New Roman"/>
          <w:noProof/>
          <w:sz w:val="20"/>
          <w:szCs w:val="20"/>
        </w:rPr>
        <w:t xml:space="preserve">., Suzanne Nielsen, Ed. Springer. </w:t>
      </w:r>
    </w:p>
    <w:p w:rsidR="00304B06" w:rsidRPr="00304B06" w:rsidRDefault="00304B06" w:rsidP="00304B06">
      <w:pPr>
        <w:pStyle w:val="ListParagraph"/>
        <w:numPr>
          <w:ilvl w:val="0"/>
          <w:numId w:val="2"/>
        </w:numPr>
        <w:spacing w:after="0" w:line="240" w:lineRule="auto"/>
        <w:ind w:left="360"/>
        <w:contextualSpacing w:val="0"/>
        <w:jc w:val="both"/>
        <w:rPr>
          <w:rFonts w:ascii="Times New Roman" w:hAnsi="Times New Roman"/>
          <w:sz w:val="20"/>
          <w:szCs w:val="20"/>
        </w:rPr>
      </w:pPr>
      <w:r w:rsidRPr="00304B06">
        <w:rPr>
          <w:rFonts w:ascii="Times New Roman" w:hAnsi="Times New Roman"/>
          <w:noProof/>
          <w:sz w:val="20"/>
          <w:szCs w:val="20"/>
        </w:rPr>
        <w:t xml:space="preserve">Goulding, A.M. (2010). </w:t>
      </w:r>
      <w:r w:rsidRPr="00304B06">
        <w:rPr>
          <w:rFonts w:ascii="Times New Roman" w:hAnsi="Times New Roman"/>
          <w:iCs/>
          <w:noProof/>
          <w:sz w:val="20"/>
          <w:szCs w:val="20"/>
        </w:rPr>
        <w:t>Biochemical applications of DsRed-Monomer utilizing fluorescence and metal-binding affinity.</w:t>
      </w:r>
      <w:r w:rsidRPr="00304B06">
        <w:rPr>
          <w:rFonts w:ascii="Times New Roman" w:hAnsi="Times New Roman"/>
          <w:noProof/>
          <w:sz w:val="20"/>
          <w:szCs w:val="20"/>
        </w:rPr>
        <w:t xml:space="preserve"> Unpublished doctoral dissertation, Purdue University, Indianapolis, Indiana. </w:t>
      </w:r>
    </w:p>
    <w:p w:rsidR="00304B06" w:rsidRPr="00304B06" w:rsidRDefault="00304B06" w:rsidP="00304B06">
      <w:pPr>
        <w:pStyle w:val="ListParagraph"/>
        <w:numPr>
          <w:ilvl w:val="0"/>
          <w:numId w:val="2"/>
        </w:numPr>
        <w:spacing w:after="0" w:line="240" w:lineRule="auto"/>
        <w:ind w:left="360"/>
        <w:contextualSpacing w:val="0"/>
        <w:jc w:val="both"/>
        <w:rPr>
          <w:rFonts w:ascii="Times New Roman" w:hAnsi="Times New Roman"/>
          <w:sz w:val="20"/>
          <w:szCs w:val="20"/>
        </w:rPr>
      </w:pPr>
      <w:r w:rsidRPr="00304B06">
        <w:rPr>
          <w:rFonts w:ascii="Times New Roman" w:hAnsi="Times New Roman"/>
          <w:noProof/>
          <w:sz w:val="20"/>
          <w:szCs w:val="20"/>
        </w:rPr>
        <w:t xml:space="preserve">Deo, S.K., Rahimi, Y., Goulding, A., Shrestha, S., Mirpuri, S. (2008). Mechanism of copper induced fluorescence quenching of red fluorescent protein, DsRed. </w:t>
      </w:r>
      <w:r w:rsidRPr="00304B06">
        <w:rPr>
          <w:rFonts w:ascii="Times New Roman" w:hAnsi="Times New Roman"/>
          <w:i/>
          <w:noProof/>
          <w:sz w:val="20"/>
          <w:szCs w:val="20"/>
        </w:rPr>
        <w:t>Biochemical and Biophysicsal Research Communication.</w:t>
      </w:r>
      <w:r w:rsidRPr="00304B06">
        <w:rPr>
          <w:rFonts w:ascii="Times New Roman" w:hAnsi="Times New Roman"/>
          <w:noProof/>
          <w:sz w:val="20"/>
          <w:szCs w:val="20"/>
        </w:rPr>
        <w:t xml:space="preserve"> 370(1): 57 – 61.</w:t>
      </w:r>
    </w:p>
    <w:p w:rsidR="00A74A7E" w:rsidRPr="00304B06" w:rsidRDefault="00A74A7E" w:rsidP="00304B06">
      <w:pPr>
        <w:spacing w:after="0" w:line="240" w:lineRule="auto"/>
        <w:ind w:left="360" w:hanging="360"/>
        <w:jc w:val="both"/>
        <w:rPr>
          <w:rFonts w:ascii="Times New Roman" w:hAnsi="Times New Roman"/>
          <w:noProof/>
          <w:lang w:bidi="ar-SA"/>
        </w:rPr>
      </w:pPr>
    </w:p>
    <w:sectPr w:rsidR="00A74A7E" w:rsidRPr="00304B06" w:rsidSect="007274EF">
      <w:headerReference w:type="even" r:id="rId14"/>
      <w:headerReference w:type="default" r:id="rId15"/>
      <w:footerReference w:type="even" r:id="rId16"/>
      <w:footerReference w:type="default" r:id="rId17"/>
      <w:pgSz w:w="12240" w:h="15840" w:code="1"/>
      <w:pgMar w:top="1800" w:right="1469" w:bottom="1699" w:left="1440" w:header="706" w:footer="706" w:gutter="0"/>
      <w:pgNumType w:start="7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26440C">
          <w:rPr>
            <w:rFonts w:ascii="Times New Roman" w:hAnsi="Times New Roman"/>
            <w:noProof/>
          </w:rPr>
          <w:t>740</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26440C">
          <w:rPr>
            <w:rFonts w:ascii="Times New Roman" w:hAnsi="Times New Roman"/>
            <w:noProof/>
          </w:rPr>
          <w:t>739</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B7" w:rsidRPr="00BE6AB7" w:rsidRDefault="008D2A83" w:rsidP="008D2A83">
    <w:pPr>
      <w:spacing w:after="0" w:line="240" w:lineRule="auto"/>
      <w:ind w:left="2160" w:hanging="2160"/>
      <w:rPr>
        <w:rFonts w:ascii="Times New Roman" w:hAnsi="Times New Roman"/>
        <w:sz w:val="20"/>
        <w:szCs w:val="20"/>
      </w:rPr>
    </w:pPr>
    <w:r>
      <w:rPr>
        <w:rFonts w:ascii="Times New Roman" w:hAnsi="Times New Roman"/>
        <w:sz w:val="20"/>
        <w:szCs w:val="20"/>
      </w:rPr>
      <w:t>Mohd. Basyaruddin et al</w:t>
    </w:r>
    <w:r w:rsidR="006B72B0" w:rsidRPr="00BE6AB7">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00BE6AB7" w:rsidRPr="00BE6AB7">
      <w:rPr>
        <w:rFonts w:ascii="Times New Roman" w:hAnsi="Times New Roman"/>
        <w:sz w:val="20"/>
        <w:szCs w:val="20"/>
      </w:rPr>
      <w:t>SPECTROSCOPIC CHARACTERIZATION OF COPPER(II)-BASED</w:t>
    </w:r>
    <w:r>
      <w:rPr>
        <w:rFonts w:ascii="Times New Roman" w:hAnsi="Times New Roman"/>
        <w:sz w:val="20"/>
        <w:szCs w:val="20"/>
      </w:rPr>
      <w:t xml:space="preserve"> </w:t>
    </w:r>
    <w:r w:rsidR="00BE6AB7" w:rsidRPr="00BE6AB7">
      <w:rPr>
        <w:rFonts w:ascii="Times New Roman" w:hAnsi="Times New Roman"/>
        <w:sz w:val="20"/>
        <w:szCs w:val="20"/>
      </w:rPr>
      <w:t>TETRAPEPTIDES</w:t>
    </w:r>
  </w:p>
  <w:p w:rsidR="00A14DB9" w:rsidRPr="00BE6AB7" w:rsidRDefault="00A14DB9" w:rsidP="00BE6A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0D7CEA">
      <w:rPr>
        <w:rFonts w:ascii="Times New Roman" w:hAnsi="Times New Roman"/>
        <w:i/>
        <w:lang w:val="en-US"/>
      </w:rPr>
      <w:t>No 4</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7274EF">
      <w:rPr>
        <w:rFonts w:ascii="Times New Roman" w:hAnsi="Times New Roman"/>
        <w:i/>
        <w:lang w:val="en-US"/>
      </w:rPr>
      <w:t>735</w:t>
    </w:r>
    <w:r>
      <w:rPr>
        <w:rFonts w:ascii="Times New Roman" w:hAnsi="Times New Roman"/>
        <w:i/>
        <w:lang w:val="en-US"/>
      </w:rPr>
      <w:t xml:space="preserve"> </w:t>
    </w:r>
    <w:r w:rsidR="000D7CEA">
      <w:rPr>
        <w:rFonts w:ascii="Times New Roman" w:hAnsi="Times New Roman"/>
        <w:i/>
        <w:lang w:val="en-US"/>
      </w:rPr>
      <w:t>-</w:t>
    </w:r>
    <w:r w:rsidR="007274EF">
      <w:rPr>
        <w:rFonts w:ascii="Times New Roman" w:hAnsi="Times New Roman"/>
        <w:i/>
        <w:lang w:val="en-US"/>
      </w:rPr>
      <w:t xml:space="preserve"> 740</w:t>
    </w:r>
  </w:p>
  <w:p w:rsidR="00584A9B" w:rsidRDefault="00584A9B" w:rsidP="00584A9B">
    <w:pPr>
      <w:pStyle w:val="Header"/>
      <w:jc w:val="right"/>
      <w:rPr>
        <w:rFonts w:ascii="Times New Roman" w:hAnsi="Times New Roman"/>
        <w:i/>
        <w:lang w:val="en-US"/>
      </w:rPr>
    </w:pPr>
    <w:r>
      <w:rPr>
        <w:rFonts w:ascii="Times New Roman" w:hAnsi="Times New Roman"/>
        <w:i/>
        <w:lang w:val="en-US"/>
      </w:rPr>
      <w:t>DOI: http</w:t>
    </w:r>
    <w:r w:rsidR="003972AD">
      <w:rPr>
        <w:rFonts w:ascii="Times New Roman" w:hAnsi="Times New Roman"/>
        <w:i/>
        <w:lang w:val="en-US"/>
      </w:rPr>
      <w:t>://dx</w:t>
    </w:r>
    <w:r w:rsidR="000D7CEA">
      <w:rPr>
        <w:rFonts w:ascii="Times New Roman" w:hAnsi="Times New Roman"/>
        <w:i/>
        <w:lang w:val="en-US"/>
      </w:rPr>
      <w:t>.do</w:t>
    </w:r>
    <w:r w:rsidR="007274EF">
      <w:rPr>
        <w:rFonts w:ascii="Times New Roman" w:hAnsi="Times New Roman"/>
        <w:i/>
        <w:lang w:val="en-US"/>
      </w:rPr>
      <w:t>i.org/10.17576/mjas-2016-2004-05</w:t>
    </w:r>
  </w:p>
  <w:p w:rsidR="00584A9B" w:rsidRPr="00584A9B" w:rsidRDefault="00584A9B" w:rsidP="00584A9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930"/>
    <w:multiLevelType w:val="hybridMultilevel"/>
    <w:tmpl w:val="406A8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330D"/>
    <w:rsid w:val="000C49FF"/>
    <w:rsid w:val="000D7CEA"/>
    <w:rsid w:val="000F77DA"/>
    <w:rsid w:val="001068E8"/>
    <w:rsid w:val="00117BCD"/>
    <w:rsid w:val="001D035A"/>
    <w:rsid w:val="001D3855"/>
    <w:rsid w:val="001D6F2C"/>
    <w:rsid w:val="00253F77"/>
    <w:rsid w:val="0026440C"/>
    <w:rsid w:val="00281D65"/>
    <w:rsid w:val="0028516A"/>
    <w:rsid w:val="002B188F"/>
    <w:rsid w:val="002B3BD8"/>
    <w:rsid w:val="002D6747"/>
    <w:rsid w:val="002F3F91"/>
    <w:rsid w:val="00304767"/>
    <w:rsid w:val="00304B06"/>
    <w:rsid w:val="00304B34"/>
    <w:rsid w:val="00331953"/>
    <w:rsid w:val="00361BAF"/>
    <w:rsid w:val="00367D1F"/>
    <w:rsid w:val="0039241A"/>
    <w:rsid w:val="003972AD"/>
    <w:rsid w:val="003D585B"/>
    <w:rsid w:val="003E0260"/>
    <w:rsid w:val="003E0BD1"/>
    <w:rsid w:val="003E7DA6"/>
    <w:rsid w:val="003F12FF"/>
    <w:rsid w:val="004760D4"/>
    <w:rsid w:val="00494C46"/>
    <w:rsid w:val="004B43FF"/>
    <w:rsid w:val="00502641"/>
    <w:rsid w:val="00513E40"/>
    <w:rsid w:val="00583520"/>
    <w:rsid w:val="00584A9B"/>
    <w:rsid w:val="005C6768"/>
    <w:rsid w:val="005E4871"/>
    <w:rsid w:val="00615122"/>
    <w:rsid w:val="00634C25"/>
    <w:rsid w:val="006416AB"/>
    <w:rsid w:val="006768E9"/>
    <w:rsid w:val="00687982"/>
    <w:rsid w:val="006B3EC8"/>
    <w:rsid w:val="006B72B0"/>
    <w:rsid w:val="006D695E"/>
    <w:rsid w:val="00725A6A"/>
    <w:rsid w:val="007274EF"/>
    <w:rsid w:val="007943F3"/>
    <w:rsid w:val="007A738C"/>
    <w:rsid w:val="007B1349"/>
    <w:rsid w:val="007E25BD"/>
    <w:rsid w:val="00802C35"/>
    <w:rsid w:val="0082181A"/>
    <w:rsid w:val="008B470E"/>
    <w:rsid w:val="008D2A83"/>
    <w:rsid w:val="008E1211"/>
    <w:rsid w:val="008E5BBF"/>
    <w:rsid w:val="008E6968"/>
    <w:rsid w:val="0093295E"/>
    <w:rsid w:val="009F598E"/>
    <w:rsid w:val="00A14DB9"/>
    <w:rsid w:val="00A4762A"/>
    <w:rsid w:val="00A74A7E"/>
    <w:rsid w:val="00AD1B8A"/>
    <w:rsid w:val="00AE713F"/>
    <w:rsid w:val="00B1121C"/>
    <w:rsid w:val="00B25B65"/>
    <w:rsid w:val="00B2770A"/>
    <w:rsid w:val="00B314AD"/>
    <w:rsid w:val="00B75BF6"/>
    <w:rsid w:val="00BA1F7B"/>
    <w:rsid w:val="00BB58AF"/>
    <w:rsid w:val="00BB65A5"/>
    <w:rsid w:val="00BE6AB7"/>
    <w:rsid w:val="00BE7C30"/>
    <w:rsid w:val="00C01598"/>
    <w:rsid w:val="00C055BF"/>
    <w:rsid w:val="00C2226A"/>
    <w:rsid w:val="00C75A85"/>
    <w:rsid w:val="00C94D92"/>
    <w:rsid w:val="00C97340"/>
    <w:rsid w:val="00CA513F"/>
    <w:rsid w:val="00CF05FF"/>
    <w:rsid w:val="00CF40F6"/>
    <w:rsid w:val="00D340BB"/>
    <w:rsid w:val="00D505D5"/>
    <w:rsid w:val="00D75B35"/>
    <w:rsid w:val="00D76E09"/>
    <w:rsid w:val="00D9736F"/>
    <w:rsid w:val="00D9792A"/>
    <w:rsid w:val="00DB174B"/>
    <w:rsid w:val="00DD377F"/>
    <w:rsid w:val="00DE78D3"/>
    <w:rsid w:val="00E00148"/>
    <w:rsid w:val="00E25547"/>
    <w:rsid w:val="00E3287E"/>
    <w:rsid w:val="00E604BB"/>
    <w:rsid w:val="00E66197"/>
    <w:rsid w:val="00F31093"/>
    <w:rsid w:val="00F412AF"/>
    <w:rsid w:val="00F43667"/>
    <w:rsid w:val="00F447A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615122"/>
    <w:rPr>
      <w:rFonts w:ascii="Times New Roman" w:eastAsiaTheme="minorHAnsi" w:hAnsi="Times New Roman"/>
      <w:sz w:val="24"/>
      <w:szCs w:val="24"/>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615122"/>
    <w:rPr>
      <w:rFonts w:ascii="Times New Roman" w:eastAsiaTheme="minorHAnsi" w:hAnsi="Times New Roman"/>
      <w:sz w:val="24"/>
      <w:szCs w:val="24"/>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57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89CB-E4CA-442E-AC3D-0715222DF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2262</Words>
  <Characters>13143</Characters>
  <Application>Microsoft Office Word</Application>
  <DocSecurity>0</DocSecurity>
  <Lines>297</Lines>
  <Paragraphs>129</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15378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ANALIS</cp:lastModifiedBy>
  <cp:revision>13</cp:revision>
  <cp:lastPrinted>2016-07-13T04:02:00Z</cp:lastPrinted>
  <dcterms:created xsi:type="dcterms:W3CDTF">2016-06-22T02:28:00Z</dcterms:created>
  <dcterms:modified xsi:type="dcterms:W3CDTF">2016-07-13T04:02:00Z</dcterms:modified>
</cp:coreProperties>
</file>