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287E" w:rsidRPr="00E3287E" w:rsidRDefault="00E604BB" w:rsidP="00E3287E">
      <w:pPr>
        <w:spacing w:after="0" w:line="240" w:lineRule="auto"/>
        <w:rPr>
          <w:rFonts w:ascii="Times New Roman" w:hAnsi="Times New Roman"/>
          <w:noProof/>
          <w:lang w:bidi="ar-SA"/>
        </w:rPr>
      </w:pPr>
      <w:r>
        <w:rPr>
          <w:noProof/>
          <w:lang w:bidi="ar-SA"/>
        </w:rPr>
        <w:drawing>
          <wp:anchor distT="0" distB="0" distL="114300" distR="114300" simplePos="0" relativeHeight="251658752" behindDoc="1" locked="0" layoutInCell="1" allowOverlap="1">
            <wp:simplePos x="0" y="0"/>
            <wp:positionH relativeFrom="column">
              <wp:align>center</wp:align>
            </wp:positionH>
            <wp:positionV relativeFrom="paragraph">
              <wp:posOffset>0</wp:posOffset>
            </wp:positionV>
            <wp:extent cx="5943600" cy="802005"/>
            <wp:effectExtent l="0" t="0" r="0" b="0"/>
            <wp:wrapNone/>
            <wp:docPr id="15" name="Picture 12" descr="Presentatio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resentation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8020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bidi="ar-SA"/>
        </w:rPr>
        <w:drawing>
          <wp:anchor distT="0" distB="0" distL="114300" distR="114300" simplePos="0" relativeHeight="251657728" behindDoc="0" locked="0" layoutInCell="1" allowOverlap="1">
            <wp:simplePos x="0" y="0"/>
            <wp:positionH relativeFrom="column">
              <wp:posOffset>85725</wp:posOffset>
            </wp:positionH>
            <wp:positionV relativeFrom="paragraph">
              <wp:posOffset>158115</wp:posOffset>
            </wp:positionV>
            <wp:extent cx="815975" cy="558165"/>
            <wp:effectExtent l="0" t="0" r="3175" b="0"/>
            <wp:wrapNone/>
            <wp:docPr id="14" name="Picture 11"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ntitl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15975" cy="5581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1211" w:rsidRDefault="00E604BB" w:rsidP="00084936">
      <w:pPr>
        <w:spacing w:after="0" w:line="240" w:lineRule="auto"/>
        <w:jc w:val="center"/>
        <w:rPr>
          <w:rFonts w:ascii="Times New Roman" w:hAnsi="Times New Roman"/>
          <w:b/>
          <w:noProof/>
          <w:color w:val="FFFFFF"/>
          <w:sz w:val="24"/>
          <w:szCs w:val="28"/>
          <w:lang w:bidi="ar-SA"/>
        </w:rPr>
      </w:pPr>
      <w:r>
        <w:rPr>
          <w:noProof/>
          <w:lang w:bidi="ar-SA"/>
        </w:rPr>
        <mc:AlternateContent>
          <mc:Choice Requires="wps">
            <w:drawing>
              <wp:anchor distT="0" distB="0" distL="114300" distR="114300" simplePos="0" relativeHeight="251656704" behindDoc="0" locked="0" layoutInCell="1" allowOverlap="1">
                <wp:simplePos x="0" y="0"/>
                <wp:positionH relativeFrom="column">
                  <wp:posOffset>5019675</wp:posOffset>
                </wp:positionH>
                <wp:positionV relativeFrom="paragraph">
                  <wp:posOffset>-2540</wp:posOffset>
                </wp:positionV>
                <wp:extent cx="857250" cy="466725"/>
                <wp:effectExtent l="0" t="0" r="0" b="9525"/>
                <wp:wrapNone/>
                <wp:docPr id="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46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084936" w:rsidRPr="00E3287E" w:rsidRDefault="00084936" w:rsidP="00084936">
                            <w:pPr>
                              <w:rPr>
                                <w:rFonts w:ascii="Times New Roman" w:hAnsi="Times New Roman"/>
                              </w:rPr>
                            </w:pPr>
                            <w:r>
                              <w:rPr>
                                <w:rFonts w:ascii="Times New Roman" w:hAnsi="Times New Roman"/>
                              </w:rPr>
                              <w:t xml:space="preserve">     </w:t>
                            </w:r>
                            <w:r w:rsidRPr="00E3287E">
                              <w:rPr>
                                <w:rFonts w:ascii="Times New Roman" w:hAnsi="Times New Roman"/>
                                <w:b/>
                                <w:sz w:val="20"/>
                              </w:rPr>
                              <w:t xml:space="preserve">ISSN </w:t>
                            </w:r>
                            <w:r w:rsidRPr="00E3287E">
                              <w:rPr>
                                <w:rFonts w:ascii="Times New Roman" w:hAnsi="Times New Roman"/>
                                <w:b/>
                                <w:sz w:val="20"/>
                                <w:szCs w:val="20"/>
                              </w:rPr>
                              <w:t>1394 - 2506</w:t>
                            </w:r>
                          </w:p>
                          <w:p w:rsidR="00084936" w:rsidRDefault="00084936" w:rsidP="0008493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left:0;text-align:left;margin-left:395.25pt;margin-top:-.2pt;width:67.5pt;height:36.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" filled="f" stroked="f" strokecolor="white">
                <v:textbox>
                  <w:txbxContent>
                    <w:p w:rsidR="00084936" w:rsidRPr="00E3287E" w:rsidRDefault="00084936" w:rsidP="00084936">
                      <w:pPr>
                        <w:rPr>
                          <w:rFonts w:ascii="Times New Roman" w:hAnsi="Times New Roman"/>
                        </w:rPr>
                      </w:pPr>
                      <w:r>
                        <w:rPr>
                          <w:rFonts w:ascii="Times New Roman" w:hAnsi="Times New Roman"/>
                        </w:rPr>
                        <w:t xml:space="preserve">     </w:t>
                      </w:r>
                      <w:r w:rsidRPr="00E3287E">
                        <w:rPr>
                          <w:rFonts w:ascii="Times New Roman" w:hAnsi="Times New Roman"/>
                          <w:b/>
                          <w:sz w:val="20"/>
                        </w:rPr>
                        <w:t xml:space="preserve">ISSN </w:t>
                      </w:r>
                      <w:r w:rsidRPr="00E3287E">
                        <w:rPr>
                          <w:rFonts w:ascii="Times New Roman" w:hAnsi="Times New Roman"/>
                          <w:b/>
                          <w:sz w:val="20"/>
                          <w:szCs w:val="20"/>
                        </w:rPr>
                        <w:t>1394 - 2506</w:t>
                      </w:r>
                    </w:p>
                    <w:p w:rsidR="00084936" w:rsidRDefault="00084936" w:rsidP="00084936"/>
                  </w:txbxContent>
                </v:textbox>
              </v:shape>
            </w:pict>
          </mc:Fallback>
        </mc:AlternateContent>
      </w:r>
      <w:r w:rsidR="00084936" w:rsidRPr="005E4871">
        <w:rPr>
          <w:rFonts w:ascii="Times New Roman" w:hAnsi="Times New Roman"/>
          <w:b/>
          <w:noProof/>
          <w:color w:val="FFFFFF"/>
          <w:sz w:val="32"/>
          <w:szCs w:val="32"/>
          <w:lang w:bidi="ar-SA"/>
        </w:rPr>
        <w:t>M</w:t>
      </w:r>
      <w:r w:rsidR="00084936" w:rsidRPr="005E4871">
        <w:rPr>
          <w:rFonts w:ascii="Times New Roman" w:hAnsi="Times New Roman"/>
          <w:b/>
          <w:noProof/>
          <w:color w:val="FFFFFF"/>
          <w:sz w:val="24"/>
          <w:szCs w:val="28"/>
          <w:lang w:bidi="ar-SA"/>
        </w:rPr>
        <w:t>ALAYSIAN</w:t>
      </w:r>
      <w:r w:rsidR="00084936" w:rsidRPr="008E1211">
        <w:rPr>
          <w:rFonts w:ascii="Times New Roman" w:hAnsi="Times New Roman"/>
          <w:b/>
          <w:noProof/>
          <w:color w:val="FFFF00"/>
          <w:sz w:val="32"/>
          <w:szCs w:val="32"/>
          <w:lang w:bidi="ar-SA"/>
        </w:rPr>
        <w:t xml:space="preserve"> </w:t>
      </w:r>
      <w:r w:rsidR="00084936" w:rsidRPr="005E4871">
        <w:rPr>
          <w:rFonts w:ascii="Times New Roman" w:hAnsi="Times New Roman"/>
          <w:b/>
          <w:noProof/>
          <w:color w:val="FFFFFF"/>
          <w:sz w:val="32"/>
          <w:szCs w:val="32"/>
          <w:lang w:bidi="ar-SA"/>
        </w:rPr>
        <w:t>J</w:t>
      </w:r>
      <w:r w:rsidR="00084936" w:rsidRPr="00016385">
        <w:rPr>
          <w:rFonts w:ascii="Times New Roman" w:hAnsi="Times New Roman"/>
          <w:b/>
          <w:noProof/>
          <w:color w:val="FFFFFF"/>
          <w:sz w:val="24"/>
          <w:szCs w:val="28"/>
          <w:lang w:bidi="ar-SA"/>
        </w:rPr>
        <w:t xml:space="preserve">OURNAL OF </w:t>
      </w:r>
      <w:r w:rsidR="00084936" w:rsidRPr="00016385">
        <w:rPr>
          <w:rFonts w:ascii="Times New Roman" w:hAnsi="Times New Roman"/>
          <w:b/>
          <w:noProof/>
          <w:color w:val="FFFFFF"/>
          <w:sz w:val="32"/>
          <w:szCs w:val="32"/>
          <w:lang w:bidi="ar-SA"/>
        </w:rPr>
        <w:t>A</w:t>
      </w:r>
      <w:r w:rsidR="00084936" w:rsidRPr="00016385">
        <w:rPr>
          <w:rFonts w:ascii="Times New Roman" w:hAnsi="Times New Roman"/>
          <w:b/>
          <w:noProof/>
          <w:color w:val="FFFFFF"/>
          <w:sz w:val="24"/>
          <w:szCs w:val="28"/>
          <w:lang w:bidi="ar-SA"/>
        </w:rPr>
        <w:t xml:space="preserve">NALYTICAL </w:t>
      </w:r>
      <w:r w:rsidR="00084936" w:rsidRPr="00016385">
        <w:rPr>
          <w:rFonts w:ascii="Times New Roman" w:hAnsi="Times New Roman"/>
          <w:b/>
          <w:noProof/>
          <w:color w:val="FFFFFF"/>
          <w:sz w:val="32"/>
          <w:szCs w:val="32"/>
          <w:lang w:bidi="ar-SA"/>
        </w:rPr>
        <w:t>S</w:t>
      </w:r>
      <w:r w:rsidR="00084936" w:rsidRPr="00016385">
        <w:rPr>
          <w:rFonts w:ascii="Times New Roman" w:hAnsi="Times New Roman"/>
          <w:b/>
          <w:noProof/>
          <w:color w:val="FFFFFF"/>
          <w:sz w:val="24"/>
          <w:szCs w:val="28"/>
          <w:lang w:bidi="ar-SA"/>
        </w:rPr>
        <w:t>CIENCES</w:t>
      </w:r>
    </w:p>
    <w:p w:rsidR="00084936" w:rsidRPr="00937A90" w:rsidRDefault="00084936" w:rsidP="00084936">
      <w:pPr>
        <w:spacing w:after="0" w:line="240" w:lineRule="auto"/>
        <w:jc w:val="center"/>
        <w:rPr>
          <w:rFonts w:ascii="Times New Roman" w:hAnsi="Times New Roman"/>
          <w:b/>
          <w:i/>
          <w:noProof/>
          <w:color w:val="FFFFFF"/>
          <w:sz w:val="24"/>
          <w:szCs w:val="28"/>
          <w:vertAlign w:val="subscript"/>
          <w:lang w:bidi="ar-SA"/>
        </w:rPr>
      </w:pPr>
      <w:r>
        <w:rPr>
          <w:rFonts w:ascii="Times New Roman" w:hAnsi="Times New Roman"/>
          <w:b/>
          <w:i/>
          <w:noProof/>
          <w:color w:val="FFFFFF"/>
          <w:sz w:val="24"/>
          <w:szCs w:val="28"/>
          <w:vertAlign w:val="subscript"/>
          <w:lang w:bidi="ar-SA"/>
        </w:rPr>
        <w:t>Published b</w:t>
      </w:r>
      <w:r w:rsidR="00583520">
        <w:rPr>
          <w:rFonts w:ascii="Times New Roman" w:hAnsi="Times New Roman"/>
          <w:b/>
          <w:i/>
          <w:noProof/>
          <w:color w:val="FFFFFF"/>
          <w:sz w:val="24"/>
          <w:szCs w:val="28"/>
          <w:vertAlign w:val="subscript"/>
          <w:lang w:bidi="ar-SA"/>
        </w:rPr>
        <w:t xml:space="preserve">y The Malaysian </w:t>
      </w:r>
      <w:r w:rsidRPr="002B493B">
        <w:rPr>
          <w:rFonts w:ascii="Times New Roman" w:hAnsi="Times New Roman"/>
          <w:b/>
          <w:i/>
          <w:noProof/>
          <w:color w:val="FFFFFF"/>
          <w:sz w:val="24"/>
          <w:szCs w:val="28"/>
          <w:vertAlign w:val="subscript"/>
          <w:lang w:bidi="ar-SA"/>
        </w:rPr>
        <w:t>Analytical Sciences</w:t>
      </w:r>
      <w:r w:rsidR="00583520">
        <w:rPr>
          <w:rFonts w:ascii="Times New Roman" w:hAnsi="Times New Roman"/>
          <w:b/>
          <w:i/>
          <w:noProof/>
          <w:color w:val="FFFFFF"/>
          <w:sz w:val="24"/>
          <w:szCs w:val="28"/>
          <w:vertAlign w:val="subscript"/>
          <w:lang w:bidi="ar-SA"/>
        </w:rPr>
        <w:t xml:space="preserve"> Society</w:t>
      </w:r>
    </w:p>
    <w:p w:rsidR="00084936" w:rsidRDefault="00084936" w:rsidP="00084936">
      <w:pPr>
        <w:spacing w:after="0" w:line="240" w:lineRule="auto"/>
        <w:rPr>
          <w:rFonts w:ascii="Times New Roman" w:hAnsi="Times New Roman"/>
          <w:noProof/>
          <w:sz w:val="28"/>
          <w:szCs w:val="28"/>
          <w:lang w:bidi="ar-SA"/>
        </w:rPr>
      </w:pPr>
    </w:p>
    <w:p w:rsidR="00084936" w:rsidRPr="00F447A7" w:rsidRDefault="00084936" w:rsidP="00F447A7">
      <w:pPr>
        <w:spacing w:after="0" w:line="240" w:lineRule="auto"/>
        <w:jc w:val="center"/>
        <w:rPr>
          <w:rFonts w:ascii="Times New Roman" w:hAnsi="Times New Roman"/>
          <w:noProof/>
          <w:sz w:val="20"/>
          <w:szCs w:val="20"/>
          <w:lang w:bidi="ar-SA"/>
        </w:rPr>
      </w:pPr>
    </w:p>
    <w:p w:rsidR="006768E9" w:rsidRPr="006830ED" w:rsidRDefault="006830ED" w:rsidP="006830ED">
      <w:pPr>
        <w:spacing w:after="0" w:line="240" w:lineRule="auto"/>
        <w:jc w:val="center"/>
        <w:outlineLvl w:val="0"/>
        <w:rPr>
          <w:rFonts w:asciiTheme="majorBidi" w:hAnsiTheme="majorBidi" w:cstheme="majorBidi"/>
          <w:sz w:val="28"/>
          <w:szCs w:val="28"/>
        </w:rPr>
      </w:pPr>
      <w:r>
        <w:rPr>
          <w:rFonts w:asciiTheme="majorBidi" w:hAnsiTheme="majorBidi" w:cstheme="majorBidi"/>
          <w:sz w:val="28"/>
          <w:szCs w:val="28"/>
        </w:rPr>
        <w:t xml:space="preserve">PREPARATION AND CHARACTERIZATION OF </w:t>
      </w:r>
      <w:r w:rsidRPr="005D0DB9">
        <w:rPr>
          <w:rFonts w:asciiTheme="majorBidi" w:hAnsiTheme="majorBidi" w:cstheme="majorBidi"/>
          <w:sz w:val="28"/>
          <w:szCs w:val="28"/>
        </w:rPr>
        <w:t>Cu-Fe/TiO</w:t>
      </w:r>
      <w:r w:rsidRPr="005D0DB9">
        <w:rPr>
          <w:rFonts w:asciiTheme="majorBidi" w:hAnsiTheme="majorBidi" w:cstheme="majorBidi"/>
          <w:sz w:val="28"/>
          <w:szCs w:val="28"/>
          <w:vertAlign w:val="subscript"/>
        </w:rPr>
        <w:t>2</w:t>
      </w:r>
      <w:r>
        <w:rPr>
          <w:rFonts w:asciiTheme="majorBidi" w:hAnsiTheme="majorBidi" w:cstheme="majorBidi"/>
          <w:sz w:val="28"/>
          <w:szCs w:val="28"/>
          <w:vertAlign w:val="subscript"/>
        </w:rPr>
        <w:t xml:space="preserve"> </w:t>
      </w:r>
      <w:r>
        <w:rPr>
          <w:rFonts w:asciiTheme="majorBidi" w:hAnsiTheme="majorBidi" w:cstheme="majorBidi"/>
          <w:sz w:val="28"/>
          <w:szCs w:val="28"/>
        </w:rPr>
        <w:t xml:space="preserve">PHOTOCATALYST FOR </w:t>
      </w:r>
      <w:r w:rsidRPr="005D0DB9">
        <w:rPr>
          <w:rFonts w:asciiTheme="majorBidi" w:hAnsiTheme="majorBidi" w:cstheme="majorBidi"/>
          <w:sz w:val="28"/>
          <w:szCs w:val="28"/>
        </w:rPr>
        <w:t xml:space="preserve">VISIBLE LIGHT DEEP </w:t>
      </w:r>
      <w:r>
        <w:rPr>
          <w:rFonts w:asciiTheme="majorBidi" w:hAnsiTheme="majorBidi" w:cstheme="majorBidi"/>
          <w:sz w:val="28"/>
          <w:szCs w:val="28"/>
        </w:rPr>
        <w:t>DESULFURIZATION</w:t>
      </w:r>
    </w:p>
    <w:p w:rsidR="006830ED" w:rsidRDefault="006830ED" w:rsidP="008E1211">
      <w:pPr>
        <w:spacing w:after="0" w:line="240" w:lineRule="auto"/>
        <w:jc w:val="center"/>
        <w:rPr>
          <w:rFonts w:ascii="Times New Roman" w:hAnsi="Times New Roman"/>
          <w:noProof/>
          <w:sz w:val="24"/>
          <w:szCs w:val="24"/>
          <w:lang w:bidi="ar-SA"/>
        </w:rPr>
      </w:pPr>
    </w:p>
    <w:p w:rsidR="006830ED" w:rsidRPr="006830ED" w:rsidRDefault="006830ED" w:rsidP="006830ED">
      <w:pPr>
        <w:spacing w:after="0" w:line="240" w:lineRule="auto"/>
        <w:jc w:val="center"/>
        <w:outlineLvl w:val="0"/>
        <w:rPr>
          <w:rFonts w:asciiTheme="majorBidi" w:hAnsiTheme="majorBidi" w:cstheme="majorBidi"/>
          <w:sz w:val="24"/>
          <w:szCs w:val="24"/>
        </w:rPr>
      </w:pPr>
      <w:r>
        <w:rPr>
          <w:rFonts w:ascii="Times New Roman" w:hAnsi="Times New Roman"/>
          <w:sz w:val="24"/>
        </w:rPr>
        <w:t>(</w:t>
      </w:r>
      <w:r>
        <w:rPr>
          <w:rFonts w:asciiTheme="majorBidi" w:hAnsiTheme="majorBidi" w:cstheme="majorBidi"/>
          <w:sz w:val="24"/>
          <w:szCs w:val="24"/>
        </w:rPr>
        <w:t>Penyediaan d</w:t>
      </w:r>
      <w:r w:rsidRPr="00F427D5">
        <w:rPr>
          <w:rFonts w:asciiTheme="majorBidi" w:hAnsiTheme="majorBidi" w:cstheme="majorBidi"/>
          <w:sz w:val="24"/>
          <w:szCs w:val="24"/>
        </w:rPr>
        <w:t>an P</w:t>
      </w:r>
      <w:r>
        <w:rPr>
          <w:rFonts w:asciiTheme="majorBidi" w:hAnsiTheme="majorBidi" w:cstheme="majorBidi"/>
          <w:sz w:val="24"/>
          <w:szCs w:val="24"/>
        </w:rPr>
        <w:t>encirian F</w:t>
      </w:r>
      <w:r w:rsidRPr="00F427D5">
        <w:rPr>
          <w:rFonts w:asciiTheme="majorBidi" w:hAnsiTheme="majorBidi" w:cstheme="majorBidi"/>
          <w:sz w:val="24"/>
          <w:szCs w:val="24"/>
        </w:rPr>
        <w:t>otokatalis Cu-Fe/TiO</w:t>
      </w:r>
      <w:r w:rsidRPr="00F427D5">
        <w:rPr>
          <w:rFonts w:asciiTheme="majorBidi" w:hAnsiTheme="majorBidi" w:cstheme="majorBidi"/>
          <w:sz w:val="24"/>
          <w:szCs w:val="24"/>
          <w:vertAlign w:val="subscript"/>
        </w:rPr>
        <w:t xml:space="preserve">2 </w:t>
      </w:r>
      <w:r>
        <w:rPr>
          <w:rFonts w:asciiTheme="majorBidi" w:hAnsiTheme="majorBidi" w:cstheme="majorBidi"/>
          <w:sz w:val="24"/>
          <w:szCs w:val="24"/>
        </w:rPr>
        <w:t>u</w:t>
      </w:r>
      <w:r w:rsidRPr="00F427D5">
        <w:rPr>
          <w:rFonts w:asciiTheme="majorBidi" w:hAnsiTheme="majorBidi" w:cstheme="majorBidi"/>
          <w:sz w:val="24"/>
          <w:szCs w:val="24"/>
        </w:rPr>
        <w:t xml:space="preserve">ntuk </w:t>
      </w:r>
      <w:r>
        <w:rPr>
          <w:rFonts w:asciiTheme="majorBidi" w:hAnsiTheme="majorBidi" w:cstheme="majorBidi"/>
          <w:sz w:val="24"/>
          <w:szCs w:val="24"/>
        </w:rPr>
        <w:t>P</w:t>
      </w:r>
      <w:r w:rsidRPr="00F427D5">
        <w:rPr>
          <w:rFonts w:asciiTheme="majorBidi" w:hAnsiTheme="majorBidi" w:cstheme="majorBidi"/>
          <w:sz w:val="24"/>
          <w:szCs w:val="24"/>
        </w:rPr>
        <w:t xml:space="preserve">roses </w:t>
      </w:r>
      <w:r>
        <w:rPr>
          <w:rFonts w:asciiTheme="majorBidi" w:hAnsiTheme="majorBidi" w:cstheme="majorBidi"/>
          <w:sz w:val="24"/>
          <w:szCs w:val="24"/>
        </w:rPr>
        <w:t>Nyahsulfur D</w:t>
      </w:r>
      <w:r w:rsidRPr="00F427D5">
        <w:rPr>
          <w:rFonts w:asciiTheme="majorBidi" w:hAnsiTheme="majorBidi" w:cstheme="majorBidi"/>
          <w:sz w:val="24"/>
          <w:szCs w:val="24"/>
        </w:rPr>
        <w:t xml:space="preserve">i </w:t>
      </w:r>
      <w:r>
        <w:rPr>
          <w:rFonts w:asciiTheme="majorBidi" w:hAnsiTheme="majorBidi" w:cstheme="majorBidi"/>
          <w:sz w:val="24"/>
          <w:szCs w:val="24"/>
        </w:rPr>
        <w:t>B</w:t>
      </w:r>
      <w:r w:rsidRPr="00F427D5">
        <w:rPr>
          <w:rFonts w:asciiTheme="majorBidi" w:hAnsiTheme="majorBidi" w:cstheme="majorBidi"/>
          <w:sz w:val="24"/>
          <w:szCs w:val="24"/>
        </w:rPr>
        <w:t xml:space="preserve">awah </w:t>
      </w:r>
      <w:r>
        <w:rPr>
          <w:rFonts w:asciiTheme="majorBidi" w:hAnsiTheme="majorBidi" w:cstheme="majorBidi"/>
          <w:sz w:val="24"/>
          <w:szCs w:val="24"/>
        </w:rPr>
        <w:t>C</w:t>
      </w:r>
      <w:r w:rsidRPr="00F427D5">
        <w:rPr>
          <w:rFonts w:asciiTheme="majorBidi" w:hAnsiTheme="majorBidi" w:cstheme="majorBidi"/>
          <w:sz w:val="24"/>
          <w:szCs w:val="24"/>
        </w:rPr>
        <w:t xml:space="preserve">ahaya </w:t>
      </w:r>
      <w:r>
        <w:rPr>
          <w:rFonts w:asciiTheme="majorBidi" w:hAnsiTheme="majorBidi" w:cstheme="majorBidi"/>
          <w:sz w:val="24"/>
          <w:szCs w:val="24"/>
        </w:rPr>
        <w:t>T</w:t>
      </w:r>
      <w:r w:rsidRPr="00F427D5">
        <w:rPr>
          <w:rFonts w:asciiTheme="majorBidi" w:hAnsiTheme="majorBidi" w:cstheme="majorBidi"/>
          <w:sz w:val="24"/>
          <w:szCs w:val="24"/>
        </w:rPr>
        <w:t>ampak</w:t>
      </w:r>
      <w:r>
        <w:rPr>
          <w:rFonts w:ascii="Times New Roman" w:hAnsi="Times New Roman"/>
          <w:sz w:val="24"/>
        </w:rPr>
        <w:t>)</w:t>
      </w:r>
    </w:p>
    <w:p w:rsidR="006768E9" w:rsidRPr="00F447A7" w:rsidRDefault="006768E9" w:rsidP="00F447A7">
      <w:pPr>
        <w:spacing w:after="0" w:line="240" w:lineRule="auto"/>
        <w:jc w:val="center"/>
        <w:rPr>
          <w:rFonts w:ascii="Times New Roman" w:hAnsi="Times New Roman"/>
          <w:noProof/>
          <w:sz w:val="20"/>
          <w:szCs w:val="20"/>
          <w:lang w:bidi="ar-SA"/>
        </w:rPr>
      </w:pPr>
    </w:p>
    <w:p w:rsidR="006830ED" w:rsidRPr="006830ED" w:rsidRDefault="006830ED" w:rsidP="006830ED">
      <w:pPr>
        <w:spacing w:after="0" w:line="240" w:lineRule="auto"/>
        <w:jc w:val="center"/>
        <w:outlineLvl w:val="0"/>
        <w:rPr>
          <w:rFonts w:ascii="Times New Roman" w:hAnsi="Times New Roman"/>
          <w:sz w:val="20"/>
          <w:szCs w:val="20"/>
        </w:rPr>
      </w:pPr>
      <w:r w:rsidRPr="006830ED">
        <w:rPr>
          <w:rFonts w:ascii="Times New Roman" w:hAnsi="Times New Roman"/>
          <w:sz w:val="20"/>
          <w:szCs w:val="20"/>
        </w:rPr>
        <w:t>Hayyiratul Fatimah Mohd Zaid</w:t>
      </w:r>
      <w:r w:rsidRPr="006830ED">
        <w:rPr>
          <w:rFonts w:ascii="Times New Roman" w:hAnsi="Times New Roman"/>
          <w:sz w:val="20"/>
          <w:szCs w:val="20"/>
          <w:vertAlign w:val="superscript"/>
        </w:rPr>
        <w:t>1</w:t>
      </w:r>
      <w:r w:rsidRPr="006830ED">
        <w:rPr>
          <w:rFonts w:ascii="Times New Roman" w:hAnsi="Times New Roman"/>
          <w:sz w:val="20"/>
          <w:szCs w:val="20"/>
        </w:rPr>
        <w:t>, Chong Fai Kait</w:t>
      </w:r>
      <w:r w:rsidRPr="006830ED">
        <w:rPr>
          <w:rFonts w:ascii="Times New Roman" w:hAnsi="Times New Roman"/>
          <w:sz w:val="20"/>
          <w:szCs w:val="20"/>
          <w:vertAlign w:val="superscript"/>
        </w:rPr>
        <w:t>1</w:t>
      </w:r>
      <w:r w:rsidRPr="006830ED">
        <w:rPr>
          <w:rFonts w:ascii="Times New Roman" w:hAnsi="Times New Roman"/>
          <w:sz w:val="20"/>
          <w:szCs w:val="20"/>
        </w:rPr>
        <w:t>*, Mohamed Ibrahim Abdul Mutalib</w:t>
      </w:r>
      <w:r w:rsidRPr="006830ED">
        <w:rPr>
          <w:rFonts w:ascii="Times New Roman" w:hAnsi="Times New Roman"/>
          <w:sz w:val="20"/>
          <w:szCs w:val="20"/>
          <w:vertAlign w:val="superscript"/>
        </w:rPr>
        <w:t>2</w:t>
      </w:r>
      <w:r w:rsidRPr="006830ED">
        <w:rPr>
          <w:rFonts w:ascii="Times New Roman" w:hAnsi="Times New Roman"/>
          <w:sz w:val="20"/>
          <w:szCs w:val="20"/>
        </w:rPr>
        <w:t xml:space="preserve"> </w:t>
      </w:r>
    </w:p>
    <w:p w:rsidR="006768E9" w:rsidRPr="00F447A7" w:rsidRDefault="006768E9" w:rsidP="00F447A7">
      <w:pPr>
        <w:spacing w:after="0" w:line="240" w:lineRule="auto"/>
        <w:jc w:val="center"/>
        <w:rPr>
          <w:rFonts w:ascii="Times New Roman" w:hAnsi="Times New Roman"/>
          <w:noProof/>
          <w:sz w:val="18"/>
          <w:szCs w:val="18"/>
          <w:lang w:bidi="ar-SA"/>
        </w:rPr>
      </w:pPr>
    </w:p>
    <w:p w:rsidR="006830ED" w:rsidRDefault="006830ED" w:rsidP="006830ED">
      <w:pPr>
        <w:pStyle w:val="AuthorAffiliation"/>
        <w:rPr>
          <w:rFonts w:asciiTheme="majorBidi" w:hAnsiTheme="majorBidi" w:cstheme="majorBidi"/>
          <w:iCs/>
          <w:sz w:val="18"/>
          <w:szCs w:val="18"/>
        </w:rPr>
      </w:pPr>
      <w:r w:rsidRPr="00942572">
        <w:rPr>
          <w:rFonts w:asciiTheme="majorBidi" w:hAnsiTheme="majorBidi" w:cstheme="majorBidi"/>
          <w:iCs/>
          <w:sz w:val="18"/>
          <w:szCs w:val="18"/>
          <w:vertAlign w:val="superscript"/>
        </w:rPr>
        <w:t>1</w:t>
      </w:r>
      <w:r w:rsidRPr="00942572">
        <w:rPr>
          <w:rFonts w:asciiTheme="majorBidi" w:hAnsiTheme="majorBidi" w:cstheme="majorBidi"/>
          <w:iCs/>
          <w:sz w:val="18"/>
          <w:szCs w:val="18"/>
        </w:rPr>
        <w:t>Department of</w:t>
      </w:r>
      <w:r>
        <w:rPr>
          <w:rFonts w:asciiTheme="majorBidi" w:hAnsiTheme="majorBidi" w:cstheme="majorBidi"/>
          <w:iCs/>
          <w:sz w:val="18"/>
          <w:szCs w:val="18"/>
        </w:rPr>
        <w:t xml:space="preserve"> Fundamental &amp; Applied Sciences</w:t>
      </w:r>
      <w:r w:rsidRPr="00942572">
        <w:rPr>
          <w:rFonts w:asciiTheme="majorBidi" w:hAnsiTheme="majorBidi" w:cstheme="majorBidi"/>
          <w:iCs/>
          <w:sz w:val="18"/>
          <w:szCs w:val="18"/>
        </w:rPr>
        <w:t xml:space="preserve"> </w:t>
      </w:r>
    </w:p>
    <w:p w:rsidR="006830ED" w:rsidRDefault="006830ED" w:rsidP="006830ED">
      <w:pPr>
        <w:pStyle w:val="AuthorAffiliation"/>
        <w:rPr>
          <w:rFonts w:asciiTheme="majorBidi" w:hAnsiTheme="majorBidi" w:cstheme="majorBidi"/>
          <w:iCs/>
          <w:sz w:val="18"/>
          <w:szCs w:val="18"/>
        </w:rPr>
      </w:pPr>
      <w:r w:rsidRPr="00942572">
        <w:rPr>
          <w:rFonts w:asciiTheme="majorBidi" w:hAnsiTheme="majorBidi" w:cstheme="majorBidi"/>
          <w:iCs/>
          <w:sz w:val="18"/>
          <w:szCs w:val="18"/>
          <w:vertAlign w:val="superscript"/>
        </w:rPr>
        <w:t>2</w:t>
      </w:r>
      <w:r w:rsidRPr="00942572">
        <w:rPr>
          <w:rFonts w:asciiTheme="majorBidi" w:hAnsiTheme="majorBidi" w:cstheme="majorBidi"/>
          <w:iCs/>
          <w:sz w:val="18"/>
          <w:szCs w:val="18"/>
        </w:rPr>
        <w:t>Dep</w:t>
      </w:r>
      <w:r>
        <w:rPr>
          <w:rFonts w:asciiTheme="majorBidi" w:hAnsiTheme="majorBidi" w:cstheme="majorBidi"/>
          <w:iCs/>
          <w:sz w:val="18"/>
          <w:szCs w:val="18"/>
        </w:rPr>
        <w:t xml:space="preserve">artment of Chemical Engineering </w:t>
      </w:r>
    </w:p>
    <w:p w:rsidR="006830ED" w:rsidRDefault="006830ED" w:rsidP="006830ED">
      <w:pPr>
        <w:pStyle w:val="AuthorAffiliation"/>
        <w:rPr>
          <w:rFonts w:asciiTheme="majorBidi" w:hAnsiTheme="majorBidi" w:cstheme="majorBidi"/>
          <w:iCs/>
          <w:sz w:val="18"/>
          <w:szCs w:val="18"/>
        </w:rPr>
      </w:pPr>
      <w:r>
        <w:rPr>
          <w:rFonts w:asciiTheme="majorBidi" w:hAnsiTheme="majorBidi" w:cstheme="majorBidi"/>
          <w:iCs/>
          <w:sz w:val="18"/>
          <w:szCs w:val="18"/>
        </w:rPr>
        <w:t>Universiti Teknologi PETRONAS,</w:t>
      </w:r>
      <w:r w:rsidRPr="00942572">
        <w:rPr>
          <w:rFonts w:asciiTheme="majorBidi" w:hAnsiTheme="majorBidi" w:cstheme="majorBidi"/>
          <w:iCs/>
          <w:sz w:val="18"/>
          <w:szCs w:val="18"/>
        </w:rPr>
        <w:t xml:space="preserve"> </w:t>
      </w:r>
      <w:r>
        <w:rPr>
          <w:rFonts w:asciiTheme="majorBidi" w:hAnsiTheme="majorBidi" w:cstheme="majorBidi"/>
          <w:iCs/>
          <w:sz w:val="18"/>
          <w:szCs w:val="18"/>
        </w:rPr>
        <w:t>32610 Seri Iskandar,</w:t>
      </w:r>
      <w:r w:rsidRPr="00942572">
        <w:rPr>
          <w:rFonts w:asciiTheme="majorBidi" w:hAnsiTheme="majorBidi" w:cstheme="majorBidi"/>
          <w:iCs/>
          <w:sz w:val="18"/>
          <w:szCs w:val="18"/>
        </w:rPr>
        <w:t xml:space="preserve"> Perak</w:t>
      </w:r>
      <w:r>
        <w:rPr>
          <w:rFonts w:asciiTheme="majorBidi" w:hAnsiTheme="majorBidi" w:cstheme="majorBidi"/>
          <w:iCs/>
          <w:sz w:val="18"/>
          <w:szCs w:val="18"/>
        </w:rPr>
        <w:t>., Malaysia</w:t>
      </w:r>
    </w:p>
    <w:p w:rsidR="006768E9" w:rsidRPr="00F447A7" w:rsidRDefault="006768E9" w:rsidP="006830ED">
      <w:pPr>
        <w:spacing w:after="0" w:line="240" w:lineRule="auto"/>
        <w:jc w:val="center"/>
        <w:rPr>
          <w:rFonts w:ascii="Times New Roman" w:hAnsi="Times New Roman"/>
          <w:noProof/>
          <w:sz w:val="18"/>
          <w:szCs w:val="18"/>
          <w:lang w:bidi="ar-SA"/>
        </w:rPr>
      </w:pPr>
    </w:p>
    <w:p w:rsidR="006768E9" w:rsidRPr="00F447A7" w:rsidRDefault="006768E9" w:rsidP="006830ED">
      <w:pPr>
        <w:spacing w:after="0" w:line="240" w:lineRule="auto"/>
        <w:jc w:val="center"/>
        <w:rPr>
          <w:rFonts w:ascii="Times New Roman" w:hAnsi="Times New Roman"/>
          <w:i/>
          <w:noProof/>
          <w:sz w:val="18"/>
          <w:szCs w:val="18"/>
          <w:lang w:bidi="ar-SA"/>
        </w:rPr>
      </w:pPr>
      <w:r w:rsidRPr="00F447A7">
        <w:rPr>
          <w:rFonts w:ascii="Times New Roman" w:hAnsi="Times New Roman"/>
          <w:i/>
          <w:noProof/>
          <w:sz w:val="18"/>
          <w:szCs w:val="18"/>
          <w:lang w:bidi="ar-SA"/>
        </w:rPr>
        <w:t>*Corresponding author:</w:t>
      </w:r>
      <w:r w:rsidR="00BE7C30">
        <w:rPr>
          <w:rFonts w:ascii="Times New Roman" w:hAnsi="Times New Roman"/>
          <w:i/>
          <w:noProof/>
          <w:sz w:val="18"/>
          <w:szCs w:val="18"/>
          <w:lang w:bidi="ar-SA"/>
        </w:rPr>
        <w:t xml:space="preserve"> </w:t>
      </w:r>
      <w:r w:rsidR="006830ED" w:rsidRPr="002D7F29">
        <w:rPr>
          <w:rFonts w:asciiTheme="majorBidi" w:hAnsiTheme="majorBidi" w:cstheme="majorBidi"/>
          <w:bCs/>
          <w:i/>
          <w:sz w:val="18"/>
          <w:szCs w:val="18"/>
        </w:rPr>
        <w:t>chongfaikait@petronas.com.my</w:t>
      </w:r>
    </w:p>
    <w:p w:rsidR="006768E9" w:rsidRPr="00F447A7" w:rsidRDefault="006768E9" w:rsidP="00F447A7">
      <w:pPr>
        <w:spacing w:after="0" w:line="240" w:lineRule="auto"/>
        <w:jc w:val="center"/>
        <w:rPr>
          <w:rFonts w:ascii="Times New Roman" w:hAnsi="Times New Roman"/>
          <w:noProof/>
          <w:sz w:val="18"/>
          <w:szCs w:val="18"/>
          <w:lang w:bidi="ar-SA"/>
        </w:rPr>
      </w:pPr>
    </w:p>
    <w:p w:rsidR="006768E9" w:rsidRDefault="006768E9" w:rsidP="00F447A7">
      <w:pPr>
        <w:spacing w:after="0" w:line="240" w:lineRule="auto"/>
        <w:jc w:val="center"/>
        <w:rPr>
          <w:rFonts w:ascii="Times New Roman" w:hAnsi="Times New Roman"/>
          <w:noProof/>
          <w:sz w:val="18"/>
          <w:szCs w:val="18"/>
          <w:lang w:bidi="ar-SA"/>
        </w:rPr>
      </w:pPr>
    </w:p>
    <w:p w:rsidR="00BA1F7B" w:rsidRDefault="00BA1F7B" w:rsidP="00F447A7">
      <w:pPr>
        <w:spacing w:after="0" w:line="240" w:lineRule="auto"/>
        <w:jc w:val="center"/>
        <w:rPr>
          <w:rFonts w:ascii="Times New Roman" w:hAnsi="Times New Roman"/>
          <w:noProof/>
          <w:sz w:val="18"/>
          <w:szCs w:val="18"/>
          <w:lang w:bidi="ar-SA"/>
        </w:rPr>
      </w:pPr>
      <w:r>
        <w:rPr>
          <w:rFonts w:ascii="Times New Roman" w:hAnsi="Times New Roman"/>
          <w:noProof/>
          <w:sz w:val="18"/>
          <w:szCs w:val="18"/>
          <w:lang w:bidi="ar-SA"/>
        </w:rPr>
        <w:t xml:space="preserve">Received: </w:t>
      </w:r>
      <w:r w:rsidR="006830ED">
        <w:rPr>
          <w:rFonts w:ascii="Times New Roman" w:hAnsi="Times New Roman"/>
          <w:noProof/>
          <w:sz w:val="18"/>
          <w:szCs w:val="18"/>
          <w:lang w:bidi="ar-SA"/>
        </w:rPr>
        <w:t>17 August 2015</w:t>
      </w:r>
      <w:r>
        <w:rPr>
          <w:rFonts w:ascii="Times New Roman" w:hAnsi="Times New Roman"/>
          <w:noProof/>
          <w:sz w:val="18"/>
          <w:szCs w:val="18"/>
          <w:lang w:bidi="ar-SA"/>
        </w:rPr>
        <w:t xml:space="preserve">; Accepted: </w:t>
      </w:r>
      <w:r w:rsidR="006830ED">
        <w:rPr>
          <w:rFonts w:ascii="Times New Roman" w:hAnsi="Times New Roman"/>
          <w:noProof/>
          <w:sz w:val="18"/>
          <w:szCs w:val="18"/>
          <w:lang w:bidi="ar-SA"/>
        </w:rPr>
        <w:t>23 May 2016</w:t>
      </w:r>
    </w:p>
    <w:p w:rsidR="00BA1F7B" w:rsidRDefault="00BA1F7B" w:rsidP="00F447A7">
      <w:pPr>
        <w:spacing w:after="0" w:line="240" w:lineRule="auto"/>
        <w:jc w:val="center"/>
        <w:rPr>
          <w:rFonts w:ascii="Times New Roman" w:hAnsi="Times New Roman"/>
          <w:noProof/>
          <w:sz w:val="18"/>
          <w:szCs w:val="18"/>
          <w:lang w:bidi="ar-SA"/>
        </w:rPr>
      </w:pPr>
    </w:p>
    <w:p w:rsidR="00BA1F7B" w:rsidRPr="00F447A7" w:rsidRDefault="00BA1F7B" w:rsidP="00F447A7">
      <w:pPr>
        <w:spacing w:after="0" w:line="240" w:lineRule="auto"/>
        <w:jc w:val="center"/>
        <w:rPr>
          <w:rFonts w:ascii="Times New Roman" w:hAnsi="Times New Roman"/>
          <w:noProof/>
          <w:sz w:val="18"/>
          <w:szCs w:val="18"/>
          <w:lang w:bidi="ar-SA"/>
        </w:rPr>
      </w:pPr>
    </w:p>
    <w:p w:rsidR="006768E9" w:rsidRPr="00F447A7" w:rsidRDefault="006768E9" w:rsidP="007B05E1">
      <w:pPr>
        <w:spacing w:after="0" w:line="240" w:lineRule="auto"/>
        <w:jc w:val="center"/>
        <w:rPr>
          <w:rFonts w:ascii="Times New Roman" w:hAnsi="Times New Roman"/>
          <w:b/>
          <w:noProof/>
          <w:sz w:val="18"/>
          <w:szCs w:val="18"/>
          <w:lang w:bidi="ar-SA"/>
        </w:rPr>
      </w:pPr>
      <w:r w:rsidRPr="00F447A7">
        <w:rPr>
          <w:rFonts w:ascii="Times New Roman" w:hAnsi="Times New Roman"/>
          <w:b/>
          <w:noProof/>
          <w:sz w:val="18"/>
          <w:szCs w:val="18"/>
          <w:lang w:bidi="ar-SA"/>
        </w:rPr>
        <w:t>Abstract</w:t>
      </w:r>
    </w:p>
    <w:p w:rsidR="006830ED" w:rsidRPr="006C6648" w:rsidRDefault="006830ED" w:rsidP="006830ED">
      <w:pPr>
        <w:spacing w:after="0" w:line="240" w:lineRule="auto"/>
        <w:jc w:val="both"/>
        <w:outlineLvl w:val="0"/>
        <w:rPr>
          <w:rFonts w:ascii="Times New Roman" w:hAnsi="Times New Roman"/>
          <w:sz w:val="18"/>
          <w:szCs w:val="20"/>
        </w:rPr>
      </w:pPr>
      <w:r w:rsidRPr="006C6648">
        <w:rPr>
          <w:rFonts w:ascii="Times New Roman" w:hAnsi="Times New Roman"/>
          <w:sz w:val="18"/>
          <w:szCs w:val="20"/>
        </w:rPr>
        <w:t>A photooxidative system for deep desulfurization of model diesel fuel was explored. Nanoparticles of anatase titania (TiO</w:t>
      </w:r>
      <w:r w:rsidRPr="006C6648">
        <w:rPr>
          <w:rFonts w:ascii="Times New Roman" w:hAnsi="Times New Roman"/>
          <w:sz w:val="18"/>
          <w:szCs w:val="20"/>
          <w:vertAlign w:val="subscript"/>
        </w:rPr>
        <w:t>2</w:t>
      </w:r>
      <w:r w:rsidRPr="006C6648">
        <w:rPr>
          <w:rFonts w:ascii="Times New Roman" w:hAnsi="Times New Roman"/>
          <w:sz w:val="18"/>
          <w:szCs w:val="20"/>
        </w:rPr>
        <w:t>) were synthesized via sol-gel hydrothermal method. The TiO</w:t>
      </w:r>
      <w:r w:rsidRPr="006C6648">
        <w:rPr>
          <w:rFonts w:ascii="Times New Roman" w:hAnsi="Times New Roman"/>
          <w:sz w:val="18"/>
          <w:szCs w:val="20"/>
          <w:vertAlign w:val="subscript"/>
        </w:rPr>
        <w:t>2</w:t>
      </w:r>
      <w:r w:rsidRPr="006C6648">
        <w:rPr>
          <w:rFonts w:ascii="Times New Roman" w:hAnsi="Times New Roman"/>
          <w:sz w:val="18"/>
          <w:szCs w:val="20"/>
        </w:rPr>
        <w:t xml:space="preserve"> was further modified with bimetallic Cu-Fe using wet-impregnation method followed by calcination process in order to extend the activity region of the photocatalyst to visible-light. A series of bimetallic 2.2 wt% Cu-Fe/TiO</w:t>
      </w:r>
      <w:r w:rsidRPr="006C6648">
        <w:rPr>
          <w:rFonts w:ascii="Times New Roman" w:hAnsi="Times New Roman"/>
          <w:sz w:val="18"/>
          <w:szCs w:val="20"/>
          <w:vertAlign w:val="subscript"/>
        </w:rPr>
        <w:t>2</w:t>
      </w:r>
      <w:r w:rsidRPr="006C6648">
        <w:rPr>
          <w:rFonts w:ascii="Times New Roman" w:hAnsi="Times New Roman"/>
          <w:sz w:val="18"/>
          <w:szCs w:val="20"/>
        </w:rPr>
        <w:t xml:space="preserve"> photocatalysts with different Cu:Fe mass compositions were characterized for their physical, chemical and optical properties using X-ray diffraction (XRD), field emission scanning electron microscopy (FESEM), high resolution transmission electron microscopy (HRTEM), diffuse reflectance UV-visible spectroscopy (DR-UV-Vis), Fourier Transform Infrared Spectroscopy (FTIR) and Brunauer–Emmett–Teller (BET) surface area analysis. The performance of the photocatalysts was evaluated for photooxidation of dibenzothiophene (DBT) as the sulfur species from model oil in the presence of hydrogen peroxide, H</w:t>
      </w:r>
      <w:r w:rsidRPr="006C6648">
        <w:rPr>
          <w:rFonts w:ascii="Times New Roman" w:hAnsi="Times New Roman"/>
          <w:sz w:val="18"/>
          <w:szCs w:val="20"/>
          <w:vertAlign w:val="subscript"/>
        </w:rPr>
        <w:t>2</w:t>
      </w:r>
      <w:r w:rsidRPr="006C6648">
        <w:rPr>
          <w:rFonts w:ascii="Times New Roman" w:hAnsi="Times New Roman"/>
          <w:sz w:val="18"/>
          <w:szCs w:val="20"/>
        </w:rPr>
        <w:t>O</w:t>
      </w:r>
      <w:r w:rsidRPr="006C6648">
        <w:rPr>
          <w:rFonts w:ascii="Times New Roman" w:hAnsi="Times New Roman"/>
          <w:sz w:val="18"/>
          <w:szCs w:val="20"/>
          <w:vertAlign w:val="subscript"/>
        </w:rPr>
        <w:t>2</w:t>
      </w:r>
      <w:r w:rsidRPr="006C6648">
        <w:rPr>
          <w:rFonts w:ascii="Times New Roman" w:hAnsi="Times New Roman"/>
          <w:sz w:val="18"/>
          <w:szCs w:val="20"/>
        </w:rPr>
        <w:t xml:space="preserve"> under 500 W visible light illumination. The highest sulfur conversion of 82.36</w:t>
      </w:r>
      <w:r>
        <w:rPr>
          <w:rFonts w:ascii="Times New Roman" w:hAnsi="Times New Roman"/>
          <w:sz w:val="18"/>
          <w:szCs w:val="20"/>
        </w:rPr>
        <w:t xml:space="preserve"> </w:t>
      </w:r>
      <w:r w:rsidRPr="006C6648">
        <w:rPr>
          <w:rFonts w:ascii="Times New Roman" w:hAnsi="Times New Roman"/>
          <w:sz w:val="18"/>
          <w:szCs w:val="20"/>
        </w:rPr>
        <w:t>% was observed for photocatalyst with 10:1 Cu:Fe mass composition.</w:t>
      </w:r>
    </w:p>
    <w:p w:rsidR="006830ED" w:rsidRPr="006C6648" w:rsidRDefault="006830ED" w:rsidP="006830ED">
      <w:pPr>
        <w:spacing w:after="0" w:line="240" w:lineRule="auto"/>
        <w:jc w:val="both"/>
        <w:outlineLvl w:val="0"/>
        <w:rPr>
          <w:rFonts w:ascii="Times New Roman" w:hAnsi="Times New Roman"/>
          <w:sz w:val="18"/>
          <w:szCs w:val="20"/>
        </w:rPr>
      </w:pPr>
    </w:p>
    <w:p w:rsidR="006830ED" w:rsidRPr="006C6648" w:rsidRDefault="006830ED" w:rsidP="006830ED">
      <w:pPr>
        <w:spacing w:after="0" w:line="240" w:lineRule="auto"/>
        <w:jc w:val="both"/>
        <w:outlineLvl w:val="0"/>
        <w:rPr>
          <w:rFonts w:ascii="Times New Roman" w:hAnsi="Times New Roman"/>
          <w:color w:val="548DD4" w:themeColor="text2" w:themeTint="99"/>
          <w:sz w:val="18"/>
          <w:szCs w:val="20"/>
        </w:rPr>
      </w:pPr>
      <w:r w:rsidRPr="006C6648">
        <w:rPr>
          <w:rFonts w:ascii="Times New Roman" w:hAnsi="Times New Roman"/>
          <w:b/>
          <w:sz w:val="18"/>
          <w:szCs w:val="20"/>
        </w:rPr>
        <w:t>Keyword</w:t>
      </w:r>
      <w:r>
        <w:rPr>
          <w:rFonts w:ascii="Times New Roman" w:hAnsi="Times New Roman"/>
          <w:b/>
          <w:sz w:val="18"/>
          <w:szCs w:val="20"/>
        </w:rPr>
        <w:t>s</w:t>
      </w:r>
      <w:r w:rsidRPr="006C6648">
        <w:rPr>
          <w:rFonts w:ascii="Times New Roman" w:hAnsi="Times New Roman"/>
          <w:sz w:val="18"/>
          <w:szCs w:val="20"/>
        </w:rPr>
        <w:t xml:space="preserve">: </w:t>
      </w:r>
      <w:r>
        <w:rPr>
          <w:rFonts w:ascii="Times New Roman" w:hAnsi="Times New Roman"/>
          <w:bCs/>
          <w:sz w:val="18"/>
          <w:szCs w:val="18"/>
        </w:rPr>
        <w:t>p</w:t>
      </w:r>
      <w:r w:rsidRPr="006C6648">
        <w:rPr>
          <w:rFonts w:ascii="Times New Roman" w:hAnsi="Times New Roman"/>
          <w:bCs/>
          <w:sz w:val="18"/>
          <w:szCs w:val="18"/>
        </w:rPr>
        <w:t>hotocatalyst, titania, oxidation, desulfurization, visible light, copper-iro</w:t>
      </w:r>
      <w:r w:rsidRPr="006C6648">
        <w:rPr>
          <w:rFonts w:asciiTheme="majorBidi" w:hAnsiTheme="majorBidi" w:cstheme="majorBidi"/>
          <w:bCs/>
          <w:sz w:val="18"/>
          <w:szCs w:val="18"/>
        </w:rPr>
        <w:t>n</w:t>
      </w:r>
    </w:p>
    <w:p w:rsidR="00DD377F" w:rsidRDefault="00DD377F" w:rsidP="00AE713F">
      <w:pPr>
        <w:spacing w:after="0" w:line="240" w:lineRule="auto"/>
        <w:jc w:val="center"/>
        <w:rPr>
          <w:rFonts w:ascii="Times New Roman" w:hAnsi="Times New Roman"/>
          <w:b/>
          <w:noProof/>
          <w:sz w:val="18"/>
          <w:szCs w:val="18"/>
          <w:lang w:bidi="ar-SA"/>
        </w:rPr>
      </w:pPr>
    </w:p>
    <w:p w:rsidR="006768E9" w:rsidRPr="00F447A7" w:rsidRDefault="006768E9" w:rsidP="00AE713F">
      <w:pPr>
        <w:spacing w:after="0" w:line="240" w:lineRule="auto"/>
        <w:jc w:val="center"/>
        <w:rPr>
          <w:rFonts w:ascii="Times New Roman" w:hAnsi="Times New Roman"/>
          <w:b/>
          <w:noProof/>
          <w:sz w:val="18"/>
          <w:szCs w:val="18"/>
          <w:lang w:bidi="ar-SA"/>
        </w:rPr>
      </w:pPr>
      <w:r w:rsidRPr="00F447A7">
        <w:rPr>
          <w:rFonts w:ascii="Times New Roman" w:hAnsi="Times New Roman"/>
          <w:b/>
          <w:noProof/>
          <w:sz w:val="18"/>
          <w:szCs w:val="18"/>
          <w:lang w:bidi="ar-SA"/>
        </w:rPr>
        <w:t>Abstrak</w:t>
      </w:r>
    </w:p>
    <w:p w:rsidR="006830ED" w:rsidRPr="006C6648" w:rsidRDefault="006830ED" w:rsidP="006830ED">
      <w:pPr>
        <w:spacing w:after="0" w:line="240" w:lineRule="auto"/>
        <w:jc w:val="both"/>
        <w:outlineLvl w:val="0"/>
        <w:rPr>
          <w:rFonts w:ascii="Times New Roman" w:hAnsi="Times New Roman"/>
          <w:sz w:val="18"/>
          <w:szCs w:val="18"/>
        </w:rPr>
      </w:pPr>
      <w:r w:rsidRPr="006C6648">
        <w:rPr>
          <w:rFonts w:ascii="Times New Roman" w:hAnsi="Times New Roman"/>
          <w:bCs/>
          <w:sz w:val="18"/>
          <w:szCs w:val="18"/>
        </w:rPr>
        <w:t>Sistem fotopengoksidaan untuk proses nyahsulfur daripada model minyak diesel dikaji. Nanopartikel titania (TiO</w:t>
      </w:r>
      <w:r w:rsidRPr="006C6648">
        <w:rPr>
          <w:rFonts w:ascii="Times New Roman" w:hAnsi="Times New Roman"/>
          <w:bCs/>
          <w:sz w:val="18"/>
          <w:szCs w:val="18"/>
          <w:vertAlign w:val="subscript"/>
        </w:rPr>
        <w:t>2</w:t>
      </w:r>
      <w:r w:rsidRPr="006C6648">
        <w:rPr>
          <w:rFonts w:ascii="Times New Roman" w:hAnsi="Times New Roman"/>
          <w:bCs/>
          <w:sz w:val="18"/>
          <w:szCs w:val="18"/>
        </w:rPr>
        <w:t xml:space="preserve">) dengan fasa anatas disediakan menggunakan kaedah hidrotermal sol-gel. Pengubahsuaian dengan dwilogam </w:t>
      </w:r>
      <w:r w:rsidRPr="006C6648">
        <w:rPr>
          <w:rFonts w:ascii="Times New Roman" w:hAnsi="Times New Roman"/>
          <w:sz w:val="18"/>
          <w:szCs w:val="18"/>
        </w:rPr>
        <w:t xml:space="preserve">Cu-Fe dilakukan </w:t>
      </w:r>
      <w:r w:rsidRPr="006C6648">
        <w:rPr>
          <w:rFonts w:ascii="Times New Roman" w:hAnsi="Times New Roman"/>
          <w:bCs/>
          <w:sz w:val="18"/>
          <w:szCs w:val="18"/>
        </w:rPr>
        <w:t>terhadap TiO</w:t>
      </w:r>
      <w:r w:rsidRPr="006C6648">
        <w:rPr>
          <w:rFonts w:ascii="Times New Roman" w:hAnsi="Times New Roman"/>
          <w:bCs/>
          <w:sz w:val="18"/>
          <w:szCs w:val="18"/>
          <w:vertAlign w:val="subscript"/>
        </w:rPr>
        <w:t>2</w:t>
      </w:r>
      <w:r w:rsidRPr="006C6648">
        <w:rPr>
          <w:rFonts w:ascii="Times New Roman" w:hAnsi="Times New Roman"/>
          <w:bCs/>
          <w:sz w:val="18"/>
          <w:szCs w:val="18"/>
        </w:rPr>
        <w:t xml:space="preserve"> menggunakan kaedah </w:t>
      </w:r>
      <w:r w:rsidRPr="006C6648">
        <w:rPr>
          <w:rFonts w:ascii="Times New Roman" w:hAnsi="Times New Roman"/>
          <w:sz w:val="18"/>
          <w:szCs w:val="18"/>
        </w:rPr>
        <w:t>impregnasi basah diikuti dengan proses pengkalsinan untuk melanjutkan aktiviti fotokatalis ke bahagian cahaya tampak. Siri fotokatalis dwilogam 2.2 wt% Cu-Fe/</w:t>
      </w:r>
      <w:r w:rsidRPr="006C6648">
        <w:rPr>
          <w:rFonts w:ascii="Times New Roman" w:hAnsi="Times New Roman"/>
          <w:bCs/>
          <w:sz w:val="18"/>
          <w:szCs w:val="18"/>
        </w:rPr>
        <w:t>TiO</w:t>
      </w:r>
      <w:r w:rsidRPr="006C6648">
        <w:rPr>
          <w:rFonts w:ascii="Times New Roman" w:hAnsi="Times New Roman"/>
          <w:bCs/>
          <w:sz w:val="18"/>
          <w:szCs w:val="18"/>
          <w:vertAlign w:val="subscript"/>
        </w:rPr>
        <w:t>2</w:t>
      </w:r>
      <w:r w:rsidRPr="006C6648">
        <w:rPr>
          <w:rFonts w:ascii="Times New Roman" w:hAnsi="Times New Roman"/>
          <w:bCs/>
          <w:sz w:val="18"/>
          <w:szCs w:val="18"/>
        </w:rPr>
        <w:t xml:space="preserve"> dengan komposisi jisim </w:t>
      </w:r>
      <w:r w:rsidRPr="006C6648">
        <w:rPr>
          <w:rFonts w:ascii="Times New Roman" w:hAnsi="Times New Roman"/>
          <w:sz w:val="18"/>
          <w:szCs w:val="18"/>
        </w:rPr>
        <w:t>Cu:Fe yang berlainan dicirikan untuk menentukan sifat-sifat fizikal, k</w:t>
      </w:r>
      <w:r w:rsidR="002E7DF9">
        <w:rPr>
          <w:rFonts w:ascii="Times New Roman" w:hAnsi="Times New Roman"/>
          <w:sz w:val="18"/>
          <w:szCs w:val="18"/>
        </w:rPr>
        <w:t>imia dan</w:t>
      </w:r>
      <w:r w:rsidRPr="006C6648">
        <w:rPr>
          <w:rFonts w:ascii="Times New Roman" w:hAnsi="Times New Roman"/>
          <w:sz w:val="18"/>
          <w:szCs w:val="18"/>
        </w:rPr>
        <w:t xml:space="preserve"> optik menggunakan pembelauan sinar-X (XRD), pemancaran medan mikroskopi imbasan elektron (FESEM), mikroskopi transmisi elecktron beresolusi tinggi (HRTEM), spektroskopi pantulan resapan ultraungu-tampak (DR-UV-Vis), spektroskopi transformasi Fourier inframerah (FTIR) dan analisis luas permukaan Brunauer–Emmett–Teller (BET). Kajian terhadap fotopengoksidaan dibenzothiophene (DBT) sebagai spesis sulfur di dalam model minyak menggunakan fotok</w:t>
      </w:r>
      <w:r w:rsidR="002E7DF9">
        <w:rPr>
          <w:rFonts w:ascii="Times New Roman" w:hAnsi="Times New Roman"/>
          <w:sz w:val="18"/>
          <w:szCs w:val="18"/>
        </w:rPr>
        <w:t>atalis tersebut dilakukan dalam</w:t>
      </w:r>
      <w:r w:rsidRPr="006C6648">
        <w:rPr>
          <w:rFonts w:ascii="Times New Roman" w:hAnsi="Times New Roman"/>
          <w:sz w:val="18"/>
          <w:szCs w:val="18"/>
        </w:rPr>
        <w:t xml:space="preserve"> kehadiran hidrogen peroksida, H</w:t>
      </w:r>
      <w:r w:rsidRPr="006C6648">
        <w:rPr>
          <w:rFonts w:ascii="Times New Roman" w:hAnsi="Times New Roman"/>
          <w:sz w:val="18"/>
          <w:szCs w:val="18"/>
          <w:vertAlign w:val="subscript"/>
        </w:rPr>
        <w:t>2</w:t>
      </w:r>
      <w:r w:rsidRPr="006C6648">
        <w:rPr>
          <w:rFonts w:ascii="Times New Roman" w:hAnsi="Times New Roman"/>
          <w:sz w:val="18"/>
          <w:szCs w:val="18"/>
        </w:rPr>
        <w:t>O</w:t>
      </w:r>
      <w:r w:rsidRPr="006C6648">
        <w:rPr>
          <w:rFonts w:ascii="Times New Roman" w:hAnsi="Times New Roman"/>
          <w:sz w:val="18"/>
          <w:szCs w:val="18"/>
          <w:vertAlign w:val="subscript"/>
        </w:rPr>
        <w:t>2</w:t>
      </w:r>
      <w:r w:rsidRPr="006C6648">
        <w:rPr>
          <w:rFonts w:ascii="Times New Roman" w:hAnsi="Times New Roman"/>
          <w:sz w:val="18"/>
          <w:szCs w:val="18"/>
        </w:rPr>
        <w:t xml:space="preserve"> di bawah sinaran cahaya tampak 500 W. Prestasi tertinggi penukaran sulfur yang tercapai adalah </w:t>
      </w:r>
      <w:r w:rsidRPr="006C6648">
        <w:rPr>
          <w:rFonts w:ascii="Times New Roman" w:hAnsi="Times New Roman"/>
          <w:bCs/>
          <w:sz w:val="18"/>
          <w:szCs w:val="18"/>
        </w:rPr>
        <w:t>82.36</w:t>
      </w:r>
      <w:r>
        <w:rPr>
          <w:rFonts w:ascii="Times New Roman" w:hAnsi="Times New Roman"/>
          <w:bCs/>
          <w:sz w:val="18"/>
          <w:szCs w:val="18"/>
        </w:rPr>
        <w:t xml:space="preserve"> </w:t>
      </w:r>
      <w:r w:rsidRPr="006C6648">
        <w:rPr>
          <w:rFonts w:ascii="Times New Roman" w:hAnsi="Times New Roman"/>
          <w:bCs/>
          <w:sz w:val="18"/>
          <w:szCs w:val="18"/>
        </w:rPr>
        <w:t>%, daripada fotokatalis yang mempunyai komposisi jisim untuk Cu:Fe sebanyak 10:1.</w:t>
      </w:r>
    </w:p>
    <w:p w:rsidR="006830ED" w:rsidRPr="006C6648" w:rsidRDefault="006830ED" w:rsidP="006830ED">
      <w:pPr>
        <w:spacing w:after="0" w:line="240" w:lineRule="auto"/>
        <w:jc w:val="both"/>
        <w:outlineLvl w:val="0"/>
        <w:rPr>
          <w:rFonts w:ascii="Times New Roman" w:hAnsi="Times New Roman"/>
          <w:sz w:val="18"/>
          <w:szCs w:val="20"/>
        </w:rPr>
      </w:pPr>
    </w:p>
    <w:p w:rsidR="006830ED" w:rsidRPr="006C6648" w:rsidRDefault="006830ED" w:rsidP="006830ED">
      <w:pPr>
        <w:spacing w:after="0" w:line="240" w:lineRule="auto"/>
        <w:jc w:val="both"/>
        <w:outlineLvl w:val="0"/>
        <w:rPr>
          <w:rFonts w:ascii="Times New Roman" w:hAnsi="Times New Roman"/>
          <w:b/>
          <w:color w:val="548DD4" w:themeColor="text2" w:themeTint="99"/>
          <w:sz w:val="18"/>
          <w:szCs w:val="18"/>
        </w:rPr>
      </w:pPr>
      <w:r w:rsidRPr="006C6648">
        <w:rPr>
          <w:rFonts w:ascii="Times New Roman" w:hAnsi="Times New Roman"/>
          <w:b/>
          <w:sz w:val="18"/>
          <w:szCs w:val="20"/>
        </w:rPr>
        <w:t xml:space="preserve">Kata kunci: </w:t>
      </w:r>
      <w:r>
        <w:rPr>
          <w:rFonts w:ascii="Times New Roman" w:hAnsi="Times New Roman"/>
          <w:bCs/>
          <w:sz w:val="18"/>
          <w:szCs w:val="18"/>
        </w:rPr>
        <w:t>f</w:t>
      </w:r>
      <w:r w:rsidRPr="006C6648">
        <w:rPr>
          <w:rFonts w:ascii="Times New Roman" w:hAnsi="Times New Roman"/>
          <w:bCs/>
          <w:sz w:val="18"/>
          <w:szCs w:val="18"/>
        </w:rPr>
        <w:t>otokatalis, titania, pengoksidaan, nyahsulfur, cahaya tampak, kuprum-besi</w:t>
      </w:r>
      <w:r w:rsidRPr="006C6648">
        <w:rPr>
          <w:rFonts w:ascii="Times New Roman" w:hAnsi="Times New Roman"/>
          <w:b/>
          <w:color w:val="548DD4" w:themeColor="text2" w:themeTint="99"/>
          <w:sz w:val="18"/>
          <w:szCs w:val="20"/>
        </w:rPr>
        <w:t xml:space="preserve"> </w:t>
      </w:r>
    </w:p>
    <w:p w:rsidR="006768E9" w:rsidRDefault="006768E9" w:rsidP="00F447A7">
      <w:pPr>
        <w:spacing w:after="0" w:line="240" w:lineRule="auto"/>
        <w:jc w:val="center"/>
        <w:rPr>
          <w:rFonts w:ascii="Times New Roman" w:hAnsi="Times New Roman"/>
          <w:noProof/>
          <w:sz w:val="20"/>
          <w:szCs w:val="20"/>
          <w:lang w:bidi="ar-SA"/>
        </w:rPr>
      </w:pPr>
    </w:p>
    <w:p w:rsidR="00494C46" w:rsidRDefault="00494C46" w:rsidP="00F447A7">
      <w:pPr>
        <w:spacing w:after="0" w:line="240" w:lineRule="auto"/>
        <w:jc w:val="center"/>
        <w:rPr>
          <w:rFonts w:ascii="Times New Roman" w:hAnsi="Times New Roman"/>
          <w:noProof/>
          <w:sz w:val="20"/>
          <w:szCs w:val="20"/>
          <w:lang w:bidi="ar-SA"/>
        </w:rPr>
      </w:pPr>
    </w:p>
    <w:p w:rsidR="006830ED" w:rsidRPr="00BE7C30" w:rsidRDefault="006830ED" w:rsidP="00F447A7">
      <w:pPr>
        <w:spacing w:after="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lastRenderedPageBreak/>
        <w:t>Introduction</w:t>
      </w:r>
    </w:p>
    <w:p w:rsidR="006830ED" w:rsidRPr="00C46B6D" w:rsidRDefault="006830ED" w:rsidP="006830ED">
      <w:pPr>
        <w:spacing w:after="0" w:line="240" w:lineRule="auto"/>
        <w:jc w:val="both"/>
        <w:outlineLvl w:val="0"/>
        <w:rPr>
          <w:rFonts w:ascii="Times New Roman" w:hAnsi="Times New Roman"/>
          <w:sz w:val="20"/>
          <w:szCs w:val="20"/>
        </w:rPr>
      </w:pPr>
      <w:r w:rsidRPr="00C46B6D">
        <w:rPr>
          <w:rFonts w:ascii="Times New Roman" w:hAnsi="Times New Roman"/>
          <w:sz w:val="20"/>
          <w:szCs w:val="20"/>
        </w:rPr>
        <w:t>Energy production is one of the most pressing issues of the modern world. The main task of modern refinery is to efficiently produce</w:t>
      </w:r>
      <w:r w:rsidR="004370C4">
        <w:rPr>
          <w:rFonts w:ascii="Times New Roman" w:hAnsi="Times New Roman"/>
          <w:sz w:val="20"/>
          <w:szCs w:val="20"/>
        </w:rPr>
        <w:t xml:space="preserve"> </w:t>
      </w:r>
      <w:r w:rsidRPr="00C46B6D">
        <w:rPr>
          <w:rFonts w:ascii="Times New Roman" w:hAnsi="Times New Roman"/>
          <w:sz w:val="20"/>
          <w:szCs w:val="20"/>
        </w:rPr>
        <w:t xml:space="preserve"> high yields of valuable products. Gasoline, diesel and non-transportation fuel </w:t>
      </w:r>
      <w:r w:rsidR="004370C4">
        <w:rPr>
          <w:rFonts w:ascii="Times New Roman" w:hAnsi="Times New Roman"/>
          <w:sz w:val="20"/>
          <w:szCs w:val="20"/>
        </w:rPr>
        <w:t xml:space="preserve"> comprises 75 - </w:t>
      </w:r>
      <w:r w:rsidRPr="00C46B6D">
        <w:rPr>
          <w:rFonts w:ascii="Times New Roman" w:hAnsi="Times New Roman"/>
          <w:sz w:val="20"/>
          <w:szCs w:val="20"/>
        </w:rPr>
        <w:t>80 % of refinery products. Environmental restrictions regarding the quality of transportation fuels produced and the emissions from the refinery itself are currently the most important issues, as well as the most costly to meet. Sulfur species represent one of the most common impurities in crude oil [1]. The distribution of the sulfur species mainly depend on the origin of the petroleum, type and volume of different stream feeding into the diesel pool. Diesel feeds contain a large number of individual sulfur species, such as dibenzothiophene (DBT) and alkyl derivatives [2].</w:t>
      </w:r>
    </w:p>
    <w:p w:rsidR="006830ED" w:rsidRPr="00C46B6D" w:rsidRDefault="006830ED" w:rsidP="006830ED">
      <w:pPr>
        <w:spacing w:after="0" w:line="240" w:lineRule="auto"/>
        <w:jc w:val="both"/>
        <w:outlineLvl w:val="0"/>
        <w:rPr>
          <w:rFonts w:ascii="Times New Roman" w:hAnsi="Times New Roman"/>
          <w:sz w:val="20"/>
          <w:szCs w:val="20"/>
        </w:rPr>
      </w:pPr>
    </w:p>
    <w:p w:rsidR="006830ED" w:rsidRPr="00C46B6D" w:rsidRDefault="006830ED" w:rsidP="006830ED">
      <w:pPr>
        <w:spacing w:after="0" w:line="240" w:lineRule="auto"/>
        <w:jc w:val="both"/>
        <w:outlineLvl w:val="0"/>
        <w:rPr>
          <w:rFonts w:ascii="Times New Roman" w:hAnsi="Times New Roman"/>
          <w:sz w:val="20"/>
          <w:szCs w:val="20"/>
        </w:rPr>
      </w:pPr>
      <w:r w:rsidRPr="00C46B6D">
        <w:rPr>
          <w:rFonts w:ascii="Times New Roman" w:hAnsi="Times New Roman"/>
          <w:sz w:val="20"/>
          <w:szCs w:val="20"/>
        </w:rPr>
        <w:t>Sulfur species are undesirable in the refining process as they tend to deactivate some catalysts used in the crude oil processing and cause corrosion problems in pipelines, pumping and refining equipment. Naturally occurring residual sulfur species in fuels will lead to the emission of sulfur oxide gases during combustion. These gases react with water in the atmosphere to form sulfates and acid rain which can damage buildings, destroy automotive paint finishes, acidifies soil and ultimately lead to destruction of forest and various other ecosystems. Sulfur emission also causes respiratory problems, heart diseases, asthma and contributes to the formation of atmospheric particulates. Automobiles are also adversely affected by the presence of sulfur species in the fuels, as the sulfur species have a profound effect on the efficacy of catalytic converters [3].</w:t>
      </w:r>
    </w:p>
    <w:p w:rsidR="006830ED" w:rsidRPr="00C46B6D" w:rsidRDefault="006830ED" w:rsidP="006830ED">
      <w:pPr>
        <w:spacing w:after="0" w:line="240" w:lineRule="auto"/>
        <w:jc w:val="both"/>
        <w:outlineLvl w:val="0"/>
        <w:rPr>
          <w:rFonts w:ascii="Times New Roman" w:hAnsi="Times New Roman"/>
          <w:sz w:val="20"/>
          <w:szCs w:val="20"/>
        </w:rPr>
      </w:pPr>
    </w:p>
    <w:p w:rsidR="006830ED" w:rsidRPr="00C46B6D" w:rsidRDefault="006830ED" w:rsidP="006830ED">
      <w:pPr>
        <w:spacing w:after="0" w:line="240" w:lineRule="auto"/>
        <w:jc w:val="both"/>
        <w:outlineLvl w:val="0"/>
        <w:rPr>
          <w:rFonts w:ascii="Times New Roman" w:hAnsi="Times New Roman"/>
          <w:sz w:val="20"/>
          <w:szCs w:val="20"/>
        </w:rPr>
      </w:pPr>
      <w:r w:rsidRPr="00C46B6D">
        <w:rPr>
          <w:rFonts w:ascii="Times New Roman" w:hAnsi="Times New Roman"/>
          <w:sz w:val="20"/>
          <w:szCs w:val="20"/>
        </w:rPr>
        <w:t>The current industrial method for removal of sulfur species from fuels is known as hydrodesulfurization (HDS), which operates at high temperature and pressure. This makes HDS a very costly option for deep desulfurization. In addition, HDS is not effective in removing refractory heterocyclic sulfur species such as DBT and its derivatives, especially 4,6-dimethyldibenzothiophene (4,6-DMDBT) [4, 5]. Oxidative desulfurization (ODS) [6, 7], extractive desulfurization (EDS) [8, 9], adsorptive desulfurization [10, 11] and biodesulfurization (BDS) [12, 13] are other desulfurization techniques that have the potential to produce ultra clean fuel. In ODS, the sulfur species are oxidized to sulfone by chemical reaction using oxidants such as hydrogen peroxide (H</w:t>
      </w:r>
      <w:r w:rsidRPr="00C46B6D">
        <w:rPr>
          <w:rFonts w:ascii="Times New Roman" w:hAnsi="Times New Roman"/>
          <w:sz w:val="20"/>
          <w:szCs w:val="20"/>
          <w:vertAlign w:val="subscript"/>
        </w:rPr>
        <w:t>2</w:t>
      </w:r>
      <w:r w:rsidRPr="00C46B6D">
        <w:rPr>
          <w:rFonts w:ascii="Times New Roman" w:hAnsi="Times New Roman"/>
          <w:sz w:val="20"/>
          <w:szCs w:val="20"/>
        </w:rPr>
        <w:t>O</w:t>
      </w:r>
      <w:r w:rsidRPr="00C46B6D">
        <w:rPr>
          <w:rFonts w:ascii="Times New Roman" w:hAnsi="Times New Roman"/>
          <w:sz w:val="20"/>
          <w:szCs w:val="20"/>
          <w:vertAlign w:val="subscript"/>
        </w:rPr>
        <w:t>2</w:t>
      </w:r>
      <w:r w:rsidRPr="00C46B6D">
        <w:rPr>
          <w:rFonts w:ascii="Times New Roman" w:hAnsi="Times New Roman"/>
          <w:sz w:val="20"/>
          <w:szCs w:val="20"/>
        </w:rPr>
        <w:t>), nitric acid, ozone, air and others.</w:t>
      </w:r>
    </w:p>
    <w:p w:rsidR="006830ED" w:rsidRPr="00C46B6D" w:rsidRDefault="006830ED" w:rsidP="006830ED">
      <w:pPr>
        <w:spacing w:after="0" w:line="240" w:lineRule="auto"/>
        <w:jc w:val="both"/>
        <w:outlineLvl w:val="0"/>
        <w:rPr>
          <w:rFonts w:ascii="Times New Roman" w:hAnsi="Times New Roman"/>
          <w:sz w:val="20"/>
          <w:szCs w:val="20"/>
        </w:rPr>
      </w:pPr>
    </w:p>
    <w:p w:rsidR="006830ED" w:rsidRPr="00C46B6D" w:rsidRDefault="006830ED" w:rsidP="006830ED">
      <w:pPr>
        <w:spacing w:after="0" w:line="240" w:lineRule="auto"/>
        <w:jc w:val="both"/>
        <w:outlineLvl w:val="0"/>
        <w:rPr>
          <w:rFonts w:ascii="Times New Roman" w:hAnsi="Times New Roman"/>
          <w:sz w:val="20"/>
          <w:szCs w:val="20"/>
        </w:rPr>
      </w:pPr>
      <w:r w:rsidRPr="00C46B6D">
        <w:rPr>
          <w:rFonts w:ascii="Times New Roman" w:hAnsi="Times New Roman"/>
          <w:bCs/>
          <w:sz w:val="20"/>
          <w:szCs w:val="20"/>
        </w:rPr>
        <w:t>Recently, research has focused on investigating the desulfurization of sulfur species via photocatalysis [14, 15] utilizing radiation energy. Titanium dioxide (TiO</w:t>
      </w:r>
      <w:r w:rsidRPr="00C46B6D">
        <w:rPr>
          <w:rFonts w:ascii="Times New Roman" w:hAnsi="Times New Roman"/>
          <w:bCs/>
          <w:sz w:val="20"/>
          <w:szCs w:val="20"/>
          <w:vertAlign w:val="subscript"/>
        </w:rPr>
        <w:t>2</w:t>
      </w:r>
      <w:r w:rsidRPr="00C46B6D">
        <w:rPr>
          <w:rFonts w:ascii="Times New Roman" w:hAnsi="Times New Roman"/>
          <w:bCs/>
          <w:sz w:val="20"/>
          <w:szCs w:val="20"/>
        </w:rPr>
        <w:t>) based photocatalysis has been widely employed in environmental purification to decompose organic compounds in air and wastewater since this method can be conducted under mild reaction conditions [16]. Moreover, TiO</w:t>
      </w:r>
      <w:r w:rsidRPr="00C46B6D">
        <w:rPr>
          <w:rFonts w:ascii="Times New Roman" w:hAnsi="Times New Roman"/>
          <w:bCs/>
          <w:sz w:val="20"/>
          <w:szCs w:val="20"/>
          <w:vertAlign w:val="subscript"/>
        </w:rPr>
        <w:t>2</w:t>
      </w:r>
      <w:r w:rsidRPr="00C46B6D">
        <w:rPr>
          <w:rFonts w:ascii="Times New Roman" w:hAnsi="Times New Roman"/>
          <w:bCs/>
          <w:sz w:val="20"/>
          <w:szCs w:val="20"/>
        </w:rPr>
        <w:t xml:space="preserve"> is inert to chemical corrosion, has a strong oxidizing power (with UV light) and is cost effective [17]. The successful application of photocatalysis in deep desulfurization process has been reported previously to remove thiophenes and derivatives of benzothiophene (BT) and DBT, which are the model sulfur species in gasoline [18, 19], light oil [14, 20] and diesel [21]. The results indicated that photodesulfurization has displayed higher activity compared to the conventional HDS in removing refractory DBT derivatives such as 4-methyldibenzothiophene (4-MDBT) and 4,6-DMDBT [14]. </w:t>
      </w:r>
    </w:p>
    <w:p w:rsidR="006830ED" w:rsidRPr="00C46B6D" w:rsidRDefault="006830ED" w:rsidP="006830ED">
      <w:pPr>
        <w:spacing w:after="0" w:line="240" w:lineRule="auto"/>
        <w:jc w:val="both"/>
        <w:rPr>
          <w:rFonts w:ascii="Times New Roman" w:hAnsi="Times New Roman"/>
          <w:sz w:val="20"/>
          <w:szCs w:val="20"/>
        </w:rPr>
      </w:pPr>
    </w:p>
    <w:p w:rsidR="006830ED" w:rsidRPr="00C46B6D" w:rsidRDefault="006830ED" w:rsidP="006830ED">
      <w:pPr>
        <w:spacing w:after="0" w:line="240" w:lineRule="auto"/>
        <w:jc w:val="both"/>
        <w:rPr>
          <w:rFonts w:ascii="Times New Roman" w:eastAsia="MS Mincho" w:hAnsi="Times New Roman"/>
          <w:sz w:val="20"/>
          <w:szCs w:val="20"/>
          <w:lang w:val="ms-MY"/>
        </w:rPr>
      </w:pPr>
      <w:r w:rsidRPr="00C46B6D">
        <w:rPr>
          <w:rFonts w:ascii="Times New Roman" w:hAnsi="Times New Roman"/>
          <w:bCs/>
          <w:sz w:val="20"/>
          <w:szCs w:val="20"/>
          <w:lang w:val="en-GB"/>
        </w:rPr>
        <w:t xml:space="preserve">As reported by Matsuzawa </w:t>
      </w:r>
      <w:r w:rsidRPr="00C46B6D">
        <w:rPr>
          <w:rFonts w:ascii="Times New Roman" w:hAnsi="Times New Roman"/>
          <w:bCs/>
          <w:iCs/>
          <w:sz w:val="20"/>
          <w:szCs w:val="20"/>
          <w:lang w:val="en-GB"/>
        </w:rPr>
        <w:t>et al.</w:t>
      </w:r>
      <w:r w:rsidRPr="00C46B6D">
        <w:rPr>
          <w:rFonts w:ascii="Times New Roman" w:hAnsi="Times New Roman"/>
          <w:bCs/>
          <w:sz w:val="20"/>
          <w:szCs w:val="20"/>
          <w:lang w:val="en-GB"/>
        </w:rPr>
        <w:t xml:space="preserve"> [22], DBT and 4,6-DMDBT in acetonitrile are photooxidized to 5-oxide (sulfoxide) and 5,5-dioxide (sulfone) using TiO</w:t>
      </w:r>
      <w:r w:rsidRPr="00C46B6D">
        <w:rPr>
          <w:rFonts w:ascii="Times New Roman" w:hAnsi="Times New Roman"/>
          <w:bCs/>
          <w:sz w:val="20"/>
          <w:szCs w:val="20"/>
          <w:vertAlign w:val="subscript"/>
          <w:lang w:val="en-GB"/>
        </w:rPr>
        <w:t>2</w:t>
      </w:r>
      <w:r w:rsidRPr="00C46B6D">
        <w:rPr>
          <w:rFonts w:ascii="Times New Roman" w:hAnsi="Times New Roman"/>
          <w:bCs/>
          <w:sz w:val="20"/>
          <w:szCs w:val="20"/>
          <w:lang w:val="en-GB"/>
        </w:rPr>
        <w:t xml:space="preserve">. The application of this photochemical oxidation to desulfurization as been realized in some literatures [22, 23] using oil-water and oil-polar solvent two phase systems. The desulfurization of light oil to a sulfur content of less than 0.05 wt% has been achieved successfully. However, ultraviolet (UV) irradiation was found to be essential to oxidize DBTs and the desulfurization hardly progresses at wavelength, λ &gt; 400 nm. </w:t>
      </w:r>
      <w:r w:rsidRPr="00C46B6D">
        <w:rPr>
          <w:rFonts w:ascii="Times New Roman" w:eastAsia="Calibri" w:hAnsi="Times New Roman"/>
          <w:sz w:val="20"/>
          <w:szCs w:val="20"/>
          <w:lang w:val="en-IN"/>
        </w:rPr>
        <w:t xml:space="preserve">Therefore, there is a need to develop a photocatalyst system that enables the use of renewable energy resources such as sunlight which provides cleaner and more efficient removal of sulfur species from petroleum fuel oils. </w:t>
      </w:r>
      <w:r w:rsidRPr="00C46B6D">
        <w:rPr>
          <w:rFonts w:ascii="Times New Roman" w:eastAsia="MS Mincho" w:hAnsi="Times New Roman"/>
          <w:sz w:val="20"/>
          <w:szCs w:val="20"/>
          <w:lang w:val="ms-MY"/>
        </w:rPr>
        <w:t>Incorporation of transition metal onto TiO</w:t>
      </w:r>
      <w:r w:rsidRPr="00C46B6D">
        <w:rPr>
          <w:rFonts w:ascii="Times New Roman" w:eastAsia="MS Mincho" w:hAnsi="Times New Roman"/>
          <w:sz w:val="20"/>
          <w:szCs w:val="20"/>
          <w:vertAlign w:val="subscript"/>
          <w:lang w:val="ms-MY"/>
        </w:rPr>
        <w:t>2</w:t>
      </w:r>
      <w:r w:rsidRPr="00C46B6D">
        <w:rPr>
          <w:rFonts w:ascii="Times New Roman" w:eastAsia="MS Mincho" w:hAnsi="Times New Roman"/>
          <w:sz w:val="20"/>
          <w:szCs w:val="20"/>
          <w:lang w:val="ms-MY"/>
        </w:rPr>
        <w:t xml:space="preserve"> structure could produce photocatalyst that displays activity in visible light. Iron (Fe) and copper (Cu) have received much attention as metal dopants as these metals are cheap and abundant in supply. A great deal of research has been conducted using Cu or Fe doped TiO</w:t>
      </w:r>
      <w:r w:rsidRPr="00C46B6D">
        <w:rPr>
          <w:rFonts w:ascii="Times New Roman" w:eastAsia="MS Mincho" w:hAnsi="Times New Roman"/>
          <w:sz w:val="20"/>
          <w:szCs w:val="20"/>
          <w:vertAlign w:val="subscript"/>
          <w:lang w:val="ms-MY"/>
        </w:rPr>
        <w:t>2</w:t>
      </w:r>
      <w:r w:rsidRPr="00C46B6D">
        <w:rPr>
          <w:rFonts w:ascii="Times New Roman" w:eastAsia="MS Mincho" w:hAnsi="Times New Roman"/>
          <w:sz w:val="20"/>
          <w:szCs w:val="20"/>
          <w:lang w:val="ms-MY"/>
        </w:rPr>
        <w:t>, but co-doped Cu and Fe onto TiO</w:t>
      </w:r>
      <w:r w:rsidRPr="00C46B6D">
        <w:rPr>
          <w:rFonts w:ascii="Times New Roman" w:eastAsia="MS Mincho" w:hAnsi="Times New Roman"/>
          <w:sz w:val="20"/>
          <w:szCs w:val="20"/>
          <w:vertAlign w:val="subscript"/>
          <w:lang w:val="ms-MY"/>
        </w:rPr>
        <w:t>2</w:t>
      </w:r>
      <w:r w:rsidRPr="00C46B6D">
        <w:rPr>
          <w:rFonts w:ascii="Times New Roman" w:eastAsia="MS Mincho" w:hAnsi="Times New Roman"/>
          <w:sz w:val="20"/>
          <w:szCs w:val="20"/>
          <w:lang w:val="ms-MY"/>
        </w:rPr>
        <w:t xml:space="preserve"> is rarely reported. Liu </w:t>
      </w:r>
      <w:r w:rsidRPr="00C46B6D">
        <w:rPr>
          <w:rFonts w:ascii="Times New Roman" w:eastAsia="MS Mincho" w:hAnsi="Times New Roman"/>
          <w:iCs/>
          <w:sz w:val="20"/>
          <w:szCs w:val="20"/>
          <w:lang w:val="ms-MY"/>
        </w:rPr>
        <w:t>et al.</w:t>
      </w:r>
      <w:r w:rsidRPr="00C46B6D">
        <w:rPr>
          <w:rFonts w:ascii="Times New Roman" w:eastAsia="MS Mincho" w:hAnsi="Times New Roman"/>
          <w:sz w:val="20"/>
          <w:szCs w:val="20"/>
          <w:lang w:val="ms-MY"/>
        </w:rPr>
        <w:t xml:space="preserve"> [24] and </w:t>
      </w:r>
      <w:r w:rsidRPr="00C46B6D">
        <w:rPr>
          <w:rFonts w:ascii="Times New Roman" w:hAnsi="Times New Roman"/>
          <w:sz w:val="20"/>
          <w:szCs w:val="20"/>
        </w:rPr>
        <w:t xml:space="preserve">Zhang [25] degraded </w:t>
      </w:r>
      <w:r w:rsidRPr="00C46B6D">
        <w:rPr>
          <w:rFonts w:ascii="Times New Roman" w:eastAsia="MS Mincho" w:hAnsi="Times New Roman"/>
          <w:sz w:val="20"/>
          <w:szCs w:val="20"/>
          <w:lang w:val="ms-MY"/>
        </w:rPr>
        <w:t xml:space="preserve">organic dye pollutants, Reactive Black 5 (RB 5) and Methyl Orange (MO) in wastewater under UV [24] and visible light [25] radiation, respectively. They </w:t>
      </w:r>
      <w:r w:rsidRPr="00C46B6D">
        <w:rPr>
          <w:rFonts w:ascii="Times New Roman" w:hAnsi="Times New Roman"/>
          <w:sz w:val="20"/>
          <w:szCs w:val="20"/>
        </w:rPr>
        <w:t>showed that co-doped Cu and Fe onto TiO</w:t>
      </w:r>
      <w:r w:rsidRPr="00C46B6D">
        <w:rPr>
          <w:rFonts w:ascii="Times New Roman" w:hAnsi="Times New Roman"/>
          <w:sz w:val="20"/>
          <w:szCs w:val="20"/>
          <w:vertAlign w:val="subscript"/>
        </w:rPr>
        <w:t>2</w:t>
      </w:r>
      <w:r w:rsidRPr="00C46B6D">
        <w:rPr>
          <w:rFonts w:ascii="Times New Roman" w:hAnsi="Times New Roman"/>
          <w:sz w:val="20"/>
          <w:szCs w:val="20"/>
        </w:rPr>
        <w:t xml:space="preserve"> displayed significant enhancement in photodegradation of the organic dye pollutants compared to the un-doped TiO</w:t>
      </w:r>
      <w:r w:rsidRPr="00C46B6D">
        <w:rPr>
          <w:rFonts w:ascii="Times New Roman" w:hAnsi="Times New Roman"/>
          <w:sz w:val="20"/>
          <w:szCs w:val="20"/>
          <w:vertAlign w:val="subscript"/>
        </w:rPr>
        <w:t>2</w:t>
      </w:r>
      <w:r w:rsidRPr="00C46B6D">
        <w:rPr>
          <w:rFonts w:ascii="Times New Roman" w:eastAsia="MS Mincho" w:hAnsi="Times New Roman"/>
          <w:sz w:val="20"/>
          <w:szCs w:val="20"/>
          <w:lang w:val="ms-MY"/>
        </w:rPr>
        <w:t xml:space="preserve">. </w:t>
      </w:r>
    </w:p>
    <w:p w:rsidR="006830ED" w:rsidRPr="00C46B6D" w:rsidRDefault="006830ED" w:rsidP="006830ED">
      <w:pPr>
        <w:spacing w:after="0" w:line="240" w:lineRule="auto"/>
        <w:ind w:firstLine="720"/>
        <w:jc w:val="both"/>
        <w:rPr>
          <w:rFonts w:ascii="Times New Roman" w:hAnsi="Times New Roman"/>
          <w:sz w:val="20"/>
          <w:szCs w:val="20"/>
        </w:rPr>
      </w:pPr>
    </w:p>
    <w:p w:rsidR="006830ED" w:rsidRPr="00C46B6D" w:rsidRDefault="006830ED" w:rsidP="006830ED">
      <w:pPr>
        <w:spacing w:after="0" w:line="240" w:lineRule="auto"/>
        <w:jc w:val="both"/>
        <w:outlineLvl w:val="0"/>
        <w:rPr>
          <w:rFonts w:ascii="Times New Roman" w:hAnsi="Times New Roman"/>
          <w:sz w:val="20"/>
          <w:szCs w:val="20"/>
        </w:rPr>
      </w:pPr>
      <w:r w:rsidRPr="00C46B6D">
        <w:rPr>
          <w:rFonts w:ascii="Times New Roman" w:hAnsi="Times New Roman"/>
          <w:sz w:val="20"/>
          <w:szCs w:val="20"/>
        </w:rPr>
        <w:t>This paper focused on the synthesis and characterization of Cu-Fe/TiO</w:t>
      </w:r>
      <w:r w:rsidRPr="00C46B6D">
        <w:rPr>
          <w:rFonts w:ascii="Times New Roman" w:hAnsi="Times New Roman"/>
          <w:sz w:val="20"/>
          <w:szCs w:val="20"/>
          <w:vertAlign w:val="subscript"/>
        </w:rPr>
        <w:t>2</w:t>
      </w:r>
      <w:r w:rsidRPr="00C46B6D">
        <w:rPr>
          <w:rFonts w:ascii="Times New Roman" w:hAnsi="Times New Roman"/>
          <w:sz w:val="20"/>
          <w:szCs w:val="20"/>
        </w:rPr>
        <w:t xml:space="preserve"> photocatalysts for the photooxidation of sulfur species in model oil under visible light radiation. Further treatment to the model oil is required in order to </w:t>
      </w:r>
      <w:r w:rsidRPr="00C46B6D">
        <w:rPr>
          <w:rFonts w:ascii="Times New Roman" w:hAnsi="Times New Roman"/>
          <w:sz w:val="20"/>
          <w:szCs w:val="20"/>
        </w:rPr>
        <w:lastRenderedPageBreak/>
        <w:t>remove the oxidized sulfur species and also the residual sulfur species in order to complete the deep desulfurization process. Example of such treatment is extraction using eutectic ionic liquids which was reported in a separate work [26].</w:t>
      </w:r>
    </w:p>
    <w:p w:rsidR="006768E9" w:rsidRPr="00F447A7" w:rsidRDefault="006768E9" w:rsidP="00BA1F7B">
      <w:pPr>
        <w:spacing w:after="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Materials and Methods</w:t>
      </w:r>
    </w:p>
    <w:p w:rsidR="006830ED" w:rsidRPr="006830ED" w:rsidRDefault="006830ED" w:rsidP="006830ED">
      <w:pPr>
        <w:spacing w:after="0" w:line="240" w:lineRule="auto"/>
        <w:jc w:val="both"/>
        <w:rPr>
          <w:rFonts w:ascii="Times New Roman" w:hAnsi="Times New Roman"/>
          <w:b/>
          <w:sz w:val="20"/>
          <w:szCs w:val="20"/>
        </w:rPr>
      </w:pPr>
      <w:r w:rsidRPr="006830ED">
        <w:rPr>
          <w:rFonts w:ascii="Times New Roman" w:hAnsi="Times New Roman"/>
          <w:b/>
          <w:sz w:val="20"/>
          <w:szCs w:val="20"/>
        </w:rPr>
        <w:t>Materials and reagents</w:t>
      </w:r>
    </w:p>
    <w:p w:rsidR="006830ED" w:rsidRPr="006830ED" w:rsidRDefault="006830ED" w:rsidP="006830ED">
      <w:pPr>
        <w:spacing w:after="0" w:line="240" w:lineRule="auto"/>
        <w:jc w:val="both"/>
        <w:rPr>
          <w:rFonts w:ascii="Times New Roman" w:hAnsi="Times New Roman"/>
          <w:sz w:val="20"/>
          <w:szCs w:val="20"/>
        </w:rPr>
      </w:pPr>
      <w:r w:rsidRPr="006830ED">
        <w:rPr>
          <w:rFonts w:ascii="Times New Roman" w:hAnsi="Times New Roman"/>
          <w:sz w:val="20"/>
          <w:szCs w:val="20"/>
        </w:rPr>
        <w:t>Titanium tetraisopropoxide, TTIP (Ti(OC</w:t>
      </w:r>
      <w:r w:rsidRPr="006830ED">
        <w:rPr>
          <w:rFonts w:ascii="Times New Roman" w:hAnsi="Times New Roman"/>
          <w:sz w:val="20"/>
          <w:szCs w:val="20"/>
          <w:vertAlign w:val="subscript"/>
        </w:rPr>
        <w:t>3</w:t>
      </w:r>
      <w:r w:rsidRPr="006830ED">
        <w:rPr>
          <w:rFonts w:ascii="Times New Roman" w:hAnsi="Times New Roman"/>
          <w:sz w:val="20"/>
          <w:szCs w:val="20"/>
        </w:rPr>
        <w:t>H</w:t>
      </w:r>
      <w:r w:rsidRPr="006830ED">
        <w:rPr>
          <w:rFonts w:ascii="Times New Roman" w:hAnsi="Times New Roman"/>
          <w:sz w:val="20"/>
          <w:szCs w:val="20"/>
          <w:vertAlign w:val="subscript"/>
        </w:rPr>
        <w:t>7</w:t>
      </w:r>
      <w:r w:rsidRPr="006830ED">
        <w:rPr>
          <w:rFonts w:ascii="Times New Roman" w:hAnsi="Times New Roman"/>
          <w:sz w:val="20"/>
          <w:szCs w:val="20"/>
        </w:rPr>
        <w:t>)</w:t>
      </w:r>
      <w:r w:rsidRPr="006830ED">
        <w:rPr>
          <w:rFonts w:ascii="Times New Roman" w:hAnsi="Times New Roman"/>
          <w:sz w:val="20"/>
          <w:szCs w:val="20"/>
          <w:vertAlign w:val="subscript"/>
        </w:rPr>
        <w:t>4</w:t>
      </w:r>
      <w:r w:rsidRPr="006830ED">
        <w:rPr>
          <w:rFonts w:ascii="Times New Roman" w:hAnsi="Times New Roman"/>
          <w:sz w:val="20"/>
          <w:szCs w:val="20"/>
        </w:rPr>
        <w:t>)</w:t>
      </w:r>
      <w:r w:rsidRPr="006830ED">
        <w:rPr>
          <w:rFonts w:ascii="Times New Roman" w:hAnsi="Times New Roman"/>
          <w:b/>
          <w:sz w:val="20"/>
          <w:szCs w:val="20"/>
        </w:rPr>
        <w:t xml:space="preserve"> </w:t>
      </w:r>
      <w:r w:rsidRPr="006830ED">
        <w:rPr>
          <w:rFonts w:ascii="Times New Roman" w:hAnsi="Times New Roman"/>
          <w:sz w:val="20"/>
          <w:szCs w:val="20"/>
        </w:rPr>
        <w:t xml:space="preserve">(Merck, 97 %), </w:t>
      </w:r>
      <w:r w:rsidRPr="006830ED">
        <w:rPr>
          <w:rFonts w:ascii="Times New Roman" w:hAnsi="Times New Roman"/>
          <w:i/>
          <w:sz w:val="20"/>
          <w:szCs w:val="20"/>
        </w:rPr>
        <w:t>n</w:t>
      </w:r>
      <w:r w:rsidRPr="006830ED">
        <w:rPr>
          <w:rFonts w:ascii="Times New Roman" w:hAnsi="Times New Roman"/>
          <w:sz w:val="20"/>
          <w:szCs w:val="20"/>
        </w:rPr>
        <w:t>-heptane (C</w:t>
      </w:r>
      <w:r w:rsidRPr="006830ED">
        <w:rPr>
          <w:rFonts w:ascii="Times New Roman" w:hAnsi="Times New Roman"/>
          <w:sz w:val="20"/>
          <w:szCs w:val="20"/>
          <w:vertAlign w:val="subscript"/>
        </w:rPr>
        <w:t>7</w:t>
      </w:r>
      <w:r w:rsidRPr="006830ED">
        <w:rPr>
          <w:rFonts w:ascii="Times New Roman" w:hAnsi="Times New Roman"/>
          <w:sz w:val="20"/>
          <w:szCs w:val="20"/>
        </w:rPr>
        <w:t>H</w:t>
      </w:r>
      <w:r w:rsidRPr="006830ED">
        <w:rPr>
          <w:rFonts w:ascii="Times New Roman" w:hAnsi="Times New Roman"/>
          <w:sz w:val="20"/>
          <w:szCs w:val="20"/>
          <w:vertAlign w:val="subscript"/>
        </w:rPr>
        <w:t>16</w:t>
      </w:r>
      <w:r w:rsidRPr="006830ED">
        <w:rPr>
          <w:rFonts w:ascii="Times New Roman" w:hAnsi="Times New Roman"/>
          <w:sz w:val="20"/>
          <w:szCs w:val="20"/>
        </w:rPr>
        <w:t>)</w:t>
      </w:r>
      <w:r w:rsidRPr="006830ED">
        <w:rPr>
          <w:rFonts w:ascii="Times New Roman" w:hAnsi="Times New Roman"/>
          <w:b/>
          <w:sz w:val="20"/>
          <w:szCs w:val="20"/>
        </w:rPr>
        <w:t xml:space="preserve"> </w:t>
      </w:r>
      <w:r w:rsidRPr="006830ED">
        <w:rPr>
          <w:rFonts w:ascii="Times New Roman" w:hAnsi="Times New Roman"/>
          <w:sz w:val="20"/>
          <w:szCs w:val="20"/>
        </w:rPr>
        <w:t>(Fisher, 99 %), anhydrous iron(III) chloride (FeCl</w:t>
      </w:r>
      <w:r w:rsidRPr="006830ED">
        <w:rPr>
          <w:rFonts w:ascii="Times New Roman" w:hAnsi="Times New Roman"/>
          <w:sz w:val="20"/>
          <w:szCs w:val="20"/>
          <w:vertAlign w:val="subscript"/>
        </w:rPr>
        <w:t>3</w:t>
      </w:r>
      <w:r w:rsidRPr="006830ED">
        <w:rPr>
          <w:rFonts w:ascii="Times New Roman" w:hAnsi="Times New Roman"/>
          <w:sz w:val="20"/>
          <w:szCs w:val="20"/>
        </w:rPr>
        <w:t>)</w:t>
      </w:r>
      <w:r w:rsidRPr="006830ED">
        <w:rPr>
          <w:rFonts w:ascii="Times New Roman" w:hAnsi="Times New Roman"/>
          <w:b/>
          <w:sz w:val="20"/>
          <w:szCs w:val="20"/>
        </w:rPr>
        <w:t xml:space="preserve"> </w:t>
      </w:r>
      <w:r w:rsidRPr="006830ED">
        <w:rPr>
          <w:rFonts w:ascii="Times New Roman" w:hAnsi="Times New Roman"/>
          <w:sz w:val="20"/>
          <w:szCs w:val="20"/>
        </w:rPr>
        <w:t>(Merck, 98 %), copper(II) chloride dihydrate (CuCl</w:t>
      </w:r>
      <w:r w:rsidRPr="006830ED">
        <w:rPr>
          <w:rFonts w:ascii="Times New Roman" w:hAnsi="Times New Roman"/>
          <w:sz w:val="20"/>
          <w:szCs w:val="20"/>
          <w:vertAlign w:val="subscript"/>
        </w:rPr>
        <w:t>2</w:t>
      </w:r>
      <w:r w:rsidRPr="006830ED">
        <w:rPr>
          <w:rFonts w:ascii="Times New Roman" w:hAnsi="Times New Roman"/>
          <w:sz w:val="20"/>
          <w:szCs w:val="20"/>
        </w:rPr>
        <w:t>.2H</w:t>
      </w:r>
      <w:r w:rsidRPr="006830ED">
        <w:rPr>
          <w:rFonts w:ascii="Times New Roman" w:hAnsi="Times New Roman"/>
          <w:sz w:val="20"/>
          <w:szCs w:val="20"/>
          <w:vertAlign w:val="subscript"/>
        </w:rPr>
        <w:t>2</w:t>
      </w:r>
      <w:r w:rsidRPr="006830ED">
        <w:rPr>
          <w:rFonts w:ascii="Times New Roman" w:hAnsi="Times New Roman"/>
          <w:sz w:val="20"/>
          <w:szCs w:val="20"/>
        </w:rPr>
        <w:t>O)</w:t>
      </w:r>
      <w:r w:rsidRPr="006830ED">
        <w:rPr>
          <w:rFonts w:ascii="Times New Roman" w:hAnsi="Times New Roman"/>
          <w:b/>
          <w:sz w:val="20"/>
          <w:szCs w:val="20"/>
        </w:rPr>
        <w:t xml:space="preserve"> </w:t>
      </w:r>
      <w:r w:rsidRPr="006830ED">
        <w:rPr>
          <w:rFonts w:ascii="Times New Roman" w:hAnsi="Times New Roman"/>
          <w:sz w:val="20"/>
          <w:szCs w:val="20"/>
        </w:rPr>
        <w:t>(Merck, 99 %),</w:t>
      </w:r>
      <w:r w:rsidRPr="006830ED">
        <w:rPr>
          <w:rFonts w:ascii="Times New Roman" w:hAnsi="Times New Roman"/>
          <w:b/>
          <w:sz w:val="20"/>
          <w:szCs w:val="20"/>
        </w:rPr>
        <w:t xml:space="preserve"> </w:t>
      </w:r>
      <w:r w:rsidRPr="006830ED">
        <w:rPr>
          <w:rFonts w:ascii="Times New Roman" w:hAnsi="Times New Roman"/>
          <w:sz w:val="20"/>
          <w:szCs w:val="20"/>
        </w:rPr>
        <w:t>dibenzothiophene, DBT (C</w:t>
      </w:r>
      <w:r w:rsidRPr="006830ED">
        <w:rPr>
          <w:rFonts w:ascii="Times New Roman" w:hAnsi="Times New Roman"/>
          <w:sz w:val="20"/>
          <w:szCs w:val="20"/>
          <w:vertAlign w:val="subscript"/>
        </w:rPr>
        <w:t>12</w:t>
      </w:r>
      <w:r w:rsidRPr="006830ED">
        <w:rPr>
          <w:rFonts w:ascii="Times New Roman" w:hAnsi="Times New Roman"/>
          <w:sz w:val="20"/>
          <w:szCs w:val="20"/>
        </w:rPr>
        <w:t>H</w:t>
      </w:r>
      <w:r w:rsidRPr="006830ED">
        <w:rPr>
          <w:rFonts w:ascii="Times New Roman" w:hAnsi="Times New Roman"/>
          <w:sz w:val="20"/>
          <w:szCs w:val="20"/>
          <w:vertAlign w:val="subscript"/>
        </w:rPr>
        <w:t>8</w:t>
      </w:r>
      <w:r w:rsidRPr="006830ED">
        <w:rPr>
          <w:rFonts w:ascii="Times New Roman" w:hAnsi="Times New Roman"/>
          <w:sz w:val="20"/>
          <w:szCs w:val="20"/>
        </w:rPr>
        <w:t>S) (Merck, 98 %) and dodecane (C</w:t>
      </w:r>
      <w:r w:rsidRPr="006830ED">
        <w:rPr>
          <w:rFonts w:ascii="Times New Roman" w:hAnsi="Times New Roman"/>
          <w:sz w:val="20"/>
          <w:szCs w:val="20"/>
          <w:vertAlign w:val="subscript"/>
        </w:rPr>
        <w:t>12</w:t>
      </w:r>
      <w:r w:rsidRPr="006830ED">
        <w:rPr>
          <w:rFonts w:ascii="Times New Roman" w:hAnsi="Times New Roman"/>
          <w:sz w:val="20"/>
          <w:szCs w:val="20"/>
        </w:rPr>
        <w:t>H</w:t>
      </w:r>
      <w:r w:rsidRPr="006830ED">
        <w:rPr>
          <w:rFonts w:ascii="Times New Roman" w:hAnsi="Times New Roman"/>
          <w:sz w:val="20"/>
          <w:szCs w:val="20"/>
          <w:vertAlign w:val="subscript"/>
        </w:rPr>
        <w:t>26</w:t>
      </w:r>
      <w:r w:rsidRPr="006830ED">
        <w:rPr>
          <w:rFonts w:ascii="Times New Roman" w:hAnsi="Times New Roman"/>
          <w:sz w:val="20"/>
          <w:szCs w:val="20"/>
        </w:rPr>
        <w:t>)</w:t>
      </w:r>
      <w:r w:rsidRPr="006830ED">
        <w:rPr>
          <w:rFonts w:ascii="Times New Roman" w:hAnsi="Times New Roman"/>
          <w:b/>
          <w:sz w:val="20"/>
          <w:szCs w:val="20"/>
        </w:rPr>
        <w:t xml:space="preserve"> </w:t>
      </w:r>
      <w:r w:rsidRPr="006830ED">
        <w:rPr>
          <w:rFonts w:ascii="Times New Roman" w:hAnsi="Times New Roman"/>
          <w:sz w:val="20"/>
          <w:szCs w:val="20"/>
        </w:rPr>
        <w:t xml:space="preserve">(Merck, 98 %) were used without further purification. </w:t>
      </w:r>
    </w:p>
    <w:p w:rsidR="006830ED" w:rsidRPr="006830ED" w:rsidRDefault="006830ED" w:rsidP="006830ED">
      <w:pPr>
        <w:pStyle w:val="ListParagraph"/>
        <w:spacing w:after="0" w:line="240" w:lineRule="auto"/>
        <w:ind w:left="0"/>
        <w:jc w:val="both"/>
        <w:rPr>
          <w:rFonts w:ascii="Times New Roman" w:hAnsi="Times New Roman"/>
          <w:sz w:val="20"/>
          <w:szCs w:val="20"/>
        </w:rPr>
      </w:pPr>
    </w:p>
    <w:p w:rsidR="006830ED" w:rsidRPr="006830ED" w:rsidRDefault="006830ED" w:rsidP="006830ED">
      <w:pPr>
        <w:spacing w:after="0" w:line="240" w:lineRule="auto"/>
        <w:jc w:val="both"/>
        <w:rPr>
          <w:rFonts w:ascii="Times New Roman" w:hAnsi="Times New Roman"/>
          <w:sz w:val="20"/>
          <w:szCs w:val="20"/>
        </w:rPr>
      </w:pPr>
      <w:r w:rsidRPr="006830ED">
        <w:rPr>
          <w:rFonts w:ascii="Times New Roman" w:hAnsi="Times New Roman"/>
          <w:b/>
          <w:sz w:val="20"/>
          <w:szCs w:val="20"/>
        </w:rPr>
        <w:t>Synthesis of TiO</w:t>
      </w:r>
      <w:r w:rsidRPr="006830ED">
        <w:rPr>
          <w:rFonts w:ascii="Times New Roman" w:hAnsi="Times New Roman"/>
          <w:b/>
          <w:sz w:val="20"/>
          <w:szCs w:val="20"/>
          <w:vertAlign w:val="subscript"/>
        </w:rPr>
        <w:t>2</w:t>
      </w:r>
    </w:p>
    <w:p w:rsidR="006830ED" w:rsidRDefault="006830ED" w:rsidP="006830ED">
      <w:pPr>
        <w:spacing w:after="0" w:line="240" w:lineRule="auto"/>
        <w:jc w:val="both"/>
        <w:rPr>
          <w:rFonts w:ascii="Times New Roman" w:hAnsi="Times New Roman"/>
          <w:sz w:val="20"/>
          <w:szCs w:val="20"/>
        </w:rPr>
      </w:pPr>
      <w:r w:rsidRPr="006830ED">
        <w:rPr>
          <w:rFonts w:ascii="Times New Roman" w:hAnsi="Times New Roman"/>
          <w:sz w:val="20"/>
          <w:szCs w:val="20"/>
        </w:rPr>
        <w:t>Nanoparticle TiO</w:t>
      </w:r>
      <w:r w:rsidRPr="006830ED">
        <w:rPr>
          <w:rFonts w:ascii="Times New Roman" w:hAnsi="Times New Roman"/>
          <w:sz w:val="20"/>
          <w:szCs w:val="20"/>
          <w:vertAlign w:val="subscript"/>
        </w:rPr>
        <w:t xml:space="preserve">2 </w:t>
      </w:r>
      <w:r w:rsidR="004370C4">
        <w:rPr>
          <w:rFonts w:ascii="Times New Roman" w:hAnsi="Times New Roman"/>
          <w:sz w:val="20"/>
          <w:szCs w:val="20"/>
          <w:vertAlign w:val="subscript"/>
        </w:rPr>
        <w:t xml:space="preserve"> </w:t>
      </w:r>
      <w:r w:rsidRPr="006830ED">
        <w:rPr>
          <w:rFonts w:ascii="Times New Roman" w:hAnsi="Times New Roman"/>
          <w:sz w:val="20"/>
          <w:szCs w:val="20"/>
        </w:rPr>
        <w:t xml:space="preserve">was </w:t>
      </w:r>
      <w:r w:rsidR="004370C4">
        <w:rPr>
          <w:rFonts w:ascii="Times New Roman" w:hAnsi="Times New Roman"/>
          <w:sz w:val="20"/>
          <w:szCs w:val="20"/>
        </w:rPr>
        <w:t xml:space="preserve"> </w:t>
      </w:r>
      <w:r w:rsidRPr="006830ED">
        <w:rPr>
          <w:rFonts w:ascii="Times New Roman" w:hAnsi="Times New Roman"/>
          <w:sz w:val="20"/>
          <w:szCs w:val="20"/>
        </w:rPr>
        <w:t xml:space="preserve">synthesized </w:t>
      </w:r>
      <w:r w:rsidR="004370C4">
        <w:rPr>
          <w:rFonts w:ascii="Times New Roman" w:hAnsi="Times New Roman"/>
          <w:sz w:val="20"/>
          <w:szCs w:val="20"/>
        </w:rPr>
        <w:t xml:space="preserve"> </w:t>
      </w:r>
      <w:r w:rsidRPr="006830ED">
        <w:rPr>
          <w:rFonts w:ascii="Times New Roman" w:hAnsi="Times New Roman"/>
          <w:sz w:val="20"/>
          <w:szCs w:val="20"/>
        </w:rPr>
        <w:t xml:space="preserve">using </w:t>
      </w:r>
      <w:r w:rsidR="004370C4">
        <w:rPr>
          <w:rFonts w:ascii="Times New Roman" w:hAnsi="Times New Roman"/>
          <w:sz w:val="20"/>
          <w:szCs w:val="20"/>
        </w:rPr>
        <w:t xml:space="preserve"> </w:t>
      </w:r>
      <w:r w:rsidRPr="006830ED">
        <w:rPr>
          <w:rFonts w:ascii="Times New Roman" w:hAnsi="Times New Roman"/>
          <w:sz w:val="20"/>
          <w:szCs w:val="20"/>
        </w:rPr>
        <w:t xml:space="preserve">a </w:t>
      </w:r>
      <w:r w:rsidR="004370C4">
        <w:rPr>
          <w:rFonts w:ascii="Times New Roman" w:hAnsi="Times New Roman"/>
          <w:sz w:val="20"/>
          <w:szCs w:val="20"/>
        </w:rPr>
        <w:t xml:space="preserve"> </w:t>
      </w:r>
      <w:r w:rsidRPr="006830ED">
        <w:rPr>
          <w:rFonts w:ascii="Times New Roman" w:hAnsi="Times New Roman"/>
          <w:sz w:val="20"/>
          <w:szCs w:val="20"/>
        </w:rPr>
        <w:t xml:space="preserve">method modified from that reported by Khan </w:t>
      </w:r>
      <w:r w:rsidRPr="006830ED">
        <w:rPr>
          <w:rFonts w:ascii="Times New Roman" w:hAnsi="Times New Roman"/>
          <w:iCs/>
          <w:sz w:val="20"/>
          <w:szCs w:val="20"/>
        </w:rPr>
        <w:t>et al.</w:t>
      </w:r>
      <w:r w:rsidRPr="006830ED">
        <w:rPr>
          <w:rFonts w:ascii="Times New Roman" w:hAnsi="Times New Roman"/>
          <w:sz w:val="20"/>
          <w:szCs w:val="20"/>
        </w:rPr>
        <w:t xml:space="preserve"> [27]. An amount 27 mL of titanium tetraisopropoxide (TTIP) was added into 100 mL of </w:t>
      </w:r>
      <w:r w:rsidRPr="006830ED">
        <w:rPr>
          <w:rFonts w:ascii="Times New Roman" w:hAnsi="Times New Roman"/>
          <w:i/>
          <w:sz w:val="20"/>
          <w:szCs w:val="20"/>
        </w:rPr>
        <w:t>n</w:t>
      </w:r>
      <w:r w:rsidRPr="006830ED">
        <w:rPr>
          <w:rFonts w:ascii="Times New Roman" w:hAnsi="Times New Roman"/>
          <w:sz w:val="20"/>
          <w:szCs w:val="20"/>
        </w:rPr>
        <w:t>-heptane as a solvent. The mixture was stirred at 300 rpm for 2 hours. This was followed by drop wise addition of 7.98 mL distilled water to the mixture, giving a molar ratio of 1:5 for TTIP:H</w:t>
      </w:r>
      <w:r w:rsidRPr="006830ED">
        <w:rPr>
          <w:rFonts w:ascii="Times New Roman" w:hAnsi="Times New Roman"/>
          <w:sz w:val="20"/>
          <w:szCs w:val="20"/>
          <w:vertAlign w:val="subscript"/>
        </w:rPr>
        <w:t>2</w:t>
      </w:r>
      <w:r w:rsidRPr="006830ED">
        <w:rPr>
          <w:rFonts w:ascii="Times New Roman" w:hAnsi="Times New Roman"/>
          <w:sz w:val="20"/>
          <w:szCs w:val="20"/>
        </w:rPr>
        <w:t xml:space="preserve">O. The mixture was left to age for 72 hours at room temperature. The obtained sol was transferred to a 100 mL teflon-lined autoclave vessel and was heated to 240 </w:t>
      </w:r>
      <w:r w:rsidRPr="006830ED">
        <w:rPr>
          <w:rFonts w:ascii="Times New Roman" w:hAnsi="Times New Roman"/>
          <w:sz w:val="20"/>
          <w:szCs w:val="20"/>
          <w:vertAlign w:val="superscript"/>
        </w:rPr>
        <w:t>o</w:t>
      </w:r>
      <w:r w:rsidRPr="006830ED">
        <w:rPr>
          <w:rFonts w:ascii="Times New Roman" w:hAnsi="Times New Roman"/>
          <w:sz w:val="20"/>
          <w:szCs w:val="20"/>
        </w:rPr>
        <w:t xml:space="preserve">C for 12 hours. The resulting precipitate was dried in the oven at 70 </w:t>
      </w:r>
      <w:r w:rsidRPr="006830ED">
        <w:rPr>
          <w:rFonts w:ascii="Times New Roman" w:hAnsi="Times New Roman"/>
          <w:sz w:val="20"/>
          <w:szCs w:val="20"/>
          <w:vertAlign w:val="superscript"/>
        </w:rPr>
        <w:t>o</w:t>
      </w:r>
      <w:r w:rsidRPr="006830ED">
        <w:rPr>
          <w:rFonts w:ascii="Times New Roman" w:hAnsi="Times New Roman"/>
          <w:sz w:val="20"/>
          <w:szCs w:val="20"/>
        </w:rPr>
        <w:t>C for 12 hours. After drying, the raw TiO</w:t>
      </w:r>
      <w:r w:rsidRPr="006830ED">
        <w:rPr>
          <w:rFonts w:ascii="Times New Roman" w:hAnsi="Times New Roman"/>
          <w:sz w:val="20"/>
          <w:szCs w:val="20"/>
          <w:vertAlign w:val="subscript"/>
        </w:rPr>
        <w:t>2</w:t>
      </w:r>
      <w:r w:rsidRPr="006830ED">
        <w:rPr>
          <w:rFonts w:ascii="Times New Roman" w:hAnsi="Times New Roman"/>
          <w:sz w:val="20"/>
          <w:szCs w:val="20"/>
        </w:rPr>
        <w:t xml:space="preserve"> was calcined in a furnace at 500 </w:t>
      </w:r>
      <w:r w:rsidRPr="006830ED">
        <w:rPr>
          <w:rFonts w:ascii="Times New Roman" w:hAnsi="Times New Roman"/>
          <w:sz w:val="20"/>
          <w:szCs w:val="20"/>
          <w:vertAlign w:val="superscript"/>
        </w:rPr>
        <w:t>o</w:t>
      </w:r>
      <w:r w:rsidRPr="006830ED">
        <w:rPr>
          <w:rFonts w:ascii="Times New Roman" w:hAnsi="Times New Roman"/>
          <w:sz w:val="20"/>
          <w:szCs w:val="20"/>
        </w:rPr>
        <w:t>C in ambient air for 1 hour. The calcination process was carried out to remove any residual organic substance and also as an activation process to transform the hydroxides into anatase TiO</w:t>
      </w:r>
      <w:r w:rsidRPr="006830ED">
        <w:rPr>
          <w:rFonts w:ascii="Times New Roman" w:hAnsi="Times New Roman"/>
          <w:sz w:val="20"/>
          <w:szCs w:val="20"/>
          <w:vertAlign w:val="subscript"/>
        </w:rPr>
        <w:t>2</w:t>
      </w:r>
      <w:r w:rsidRPr="006830ED">
        <w:rPr>
          <w:rFonts w:ascii="Times New Roman" w:hAnsi="Times New Roman"/>
          <w:sz w:val="20"/>
          <w:szCs w:val="20"/>
        </w:rPr>
        <w:t xml:space="preserve">. </w:t>
      </w:r>
    </w:p>
    <w:p w:rsidR="006830ED" w:rsidRPr="006830ED" w:rsidRDefault="006830ED" w:rsidP="006830ED">
      <w:pPr>
        <w:spacing w:after="0" w:line="240" w:lineRule="auto"/>
        <w:jc w:val="both"/>
        <w:rPr>
          <w:rFonts w:ascii="Times New Roman" w:hAnsi="Times New Roman"/>
          <w:sz w:val="20"/>
          <w:szCs w:val="20"/>
        </w:rPr>
      </w:pPr>
    </w:p>
    <w:p w:rsidR="006830ED" w:rsidRPr="006830ED" w:rsidRDefault="006830ED" w:rsidP="006830ED">
      <w:pPr>
        <w:spacing w:after="0" w:line="240" w:lineRule="auto"/>
        <w:jc w:val="both"/>
        <w:rPr>
          <w:rFonts w:ascii="Times New Roman" w:hAnsi="Times New Roman"/>
          <w:b/>
          <w:sz w:val="20"/>
          <w:szCs w:val="20"/>
        </w:rPr>
      </w:pPr>
      <w:r w:rsidRPr="006830ED">
        <w:rPr>
          <w:rFonts w:ascii="Times New Roman" w:hAnsi="Times New Roman"/>
          <w:b/>
          <w:sz w:val="20"/>
          <w:szCs w:val="20"/>
        </w:rPr>
        <w:t>Preparation of Cu-Fe/TiO</w:t>
      </w:r>
      <w:r w:rsidRPr="006830ED">
        <w:rPr>
          <w:rFonts w:ascii="Times New Roman" w:hAnsi="Times New Roman"/>
          <w:b/>
          <w:sz w:val="20"/>
          <w:szCs w:val="20"/>
          <w:vertAlign w:val="subscript"/>
        </w:rPr>
        <w:t>2</w:t>
      </w:r>
    </w:p>
    <w:p w:rsidR="006830ED" w:rsidRPr="006830ED" w:rsidRDefault="006830ED" w:rsidP="006830ED">
      <w:pPr>
        <w:spacing w:after="0" w:line="240" w:lineRule="auto"/>
        <w:jc w:val="both"/>
        <w:rPr>
          <w:rFonts w:ascii="Times New Roman" w:hAnsi="Times New Roman"/>
          <w:sz w:val="20"/>
          <w:szCs w:val="20"/>
        </w:rPr>
      </w:pPr>
      <w:r w:rsidRPr="006830ED">
        <w:rPr>
          <w:rFonts w:ascii="Times New Roman" w:hAnsi="Times New Roman"/>
          <w:sz w:val="20"/>
          <w:szCs w:val="20"/>
        </w:rPr>
        <w:t>A series of 2.2 wt% Cu-Fe/TiO</w:t>
      </w:r>
      <w:r w:rsidRPr="006830ED">
        <w:rPr>
          <w:rFonts w:ascii="Times New Roman" w:hAnsi="Times New Roman"/>
          <w:sz w:val="20"/>
          <w:szCs w:val="20"/>
          <w:vertAlign w:val="subscript"/>
        </w:rPr>
        <w:t xml:space="preserve">2 </w:t>
      </w:r>
      <w:r w:rsidRPr="006830ED">
        <w:rPr>
          <w:rFonts w:ascii="Times New Roman" w:hAnsi="Times New Roman"/>
          <w:sz w:val="20"/>
          <w:szCs w:val="20"/>
        </w:rPr>
        <w:t>photocatalysts with different Cu:Fe mass composition (10:1, 9:2 and 8:3) was prepared using wet impregnation method. CuCl</w:t>
      </w:r>
      <w:r w:rsidRPr="006830ED">
        <w:rPr>
          <w:rFonts w:ascii="Times New Roman" w:hAnsi="Times New Roman"/>
          <w:sz w:val="20"/>
          <w:szCs w:val="20"/>
          <w:vertAlign w:val="subscript"/>
        </w:rPr>
        <w:t>2</w:t>
      </w:r>
      <w:r w:rsidRPr="006830ED">
        <w:rPr>
          <w:rFonts w:ascii="Times New Roman" w:hAnsi="Times New Roman"/>
          <w:sz w:val="20"/>
          <w:szCs w:val="20"/>
        </w:rPr>
        <w:t>.2H</w:t>
      </w:r>
      <w:r w:rsidRPr="006830ED">
        <w:rPr>
          <w:rFonts w:ascii="Times New Roman" w:hAnsi="Times New Roman"/>
          <w:sz w:val="20"/>
          <w:szCs w:val="20"/>
          <w:vertAlign w:val="subscript"/>
        </w:rPr>
        <w:t>2</w:t>
      </w:r>
      <w:r w:rsidRPr="006830ED">
        <w:rPr>
          <w:rFonts w:ascii="Times New Roman" w:hAnsi="Times New Roman"/>
          <w:sz w:val="20"/>
          <w:szCs w:val="20"/>
        </w:rPr>
        <w:t>O and FeCl</w:t>
      </w:r>
      <w:r w:rsidRPr="006830ED">
        <w:rPr>
          <w:rFonts w:ascii="Times New Roman" w:hAnsi="Times New Roman"/>
          <w:sz w:val="20"/>
          <w:szCs w:val="20"/>
          <w:vertAlign w:val="subscript"/>
        </w:rPr>
        <w:t>3</w:t>
      </w:r>
      <w:r w:rsidRPr="006830ED">
        <w:rPr>
          <w:rFonts w:ascii="Times New Roman" w:hAnsi="Times New Roman"/>
          <w:sz w:val="20"/>
          <w:szCs w:val="20"/>
        </w:rPr>
        <w:t xml:space="preserve"> were used as metal precursors. Predetermined amounts of CuCl</w:t>
      </w:r>
      <w:r w:rsidRPr="006830ED">
        <w:rPr>
          <w:rFonts w:ascii="Times New Roman" w:hAnsi="Times New Roman"/>
          <w:sz w:val="20"/>
          <w:szCs w:val="20"/>
          <w:vertAlign w:val="subscript"/>
        </w:rPr>
        <w:t>2</w:t>
      </w:r>
      <w:r w:rsidRPr="006830ED">
        <w:rPr>
          <w:rFonts w:ascii="Times New Roman" w:hAnsi="Times New Roman"/>
          <w:sz w:val="20"/>
          <w:szCs w:val="20"/>
        </w:rPr>
        <w:t>.2H</w:t>
      </w:r>
      <w:r w:rsidRPr="006830ED">
        <w:rPr>
          <w:rFonts w:ascii="Times New Roman" w:hAnsi="Times New Roman"/>
          <w:sz w:val="20"/>
          <w:szCs w:val="20"/>
          <w:vertAlign w:val="subscript"/>
        </w:rPr>
        <w:t>2</w:t>
      </w:r>
      <w:r w:rsidRPr="006830ED">
        <w:rPr>
          <w:rFonts w:ascii="Times New Roman" w:hAnsi="Times New Roman"/>
          <w:sz w:val="20"/>
          <w:szCs w:val="20"/>
        </w:rPr>
        <w:t>O and FeCl</w:t>
      </w:r>
      <w:r w:rsidRPr="006830ED">
        <w:rPr>
          <w:rFonts w:ascii="Times New Roman" w:hAnsi="Times New Roman"/>
          <w:sz w:val="20"/>
          <w:szCs w:val="20"/>
          <w:vertAlign w:val="subscript"/>
        </w:rPr>
        <w:t xml:space="preserve">3 </w:t>
      </w:r>
      <w:r w:rsidRPr="006830ED">
        <w:rPr>
          <w:rFonts w:ascii="Times New Roman" w:hAnsi="Times New Roman"/>
          <w:sz w:val="20"/>
          <w:szCs w:val="20"/>
        </w:rPr>
        <w:t>salts were dissolved in distilled water with continuous stirring. The required amount of TiO</w:t>
      </w:r>
      <w:r w:rsidRPr="006830ED">
        <w:rPr>
          <w:rFonts w:ascii="Times New Roman" w:hAnsi="Times New Roman"/>
          <w:sz w:val="20"/>
          <w:szCs w:val="20"/>
          <w:vertAlign w:val="subscript"/>
        </w:rPr>
        <w:t>2</w:t>
      </w:r>
      <w:r w:rsidRPr="006830ED">
        <w:rPr>
          <w:rFonts w:ascii="Times New Roman" w:hAnsi="Times New Roman"/>
          <w:sz w:val="20"/>
          <w:szCs w:val="20"/>
        </w:rPr>
        <w:t xml:space="preserve"> support was added into the metal salt solution. The suspension was stirred for 1 hour before the solvent was evaporated in a water bath at 80 </w:t>
      </w:r>
      <w:r w:rsidRPr="006830ED">
        <w:rPr>
          <w:rFonts w:ascii="Times New Roman" w:hAnsi="Times New Roman"/>
          <w:sz w:val="20"/>
          <w:szCs w:val="20"/>
          <w:vertAlign w:val="superscript"/>
        </w:rPr>
        <w:t>o</w:t>
      </w:r>
      <w:r w:rsidRPr="006830ED">
        <w:rPr>
          <w:rFonts w:ascii="Times New Roman" w:hAnsi="Times New Roman"/>
          <w:sz w:val="20"/>
          <w:szCs w:val="20"/>
        </w:rPr>
        <w:t xml:space="preserve">C and further dried in an oven at 120 </w:t>
      </w:r>
      <w:r w:rsidRPr="006830ED">
        <w:rPr>
          <w:rFonts w:ascii="Times New Roman" w:hAnsi="Times New Roman"/>
          <w:sz w:val="20"/>
          <w:szCs w:val="20"/>
          <w:vertAlign w:val="superscript"/>
        </w:rPr>
        <w:t>o</w:t>
      </w:r>
      <w:r w:rsidRPr="006830ED">
        <w:rPr>
          <w:rFonts w:ascii="Times New Roman" w:hAnsi="Times New Roman"/>
          <w:sz w:val="20"/>
          <w:szCs w:val="20"/>
        </w:rPr>
        <w:t xml:space="preserve">C for 18 hours. The raw photocatalysts were ground into fine powder and then calcined at 500 </w:t>
      </w:r>
      <w:r w:rsidRPr="006830ED">
        <w:rPr>
          <w:rFonts w:ascii="Times New Roman" w:hAnsi="Times New Roman"/>
          <w:sz w:val="20"/>
          <w:szCs w:val="20"/>
          <w:vertAlign w:val="superscript"/>
        </w:rPr>
        <w:t>o</w:t>
      </w:r>
      <w:r w:rsidRPr="006830ED">
        <w:rPr>
          <w:rFonts w:ascii="Times New Roman" w:hAnsi="Times New Roman"/>
          <w:sz w:val="20"/>
          <w:szCs w:val="20"/>
        </w:rPr>
        <w:t xml:space="preserve">C for 1 hour (10 </w:t>
      </w:r>
      <w:r w:rsidRPr="006830ED">
        <w:rPr>
          <w:rFonts w:ascii="Times New Roman" w:hAnsi="Times New Roman"/>
          <w:sz w:val="20"/>
          <w:szCs w:val="20"/>
          <w:vertAlign w:val="superscript"/>
        </w:rPr>
        <w:t>o</w:t>
      </w:r>
      <w:r w:rsidRPr="006830ED">
        <w:rPr>
          <w:rFonts w:ascii="Times New Roman" w:hAnsi="Times New Roman"/>
          <w:sz w:val="20"/>
          <w:szCs w:val="20"/>
        </w:rPr>
        <w:t>C</w:t>
      </w:r>
      <w:r w:rsidRPr="006830ED">
        <w:rPr>
          <w:rFonts w:ascii="Times New Roman" w:eastAsia="Calibri" w:hAnsi="Times New Roman"/>
          <w:sz w:val="20"/>
          <w:szCs w:val="20"/>
        </w:rPr>
        <w:t>·</w:t>
      </w:r>
      <w:r w:rsidRPr="006830ED">
        <w:rPr>
          <w:rFonts w:ascii="Times New Roman" w:hAnsi="Times New Roman"/>
          <w:sz w:val="20"/>
          <w:szCs w:val="20"/>
        </w:rPr>
        <w:t>min</w:t>
      </w:r>
      <w:r w:rsidRPr="006830ED">
        <w:rPr>
          <w:rFonts w:ascii="Times New Roman" w:hAnsi="Times New Roman"/>
          <w:sz w:val="20"/>
          <w:szCs w:val="20"/>
          <w:vertAlign w:val="superscript"/>
        </w:rPr>
        <w:t>-1</w:t>
      </w:r>
      <w:r w:rsidRPr="006830ED">
        <w:rPr>
          <w:rFonts w:ascii="Times New Roman" w:hAnsi="Times New Roman"/>
          <w:sz w:val="20"/>
          <w:szCs w:val="20"/>
        </w:rPr>
        <w:t xml:space="preserve"> ramping). The temperature selected was adopted from previous reported method [26]. The denotation of the photocatalysts was: xCuyFe, where ‘x’ represents the amount of Cu and ‘y’ represents the amount of Fe in which ‘x’ + ‘y’ = 11. For example, 10Cu1Fe refers 2.2 wt% Cu-Fe/TiO</w:t>
      </w:r>
      <w:r w:rsidRPr="006830ED">
        <w:rPr>
          <w:rFonts w:ascii="Times New Roman" w:hAnsi="Times New Roman"/>
          <w:sz w:val="20"/>
          <w:szCs w:val="20"/>
          <w:vertAlign w:val="subscript"/>
        </w:rPr>
        <w:t>2</w:t>
      </w:r>
      <w:r w:rsidRPr="006830ED">
        <w:rPr>
          <w:rFonts w:ascii="Times New Roman" w:hAnsi="Times New Roman"/>
          <w:sz w:val="20"/>
          <w:szCs w:val="20"/>
        </w:rPr>
        <w:t xml:space="preserve"> photocatalyst with 10:1 Cu:Fe mass composition. Monometallic Cu/TiO</w:t>
      </w:r>
      <w:r w:rsidRPr="006830ED">
        <w:rPr>
          <w:rFonts w:ascii="Times New Roman" w:hAnsi="Times New Roman"/>
          <w:sz w:val="20"/>
          <w:szCs w:val="20"/>
          <w:vertAlign w:val="subscript"/>
        </w:rPr>
        <w:t>2</w:t>
      </w:r>
      <w:r w:rsidRPr="006830ED">
        <w:rPr>
          <w:rFonts w:ascii="Times New Roman" w:hAnsi="Times New Roman"/>
          <w:sz w:val="20"/>
          <w:szCs w:val="20"/>
        </w:rPr>
        <w:t xml:space="preserve"> and Fe/TiO</w:t>
      </w:r>
      <w:r w:rsidRPr="006830ED">
        <w:rPr>
          <w:rFonts w:ascii="Times New Roman" w:hAnsi="Times New Roman"/>
          <w:sz w:val="20"/>
          <w:szCs w:val="20"/>
          <w:vertAlign w:val="subscript"/>
        </w:rPr>
        <w:t>2</w:t>
      </w:r>
      <w:r w:rsidRPr="006830ED">
        <w:rPr>
          <w:rFonts w:ascii="Times New Roman" w:hAnsi="Times New Roman"/>
          <w:sz w:val="20"/>
          <w:szCs w:val="20"/>
        </w:rPr>
        <w:t xml:space="preserve"> photocatalysts with 2.2 wt% metal loading, denoted as Cu and Fe, respectively, were also prepared for comparison purposes.</w:t>
      </w:r>
    </w:p>
    <w:p w:rsidR="006830ED" w:rsidRPr="006830ED" w:rsidRDefault="006830ED" w:rsidP="006830ED">
      <w:pPr>
        <w:spacing w:after="0" w:line="240" w:lineRule="auto"/>
        <w:jc w:val="both"/>
        <w:rPr>
          <w:rFonts w:ascii="Times New Roman" w:hAnsi="Times New Roman"/>
          <w:sz w:val="20"/>
          <w:szCs w:val="20"/>
        </w:rPr>
      </w:pPr>
    </w:p>
    <w:p w:rsidR="006830ED" w:rsidRPr="006830ED" w:rsidRDefault="006830ED" w:rsidP="006830ED">
      <w:pPr>
        <w:spacing w:after="0" w:line="240" w:lineRule="auto"/>
        <w:jc w:val="both"/>
        <w:rPr>
          <w:rFonts w:ascii="Times New Roman" w:hAnsi="Times New Roman"/>
          <w:b/>
          <w:bCs/>
          <w:sz w:val="20"/>
          <w:szCs w:val="20"/>
        </w:rPr>
      </w:pPr>
      <w:r w:rsidRPr="006830ED">
        <w:rPr>
          <w:rFonts w:ascii="Times New Roman" w:hAnsi="Times New Roman"/>
          <w:b/>
          <w:bCs/>
          <w:sz w:val="20"/>
          <w:szCs w:val="20"/>
        </w:rPr>
        <w:t>Characterization of photocatalysts</w:t>
      </w:r>
    </w:p>
    <w:p w:rsidR="006830ED" w:rsidRPr="006830ED" w:rsidRDefault="006830ED" w:rsidP="006830ED">
      <w:pPr>
        <w:spacing w:after="0" w:line="240" w:lineRule="auto"/>
        <w:jc w:val="both"/>
        <w:rPr>
          <w:rFonts w:ascii="Times New Roman" w:hAnsi="Times New Roman"/>
          <w:bCs/>
          <w:sz w:val="20"/>
          <w:szCs w:val="20"/>
        </w:rPr>
      </w:pPr>
      <w:r w:rsidRPr="006830ED">
        <w:rPr>
          <w:rFonts w:ascii="Times New Roman" w:hAnsi="Times New Roman"/>
          <w:sz w:val="20"/>
          <w:szCs w:val="20"/>
        </w:rPr>
        <w:t>The X-ray diffraction (XRD) patterns of the calcined TiO</w:t>
      </w:r>
      <w:r w:rsidRPr="006830ED">
        <w:rPr>
          <w:rFonts w:ascii="Times New Roman" w:hAnsi="Times New Roman"/>
          <w:sz w:val="20"/>
          <w:szCs w:val="20"/>
          <w:vertAlign w:val="subscript"/>
        </w:rPr>
        <w:t>2</w:t>
      </w:r>
      <w:r w:rsidRPr="006830ED">
        <w:rPr>
          <w:rFonts w:ascii="Times New Roman" w:hAnsi="Times New Roman"/>
          <w:sz w:val="20"/>
          <w:szCs w:val="20"/>
        </w:rPr>
        <w:t xml:space="preserve"> and also the prepared Cu-Fe/TiO</w:t>
      </w:r>
      <w:r w:rsidRPr="006830ED">
        <w:rPr>
          <w:rFonts w:ascii="Times New Roman" w:hAnsi="Times New Roman"/>
          <w:sz w:val="20"/>
          <w:szCs w:val="20"/>
          <w:vertAlign w:val="subscript"/>
        </w:rPr>
        <w:t>2</w:t>
      </w:r>
      <w:r w:rsidRPr="006830ED">
        <w:rPr>
          <w:rFonts w:ascii="Times New Roman" w:hAnsi="Times New Roman"/>
          <w:sz w:val="20"/>
          <w:szCs w:val="20"/>
        </w:rPr>
        <w:t xml:space="preserve"> photocatalysts were recorded using Bruker D8 Advance with CuKα radiation (40 kV, 40 mA) at 2θ angles from 2 to 80</w:t>
      </w:r>
      <w:r w:rsidRPr="006830ED">
        <w:rPr>
          <w:rFonts w:ascii="Times New Roman" w:hAnsi="Times New Roman"/>
          <w:sz w:val="20"/>
          <w:szCs w:val="20"/>
          <w:vertAlign w:val="superscript"/>
        </w:rPr>
        <w:t>o</w:t>
      </w:r>
      <w:r w:rsidRPr="006830ED">
        <w:rPr>
          <w:rFonts w:ascii="Times New Roman" w:hAnsi="Times New Roman"/>
          <w:sz w:val="20"/>
          <w:szCs w:val="20"/>
        </w:rPr>
        <w:t xml:space="preserve"> and a scan speed of 4 </w:t>
      </w:r>
      <w:r w:rsidRPr="006830ED">
        <w:rPr>
          <w:rFonts w:ascii="Times New Roman" w:hAnsi="Times New Roman"/>
          <w:sz w:val="20"/>
          <w:szCs w:val="20"/>
          <w:vertAlign w:val="superscript"/>
        </w:rPr>
        <w:t>o</w:t>
      </w:r>
      <w:r w:rsidRPr="006830ED">
        <w:rPr>
          <w:rFonts w:ascii="Times New Roman" w:hAnsi="Times New Roman"/>
          <w:sz w:val="20"/>
          <w:szCs w:val="20"/>
        </w:rPr>
        <w:t>C</w:t>
      </w:r>
      <w:r w:rsidRPr="006830ED">
        <w:rPr>
          <w:rFonts w:ascii="Times New Roman" w:eastAsia="Calibri" w:hAnsi="Times New Roman"/>
          <w:sz w:val="20"/>
          <w:szCs w:val="20"/>
        </w:rPr>
        <w:t>·</w:t>
      </w:r>
      <w:r w:rsidRPr="006830ED">
        <w:rPr>
          <w:rFonts w:ascii="Times New Roman" w:hAnsi="Times New Roman"/>
          <w:sz w:val="20"/>
          <w:szCs w:val="20"/>
        </w:rPr>
        <w:t>min</w:t>
      </w:r>
      <w:r w:rsidRPr="006830ED">
        <w:rPr>
          <w:rFonts w:ascii="Times New Roman" w:hAnsi="Times New Roman"/>
          <w:sz w:val="20"/>
          <w:szCs w:val="20"/>
          <w:vertAlign w:val="superscript"/>
        </w:rPr>
        <w:t>-1</w:t>
      </w:r>
      <w:r w:rsidRPr="006830ED">
        <w:rPr>
          <w:rFonts w:ascii="Times New Roman" w:hAnsi="Times New Roman"/>
          <w:sz w:val="20"/>
          <w:szCs w:val="20"/>
        </w:rPr>
        <w:t xml:space="preserve"> to determine the active TiO</w:t>
      </w:r>
      <w:r w:rsidRPr="006830ED">
        <w:rPr>
          <w:rFonts w:ascii="Times New Roman" w:hAnsi="Times New Roman"/>
          <w:sz w:val="20"/>
          <w:szCs w:val="20"/>
          <w:vertAlign w:val="subscript"/>
        </w:rPr>
        <w:t>2</w:t>
      </w:r>
      <w:r w:rsidRPr="006830ED">
        <w:rPr>
          <w:rFonts w:ascii="Times New Roman" w:hAnsi="Times New Roman"/>
          <w:sz w:val="20"/>
          <w:szCs w:val="20"/>
        </w:rPr>
        <w:t xml:space="preserve"> phase present. Morphology of the photocatalysts were examined using field emission scanning electron microscopy (FESEM, Supra55VP) coupled with energy dispersive X-ray analysis (EDX) and high resolution transmission electron microscopy (HRTEM, Zeiss Libra 200). The light absorption properties of the photocatalysts were recorded using diffuse reflectance UV-visible spectroscopy (DR-UV-Vis) where the Shimadzu Spectrometer 3150 was equipped with an integrated sphere assembly in which BaSO</w:t>
      </w:r>
      <w:r w:rsidRPr="006830ED">
        <w:rPr>
          <w:rFonts w:ascii="Times New Roman" w:hAnsi="Times New Roman"/>
          <w:sz w:val="20"/>
          <w:szCs w:val="20"/>
          <w:vertAlign w:val="subscript"/>
        </w:rPr>
        <w:t>4</w:t>
      </w:r>
      <w:r w:rsidRPr="006830ED">
        <w:rPr>
          <w:rFonts w:ascii="Times New Roman" w:hAnsi="Times New Roman"/>
          <w:sz w:val="20"/>
          <w:szCs w:val="20"/>
        </w:rPr>
        <w:t xml:space="preserve"> was used as the reference material. Tauc Plot, derived from DR-UV-Vis spectrum was employed to determine the band gap energy of the photocatalysts. The BET surface area of the photocatalysts was determined using surface analyzer (Tristar II 3020). </w:t>
      </w:r>
      <w:r w:rsidRPr="006830ED">
        <w:rPr>
          <w:rFonts w:ascii="Times New Roman" w:hAnsi="Times New Roman"/>
          <w:bCs/>
          <w:sz w:val="20"/>
          <w:szCs w:val="20"/>
        </w:rPr>
        <w:t>Fourier Transform Infrared (FTIR) spectra of the photocatalysts were scanned from 4000 to 450 cm</w:t>
      </w:r>
      <w:r w:rsidRPr="006830ED">
        <w:rPr>
          <w:rFonts w:ascii="Times New Roman" w:hAnsi="Times New Roman"/>
          <w:bCs/>
          <w:sz w:val="20"/>
          <w:szCs w:val="20"/>
          <w:vertAlign w:val="superscript"/>
        </w:rPr>
        <w:t>-1</w:t>
      </w:r>
      <w:r w:rsidRPr="006830ED">
        <w:rPr>
          <w:rFonts w:ascii="Times New Roman" w:hAnsi="Times New Roman"/>
          <w:bCs/>
          <w:sz w:val="20"/>
          <w:szCs w:val="20"/>
        </w:rPr>
        <w:t xml:space="preserve"> at 1.2 cm</w:t>
      </w:r>
      <w:r w:rsidRPr="006830ED">
        <w:rPr>
          <w:rFonts w:ascii="Times New Roman" w:hAnsi="Times New Roman"/>
          <w:bCs/>
          <w:sz w:val="20"/>
          <w:szCs w:val="20"/>
          <w:vertAlign w:val="superscript"/>
        </w:rPr>
        <w:t>-1</w:t>
      </w:r>
      <w:r w:rsidRPr="006830ED">
        <w:rPr>
          <w:rFonts w:ascii="Times New Roman" w:hAnsi="Times New Roman"/>
          <w:bCs/>
          <w:sz w:val="20"/>
          <w:szCs w:val="20"/>
        </w:rPr>
        <w:t xml:space="preserve"> resolution using Perkin Elmer Spectrophotometer. </w:t>
      </w:r>
      <w:r w:rsidRPr="006830ED">
        <w:rPr>
          <w:rFonts w:ascii="Times New Roman" w:hAnsi="Times New Roman"/>
          <w:sz w:val="20"/>
          <w:szCs w:val="20"/>
        </w:rPr>
        <w:t>The surface area and pore volume were calculated using the Brunauer-Emmett-Teller (BET) method, and pore size distribution was determined from the desorption branch of the desorption isotherm by the Barrett-Joyner-Halenda (BJH) method.</w:t>
      </w:r>
    </w:p>
    <w:p w:rsidR="006830ED" w:rsidRPr="006830ED" w:rsidRDefault="006830ED" w:rsidP="006830ED">
      <w:pPr>
        <w:spacing w:after="0" w:line="240" w:lineRule="auto"/>
        <w:jc w:val="both"/>
        <w:rPr>
          <w:rFonts w:ascii="Times New Roman" w:hAnsi="Times New Roman"/>
          <w:sz w:val="20"/>
          <w:szCs w:val="20"/>
        </w:rPr>
      </w:pPr>
    </w:p>
    <w:p w:rsidR="006830ED" w:rsidRPr="006830ED" w:rsidRDefault="006830ED" w:rsidP="006830ED">
      <w:pPr>
        <w:spacing w:after="0" w:line="240" w:lineRule="auto"/>
        <w:jc w:val="both"/>
        <w:rPr>
          <w:rFonts w:ascii="Times New Roman" w:hAnsi="Times New Roman"/>
          <w:b/>
          <w:sz w:val="20"/>
          <w:szCs w:val="20"/>
        </w:rPr>
      </w:pPr>
      <w:r w:rsidRPr="006830ED">
        <w:rPr>
          <w:rFonts w:ascii="Times New Roman" w:hAnsi="Times New Roman"/>
          <w:b/>
          <w:sz w:val="20"/>
          <w:szCs w:val="20"/>
        </w:rPr>
        <w:t>Photooxidative deep desulfurization process</w:t>
      </w:r>
    </w:p>
    <w:p w:rsidR="006830ED" w:rsidRDefault="006830ED" w:rsidP="00EC0B58">
      <w:pPr>
        <w:tabs>
          <w:tab w:val="center" w:pos="90"/>
        </w:tabs>
        <w:spacing w:after="120" w:line="240" w:lineRule="auto"/>
        <w:jc w:val="both"/>
        <w:rPr>
          <w:rFonts w:ascii="Times New Roman" w:eastAsia="Calibri" w:hAnsi="Times New Roman"/>
          <w:sz w:val="20"/>
          <w:szCs w:val="20"/>
        </w:rPr>
      </w:pPr>
      <w:r w:rsidRPr="006830ED">
        <w:rPr>
          <w:rFonts w:ascii="Times New Roman" w:eastAsia="MS Mincho" w:hAnsi="Times New Roman"/>
          <w:sz w:val="20"/>
          <w:szCs w:val="20"/>
        </w:rPr>
        <w:tab/>
        <w:t>The photooxidation process involved suspending the photocatalyst in model oil containing 100 ppm dibenzothiophene (DBT) as the model sulfur species in dodecane.</w:t>
      </w:r>
      <w:r w:rsidRPr="006830ED">
        <w:rPr>
          <w:rFonts w:ascii="Times New Roman" w:eastAsia="Calibri" w:hAnsi="Times New Roman"/>
          <w:sz w:val="20"/>
          <w:szCs w:val="20"/>
        </w:rPr>
        <w:t xml:space="preserve"> Photooxidation was carried out in a glass photoreactor positioned below the light source (500W halogen lamp, λ &gt;400 nm) at a distance 15 cm from the lamp. </w:t>
      </w:r>
      <w:r w:rsidRPr="006830ED">
        <w:rPr>
          <w:rFonts w:ascii="Times New Roman" w:eastAsia="Calibri" w:hAnsi="Times New Roman"/>
          <w:sz w:val="20"/>
          <w:szCs w:val="20"/>
        </w:rPr>
        <w:lastRenderedPageBreak/>
        <w:t>The model oil was mixed with 1 g·L</w:t>
      </w:r>
      <w:r w:rsidRPr="006830ED">
        <w:rPr>
          <w:rFonts w:ascii="Times New Roman" w:eastAsia="Calibri" w:hAnsi="Times New Roman"/>
          <w:sz w:val="20"/>
          <w:szCs w:val="20"/>
          <w:vertAlign w:val="superscript"/>
        </w:rPr>
        <w:t>-1</w:t>
      </w:r>
      <w:r w:rsidRPr="006830ED">
        <w:rPr>
          <w:rFonts w:ascii="Times New Roman" w:eastAsia="Calibri" w:hAnsi="Times New Roman"/>
          <w:sz w:val="20"/>
          <w:szCs w:val="20"/>
        </w:rPr>
        <w:t xml:space="preserve"> of photocatalyst. </w:t>
      </w:r>
      <w:r w:rsidRPr="006830ED">
        <w:rPr>
          <w:rFonts w:ascii="Times New Roman" w:eastAsia="MS Mincho" w:hAnsi="Times New Roman"/>
          <w:sz w:val="20"/>
          <w:szCs w:val="20"/>
        </w:rPr>
        <w:t xml:space="preserve"> </w:t>
      </w:r>
      <w:r w:rsidRPr="006830ED">
        <w:rPr>
          <w:rFonts w:ascii="Times New Roman" w:eastAsia="Calibri" w:hAnsi="Times New Roman"/>
          <w:sz w:val="20"/>
          <w:szCs w:val="20"/>
        </w:rPr>
        <w:t>H</w:t>
      </w:r>
      <w:r w:rsidRPr="006830ED">
        <w:rPr>
          <w:rFonts w:ascii="Times New Roman" w:eastAsia="Calibri" w:hAnsi="Times New Roman"/>
          <w:sz w:val="20"/>
          <w:szCs w:val="20"/>
          <w:vertAlign w:val="subscript"/>
        </w:rPr>
        <w:t>2</w:t>
      </w:r>
      <w:r w:rsidRPr="006830ED">
        <w:rPr>
          <w:rFonts w:ascii="Times New Roman" w:eastAsia="Calibri" w:hAnsi="Times New Roman"/>
          <w:sz w:val="20"/>
          <w:szCs w:val="20"/>
        </w:rPr>
        <w:t>O</w:t>
      </w:r>
      <w:r w:rsidRPr="006830ED">
        <w:rPr>
          <w:rFonts w:ascii="Times New Roman" w:eastAsia="Calibri" w:hAnsi="Times New Roman"/>
          <w:sz w:val="20"/>
          <w:szCs w:val="20"/>
          <w:vertAlign w:val="subscript"/>
        </w:rPr>
        <w:t>2</w:t>
      </w:r>
      <w:r w:rsidRPr="006830ED">
        <w:rPr>
          <w:rFonts w:ascii="Times New Roman" w:eastAsia="Calibri" w:hAnsi="Times New Roman"/>
          <w:sz w:val="20"/>
          <w:szCs w:val="20"/>
        </w:rPr>
        <w:t xml:space="preserve"> with a molar ratio of 4:1 (H</w:t>
      </w:r>
      <w:r w:rsidRPr="006830ED">
        <w:rPr>
          <w:rFonts w:ascii="Times New Roman" w:eastAsia="Calibri" w:hAnsi="Times New Roman"/>
          <w:sz w:val="20"/>
          <w:szCs w:val="20"/>
          <w:vertAlign w:val="subscript"/>
        </w:rPr>
        <w:t>2</w:t>
      </w:r>
      <w:r w:rsidRPr="006830ED">
        <w:rPr>
          <w:rFonts w:ascii="Times New Roman" w:eastAsia="Calibri" w:hAnsi="Times New Roman"/>
          <w:sz w:val="20"/>
          <w:szCs w:val="20"/>
        </w:rPr>
        <w:t>O</w:t>
      </w:r>
      <w:r w:rsidRPr="006830ED">
        <w:rPr>
          <w:rFonts w:ascii="Times New Roman" w:eastAsia="Calibri" w:hAnsi="Times New Roman"/>
          <w:sz w:val="20"/>
          <w:szCs w:val="20"/>
          <w:vertAlign w:val="subscript"/>
        </w:rPr>
        <w:t>2</w:t>
      </w:r>
      <w:r w:rsidRPr="006830ED">
        <w:rPr>
          <w:rFonts w:ascii="Times New Roman" w:eastAsia="Calibri" w:hAnsi="Times New Roman"/>
          <w:sz w:val="20"/>
          <w:szCs w:val="20"/>
        </w:rPr>
        <w:t>:S) was added and the suspension was stirred in the dark for 30 min to achieve</w:t>
      </w:r>
      <w:r w:rsidRPr="006830ED">
        <w:rPr>
          <w:rFonts w:ascii="Times New Roman" w:eastAsia="MS Mincho" w:hAnsi="Times New Roman"/>
          <w:sz w:val="20"/>
          <w:szCs w:val="20"/>
        </w:rPr>
        <w:t xml:space="preserve"> adsorption-desorption equilibrium between DBT in the model oil and the photocatalyst. Subsequently, photooxidation process occurred under visible light illumination</w:t>
      </w:r>
      <w:r w:rsidRPr="006830ED">
        <w:rPr>
          <w:rFonts w:ascii="Times New Roman" w:eastAsia="Calibri" w:hAnsi="Times New Roman"/>
          <w:sz w:val="20"/>
          <w:szCs w:val="20"/>
        </w:rPr>
        <w:t>. The photooxidation process was monitored by periodic sampling where the photocatalyst was separated from the model oil by filtration prior to analysis using GC-SCD (Agilent 7890A gas chromatograph coupled with Agilent 355 sulfur chemiluminescence detector).</w:t>
      </w:r>
      <w:r w:rsidRPr="006830ED">
        <w:rPr>
          <w:rFonts w:ascii="Times New Roman" w:eastAsia="MS Mincho" w:hAnsi="Times New Roman"/>
          <w:sz w:val="20"/>
          <w:szCs w:val="20"/>
        </w:rPr>
        <w:t xml:space="preserve"> </w:t>
      </w:r>
      <w:r w:rsidRPr="006830ED">
        <w:rPr>
          <w:rFonts w:ascii="Times New Roman" w:hAnsi="Times New Roman"/>
          <w:sz w:val="20"/>
          <w:szCs w:val="20"/>
        </w:rPr>
        <w:t xml:space="preserve">The </w:t>
      </w:r>
      <w:r w:rsidRPr="006830ED">
        <w:rPr>
          <w:rFonts w:ascii="Times New Roman" w:eastAsia="MS Mincho" w:hAnsi="Times New Roman"/>
          <w:sz w:val="20"/>
          <w:szCs w:val="20"/>
        </w:rPr>
        <w:t>DB-1 J &amp; W 123-1033 (30 m x 320 um x 1 um) column was maintained at 325</w:t>
      </w:r>
      <w:r w:rsidRPr="006830ED">
        <w:rPr>
          <w:rFonts w:ascii="Times New Roman" w:eastAsia="MS Mincho" w:hAnsi="Times New Roman"/>
          <w:sz w:val="20"/>
          <w:szCs w:val="20"/>
          <w:vertAlign w:val="superscript"/>
        </w:rPr>
        <w:t>o</w:t>
      </w:r>
      <w:r w:rsidRPr="006830ED">
        <w:rPr>
          <w:rFonts w:ascii="Times New Roman" w:eastAsia="MS Mincho" w:hAnsi="Times New Roman"/>
          <w:sz w:val="20"/>
          <w:szCs w:val="20"/>
        </w:rPr>
        <w:t xml:space="preserve">C with </w:t>
      </w:r>
      <w:r w:rsidR="004370C4">
        <w:rPr>
          <w:rFonts w:ascii="Times New Roman" w:eastAsia="MS Mincho" w:hAnsi="Times New Roman"/>
          <w:sz w:val="20"/>
          <w:szCs w:val="20"/>
        </w:rPr>
        <w:t xml:space="preserve"> </w:t>
      </w:r>
      <w:r w:rsidRPr="006830ED">
        <w:rPr>
          <w:rFonts w:ascii="Times New Roman" w:eastAsia="MS Mincho" w:hAnsi="Times New Roman"/>
          <w:sz w:val="20"/>
          <w:szCs w:val="20"/>
        </w:rPr>
        <w:t xml:space="preserve">helium as </w:t>
      </w:r>
      <w:r w:rsidR="004370C4">
        <w:rPr>
          <w:rFonts w:ascii="Times New Roman" w:eastAsia="MS Mincho" w:hAnsi="Times New Roman"/>
          <w:sz w:val="20"/>
          <w:szCs w:val="20"/>
        </w:rPr>
        <w:t xml:space="preserve"> </w:t>
      </w:r>
      <w:r w:rsidRPr="006830ED">
        <w:rPr>
          <w:rFonts w:ascii="Times New Roman" w:eastAsia="MS Mincho" w:hAnsi="Times New Roman"/>
          <w:sz w:val="20"/>
          <w:szCs w:val="20"/>
        </w:rPr>
        <w:t xml:space="preserve">carrier </w:t>
      </w:r>
      <w:r w:rsidR="004370C4">
        <w:rPr>
          <w:rFonts w:ascii="Times New Roman" w:eastAsia="MS Mincho" w:hAnsi="Times New Roman"/>
          <w:sz w:val="20"/>
          <w:szCs w:val="20"/>
        </w:rPr>
        <w:t xml:space="preserve"> </w:t>
      </w:r>
      <w:r w:rsidRPr="006830ED">
        <w:rPr>
          <w:rFonts w:ascii="Times New Roman" w:eastAsia="MS Mincho" w:hAnsi="Times New Roman"/>
          <w:sz w:val="20"/>
          <w:szCs w:val="20"/>
        </w:rPr>
        <w:t>gas</w:t>
      </w:r>
      <w:r w:rsidR="004370C4">
        <w:rPr>
          <w:rFonts w:ascii="Times New Roman" w:eastAsia="MS Mincho" w:hAnsi="Times New Roman"/>
          <w:sz w:val="20"/>
          <w:szCs w:val="20"/>
        </w:rPr>
        <w:t xml:space="preserve"> </w:t>
      </w:r>
      <w:r w:rsidRPr="006830ED">
        <w:rPr>
          <w:rFonts w:ascii="Times New Roman" w:eastAsia="MS Mincho" w:hAnsi="Times New Roman"/>
          <w:sz w:val="20"/>
          <w:szCs w:val="20"/>
        </w:rPr>
        <w:t xml:space="preserve"> flowing at 1.1 mL</w:t>
      </w:r>
      <w:r w:rsidRPr="006830ED">
        <w:rPr>
          <w:rFonts w:ascii="Times New Roman" w:eastAsia="Calibri" w:hAnsi="Times New Roman"/>
          <w:sz w:val="20"/>
          <w:szCs w:val="20"/>
        </w:rPr>
        <w:t>·</w:t>
      </w:r>
      <w:r w:rsidRPr="006830ED">
        <w:rPr>
          <w:rFonts w:ascii="Times New Roman" w:eastAsia="MS Mincho" w:hAnsi="Times New Roman"/>
          <w:sz w:val="20"/>
          <w:szCs w:val="20"/>
        </w:rPr>
        <w:t>min</w:t>
      </w:r>
      <w:r w:rsidRPr="006830ED">
        <w:rPr>
          <w:rFonts w:ascii="Times New Roman" w:eastAsia="MS Mincho" w:hAnsi="Times New Roman"/>
          <w:sz w:val="20"/>
          <w:szCs w:val="20"/>
          <w:vertAlign w:val="superscript"/>
        </w:rPr>
        <w:t>-1</w:t>
      </w:r>
      <w:r w:rsidRPr="006830ED">
        <w:rPr>
          <w:rFonts w:ascii="Times New Roman" w:eastAsia="MS Mincho" w:hAnsi="Times New Roman"/>
          <w:sz w:val="20"/>
          <w:szCs w:val="20"/>
        </w:rPr>
        <w:t xml:space="preserve">. </w:t>
      </w:r>
      <w:r w:rsidR="004370C4">
        <w:rPr>
          <w:rFonts w:ascii="Times New Roman" w:eastAsia="MS Mincho" w:hAnsi="Times New Roman"/>
          <w:sz w:val="20"/>
          <w:szCs w:val="20"/>
        </w:rPr>
        <w:t xml:space="preserve"> </w:t>
      </w:r>
      <w:r w:rsidRPr="006830ED">
        <w:rPr>
          <w:rFonts w:ascii="Times New Roman" w:eastAsia="MS Mincho" w:hAnsi="Times New Roman"/>
          <w:sz w:val="20"/>
          <w:szCs w:val="20"/>
        </w:rPr>
        <w:t xml:space="preserve">The auto sampler was in split mode (300 </w:t>
      </w:r>
      <w:r w:rsidRPr="006830ED">
        <w:rPr>
          <w:rFonts w:ascii="Times New Roman" w:eastAsia="MS Mincho" w:hAnsi="Times New Roman"/>
          <w:sz w:val="20"/>
          <w:szCs w:val="20"/>
          <w:vertAlign w:val="superscript"/>
        </w:rPr>
        <w:t>o</w:t>
      </w:r>
      <w:r w:rsidRPr="006830ED">
        <w:rPr>
          <w:rFonts w:ascii="Times New Roman" w:eastAsia="MS Mincho" w:hAnsi="Times New Roman"/>
          <w:sz w:val="20"/>
          <w:szCs w:val="20"/>
        </w:rPr>
        <w:t>C, 6.16 psi, 50:1 split ratio at 55 mL</w:t>
      </w:r>
      <w:r w:rsidRPr="006830ED">
        <w:rPr>
          <w:rFonts w:ascii="Times New Roman" w:eastAsia="Calibri" w:hAnsi="Times New Roman"/>
          <w:sz w:val="20"/>
          <w:szCs w:val="20"/>
        </w:rPr>
        <w:t>·</w:t>
      </w:r>
      <w:r w:rsidRPr="006830ED">
        <w:rPr>
          <w:rFonts w:ascii="Times New Roman" w:eastAsia="MS Mincho" w:hAnsi="Times New Roman"/>
          <w:sz w:val="20"/>
          <w:szCs w:val="20"/>
        </w:rPr>
        <w:t>min</w:t>
      </w:r>
      <w:r w:rsidRPr="006830ED">
        <w:rPr>
          <w:rFonts w:ascii="Times New Roman" w:eastAsia="MS Mincho" w:hAnsi="Times New Roman"/>
          <w:sz w:val="20"/>
          <w:szCs w:val="20"/>
          <w:vertAlign w:val="superscript"/>
        </w:rPr>
        <w:t>-1</w:t>
      </w:r>
      <w:r w:rsidRPr="006830ED">
        <w:rPr>
          <w:rFonts w:ascii="Times New Roman" w:eastAsia="MS Mincho" w:hAnsi="Times New Roman"/>
          <w:sz w:val="20"/>
          <w:szCs w:val="20"/>
        </w:rPr>
        <w:t>, split flow 50 mL</w:t>
      </w:r>
      <w:r w:rsidRPr="006830ED">
        <w:rPr>
          <w:rFonts w:ascii="Times New Roman" w:eastAsia="Calibri" w:hAnsi="Times New Roman"/>
          <w:sz w:val="20"/>
          <w:szCs w:val="20"/>
        </w:rPr>
        <w:t>·</w:t>
      </w:r>
      <w:r w:rsidRPr="006830ED">
        <w:rPr>
          <w:rFonts w:ascii="Times New Roman" w:eastAsia="MS Mincho" w:hAnsi="Times New Roman"/>
          <w:sz w:val="20"/>
          <w:szCs w:val="20"/>
        </w:rPr>
        <w:t>min</w:t>
      </w:r>
      <w:r w:rsidRPr="006830ED">
        <w:rPr>
          <w:rFonts w:ascii="Times New Roman" w:eastAsia="MS Mincho" w:hAnsi="Times New Roman"/>
          <w:sz w:val="20"/>
          <w:szCs w:val="20"/>
          <w:vertAlign w:val="superscript"/>
        </w:rPr>
        <w:t>-1</w:t>
      </w:r>
      <w:r w:rsidRPr="006830ED">
        <w:rPr>
          <w:rFonts w:ascii="Times New Roman" w:eastAsia="MS Mincho" w:hAnsi="Times New Roman"/>
          <w:sz w:val="20"/>
          <w:szCs w:val="20"/>
        </w:rPr>
        <w:t>, septum purge flow 3 mL</w:t>
      </w:r>
      <w:r w:rsidRPr="006830ED">
        <w:rPr>
          <w:rFonts w:ascii="Times New Roman" w:eastAsia="Calibri" w:hAnsi="Times New Roman"/>
          <w:sz w:val="20"/>
          <w:szCs w:val="20"/>
        </w:rPr>
        <w:t>·</w:t>
      </w:r>
      <w:r w:rsidRPr="006830ED">
        <w:rPr>
          <w:rFonts w:ascii="Times New Roman" w:eastAsia="MS Mincho" w:hAnsi="Times New Roman"/>
          <w:sz w:val="20"/>
          <w:szCs w:val="20"/>
        </w:rPr>
        <w:t>min</w:t>
      </w:r>
      <w:r w:rsidRPr="006830ED">
        <w:rPr>
          <w:rFonts w:ascii="Times New Roman" w:eastAsia="MS Mincho" w:hAnsi="Times New Roman"/>
          <w:sz w:val="20"/>
          <w:szCs w:val="20"/>
          <w:vertAlign w:val="superscript"/>
        </w:rPr>
        <w:t>-1</w:t>
      </w:r>
      <w:r w:rsidRPr="006830ED">
        <w:rPr>
          <w:rFonts w:ascii="Times New Roman" w:eastAsia="MS Mincho" w:hAnsi="Times New Roman"/>
          <w:sz w:val="20"/>
          <w:szCs w:val="20"/>
        </w:rPr>
        <w:t xml:space="preserve">) and injection volume of 1.0 </w:t>
      </w:r>
      <w:r w:rsidRPr="006830ED">
        <w:rPr>
          <w:rFonts w:ascii="Times New Roman" w:eastAsia="MS Mincho" w:hAnsi="Times New Roman"/>
          <w:sz w:val="20"/>
          <w:szCs w:val="20"/>
        </w:rPr>
        <w:sym w:font="Symbol" w:char="F06D"/>
      </w:r>
      <w:r w:rsidRPr="006830ED">
        <w:rPr>
          <w:rFonts w:ascii="Times New Roman" w:eastAsia="MS Mincho" w:hAnsi="Times New Roman"/>
          <w:sz w:val="20"/>
          <w:szCs w:val="20"/>
        </w:rPr>
        <w:t xml:space="preserve">L. The detector settings were: burner at 800 </w:t>
      </w:r>
      <w:r w:rsidRPr="006830ED">
        <w:rPr>
          <w:rFonts w:ascii="Times New Roman" w:eastAsia="MS Mincho" w:hAnsi="Times New Roman"/>
          <w:sz w:val="20"/>
          <w:szCs w:val="20"/>
          <w:vertAlign w:val="superscript"/>
        </w:rPr>
        <w:t>o</w:t>
      </w:r>
      <w:r w:rsidRPr="006830ED">
        <w:rPr>
          <w:rFonts w:ascii="Times New Roman" w:eastAsia="MS Mincho" w:hAnsi="Times New Roman"/>
          <w:sz w:val="20"/>
          <w:szCs w:val="20"/>
        </w:rPr>
        <w:t xml:space="preserve">C (to ensure complete sulfur combustion), dual </w:t>
      </w:r>
      <w:r w:rsidR="00F07FA5">
        <w:rPr>
          <w:rFonts w:ascii="Times New Roman" w:eastAsia="MS Mincho" w:hAnsi="Times New Roman"/>
          <w:sz w:val="20"/>
          <w:szCs w:val="20"/>
        </w:rPr>
        <w:t xml:space="preserve"> </w:t>
      </w:r>
      <w:r w:rsidRPr="006830ED">
        <w:rPr>
          <w:rFonts w:ascii="Times New Roman" w:eastAsia="MS Mincho" w:hAnsi="Times New Roman"/>
          <w:sz w:val="20"/>
          <w:szCs w:val="20"/>
        </w:rPr>
        <w:t>plasma controller at 250 – 400 torr, 65 sccm of air flow rate, 40 sccm of H</w:t>
      </w:r>
      <w:r w:rsidRPr="006830ED">
        <w:rPr>
          <w:rFonts w:ascii="Times New Roman" w:eastAsia="MS Mincho" w:hAnsi="Times New Roman"/>
          <w:sz w:val="20"/>
          <w:szCs w:val="20"/>
          <w:vertAlign w:val="subscript"/>
        </w:rPr>
        <w:t>2</w:t>
      </w:r>
      <w:r w:rsidRPr="006830ED">
        <w:rPr>
          <w:rFonts w:ascii="Times New Roman" w:eastAsia="MS Mincho" w:hAnsi="Times New Roman"/>
          <w:sz w:val="20"/>
          <w:szCs w:val="20"/>
        </w:rPr>
        <w:t xml:space="preserve"> flow rate and 20 – 30 mL</w:t>
      </w:r>
      <w:r w:rsidRPr="006830ED">
        <w:rPr>
          <w:rFonts w:ascii="Times New Roman" w:eastAsia="Calibri" w:hAnsi="Times New Roman"/>
          <w:sz w:val="20"/>
          <w:szCs w:val="20"/>
        </w:rPr>
        <w:t>·</w:t>
      </w:r>
      <w:r w:rsidRPr="006830ED">
        <w:rPr>
          <w:rFonts w:ascii="Times New Roman" w:eastAsia="MS Mincho" w:hAnsi="Times New Roman"/>
          <w:sz w:val="20"/>
          <w:szCs w:val="20"/>
        </w:rPr>
        <w:t>min</w:t>
      </w:r>
      <w:r w:rsidRPr="006830ED">
        <w:rPr>
          <w:rFonts w:ascii="Times New Roman" w:eastAsia="MS Mincho" w:hAnsi="Times New Roman"/>
          <w:sz w:val="20"/>
          <w:szCs w:val="20"/>
          <w:vertAlign w:val="superscript"/>
        </w:rPr>
        <w:t>-1</w:t>
      </w:r>
      <w:r w:rsidRPr="006830ED">
        <w:rPr>
          <w:rFonts w:ascii="Times New Roman" w:eastAsia="MS Mincho" w:hAnsi="Times New Roman"/>
          <w:sz w:val="20"/>
          <w:szCs w:val="20"/>
        </w:rPr>
        <w:t xml:space="preserve"> at 3 – 6 psi of ozone flow rate. </w:t>
      </w:r>
      <w:r w:rsidRPr="006830ED">
        <w:rPr>
          <w:rFonts w:ascii="Times New Roman" w:eastAsia="Calibri" w:hAnsi="Times New Roman"/>
          <w:sz w:val="20"/>
          <w:szCs w:val="20"/>
        </w:rPr>
        <w:t xml:space="preserve">The efficiency in converting sulfur species to oxidized sulfur species in the model oil was calculated using equation (1): </w:t>
      </w:r>
    </w:p>
    <w:p w:rsidR="002E7DF9" w:rsidRPr="00FC3A4D" w:rsidRDefault="00EC0B58" w:rsidP="006830ED">
      <w:pPr>
        <w:tabs>
          <w:tab w:val="center" w:pos="90"/>
        </w:tabs>
        <w:spacing w:after="0" w:line="240" w:lineRule="auto"/>
        <w:jc w:val="both"/>
        <w:rPr>
          <w:rFonts w:ascii="Times New Roman" w:eastAsia="Calibri" w:hAnsi="Times New Roman"/>
          <w:i/>
          <w:sz w:val="20"/>
          <w:szCs w:val="20"/>
        </w:rPr>
      </w:pPr>
      <w:r>
        <w:rPr>
          <w:rFonts w:ascii="Times New Roman" w:eastAsia="Calibri" w:hAnsi="Times New Roman"/>
          <w:i/>
          <w:sz w:val="24"/>
          <w:szCs w:val="24"/>
        </w:rPr>
        <w:t xml:space="preserve">                                               </w:t>
      </w:r>
      <w:r w:rsidRPr="00FC3A4D">
        <w:rPr>
          <w:rFonts w:ascii="Times New Roman" w:eastAsia="Calibri" w:hAnsi="Times New Roman"/>
          <w:i/>
          <w:sz w:val="20"/>
          <w:szCs w:val="20"/>
        </w:rPr>
        <w:t>S</w:t>
      </w:r>
      <w:r w:rsidRPr="00FC3A4D">
        <w:rPr>
          <w:rFonts w:ascii="Times New Roman" w:eastAsia="Calibri" w:hAnsi="Times New Roman"/>
          <w:i/>
          <w:sz w:val="20"/>
          <w:szCs w:val="20"/>
          <w:vertAlign w:val="subscript"/>
        </w:rPr>
        <w:t>i</w:t>
      </w:r>
      <w:r w:rsidRPr="00FC3A4D">
        <w:rPr>
          <w:rFonts w:ascii="Times New Roman" w:eastAsia="Calibri" w:hAnsi="Times New Roman"/>
          <w:i/>
          <w:sz w:val="20"/>
          <w:szCs w:val="20"/>
        </w:rPr>
        <w:t xml:space="preserve"> - S</w:t>
      </w:r>
      <w:r w:rsidRPr="00FC3A4D">
        <w:rPr>
          <w:rFonts w:ascii="Times New Roman" w:eastAsia="Calibri" w:hAnsi="Times New Roman"/>
          <w:i/>
          <w:sz w:val="20"/>
          <w:szCs w:val="20"/>
          <w:vertAlign w:val="subscript"/>
        </w:rPr>
        <w:t>f</w:t>
      </w:r>
    </w:p>
    <w:p w:rsidR="004370C4" w:rsidRPr="004370C4" w:rsidRDefault="00EC0B58" w:rsidP="004370C4">
      <w:pPr>
        <w:tabs>
          <w:tab w:val="center" w:pos="90"/>
        </w:tabs>
        <w:spacing w:after="0" w:line="240" w:lineRule="auto"/>
        <w:jc w:val="both"/>
        <w:rPr>
          <w:rFonts w:ascii="Times New Roman" w:eastAsia="Calibri" w:hAnsi="Times New Roman"/>
          <w:sz w:val="20"/>
          <w:szCs w:val="20"/>
        </w:rPr>
      </w:pPr>
      <w:r>
        <w:rPr>
          <w:rFonts w:ascii="Times New Roman" w:eastAsia="Calibri" w:hAnsi="Times New Roman"/>
          <w:noProof/>
          <w:sz w:val="20"/>
          <w:szCs w:val="20"/>
          <w:lang w:bidi="ar-SA"/>
        </w:rPr>
        <mc:AlternateContent>
          <mc:Choice Requires="wps">
            <w:drawing>
              <wp:anchor distT="0" distB="0" distL="114300" distR="114300" simplePos="0" relativeHeight="251661824" behindDoc="0" locked="0" layoutInCell="1" allowOverlap="1">
                <wp:simplePos x="0" y="0"/>
                <wp:positionH relativeFrom="column">
                  <wp:posOffset>1752600</wp:posOffset>
                </wp:positionH>
                <wp:positionV relativeFrom="paragraph">
                  <wp:posOffset>82550</wp:posOffset>
                </wp:positionV>
                <wp:extent cx="352425" cy="0"/>
                <wp:effectExtent l="0" t="0" r="9525" b="19050"/>
                <wp:wrapNone/>
                <wp:docPr id="8" name="Straight Connector 8"/>
                <wp:cNvGraphicFramePr/>
                <a:graphic xmlns:a="http://schemas.openxmlformats.org/drawingml/2006/main">
                  <a:graphicData uri="http://schemas.microsoft.com/office/word/2010/wordprocessingShape">
                    <wps:wsp>
                      <wps:cNvCnPr/>
                      <wps:spPr>
                        <a:xfrm>
                          <a:off x="0" y="0"/>
                          <a:ext cx="3524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8" o:spid="_x0000_s1026" style="position:absolute;z-index:251661824;visibility:visible;mso-wrap-style:square;mso-wrap-distance-left:9pt;mso-wrap-distance-top:0;mso-wrap-distance-right:9pt;mso-wrap-distance-bottom:0;mso-position-horizontal:absolute;mso-position-horizontal-relative:text;mso-position-vertical:absolute;mso-position-vertical-relative:text" from="138pt,6.5pt" to="165.7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" strokecolor="black [3040]"/>
            </w:pict>
          </mc:Fallback>
        </mc:AlternateContent>
      </w:r>
      <w:r w:rsidR="00CC7614">
        <w:rPr>
          <w:rFonts w:ascii="Times New Roman" w:eastAsia="Calibri" w:hAnsi="Times New Roman"/>
          <w:sz w:val="20"/>
          <w:szCs w:val="20"/>
        </w:rPr>
        <w:tab/>
      </w:r>
      <w:r w:rsidR="00CC7614">
        <w:rPr>
          <w:rFonts w:ascii="Times New Roman" w:eastAsia="Calibri" w:hAnsi="Times New Roman"/>
          <w:sz w:val="20"/>
          <w:szCs w:val="20"/>
        </w:rPr>
        <w:tab/>
        <w:t xml:space="preserve">Sulfur conversion (%) =          </w:t>
      </w:r>
      <w:r>
        <w:rPr>
          <w:rFonts w:ascii="Times New Roman" w:eastAsia="Calibri" w:hAnsi="Times New Roman"/>
          <w:sz w:val="20"/>
          <w:szCs w:val="20"/>
        </w:rPr>
        <w:t xml:space="preserve">       </w:t>
      </w:r>
      <w:r w:rsidR="00CC7614">
        <w:rPr>
          <w:rFonts w:ascii="Times New Roman" w:eastAsia="Calibri" w:hAnsi="Times New Roman"/>
          <w:sz w:val="20"/>
          <w:szCs w:val="20"/>
        </w:rPr>
        <w:t>x 100 %</w:t>
      </w:r>
      <w:r w:rsidR="006830ED" w:rsidRPr="006830ED">
        <w:rPr>
          <w:rFonts w:ascii="Times New Roman" w:eastAsia="Calibri" w:hAnsi="Times New Roman"/>
          <w:sz w:val="20"/>
          <w:szCs w:val="20"/>
        </w:rPr>
        <w:t xml:space="preserve">        </w:t>
      </w:r>
      <w:r w:rsidR="006830ED" w:rsidRPr="006830ED">
        <w:rPr>
          <w:rFonts w:ascii="Times New Roman" w:eastAsia="Calibri" w:hAnsi="Times New Roman"/>
          <w:sz w:val="20"/>
          <w:szCs w:val="20"/>
        </w:rPr>
        <w:tab/>
      </w:r>
      <w:r w:rsidR="006830ED" w:rsidRPr="006830ED">
        <w:rPr>
          <w:rFonts w:ascii="Times New Roman" w:eastAsia="Calibri" w:hAnsi="Times New Roman"/>
          <w:sz w:val="20"/>
          <w:szCs w:val="20"/>
        </w:rPr>
        <w:tab/>
      </w:r>
      <w:r w:rsidR="006830ED" w:rsidRPr="006830ED">
        <w:rPr>
          <w:rFonts w:ascii="Times New Roman" w:eastAsia="Calibri" w:hAnsi="Times New Roman"/>
          <w:sz w:val="20"/>
          <w:szCs w:val="20"/>
        </w:rPr>
        <w:tab/>
      </w:r>
      <w:r w:rsidR="006830ED" w:rsidRPr="006830ED">
        <w:rPr>
          <w:rFonts w:ascii="Times New Roman" w:eastAsia="Calibri" w:hAnsi="Times New Roman"/>
          <w:sz w:val="20"/>
          <w:szCs w:val="20"/>
        </w:rPr>
        <w:tab/>
      </w:r>
      <w:r w:rsidR="00CC7614">
        <w:rPr>
          <w:rFonts w:ascii="Times New Roman" w:eastAsia="Calibri" w:hAnsi="Times New Roman"/>
          <w:sz w:val="20"/>
          <w:szCs w:val="20"/>
        </w:rPr>
        <w:t xml:space="preserve"> </w:t>
      </w:r>
      <w:r w:rsidR="006830ED" w:rsidRPr="006830ED">
        <w:rPr>
          <w:rFonts w:ascii="Times New Roman" w:eastAsia="Calibri" w:hAnsi="Times New Roman"/>
          <w:sz w:val="20"/>
          <w:szCs w:val="20"/>
        </w:rPr>
        <w:tab/>
        <w:t xml:space="preserve">                 </w:t>
      </w:r>
      <w:r w:rsidR="008F6177">
        <w:rPr>
          <w:rFonts w:ascii="Times New Roman" w:eastAsia="Calibri" w:hAnsi="Times New Roman"/>
          <w:sz w:val="20"/>
          <w:szCs w:val="20"/>
        </w:rPr>
        <w:t xml:space="preserve">      </w:t>
      </w:r>
      <w:r w:rsidR="006830ED" w:rsidRPr="006830ED">
        <w:rPr>
          <w:rFonts w:ascii="Times New Roman" w:hAnsi="Times New Roman"/>
          <w:sz w:val="20"/>
          <w:szCs w:val="20"/>
        </w:rPr>
        <w:t>(1)</w:t>
      </w:r>
    </w:p>
    <w:p w:rsidR="00EC0B58" w:rsidRPr="00EC0B58" w:rsidRDefault="00EC0B58" w:rsidP="006830ED">
      <w:pPr>
        <w:spacing w:after="0" w:line="240" w:lineRule="auto"/>
        <w:jc w:val="both"/>
        <w:outlineLvl w:val="0"/>
        <w:rPr>
          <w:rFonts w:ascii="Times New Roman" w:hAnsi="Times New Roman"/>
          <w:sz w:val="20"/>
          <w:szCs w:val="20"/>
        </w:rPr>
      </w:pPr>
      <w:r>
        <w:rPr>
          <w:rFonts w:ascii="Times New Roman" w:eastAsia="Calibri" w:hAnsi="Times New Roman"/>
          <w:i/>
          <w:sz w:val="24"/>
          <w:szCs w:val="24"/>
        </w:rPr>
        <w:t xml:space="preserve">                                                  </w:t>
      </w:r>
      <w:r w:rsidRPr="00EC0B58">
        <w:rPr>
          <w:rFonts w:ascii="Times New Roman" w:eastAsia="Calibri" w:hAnsi="Times New Roman"/>
          <w:i/>
          <w:sz w:val="20"/>
          <w:szCs w:val="20"/>
        </w:rPr>
        <w:t>S</w:t>
      </w:r>
      <w:r w:rsidRPr="00EC0B58">
        <w:rPr>
          <w:rFonts w:ascii="Times New Roman" w:eastAsia="Calibri" w:hAnsi="Times New Roman"/>
          <w:i/>
          <w:sz w:val="20"/>
          <w:szCs w:val="20"/>
          <w:vertAlign w:val="subscript"/>
        </w:rPr>
        <w:t>i</w:t>
      </w:r>
    </w:p>
    <w:p w:rsidR="006830ED" w:rsidRPr="006830ED" w:rsidRDefault="006830ED" w:rsidP="00EC0B58">
      <w:pPr>
        <w:spacing w:before="120" w:after="0" w:line="240" w:lineRule="auto"/>
        <w:jc w:val="both"/>
        <w:outlineLvl w:val="0"/>
        <w:rPr>
          <w:rFonts w:ascii="Times New Roman" w:hAnsi="Times New Roman"/>
          <w:b/>
          <w:color w:val="548DD4" w:themeColor="text2" w:themeTint="99"/>
          <w:sz w:val="20"/>
          <w:szCs w:val="20"/>
        </w:rPr>
      </w:pPr>
      <w:r w:rsidRPr="006830ED">
        <w:rPr>
          <w:rFonts w:ascii="Times New Roman" w:hAnsi="Times New Roman"/>
          <w:sz w:val="20"/>
          <w:szCs w:val="20"/>
        </w:rPr>
        <w:t xml:space="preserve">where, </w:t>
      </w:r>
      <w:r w:rsidRPr="00EC0B58">
        <w:rPr>
          <w:rFonts w:ascii="Times New Roman" w:hAnsi="Times New Roman"/>
          <w:i/>
          <w:sz w:val="20"/>
          <w:szCs w:val="20"/>
        </w:rPr>
        <w:t>S</w:t>
      </w:r>
      <w:r w:rsidRPr="00EC0B58">
        <w:rPr>
          <w:rFonts w:ascii="Times New Roman" w:hAnsi="Times New Roman"/>
          <w:i/>
          <w:sz w:val="20"/>
          <w:szCs w:val="20"/>
          <w:vertAlign w:val="subscript"/>
        </w:rPr>
        <w:t>i</w:t>
      </w:r>
      <w:r w:rsidRPr="00EC0B58">
        <w:rPr>
          <w:rFonts w:ascii="Times New Roman" w:hAnsi="Times New Roman"/>
          <w:sz w:val="20"/>
          <w:szCs w:val="20"/>
        </w:rPr>
        <w:t xml:space="preserve"> </w:t>
      </w:r>
      <w:r w:rsidRPr="006830ED">
        <w:rPr>
          <w:rFonts w:ascii="Times New Roman" w:hAnsi="Times New Roman"/>
          <w:sz w:val="20"/>
          <w:szCs w:val="20"/>
        </w:rPr>
        <w:t xml:space="preserve">and </w:t>
      </w:r>
      <w:r w:rsidRPr="00EC0B58">
        <w:rPr>
          <w:rFonts w:ascii="Times New Roman" w:hAnsi="Times New Roman"/>
          <w:i/>
          <w:sz w:val="20"/>
          <w:szCs w:val="20"/>
        </w:rPr>
        <w:t>S</w:t>
      </w:r>
      <w:r w:rsidRPr="00EC0B58">
        <w:rPr>
          <w:rFonts w:ascii="Times New Roman" w:hAnsi="Times New Roman"/>
          <w:i/>
          <w:sz w:val="20"/>
          <w:szCs w:val="20"/>
          <w:vertAlign w:val="subscript"/>
        </w:rPr>
        <w:t>f</w:t>
      </w:r>
      <w:r w:rsidRPr="00EC0B58">
        <w:rPr>
          <w:rFonts w:ascii="Times New Roman" w:hAnsi="Times New Roman"/>
          <w:sz w:val="20"/>
          <w:szCs w:val="20"/>
        </w:rPr>
        <w:t xml:space="preserve"> </w:t>
      </w:r>
      <w:r w:rsidR="00EC0B58">
        <w:rPr>
          <w:rFonts w:ascii="Times New Roman" w:hAnsi="Times New Roman"/>
          <w:sz w:val="24"/>
          <w:szCs w:val="24"/>
        </w:rPr>
        <w:t xml:space="preserve"> </w:t>
      </w:r>
      <w:r w:rsidRPr="006830ED">
        <w:rPr>
          <w:rFonts w:ascii="Times New Roman" w:hAnsi="Times New Roman"/>
          <w:sz w:val="20"/>
          <w:szCs w:val="20"/>
        </w:rPr>
        <w:t>refer to the initial and final concentrations of sulfur species (DBT) in model oil.</w:t>
      </w:r>
      <w:r w:rsidRPr="006830ED">
        <w:rPr>
          <w:rFonts w:ascii="Times New Roman" w:hAnsi="Times New Roman"/>
          <w:b/>
          <w:color w:val="548DD4" w:themeColor="text2" w:themeTint="99"/>
          <w:sz w:val="20"/>
          <w:szCs w:val="20"/>
        </w:rPr>
        <w:t xml:space="preserve"> </w:t>
      </w:r>
    </w:p>
    <w:p w:rsidR="006768E9" w:rsidRPr="00F447A7" w:rsidRDefault="006768E9" w:rsidP="00BA1F7B">
      <w:pPr>
        <w:spacing w:after="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Results and Discussion</w:t>
      </w:r>
    </w:p>
    <w:p w:rsidR="00B253CE" w:rsidRPr="00B253CE" w:rsidRDefault="00B253CE" w:rsidP="00B253CE">
      <w:pPr>
        <w:spacing w:after="0" w:line="240" w:lineRule="auto"/>
        <w:jc w:val="both"/>
        <w:rPr>
          <w:rFonts w:ascii="Times New Roman" w:hAnsi="Times New Roman"/>
          <w:b/>
          <w:sz w:val="20"/>
          <w:szCs w:val="20"/>
        </w:rPr>
      </w:pPr>
      <w:r w:rsidRPr="00B253CE">
        <w:rPr>
          <w:rFonts w:ascii="Times New Roman" w:hAnsi="Times New Roman"/>
          <w:b/>
          <w:sz w:val="20"/>
          <w:szCs w:val="20"/>
        </w:rPr>
        <w:t xml:space="preserve">X-ray diffraction </w:t>
      </w:r>
    </w:p>
    <w:p w:rsidR="00B253CE" w:rsidRPr="00B253CE" w:rsidRDefault="00B253CE" w:rsidP="00B253CE">
      <w:pPr>
        <w:spacing w:after="0" w:line="240" w:lineRule="auto"/>
        <w:jc w:val="both"/>
        <w:rPr>
          <w:rFonts w:ascii="Times New Roman" w:hAnsi="Times New Roman"/>
          <w:sz w:val="20"/>
          <w:szCs w:val="20"/>
        </w:rPr>
      </w:pPr>
      <w:r w:rsidRPr="00B253CE">
        <w:rPr>
          <w:rFonts w:ascii="Times New Roman" w:hAnsi="Times New Roman"/>
          <w:sz w:val="20"/>
          <w:szCs w:val="20"/>
        </w:rPr>
        <w:t>The effect of Cu:Fe mass composition on the crystallite phase and crystallinity of the photocatalysts was analyzed. Figure 1 display the XRD patterns of Cu-Fe/TiO</w:t>
      </w:r>
      <w:r w:rsidRPr="00B253CE">
        <w:rPr>
          <w:rFonts w:ascii="Times New Roman" w:hAnsi="Times New Roman"/>
          <w:sz w:val="20"/>
          <w:szCs w:val="20"/>
          <w:vertAlign w:val="subscript"/>
        </w:rPr>
        <w:t>2</w:t>
      </w:r>
      <w:r w:rsidRPr="00B253CE">
        <w:rPr>
          <w:rFonts w:ascii="Times New Roman" w:hAnsi="Times New Roman"/>
          <w:sz w:val="20"/>
          <w:szCs w:val="20"/>
        </w:rPr>
        <w:t xml:space="preserve"> with different Cu:Fe mass composition (10:1, 9:2 and 8:3)</w:t>
      </w:r>
      <w:r w:rsidRPr="00B253CE">
        <w:rPr>
          <w:rFonts w:ascii="Times New Roman" w:eastAsia="MS Mincho" w:hAnsi="Times New Roman"/>
          <w:sz w:val="20"/>
          <w:szCs w:val="20"/>
        </w:rPr>
        <w:t xml:space="preserve">. The photocatalysts were calcined at 500 </w:t>
      </w:r>
      <w:r w:rsidRPr="00B253CE">
        <w:rPr>
          <w:rFonts w:ascii="Times New Roman" w:eastAsia="MS Mincho" w:hAnsi="Times New Roman"/>
          <w:sz w:val="20"/>
          <w:szCs w:val="20"/>
          <w:vertAlign w:val="superscript"/>
        </w:rPr>
        <w:t>o</w:t>
      </w:r>
      <w:r w:rsidRPr="00B253CE">
        <w:rPr>
          <w:rFonts w:ascii="Times New Roman" w:eastAsia="MS Mincho" w:hAnsi="Times New Roman"/>
          <w:sz w:val="20"/>
          <w:szCs w:val="20"/>
        </w:rPr>
        <w:t xml:space="preserve">C for 1 hour prior to analysis. </w:t>
      </w:r>
      <w:r w:rsidRPr="00B253CE">
        <w:rPr>
          <w:rFonts w:ascii="Times New Roman" w:hAnsi="Times New Roman"/>
          <w:sz w:val="20"/>
          <w:szCs w:val="20"/>
        </w:rPr>
        <w:t>All the samples displayed the typical anatase TiO</w:t>
      </w:r>
      <w:r w:rsidRPr="00B253CE">
        <w:rPr>
          <w:rFonts w:ascii="Times New Roman" w:hAnsi="Times New Roman"/>
          <w:sz w:val="20"/>
          <w:szCs w:val="20"/>
          <w:vertAlign w:val="subscript"/>
        </w:rPr>
        <w:t>2</w:t>
      </w:r>
      <w:r w:rsidRPr="00B253CE">
        <w:rPr>
          <w:rFonts w:ascii="Times New Roman" w:hAnsi="Times New Roman"/>
          <w:sz w:val="20"/>
          <w:szCs w:val="20"/>
        </w:rPr>
        <w:t xml:space="preserve"> crystal structure with peaks at 2θ of 25.3°, 38.0°, 48.3°, 54.8°, 55.8° and 62.6° corresponding to (101), (004), (200), (105), (211) and (204) phases, respectively [27, 28]. The preferred orientation corresponding to the phase (101) is observed in all the samples. Both monometallic TiO</w:t>
      </w:r>
      <w:r w:rsidRPr="00B253CE">
        <w:rPr>
          <w:rFonts w:ascii="Times New Roman" w:hAnsi="Times New Roman"/>
          <w:sz w:val="20"/>
          <w:szCs w:val="20"/>
          <w:vertAlign w:val="subscript"/>
        </w:rPr>
        <w:t>2</w:t>
      </w:r>
      <w:r w:rsidRPr="00B253CE">
        <w:rPr>
          <w:rFonts w:ascii="Times New Roman" w:hAnsi="Times New Roman"/>
          <w:sz w:val="20"/>
          <w:szCs w:val="20"/>
        </w:rPr>
        <w:t xml:space="preserve"> (Cu and Fe) and bimetallic Cu-Fe/TiO</w:t>
      </w:r>
      <w:r w:rsidRPr="00B253CE">
        <w:rPr>
          <w:rFonts w:ascii="Times New Roman" w:hAnsi="Times New Roman"/>
          <w:sz w:val="20"/>
          <w:szCs w:val="20"/>
          <w:vertAlign w:val="subscript"/>
        </w:rPr>
        <w:t>2</w:t>
      </w:r>
      <w:r w:rsidRPr="00B253CE">
        <w:rPr>
          <w:rFonts w:ascii="Times New Roman" w:hAnsi="Times New Roman"/>
          <w:sz w:val="20"/>
          <w:szCs w:val="20"/>
        </w:rPr>
        <w:t xml:space="preserve"> photocatalysts displayed high intensity for the diffraction peak at 2θ = 25.3</w:t>
      </w:r>
      <w:r w:rsidRPr="00B253CE">
        <w:rPr>
          <w:rFonts w:ascii="Times New Roman" w:hAnsi="Times New Roman"/>
          <w:sz w:val="20"/>
          <w:szCs w:val="20"/>
          <w:vertAlign w:val="superscript"/>
        </w:rPr>
        <w:t>o</w:t>
      </w:r>
      <w:r w:rsidRPr="00B253CE">
        <w:rPr>
          <w:rFonts w:ascii="Times New Roman" w:hAnsi="Times New Roman"/>
          <w:sz w:val="20"/>
          <w:szCs w:val="20"/>
        </w:rPr>
        <w:t>. This indicates larger crystallite size compared to bare TiO</w:t>
      </w:r>
      <w:r w:rsidRPr="00B253CE">
        <w:rPr>
          <w:rFonts w:ascii="Times New Roman" w:hAnsi="Times New Roman"/>
          <w:sz w:val="20"/>
          <w:szCs w:val="20"/>
          <w:vertAlign w:val="subscript"/>
        </w:rPr>
        <w:t>2</w:t>
      </w:r>
      <w:r w:rsidRPr="00B253CE">
        <w:rPr>
          <w:rFonts w:ascii="Times New Roman" w:hAnsi="Times New Roman"/>
          <w:sz w:val="20"/>
          <w:szCs w:val="20"/>
        </w:rPr>
        <w:t xml:space="preserve">. There was no indication of the presence of Cu, Fe or Cu-Fe species in all the XRD patterns. This may be due to the presence of highly dispersed Cu and Fe species and also low metal content [29], which are below the detection limit of the equipment [30]. In order for the metal to be detectable by XRD analysis, the concentration of metals should be higher than 5wt% [31]. However, the presence of the incorporated metals can be confirmed from EDX mapping that will be discussed in later section. No peaks attributed to the rutile phase could be detected. This may be due to the calcination temperature, as the transition from anatase to rutile phase normally occurs at temperature above 600 </w:t>
      </w:r>
      <w:r w:rsidRPr="00B253CE">
        <w:rPr>
          <w:rFonts w:ascii="Times New Roman" w:hAnsi="Times New Roman"/>
          <w:sz w:val="20"/>
          <w:szCs w:val="20"/>
          <w:vertAlign w:val="superscript"/>
        </w:rPr>
        <w:t>o</w:t>
      </w:r>
      <w:r w:rsidRPr="00B253CE">
        <w:rPr>
          <w:rFonts w:ascii="Times New Roman" w:hAnsi="Times New Roman"/>
          <w:sz w:val="20"/>
          <w:szCs w:val="20"/>
        </w:rPr>
        <w:t xml:space="preserve">C. </w:t>
      </w:r>
    </w:p>
    <w:p w:rsidR="00B253CE" w:rsidRPr="00B253CE" w:rsidRDefault="00B253CE" w:rsidP="00EC0B58">
      <w:pPr>
        <w:spacing w:after="0" w:line="240" w:lineRule="auto"/>
        <w:jc w:val="both"/>
        <w:rPr>
          <w:rFonts w:ascii="Times New Roman" w:hAnsi="Times New Roman"/>
          <w:sz w:val="20"/>
          <w:szCs w:val="20"/>
        </w:rPr>
      </w:pPr>
    </w:p>
    <w:p w:rsidR="00B253CE" w:rsidRPr="00B253CE" w:rsidRDefault="00B253CE" w:rsidP="007737B0">
      <w:pPr>
        <w:tabs>
          <w:tab w:val="center" w:pos="4320"/>
        </w:tabs>
        <w:spacing w:after="0" w:line="240" w:lineRule="auto"/>
        <w:jc w:val="center"/>
        <w:rPr>
          <w:rFonts w:ascii="Times New Roman" w:hAnsi="Times New Roman"/>
          <w:b/>
          <w:bCs/>
          <w:noProof/>
          <w:sz w:val="20"/>
          <w:szCs w:val="20"/>
        </w:rPr>
      </w:pPr>
      <w:r w:rsidRPr="00B253CE">
        <w:rPr>
          <w:rFonts w:ascii="Times New Roman" w:hAnsi="Times New Roman"/>
          <w:b/>
          <w:bCs/>
          <w:noProof/>
          <w:sz w:val="20"/>
          <w:szCs w:val="20"/>
          <w:lang w:bidi="ar-SA"/>
        </w:rPr>
        <w:drawing>
          <wp:inline distT="0" distB="0" distL="0" distR="0" wp14:anchorId="633AD13F" wp14:editId="627A4DE7">
            <wp:extent cx="2981432" cy="2381250"/>
            <wp:effectExtent l="19050" t="19050" r="28575" b="190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97229" cy="2393867"/>
                    </a:xfrm>
                    <a:prstGeom prst="rect">
                      <a:avLst/>
                    </a:prstGeom>
                    <a:noFill/>
                    <a:ln>
                      <a:solidFill>
                        <a:schemeClr val="tx1"/>
                      </a:solidFill>
                    </a:ln>
                  </pic:spPr>
                </pic:pic>
              </a:graphicData>
            </a:graphic>
          </wp:inline>
        </w:drawing>
      </w:r>
    </w:p>
    <w:p w:rsidR="00B253CE" w:rsidRPr="00B253CE" w:rsidRDefault="00B253CE" w:rsidP="00EC0B58">
      <w:pPr>
        <w:tabs>
          <w:tab w:val="center" w:pos="4320"/>
        </w:tabs>
        <w:spacing w:before="180" w:after="0" w:line="240" w:lineRule="auto"/>
        <w:jc w:val="center"/>
        <w:rPr>
          <w:rFonts w:ascii="Times New Roman" w:hAnsi="Times New Roman"/>
          <w:noProof/>
          <w:sz w:val="20"/>
          <w:szCs w:val="20"/>
        </w:rPr>
      </w:pPr>
      <w:r w:rsidRPr="00B253CE">
        <w:rPr>
          <w:rFonts w:ascii="Times New Roman" w:hAnsi="Times New Roman"/>
          <w:bCs/>
          <w:noProof/>
          <w:sz w:val="20"/>
          <w:szCs w:val="20"/>
        </w:rPr>
        <w:t>Figure 1</w:t>
      </w:r>
      <w:r w:rsidRPr="00B253CE">
        <w:rPr>
          <w:rFonts w:ascii="Times New Roman" w:hAnsi="Times New Roman"/>
          <w:b/>
          <w:bCs/>
          <w:noProof/>
          <w:sz w:val="20"/>
          <w:szCs w:val="20"/>
        </w:rPr>
        <w:t>.</w:t>
      </w:r>
      <w:r>
        <w:rPr>
          <w:rFonts w:ascii="Times New Roman" w:hAnsi="Times New Roman"/>
          <w:noProof/>
          <w:sz w:val="20"/>
          <w:szCs w:val="20"/>
        </w:rPr>
        <w:t xml:space="preserve">  </w:t>
      </w:r>
      <w:r w:rsidRPr="00B253CE">
        <w:rPr>
          <w:rFonts w:ascii="Times New Roman" w:hAnsi="Times New Roman"/>
          <w:noProof/>
          <w:sz w:val="20"/>
          <w:szCs w:val="20"/>
        </w:rPr>
        <w:t xml:space="preserve">XRD patterns </w:t>
      </w:r>
      <w:r w:rsidRPr="00B253CE">
        <w:rPr>
          <w:rFonts w:ascii="Times New Roman" w:eastAsia="MS Mincho" w:hAnsi="Times New Roman"/>
          <w:sz w:val="20"/>
          <w:szCs w:val="20"/>
        </w:rPr>
        <w:t>of</w:t>
      </w:r>
      <w:r w:rsidRPr="00B253CE">
        <w:rPr>
          <w:rFonts w:ascii="Times New Roman" w:hAnsi="Times New Roman"/>
          <w:noProof/>
          <w:sz w:val="20"/>
          <w:szCs w:val="20"/>
        </w:rPr>
        <w:t xml:space="preserve"> TiO</w:t>
      </w:r>
      <w:r w:rsidRPr="00B253CE">
        <w:rPr>
          <w:rFonts w:ascii="Times New Roman" w:hAnsi="Times New Roman"/>
          <w:noProof/>
          <w:sz w:val="20"/>
          <w:szCs w:val="20"/>
          <w:vertAlign w:val="subscript"/>
        </w:rPr>
        <w:t>2</w:t>
      </w:r>
      <w:r w:rsidRPr="00B253CE">
        <w:rPr>
          <w:rFonts w:ascii="Times New Roman" w:hAnsi="Times New Roman"/>
          <w:noProof/>
          <w:sz w:val="20"/>
          <w:szCs w:val="20"/>
        </w:rPr>
        <w:t xml:space="preserve">, Cu, </w:t>
      </w:r>
      <w:r w:rsidRPr="00B253CE">
        <w:rPr>
          <w:rFonts w:ascii="Times New Roman" w:hAnsi="Times New Roman"/>
          <w:sz w:val="20"/>
          <w:szCs w:val="20"/>
        </w:rPr>
        <w:t>10Cu1Fe</w:t>
      </w:r>
      <w:r w:rsidRPr="00B253CE">
        <w:rPr>
          <w:rFonts w:ascii="Times New Roman" w:hAnsi="Times New Roman"/>
          <w:noProof/>
          <w:sz w:val="20"/>
          <w:szCs w:val="20"/>
        </w:rPr>
        <w:t>,</w:t>
      </w:r>
      <w:r w:rsidRPr="00B253CE">
        <w:rPr>
          <w:rFonts w:ascii="Times New Roman" w:hAnsi="Times New Roman"/>
          <w:sz w:val="20"/>
          <w:szCs w:val="20"/>
        </w:rPr>
        <w:t xml:space="preserve"> 9Cu2Fe</w:t>
      </w:r>
      <w:r w:rsidRPr="00B253CE">
        <w:rPr>
          <w:rFonts w:ascii="Times New Roman" w:hAnsi="Times New Roman"/>
          <w:noProof/>
          <w:sz w:val="20"/>
          <w:szCs w:val="20"/>
        </w:rPr>
        <w:t>,</w:t>
      </w:r>
      <w:r w:rsidRPr="00B253CE">
        <w:rPr>
          <w:rFonts w:ascii="Times New Roman" w:hAnsi="Times New Roman"/>
          <w:sz w:val="20"/>
          <w:szCs w:val="20"/>
        </w:rPr>
        <w:t xml:space="preserve"> 8Cu3Fe</w:t>
      </w:r>
      <w:r w:rsidRPr="00B253CE">
        <w:rPr>
          <w:rFonts w:ascii="Times New Roman" w:hAnsi="Times New Roman"/>
          <w:noProof/>
          <w:sz w:val="20"/>
          <w:szCs w:val="20"/>
        </w:rPr>
        <w:t xml:space="preserve"> and Fe</w:t>
      </w:r>
    </w:p>
    <w:p w:rsidR="007737B0" w:rsidRPr="00B253CE" w:rsidRDefault="007737B0" w:rsidP="007737B0">
      <w:pPr>
        <w:spacing w:after="0" w:line="240" w:lineRule="auto"/>
        <w:jc w:val="both"/>
        <w:rPr>
          <w:rFonts w:ascii="Times New Roman" w:hAnsi="Times New Roman"/>
          <w:sz w:val="20"/>
          <w:szCs w:val="20"/>
        </w:rPr>
      </w:pPr>
      <w:r w:rsidRPr="00B253CE">
        <w:rPr>
          <w:rFonts w:ascii="Times New Roman" w:hAnsi="Times New Roman"/>
          <w:noProof/>
          <w:sz w:val="20"/>
          <w:szCs w:val="20"/>
        </w:rPr>
        <w:lastRenderedPageBreak/>
        <w:t>The dominant peak at 25.3° (101) was used to estimate the crystallite size of the photocatalyst using Debye Scherrer's equation</w:t>
      </w:r>
      <w:r w:rsidRPr="00B253CE">
        <w:rPr>
          <w:rFonts w:ascii="Times New Roman" w:hAnsi="Times New Roman"/>
          <w:sz w:val="20"/>
          <w:szCs w:val="20"/>
        </w:rPr>
        <w:t xml:space="preserve"> </w:t>
      </w:r>
      <w:r w:rsidRPr="00B253CE">
        <w:rPr>
          <w:rFonts w:ascii="Times New Roman" w:hAnsi="Times New Roman"/>
          <w:noProof/>
          <w:sz w:val="20"/>
          <w:szCs w:val="20"/>
        </w:rPr>
        <w:t>[32].</w:t>
      </w:r>
      <w:r w:rsidRPr="00B253CE">
        <w:rPr>
          <w:rFonts w:ascii="Times New Roman" w:hAnsi="Times New Roman"/>
          <w:sz w:val="20"/>
          <w:szCs w:val="20"/>
        </w:rPr>
        <w:t xml:space="preserve"> The average crystallite sizes for the photocatalysts are listed in Table 1. </w:t>
      </w:r>
      <w:r w:rsidRPr="00B253CE">
        <w:rPr>
          <w:rFonts w:ascii="Times New Roman" w:eastAsia="Calibri" w:hAnsi="Times New Roman"/>
          <w:sz w:val="20"/>
          <w:szCs w:val="20"/>
        </w:rPr>
        <w:t>The estimated crystallite size for TiO</w:t>
      </w:r>
      <w:r w:rsidRPr="00B253CE">
        <w:rPr>
          <w:rFonts w:ascii="Times New Roman" w:eastAsia="Calibri" w:hAnsi="Times New Roman"/>
          <w:sz w:val="20"/>
          <w:szCs w:val="20"/>
          <w:vertAlign w:val="subscript"/>
        </w:rPr>
        <w:t>2</w:t>
      </w:r>
      <w:r w:rsidRPr="00B253CE">
        <w:rPr>
          <w:rFonts w:ascii="Times New Roman" w:eastAsia="Calibri" w:hAnsi="Times New Roman"/>
          <w:sz w:val="20"/>
          <w:szCs w:val="20"/>
        </w:rPr>
        <w:t xml:space="preserve"> was 11.50 nm. </w:t>
      </w:r>
      <w:r w:rsidRPr="00B253CE">
        <w:rPr>
          <w:rFonts w:ascii="Times New Roman" w:hAnsi="Times New Roman"/>
          <w:noProof/>
          <w:sz w:val="20"/>
          <w:szCs w:val="20"/>
        </w:rPr>
        <w:t xml:space="preserve">Monometalic Fe showed larger crystallite size compared to monometallic Cu. </w:t>
      </w:r>
      <w:r w:rsidRPr="00B253CE">
        <w:rPr>
          <w:rFonts w:ascii="Times New Roman" w:eastAsia="Calibri" w:hAnsi="Times New Roman"/>
          <w:sz w:val="20"/>
          <w:szCs w:val="20"/>
        </w:rPr>
        <w:t xml:space="preserve">For the bimetallic photocatalysts, as the composition of </w:t>
      </w:r>
      <w:r w:rsidRPr="00B253CE">
        <w:rPr>
          <w:rFonts w:ascii="Times New Roman" w:hAnsi="Times New Roman"/>
          <w:noProof/>
          <w:sz w:val="20"/>
          <w:szCs w:val="20"/>
        </w:rPr>
        <w:t>Cu decreased, the average crystallite size also showed a decreasing trend. Higher Fe content led to smaller crystallite size in the bimetallic system. Incorporating both Cu and Fe metals decreases the crystallite size compared to single doping. This could be caused by restrained grain growth in the presence of both Cu and Fe, which in turn led to smaller crystallite size at certain mass composition. Similar trend was reported by Kim and Kang [33] where incorporation of both Cu and Ag produced smaller crystallites compared to single doped photocatalyst.</w:t>
      </w:r>
    </w:p>
    <w:p w:rsidR="00B253CE" w:rsidRPr="00B253CE" w:rsidRDefault="00B253CE" w:rsidP="00B253CE">
      <w:pPr>
        <w:spacing w:after="0" w:line="240" w:lineRule="auto"/>
        <w:jc w:val="both"/>
        <w:rPr>
          <w:rFonts w:ascii="Times New Roman" w:hAnsi="Times New Roman"/>
          <w:sz w:val="20"/>
          <w:szCs w:val="20"/>
        </w:rPr>
      </w:pPr>
    </w:p>
    <w:p w:rsidR="00B253CE" w:rsidRPr="00B253CE" w:rsidRDefault="00B253CE" w:rsidP="00B253CE">
      <w:pPr>
        <w:tabs>
          <w:tab w:val="center" w:pos="4320"/>
        </w:tabs>
        <w:spacing w:after="120" w:line="240" w:lineRule="auto"/>
        <w:jc w:val="center"/>
        <w:rPr>
          <w:rFonts w:ascii="Times New Roman" w:eastAsia="MS Mincho" w:hAnsi="Times New Roman"/>
          <w:sz w:val="20"/>
          <w:szCs w:val="20"/>
        </w:rPr>
      </w:pPr>
      <w:r w:rsidRPr="00B253CE">
        <w:rPr>
          <w:rFonts w:ascii="Times New Roman" w:hAnsi="Times New Roman"/>
          <w:noProof/>
          <w:sz w:val="20"/>
          <w:szCs w:val="20"/>
        </w:rPr>
        <w:t>Table 1.</w:t>
      </w:r>
      <w:r w:rsidR="007737B0">
        <w:rPr>
          <w:rFonts w:ascii="Times New Roman" w:hAnsi="Times New Roman"/>
          <w:noProof/>
          <w:sz w:val="20"/>
          <w:szCs w:val="20"/>
        </w:rPr>
        <w:t xml:space="preserve">  </w:t>
      </w:r>
      <w:r w:rsidRPr="00B253CE">
        <w:rPr>
          <w:rFonts w:ascii="Times New Roman" w:hAnsi="Times New Roman"/>
          <w:noProof/>
          <w:sz w:val="20"/>
          <w:szCs w:val="20"/>
        </w:rPr>
        <w:t xml:space="preserve">Crystallite and particle sizes of </w:t>
      </w:r>
      <w:r w:rsidRPr="00B253CE">
        <w:rPr>
          <w:rFonts w:ascii="Times New Roman" w:eastAsia="MS Mincho" w:hAnsi="Times New Roman"/>
          <w:sz w:val="20"/>
          <w:szCs w:val="20"/>
        </w:rPr>
        <w:t>photocatalysts from different analysis methods</w:t>
      </w:r>
    </w:p>
    <w:tbl>
      <w:tblPr>
        <w:tblStyle w:val="TableGrid1"/>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0"/>
        <w:gridCol w:w="2732"/>
        <w:gridCol w:w="1316"/>
        <w:gridCol w:w="1316"/>
      </w:tblGrid>
      <w:tr w:rsidR="00B253CE" w:rsidRPr="00B253CE" w:rsidTr="007A3355">
        <w:trPr>
          <w:trHeight w:val="268"/>
          <w:jc w:val="center"/>
        </w:trPr>
        <w:tc>
          <w:tcPr>
            <w:tcW w:w="0" w:type="auto"/>
            <w:vMerge w:val="restart"/>
            <w:tcBorders>
              <w:top w:val="single" w:sz="4" w:space="0" w:color="auto"/>
              <w:right w:val="nil"/>
            </w:tcBorders>
            <w:vAlign w:val="center"/>
          </w:tcPr>
          <w:p w:rsidR="00B253CE" w:rsidRPr="00B253CE" w:rsidRDefault="00B253CE" w:rsidP="00B253CE">
            <w:pPr>
              <w:spacing w:after="0" w:line="240" w:lineRule="auto"/>
              <w:rPr>
                <w:rFonts w:ascii="Times New Roman" w:hAnsi="Times New Roman" w:cs="Times New Roman"/>
                <w:b/>
                <w:bCs/>
                <w:sz w:val="20"/>
                <w:szCs w:val="20"/>
              </w:rPr>
            </w:pPr>
            <w:r w:rsidRPr="00B253CE">
              <w:rPr>
                <w:rFonts w:ascii="Times New Roman" w:hAnsi="Times New Roman" w:cs="Times New Roman"/>
                <w:b/>
                <w:bCs/>
                <w:sz w:val="20"/>
                <w:szCs w:val="20"/>
              </w:rPr>
              <w:t>Sample</w:t>
            </w:r>
          </w:p>
        </w:tc>
        <w:tc>
          <w:tcPr>
            <w:tcW w:w="0" w:type="auto"/>
            <w:tcBorders>
              <w:top w:val="single" w:sz="4" w:space="0" w:color="auto"/>
              <w:left w:val="nil"/>
              <w:bottom w:val="nil"/>
              <w:right w:val="nil"/>
            </w:tcBorders>
          </w:tcPr>
          <w:p w:rsidR="00B253CE" w:rsidRPr="00B253CE" w:rsidRDefault="00B253CE" w:rsidP="00B253CE">
            <w:pPr>
              <w:spacing w:before="60" w:after="0" w:line="240" w:lineRule="auto"/>
              <w:jc w:val="center"/>
              <w:rPr>
                <w:rFonts w:ascii="Times New Roman" w:hAnsi="Times New Roman" w:cs="Times New Roman"/>
                <w:b/>
                <w:bCs/>
                <w:sz w:val="20"/>
                <w:szCs w:val="20"/>
              </w:rPr>
            </w:pPr>
            <w:r w:rsidRPr="00B253CE">
              <w:rPr>
                <w:rFonts w:ascii="Times New Roman" w:hAnsi="Times New Roman" w:cs="Times New Roman"/>
                <w:b/>
                <w:bCs/>
                <w:sz w:val="20"/>
                <w:szCs w:val="20"/>
              </w:rPr>
              <w:t>Average Crystallite Size (nm)</w:t>
            </w:r>
          </w:p>
        </w:tc>
        <w:tc>
          <w:tcPr>
            <w:tcW w:w="0" w:type="auto"/>
            <w:gridSpan w:val="2"/>
            <w:tcBorders>
              <w:top w:val="single" w:sz="4" w:space="0" w:color="auto"/>
              <w:left w:val="nil"/>
              <w:bottom w:val="single" w:sz="4" w:space="0" w:color="auto"/>
              <w:right w:val="nil"/>
            </w:tcBorders>
          </w:tcPr>
          <w:p w:rsidR="00B253CE" w:rsidRPr="00B253CE" w:rsidRDefault="00B253CE" w:rsidP="00B253CE">
            <w:pPr>
              <w:spacing w:before="60" w:after="0" w:line="240" w:lineRule="auto"/>
              <w:jc w:val="center"/>
              <w:rPr>
                <w:rFonts w:ascii="Times New Roman" w:hAnsi="Times New Roman" w:cs="Times New Roman"/>
                <w:b/>
                <w:bCs/>
                <w:sz w:val="20"/>
                <w:szCs w:val="20"/>
              </w:rPr>
            </w:pPr>
            <w:r w:rsidRPr="00B253CE">
              <w:rPr>
                <w:rFonts w:ascii="Times New Roman" w:hAnsi="Times New Roman" w:cs="Times New Roman"/>
                <w:b/>
                <w:bCs/>
                <w:sz w:val="20"/>
                <w:szCs w:val="20"/>
              </w:rPr>
              <w:t>Particle Size Range (nm)</w:t>
            </w:r>
          </w:p>
        </w:tc>
      </w:tr>
      <w:tr w:rsidR="00B253CE" w:rsidRPr="00B253CE" w:rsidTr="007A3355">
        <w:trPr>
          <w:trHeight w:val="268"/>
          <w:jc w:val="center"/>
        </w:trPr>
        <w:tc>
          <w:tcPr>
            <w:tcW w:w="0" w:type="auto"/>
            <w:vMerge/>
            <w:tcBorders>
              <w:bottom w:val="single" w:sz="4" w:space="0" w:color="auto"/>
              <w:right w:val="nil"/>
            </w:tcBorders>
          </w:tcPr>
          <w:p w:rsidR="00B253CE" w:rsidRPr="00B253CE" w:rsidRDefault="00B253CE" w:rsidP="00B253CE">
            <w:pPr>
              <w:spacing w:after="0" w:line="240" w:lineRule="auto"/>
              <w:jc w:val="both"/>
              <w:rPr>
                <w:rFonts w:ascii="Times New Roman" w:hAnsi="Times New Roman" w:cs="Times New Roman"/>
                <w:b/>
                <w:bCs/>
                <w:sz w:val="20"/>
                <w:szCs w:val="20"/>
              </w:rPr>
            </w:pPr>
          </w:p>
        </w:tc>
        <w:tc>
          <w:tcPr>
            <w:tcW w:w="0" w:type="auto"/>
            <w:tcBorders>
              <w:top w:val="nil"/>
              <w:left w:val="nil"/>
              <w:bottom w:val="single" w:sz="4" w:space="0" w:color="auto"/>
              <w:right w:val="nil"/>
            </w:tcBorders>
          </w:tcPr>
          <w:p w:rsidR="00B253CE" w:rsidRPr="00B253CE" w:rsidRDefault="00B253CE" w:rsidP="00B253CE">
            <w:pPr>
              <w:spacing w:after="60" w:line="240" w:lineRule="auto"/>
              <w:jc w:val="center"/>
              <w:rPr>
                <w:rFonts w:ascii="Times New Roman" w:hAnsi="Times New Roman" w:cs="Times New Roman"/>
                <w:b/>
                <w:bCs/>
                <w:sz w:val="20"/>
                <w:szCs w:val="20"/>
              </w:rPr>
            </w:pPr>
            <w:r w:rsidRPr="00B253CE">
              <w:rPr>
                <w:rFonts w:ascii="Times New Roman" w:hAnsi="Times New Roman" w:cs="Times New Roman"/>
                <w:b/>
                <w:bCs/>
                <w:sz w:val="20"/>
                <w:szCs w:val="20"/>
              </w:rPr>
              <w:t>XRD</w:t>
            </w:r>
          </w:p>
        </w:tc>
        <w:tc>
          <w:tcPr>
            <w:tcW w:w="0" w:type="auto"/>
            <w:tcBorders>
              <w:top w:val="single" w:sz="4" w:space="0" w:color="auto"/>
              <w:left w:val="nil"/>
              <w:bottom w:val="single" w:sz="4" w:space="0" w:color="auto"/>
              <w:right w:val="nil"/>
            </w:tcBorders>
          </w:tcPr>
          <w:p w:rsidR="00B253CE" w:rsidRPr="00B253CE" w:rsidRDefault="00B253CE" w:rsidP="00B253CE">
            <w:pPr>
              <w:spacing w:after="0" w:line="240" w:lineRule="auto"/>
              <w:jc w:val="center"/>
              <w:rPr>
                <w:rFonts w:ascii="Times New Roman" w:hAnsi="Times New Roman" w:cs="Times New Roman"/>
                <w:b/>
                <w:bCs/>
                <w:sz w:val="20"/>
                <w:szCs w:val="20"/>
              </w:rPr>
            </w:pPr>
            <w:r w:rsidRPr="00B253CE">
              <w:rPr>
                <w:rFonts w:ascii="Times New Roman" w:hAnsi="Times New Roman" w:cs="Times New Roman"/>
                <w:b/>
                <w:bCs/>
                <w:sz w:val="20"/>
                <w:szCs w:val="20"/>
              </w:rPr>
              <w:t>FESEM</w:t>
            </w:r>
          </w:p>
        </w:tc>
        <w:tc>
          <w:tcPr>
            <w:tcW w:w="0" w:type="auto"/>
            <w:tcBorders>
              <w:top w:val="single" w:sz="4" w:space="0" w:color="auto"/>
              <w:left w:val="nil"/>
              <w:bottom w:val="single" w:sz="4" w:space="0" w:color="auto"/>
              <w:right w:val="nil"/>
            </w:tcBorders>
          </w:tcPr>
          <w:p w:rsidR="00B253CE" w:rsidRPr="00B253CE" w:rsidRDefault="00B253CE" w:rsidP="00B253CE">
            <w:pPr>
              <w:spacing w:after="0" w:line="240" w:lineRule="auto"/>
              <w:jc w:val="center"/>
              <w:rPr>
                <w:rFonts w:ascii="Times New Roman" w:hAnsi="Times New Roman" w:cs="Times New Roman"/>
                <w:b/>
                <w:bCs/>
                <w:sz w:val="20"/>
                <w:szCs w:val="20"/>
              </w:rPr>
            </w:pPr>
            <w:r w:rsidRPr="00B253CE">
              <w:rPr>
                <w:rFonts w:ascii="Times New Roman" w:hAnsi="Times New Roman" w:cs="Times New Roman"/>
                <w:b/>
                <w:bCs/>
                <w:sz w:val="20"/>
                <w:szCs w:val="20"/>
              </w:rPr>
              <w:t>HRTEM</w:t>
            </w:r>
          </w:p>
        </w:tc>
      </w:tr>
      <w:tr w:rsidR="00B253CE" w:rsidRPr="00B253CE" w:rsidTr="007A3355">
        <w:trPr>
          <w:jc w:val="center"/>
        </w:trPr>
        <w:tc>
          <w:tcPr>
            <w:tcW w:w="0" w:type="auto"/>
            <w:tcBorders>
              <w:top w:val="single" w:sz="4" w:space="0" w:color="auto"/>
              <w:bottom w:val="nil"/>
            </w:tcBorders>
          </w:tcPr>
          <w:p w:rsidR="00B253CE" w:rsidRPr="00B253CE" w:rsidRDefault="00B253CE" w:rsidP="00B253CE">
            <w:pPr>
              <w:spacing w:before="60" w:after="0" w:line="240" w:lineRule="auto"/>
              <w:rPr>
                <w:rFonts w:ascii="Times New Roman" w:hAnsi="Times New Roman" w:cs="Times New Roman"/>
                <w:sz w:val="20"/>
                <w:szCs w:val="20"/>
              </w:rPr>
            </w:pPr>
            <w:r w:rsidRPr="00B253CE">
              <w:rPr>
                <w:rFonts w:ascii="Times New Roman" w:hAnsi="Times New Roman" w:cs="Times New Roman"/>
                <w:sz w:val="20"/>
                <w:szCs w:val="20"/>
              </w:rPr>
              <w:t>TiO</w:t>
            </w:r>
            <w:r w:rsidRPr="00B253CE">
              <w:rPr>
                <w:rFonts w:ascii="Times New Roman" w:hAnsi="Times New Roman" w:cs="Times New Roman"/>
                <w:sz w:val="20"/>
                <w:szCs w:val="20"/>
                <w:vertAlign w:val="subscript"/>
              </w:rPr>
              <w:t>2</w:t>
            </w:r>
          </w:p>
        </w:tc>
        <w:tc>
          <w:tcPr>
            <w:tcW w:w="0" w:type="auto"/>
            <w:tcBorders>
              <w:top w:val="single" w:sz="4" w:space="0" w:color="auto"/>
              <w:bottom w:val="nil"/>
            </w:tcBorders>
          </w:tcPr>
          <w:p w:rsidR="00B253CE" w:rsidRPr="00B253CE" w:rsidRDefault="00B253CE" w:rsidP="00B253CE">
            <w:pPr>
              <w:spacing w:before="60" w:after="0" w:line="240" w:lineRule="auto"/>
              <w:jc w:val="center"/>
              <w:rPr>
                <w:rFonts w:ascii="Times New Roman" w:hAnsi="Times New Roman" w:cs="Times New Roman"/>
                <w:sz w:val="20"/>
                <w:szCs w:val="20"/>
              </w:rPr>
            </w:pPr>
            <w:r w:rsidRPr="00B253CE">
              <w:rPr>
                <w:rFonts w:ascii="Times New Roman" w:hAnsi="Times New Roman" w:cs="Times New Roman"/>
                <w:sz w:val="20"/>
                <w:szCs w:val="20"/>
              </w:rPr>
              <w:t>11.50</w:t>
            </w:r>
          </w:p>
        </w:tc>
        <w:tc>
          <w:tcPr>
            <w:tcW w:w="0" w:type="auto"/>
            <w:tcBorders>
              <w:top w:val="single" w:sz="4" w:space="0" w:color="auto"/>
              <w:bottom w:val="nil"/>
            </w:tcBorders>
          </w:tcPr>
          <w:p w:rsidR="00B253CE" w:rsidRPr="00B253CE" w:rsidRDefault="00B253CE" w:rsidP="00B253CE">
            <w:pPr>
              <w:spacing w:before="60" w:after="0" w:line="240" w:lineRule="auto"/>
              <w:jc w:val="center"/>
              <w:rPr>
                <w:rFonts w:ascii="Times New Roman" w:hAnsi="Times New Roman" w:cs="Times New Roman"/>
                <w:sz w:val="20"/>
                <w:szCs w:val="20"/>
              </w:rPr>
            </w:pPr>
            <w:r w:rsidRPr="00B253CE">
              <w:rPr>
                <w:rFonts w:ascii="Times New Roman" w:hAnsi="Times New Roman" w:cs="Times New Roman"/>
                <w:sz w:val="20"/>
                <w:szCs w:val="20"/>
              </w:rPr>
              <w:t>10.39 – 15.79</w:t>
            </w:r>
          </w:p>
        </w:tc>
        <w:tc>
          <w:tcPr>
            <w:tcW w:w="0" w:type="auto"/>
            <w:tcBorders>
              <w:top w:val="single" w:sz="4" w:space="0" w:color="auto"/>
              <w:bottom w:val="nil"/>
            </w:tcBorders>
          </w:tcPr>
          <w:p w:rsidR="00B253CE" w:rsidRPr="00B253CE" w:rsidRDefault="00B253CE" w:rsidP="00B253CE">
            <w:pPr>
              <w:spacing w:before="60" w:after="0" w:line="240" w:lineRule="auto"/>
              <w:jc w:val="center"/>
              <w:rPr>
                <w:rFonts w:ascii="Times New Roman" w:hAnsi="Times New Roman" w:cs="Times New Roman"/>
                <w:sz w:val="20"/>
                <w:szCs w:val="20"/>
              </w:rPr>
            </w:pPr>
            <w:r w:rsidRPr="00B253CE">
              <w:rPr>
                <w:rFonts w:ascii="Times New Roman" w:hAnsi="Times New Roman" w:cs="Times New Roman"/>
                <w:sz w:val="20"/>
                <w:szCs w:val="20"/>
              </w:rPr>
              <w:t>10.88 – 16.24</w:t>
            </w:r>
          </w:p>
        </w:tc>
      </w:tr>
      <w:tr w:rsidR="00B253CE" w:rsidRPr="00B253CE" w:rsidTr="007A3355">
        <w:trPr>
          <w:jc w:val="center"/>
        </w:trPr>
        <w:tc>
          <w:tcPr>
            <w:tcW w:w="0" w:type="auto"/>
            <w:tcBorders>
              <w:top w:val="nil"/>
              <w:bottom w:val="nil"/>
            </w:tcBorders>
          </w:tcPr>
          <w:p w:rsidR="00B253CE" w:rsidRPr="00B253CE" w:rsidRDefault="00B253CE" w:rsidP="00B253CE">
            <w:pPr>
              <w:spacing w:before="60" w:after="0" w:line="240" w:lineRule="auto"/>
              <w:rPr>
                <w:rFonts w:ascii="Times New Roman" w:hAnsi="Times New Roman" w:cs="Times New Roman"/>
                <w:sz w:val="20"/>
                <w:szCs w:val="20"/>
                <w:vertAlign w:val="subscript"/>
                <w:lang w:val="en-US"/>
              </w:rPr>
            </w:pPr>
            <w:r w:rsidRPr="00B253CE">
              <w:rPr>
                <w:rFonts w:ascii="Times New Roman" w:hAnsi="Times New Roman" w:cs="Times New Roman"/>
                <w:sz w:val="20"/>
                <w:szCs w:val="20"/>
                <w:lang w:val="en-US"/>
              </w:rPr>
              <w:t>Cu</w:t>
            </w:r>
          </w:p>
        </w:tc>
        <w:tc>
          <w:tcPr>
            <w:tcW w:w="0" w:type="auto"/>
            <w:tcBorders>
              <w:top w:val="nil"/>
              <w:bottom w:val="nil"/>
            </w:tcBorders>
          </w:tcPr>
          <w:p w:rsidR="00B253CE" w:rsidRPr="00B253CE" w:rsidRDefault="00B253CE" w:rsidP="00B253CE">
            <w:pPr>
              <w:spacing w:before="60" w:after="0" w:line="240" w:lineRule="auto"/>
              <w:jc w:val="center"/>
              <w:rPr>
                <w:rFonts w:ascii="Times New Roman" w:hAnsi="Times New Roman" w:cs="Times New Roman"/>
                <w:sz w:val="20"/>
                <w:szCs w:val="20"/>
              </w:rPr>
            </w:pPr>
            <w:r w:rsidRPr="00B253CE">
              <w:rPr>
                <w:rFonts w:ascii="Times New Roman" w:hAnsi="Times New Roman" w:cs="Times New Roman"/>
                <w:sz w:val="20"/>
                <w:szCs w:val="20"/>
              </w:rPr>
              <w:t>18.22</w:t>
            </w:r>
          </w:p>
        </w:tc>
        <w:tc>
          <w:tcPr>
            <w:tcW w:w="0" w:type="auto"/>
            <w:tcBorders>
              <w:top w:val="nil"/>
              <w:bottom w:val="nil"/>
            </w:tcBorders>
          </w:tcPr>
          <w:p w:rsidR="00B253CE" w:rsidRPr="00B253CE" w:rsidRDefault="00B253CE" w:rsidP="00B253CE">
            <w:pPr>
              <w:spacing w:before="60" w:after="0" w:line="240" w:lineRule="auto"/>
              <w:jc w:val="center"/>
              <w:rPr>
                <w:rFonts w:ascii="Times New Roman" w:hAnsi="Times New Roman" w:cs="Times New Roman"/>
                <w:sz w:val="20"/>
                <w:szCs w:val="20"/>
              </w:rPr>
            </w:pPr>
            <w:r w:rsidRPr="00B253CE">
              <w:rPr>
                <w:rFonts w:ascii="Times New Roman" w:hAnsi="Times New Roman" w:cs="Times New Roman"/>
                <w:sz w:val="20"/>
                <w:szCs w:val="20"/>
              </w:rPr>
              <w:t>17.78 – 19.04</w:t>
            </w:r>
          </w:p>
        </w:tc>
        <w:tc>
          <w:tcPr>
            <w:tcW w:w="0" w:type="auto"/>
            <w:tcBorders>
              <w:top w:val="nil"/>
              <w:bottom w:val="nil"/>
            </w:tcBorders>
          </w:tcPr>
          <w:p w:rsidR="00B253CE" w:rsidRPr="00B253CE" w:rsidRDefault="00B253CE" w:rsidP="00B253CE">
            <w:pPr>
              <w:spacing w:before="60" w:after="0" w:line="240" w:lineRule="auto"/>
              <w:jc w:val="center"/>
              <w:rPr>
                <w:rFonts w:ascii="Times New Roman" w:hAnsi="Times New Roman" w:cs="Times New Roman"/>
                <w:sz w:val="20"/>
                <w:szCs w:val="20"/>
              </w:rPr>
            </w:pPr>
            <w:r w:rsidRPr="00B253CE">
              <w:rPr>
                <w:rFonts w:ascii="Times New Roman" w:hAnsi="Times New Roman" w:cs="Times New Roman"/>
                <w:sz w:val="20"/>
                <w:szCs w:val="20"/>
              </w:rPr>
              <w:t>18.03 – 26.11</w:t>
            </w:r>
          </w:p>
        </w:tc>
      </w:tr>
      <w:tr w:rsidR="00B253CE" w:rsidRPr="00B253CE" w:rsidTr="007A3355">
        <w:trPr>
          <w:jc w:val="center"/>
        </w:trPr>
        <w:tc>
          <w:tcPr>
            <w:tcW w:w="0" w:type="auto"/>
            <w:tcBorders>
              <w:top w:val="nil"/>
            </w:tcBorders>
          </w:tcPr>
          <w:p w:rsidR="00B253CE" w:rsidRPr="00B253CE" w:rsidRDefault="00B253CE" w:rsidP="00B253CE">
            <w:pPr>
              <w:spacing w:before="60" w:after="0" w:line="240" w:lineRule="auto"/>
              <w:rPr>
                <w:rFonts w:ascii="Times New Roman" w:hAnsi="Times New Roman" w:cs="Times New Roman"/>
                <w:sz w:val="20"/>
                <w:szCs w:val="20"/>
                <w:lang w:val="en-US"/>
              </w:rPr>
            </w:pPr>
            <w:r w:rsidRPr="00B253CE">
              <w:rPr>
                <w:rFonts w:ascii="Times New Roman" w:hAnsi="Times New Roman" w:cs="Times New Roman"/>
                <w:sz w:val="20"/>
                <w:szCs w:val="20"/>
                <w:lang w:val="en-US"/>
              </w:rPr>
              <w:t>10Cu1Fe</w:t>
            </w:r>
          </w:p>
        </w:tc>
        <w:tc>
          <w:tcPr>
            <w:tcW w:w="0" w:type="auto"/>
            <w:tcBorders>
              <w:top w:val="nil"/>
            </w:tcBorders>
          </w:tcPr>
          <w:p w:rsidR="00B253CE" w:rsidRPr="00B253CE" w:rsidRDefault="00B253CE" w:rsidP="00B253CE">
            <w:pPr>
              <w:spacing w:before="60" w:after="0" w:line="240" w:lineRule="auto"/>
              <w:jc w:val="center"/>
              <w:rPr>
                <w:rFonts w:ascii="Times New Roman" w:hAnsi="Times New Roman" w:cs="Times New Roman"/>
                <w:sz w:val="20"/>
                <w:szCs w:val="20"/>
              </w:rPr>
            </w:pPr>
            <w:r w:rsidRPr="00B253CE">
              <w:rPr>
                <w:rFonts w:ascii="Times New Roman" w:hAnsi="Times New Roman" w:cs="Times New Roman"/>
                <w:sz w:val="20"/>
                <w:szCs w:val="20"/>
              </w:rPr>
              <w:t>17.42</w:t>
            </w:r>
          </w:p>
        </w:tc>
        <w:tc>
          <w:tcPr>
            <w:tcW w:w="0" w:type="auto"/>
            <w:tcBorders>
              <w:top w:val="nil"/>
            </w:tcBorders>
          </w:tcPr>
          <w:p w:rsidR="00B253CE" w:rsidRPr="00B253CE" w:rsidRDefault="00B253CE" w:rsidP="00B253CE">
            <w:pPr>
              <w:spacing w:before="60" w:after="0" w:line="240" w:lineRule="auto"/>
              <w:jc w:val="center"/>
              <w:rPr>
                <w:rFonts w:ascii="Times New Roman" w:hAnsi="Times New Roman" w:cs="Times New Roman"/>
                <w:sz w:val="20"/>
                <w:szCs w:val="20"/>
              </w:rPr>
            </w:pPr>
            <w:r w:rsidRPr="00B253CE">
              <w:rPr>
                <w:rFonts w:ascii="Times New Roman" w:hAnsi="Times New Roman" w:cs="Times New Roman"/>
                <w:sz w:val="20"/>
                <w:szCs w:val="20"/>
              </w:rPr>
              <w:t>17.34 – 17.61</w:t>
            </w:r>
          </w:p>
        </w:tc>
        <w:tc>
          <w:tcPr>
            <w:tcW w:w="0" w:type="auto"/>
            <w:tcBorders>
              <w:top w:val="nil"/>
            </w:tcBorders>
          </w:tcPr>
          <w:p w:rsidR="00B253CE" w:rsidRPr="00B253CE" w:rsidRDefault="00B253CE" w:rsidP="00B253CE">
            <w:pPr>
              <w:spacing w:before="60" w:after="0" w:line="240" w:lineRule="auto"/>
              <w:jc w:val="center"/>
              <w:rPr>
                <w:rFonts w:ascii="Times New Roman" w:hAnsi="Times New Roman" w:cs="Times New Roman"/>
                <w:sz w:val="20"/>
                <w:szCs w:val="20"/>
              </w:rPr>
            </w:pPr>
            <w:r w:rsidRPr="00B253CE">
              <w:rPr>
                <w:rFonts w:ascii="Times New Roman" w:hAnsi="Times New Roman" w:cs="Times New Roman"/>
                <w:sz w:val="20"/>
                <w:szCs w:val="20"/>
              </w:rPr>
              <w:t>13.51 – 20.67</w:t>
            </w:r>
          </w:p>
        </w:tc>
      </w:tr>
      <w:tr w:rsidR="00B253CE" w:rsidRPr="00B253CE" w:rsidTr="007A3355">
        <w:trPr>
          <w:jc w:val="center"/>
        </w:trPr>
        <w:tc>
          <w:tcPr>
            <w:tcW w:w="0" w:type="auto"/>
          </w:tcPr>
          <w:p w:rsidR="00B253CE" w:rsidRPr="00B253CE" w:rsidRDefault="00B253CE" w:rsidP="00B253CE">
            <w:pPr>
              <w:spacing w:before="60" w:after="0" w:line="240" w:lineRule="auto"/>
              <w:rPr>
                <w:rFonts w:ascii="Times New Roman" w:hAnsi="Times New Roman" w:cs="Times New Roman"/>
                <w:sz w:val="20"/>
                <w:szCs w:val="20"/>
                <w:lang w:val="en-US"/>
              </w:rPr>
            </w:pPr>
            <w:r w:rsidRPr="00B253CE">
              <w:rPr>
                <w:rFonts w:ascii="Times New Roman" w:hAnsi="Times New Roman" w:cs="Times New Roman"/>
                <w:sz w:val="20"/>
                <w:szCs w:val="20"/>
                <w:lang w:val="en-US"/>
              </w:rPr>
              <w:t>9Cu2Fe</w:t>
            </w:r>
          </w:p>
        </w:tc>
        <w:tc>
          <w:tcPr>
            <w:tcW w:w="0" w:type="auto"/>
          </w:tcPr>
          <w:p w:rsidR="00B253CE" w:rsidRPr="00B253CE" w:rsidRDefault="00B253CE" w:rsidP="00B253CE">
            <w:pPr>
              <w:spacing w:before="60" w:after="0" w:line="240" w:lineRule="auto"/>
              <w:jc w:val="center"/>
              <w:rPr>
                <w:rFonts w:ascii="Times New Roman" w:hAnsi="Times New Roman" w:cs="Times New Roman"/>
                <w:sz w:val="20"/>
                <w:szCs w:val="20"/>
              </w:rPr>
            </w:pPr>
            <w:r w:rsidRPr="00B253CE">
              <w:rPr>
                <w:rFonts w:ascii="Times New Roman" w:hAnsi="Times New Roman" w:cs="Times New Roman"/>
                <w:sz w:val="20"/>
                <w:szCs w:val="20"/>
              </w:rPr>
              <w:t>17.34</w:t>
            </w:r>
          </w:p>
        </w:tc>
        <w:tc>
          <w:tcPr>
            <w:tcW w:w="0" w:type="auto"/>
          </w:tcPr>
          <w:p w:rsidR="00B253CE" w:rsidRPr="00B253CE" w:rsidRDefault="00B253CE" w:rsidP="00B253CE">
            <w:pPr>
              <w:spacing w:before="60" w:after="0" w:line="240" w:lineRule="auto"/>
              <w:jc w:val="center"/>
              <w:rPr>
                <w:rFonts w:ascii="Times New Roman" w:hAnsi="Times New Roman" w:cs="Times New Roman"/>
                <w:sz w:val="20"/>
                <w:szCs w:val="20"/>
              </w:rPr>
            </w:pPr>
            <w:r w:rsidRPr="00B253CE">
              <w:rPr>
                <w:rFonts w:ascii="Times New Roman" w:hAnsi="Times New Roman" w:cs="Times New Roman"/>
                <w:sz w:val="20"/>
                <w:szCs w:val="20"/>
              </w:rPr>
              <w:t>17.21 – 17.58</w:t>
            </w:r>
          </w:p>
        </w:tc>
        <w:tc>
          <w:tcPr>
            <w:tcW w:w="0" w:type="auto"/>
          </w:tcPr>
          <w:p w:rsidR="00B253CE" w:rsidRPr="00B253CE" w:rsidRDefault="00B253CE" w:rsidP="00B253CE">
            <w:pPr>
              <w:spacing w:before="60" w:after="0" w:line="240" w:lineRule="auto"/>
              <w:jc w:val="center"/>
              <w:rPr>
                <w:rFonts w:ascii="Times New Roman" w:hAnsi="Times New Roman" w:cs="Times New Roman"/>
                <w:sz w:val="20"/>
                <w:szCs w:val="20"/>
              </w:rPr>
            </w:pPr>
            <w:r w:rsidRPr="00B253CE">
              <w:rPr>
                <w:rFonts w:ascii="Times New Roman" w:hAnsi="Times New Roman" w:cs="Times New Roman"/>
                <w:sz w:val="20"/>
                <w:szCs w:val="20"/>
              </w:rPr>
              <w:t>12.92 – 21.01</w:t>
            </w:r>
          </w:p>
        </w:tc>
      </w:tr>
      <w:tr w:rsidR="00B253CE" w:rsidRPr="00B253CE" w:rsidTr="007A3355">
        <w:trPr>
          <w:trHeight w:val="270"/>
          <w:jc w:val="center"/>
        </w:trPr>
        <w:tc>
          <w:tcPr>
            <w:tcW w:w="0" w:type="auto"/>
            <w:tcBorders>
              <w:bottom w:val="nil"/>
            </w:tcBorders>
          </w:tcPr>
          <w:p w:rsidR="00B253CE" w:rsidRPr="00B253CE" w:rsidRDefault="00B253CE" w:rsidP="00B253CE">
            <w:pPr>
              <w:spacing w:before="60" w:after="0" w:line="240" w:lineRule="auto"/>
              <w:rPr>
                <w:rFonts w:ascii="Times New Roman" w:hAnsi="Times New Roman" w:cs="Times New Roman"/>
                <w:sz w:val="20"/>
                <w:szCs w:val="20"/>
                <w:lang w:val="en-US"/>
              </w:rPr>
            </w:pPr>
            <w:r w:rsidRPr="00B253CE">
              <w:rPr>
                <w:rFonts w:ascii="Times New Roman" w:hAnsi="Times New Roman" w:cs="Times New Roman"/>
                <w:sz w:val="20"/>
                <w:szCs w:val="20"/>
                <w:lang w:val="en-US"/>
              </w:rPr>
              <w:t>8Cu3Fe</w:t>
            </w:r>
          </w:p>
        </w:tc>
        <w:tc>
          <w:tcPr>
            <w:tcW w:w="0" w:type="auto"/>
            <w:tcBorders>
              <w:bottom w:val="nil"/>
            </w:tcBorders>
          </w:tcPr>
          <w:p w:rsidR="00B253CE" w:rsidRPr="00B253CE" w:rsidRDefault="00B253CE" w:rsidP="00B253CE">
            <w:pPr>
              <w:spacing w:before="60" w:after="0" w:line="240" w:lineRule="auto"/>
              <w:jc w:val="center"/>
              <w:rPr>
                <w:rFonts w:ascii="Times New Roman" w:hAnsi="Times New Roman" w:cs="Times New Roman"/>
                <w:sz w:val="20"/>
                <w:szCs w:val="20"/>
              </w:rPr>
            </w:pPr>
            <w:r w:rsidRPr="00B253CE">
              <w:rPr>
                <w:rFonts w:ascii="Times New Roman" w:hAnsi="Times New Roman" w:cs="Times New Roman"/>
                <w:sz w:val="20"/>
                <w:szCs w:val="20"/>
              </w:rPr>
              <w:t>17.06</w:t>
            </w:r>
          </w:p>
        </w:tc>
        <w:tc>
          <w:tcPr>
            <w:tcW w:w="0" w:type="auto"/>
            <w:tcBorders>
              <w:bottom w:val="nil"/>
            </w:tcBorders>
          </w:tcPr>
          <w:p w:rsidR="00B253CE" w:rsidRPr="00B253CE" w:rsidRDefault="00B253CE" w:rsidP="00B253CE">
            <w:pPr>
              <w:spacing w:before="60" w:after="0" w:line="240" w:lineRule="auto"/>
              <w:jc w:val="center"/>
              <w:rPr>
                <w:rFonts w:ascii="Times New Roman" w:hAnsi="Times New Roman" w:cs="Times New Roman"/>
                <w:sz w:val="20"/>
                <w:szCs w:val="20"/>
              </w:rPr>
            </w:pPr>
            <w:r w:rsidRPr="00B253CE">
              <w:rPr>
                <w:rFonts w:ascii="Times New Roman" w:hAnsi="Times New Roman" w:cs="Times New Roman"/>
                <w:sz w:val="20"/>
                <w:szCs w:val="20"/>
              </w:rPr>
              <w:t>16.92 – 17.12</w:t>
            </w:r>
          </w:p>
        </w:tc>
        <w:tc>
          <w:tcPr>
            <w:tcW w:w="0" w:type="auto"/>
            <w:tcBorders>
              <w:bottom w:val="nil"/>
            </w:tcBorders>
          </w:tcPr>
          <w:p w:rsidR="00B253CE" w:rsidRPr="00B253CE" w:rsidRDefault="00B253CE" w:rsidP="00B253CE">
            <w:pPr>
              <w:spacing w:before="60" w:after="0" w:line="240" w:lineRule="auto"/>
              <w:jc w:val="center"/>
              <w:rPr>
                <w:rFonts w:ascii="Times New Roman" w:hAnsi="Times New Roman" w:cs="Times New Roman"/>
                <w:sz w:val="20"/>
                <w:szCs w:val="20"/>
              </w:rPr>
            </w:pPr>
            <w:r w:rsidRPr="00B253CE">
              <w:rPr>
                <w:rFonts w:ascii="Times New Roman" w:hAnsi="Times New Roman" w:cs="Times New Roman"/>
                <w:sz w:val="20"/>
                <w:szCs w:val="20"/>
              </w:rPr>
              <w:t>13.04 – 19.17</w:t>
            </w:r>
          </w:p>
        </w:tc>
      </w:tr>
      <w:tr w:rsidR="00B253CE" w:rsidRPr="00B253CE" w:rsidTr="007A3355">
        <w:trPr>
          <w:jc w:val="center"/>
        </w:trPr>
        <w:tc>
          <w:tcPr>
            <w:tcW w:w="0" w:type="auto"/>
            <w:tcBorders>
              <w:top w:val="nil"/>
              <w:bottom w:val="single" w:sz="4" w:space="0" w:color="auto"/>
            </w:tcBorders>
          </w:tcPr>
          <w:p w:rsidR="00B253CE" w:rsidRPr="00B253CE" w:rsidRDefault="00B253CE" w:rsidP="00B253CE">
            <w:pPr>
              <w:spacing w:before="60" w:after="60" w:line="240" w:lineRule="auto"/>
              <w:rPr>
                <w:rFonts w:ascii="Times New Roman" w:hAnsi="Times New Roman" w:cs="Times New Roman"/>
                <w:sz w:val="20"/>
                <w:szCs w:val="20"/>
                <w:lang w:val="en-US"/>
              </w:rPr>
            </w:pPr>
            <w:r w:rsidRPr="00B253CE">
              <w:rPr>
                <w:rFonts w:ascii="Times New Roman" w:hAnsi="Times New Roman" w:cs="Times New Roman"/>
                <w:sz w:val="20"/>
                <w:szCs w:val="20"/>
                <w:lang w:val="en-US"/>
              </w:rPr>
              <w:t>Fe</w:t>
            </w:r>
          </w:p>
        </w:tc>
        <w:tc>
          <w:tcPr>
            <w:tcW w:w="0" w:type="auto"/>
            <w:tcBorders>
              <w:top w:val="nil"/>
              <w:bottom w:val="single" w:sz="4" w:space="0" w:color="auto"/>
            </w:tcBorders>
          </w:tcPr>
          <w:p w:rsidR="00B253CE" w:rsidRPr="00B253CE" w:rsidRDefault="00B253CE" w:rsidP="00B253CE">
            <w:pPr>
              <w:spacing w:before="60" w:after="0" w:line="240" w:lineRule="auto"/>
              <w:jc w:val="center"/>
              <w:rPr>
                <w:rFonts w:ascii="Times New Roman" w:hAnsi="Times New Roman" w:cs="Times New Roman"/>
                <w:sz w:val="20"/>
                <w:szCs w:val="20"/>
              </w:rPr>
            </w:pPr>
            <w:r w:rsidRPr="00B253CE">
              <w:rPr>
                <w:rFonts w:ascii="Times New Roman" w:hAnsi="Times New Roman" w:cs="Times New Roman"/>
                <w:sz w:val="20"/>
                <w:szCs w:val="20"/>
              </w:rPr>
              <w:t>19.92</w:t>
            </w:r>
          </w:p>
        </w:tc>
        <w:tc>
          <w:tcPr>
            <w:tcW w:w="0" w:type="auto"/>
            <w:tcBorders>
              <w:top w:val="nil"/>
              <w:bottom w:val="single" w:sz="4" w:space="0" w:color="auto"/>
            </w:tcBorders>
          </w:tcPr>
          <w:p w:rsidR="00B253CE" w:rsidRPr="00B253CE" w:rsidRDefault="00B253CE" w:rsidP="00B253CE">
            <w:pPr>
              <w:spacing w:before="60" w:after="0" w:line="240" w:lineRule="auto"/>
              <w:jc w:val="center"/>
              <w:rPr>
                <w:rFonts w:ascii="Times New Roman" w:hAnsi="Times New Roman" w:cs="Times New Roman"/>
                <w:sz w:val="20"/>
                <w:szCs w:val="20"/>
              </w:rPr>
            </w:pPr>
            <w:r w:rsidRPr="00B253CE">
              <w:rPr>
                <w:rFonts w:ascii="Times New Roman" w:hAnsi="Times New Roman" w:cs="Times New Roman"/>
                <w:sz w:val="20"/>
                <w:szCs w:val="20"/>
              </w:rPr>
              <w:t>19.84 – 20.11</w:t>
            </w:r>
          </w:p>
        </w:tc>
        <w:tc>
          <w:tcPr>
            <w:tcW w:w="0" w:type="auto"/>
            <w:tcBorders>
              <w:top w:val="nil"/>
              <w:bottom w:val="single" w:sz="4" w:space="0" w:color="auto"/>
            </w:tcBorders>
          </w:tcPr>
          <w:p w:rsidR="00B253CE" w:rsidRPr="00B253CE" w:rsidRDefault="00B253CE" w:rsidP="00B253CE">
            <w:pPr>
              <w:spacing w:before="60" w:after="0" w:line="240" w:lineRule="auto"/>
              <w:jc w:val="center"/>
              <w:rPr>
                <w:rFonts w:ascii="Times New Roman" w:hAnsi="Times New Roman" w:cs="Times New Roman"/>
                <w:sz w:val="20"/>
                <w:szCs w:val="20"/>
              </w:rPr>
            </w:pPr>
            <w:r w:rsidRPr="00B253CE">
              <w:rPr>
                <w:rFonts w:ascii="Times New Roman" w:hAnsi="Times New Roman" w:cs="Times New Roman"/>
                <w:sz w:val="20"/>
                <w:szCs w:val="20"/>
              </w:rPr>
              <w:t>11.61 – 22.37</w:t>
            </w:r>
          </w:p>
        </w:tc>
      </w:tr>
    </w:tbl>
    <w:p w:rsidR="007737B0" w:rsidRPr="00B253CE" w:rsidRDefault="007737B0" w:rsidP="00B253CE">
      <w:pPr>
        <w:tabs>
          <w:tab w:val="center" w:pos="-1170"/>
        </w:tabs>
        <w:spacing w:before="60" w:after="0" w:line="240" w:lineRule="auto"/>
        <w:jc w:val="both"/>
        <w:rPr>
          <w:rFonts w:ascii="Times New Roman" w:hAnsi="Times New Roman"/>
          <w:noProof/>
          <w:sz w:val="20"/>
          <w:szCs w:val="20"/>
        </w:rPr>
      </w:pPr>
    </w:p>
    <w:p w:rsidR="007737B0" w:rsidRPr="00B253CE" w:rsidRDefault="007737B0" w:rsidP="007737B0">
      <w:pPr>
        <w:tabs>
          <w:tab w:val="center" w:pos="-1170"/>
        </w:tabs>
        <w:spacing w:after="0" w:line="240" w:lineRule="auto"/>
        <w:jc w:val="both"/>
        <w:rPr>
          <w:rFonts w:ascii="Times New Roman" w:eastAsia="Calibri" w:hAnsi="Times New Roman"/>
          <w:b/>
          <w:bCs/>
          <w:sz w:val="20"/>
          <w:szCs w:val="20"/>
        </w:rPr>
      </w:pPr>
      <w:r w:rsidRPr="00B253CE">
        <w:rPr>
          <w:rFonts w:ascii="Times New Roman" w:eastAsia="Calibri" w:hAnsi="Times New Roman"/>
          <w:b/>
          <w:bCs/>
          <w:sz w:val="20"/>
          <w:szCs w:val="20"/>
        </w:rPr>
        <w:t>Field Emission Scanning Electron Microscopy</w:t>
      </w:r>
    </w:p>
    <w:p w:rsidR="00B253CE" w:rsidRDefault="007737B0" w:rsidP="007737B0">
      <w:pPr>
        <w:spacing w:after="0" w:line="240" w:lineRule="auto"/>
        <w:jc w:val="both"/>
        <w:rPr>
          <w:rFonts w:ascii="Times New Roman" w:hAnsi="Times New Roman"/>
          <w:noProof/>
          <w:sz w:val="20"/>
          <w:szCs w:val="20"/>
        </w:rPr>
      </w:pPr>
      <w:r w:rsidRPr="00B253CE">
        <w:rPr>
          <w:rFonts w:ascii="Times New Roman" w:hAnsi="Times New Roman"/>
          <w:sz w:val="20"/>
          <w:szCs w:val="20"/>
        </w:rPr>
        <w:t xml:space="preserve">FESEM micrographs of photocatalysts at different Cu:Fe mass composition are shown in Figure 2 (a-f). The particles were spherical in shape with slight agglomeration observed for all the photocatalysts. </w:t>
      </w:r>
      <w:r w:rsidRPr="00B253CE">
        <w:rPr>
          <w:rFonts w:ascii="Times New Roman" w:eastAsia="MS Mincho" w:hAnsi="Times New Roman"/>
          <w:sz w:val="20"/>
          <w:szCs w:val="20"/>
        </w:rPr>
        <w:t>As the Cu:Fe mass composition decreased from 10:1 to 9:2 and 8:3, the average particle size decreased from 17.53, 17.43, and 17.20 nm, respectively.</w:t>
      </w:r>
      <w:r w:rsidRPr="00B253CE">
        <w:rPr>
          <w:rFonts w:ascii="Times New Roman" w:hAnsi="Times New Roman"/>
          <w:noProof/>
          <w:sz w:val="20"/>
          <w:szCs w:val="20"/>
        </w:rPr>
        <w:t xml:space="preserve"> The particles of TiO</w:t>
      </w:r>
      <w:r w:rsidRPr="00B253CE">
        <w:rPr>
          <w:rFonts w:ascii="Times New Roman" w:hAnsi="Times New Roman"/>
          <w:noProof/>
          <w:sz w:val="20"/>
          <w:szCs w:val="20"/>
          <w:vertAlign w:val="subscript"/>
        </w:rPr>
        <w:t>2</w:t>
      </w:r>
      <w:r w:rsidRPr="00B253CE">
        <w:rPr>
          <w:rFonts w:ascii="Times New Roman" w:hAnsi="Times New Roman"/>
          <w:noProof/>
          <w:sz w:val="20"/>
          <w:szCs w:val="20"/>
        </w:rPr>
        <w:t xml:space="preserve"> were small compared to the metal doped photocatalysts with particle size ranging from 10.39 – 15.79 nm (average particle size of 11.39 nm). The average particle size of monometallic Cu and Fe were 18.44 and 20.12 nm, respectively, comparable to the trend observed on the average crystallite sizes from XRD analysis.</w:t>
      </w:r>
      <w:r w:rsidRPr="00B253CE">
        <w:rPr>
          <w:rFonts w:ascii="Times New Roman" w:eastAsia="MS Mincho" w:hAnsi="Times New Roman"/>
          <w:sz w:val="20"/>
          <w:szCs w:val="20"/>
        </w:rPr>
        <w:t xml:space="preserve"> Detailed particle size distribution as provided in Table 1. No localized metal particles were detected, indicating high metallic dispersion of Cu and Fe on TiO</w:t>
      </w:r>
      <w:r w:rsidRPr="00B253CE">
        <w:rPr>
          <w:rFonts w:ascii="Times New Roman" w:eastAsia="MS Mincho" w:hAnsi="Times New Roman"/>
          <w:sz w:val="20"/>
          <w:szCs w:val="20"/>
          <w:vertAlign w:val="subscript"/>
        </w:rPr>
        <w:t>2</w:t>
      </w:r>
      <w:r w:rsidRPr="00B253CE">
        <w:rPr>
          <w:rFonts w:ascii="Times New Roman" w:eastAsia="MS Mincho" w:hAnsi="Times New Roman"/>
          <w:sz w:val="20"/>
          <w:szCs w:val="20"/>
        </w:rPr>
        <w:t xml:space="preserve">. This observation is in agreement with the results obtained from XRD analysis. </w:t>
      </w:r>
    </w:p>
    <w:p w:rsidR="007737B0" w:rsidRPr="007737B0" w:rsidRDefault="007737B0" w:rsidP="007737B0">
      <w:pPr>
        <w:spacing w:after="60" w:line="240" w:lineRule="auto"/>
        <w:jc w:val="both"/>
        <w:rPr>
          <w:rFonts w:ascii="Times New Roman" w:hAnsi="Times New Roman"/>
          <w:noProof/>
          <w:sz w:val="20"/>
          <w:szCs w:val="20"/>
        </w:rPr>
      </w:pPr>
    </w:p>
    <w:p w:rsidR="00B253CE" w:rsidRPr="007737B0" w:rsidRDefault="00B253CE" w:rsidP="007737B0">
      <w:pPr>
        <w:spacing w:after="0" w:line="240" w:lineRule="auto"/>
        <w:jc w:val="center"/>
        <w:rPr>
          <w:rFonts w:ascii="Times New Roman" w:hAnsi="Times New Roman"/>
          <w:sz w:val="20"/>
          <w:szCs w:val="20"/>
        </w:rPr>
      </w:pPr>
      <w:r w:rsidRPr="00B253CE">
        <w:rPr>
          <w:rFonts w:ascii="Times New Roman" w:hAnsi="Times New Roman"/>
          <w:noProof/>
          <w:sz w:val="20"/>
          <w:szCs w:val="20"/>
          <w:lang w:bidi="ar-SA"/>
        </w:rPr>
        <w:drawing>
          <wp:inline distT="0" distB="0" distL="0" distR="0" wp14:anchorId="1FDFEB9A" wp14:editId="6C5E431E">
            <wp:extent cx="5133975" cy="2386354"/>
            <wp:effectExtent l="0" t="0" r="0" b="0"/>
            <wp:docPr id="18" name="Picture 1" descr="C:\Users\User\Desktop\Graph Fesem Different Ratio 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Graph Fesem Different Ratio 01.jpg"/>
                    <pic:cNvPicPr>
                      <a:picLocks noChangeAspect="1" noChangeArrowheads="1"/>
                    </pic:cNvPicPr>
                  </pic:nvPicPr>
                  <pic:blipFill>
                    <a:blip r:embed="rId12" cstate="print"/>
                    <a:srcRect/>
                    <a:stretch>
                      <a:fillRect/>
                    </a:stretch>
                  </pic:blipFill>
                  <pic:spPr bwMode="auto">
                    <a:xfrm>
                      <a:off x="0" y="0"/>
                      <a:ext cx="5142412" cy="2390276"/>
                    </a:xfrm>
                    <a:prstGeom prst="rect">
                      <a:avLst/>
                    </a:prstGeom>
                    <a:noFill/>
                    <a:ln w="9525">
                      <a:noFill/>
                      <a:miter lim="800000"/>
                      <a:headEnd/>
                      <a:tailEnd/>
                    </a:ln>
                  </pic:spPr>
                </pic:pic>
              </a:graphicData>
            </a:graphic>
          </wp:inline>
        </w:drawing>
      </w:r>
    </w:p>
    <w:p w:rsidR="00B253CE" w:rsidRDefault="00B253CE" w:rsidP="007737B0">
      <w:pPr>
        <w:tabs>
          <w:tab w:val="left" w:pos="2505"/>
        </w:tabs>
        <w:spacing w:before="120" w:after="0" w:line="240" w:lineRule="auto"/>
        <w:ind w:left="850" w:hanging="994"/>
        <w:jc w:val="both"/>
        <w:rPr>
          <w:rFonts w:ascii="Times New Roman" w:eastAsia="MS Mincho" w:hAnsi="Times New Roman"/>
          <w:sz w:val="20"/>
          <w:szCs w:val="20"/>
        </w:rPr>
      </w:pPr>
      <w:r w:rsidRPr="00B253CE">
        <w:rPr>
          <w:rFonts w:ascii="Times New Roman" w:hAnsi="Times New Roman"/>
          <w:bCs/>
          <w:noProof/>
          <w:sz w:val="20"/>
          <w:szCs w:val="20"/>
        </w:rPr>
        <w:t>Figure 2.</w:t>
      </w:r>
      <w:r w:rsidRPr="00B253CE">
        <w:rPr>
          <w:rFonts w:ascii="Times New Roman" w:hAnsi="Times New Roman"/>
          <w:noProof/>
          <w:sz w:val="20"/>
          <w:szCs w:val="20"/>
        </w:rPr>
        <w:t xml:space="preserve"> </w:t>
      </w:r>
      <w:r w:rsidR="007737B0">
        <w:rPr>
          <w:rFonts w:ascii="Times New Roman" w:hAnsi="Times New Roman"/>
          <w:noProof/>
          <w:sz w:val="20"/>
          <w:szCs w:val="20"/>
        </w:rPr>
        <w:tab/>
      </w:r>
      <w:r w:rsidRPr="00B253CE">
        <w:rPr>
          <w:rFonts w:ascii="Times New Roman" w:hAnsi="Times New Roman"/>
          <w:noProof/>
          <w:sz w:val="20"/>
          <w:szCs w:val="20"/>
        </w:rPr>
        <w:t>FE</w:t>
      </w:r>
      <w:r w:rsidRPr="00B253CE">
        <w:rPr>
          <w:rFonts w:ascii="Times New Roman" w:eastAsia="MS Mincho" w:hAnsi="Times New Roman"/>
          <w:sz w:val="20"/>
          <w:szCs w:val="20"/>
        </w:rPr>
        <w:t xml:space="preserve">SEM micrographs </w:t>
      </w:r>
      <w:r w:rsidRPr="00B253CE">
        <w:rPr>
          <w:rFonts w:ascii="Times New Roman" w:hAnsi="Times New Roman"/>
          <w:sz w:val="20"/>
          <w:szCs w:val="20"/>
        </w:rPr>
        <w:t xml:space="preserve">of (a) </w:t>
      </w:r>
      <w:r w:rsidRPr="00B253CE">
        <w:rPr>
          <w:rFonts w:ascii="Times New Roman" w:hAnsi="Times New Roman"/>
          <w:noProof/>
          <w:sz w:val="20"/>
          <w:szCs w:val="20"/>
        </w:rPr>
        <w:t>TiO</w:t>
      </w:r>
      <w:r w:rsidRPr="00B253CE">
        <w:rPr>
          <w:rFonts w:ascii="Times New Roman" w:hAnsi="Times New Roman"/>
          <w:noProof/>
          <w:sz w:val="20"/>
          <w:szCs w:val="20"/>
          <w:vertAlign w:val="subscript"/>
        </w:rPr>
        <w:t>2</w:t>
      </w:r>
      <w:r w:rsidRPr="00B253CE">
        <w:rPr>
          <w:rFonts w:ascii="Times New Roman" w:hAnsi="Times New Roman"/>
          <w:noProof/>
          <w:sz w:val="20"/>
          <w:szCs w:val="20"/>
        </w:rPr>
        <w:t>,</w:t>
      </w:r>
      <w:r w:rsidRPr="00B253CE">
        <w:rPr>
          <w:rFonts w:ascii="Times New Roman" w:hAnsi="Times New Roman"/>
          <w:sz w:val="20"/>
          <w:szCs w:val="20"/>
        </w:rPr>
        <w:t xml:space="preserve"> (b) Cu</w:t>
      </w:r>
      <w:r w:rsidRPr="00B253CE">
        <w:rPr>
          <w:rFonts w:ascii="Times New Roman" w:hAnsi="Times New Roman"/>
          <w:noProof/>
          <w:sz w:val="20"/>
          <w:szCs w:val="20"/>
        </w:rPr>
        <w:t>,</w:t>
      </w:r>
      <w:r w:rsidRPr="00B253CE">
        <w:rPr>
          <w:rFonts w:ascii="Times New Roman" w:hAnsi="Times New Roman"/>
          <w:sz w:val="20"/>
          <w:szCs w:val="20"/>
        </w:rPr>
        <w:t xml:space="preserve"> (c) 10Cu1Fe</w:t>
      </w:r>
      <w:r w:rsidRPr="00B253CE">
        <w:rPr>
          <w:rFonts w:ascii="Times New Roman" w:hAnsi="Times New Roman"/>
          <w:noProof/>
          <w:sz w:val="20"/>
          <w:szCs w:val="20"/>
        </w:rPr>
        <w:t>,</w:t>
      </w:r>
      <w:r w:rsidRPr="00B253CE">
        <w:rPr>
          <w:rFonts w:ascii="Times New Roman" w:hAnsi="Times New Roman"/>
          <w:sz w:val="20"/>
          <w:szCs w:val="20"/>
        </w:rPr>
        <w:t xml:space="preserve"> (d) 9Cu2Fe</w:t>
      </w:r>
      <w:r w:rsidRPr="00B253CE">
        <w:rPr>
          <w:rFonts w:ascii="Times New Roman" w:hAnsi="Times New Roman"/>
          <w:noProof/>
          <w:sz w:val="20"/>
          <w:szCs w:val="20"/>
        </w:rPr>
        <w:t>,</w:t>
      </w:r>
      <w:r w:rsidRPr="00B253CE">
        <w:rPr>
          <w:rFonts w:ascii="Times New Roman" w:hAnsi="Times New Roman"/>
          <w:sz w:val="20"/>
          <w:szCs w:val="20"/>
        </w:rPr>
        <w:t xml:space="preserve"> (e) 8Cu3Fe</w:t>
      </w:r>
      <w:r w:rsidRPr="00B253CE">
        <w:rPr>
          <w:rFonts w:ascii="Times New Roman" w:hAnsi="Times New Roman"/>
          <w:noProof/>
          <w:sz w:val="20"/>
          <w:szCs w:val="20"/>
        </w:rPr>
        <w:t xml:space="preserve"> and</w:t>
      </w:r>
      <w:r w:rsidRPr="00B253CE">
        <w:rPr>
          <w:rFonts w:ascii="Times New Roman" w:hAnsi="Times New Roman"/>
          <w:sz w:val="20"/>
          <w:szCs w:val="20"/>
        </w:rPr>
        <w:t xml:space="preserve"> (f) Fe</w:t>
      </w:r>
      <w:r w:rsidRPr="00B253CE">
        <w:rPr>
          <w:rFonts w:ascii="Times New Roman" w:eastAsia="MS Mincho" w:hAnsi="Times New Roman"/>
          <w:sz w:val="20"/>
          <w:szCs w:val="20"/>
        </w:rPr>
        <w:t xml:space="preserve"> </w:t>
      </w:r>
      <w:r w:rsidRPr="00B253CE">
        <w:rPr>
          <w:rFonts w:ascii="Times New Roman" w:eastAsia="MS Mincho" w:hAnsi="Times New Roman"/>
          <w:sz w:val="20"/>
          <w:szCs w:val="20"/>
        </w:rPr>
        <w:br/>
        <w:t>(100 kX magnification)</w:t>
      </w:r>
    </w:p>
    <w:p w:rsidR="002E7DF9" w:rsidRDefault="002E7DF9" w:rsidP="002E7DF9">
      <w:pPr>
        <w:spacing w:after="0" w:line="240" w:lineRule="auto"/>
        <w:jc w:val="both"/>
        <w:rPr>
          <w:rFonts w:asciiTheme="majorBidi" w:hAnsiTheme="majorBidi" w:cstheme="majorBidi"/>
          <w:noProof/>
          <w:sz w:val="20"/>
          <w:szCs w:val="20"/>
        </w:rPr>
      </w:pPr>
      <w:r w:rsidRPr="002E7DF9">
        <w:rPr>
          <w:rFonts w:asciiTheme="majorBidi" w:hAnsiTheme="majorBidi" w:cstheme="majorBidi"/>
          <w:sz w:val="20"/>
          <w:szCs w:val="20"/>
        </w:rPr>
        <w:lastRenderedPageBreak/>
        <w:t>Figure 3 shows the EDX mapping of 10Cu1Fe. The elements that were mapped were displayed as colored spots in the images. Cu and Fe metal dopants were uniformly distributed on the TiO</w:t>
      </w:r>
      <w:r w:rsidRPr="002E7DF9">
        <w:rPr>
          <w:rFonts w:asciiTheme="majorBidi" w:hAnsiTheme="majorBidi" w:cstheme="majorBidi"/>
          <w:sz w:val="20"/>
          <w:szCs w:val="20"/>
          <w:vertAlign w:val="subscript"/>
        </w:rPr>
        <w:t>2</w:t>
      </w:r>
      <w:r w:rsidRPr="002E7DF9">
        <w:rPr>
          <w:rFonts w:asciiTheme="majorBidi" w:hAnsiTheme="majorBidi" w:cstheme="majorBidi"/>
          <w:sz w:val="20"/>
          <w:szCs w:val="20"/>
        </w:rPr>
        <w:t xml:space="preserve"> surface. As mentioned before, the presence of Cu and Fe metals were not detected from XRD analysis because of the well dispersed small crystallite size of the metal species on TiO</w:t>
      </w:r>
      <w:r w:rsidRPr="002E7DF9">
        <w:rPr>
          <w:rFonts w:asciiTheme="majorBidi" w:hAnsiTheme="majorBidi" w:cstheme="majorBidi"/>
          <w:sz w:val="20"/>
          <w:szCs w:val="20"/>
          <w:vertAlign w:val="subscript"/>
        </w:rPr>
        <w:t>2</w:t>
      </w:r>
      <w:r w:rsidRPr="002E7DF9">
        <w:rPr>
          <w:rFonts w:asciiTheme="majorBidi" w:hAnsiTheme="majorBidi" w:cstheme="majorBidi"/>
          <w:sz w:val="20"/>
          <w:szCs w:val="20"/>
        </w:rPr>
        <w:t xml:space="preserve"> [32, 34]. The highly dispersed metal particles on TiO</w:t>
      </w:r>
      <w:r w:rsidRPr="002E7DF9">
        <w:rPr>
          <w:rFonts w:asciiTheme="majorBidi" w:hAnsiTheme="majorBidi" w:cstheme="majorBidi"/>
          <w:sz w:val="20"/>
          <w:szCs w:val="20"/>
          <w:vertAlign w:val="subscript"/>
        </w:rPr>
        <w:t>2</w:t>
      </w:r>
      <w:r w:rsidRPr="002E7DF9">
        <w:rPr>
          <w:rFonts w:asciiTheme="majorBidi" w:hAnsiTheme="majorBidi" w:cstheme="majorBidi"/>
          <w:sz w:val="20"/>
          <w:szCs w:val="20"/>
        </w:rPr>
        <w:t xml:space="preserve"> led to better activity thus further enhances the photocatalytic activity [35]. </w:t>
      </w:r>
      <w:r w:rsidRPr="002E7DF9">
        <w:rPr>
          <w:rFonts w:asciiTheme="majorBidi" w:hAnsiTheme="majorBidi" w:cstheme="majorBidi"/>
          <w:noProof/>
          <w:sz w:val="20"/>
          <w:szCs w:val="20"/>
        </w:rPr>
        <w:t>Similar mapping images were obtained for other photocatalysts, showing that the preparation method has successfully incorporated Cu and Fe onto the TiO</w:t>
      </w:r>
      <w:r w:rsidRPr="002E7DF9">
        <w:rPr>
          <w:rFonts w:asciiTheme="majorBidi" w:hAnsiTheme="majorBidi" w:cstheme="majorBidi"/>
          <w:noProof/>
          <w:sz w:val="20"/>
          <w:szCs w:val="20"/>
          <w:vertAlign w:val="subscript"/>
        </w:rPr>
        <w:t>2</w:t>
      </w:r>
      <w:r w:rsidRPr="002E7DF9">
        <w:rPr>
          <w:rFonts w:asciiTheme="majorBidi" w:hAnsiTheme="majorBidi" w:cstheme="majorBidi"/>
          <w:noProof/>
          <w:sz w:val="20"/>
          <w:szCs w:val="20"/>
        </w:rPr>
        <w:t xml:space="preserve"> surface.</w:t>
      </w:r>
    </w:p>
    <w:p w:rsidR="002E7DF9" w:rsidRDefault="002E7DF9" w:rsidP="002E7DF9">
      <w:pPr>
        <w:spacing w:after="0" w:line="240" w:lineRule="auto"/>
        <w:jc w:val="both"/>
        <w:rPr>
          <w:rFonts w:asciiTheme="majorBidi" w:hAnsiTheme="majorBidi" w:cstheme="majorBidi"/>
          <w:noProof/>
          <w:sz w:val="20"/>
          <w:szCs w:val="20"/>
        </w:rPr>
      </w:pPr>
    </w:p>
    <w:p w:rsidR="002E7DF9" w:rsidRPr="002E7DF9" w:rsidRDefault="002E7DF9" w:rsidP="002E7DF9">
      <w:pPr>
        <w:spacing w:after="0" w:line="240" w:lineRule="auto"/>
        <w:jc w:val="both"/>
        <w:rPr>
          <w:rFonts w:asciiTheme="majorBidi" w:hAnsiTheme="majorBidi" w:cstheme="majorBidi"/>
          <w:noProof/>
          <w:sz w:val="20"/>
          <w:szCs w:val="20"/>
        </w:rPr>
      </w:pPr>
    </w:p>
    <w:p w:rsidR="00B253CE" w:rsidRPr="00B253CE" w:rsidRDefault="00B253CE" w:rsidP="007737B0">
      <w:pPr>
        <w:spacing w:after="0" w:line="240" w:lineRule="auto"/>
        <w:jc w:val="center"/>
        <w:rPr>
          <w:rFonts w:ascii="Times New Roman" w:hAnsi="Times New Roman"/>
          <w:noProof/>
          <w:sz w:val="20"/>
          <w:szCs w:val="20"/>
        </w:rPr>
      </w:pPr>
      <w:r w:rsidRPr="00B253CE">
        <w:rPr>
          <w:rFonts w:ascii="Times New Roman" w:hAnsi="Times New Roman"/>
          <w:noProof/>
          <w:sz w:val="20"/>
          <w:szCs w:val="20"/>
          <w:lang w:bidi="ar-SA"/>
        </w:rPr>
        <w:drawing>
          <wp:inline distT="0" distB="0" distL="0" distR="0" wp14:anchorId="08868408" wp14:editId="2B83D12B">
            <wp:extent cx="3986214" cy="3171825"/>
            <wp:effectExtent l="19050" t="19050" r="1460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11617" cy="3192038"/>
                    </a:xfrm>
                    <a:prstGeom prst="rect">
                      <a:avLst/>
                    </a:prstGeom>
                    <a:noFill/>
                    <a:ln>
                      <a:solidFill>
                        <a:schemeClr val="tx1"/>
                      </a:solidFill>
                    </a:ln>
                  </pic:spPr>
                </pic:pic>
              </a:graphicData>
            </a:graphic>
          </wp:inline>
        </w:drawing>
      </w:r>
    </w:p>
    <w:p w:rsidR="00B253CE" w:rsidRPr="00B253CE" w:rsidRDefault="00B253CE" w:rsidP="00B253CE">
      <w:pPr>
        <w:spacing w:after="0" w:line="240" w:lineRule="auto"/>
        <w:jc w:val="both"/>
        <w:rPr>
          <w:rFonts w:ascii="Times New Roman" w:hAnsi="Times New Roman"/>
          <w:noProof/>
          <w:sz w:val="20"/>
          <w:szCs w:val="20"/>
        </w:rPr>
      </w:pPr>
    </w:p>
    <w:p w:rsidR="00B253CE" w:rsidRPr="00B253CE" w:rsidRDefault="00B253CE" w:rsidP="007737B0">
      <w:pPr>
        <w:spacing w:after="0" w:line="240" w:lineRule="auto"/>
        <w:jc w:val="center"/>
        <w:rPr>
          <w:rFonts w:ascii="Times New Roman" w:hAnsi="Times New Roman"/>
          <w:noProof/>
          <w:sz w:val="20"/>
          <w:szCs w:val="20"/>
        </w:rPr>
      </w:pPr>
      <w:r w:rsidRPr="00B253CE">
        <w:rPr>
          <w:rFonts w:ascii="Times New Roman" w:hAnsi="Times New Roman"/>
          <w:bCs/>
          <w:noProof/>
          <w:sz w:val="20"/>
          <w:szCs w:val="20"/>
        </w:rPr>
        <w:t>Figure 3.</w:t>
      </w:r>
      <w:r w:rsidRPr="00B253CE">
        <w:rPr>
          <w:rFonts w:ascii="Times New Roman" w:hAnsi="Times New Roman"/>
          <w:noProof/>
          <w:sz w:val="20"/>
          <w:szCs w:val="20"/>
        </w:rPr>
        <w:t xml:space="preserve"> </w:t>
      </w:r>
      <w:r w:rsidR="007737B0">
        <w:rPr>
          <w:rFonts w:ascii="Times New Roman" w:hAnsi="Times New Roman"/>
          <w:noProof/>
          <w:sz w:val="20"/>
          <w:szCs w:val="20"/>
        </w:rPr>
        <w:t xml:space="preserve"> </w:t>
      </w:r>
      <w:r w:rsidRPr="00B253CE">
        <w:rPr>
          <w:rFonts w:ascii="Times New Roman" w:hAnsi="Times New Roman"/>
          <w:noProof/>
          <w:sz w:val="20"/>
          <w:szCs w:val="20"/>
        </w:rPr>
        <w:t>EDX and mapping images of 10Cu1Fe</w:t>
      </w:r>
    </w:p>
    <w:p w:rsidR="007737B0" w:rsidRDefault="007737B0" w:rsidP="00B253CE">
      <w:pPr>
        <w:spacing w:after="0" w:line="240" w:lineRule="auto"/>
        <w:jc w:val="both"/>
        <w:rPr>
          <w:rFonts w:ascii="Times New Roman" w:hAnsi="Times New Roman"/>
          <w:noProof/>
          <w:sz w:val="20"/>
          <w:szCs w:val="20"/>
        </w:rPr>
      </w:pPr>
    </w:p>
    <w:p w:rsidR="008129F7" w:rsidRPr="00B253CE" w:rsidRDefault="008129F7" w:rsidP="00B253CE">
      <w:pPr>
        <w:spacing w:after="0" w:line="240" w:lineRule="auto"/>
        <w:jc w:val="both"/>
        <w:rPr>
          <w:rFonts w:ascii="Times New Roman" w:hAnsi="Times New Roman"/>
          <w:noProof/>
          <w:sz w:val="20"/>
          <w:szCs w:val="20"/>
        </w:rPr>
      </w:pPr>
    </w:p>
    <w:p w:rsidR="00B253CE" w:rsidRPr="00B253CE" w:rsidRDefault="00B253CE" w:rsidP="00B253CE">
      <w:pPr>
        <w:spacing w:after="0" w:line="240" w:lineRule="auto"/>
        <w:jc w:val="both"/>
        <w:rPr>
          <w:rFonts w:ascii="Times New Roman" w:hAnsi="Times New Roman"/>
          <w:b/>
          <w:sz w:val="20"/>
          <w:szCs w:val="20"/>
        </w:rPr>
      </w:pPr>
      <w:r w:rsidRPr="00B253CE">
        <w:rPr>
          <w:rFonts w:ascii="Times New Roman" w:hAnsi="Times New Roman"/>
          <w:b/>
          <w:sz w:val="20"/>
          <w:szCs w:val="20"/>
        </w:rPr>
        <w:t>High Resolution Transmission Electron Microscopy</w:t>
      </w:r>
    </w:p>
    <w:p w:rsidR="00B253CE" w:rsidRDefault="00B253CE" w:rsidP="00B253CE">
      <w:pPr>
        <w:spacing w:after="0" w:line="240" w:lineRule="auto"/>
        <w:jc w:val="both"/>
        <w:rPr>
          <w:rFonts w:ascii="Times New Roman" w:hAnsi="Times New Roman"/>
          <w:sz w:val="20"/>
          <w:szCs w:val="20"/>
        </w:rPr>
      </w:pPr>
      <w:r w:rsidRPr="00B253CE">
        <w:rPr>
          <w:rFonts w:ascii="Times New Roman" w:hAnsi="Times New Roman"/>
          <w:sz w:val="20"/>
          <w:szCs w:val="20"/>
        </w:rPr>
        <w:t>HRTEM analysis was carried out to determine the detailed morphology of the photocatalyst. Image processing analysis of HRTEM micrographs was used to refine the microstructures for more accurately analyzed single grains and grains boundaries. Figure 4 (a-f) shows the HRTEM micrographs of Cu-Fe/TiO</w:t>
      </w:r>
      <w:r w:rsidRPr="00B253CE">
        <w:rPr>
          <w:rFonts w:ascii="Times New Roman" w:hAnsi="Times New Roman"/>
          <w:sz w:val="20"/>
          <w:szCs w:val="20"/>
          <w:vertAlign w:val="subscript"/>
        </w:rPr>
        <w:t>2</w:t>
      </w:r>
      <w:r w:rsidRPr="00B253CE">
        <w:rPr>
          <w:rFonts w:ascii="Times New Roman" w:hAnsi="Times New Roman"/>
          <w:sz w:val="20"/>
          <w:szCs w:val="20"/>
        </w:rPr>
        <w:t xml:space="preserve"> photocatalysts at different Cu:Fe mass compositions. All micrographs showed good crystallite morphology of the particles with mixtures of spherical and polygonal shapes [36]. TiO</w:t>
      </w:r>
      <w:r w:rsidRPr="00B253CE">
        <w:rPr>
          <w:rFonts w:ascii="Times New Roman" w:hAnsi="Times New Roman"/>
          <w:sz w:val="20"/>
          <w:szCs w:val="20"/>
          <w:vertAlign w:val="subscript"/>
        </w:rPr>
        <w:t>2</w:t>
      </w:r>
      <w:r w:rsidRPr="00B253CE">
        <w:rPr>
          <w:rFonts w:ascii="Times New Roman" w:hAnsi="Times New Roman"/>
          <w:sz w:val="20"/>
          <w:szCs w:val="20"/>
        </w:rPr>
        <w:t xml:space="preserve"> has the most polygons and as the Fe content increased, the particles became more spherical. The estimated particle sizes of the photocatalysts are tabulated in Table 1. These particle size distribution are in good agreement with the data extracted from FESEM analysis. HRTEM micrographs of the photocatalysts showed agglomeration of particles. This is possible due to high content of surface hydroxyl groups contributing towards the hydrophilic properties [37].</w:t>
      </w:r>
    </w:p>
    <w:p w:rsidR="004F127D" w:rsidRDefault="004F127D" w:rsidP="00B253CE">
      <w:pPr>
        <w:spacing w:after="0" w:line="240" w:lineRule="auto"/>
        <w:jc w:val="both"/>
        <w:rPr>
          <w:rFonts w:ascii="Times New Roman" w:hAnsi="Times New Roman"/>
          <w:sz w:val="20"/>
          <w:szCs w:val="20"/>
        </w:rPr>
      </w:pPr>
    </w:p>
    <w:p w:rsidR="004F127D" w:rsidRPr="00B253CE" w:rsidRDefault="004F127D" w:rsidP="004F127D">
      <w:pPr>
        <w:spacing w:after="0" w:line="240" w:lineRule="auto"/>
        <w:jc w:val="both"/>
        <w:rPr>
          <w:rFonts w:ascii="Times New Roman" w:hAnsi="Times New Roman"/>
          <w:b/>
          <w:sz w:val="20"/>
          <w:szCs w:val="20"/>
        </w:rPr>
      </w:pPr>
      <w:r w:rsidRPr="00B253CE">
        <w:rPr>
          <w:rFonts w:ascii="Times New Roman" w:hAnsi="Times New Roman"/>
          <w:b/>
          <w:sz w:val="20"/>
          <w:szCs w:val="20"/>
        </w:rPr>
        <w:t xml:space="preserve">Brunauer-Emmett-Teller </w:t>
      </w:r>
    </w:p>
    <w:p w:rsidR="004F127D" w:rsidRPr="00B253CE" w:rsidRDefault="004F127D" w:rsidP="004F127D">
      <w:pPr>
        <w:spacing w:after="0" w:line="240" w:lineRule="auto"/>
        <w:jc w:val="both"/>
        <w:rPr>
          <w:rFonts w:ascii="Times New Roman" w:hAnsi="Times New Roman"/>
          <w:sz w:val="20"/>
          <w:szCs w:val="20"/>
        </w:rPr>
      </w:pPr>
      <w:r w:rsidRPr="00B253CE">
        <w:rPr>
          <w:rFonts w:ascii="Times New Roman" w:hAnsi="Times New Roman"/>
          <w:sz w:val="20"/>
          <w:szCs w:val="20"/>
        </w:rPr>
        <w:t>Isotherm plot of 10Cu1Fe is shown in Figure 5. The plot shows Type IV isotherm with hysteresis loop indicating mesoporous structure. The inflection points showed P/Po range of 0.6 – 1.0. The other photocatalysts also displayed similar isotherm. The pore distribution of the photocatalysts was determined by BJH method. Cu-Fe/TiO</w:t>
      </w:r>
      <w:r w:rsidRPr="00B253CE">
        <w:rPr>
          <w:rFonts w:ascii="Times New Roman" w:hAnsi="Times New Roman"/>
          <w:sz w:val="20"/>
          <w:szCs w:val="20"/>
          <w:vertAlign w:val="subscript"/>
        </w:rPr>
        <w:t>2</w:t>
      </w:r>
      <w:r w:rsidRPr="00B253CE">
        <w:rPr>
          <w:rFonts w:ascii="Times New Roman" w:hAnsi="Times New Roman"/>
          <w:sz w:val="20"/>
          <w:szCs w:val="20"/>
        </w:rPr>
        <w:t xml:space="preserve"> photocatalysts are mesoporous with an average pore diameter (4V/A) of 13.76, 13.30 and 14.06 nm for 10u1Fe, 9Cu2Fe and 8Cu3Fe, respectively. The BET surface area of the materials for 10u1Fe, 9Cu2Fe and 8Cu3Fe were 49.99, 42.11 and 45.33 m</w:t>
      </w:r>
      <w:r w:rsidRPr="00B253CE">
        <w:rPr>
          <w:rFonts w:ascii="Times New Roman" w:hAnsi="Times New Roman"/>
          <w:sz w:val="20"/>
          <w:szCs w:val="20"/>
          <w:vertAlign w:val="superscript"/>
        </w:rPr>
        <w:t>2</w:t>
      </w:r>
      <w:r w:rsidRPr="00B253CE">
        <w:rPr>
          <w:rFonts w:ascii="Times New Roman" w:hAnsi="Times New Roman"/>
          <w:sz w:val="20"/>
          <w:szCs w:val="20"/>
        </w:rPr>
        <w:t xml:space="preserve">/g, respectively, which was comparable. </w:t>
      </w:r>
    </w:p>
    <w:p w:rsidR="004F127D" w:rsidRPr="007737B0" w:rsidRDefault="004F127D" w:rsidP="002E7DF9">
      <w:pPr>
        <w:spacing w:after="0" w:line="240" w:lineRule="auto"/>
        <w:jc w:val="both"/>
        <w:rPr>
          <w:rFonts w:ascii="Times New Roman" w:hAnsi="Times New Roman"/>
          <w:sz w:val="20"/>
          <w:szCs w:val="20"/>
        </w:rPr>
      </w:pPr>
    </w:p>
    <w:tbl>
      <w:tblPr>
        <w:tblStyle w:val="TableGrid"/>
        <w:tblW w:w="0" w:type="auto"/>
        <w:tblInd w:w="-5" w:type="dxa"/>
        <w:tblLook w:val="04A0" w:firstRow="1" w:lastRow="0" w:firstColumn="1" w:lastColumn="0" w:noHBand="0" w:noVBand="1"/>
      </w:tblPr>
      <w:tblGrid>
        <w:gridCol w:w="8820"/>
      </w:tblGrid>
      <w:tr w:rsidR="00B253CE" w:rsidRPr="00B253CE" w:rsidTr="007A3355">
        <w:trPr>
          <w:trHeight w:val="5580"/>
        </w:trPr>
        <w:tc>
          <w:tcPr>
            <w:tcW w:w="8820" w:type="dxa"/>
            <w:tcBorders>
              <w:top w:val="nil"/>
              <w:left w:val="nil"/>
              <w:bottom w:val="nil"/>
              <w:right w:val="nil"/>
            </w:tcBorders>
          </w:tcPr>
          <w:p w:rsidR="00B253CE" w:rsidRPr="00B253CE" w:rsidRDefault="00B253CE" w:rsidP="00B253CE">
            <w:pPr>
              <w:spacing w:after="0" w:line="240" w:lineRule="auto"/>
              <w:rPr>
                <w:rFonts w:ascii="Times New Roman" w:hAnsi="Times New Roman" w:cs="Times New Roman"/>
                <w:b/>
                <w:bCs/>
                <w:noProof/>
                <w:sz w:val="20"/>
                <w:szCs w:val="20"/>
              </w:rPr>
            </w:pPr>
            <w:r w:rsidRPr="00B253CE">
              <w:rPr>
                <w:rFonts w:ascii="Times New Roman" w:hAnsi="Times New Roman"/>
                <w:noProof/>
                <w:sz w:val="20"/>
                <w:szCs w:val="20"/>
                <w:lang w:bidi="ar-SA"/>
              </w:rPr>
              <w:lastRenderedPageBreak/>
              <w:drawing>
                <wp:anchor distT="0" distB="0" distL="114300" distR="114300" simplePos="0" relativeHeight="251660800" behindDoc="0" locked="0" layoutInCell="1" allowOverlap="1" wp14:anchorId="6955E45A" wp14:editId="1F262F2F">
                  <wp:simplePos x="0" y="0"/>
                  <wp:positionH relativeFrom="margin">
                    <wp:posOffset>398145</wp:posOffset>
                  </wp:positionH>
                  <wp:positionV relativeFrom="paragraph">
                    <wp:posOffset>2540</wp:posOffset>
                  </wp:positionV>
                  <wp:extent cx="5233670" cy="3390900"/>
                  <wp:effectExtent l="0" t="0" r="5080" b="0"/>
                  <wp:wrapThrough wrapText="bothSides">
                    <wp:wrapPolygon edited="0">
                      <wp:start x="0" y="0"/>
                      <wp:lineTo x="0" y="21479"/>
                      <wp:lineTo x="21542" y="21479"/>
                      <wp:lineTo x="21542" y="0"/>
                      <wp:lineTo x="0" y="0"/>
                    </wp:wrapPolygon>
                  </wp:wrapThrough>
                  <wp:docPr id="1" name="Picture 1" descr="C:\Users\User\Desktop\Graph Tem Rat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Graph Tem Ratio.jpg"/>
                          <pic:cNvPicPr>
                            <a:picLocks noChangeAspect="1" noChangeArrowheads="1"/>
                          </pic:cNvPicPr>
                        </pic:nvPicPr>
                        <pic:blipFill>
                          <a:blip r:embed="rId14" cstate="print"/>
                          <a:srcRect/>
                          <a:stretch>
                            <a:fillRect/>
                          </a:stretch>
                        </pic:blipFill>
                        <pic:spPr bwMode="auto">
                          <a:xfrm>
                            <a:off x="0" y="0"/>
                            <a:ext cx="5233670" cy="33909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r>
    </w:tbl>
    <w:p w:rsidR="00B253CE" w:rsidRPr="00B253CE" w:rsidRDefault="00B253CE" w:rsidP="004F127D">
      <w:pPr>
        <w:spacing w:after="0" w:line="240" w:lineRule="auto"/>
        <w:jc w:val="center"/>
        <w:rPr>
          <w:rFonts w:ascii="Times New Roman" w:hAnsi="Times New Roman"/>
          <w:sz w:val="20"/>
          <w:szCs w:val="20"/>
        </w:rPr>
      </w:pPr>
      <w:r w:rsidRPr="00B253CE">
        <w:rPr>
          <w:rFonts w:ascii="Times New Roman" w:hAnsi="Times New Roman"/>
          <w:bCs/>
          <w:noProof/>
          <w:sz w:val="20"/>
          <w:szCs w:val="20"/>
        </w:rPr>
        <w:t>Figure 4.</w:t>
      </w:r>
      <w:r w:rsidRPr="00B253CE">
        <w:rPr>
          <w:rFonts w:ascii="Times New Roman" w:hAnsi="Times New Roman"/>
          <w:noProof/>
          <w:sz w:val="20"/>
          <w:szCs w:val="20"/>
        </w:rPr>
        <w:t xml:space="preserve"> </w:t>
      </w:r>
      <w:r w:rsidR="004F127D">
        <w:rPr>
          <w:rFonts w:ascii="Times New Roman" w:hAnsi="Times New Roman"/>
          <w:noProof/>
          <w:sz w:val="20"/>
          <w:szCs w:val="20"/>
        </w:rPr>
        <w:t xml:space="preserve"> </w:t>
      </w:r>
      <w:r w:rsidRPr="00B253CE">
        <w:rPr>
          <w:rFonts w:ascii="Times New Roman" w:hAnsi="Times New Roman"/>
          <w:noProof/>
          <w:sz w:val="20"/>
          <w:szCs w:val="20"/>
        </w:rPr>
        <w:t>HR</w:t>
      </w:r>
      <w:r w:rsidRPr="00B253CE">
        <w:rPr>
          <w:rFonts w:ascii="Times New Roman" w:hAnsi="Times New Roman"/>
          <w:sz w:val="20"/>
          <w:szCs w:val="20"/>
        </w:rPr>
        <w:t xml:space="preserve">TEM micrographs </w:t>
      </w:r>
      <w:r w:rsidRPr="00B253CE">
        <w:rPr>
          <w:rFonts w:ascii="Times New Roman" w:eastAsia="MS Mincho" w:hAnsi="Times New Roman"/>
          <w:sz w:val="20"/>
          <w:szCs w:val="20"/>
        </w:rPr>
        <w:t xml:space="preserve">of </w:t>
      </w:r>
      <w:r w:rsidRPr="00B253CE">
        <w:rPr>
          <w:rFonts w:ascii="Times New Roman" w:hAnsi="Times New Roman"/>
          <w:noProof/>
          <w:sz w:val="20"/>
          <w:szCs w:val="20"/>
        </w:rPr>
        <w:t>(a) TiO</w:t>
      </w:r>
      <w:r w:rsidRPr="00B253CE">
        <w:rPr>
          <w:rFonts w:ascii="Times New Roman" w:hAnsi="Times New Roman"/>
          <w:noProof/>
          <w:sz w:val="20"/>
          <w:szCs w:val="20"/>
          <w:vertAlign w:val="subscript"/>
        </w:rPr>
        <w:t>2</w:t>
      </w:r>
      <w:r w:rsidRPr="00B253CE">
        <w:rPr>
          <w:rFonts w:ascii="Times New Roman" w:hAnsi="Times New Roman"/>
          <w:noProof/>
          <w:sz w:val="20"/>
          <w:szCs w:val="20"/>
        </w:rPr>
        <w:t>,</w:t>
      </w:r>
      <w:r w:rsidRPr="00B253CE">
        <w:rPr>
          <w:rFonts w:ascii="Times New Roman" w:hAnsi="Times New Roman"/>
          <w:sz w:val="20"/>
          <w:szCs w:val="20"/>
        </w:rPr>
        <w:t xml:space="preserve"> (b) Cu, (c) 10Cu1Fe, (d) 9Cu2Fe, (e) 8Cu3Fe and (f) Fe</w:t>
      </w:r>
    </w:p>
    <w:p w:rsidR="00B253CE" w:rsidRDefault="00B253CE" w:rsidP="00B253CE">
      <w:pPr>
        <w:tabs>
          <w:tab w:val="left" w:pos="2505"/>
        </w:tabs>
        <w:spacing w:after="0" w:line="240" w:lineRule="auto"/>
        <w:jc w:val="both"/>
        <w:rPr>
          <w:rFonts w:ascii="Times New Roman" w:eastAsia="MS Mincho" w:hAnsi="Times New Roman"/>
          <w:sz w:val="20"/>
          <w:szCs w:val="20"/>
        </w:rPr>
      </w:pPr>
    </w:p>
    <w:p w:rsidR="004F127D" w:rsidRPr="00B253CE" w:rsidRDefault="004F127D" w:rsidP="00B253CE">
      <w:pPr>
        <w:tabs>
          <w:tab w:val="left" w:pos="2505"/>
        </w:tabs>
        <w:spacing w:after="0" w:line="240" w:lineRule="auto"/>
        <w:jc w:val="both"/>
        <w:rPr>
          <w:rFonts w:ascii="Times New Roman" w:eastAsia="MS Mincho" w:hAnsi="Times New Roman"/>
          <w:sz w:val="20"/>
          <w:szCs w:val="20"/>
        </w:rPr>
      </w:pPr>
    </w:p>
    <w:p w:rsidR="00B253CE" w:rsidRPr="00B253CE" w:rsidRDefault="00B253CE" w:rsidP="004F127D">
      <w:pPr>
        <w:spacing w:after="0" w:line="240" w:lineRule="auto"/>
        <w:jc w:val="center"/>
        <w:rPr>
          <w:rFonts w:ascii="Times New Roman" w:hAnsi="Times New Roman"/>
          <w:sz w:val="20"/>
          <w:szCs w:val="20"/>
        </w:rPr>
      </w:pPr>
      <w:r w:rsidRPr="00B253CE">
        <w:rPr>
          <w:rFonts w:ascii="Times New Roman" w:hAnsi="Times New Roman"/>
          <w:noProof/>
          <w:sz w:val="20"/>
          <w:szCs w:val="20"/>
          <w:lang w:bidi="ar-SA"/>
        </w:rPr>
        <w:drawing>
          <wp:inline distT="0" distB="0" distL="0" distR="0" wp14:anchorId="33788693" wp14:editId="31CF8C52">
            <wp:extent cx="3669665" cy="2496709"/>
            <wp:effectExtent l="19050" t="19050" r="26035" b="18415"/>
            <wp:docPr id="16" name="Picture 16" descr="C:\Users\User\Desktop\cufe b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cufe bet.jpg"/>
                    <pic:cNvPicPr>
                      <a:picLocks noChangeAspect="1" noChangeArrowheads="1"/>
                    </pic:cNvPicPr>
                  </pic:nvPicPr>
                  <pic:blipFill rotWithShape="1">
                    <a:blip r:embed="rId15" cstate="print"/>
                    <a:srcRect t="7336" b="4055"/>
                    <a:stretch/>
                  </pic:blipFill>
                  <pic:spPr bwMode="auto">
                    <a:xfrm>
                      <a:off x="0" y="0"/>
                      <a:ext cx="3680313" cy="2503954"/>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B253CE" w:rsidRPr="00B253CE" w:rsidRDefault="00B253CE" w:rsidP="00B253CE">
      <w:pPr>
        <w:tabs>
          <w:tab w:val="center" w:pos="0"/>
        </w:tabs>
        <w:spacing w:after="0" w:line="240" w:lineRule="auto"/>
        <w:jc w:val="both"/>
        <w:rPr>
          <w:rFonts w:ascii="Times New Roman" w:hAnsi="Times New Roman"/>
          <w:bCs/>
          <w:sz w:val="20"/>
          <w:szCs w:val="20"/>
        </w:rPr>
      </w:pPr>
    </w:p>
    <w:p w:rsidR="00B253CE" w:rsidRPr="00B253CE" w:rsidRDefault="00B253CE" w:rsidP="004F127D">
      <w:pPr>
        <w:tabs>
          <w:tab w:val="center" w:pos="0"/>
        </w:tabs>
        <w:spacing w:after="0" w:line="240" w:lineRule="auto"/>
        <w:jc w:val="center"/>
        <w:rPr>
          <w:rFonts w:ascii="Times New Roman" w:hAnsi="Times New Roman"/>
          <w:sz w:val="20"/>
          <w:szCs w:val="20"/>
        </w:rPr>
      </w:pPr>
      <w:r w:rsidRPr="00B253CE">
        <w:rPr>
          <w:rFonts w:ascii="Times New Roman" w:hAnsi="Times New Roman"/>
          <w:bCs/>
          <w:sz w:val="20"/>
          <w:szCs w:val="20"/>
        </w:rPr>
        <w:t>Figure 5.</w:t>
      </w:r>
      <w:r w:rsidRPr="00B253CE">
        <w:rPr>
          <w:rFonts w:ascii="Times New Roman" w:hAnsi="Times New Roman"/>
          <w:sz w:val="20"/>
          <w:szCs w:val="20"/>
        </w:rPr>
        <w:t xml:space="preserve"> </w:t>
      </w:r>
      <w:r w:rsidR="004F127D">
        <w:rPr>
          <w:rFonts w:ascii="Times New Roman" w:hAnsi="Times New Roman"/>
          <w:sz w:val="20"/>
          <w:szCs w:val="20"/>
        </w:rPr>
        <w:t xml:space="preserve"> </w:t>
      </w:r>
      <w:r w:rsidRPr="00B253CE">
        <w:rPr>
          <w:rFonts w:ascii="Times New Roman" w:hAnsi="Times New Roman"/>
          <w:sz w:val="20"/>
          <w:szCs w:val="20"/>
        </w:rPr>
        <w:t>N</w:t>
      </w:r>
      <w:r w:rsidRPr="00B253CE">
        <w:rPr>
          <w:rFonts w:ascii="Times New Roman" w:hAnsi="Times New Roman"/>
          <w:sz w:val="20"/>
          <w:szCs w:val="20"/>
          <w:vertAlign w:val="subscript"/>
        </w:rPr>
        <w:t>2</w:t>
      </w:r>
      <w:r w:rsidRPr="00B253CE">
        <w:rPr>
          <w:rFonts w:ascii="Times New Roman" w:hAnsi="Times New Roman"/>
          <w:sz w:val="20"/>
          <w:szCs w:val="20"/>
        </w:rPr>
        <w:t xml:space="preserve"> adsorption-desorption isotherm of 10Cu1Fe</w:t>
      </w:r>
    </w:p>
    <w:p w:rsidR="008129F7" w:rsidRDefault="008129F7" w:rsidP="00B253CE">
      <w:pPr>
        <w:spacing w:after="0" w:line="240" w:lineRule="auto"/>
        <w:jc w:val="both"/>
        <w:rPr>
          <w:rFonts w:ascii="Times New Roman" w:hAnsi="Times New Roman"/>
          <w:sz w:val="20"/>
          <w:szCs w:val="20"/>
        </w:rPr>
      </w:pPr>
    </w:p>
    <w:p w:rsidR="008129F7" w:rsidRPr="008129F7" w:rsidRDefault="008129F7" w:rsidP="00B253CE">
      <w:pPr>
        <w:spacing w:after="0" w:line="240" w:lineRule="auto"/>
        <w:jc w:val="both"/>
        <w:rPr>
          <w:rFonts w:ascii="Times New Roman" w:hAnsi="Times New Roman"/>
          <w:sz w:val="20"/>
          <w:szCs w:val="20"/>
        </w:rPr>
      </w:pPr>
    </w:p>
    <w:p w:rsidR="00B253CE" w:rsidRPr="00B253CE" w:rsidRDefault="00B253CE" w:rsidP="00B253CE">
      <w:pPr>
        <w:spacing w:after="0" w:line="240" w:lineRule="auto"/>
        <w:jc w:val="both"/>
        <w:rPr>
          <w:rFonts w:ascii="Times New Roman" w:hAnsi="Times New Roman"/>
          <w:b/>
          <w:sz w:val="20"/>
          <w:szCs w:val="20"/>
        </w:rPr>
      </w:pPr>
      <w:r w:rsidRPr="00B253CE">
        <w:rPr>
          <w:rFonts w:ascii="Times New Roman" w:hAnsi="Times New Roman"/>
          <w:b/>
          <w:sz w:val="20"/>
          <w:szCs w:val="20"/>
        </w:rPr>
        <w:t xml:space="preserve">Fourier Transform Infrared </w:t>
      </w:r>
      <w:r w:rsidR="004370C4">
        <w:rPr>
          <w:rFonts w:ascii="Times New Roman" w:hAnsi="Times New Roman"/>
          <w:b/>
          <w:sz w:val="20"/>
          <w:szCs w:val="20"/>
        </w:rPr>
        <w:t>Spectroscopy</w:t>
      </w:r>
    </w:p>
    <w:p w:rsidR="00B253CE" w:rsidRPr="00B253CE" w:rsidRDefault="00B253CE" w:rsidP="00B253CE">
      <w:pPr>
        <w:spacing w:after="0" w:line="240" w:lineRule="auto"/>
        <w:jc w:val="both"/>
        <w:rPr>
          <w:rFonts w:ascii="Times New Roman" w:eastAsia="MS Mincho" w:hAnsi="Times New Roman"/>
          <w:sz w:val="20"/>
          <w:szCs w:val="20"/>
        </w:rPr>
      </w:pPr>
      <w:r w:rsidRPr="00B253CE">
        <w:rPr>
          <w:rFonts w:ascii="Times New Roman" w:eastAsia="MS Mincho" w:hAnsi="Times New Roman"/>
          <w:sz w:val="20"/>
          <w:szCs w:val="20"/>
        </w:rPr>
        <w:t>Figure 6 exhibits the FTIR transmission spectra of Cu-Fe/TiO</w:t>
      </w:r>
      <w:r w:rsidRPr="00B253CE">
        <w:rPr>
          <w:rFonts w:ascii="Times New Roman" w:eastAsia="MS Mincho" w:hAnsi="Times New Roman"/>
          <w:sz w:val="20"/>
          <w:szCs w:val="20"/>
          <w:vertAlign w:val="subscript"/>
        </w:rPr>
        <w:t>2</w:t>
      </w:r>
      <w:r w:rsidRPr="00B253CE">
        <w:rPr>
          <w:rFonts w:ascii="Times New Roman" w:eastAsia="MS Mincho" w:hAnsi="Times New Roman"/>
          <w:sz w:val="20"/>
          <w:szCs w:val="20"/>
        </w:rPr>
        <w:t xml:space="preserve"> with different Cu:Fe mass composition with additional 7Cu4Fe. For all the spectra, the broad band around 3400 cm</w:t>
      </w:r>
      <w:r w:rsidRPr="00B253CE">
        <w:rPr>
          <w:rFonts w:ascii="Times New Roman" w:eastAsia="MS Mincho" w:hAnsi="Times New Roman"/>
          <w:sz w:val="20"/>
          <w:szCs w:val="20"/>
          <w:vertAlign w:val="superscript"/>
        </w:rPr>
        <w:t>-1</w:t>
      </w:r>
      <w:r w:rsidRPr="00B253CE">
        <w:rPr>
          <w:rFonts w:ascii="Times New Roman" w:eastAsia="MS Mincho" w:hAnsi="Times New Roman"/>
          <w:sz w:val="20"/>
          <w:szCs w:val="20"/>
        </w:rPr>
        <w:t xml:space="preserve"> was attributed to O-H stretching, and the peak near 1600 cm</w:t>
      </w:r>
      <w:r w:rsidRPr="00B253CE">
        <w:rPr>
          <w:rFonts w:ascii="Times New Roman" w:eastAsia="MS Mincho" w:hAnsi="Times New Roman"/>
          <w:sz w:val="20"/>
          <w:szCs w:val="20"/>
          <w:vertAlign w:val="superscript"/>
        </w:rPr>
        <w:t>-1</w:t>
      </w:r>
      <w:r w:rsidRPr="00B253CE">
        <w:rPr>
          <w:rFonts w:ascii="Times New Roman" w:eastAsia="MS Mincho" w:hAnsi="Times New Roman"/>
          <w:sz w:val="20"/>
          <w:szCs w:val="20"/>
        </w:rPr>
        <w:t xml:space="preserve"> to H-O-H bending [38]. These peaks might be due to the physically adsorbed water. The broad band observed between 400 – 900 cm</w:t>
      </w:r>
      <w:r w:rsidRPr="00B253CE">
        <w:rPr>
          <w:rFonts w:ascii="Times New Roman" w:eastAsia="MS Mincho" w:hAnsi="Times New Roman"/>
          <w:sz w:val="20"/>
          <w:szCs w:val="20"/>
          <w:vertAlign w:val="superscript"/>
        </w:rPr>
        <w:t>-1</w:t>
      </w:r>
      <w:r w:rsidRPr="00B253CE">
        <w:rPr>
          <w:rFonts w:ascii="Times New Roman" w:eastAsia="MS Mincho" w:hAnsi="Times New Roman"/>
          <w:sz w:val="20"/>
          <w:szCs w:val="20"/>
        </w:rPr>
        <w:t xml:space="preserve"> corresponds to the Ti-O stretching vibrations [39]. FTIR is not a suitable </w:t>
      </w:r>
      <w:r w:rsidRPr="00B253CE">
        <w:rPr>
          <w:rFonts w:ascii="Times New Roman" w:eastAsia="MS Mincho" w:hAnsi="Times New Roman"/>
          <w:sz w:val="20"/>
          <w:szCs w:val="20"/>
        </w:rPr>
        <w:lastRenderedPageBreak/>
        <w:t>technique to detect the presence of Cu, Fe or Cu-Fe species since the metal</w:t>
      </w:r>
      <w:r w:rsidRPr="00B253CE">
        <w:rPr>
          <w:rFonts w:ascii="Times New Roman" w:eastAsia="MS Mincho" w:hAnsi="Times New Roman"/>
          <w:sz w:val="20"/>
          <w:szCs w:val="20"/>
        </w:rPr>
        <w:sym w:font="Symbol" w:char="F02D"/>
      </w:r>
      <w:r w:rsidRPr="00B253CE">
        <w:rPr>
          <w:rFonts w:ascii="Times New Roman" w:eastAsia="MS Mincho" w:hAnsi="Times New Roman"/>
          <w:sz w:val="20"/>
          <w:szCs w:val="20"/>
        </w:rPr>
        <w:t>O vibrations are not IR-active. However, these species were detected using EDX.</w:t>
      </w:r>
    </w:p>
    <w:p w:rsidR="00B253CE" w:rsidRDefault="00B253CE" w:rsidP="00B253CE">
      <w:pPr>
        <w:spacing w:after="0" w:line="240" w:lineRule="auto"/>
        <w:jc w:val="both"/>
        <w:rPr>
          <w:rFonts w:ascii="Times New Roman" w:eastAsia="MS Mincho" w:hAnsi="Times New Roman"/>
          <w:sz w:val="20"/>
          <w:szCs w:val="20"/>
        </w:rPr>
      </w:pPr>
    </w:p>
    <w:p w:rsidR="008129F7" w:rsidRPr="00B253CE" w:rsidRDefault="008129F7" w:rsidP="00B253CE">
      <w:pPr>
        <w:spacing w:after="0" w:line="240" w:lineRule="auto"/>
        <w:jc w:val="both"/>
        <w:rPr>
          <w:rFonts w:ascii="Times New Roman" w:eastAsia="MS Mincho" w:hAnsi="Times New Roman"/>
          <w:sz w:val="20"/>
          <w:szCs w:val="20"/>
        </w:rPr>
      </w:pPr>
    </w:p>
    <w:p w:rsidR="00B253CE" w:rsidRPr="00B253CE" w:rsidRDefault="00B253CE" w:rsidP="008129F7">
      <w:pPr>
        <w:spacing w:after="0" w:line="240" w:lineRule="auto"/>
        <w:jc w:val="center"/>
        <w:rPr>
          <w:rFonts w:ascii="Times New Roman" w:hAnsi="Times New Roman"/>
          <w:i/>
          <w:iCs/>
          <w:sz w:val="20"/>
          <w:szCs w:val="20"/>
        </w:rPr>
      </w:pPr>
      <w:r w:rsidRPr="00B253CE">
        <w:rPr>
          <w:rFonts w:ascii="Times New Roman" w:hAnsi="Times New Roman"/>
          <w:i/>
          <w:iCs/>
          <w:noProof/>
          <w:sz w:val="20"/>
          <w:szCs w:val="20"/>
          <w:lang w:bidi="ar-SA"/>
        </w:rPr>
        <w:drawing>
          <wp:inline distT="0" distB="0" distL="0" distR="0" wp14:anchorId="0246F43E" wp14:editId="7714A8D1">
            <wp:extent cx="3533273" cy="2854518"/>
            <wp:effectExtent l="19050" t="19050" r="10160" b="222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549036" cy="2867253"/>
                    </a:xfrm>
                    <a:prstGeom prst="rect">
                      <a:avLst/>
                    </a:prstGeom>
                    <a:noFill/>
                    <a:ln>
                      <a:solidFill>
                        <a:schemeClr val="tx1"/>
                      </a:solidFill>
                    </a:ln>
                  </pic:spPr>
                </pic:pic>
              </a:graphicData>
            </a:graphic>
          </wp:inline>
        </w:drawing>
      </w:r>
    </w:p>
    <w:p w:rsidR="00B253CE" w:rsidRPr="00B253CE" w:rsidRDefault="00B253CE" w:rsidP="00B253CE">
      <w:pPr>
        <w:spacing w:after="0" w:line="240" w:lineRule="auto"/>
        <w:jc w:val="both"/>
        <w:rPr>
          <w:rFonts w:ascii="Times New Roman" w:hAnsi="Times New Roman"/>
          <w:i/>
          <w:iCs/>
          <w:sz w:val="20"/>
          <w:szCs w:val="20"/>
        </w:rPr>
      </w:pPr>
    </w:p>
    <w:p w:rsidR="00B253CE" w:rsidRPr="00B253CE" w:rsidRDefault="00B253CE" w:rsidP="008129F7">
      <w:pPr>
        <w:tabs>
          <w:tab w:val="center" w:pos="0"/>
        </w:tabs>
        <w:spacing w:after="0" w:line="240" w:lineRule="auto"/>
        <w:jc w:val="center"/>
        <w:rPr>
          <w:rFonts w:ascii="Times New Roman" w:hAnsi="Times New Roman"/>
          <w:sz w:val="20"/>
          <w:szCs w:val="20"/>
        </w:rPr>
      </w:pPr>
      <w:r w:rsidRPr="00B253CE">
        <w:rPr>
          <w:rFonts w:ascii="Times New Roman" w:hAnsi="Times New Roman"/>
          <w:bCs/>
          <w:sz w:val="20"/>
          <w:szCs w:val="20"/>
        </w:rPr>
        <w:t>Figure 6.</w:t>
      </w:r>
      <w:r w:rsidRPr="00B253CE">
        <w:rPr>
          <w:rFonts w:ascii="Times New Roman" w:hAnsi="Times New Roman"/>
          <w:sz w:val="20"/>
          <w:szCs w:val="20"/>
        </w:rPr>
        <w:t xml:space="preserve"> </w:t>
      </w:r>
      <w:r w:rsidR="008129F7">
        <w:rPr>
          <w:rFonts w:ascii="Times New Roman" w:hAnsi="Times New Roman"/>
          <w:sz w:val="20"/>
          <w:szCs w:val="20"/>
        </w:rPr>
        <w:t xml:space="preserve"> </w:t>
      </w:r>
      <w:r w:rsidRPr="00B253CE">
        <w:rPr>
          <w:rFonts w:ascii="Times New Roman" w:hAnsi="Times New Roman"/>
          <w:sz w:val="20"/>
          <w:szCs w:val="20"/>
        </w:rPr>
        <w:t>FTIR spectra of (a) 10Cu1Fe, (b) 9Cu2Fe, (c) 8Cu3Fe and (d) 7Cu4Fe</w:t>
      </w:r>
    </w:p>
    <w:p w:rsidR="00B253CE" w:rsidRDefault="00B253CE" w:rsidP="00B253CE">
      <w:pPr>
        <w:tabs>
          <w:tab w:val="center" w:pos="0"/>
        </w:tabs>
        <w:spacing w:after="0" w:line="240" w:lineRule="auto"/>
        <w:jc w:val="both"/>
        <w:rPr>
          <w:rFonts w:ascii="Times New Roman" w:hAnsi="Times New Roman"/>
          <w:sz w:val="20"/>
          <w:szCs w:val="20"/>
        </w:rPr>
      </w:pPr>
    </w:p>
    <w:p w:rsidR="008129F7" w:rsidRPr="00B253CE" w:rsidRDefault="008129F7" w:rsidP="00B253CE">
      <w:pPr>
        <w:tabs>
          <w:tab w:val="center" w:pos="0"/>
        </w:tabs>
        <w:spacing w:after="0" w:line="240" w:lineRule="auto"/>
        <w:jc w:val="both"/>
        <w:rPr>
          <w:rFonts w:ascii="Times New Roman" w:hAnsi="Times New Roman"/>
          <w:sz w:val="20"/>
          <w:szCs w:val="20"/>
        </w:rPr>
      </w:pPr>
    </w:p>
    <w:p w:rsidR="00B253CE" w:rsidRPr="00B253CE" w:rsidRDefault="00B253CE" w:rsidP="00B253CE">
      <w:pPr>
        <w:spacing w:after="0" w:line="240" w:lineRule="auto"/>
        <w:jc w:val="both"/>
        <w:rPr>
          <w:rFonts w:ascii="Times New Roman" w:hAnsi="Times New Roman"/>
          <w:b/>
          <w:sz w:val="20"/>
          <w:szCs w:val="20"/>
        </w:rPr>
      </w:pPr>
      <w:r w:rsidRPr="00B253CE">
        <w:rPr>
          <w:rFonts w:ascii="Times New Roman" w:hAnsi="Times New Roman"/>
          <w:b/>
          <w:sz w:val="20"/>
          <w:szCs w:val="20"/>
        </w:rPr>
        <w:t>Diffuse Reflectance UV-Visible Spectroscopy</w:t>
      </w:r>
    </w:p>
    <w:p w:rsidR="00B253CE" w:rsidRPr="00B253CE" w:rsidRDefault="00B253CE" w:rsidP="00B253CE">
      <w:pPr>
        <w:spacing w:after="0" w:line="240" w:lineRule="auto"/>
        <w:jc w:val="both"/>
        <w:rPr>
          <w:rFonts w:ascii="Times New Roman" w:hAnsi="Times New Roman"/>
          <w:sz w:val="20"/>
          <w:szCs w:val="20"/>
        </w:rPr>
      </w:pPr>
      <w:r w:rsidRPr="00B253CE">
        <w:rPr>
          <w:rFonts w:ascii="Times New Roman" w:hAnsi="Times New Roman"/>
          <w:sz w:val="20"/>
          <w:szCs w:val="20"/>
        </w:rPr>
        <w:t>The DR-UV-Vis spectra of the photocatalysts are depicted in Figure 7. The absorption spectrum for TiO</w:t>
      </w:r>
      <w:r w:rsidRPr="00B253CE">
        <w:rPr>
          <w:rFonts w:ascii="Times New Roman" w:hAnsi="Times New Roman"/>
          <w:sz w:val="20"/>
          <w:szCs w:val="20"/>
          <w:vertAlign w:val="subscript"/>
        </w:rPr>
        <w:t>2</w:t>
      </w:r>
      <w:r w:rsidRPr="00B253CE">
        <w:rPr>
          <w:rFonts w:ascii="Times New Roman" w:hAnsi="Times New Roman"/>
          <w:sz w:val="20"/>
          <w:szCs w:val="20"/>
        </w:rPr>
        <w:t xml:space="preserve"> shows an absorption edge at 400 nm corresponding to the band gap of 3.09 eV. The absorption band at 323 nm is generally related to the electronic excitation from the valence band O 2p electron to conduction band Ti 3d orbital indicating that Ti is in the form of tetrahedral Ti</w:t>
      </w:r>
      <w:r w:rsidRPr="00B253CE">
        <w:rPr>
          <w:rFonts w:ascii="Times New Roman" w:hAnsi="Times New Roman"/>
          <w:sz w:val="20"/>
          <w:szCs w:val="20"/>
          <w:vertAlign w:val="superscript"/>
        </w:rPr>
        <w:t>4+</w:t>
      </w:r>
      <w:r w:rsidRPr="00B253CE">
        <w:rPr>
          <w:rFonts w:ascii="Times New Roman" w:hAnsi="Times New Roman"/>
          <w:sz w:val="20"/>
          <w:szCs w:val="20"/>
        </w:rPr>
        <w:t xml:space="preserve"> species [40]. All Cu-Fe co-doped photocatalyst shows considerable shift of the absorption edge towards visible region compared to TiO</w:t>
      </w:r>
      <w:r w:rsidRPr="00B253CE">
        <w:rPr>
          <w:rFonts w:ascii="Times New Roman" w:hAnsi="Times New Roman"/>
          <w:sz w:val="20"/>
          <w:szCs w:val="20"/>
          <w:vertAlign w:val="subscript"/>
        </w:rPr>
        <w:t>2</w:t>
      </w:r>
      <w:r w:rsidRPr="00B253CE">
        <w:rPr>
          <w:rFonts w:ascii="Times New Roman" w:hAnsi="Times New Roman"/>
          <w:sz w:val="20"/>
          <w:szCs w:val="20"/>
        </w:rPr>
        <w:t>. In general, as the Fe content increases, the absorption in the visible region (400 – 780 nm) also increases. It has been generally accepted that the metal dopants introduces a new energy level into the band gap of TiO</w:t>
      </w:r>
      <w:r w:rsidRPr="00B253CE">
        <w:rPr>
          <w:rFonts w:ascii="Times New Roman" w:hAnsi="Times New Roman"/>
          <w:sz w:val="20"/>
          <w:szCs w:val="20"/>
          <w:vertAlign w:val="subscript"/>
        </w:rPr>
        <w:t>2</w:t>
      </w:r>
      <w:r w:rsidRPr="00B253CE">
        <w:rPr>
          <w:rFonts w:ascii="Times New Roman" w:hAnsi="Times New Roman"/>
          <w:sz w:val="20"/>
          <w:szCs w:val="20"/>
        </w:rPr>
        <w:t xml:space="preserve"> which is close and above the valence band. Thus, the charge transfer from the valence band to the conduction band from the new energy level requires lower photon energy at lower wavelength [41]. TiO</w:t>
      </w:r>
      <w:r w:rsidRPr="00B253CE">
        <w:rPr>
          <w:rFonts w:ascii="Times New Roman" w:hAnsi="Times New Roman"/>
          <w:sz w:val="20"/>
          <w:szCs w:val="20"/>
          <w:vertAlign w:val="subscript"/>
        </w:rPr>
        <w:t>2</w:t>
      </w:r>
      <w:r w:rsidRPr="00B253CE">
        <w:rPr>
          <w:rFonts w:ascii="Times New Roman" w:hAnsi="Times New Roman"/>
          <w:sz w:val="20"/>
          <w:szCs w:val="20"/>
        </w:rPr>
        <w:t xml:space="preserve"> sample doped with Cu-Fe doped TiO</w:t>
      </w:r>
      <w:r w:rsidRPr="00B253CE">
        <w:rPr>
          <w:rFonts w:ascii="Times New Roman" w:hAnsi="Times New Roman"/>
          <w:sz w:val="20"/>
          <w:szCs w:val="20"/>
          <w:vertAlign w:val="subscript"/>
        </w:rPr>
        <w:t>2</w:t>
      </w:r>
      <w:r w:rsidRPr="00B253CE">
        <w:rPr>
          <w:rFonts w:ascii="Times New Roman" w:hAnsi="Times New Roman"/>
          <w:sz w:val="20"/>
          <w:szCs w:val="20"/>
        </w:rPr>
        <w:t xml:space="preserve"> sample showed substantial and broader absorption shoulder up to 800 nm. The extended absorption of metal doped TiO</w:t>
      </w:r>
      <w:r w:rsidRPr="00B253CE">
        <w:rPr>
          <w:rFonts w:ascii="Times New Roman" w:hAnsi="Times New Roman"/>
          <w:sz w:val="20"/>
          <w:szCs w:val="20"/>
          <w:vertAlign w:val="subscript"/>
        </w:rPr>
        <w:t>2</w:t>
      </w:r>
      <w:r w:rsidRPr="00B253CE">
        <w:rPr>
          <w:rFonts w:ascii="Times New Roman" w:hAnsi="Times New Roman"/>
          <w:sz w:val="20"/>
          <w:szCs w:val="20"/>
        </w:rPr>
        <w:t xml:space="preserve"> samples into the visible region has been explained in terms of excitation of electrons of dopant ion to TiO</w:t>
      </w:r>
      <w:r w:rsidRPr="00B253CE">
        <w:rPr>
          <w:rFonts w:ascii="Times New Roman" w:hAnsi="Times New Roman"/>
          <w:sz w:val="20"/>
          <w:szCs w:val="20"/>
          <w:vertAlign w:val="subscript"/>
        </w:rPr>
        <w:t>2</w:t>
      </w:r>
      <w:r w:rsidRPr="00B253CE">
        <w:rPr>
          <w:rFonts w:ascii="Times New Roman" w:hAnsi="Times New Roman"/>
          <w:sz w:val="20"/>
          <w:szCs w:val="20"/>
        </w:rPr>
        <w:t xml:space="preserve"> conduction band. For example, the enhanced absorption observed for the metal doped TiO</w:t>
      </w:r>
      <w:r w:rsidRPr="00B253CE">
        <w:rPr>
          <w:rFonts w:ascii="Times New Roman" w:hAnsi="Times New Roman"/>
          <w:sz w:val="20"/>
          <w:szCs w:val="20"/>
          <w:vertAlign w:val="subscript"/>
        </w:rPr>
        <w:t>2</w:t>
      </w:r>
      <w:r w:rsidRPr="00B253CE">
        <w:rPr>
          <w:rFonts w:ascii="Times New Roman" w:hAnsi="Times New Roman"/>
          <w:sz w:val="20"/>
          <w:szCs w:val="20"/>
        </w:rPr>
        <w:t xml:space="preserve"> samples doped with Fe, Cu and Cu-Fe in visible region can be considered to involve excitation of 3d electrons of dopant ion to TiO</w:t>
      </w:r>
      <w:r w:rsidRPr="00B253CE">
        <w:rPr>
          <w:rFonts w:ascii="Times New Roman" w:hAnsi="Times New Roman"/>
          <w:sz w:val="20"/>
          <w:szCs w:val="20"/>
          <w:vertAlign w:val="subscript"/>
        </w:rPr>
        <w:t>2</w:t>
      </w:r>
      <w:r w:rsidRPr="00B253CE">
        <w:rPr>
          <w:rFonts w:ascii="Times New Roman" w:hAnsi="Times New Roman"/>
          <w:sz w:val="20"/>
          <w:szCs w:val="20"/>
        </w:rPr>
        <w:t xml:space="preserve"> conduction band according to their respective energy levels [42]. The enhancement of light absorption in the visible region provides a possibility for improving the photocatalytic performance of TiO</w:t>
      </w:r>
      <w:r w:rsidRPr="00B253CE">
        <w:rPr>
          <w:rFonts w:ascii="Times New Roman" w:hAnsi="Times New Roman"/>
          <w:sz w:val="20"/>
          <w:szCs w:val="20"/>
          <w:vertAlign w:val="subscript"/>
        </w:rPr>
        <w:t>2</w:t>
      </w:r>
      <w:r w:rsidRPr="00B253CE">
        <w:rPr>
          <w:rFonts w:ascii="Times New Roman" w:hAnsi="Times New Roman"/>
          <w:sz w:val="20"/>
          <w:szCs w:val="20"/>
        </w:rPr>
        <w:t xml:space="preserve"> under visible light irradiation. Doping with Cu-Fe could create sub band states in the band gap of TiO</w:t>
      </w:r>
      <w:r w:rsidRPr="00B253CE">
        <w:rPr>
          <w:rFonts w:ascii="Times New Roman" w:hAnsi="Times New Roman"/>
          <w:sz w:val="20"/>
          <w:szCs w:val="20"/>
          <w:vertAlign w:val="subscript"/>
        </w:rPr>
        <w:t>2</w:t>
      </w:r>
      <w:r w:rsidRPr="00B253CE">
        <w:rPr>
          <w:rFonts w:ascii="Times New Roman" w:hAnsi="Times New Roman"/>
          <w:sz w:val="20"/>
          <w:szCs w:val="20"/>
        </w:rPr>
        <w:t xml:space="preserve"> which can then be easily excited to produce more electron-hole pairs under visible light irradiation, hence resulting in higher photocatalytic performance compared to undoped TiO</w:t>
      </w:r>
      <w:r w:rsidRPr="00B253CE">
        <w:rPr>
          <w:rFonts w:ascii="Times New Roman" w:hAnsi="Times New Roman"/>
          <w:sz w:val="20"/>
          <w:szCs w:val="20"/>
          <w:vertAlign w:val="subscript"/>
        </w:rPr>
        <w:t>2</w:t>
      </w:r>
      <w:r w:rsidRPr="00B253CE">
        <w:rPr>
          <w:rFonts w:ascii="Times New Roman" w:hAnsi="Times New Roman"/>
          <w:sz w:val="20"/>
          <w:szCs w:val="20"/>
        </w:rPr>
        <w:t>. Moreover, a decrease in the band gap energy together with an enhanced absorption intensity of all doped TiO</w:t>
      </w:r>
      <w:r w:rsidRPr="00B253CE">
        <w:rPr>
          <w:rFonts w:ascii="Times New Roman" w:hAnsi="Times New Roman"/>
          <w:sz w:val="20"/>
          <w:szCs w:val="20"/>
          <w:vertAlign w:val="subscript"/>
        </w:rPr>
        <w:t>2</w:t>
      </w:r>
      <w:r w:rsidRPr="00B253CE">
        <w:rPr>
          <w:rFonts w:ascii="Times New Roman" w:hAnsi="Times New Roman"/>
          <w:sz w:val="20"/>
          <w:szCs w:val="20"/>
        </w:rPr>
        <w:t xml:space="preserve"> can be seen from the UV-Vis results. This pheonomenon could be due to many factors such as morphology, crystallite size, phase structure and amount of metal loadings [43].</w:t>
      </w:r>
    </w:p>
    <w:p w:rsidR="00B253CE" w:rsidRPr="00B253CE" w:rsidRDefault="00B253CE" w:rsidP="00B253CE">
      <w:pPr>
        <w:spacing w:after="0" w:line="240" w:lineRule="auto"/>
        <w:jc w:val="both"/>
        <w:rPr>
          <w:rFonts w:ascii="Times New Roman" w:hAnsi="Times New Roman"/>
          <w:sz w:val="20"/>
          <w:szCs w:val="20"/>
        </w:rPr>
      </w:pPr>
    </w:p>
    <w:p w:rsidR="008129F7" w:rsidRPr="00B253CE" w:rsidRDefault="008129F7" w:rsidP="00B253CE">
      <w:pPr>
        <w:spacing w:after="0" w:line="240" w:lineRule="auto"/>
        <w:jc w:val="both"/>
        <w:rPr>
          <w:rFonts w:ascii="Times New Roman" w:hAnsi="Times New Roman"/>
          <w:sz w:val="20"/>
          <w:szCs w:val="20"/>
        </w:rPr>
      </w:pPr>
    </w:p>
    <w:p w:rsidR="00B253CE" w:rsidRPr="00B253CE" w:rsidRDefault="00B253CE" w:rsidP="008129F7">
      <w:pPr>
        <w:spacing w:after="0" w:line="240" w:lineRule="auto"/>
        <w:jc w:val="center"/>
        <w:rPr>
          <w:rFonts w:ascii="Times New Roman" w:hAnsi="Times New Roman"/>
          <w:sz w:val="20"/>
          <w:szCs w:val="20"/>
        </w:rPr>
      </w:pPr>
      <w:r w:rsidRPr="00B253CE">
        <w:rPr>
          <w:rFonts w:ascii="Times New Roman" w:hAnsi="Times New Roman"/>
          <w:noProof/>
          <w:sz w:val="20"/>
          <w:szCs w:val="20"/>
          <w:lang w:bidi="ar-SA"/>
        </w:rPr>
        <w:lastRenderedPageBreak/>
        <w:drawing>
          <wp:inline distT="0" distB="0" distL="0" distR="0" wp14:anchorId="6E9D3FE7" wp14:editId="21A979EE">
            <wp:extent cx="3758174" cy="3076575"/>
            <wp:effectExtent l="19050" t="19050" r="1397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765305" cy="3082413"/>
                    </a:xfrm>
                    <a:prstGeom prst="rect">
                      <a:avLst/>
                    </a:prstGeom>
                    <a:noFill/>
                    <a:ln>
                      <a:solidFill>
                        <a:schemeClr val="tx1"/>
                      </a:solidFill>
                    </a:ln>
                  </pic:spPr>
                </pic:pic>
              </a:graphicData>
            </a:graphic>
          </wp:inline>
        </w:drawing>
      </w:r>
    </w:p>
    <w:p w:rsidR="00B253CE" w:rsidRPr="00B253CE" w:rsidRDefault="00B253CE" w:rsidP="00B253CE">
      <w:pPr>
        <w:spacing w:after="0" w:line="240" w:lineRule="auto"/>
        <w:jc w:val="both"/>
        <w:rPr>
          <w:rFonts w:ascii="Times New Roman" w:hAnsi="Times New Roman"/>
          <w:sz w:val="20"/>
          <w:szCs w:val="20"/>
        </w:rPr>
      </w:pPr>
    </w:p>
    <w:p w:rsidR="00B253CE" w:rsidRPr="00B253CE" w:rsidRDefault="00B253CE" w:rsidP="008129F7">
      <w:pPr>
        <w:tabs>
          <w:tab w:val="center" w:pos="4320"/>
        </w:tabs>
        <w:spacing w:after="0" w:line="240" w:lineRule="auto"/>
        <w:jc w:val="center"/>
        <w:rPr>
          <w:rFonts w:ascii="Times New Roman" w:hAnsi="Times New Roman"/>
          <w:noProof/>
          <w:sz w:val="20"/>
          <w:szCs w:val="20"/>
        </w:rPr>
      </w:pPr>
      <w:r w:rsidRPr="00B253CE">
        <w:rPr>
          <w:rFonts w:ascii="Times New Roman" w:eastAsia="MS Mincho" w:hAnsi="Times New Roman"/>
          <w:bCs/>
          <w:sz w:val="20"/>
          <w:szCs w:val="20"/>
        </w:rPr>
        <w:t>Figure 7.</w:t>
      </w:r>
      <w:r w:rsidRPr="00B253CE">
        <w:rPr>
          <w:rFonts w:ascii="Times New Roman" w:eastAsia="MS Mincho" w:hAnsi="Times New Roman"/>
          <w:b/>
          <w:bCs/>
          <w:sz w:val="20"/>
          <w:szCs w:val="20"/>
        </w:rPr>
        <w:t xml:space="preserve"> </w:t>
      </w:r>
      <w:r w:rsidR="008129F7">
        <w:rPr>
          <w:rFonts w:ascii="Times New Roman" w:eastAsia="MS Mincho" w:hAnsi="Times New Roman"/>
          <w:b/>
          <w:bCs/>
          <w:sz w:val="20"/>
          <w:szCs w:val="20"/>
        </w:rPr>
        <w:t xml:space="preserve"> </w:t>
      </w:r>
      <w:r w:rsidRPr="00B253CE">
        <w:rPr>
          <w:rFonts w:ascii="Times New Roman" w:eastAsia="MS Mincho" w:hAnsi="Times New Roman"/>
          <w:sz w:val="20"/>
          <w:szCs w:val="20"/>
        </w:rPr>
        <w:t>DR-UV-Vis spectra of TiO</w:t>
      </w:r>
      <w:r w:rsidRPr="00B253CE">
        <w:rPr>
          <w:rFonts w:ascii="Times New Roman" w:eastAsia="MS Mincho" w:hAnsi="Times New Roman"/>
          <w:sz w:val="20"/>
          <w:szCs w:val="20"/>
          <w:vertAlign w:val="subscript"/>
        </w:rPr>
        <w:t>2</w:t>
      </w:r>
      <w:r w:rsidRPr="00B253CE">
        <w:rPr>
          <w:rFonts w:ascii="Times New Roman" w:eastAsia="MS Mincho" w:hAnsi="Times New Roman"/>
          <w:sz w:val="20"/>
          <w:szCs w:val="20"/>
        </w:rPr>
        <w:t xml:space="preserve">, </w:t>
      </w:r>
      <w:r w:rsidRPr="00B253CE">
        <w:rPr>
          <w:rFonts w:ascii="Times New Roman" w:hAnsi="Times New Roman"/>
          <w:noProof/>
          <w:sz w:val="20"/>
          <w:szCs w:val="20"/>
        </w:rPr>
        <w:t xml:space="preserve">Cu, </w:t>
      </w:r>
      <w:r w:rsidRPr="00B253CE">
        <w:rPr>
          <w:rFonts w:ascii="Times New Roman" w:hAnsi="Times New Roman"/>
          <w:sz w:val="20"/>
          <w:szCs w:val="20"/>
        </w:rPr>
        <w:t>10Cu1Fe</w:t>
      </w:r>
      <w:r w:rsidRPr="00B253CE">
        <w:rPr>
          <w:rFonts w:ascii="Times New Roman" w:hAnsi="Times New Roman"/>
          <w:noProof/>
          <w:sz w:val="20"/>
          <w:szCs w:val="20"/>
        </w:rPr>
        <w:t>,</w:t>
      </w:r>
      <w:r w:rsidRPr="00B253CE">
        <w:rPr>
          <w:rFonts w:ascii="Times New Roman" w:hAnsi="Times New Roman"/>
          <w:sz w:val="20"/>
          <w:szCs w:val="20"/>
        </w:rPr>
        <w:t xml:space="preserve"> 9Cu2Fe</w:t>
      </w:r>
      <w:r w:rsidRPr="00B253CE">
        <w:rPr>
          <w:rFonts w:ascii="Times New Roman" w:hAnsi="Times New Roman"/>
          <w:noProof/>
          <w:sz w:val="20"/>
          <w:szCs w:val="20"/>
        </w:rPr>
        <w:t>,</w:t>
      </w:r>
      <w:r w:rsidRPr="00B253CE">
        <w:rPr>
          <w:rFonts w:ascii="Times New Roman" w:hAnsi="Times New Roman"/>
          <w:sz w:val="20"/>
          <w:szCs w:val="20"/>
        </w:rPr>
        <w:t xml:space="preserve"> 8Cu3Fe</w:t>
      </w:r>
      <w:r w:rsidRPr="00B253CE">
        <w:rPr>
          <w:rFonts w:ascii="Times New Roman" w:hAnsi="Times New Roman"/>
          <w:noProof/>
          <w:sz w:val="20"/>
          <w:szCs w:val="20"/>
        </w:rPr>
        <w:t xml:space="preserve"> and Fe</w:t>
      </w:r>
    </w:p>
    <w:p w:rsidR="00B253CE" w:rsidRDefault="00B253CE" w:rsidP="00B253CE">
      <w:pPr>
        <w:spacing w:after="0" w:line="240" w:lineRule="auto"/>
        <w:jc w:val="both"/>
        <w:rPr>
          <w:rFonts w:ascii="Times New Roman" w:hAnsi="Times New Roman"/>
          <w:bCs/>
          <w:sz w:val="20"/>
          <w:szCs w:val="20"/>
        </w:rPr>
      </w:pPr>
    </w:p>
    <w:p w:rsidR="008129F7" w:rsidRDefault="008129F7" w:rsidP="00B253CE">
      <w:pPr>
        <w:spacing w:after="0" w:line="240" w:lineRule="auto"/>
        <w:jc w:val="both"/>
        <w:rPr>
          <w:rFonts w:ascii="Times New Roman" w:hAnsi="Times New Roman"/>
          <w:bCs/>
          <w:sz w:val="20"/>
          <w:szCs w:val="20"/>
        </w:rPr>
      </w:pPr>
    </w:p>
    <w:p w:rsidR="002E7DF9" w:rsidRPr="00B253CE" w:rsidRDefault="002E7DF9" w:rsidP="002E7DF9">
      <w:pPr>
        <w:spacing w:after="0" w:line="240" w:lineRule="auto"/>
        <w:jc w:val="both"/>
        <w:rPr>
          <w:rFonts w:ascii="Times New Roman" w:hAnsi="Times New Roman"/>
          <w:sz w:val="20"/>
          <w:szCs w:val="20"/>
        </w:rPr>
      </w:pPr>
      <w:r w:rsidRPr="00B253CE">
        <w:rPr>
          <w:rFonts w:ascii="Times New Roman" w:hAnsi="Times New Roman"/>
          <w:sz w:val="20"/>
          <w:szCs w:val="20"/>
        </w:rPr>
        <w:t>In order to determine the band gap energy of the photocatalyst, reflectance [F(R)] spectra using Kubelka-Munk formalism and Tauc plot was employed for each synthesized photocatalyst [44]. Using the Tauc plot of [F(R).</w:t>
      </w:r>
      <w:r w:rsidRPr="00B253CE">
        <w:rPr>
          <w:rFonts w:ascii="Times New Roman" w:hAnsi="Times New Roman"/>
          <w:i/>
          <w:iCs/>
          <w:sz w:val="20"/>
          <w:szCs w:val="20"/>
        </w:rPr>
        <w:t>hv</w:t>
      </w:r>
      <w:r w:rsidRPr="00B253CE">
        <w:rPr>
          <w:rFonts w:ascii="Times New Roman" w:hAnsi="Times New Roman"/>
          <w:sz w:val="20"/>
          <w:szCs w:val="20"/>
        </w:rPr>
        <w:t>]</w:t>
      </w:r>
      <w:r w:rsidRPr="00B253CE">
        <w:rPr>
          <w:rFonts w:ascii="Times New Roman" w:hAnsi="Times New Roman"/>
          <w:i/>
          <w:iCs/>
          <w:sz w:val="20"/>
          <w:szCs w:val="20"/>
          <w:vertAlign w:val="superscript"/>
        </w:rPr>
        <w:t>n</w:t>
      </w:r>
      <w:r w:rsidRPr="00B253CE">
        <w:rPr>
          <w:rFonts w:ascii="Times New Roman" w:hAnsi="Times New Roman"/>
          <w:sz w:val="20"/>
          <w:szCs w:val="20"/>
        </w:rPr>
        <w:t xml:space="preserve"> vs. </w:t>
      </w:r>
      <w:r w:rsidRPr="00B253CE">
        <w:rPr>
          <w:rFonts w:ascii="Times New Roman" w:hAnsi="Times New Roman"/>
          <w:i/>
          <w:iCs/>
          <w:sz w:val="20"/>
          <w:szCs w:val="20"/>
        </w:rPr>
        <w:t xml:space="preserve">hv </w:t>
      </w:r>
      <w:r w:rsidRPr="00B253CE">
        <w:rPr>
          <w:rFonts w:ascii="Times New Roman" w:hAnsi="Times New Roman"/>
          <w:sz w:val="20"/>
          <w:szCs w:val="20"/>
        </w:rPr>
        <w:t xml:space="preserve">where </w:t>
      </w:r>
      <w:r w:rsidRPr="00B253CE">
        <w:rPr>
          <w:rFonts w:ascii="Times New Roman" w:hAnsi="Times New Roman"/>
          <w:i/>
          <w:iCs/>
          <w:sz w:val="20"/>
          <w:szCs w:val="20"/>
        </w:rPr>
        <w:t>hv</w:t>
      </w:r>
      <w:r w:rsidRPr="00B253CE">
        <w:rPr>
          <w:rFonts w:ascii="Times New Roman" w:hAnsi="Times New Roman"/>
          <w:sz w:val="20"/>
          <w:szCs w:val="20"/>
        </w:rPr>
        <w:t xml:space="preserve"> is the photon energy and </w:t>
      </w:r>
      <w:r w:rsidRPr="00B253CE">
        <w:rPr>
          <w:rFonts w:ascii="Times New Roman" w:hAnsi="Times New Roman"/>
          <w:i/>
          <w:iCs/>
          <w:sz w:val="20"/>
          <w:szCs w:val="20"/>
        </w:rPr>
        <w:t>n</w:t>
      </w:r>
      <w:r w:rsidRPr="00B253CE">
        <w:rPr>
          <w:rFonts w:ascii="Times New Roman" w:hAnsi="Times New Roman"/>
          <w:sz w:val="20"/>
          <w:szCs w:val="20"/>
        </w:rPr>
        <w:t xml:space="preserve"> = ½ for direct band gap of the photocatalyst, the linear region of the plot was extrapolated to intersect the photon energy axis to deduce the band gap energy of the respective photocatalyst. The band gap of bare TiO</w:t>
      </w:r>
      <w:r w:rsidRPr="00B253CE">
        <w:rPr>
          <w:rFonts w:ascii="Times New Roman" w:hAnsi="Times New Roman"/>
          <w:sz w:val="20"/>
          <w:szCs w:val="20"/>
          <w:vertAlign w:val="subscript"/>
        </w:rPr>
        <w:t>2</w:t>
      </w:r>
      <w:r w:rsidRPr="00B253CE">
        <w:rPr>
          <w:rFonts w:ascii="Times New Roman" w:hAnsi="Times New Roman"/>
          <w:sz w:val="20"/>
          <w:szCs w:val="20"/>
        </w:rPr>
        <w:t xml:space="preserve"> was 3.09 eV and upon incorporation of Cu, Fe or Cu-Fe, the band gap values were reduced. The band gap for Cu was 2.70 eV. The incorporation of Cu and Fe at 10:1 mass composition gave the highest reduction to the band gap (2.69 eV). As the Fe content increases, the band gaps slowly increases from 2.72 to 2.73 eV for 9Cu2Fe and 8Cu3Fe, respectively, indicating some synergistic effect [43]. The band gap for Fe was the highest, 2.82 eV. The blue shift in the absorption of photocatalysts suggested that the dopants successfully generate lower energy level between the valence and conduction bands </w:t>
      </w:r>
      <w:r w:rsidRPr="00B253CE">
        <w:rPr>
          <w:rFonts w:ascii="Times New Roman" w:hAnsi="Times New Roman"/>
          <w:noProof/>
          <w:sz w:val="20"/>
          <w:szCs w:val="20"/>
        </w:rPr>
        <w:t xml:space="preserve">[45]. </w:t>
      </w:r>
      <w:r w:rsidRPr="00B253CE">
        <w:rPr>
          <w:rFonts w:ascii="Times New Roman" w:hAnsi="Times New Roman"/>
          <w:sz w:val="20"/>
          <w:szCs w:val="20"/>
        </w:rPr>
        <w:t>The estimated band gap energy of metal doped TiO</w:t>
      </w:r>
      <w:r w:rsidRPr="00B253CE">
        <w:rPr>
          <w:rFonts w:ascii="Times New Roman" w:hAnsi="Times New Roman"/>
          <w:sz w:val="20"/>
          <w:szCs w:val="20"/>
          <w:vertAlign w:val="subscript"/>
        </w:rPr>
        <w:t>2</w:t>
      </w:r>
      <w:r w:rsidRPr="00B253CE">
        <w:rPr>
          <w:rFonts w:ascii="Times New Roman" w:hAnsi="Times New Roman"/>
          <w:sz w:val="20"/>
          <w:szCs w:val="20"/>
        </w:rPr>
        <w:t xml:space="preserve"> was lower compared to that of TiO</w:t>
      </w:r>
      <w:r w:rsidRPr="00B253CE">
        <w:rPr>
          <w:rFonts w:ascii="Times New Roman" w:hAnsi="Times New Roman"/>
          <w:sz w:val="20"/>
          <w:szCs w:val="20"/>
          <w:vertAlign w:val="subscript"/>
        </w:rPr>
        <w:t>2</w:t>
      </w:r>
      <w:r w:rsidRPr="00B253CE">
        <w:rPr>
          <w:rFonts w:ascii="Times New Roman" w:hAnsi="Times New Roman"/>
          <w:sz w:val="20"/>
          <w:szCs w:val="20"/>
        </w:rPr>
        <w:t xml:space="preserve"> P25 (3.2 eV) [46]. Decreasing band gap energy increases the absorbance in the visible region and indicates that the electron-hole pairs can be generated with metal doping on the TiO</w:t>
      </w:r>
      <w:r w:rsidRPr="00B253CE">
        <w:rPr>
          <w:rFonts w:ascii="Times New Roman" w:hAnsi="Times New Roman"/>
          <w:sz w:val="20"/>
          <w:szCs w:val="20"/>
          <w:vertAlign w:val="subscript"/>
        </w:rPr>
        <w:t>2</w:t>
      </w:r>
      <w:r w:rsidRPr="00B253CE">
        <w:rPr>
          <w:rFonts w:ascii="Times New Roman" w:hAnsi="Times New Roman"/>
          <w:sz w:val="20"/>
          <w:szCs w:val="20"/>
        </w:rPr>
        <w:t>, which can be attributed to the charge transfer between metal ions and TiO</w:t>
      </w:r>
      <w:r w:rsidRPr="00B253CE">
        <w:rPr>
          <w:rFonts w:ascii="Times New Roman" w:hAnsi="Times New Roman"/>
          <w:sz w:val="20"/>
          <w:szCs w:val="20"/>
          <w:vertAlign w:val="subscript"/>
        </w:rPr>
        <w:t>2</w:t>
      </w:r>
      <w:r w:rsidRPr="00B253CE">
        <w:rPr>
          <w:rFonts w:ascii="Times New Roman" w:hAnsi="Times New Roman"/>
          <w:sz w:val="20"/>
          <w:szCs w:val="20"/>
        </w:rPr>
        <w:t xml:space="preserve"> [34]. </w:t>
      </w:r>
    </w:p>
    <w:p w:rsidR="002E7DF9" w:rsidRDefault="002E7DF9" w:rsidP="00B253CE">
      <w:pPr>
        <w:spacing w:after="0" w:line="240" w:lineRule="auto"/>
        <w:jc w:val="both"/>
        <w:rPr>
          <w:rFonts w:ascii="Times New Roman" w:hAnsi="Times New Roman"/>
          <w:bCs/>
          <w:sz w:val="20"/>
          <w:szCs w:val="20"/>
        </w:rPr>
      </w:pPr>
    </w:p>
    <w:p w:rsidR="008129F7" w:rsidRPr="00B253CE" w:rsidRDefault="008129F7" w:rsidP="008129F7">
      <w:pPr>
        <w:spacing w:after="0" w:line="240" w:lineRule="auto"/>
        <w:jc w:val="both"/>
        <w:rPr>
          <w:rFonts w:ascii="Times New Roman" w:hAnsi="Times New Roman"/>
          <w:b/>
          <w:bCs/>
          <w:sz w:val="20"/>
          <w:szCs w:val="20"/>
        </w:rPr>
      </w:pPr>
      <w:r w:rsidRPr="00B253CE">
        <w:rPr>
          <w:rFonts w:ascii="Times New Roman" w:hAnsi="Times New Roman"/>
          <w:b/>
          <w:bCs/>
          <w:sz w:val="20"/>
          <w:szCs w:val="20"/>
        </w:rPr>
        <w:t>Photocatalytic performance</w:t>
      </w:r>
    </w:p>
    <w:p w:rsidR="008129F7" w:rsidRPr="00B253CE" w:rsidRDefault="008129F7" w:rsidP="008129F7">
      <w:pPr>
        <w:spacing w:after="0" w:line="240" w:lineRule="auto"/>
        <w:jc w:val="both"/>
        <w:rPr>
          <w:rFonts w:ascii="Times New Roman" w:eastAsia="MS Mincho" w:hAnsi="Times New Roman"/>
          <w:sz w:val="20"/>
          <w:szCs w:val="20"/>
        </w:rPr>
      </w:pPr>
      <w:r w:rsidRPr="00B253CE">
        <w:rPr>
          <w:rFonts w:ascii="Times New Roman" w:hAnsi="Times New Roman"/>
          <w:sz w:val="20"/>
          <w:szCs w:val="20"/>
        </w:rPr>
        <w:t xml:space="preserve">The mass composition of metals in the bimetallic photocatalyst plays a significant role in the photocatalytic activity [47]. </w:t>
      </w:r>
      <w:r w:rsidRPr="00B253CE">
        <w:rPr>
          <w:rFonts w:ascii="Times New Roman" w:eastAsia="MS Mincho" w:hAnsi="Times New Roman"/>
          <w:sz w:val="20"/>
          <w:szCs w:val="20"/>
        </w:rPr>
        <w:t xml:space="preserve">Figure 8 displays the photooxidative efficiency for DBT conversion of model diesel using the photocatalysts with different Cu:Fe mass composition. The highest DBT conversion was 82.36 % displayed by 10Cu1Fe. It is noteworthy </w:t>
      </w:r>
      <w:r w:rsidR="00D6540C">
        <w:rPr>
          <w:rFonts w:ascii="Times New Roman" w:eastAsia="MS Mincho" w:hAnsi="Times New Roman"/>
          <w:sz w:val="20"/>
          <w:szCs w:val="20"/>
        </w:rPr>
        <w:t xml:space="preserve"> </w:t>
      </w:r>
      <w:r w:rsidRPr="00B253CE">
        <w:rPr>
          <w:rFonts w:ascii="Times New Roman" w:eastAsia="MS Mincho" w:hAnsi="Times New Roman"/>
          <w:sz w:val="20"/>
          <w:szCs w:val="20"/>
        </w:rPr>
        <w:t xml:space="preserve">that the </w:t>
      </w:r>
      <w:r w:rsidR="00D6540C">
        <w:rPr>
          <w:rFonts w:ascii="Times New Roman" w:eastAsia="MS Mincho" w:hAnsi="Times New Roman"/>
          <w:sz w:val="20"/>
          <w:szCs w:val="20"/>
        </w:rPr>
        <w:t xml:space="preserve"> </w:t>
      </w:r>
      <w:r w:rsidRPr="00B253CE">
        <w:rPr>
          <w:rFonts w:ascii="Times New Roman" w:eastAsia="MS Mincho" w:hAnsi="Times New Roman"/>
          <w:sz w:val="20"/>
          <w:szCs w:val="20"/>
        </w:rPr>
        <w:t xml:space="preserve">monometallic photocatalysts </w:t>
      </w:r>
      <w:r w:rsidR="00D6540C">
        <w:rPr>
          <w:rFonts w:ascii="Times New Roman" w:eastAsia="MS Mincho" w:hAnsi="Times New Roman"/>
          <w:sz w:val="20"/>
          <w:szCs w:val="20"/>
        </w:rPr>
        <w:t xml:space="preserve"> </w:t>
      </w:r>
      <w:r w:rsidRPr="00B253CE">
        <w:rPr>
          <w:rFonts w:ascii="Times New Roman" w:eastAsia="MS Mincho" w:hAnsi="Times New Roman"/>
          <w:sz w:val="20"/>
          <w:szCs w:val="20"/>
        </w:rPr>
        <w:t>displayed</w:t>
      </w:r>
      <w:r w:rsidR="00D6540C">
        <w:rPr>
          <w:rFonts w:ascii="Times New Roman" w:eastAsia="MS Mincho" w:hAnsi="Times New Roman"/>
          <w:sz w:val="20"/>
          <w:szCs w:val="20"/>
        </w:rPr>
        <w:t xml:space="preserve"> </w:t>
      </w:r>
      <w:r w:rsidRPr="00B253CE">
        <w:rPr>
          <w:rFonts w:ascii="Times New Roman" w:eastAsia="MS Mincho" w:hAnsi="Times New Roman"/>
          <w:sz w:val="20"/>
          <w:szCs w:val="20"/>
        </w:rPr>
        <w:t xml:space="preserve"> the </w:t>
      </w:r>
      <w:r w:rsidR="00D6540C">
        <w:rPr>
          <w:rFonts w:ascii="Times New Roman" w:eastAsia="MS Mincho" w:hAnsi="Times New Roman"/>
          <w:sz w:val="20"/>
          <w:szCs w:val="20"/>
        </w:rPr>
        <w:t xml:space="preserve"> </w:t>
      </w:r>
      <w:bookmarkStart w:id="0" w:name="_GoBack"/>
      <w:bookmarkEnd w:id="0"/>
      <w:r w:rsidRPr="00B253CE">
        <w:rPr>
          <w:rFonts w:ascii="Times New Roman" w:eastAsia="MS Mincho" w:hAnsi="Times New Roman"/>
          <w:sz w:val="20"/>
          <w:szCs w:val="20"/>
        </w:rPr>
        <w:t xml:space="preserve">lowest DBT conversion of 18.95 % for Fe and 54.88 % for Cu compared to the bimetallic photocatalysts. This observation is similar to studies reported by Liu </w:t>
      </w:r>
      <w:r w:rsidRPr="00B253CE">
        <w:rPr>
          <w:rFonts w:ascii="Times New Roman" w:eastAsia="MS Mincho" w:hAnsi="Times New Roman"/>
          <w:iCs/>
          <w:sz w:val="20"/>
          <w:szCs w:val="20"/>
        </w:rPr>
        <w:t>et al.</w:t>
      </w:r>
      <w:r w:rsidRPr="00B253CE">
        <w:rPr>
          <w:rFonts w:ascii="Times New Roman" w:eastAsia="MS Mincho" w:hAnsi="Times New Roman"/>
          <w:sz w:val="20"/>
          <w:szCs w:val="20"/>
        </w:rPr>
        <w:t xml:space="preserve"> [24] and Zhang [25], where the photocatalytic activity of Cu-Fe co-doped TiO</w:t>
      </w:r>
      <w:r w:rsidRPr="00B253CE">
        <w:rPr>
          <w:rFonts w:ascii="Times New Roman" w:eastAsia="MS Mincho" w:hAnsi="Times New Roman"/>
          <w:sz w:val="20"/>
          <w:szCs w:val="20"/>
          <w:vertAlign w:val="subscript"/>
        </w:rPr>
        <w:t>2</w:t>
      </w:r>
      <w:r w:rsidRPr="00B253CE">
        <w:rPr>
          <w:rFonts w:ascii="Times New Roman" w:eastAsia="MS Mincho" w:hAnsi="Times New Roman"/>
          <w:sz w:val="20"/>
          <w:szCs w:val="20"/>
        </w:rPr>
        <w:t xml:space="preserve"> was higher than that of undoped or singly doped photocatalyst.</w:t>
      </w:r>
    </w:p>
    <w:p w:rsidR="008129F7" w:rsidRDefault="008129F7" w:rsidP="00B253CE">
      <w:pPr>
        <w:spacing w:after="0" w:line="240" w:lineRule="auto"/>
        <w:jc w:val="both"/>
        <w:rPr>
          <w:rFonts w:ascii="Times New Roman" w:hAnsi="Times New Roman"/>
          <w:bCs/>
          <w:sz w:val="20"/>
          <w:szCs w:val="20"/>
        </w:rPr>
      </w:pPr>
    </w:p>
    <w:p w:rsidR="008129F7" w:rsidRPr="00B253CE" w:rsidRDefault="008129F7" w:rsidP="008129F7">
      <w:pPr>
        <w:spacing w:after="0" w:line="240" w:lineRule="auto"/>
        <w:jc w:val="both"/>
        <w:rPr>
          <w:rFonts w:ascii="Times New Roman" w:eastAsia="MS Mincho" w:hAnsi="Times New Roman"/>
          <w:sz w:val="20"/>
          <w:szCs w:val="20"/>
        </w:rPr>
      </w:pPr>
      <w:r w:rsidRPr="00B253CE">
        <w:rPr>
          <w:rFonts w:ascii="Times New Roman" w:eastAsia="MS Mincho" w:hAnsi="Times New Roman"/>
          <w:sz w:val="20"/>
          <w:szCs w:val="20"/>
        </w:rPr>
        <w:t>The formation of electron-hole pairs (</w:t>
      </w:r>
      <m:oMath>
        <m:sSubSup>
          <m:sSubSupPr>
            <m:ctrlPr>
              <w:rPr>
                <w:rFonts w:ascii="Cambria Math" w:eastAsia="MS Mincho" w:hAnsi="Cambria Math"/>
                <w:i/>
                <w:sz w:val="20"/>
                <w:szCs w:val="20"/>
              </w:rPr>
            </m:ctrlPr>
          </m:sSubSupPr>
          <m:e>
            <m:r>
              <w:rPr>
                <w:rFonts w:ascii="Cambria Math" w:eastAsia="MS Mincho" w:hAnsi="Cambria Math"/>
                <w:sz w:val="20"/>
                <w:szCs w:val="20"/>
              </w:rPr>
              <m:t>e</m:t>
            </m:r>
          </m:e>
          <m:sub>
            <m:r>
              <w:rPr>
                <w:rFonts w:ascii="Cambria Math" w:eastAsia="MS Mincho" w:hAnsi="Cambria Math"/>
                <w:sz w:val="20"/>
                <w:szCs w:val="20"/>
              </w:rPr>
              <m:t>cb</m:t>
            </m:r>
          </m:sub>
          <m:sup>
            <m:r>
              <w:rPr>
                <w:rFonts w:ascii="Cambria Math" w:eastAsia="MS Mincho" w:hAnsi="Cambria Math"/>
                <w:sz w:val="20"/>
                <w:szCs w:val="20"/>
              </w:rPr>
              <m:t>-</m:t>
            </m:r>
          </m:sup>
        </m:sSubSup>
        <m:r>
          <w:rPr>
            <w:rFonts w:ascii="Cambria Math" w:eastAsia="MS Mincho" w:hAnsi="Cambria Math"/>
            <w:sz w:val="20"/>
            <w:szCs w:val="20"/>
          </w:rPr>
          <m:t xml:space="preserve">- </m:t>
        </m:r>
        <m:sSubSup>
          <m:sSubSupPr>
            <m:ctrlPr>
              <w:rPr>
                <w:rFonts w:ascii="Cambria Math" w:eastAsia="MS Mincho" w:hAnsi="Cambria Math"/>
                <w:i/>
                <w:sz w:val="20"/>
                <w:szCs w:val="20"/>
              </w:rPr>
            </m:ctrlPr>
          </m:sSubSupPr>
          <m:e>
            <m:r>
              <w:rPr>
                <w:rFonts w:ascii="Cambria Math" w:eastAsia="MS Mincho" w:hAnsi="Cambria Math"/>
                <w:sz w:val="20"/>
                <w:szCs w:val="20"/>
              </w:rPr>
              <m:t>h</m:t>
            </m:r>
          </m:e>
          <m:sub>
            <m:r>
              <w:rPr>
                <w:rFonts w:ascii="Cambria Math" w:eastAsia="MS Mincho" w:hAnsi="Cambria Math"/>
                <w:sz w:val="20"/>
                <w:szCs w:val="20"/>
              </w:rPr>
              <m:t>vb</m:t>
            </m:r>
          </m:sub>
          <m:sup>
            <m:r>
              <w:rPr>
                <w:rFonts w:ascii="Cambria Math" w:eastAsia="MS Mincho" w:hAnsi="Cambria Math"/>
                <w:sz w:val="20"/>
                <w:szCs w:val="20"/>
              </w:rPr>
              <m:t>+</m:t>
            </m:r>
          </m:sup>
        </m:sSubSup>
      </m:oMath>
      <w:r w:rsidRPr="00B253CE">
        <w:rPr>
          <w:rFonts w:ascii="Times New Roman" w:eastAsia="MS Mincho" w:hAnsi="Times New Roman"/>
          <w:sz w:val="20"/>
          <w:szCs w:val="20"/>
        </w:rPr>
        <w:t>) are important in the photooxidation of DBT. During photooxidation process, the electrons (</w:t>
      </w:r>
      <m:oMath>
        <m:sSubSup>
          <m:sSubSupPr>
            <m:ctrlPr>
              <w:rPr>
                <w:rFonts w:ascii="Cambria Math" w:eastAsia="MS Mincho" w:hAnsi="Cambria Math"/>
                <w:i/>
                <w:sz w:val="20"/>
                <w:szCs w:val="20"/>
              </w:rPr>
            </m:ctrlPr>
          </m:sSubSupPr>
          <m:e>
            <m:r>
              <w:rPr>
                <w:rFonts w:ascii="Cambria Math" w:eastAsia="MS Mincho" w:hAnsi="Cambria Math"/>
                <w:sz w:val="20"/>
                <w:szCs w:val="20"/>
              </w:rPr>
              <m:t>e</m:t>
            </m:r>
          </m:e>
          <m:sub>
            <m:r>
              <w:rPr>
                <w:rFonts w:ascii="Cambria Math" w:eastAsia="MS Mincho" w:hAnsi="Cambria Math"/>
                <w:sz w:val="20"/>
                <w:szCs w:val="20"/>
              </w:rPr>
              <m:t>cb</m:t>
            </m:r>
          </m:sub>
          <m:sup>
            <m:r>
              <w:rPr>
                <w:rFonts w:ascii="Cambria Math" w:eastAsia="MS Mincho" w:hAnsi="Cambria Math"/>
                <w:sz w:val="20"/>
                <w:szCs w:val="20"/>
              </w:rPr>
              <m:t>-</m:t>
            </m:r>
          </m:sup>
        </m:sSubSup>
      </m:oMath>
      <w:r w:rsidRPr="00B253CE">
        <w:rPr>
          <w:rFonts w:ascii="Times New Roman" w:eastAsia="MS Mincho" w:hAnsi="Times New Roman"/>
          <w:sz w:val="20"/>
          <w:szCs w:val="20"/>
        </w:rPr>
        <w:t>) in the valence band were excited by photons from the light energy. Excited electrons migrate to the conduction band leaving holes in the valence band.  Both the electrons (</w:t>
      </w:r>
      <m:oMath>
        <m:sSubSup>
          <m:sSubSupPr>
            <m:ctrlPr>
              <w:rPr>
                <w:rFonts w:ascii="Cambria Math" w:eastAsia="MS Mincho" w:hAnsi="Cambria Math"/>
                <w:i/>
                <w:sz w:val="20"/>
                <w:szCs w:val="20"/>
              </w:rPr>
            </m:ctrlPr>
          </m:sSubSupPr>
          <m:e>
            <m:r>
              <w:rPr>
                <w:rFonts w:ascii="Cambria Math" w:eastAsia="MS Mincho" w:hAnsi="Cambria Math"/>
                <w:sz w:val="20"/>
                <w:szCs w:val="20"/>
              </w:rPr>
              <m:t>e</m:t>
            </m:r>
          </m:e>
          <m:sub>
            <m:r>
              <w:rPr>
                <w:rFonts w:ascii="Cambria Math" w:eastAsia="MS Mincho" w:hAnsi="Cambria Math"/>
                <w:sz w:val="20"/>
                <w:szCs w:val="20"/>
              </w:rPr>
              <m:t>cb</m:t>
            </m:r>
          </m:sub>
          <m:sup>
            <m:r>
              <w:rPr>
                <w:rFonts w:ascii="Cambria Math" w:eastAsia="MS Mincho" w:hAnsi="Cambria Math"/>
                <w:sz w:val="20"/>
                <w:szCs w:val="20"/>
              </w:rPr>
              <m:t>-</m:t>
            </m:r>
          </m:sup>
        </m:sSubSup>
      </m:oMath>
      <w:r w:rsidRPr="00B253CE">
        <w:rPr>
          <w:rFonts w:ascii="Times New Roman" w:eastAsia="MS Mincho" w:hAnsi="Times New Roman"/>
          <w:sz w:val="20"/>
          <w:szCs w:val="20"/>
        </w:rPr>
        <w:t>) and the holes (</w:t>
      </w:r>
      <m:oMath>
        <m:sSubSup>
          <m:sSubSupPr>
            <m:ctrlPr>
              <w:rPr>
                <w:rFonts w:ascii="Cambria Math" w:eastAsia="MS Mincho" w:hAnsi="Cambria Math"/>
                <w:i/>
                <w:sz w:val="20"/>
                <w:szCs w:val="20"/>
              </w:rPr>
            </m:ctrlPr>
          </m:sSubSupPr>
          <m:e>
            <m:r>
              <w:rPr>
                <w:rFonts w:ascii="Cambria Math" w:eastAsia="MS Mincho" w:hAnsi="Cambria Math"/>
                <w:sz w:val="20"/>
                <w:szCs w:val="20"/>
              </w:rPr>
              <m:t>h</m:t>
            </m:r>
          </m:e>
          <m:sub>
            <m:r>
              <w:rPr>
                <w:rFonts w:ascii="Cambria Math" w:eastAsia="MS Mincho" w:hAnsi="Cambria Math"/>
                <w:sz w:val="20"/>
                <w:szCs w:val="20"/>
              </w:rPr>
              <m:t>vb</m:t>
            </m:r>
          </m:sub>
          <m:sup>
            <m:r>
              <w:rPr>
                <w:rFonts w:ascii="Cambria Math" w:eastAsia="MS Mincho" w:hAnsi="Cambria Math"/>
                <w:sz w:val="20"/>
                <w:szCs w:val="20"/>
              </w:rPr>
              <m:t>+</m:t>
            </m:r>
          </m:sup>
        </m:sSubSup>
      </m:oMath>
      <w:r w:rsidRPr="00B253CE">
        <w:rPr>
          <w:rFonts w:ascii="Times New Roman" w:eastAsia="MS Mincho" w:hAnsi="Times New Roman"/>
          <w:sz w:val="20"/>
          <w:szCs w:val="20"/>
        </w:rPr>
        <w:t xml:space="preserve">) can react with entities in the system to produce hydroxyl radicals (•OH) with an oxidation potential of 2.8 V. By incorporating Cu and Fe metals, the recombination rate of </w:t>
      </w:r>
      <m:oMath>
        <m:r>
          <w:rPr>
            <w:rFonts w:ascii="Cambria Math" w:eastAsia="MS Mincho" w:hAnsi="Cambria Math"/>
            <w:sz w:val="20"/>
            <w:szCs w:val="20"/>
          </w:rPr>
          <m:t xml:space="preserve"> </m:t>
        </m:r>
        <m:sSubSup>
          <m:sSubSupPr>
            <m:ctrlPr>
              <w:rPr>
                <w:rFonts w:ascii="Cambria Math" w:eastAsia="MS Mincho" w:hAnsi="Cambria Math"/>
                <w:i/>
                <w:sz w:val="20"/>
                <w:szCs w:val="20"/>
              </w:rPr>
            </m:ctrlPr>
          </m:sSubSupPr>
          <m:e>
            <m:r>
              <w:rPr>
                <w:rFonts w:ascii="Cambria Math" w:eastAsia="MS Mincho" w:hAnsi="Cambria Math"/>
                <w:sz w:val="20"/>
                <w:szCs w:val="20"/>
              </w:rPr>
              <m:t>e</m:t>
            </m:r>
          </m:e>
          <m:sub>
            <m:r>
              <w:rPr>
                <w:rFonts w:ascii="Cambria Math" w:eastAsia="MS Mincho" w:hAnsi="Cambria Math"/>
                <w:sz w:val="20"/>
                <w:szCs w:val="20"/>
              </w:rPr>
              <m:t>cb</m:t>
            </m:r>
          </m:sub>
          <m:sup>
            <m:r>
              <w:rPr>
                <w:rFonts w:ascii="Cambria Math" w:eastAsia="MS Mincho" w:hAnsi="Cambria Math"/>
                <w:sz w:val="20"/>
                <w:szCs w:val="20"/>
              </w:rPr>
              <m:t>-</m:t>
            </m:r>
          </m:sup>
        </m:sSubSup>
        <m:r>
          <w:rPr>
            <w:rFonts w:ascii="Cambria Math" w:eastAsia="MS Mincho" w:hAnsi="Cambria Math"/>
            <w:sz w:val="20"/>
            <w:szCs w:val="20"/>
          </w:rPr>
          <m:t xml:space="preserve">- </m:t>
        </m:r>
        <m:sSubSup>
          <m:sSubSupPr>
            <m:ctrlPr>
              <w:rPr>
                <w:rFonts w:ascii="Cambria Math" w:eastAsia="MS Mincho" w:hAnsi="Cambria Math"/>
                <w:i/>
                <w:sz w:val="20"/>
                <w:szCs w:val="20"/>
              </w:rPr>
            </m:ctrlPr>
          </m:sSubSupPr>
          <m:e>
            <m:r>
              <w:rPr>
                <w:rFonts w:ascii="Cambria Math" w:eastAsia="MS Mincho" w:hAnsi="Cambria Math"/>
                <w:sz w:val="20"/>
                <w:szCs w:val="20"/>
              </w:rPr>
              <m:t>h</m:t>
            </m:r>
          </m:e>
          <m:sub>
            <m:r>
              <w:rPr>
                <w:rFonts w:ascii="Cambria Math" w:eastAsia="MS Mincho" w:hAnsi="Cambria Math"/>
                <w:sz w:val="20"/>
                <w:szCs w:val="20"/>
              </w:rPr>
              <m:t>vb</m:t>
            </m:r>
          </m:sub>
          <m:sup>
            <m:r>
              <w:rPr>
                <w:rFonts w:ascii="Cambria Math" w:eastAsia="MS Mincho" w:hAnsi="Cambria Math"/>
                <w:sz w:val="20"/>
                <w:szCs w:val="20"/>
              </w:rPr>
              <m:t>+</m:t>
            </m:r>
          </m:sup>
        </m:sSubSup>
      </m:oMath>
      <w:r w:rsidRPr="00B253CE">
        <w:rPr>
          <w:rFonts w:ascii="Times New Roman" w:eastAsia="MS Mincho" w:hAnsi="Times New Roman"/>
          <w:sz w:val="20"/>
          <w:szCs w:val="20"/>
        </w:rPr>
        <w:t xml:space="preserve"> pairs can be reduced by trapping </w:t>
      </w:r>
      <w:r w:rsidRPr="00B253CE">
        <w:rPr>
          <w:rFonts w:ascii="Times New Roman" w:eastAsia="MS Mincho" w:hAnsi="Times New Roman"/>
          <w:sz w:val="20"/>
          <w:szCs w:val="20"/>
        </w:rPr>
        <w:lastRenderedPageBreak/>
        <w:t>these charges. The electrons can be trapped by Cu</w:t>
      </w:r>
      <w:r w:rsidRPr="00B253CE">
        <w:rPr>
          <w:rFonts w:ascii="Times New Roman" w:eastAsia="MS Mincho" w:hAnsi="Times New Roman"/>
          <w:sz w:val="20"/>
          <w:szCs w:val="20"/>
          <w:vertAlign w:val="superscript"/>
        </w:rPr>
        <w:t xml:space="preserve">2+ </w:t>
      </w:r>
      <w:r w:rsidRPr="00B253CE">
        <w:rPr>
          <w:rFonts w:ascii="Times New Roman" w:eastAsia="MS Mincho" w:hAnsi="Times New Roman"/>
          <w:sz w:val="20"/>
          <w:szCs w:val="20"/>
        </w:rPr>
        <w:t>ions to form Cu</w:t>
      </w:r>
      <w:r w:rsidRPr="00B253CE">
        <w:rPr>
          <w:rFonts w:ascii="Times New Roman" w:eastAsia="MS Mincho" w:hAnsi="Times New Roman"/>
          <w:sz w:val="20"/>
          <w:szCs w:val="20"/>
          <w:vertAlign w:val="superscript"/>
        </w:rPr>
        <w:t>+</w:t>
      </w:r>
      <w:r w:rsidRPr="00B253CE">
        <w:rPr>
          <w:rFonts w:ascii="Times New Roman" w:eastAsia="MS Mincho" w:hAnsi="Times New Roman"/>
          <w:sz w:val="20"/>
          <w:szCs w:val="20"/>
          <w:vertAlign w:val="subscript"/>
        </w:rPr>
        <w:t xml:space="preserve"> </w:t>
      </w:r>
      <w:r w:rsidRPr="00B253CE">
        <w:rPr>
          <w:rFonts w:ascii="Times New Roman" w:eastAsia="MS Mincho" w:hAnsi="Times New Roman"/>
          <w:sz w:val="20"/>
          <w:szCs w:val="20"/>
        </w:rPr>
        <w:t>or CuO. The potential of Cu</w:t>
      </w:r>
      <w:r w:rsidRPr="00B253CE">
        <w:rPr>
          <w:rFonts w:ascii="Times New Roman" w:eastAsia="MS Mincho" w:hAnsi="Times New Roman"/>
          <w:sz w:val="20"/>
          <w:szCs w:val="20"/>
          <w:vertAlign w:val="superscript"/>
        </w:rPr>
        <w:t>2+</w:t>
      </w:r>
      <w:r w:rsidRPr="00B253CE">
        <w:rPr>
          <w:rFonts w:ascii="Times New Roman" w:eastAsia="MS Mincho" w:hAnsi="Times New Roman"/>
          <w:sz w:val="20"/>
          <w:szCs w:val="20"/>
        </w:rPr>
        <w:t>/Cu</w:t>
      </w:r>
      <w:r w:rsidRPr="00B253CE">
        <w:rPr>
          <w:rFonts w:ascii="Times New Roman" w:eastAsia="MS Mincho" w:hAnsi="Times New Roman"/>
          <w:sz w:val="20"/>
          <w:szCs w:val="20"/>
          <w:vertAlign w:val="superscript"/>
        </w:rPr>
        <w:t>+</w:t>
      </w:r>
      <w:r w:rsidRPr="00B253CE">
        <w:rPr>
          <w:rFonts w:ascii="Times New Roman" w:eastAsia="MS Mincho" w:hAnsi="Times New Roman"/>
          <w:sz w:val="20"/>
          <w:szCs w:val="20"/>
        </w:rPr>
        <w:t xml:space="preserve"> (0.17 V) and Cu</w:t>
      </w:r>
      <w:r w:rsidRPr="00B253CE">
        <w:rPr>
          <w:rFonts w:ascii="Times New Roman" w:eastAsia="MS Mincho" w:hAnsi="Times New Roman"/>
          <w:sz w:val="20"/>
          <w:szCs w:val="20"/>
          <w:vertAlign w:val="superscript"/>
        </w:rPr>
        <w:t>+</w:t>
      </w:r>
      <w:r w:rsidRPr="00B253CE">
        <w:rPr>
          <w:rFonts w:ascii="Times New Roman" w:eastAsia="MS Mincho" w:hAnsi="Times New Roman"/>
          <w:sz w:val="20"/>
          <w:szCs w:val="20"/>
        </w:rPr>
        <w:t>/CuO (0.52 V) are thermodynamically feasible since an electron trapper could provide better separation between the electrons and holes compared to TiO</w:t>
      </w:r>
      <w:r w:rsidRPr="00B253CE">
        <w:rPr>
          <w:rFonts w:ascii="Times New Roman" w:eastAsia="MS Mincho" w:hAnsi="Times New Roman"/>
          <w:sz w:val="20"/>
          <w:szCs w:val="20"/>
          <w:vertAlign w:val="subscript"/>
        </w:rPr>
        <w:t>2</w:t>
      </w:r>
      <w:r w:rsidRPr="00B253CE">
        <w:rPr>
          <w:rFonts w:ascii="Times New Roman" w:eastAsia="MS Mincho" w:hAnsi="Times New Roman"/>
          <w:sz w:val="20"/>
          <w:szCs w:val="20"/>
        </w:rPr>
        <w:t xml:space="preserve"> (</w:t>
      </w:r>
      <w:r w:rsidRPr="00B253CE">
        <w:rPr>
          <w:rFonts w:ascii="Times New Roman" w:eastAsia="MS Mincho" w:hAnsi="Times New Roman"/>
          <w:sz w:val="20"/>
          <w:szCs w:val="20"/>
        </w:rPr>
        <w:sym w:font="Symbol" w:char="F02D"/>
      </w:r>
      <w:r w:rsidRPr="00B253CE">
        <w:rPr>
          <w:rFonts w:ascii="Times New Roman" w:eastAsia="MS Mincho" w:hAnsi="Times New Roman"/>
          <w:sz w:val="20"/>
          <w:szCs w:val="20"/>
        </w:rPr>
        <w:t>0.2 V) alone. Because of this, more holes are available for the photooxidation process. On the other hand, Fe</w:t>
      </w:r>
      <w:r w:rsidRPr="00B253CE">
        <w:rPr>
          <w:rFonts w:ascii="Times New Roman" w:eastAsia="MS Mincho" w:hAnsi="Times New Roman"/>
          <w:sz w:val="20"/>
          <w:szCs w:val="20"/>
          <w:vertAlign w:val="superscript"/>
        </w:rPr>
        <w:t xml:space="preserve">3+ </w:t>
      </w:r>
      <w:r w:rsidRPr="00B253CE">
        <w:rPr>
          <w:rFonts w:ascii="Times New Roman" w:eastAsia="MS Mincho" w:hAnsi="Times New Roman"/>
          <w:sz w:val="20"/>
          <w:szCs w:val="20"/>
        </w:rPr>
        <w:t>can become a trapper for both the electrons and holes simultaneously forming Fe</w:t>
      </w:r>
      <w:r w:rsidRPr="00B253CE">
        <w:rPr>
          <w:rFonts w:ascii="Times New Roman" w:eastAsia="MS Mincho" w:hAnsi="Times New Roman"/>
          <w:sz w:val="20"/>
          <w:szCs w:val="20"/>
          <w:vertAlign w:val="superscript"/>
        </w:rPr>
        <w:t>2+</w:t>
      </w:r>
      <w:r w:rsidRPr="00B253CE">
        <w:rPr>
          <w:rFonts w:ascii="Times New Roman" w:eastAsia="MS Mincho" w:hAnsi="Times New Roman"/>
          <w:sz w:val="20"/>
          <w:szCs w:val="20"/>
        </w:rPr>
        <w:t xml:space="preserve"> and Fe</w:t>
      </w:r>
      <w:r w:rsidRPr="00B253CE">
        <w:rPr>
          <w:rFonts w:ascii="Times New Roman" w:eastAsia="MS Mincho" w:hAnsi="Times New Roman"/>
          <w:sz w:val="20"/>
          <w:szCs w:val="20"/>
          <w:vertAlign w:val="superscript"/>
        </w:rPr>
        <w:t>4+</w:t>
      </w:r>
      <w:r w:rsidRPr="00B253CE">
        <w:rPr>
          <w:rFonts w:ascii="Times New Roman" w:eastAsia="MS Mincho" w:hAnsi="Times New Roman"/>
          <w:sz w:val="20"/>
          <w:szCs w:val="20"/>
        </w:rPr>
        <w:t>, respectively.  This is possible due to the energy levels of Fe</w:t>
      </w:r>
      <w:r w:rsidRPr="00B253CE">
        <w:rPr>
          <w:rFonts w:ascii="Times New Roman" w:eastAsia="MS Mincho" w:hAnsi="Times New Roman"/>
          <w:sz w:val="20"/>
          <w:szCs w:val="20"/>
          <w:vertAlign w:val="superscript"/>
        </w:rPr>
        <w:t>3+</w:t>
      </w:r>
      <w:r w:rsidRPr="00B253CE">
        <w:rPr>
          <w:rFonts w:ascii="Times New Roman" w:eastAsia="MS Mincho" w:hAnsi="Times New Roman"/>
          <w:sz w:val="20"/>
          <w:szCs w:val="20"/>
        </w:rPr>
        <w:t>/Fe</w:t>
      </w:r>
      <w:r w:rsidRPr="00B253CE">
        <w:rPr>
          <w:rFonts w:ascii="Times New Roman" w:eastAsia="MS Mincho" w:hAnsi="Times New Roman"/>
          <w:sz w:val="20"/>
          <w:szCs w:val="20"/>
          <w:vertAlign w:val="superscript"/>
        </w:rPr>
        <w:t>4+</w:t>
      </w:r>
      <w:r w:rsidRPr="00B253CE">
        <w:rPr>
          <w:rFonts w:ascii="Times New Roman" w:eastAsia="MS Mincho" w:hAnsi="Times New Roman"/>
          <w:sz w:val="20"/>
          <w:szCs w:val="20"/>
        </w:rPr>
        <w:t xml:space="preserve"> and Fe</w:t>
      </w:r>
      <w:r w:rsidRPr="00B253CE">
        <w:rPr>
          <w:rFonts w:ascii="Times New Roman" w:eastAsia="MS Mincho" w:hAnsi="Times New Roman"/>
          <w:sz w:val="20"/>
          <w:szCs w:val="20"/>
          <w:vertAlign w:val="superscript"/>
        </w:rPr>
        <w:t>2+</w:t>
      </w:r>
      <w:r w:rsidRPr="00B253CE">
        <w:rPr>
          <w:rFonts w:ascii="Times New Roman" w:eastAsia="MS Mincho" w:hAnsi="Times New Roman"/>
          <w:sz w:val="20"/>
          <w:szCs w:val="20"/>
        </w:rPr>
        <w:t>/Fe</w:t>
      </w:r>
      <w:r w:rsidRPr="00B253CE">
        <w:rPr>
          <w:rFonts w:ascii="Times New Roman" w:eastAsia="MS Mincho" w:hAnsi="Times New Roman"/>
          <w:sz w:val="20"/>
          <w:szCs w:val="20"/>
          <w:vertAlign w:val="superscript"/>
        </w:rPr>
        <w:t>3+</w:t>
      </w:r>
      <w:r w:rsidRPr="00B253CE">
        <w:rPr>
          <w:rFonts w:ascii="Times New Roman" w:eastAsia="MS Mincho" w:hAnsi="Times New Roman"/>
          <w:sz w:val="20"/>
          <w:szCs w:val="20"/>
        </w:rPr>
        <w:t xml:space="preserve"> that lie above the valence band and below the conduction band of TiO</w:t>
      </w:r>
      <w:r w:rsidRPr="00B253CE">
        <w:rPr>
          <w:rFonts w:ascii="Times New Roman" w:eastAsia="MS Mincho" w:hAnsi="Times New Roman"/>
          <w:sz w:val="20"/>
          <w:szCs w:val="20"/>
          <w:vertAlign w:val="subscript"/>
        </w:rPr>
        <w:t>2</w:t>
      </w:r>
      <w:r w:rsidRPr="00B253CE">
        <w:rPr>
          <w:rFonts w:ascii="Times New Roman" w:eastAsia="MS Mincho" w:hAnsi="Times New Roman"/>
          <w:sz w:val="20"/>
          <w:szCs w:val="20"/>
        </w:rPr>
        <w:t>. Theoretically, the stability of Fe</w:t>
      </w:r>
      <w:r w:rsidRPr="00B253CE">
        <w:rPr>
          <w:rFonts w:ascii="Times New Roman" w:eastAsia="MS Mincho" w:hAnsi="Times New Roman"/>
          <w:sz w:val="20"/>
          <w:szCs w:val="20"/>
          <w:vertAlign w:val="superscript"/>
        </w:rPr>
        <w:t>2+</w:t>
      </w:r>
      <w:r w:rsidRPr="00B253CE">
        <w:rPr>
          <w:rFonts w:ascii="Times New Roman" w:eastAsia="MS Mincho" w:hAnsi="Times New Roman"/>
          <w:sz w:val="20"/>
          <w:szCs w:val="20"/>
        </w:rPr>
        <w:t xml:space="preserve"> and Fe</w:t>
      </w:r>
      <w:r w:rsidRPr="00B253CE">
        <w:rPr>
          <w:rFonts w:ascii="Times New Roman" w:eastAsia="MS Mincho" w:hAnsi="Times New Roman"/>
          <w:sz w:val="20"/>
          <w:szCs w:val="20"/>
          <w:vertAlign w:val="superscript"/>
        </w:rPr>
        <w:t xml:space="preserve">4+ </w:t>
      </w:r>
      <w:r w:rsidRPr="00B253CE">
        <w:rPr>
          <w:rFonts w:ascii="Times New Roman" w:eastAsia="MS Mincho" w:hAnsi="Times New Roman"/>
          <w:sz w:val="20"/>
          <w:szCs w:val="20"/>
        </w:rPr>
        <w:t>are lower compared to Fe</w:t>
      </w:r>
      <w:r w:rsidRPr="00B253CE">
        <w:rPr>
          <w:rFonts w:ascii="Times New Roman" w:eastAsia="MS Mincho" w:hAnsi="Times New Roman"/>
          <w:sz w:val="20"/>
          <w:szCs w:val="20"/>
          <w:vertAlign w:val="superscript"/>
        </w:rPr>
        <w:t>3+</w:t>
      </w:r>
      <w:r w:rsidRPr="00B253CE">
        <w:rPr>
          <w:rFonts w:ascii="Times New Roman" w:eastAsia="MS Mincho" w:hAnsi="Times New Roman"/>
          <w:sz w:val="20"/>
          <w:szCs w:val="20"/>
        </w:rPr>
        <w:t xml:space="preserve"> which has a half-filled 3d</w:t>
      </w:r>
      <w:r w:rsidRPr="00B253CE">
        <w:rPr>
          <w:rFonts w:ascii="Times New Roman" w:eastAsia="MS Mincho" w:hAnsi="Times New Roman"/>
          <w:sz w:val="20"/>
          <w:szCs w:val="20"/>
          <w:vertAlign w:val="superscript"/>
        </w:rPr>
        <w:t>5</w:t>
      </w:r>
      <w:r w:rsidRPr="00B253CE">
        <w:rPr>
          <w:rFonts w:ascii="Times New Roman" w:eastAsia="MS Mincho" w:hAnsi="Times New Roman"/>
          <w:sz w:val="20"/>
          <w:szCs w:val="20"/>
        </w:rPr>
        <w:t xml:space="preserve"> orbital configuration. Hence, Fe</w:t>
      </w:r>
      <w:r w:rsidRPr="00B253CE">
        <w:rPr>
          <w:rFonts w:ascii="Times New Roman" w:eastAsia="MS Mincho" w:hAnsi="Times New Roman"/>
          <w:sz w:val="20"/>
          <w:szCs w:val="20"/>
          <w:vertAlign w:val="superscript"/>
        </w:rPr>
        <w:t>2+</w:t>
      </w:r>
      <w:r w:rsidRPr="00B253CE">
        <w:rPr>
          <w:rFonts w:ascii="Times New Roman" w:eastAsia="MS Mincho" w:hAnsi="Times New Roman"/>
          <w:sz w:val="20"/>
          <w:szCs w:val="20"/>
        </w:rPr>
        <w:t xml:space="preserve"> can easily release the trapped electron to be oxidized back to Fe</w:t>
      </w:r>
      <w:r w:rsidRPr="00B253CE">
        <w:rPr>
          <w:rFonts w:ascii="Times New Roman" w:eastAsia="MS Mincho" w:hAnsi="Times New Roman"/>
          <w:sz w:val="20"/>
          <w:szCs w:val="20"/>
          <w:vertAlign w:val="superscript"/>
        </w:rPr>
        <w:t>3+</w:t>
      </w:r>
      <w:r w:rsidRPr="00B253CE">
        <w:rPr>
          <w:rFonts w:ascii="Times New Roman" w:eastAsia="MS Mincho" w:hAnsi="Times New Roman"/>
          <w:sz w:val="20"/>
          <w:szCs w:val="20"/>
        </w:rPr>
        <w:t xml:space="preserve"> which then migrates to the surface to initiate photocatalytic reaction. Fe</w:t>
      </w:r>
      <w:r w:rsidRPr="00B253CE">
        <w:rPr>
          <w:rFonts w:ascii="Times New Roman" w:eastAsia="MS Mincho" w:hAnsi="Times New Roman"/>
          <w:sz w:val="20"/>
          <w:szCs w:val="20"/>
          <w:vertAlign w:val="superscript"/>
        </w:rPr>
        <w:t>4+</w:t>
      </w:r>
      <w:r w:rsidRPr="00B253CE">
        <w:rPr>
          <w:rFonts w:ascii="Times New Roman" w:eastAsia="MS Mincho" w:hAnsi="Times New Roman"/>
          <w:sz w:val="20"/>
          <w:szCs w:val="20"/>
        </w:rPr>
        <w:t xml:space="preserve"> can be reduced to Fe</w:t>
      </w:r>
      <w:r w:rsidRPr="00B253CE">
        <w:rPr>
          <w:rFonts w:ascii="Times New Roman" w:eastAsia="MS Mincho" w:hAnsi="Times New Roman"/>
          <w:sz w:val="20"/>
          <w:szCs w:val="20"/>
          <w:vertAlign w:val="superscript"/>
        </w:rPr>
        <w:t>3+</w:t>
      </w:r>
      <w:r w:rsidRPr="00B253CE">
        <w:rPr>
          <w:rFonts w:ascii="Times New Roman" w:eastAsia="MS Mincho" w:hAnsi="Times New Roman"/>
          <w:sz w:val="20"/>
          <w:szCs w:val="20"/>
        </w:rPr>
        <w:t xml:space="preserve"> by donating the trapped holes to combine with the surface OH groups to give •OH. When the Cu:Fe mass composition were 9:2 and 8:3, the DBT conversion were 74.58 and 75.24 %, respectively.</w:t>
      </w:r>
    </w:p>
    <w:p w:rsidR="008129F7" w:rsidRDefault="008129F7" w:rsidP="00B253CE">
      <w:pPr>
        <w:spacing w:after="0" w:line="240" w:lineRule="auto"/>
        <w:jc w:val="both"/>
        <w:rPr>
          <w:rFonts w:ascii="Times New Roman" w:hAnsi="Times New Roman"/>
          <w:bCs/>
          <w:sz w:val="20"/>
          <w:szCs w:val="20"/>
        </w:rPr>
      </w:pPr>
    </w:p>
    <w:p w:rsidR="008129F7" w:rsidRPr="00B253CE" w:rsidRDefault="008129F7" w:rsidP="00B253CE">
      <w:pPr>
        <w:spacing w:after="0" w:line="240" w:lineRule="auto"/>
        <w:jc w:val="both"/>
        <w:rPr>
          <w:rFonts w:ascii="Times New Roman" w:hAnsi="Times New Roman"/>
          <w:bCs/>
          <w:sz w:val="20"/>
          <w:szCs w:val="20"/>
        </w:rPr>
      </w:pPr>
    </w:p>
    <w:p w:rsidR="00B253CE" w:rsidRPr="00B253CE" w:rsidRDefault="00B253CE" w:rsidP="008129F7">
      <w:pPr>
        <w:spacing w:after="0" w:line="240" w:lineRule="auto"/>
        <w:jc w:val="center"/>
        <w:rPr>
          <w:rFonts w:ascii="Times New Roman" w:eastAsia="MS Mincho" w:hAnsi="Times New Roman"/>
          <w:sz w:val="20"/>
          <w:szCs w:val="20"/>
        </w:rPr>
      </w:pPr>
      <w:r w:rsidRPr="00B253CE">
        <w:rPr>
          <w:rFonts w:ascii="Times New Roman" w:eastAsia="MS Mincho" w:hAnsi="Times New Roman"/>
          <w:noProof/>
          <w:sz w:val="20"/>
          <w:szCs w:val="20"/>
          <w:lang w:bidi="ar-SA"/>
        </w:rPr>
        <w:drawing>
          <wp:inline distT="0" distB="0" distL="0" distR="0" wp14:anchorId="7DB7606C" wp14:editId="7EFAFB94">
            <wp:extent cx="3704493" cy="3219450"/>
            <wp:effectExtent l="19050" t="19050" r="10795" b="190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725507" cy="3237713"/>
                    </a:xfrm>
                    <a:prstGeom prst="rect">
                      <a:avLst/>
                    </a:prstGeom>
                    <a:noFill/>
                    <a:ln>
                      <a:solidFill>
                        <a:schemeClr val="tx1"/>
                      </a:solidFill>
                    </a:ln>
                  </pic:spPr>
                </pic:pic>
              </a:graphicData>
            </a:graphic>
          </wp:inline>
        </w:drawing>
      </w:r>
    </w:p>
    <w:p w:rsidR="00B253CE" w:rsidRPr="00B253CE" w:rsidRDefault="00B253CE" w:rsidP="00B253CE">
      <w:pPr>
        <w:spacing w:after="0" w:line="240" w:lineRule="auto"/>
        <w:jc w:val="both"/>
        <w:rPr>
          <w:rFonts w:ascii="Times New Roman" w:eastAsia="MS Mincho" w:hAnsi="Times New Roman"/>
          <w:sz w:val="20"/>
          <w:szCs w:val="20"/>
        </w:rPr>
      </w:pPr>
    </w:p>
    <w:p w:rsidR="00B253CE" w:rsidRPr="00B253CE" w:rsidRDefault="00B253CE" w:rsidP="008129F7">
      <w:pPr>
        <w:spacing w:after="0" w:line="240" w:lineRule="auto"/>
        <w:jc w:val="center"/>
        <w:rPr>
          <w:rFonts w:ascii="Times New Roman" w:eastAsia="MS Mincho" w:hAnsi="Times New Roman"/>
          <w:sz w:val="20"/>
          <w:szCs w:val="20"/>
        </w:rPr>
      </w:pPr>
      <w:r w:rsidRPr="00B253CE">
        <w:rPr>
          <w:rFonts w:ascii="Times New Roman" w:eastAsia="MS Mincho" w:hAnsi="Times New Roman"/>
          <w:bCs/>
          <w:sz w:val="20"/>
          <w:szCs w:val="20"/>
        </w:rPr>
        <w:t>Figure 8.</w:t>
      </w:r>
      <w:r w:rsidRPr="00B253CE">
        <w:rPr>
          <w:rFonts w:ascii="Times New Roman" w:eastAsia="MS Mincho" w:hAnsi="Times New Roman"/>
          <w:sz w:val="20"/>
          <w:szCs w:val="20"/>
        </w:rPr>
        <w:t xml:space="preserve"> </w:t>
      </w:r>
      <w:r w:rsidR="008129F7">
        <w:rPr>
          <w:rFonts w:ascii="Times New Roman" w:eastAsia="MS Mincho" w:hAnsi="Times New Roman"/>
          <w:sz w:val="20"/>
          <w:szCs w:val="20"/>
        </w:rPr>
        <w:t xml:space="preserve"> </w:t>
      </w:r>
      <w:r w:rsidRPr="00B253CE">
        <w:rPr>
          <w:rFonts w:ascii="Times New Roman" w:eastAsia="MS Mincho" w:hAnsi="Times New Roman"/>
          <w:sz w:val="20"/>
          <w:szCs w:val="20"/>
        </w:rPr>
        <w:t xml:space="preserve">DBT conversion using Cu, </w:t>
      </w:r>
      <w:r w:rsidRPr="00B253CE">
        <w:rPr>
          <w:rFonts w:ascii="Times New Roman" w:hAnsi="Times New Roman"/>
          <w:sz w:val="20"/>
          <w:szCs w:val="20"/>
        </w:rPr>
        <w:t>10Cu1Fe</w:t>
      </w:r>
      <w:r w:rsidRPr="00B253CE">
        <w:rPr>
          <w:rFonts w:ascii="Times New Roman" w:hAnsi="Times New Roman"/>
          <w:noProof/>
          <w:sz w:val="20"/>
          <w:szCs w:val="20"/>
        </w:rPr>
        <w:t>,</w:t>
      </w:r>
      <w:r w:rsidRPr="00B253CE">
        <w:rPr>
          <w:rFonts w:ascii="Times New Roman" w:hAnsi="Times New Roman"/>
          <w:sz w:val="20"/>
          <w:szCs w:val="20"/>
        </w:rPr>
        <w:t xml:space="preserve"> 9Cu2Fe</w:t>
      </w:r>
      <w:r w:rsidRPr="00B253CE">
        <w:rPr>
          <w:rFonts w:ascii="Times New Roman" w:hAnsi="Times New Roman"/>
          <w:noProof/>
          <w:sz w:val="20"/>
          <w:szCs w:val="20"/>
        </w:rPr>
        <w:t>,</w:t>
      </w:r>
      <w:r w:rsidRPr="00B253CE">
        <w:rPr>
          <w:rFonts w:ascii="Times New Roman" w:hAnsi="Times New Roman"/>
          <w:sz w:val="20"/>
          <w:szCs w:val="20"/>
        </w:rPr>
        <w:t xml:space="preserve"> 8Cu3Fe</w:t>
      </w:r>
      <w:r w:rsidRPr="00B253CE">
        <w:rPr>
          <w:rFonts w:ascii="Times New Roman" w:hAnsi="Times New Roman"/>
          <w:noProof/>
          <w:sz w:val="20"/>
          <w:szCs w:val="20"/>
        </w:rPr>
        <w:t xml:space="preserve"> and Fe</w:t>
      </w:r>
    </w:p>
    <w:p w:rsidR="00B253CE" w:rsidRPr="00B253CE" w:rsidRDefault="00B253CE" w:rsidP="008129F7">
      <w:pPr>
        <w:spacing w:after="0" w:line="240" w:lineRule="auto"/>
        <w:jc w:val="center"/>
        <w:rPr>
          <w:rFonts w:ascii="Times New Roman" w:hAnsi="Times New Roman"/>
          <w:b/>
          <w:bCs/>
          <w:sz w:val="20"/>
          <w:szCs w:val="20"/>
        </w:rPr>
      </w:pPr>
    </w:p>
    <w:p w:rsidR="006768E9" w:rsidRPr="00F447A7" w:rsidRDefault="006768E9" w:rsidP="00F447A7">
      <w:pPr>
        <w:spacing w:after="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Conclusion</w:t>
      </w:r>
    </w:p>
    <w:p w:rsidR="008129F7" w:rsidRPr="008129F7" w:rsidRDefault="008129F7" w:rsidP="008129F7">
      <w:pPr>
        <w:spacing w:after="0" w:line="240" w:lineRule="auto"/>
        <w:jc w:val="both"/>
        <w:rPr>
          <w:rFonts w:asciiTheme="majorBidi" w:hAnsiTheme="majorBidi" w:cstheme="majorBidi"/>
          <w:sz w:val="20"/>
          <w:szCs w:val="20"/>
        </w:rPr>
      </w:pPr>
      <w:r w:rsidRPr="008129F7">
        <w:rPr>
          <w:rFonts w:asciiTheme="majorBidi" w:hAnsiTheme="majorBidi" w:cstheme="majorBidi"/>
          <w:sz w:val="20"/>
          <w:szCs w:val="20"/>
        </w:rPr>
        <w:t>The incorporation of Cu-Fe onto TiO</w:t>
      </w:r>
      <w:r w:rsidRPr="008129F7">
        <w:rPr>
          <w:rFonts w:asciiTheme="majorBidi" w:hAnsiTheme="majorBidi" w:cstheme="majorBidi"/>
          <w:sz w:val="20"/>
          <w:szCs w:val="20"/>
          <w:vertAlign w:val="subscript"/>
        </w:rPr>
        <w:t>2</w:t>
      </w:r>
      <w:r w:rsidRPr="008129F7">
        <w:rPr>
          <w:rFonts w:asciiTheme="majorBidi" w:hAnsiTheme="majorBidi" w:cstheme="majorBidi"/>
          <w:sz w:val="20"/>
          <w:szCs w:val="20"/>
        </w:rPr>
        <w:t xml:space="preserve"> nanoparticles was able to reduce the band gap from 3.09 to as low as 2.69 eV for photocatalyst with Cu:Fe 10:1 mass composition.  The lowering of band gap is an indication of shifting of the absorption edge to visible light region, which is important for photocatalysts to harvest energy from the free and abundant sunlight. The presence of bimetallic Cu-Fe co-catalyst was able to enhance the photoactivity of TiO</w:t>
      </w:r>
      <w:r w:rsidRPr="008129F7">
        <w:rPr>
          <w:rFonts w:asciiTheme="majorBidi" w:hAnsiTheme="majorBidi" w:cstheme="majorBidi"/>
          <w:sz w:val="20"/>
          <w:szCs w:val="20"/>
          <w:vertAlign w:val="subscript"/>
        </w:rPr>
        <w:t>2</w:t>
      </w:r>
      <w:r w:rsidRPr="008129F7">
        <w:rPr>
          <w:rFonts w:asciiTheme="majorBidi" w:hAnsiTheme="majorBidi" w:cstheme="majorBidi"/>
          <w:sz w:val="20"/>
          <w:szCs w:val="20"/>
        </w:rPr>
        <w:t xml:space="preserve"> under visible light illumination. Photodegradation of 100 ppm DBT in model diesel using 10Cu1Fe in the presence of H</w:t>
      </w:r>
      <w:r w:rsidRPr="008129F7">
        <w:rPr>
          <w:rFonts w:asciiTheme="majorBidi" w:hAnsiTheme="majorBidi" w:cstheme="majorBidi"/>
          <w:sz w:val="20"/>
          <w:szCs w:val="20"/>
          <w:vertAlign w:val="subscript"/>
        </w:rPr>
        <w:t>2</w:t>
      </w:r>
      <w:r w:rsidRPr="008129F7">
        <w:rPr>
          <w:rFonts w:asciiTheme="majorBidi" w:hAnsiTheme="majorBidi" w:cstheme="majorBidi"/>
          <w:sz w:val="20"/>
          <w:szCs w:val="20"/>
        </w:rPr>
        <w:t>O</w:t>
      </w:r>
      <w:r w:rsidRPr="008129F7">
        <w:rPr>
          <w:rFonts w:asciiTheme="majorBidi" w:hAnsiTheme="majorBidi" w:cstheme="majorBidi"/>
          <w:sz w:val="20"/>
          <w:szCs w:val="20"/>
          <w:vertAlign w:val="subscript"/>
        </w:rPr>
        <w:t>2</w:t>
      </w:r>
      <w:r w:rsidRPr="008129F7">
        <w:rPr>
          <w:rFonts w:asciiTheme="majorBidi" w:hAnsiTheme="majorBidi" w:cstheme="majorBidi"/>
          <w:sz w:val="20"/>
          <w:szCs w:val="20"/>
        </w:rPr>
        <w:t xml:space="preserve"> has led to 82.36 % DBT conversion. Although the photocatalyst displayed good DBT degradation, the oxidized sulfur species which are retained in the model oil need to be removed. An integrated photodegradation-extraction system is required to photooxidize the sulfur species followed by removal of the oxidized compounds.</w:t>
      </w:r>
    </w:p>
    <w:p w:rsidR="006768E9" w:rsidRPr="00F447A7" w:rsidRDefault="006768E9" w:rsidP="008129F7">
      <w:pPr>
        <w:spacing w:after="0" w:line="240" w:lineRule="auto"/>
        <w:rPr>
          <w:rFonts w:ascii="Times New Roman" w:hAnsi="Times New Roman"/>
          <w:noProof/>
          <w:sz w:val="20"/>
          <w:szCs w:val="20"/>
          <w:lang w:bidi="ar-SA"/>
        </w:rPr>
      </w:pPr>
    </w:p>
    <w:p w:rsidR="006768E9" w:rsidRPr="00F447A7" w:rsidRDefault="002B3BD8"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Acknowledgement</w:t>
      </w:r>
    </w:p>
    <w:p w:rsidR="008129F7" w:rsidRPr="008129F7" w:rsidRDefault="008129F7" w:rsidP="008129F7">
      <w:pPr>
        <w:pStyle w:val="ListParagraph"/>
        <w:spacing w:after="0" w:line="240" w:lineRule="auto"/>
        <w:ind w:left="86"/>
        <w:contextualSpacing w:val="0"/>
        <w:jc w:val="both"/>
        <w:rPr>
          <w:rFonts w:ascii="Times New Roman" w:hAnsi="Times New Roman"/>
          <w:bCs/>
          <w:sz w:val="20"/>
          <w:szCs w:val="20"/>
        </w:rPr>
      </w:pPr>
      <w:r w:rsidRPr="008129F7">
        <w:rPr>
          <w:rFonts w:ascii="Times New Roman" w:hAnsi="Times New Roman"/>
          <w:sz w:val="20"/>
          <w:szCs w:val="20"/>
          <w:lang w:val="en-GB"/>
        </w:rPr>
        <w:t>The authors extend their utmost gratitude for the financial support and research facilities provided by Yayasan UTP, MyPhD and FRGS from the Ministry of Education, Malaysia; and the Centre of Research in Ionic Liquid (CORIL), Universiti Teknologi PETRONAS.</w:t>
      </w:r>
    </w:p>
    <w:p w:rsidR="006768E9" w:rsidRPr="00F447A7" w:rsidRDefault="006768E9" w:rsidP="00BA1F7B">
      <w:pPr>
        <w:spacing w:after="0" w:line="240" w:lineRule="auto"/>
        <w:jc w:val="center"/>
        <w:rPr>
          <w:rFonts w:ascii="Times New Roman" w:hAnsi="Times New Roman"/>
          <w:noProof/>
          <w:sz w:val="20"/>
          <w:szCs w:val="20"/>
          <w:lang w:bidi="ar-SA"/>
        </w:rPr>
      </w:pPr>
    </w:p>
    <w:p w:rsidR="006768E9" w:rsidRDefault="006768E9" w:rsidP="00F447A7">
      <w:pPr>
        <w:spacing w:after="0" w:line="240" w:lineRule="auto"/>
        <w:jc w:val="center"/>
        <w:rPr>
          <w:rFonts w:ascii="Times New Roman" w:hAnsi="Times New Roman"/>
          <w:noProof/>
          <w:sz w:val="20"/>
          <w:szCs w:val="20"/>
          <w:lang w:bidi="ar-SA"/>
        </w:rPr>
      </w:pPr>
    </w:p>
    <w:p w:rsidR="0004560D" w:rsidRPr="00F447A7" w:rsidRDefault="0004560D" w:rsidP="00F447A7">
      <w:pPr>
        <w:spacing w:after="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References</w:t>
      </w:r>
    </w:p>
    <w:p w:rsidR="0004560D" w:rsidRPr="0004560D" w:rsidRDefault="0004560D" w:rsidP="0004560D">
      <w:pPr>
        <w:pStyle w:val="ListParagraph"/>
        <w:numPr>
          <w:ilvl w:val="0"/>
          <w:numId w:val="2"/>
        </w:numPr>
        <w:spacing w:after="0" w:line="240" w:lineRule="auto"/>
        <w:ind w:left="360"/>
        <w:jc w:val="both"/>
        <w:rPr>
          <w:rFonts w:ascii="Times New Roman" w:hAnsi="Times New Roman"/>
          <w:bCs/>
          <w:color w:val="000000" w:themeColor="text1"/>
          <w:sz w:val="20"/>
          <w:szCs w:val="20"/>
        </w:rPr>
      </w:pPr>
      <w:bookmarkStart w:id="1" w:name="_ENREF_2"/>
      <w:r w:rsidRPr="0004560D">
        <w:rPr>
          <w:rFonts w:ascii="Times New Roman" w:hAnsi="Times New Roman"/>
          <w:noProof/>
          <w:sz w:val="20"/>
          <w:szCs w:val="20"/>
        </w:rPr>
        <w:t xml:space="preserve">Srivastava, V. C. (2012). An evaluation of desulfurization technologies for sulfur removal from liquid fuels. </w:t>
      </w:r>
      <w:r w:rsidRPr="0004560D">
        <w:rPr>
          <w:rFonts w:ascii="Times New Roman" w:hAnsi="Times New Roman"/>
          <w:i/>
          <w:noProof/>
          <w:sz w:val="20"/>
          <w:szCs w:val="20"/>
        </w:rPr>
        <w:t xml:space="preserve">RSC </w:t>
      </w:r>
      <w:r w:rsidRPr="0004560D">
        <w:rPr>
          <w:rFonts w:ascii="Times New Roman" w:hAnsi="Times New Roman"/>
          <w:i/>
          <w:noProof/>
          <w:color w:val="000000" w:themeColor="text1"/>
          <w:sz w:val="20"/>
          <w:szCs w:val="20"/>
        </w:rPr>
        <w:t xml:space="preserve">Advances, </w:t>
      </w:r>
      <w:r w:rsidRPr="0004560D">
        <w:rPr>
          <w:rFonts w:ascii="Times New Roman" w:hAnsi="Times New Roman"/>
          <w:noProof/>
          <w:color w:val="000000" w:themeColor="text1"/>
          <w:sz w:val="20"/>
          <w:szCs w:val="20"/>
        </w:rPr>
        <w:t>2: 759 – 783.</w:t>
      </w:r>
      <w:bookmarkEnd w:id="1"/>
    </w:p>
    <w:p w:rsidR="0004560D" w:rsidRPr="0004560D" w:rsidRDefault="0004560D" w:rsidP="0004560D">
      <w:pPr>
        <w:pStyle w:val="ListParagraph"/>
        <w:numPr>
          <w:ilvl w:val="0"/>
          <w:numId w:val="2"/>
        </w:numPr>
        <w:spacing w:after="0" w:line="240" w:lineRule="auto"/>
        <w:ind w:left="360"/>
        <w:jc w:val="both"/>
        <w:rPr>
          <w:rFonts w:ascii="Times New Roman" w:hAnsi="Times New Roman"/>
          <w:bCs/>
          <w:color w:val="000000" w:themeColor="text1"/>
          <w:sz w:val="20"/>
          <w:szCs w:val="20"/>
        </w:rPr>
      </w:pPr>
      <w:r w:rsidRPr="0004560D">
        <w:rPr>
          <w:rFonts w:ascii="Times New Roman" w:eastAsia="AdvGulliv-R" w:hAnsi="Times New Roman"/>
          <w:color w:val="000000" w:themeColor="text1"/>
          <w:sz w:val="20"/>
          <w:szCs w:val="20"/>
        </w:rPr>
        <w:t>Zhang, J., Zhao, D. S. and Wang, J. L. (2009). Photocatalytic oxidation of dibenzothiophene using TiO</w:t>
      </w:r>
      <w:r w:rsidRPr="0004560D">
        <w:rPr>
          <w:rFonts w:ascii="Times New Roman" w:eastAsia="AdvGulliv-R" w:hAnsi="Times New Roman"/>
          <w:color w:val="000000" w:themeColor="text1"/>
          <w:sz w:val="20"/>
          <w:szCs w:val="20"/>
          <w:vertAlign w:val="subscript"/>
        </w:rPr>
        <w:t>2</w:t>
      </w:r>
      <w:r w:rsidRPr="0004560D">
        <w:rPr>
          <w:rFonts w:ascii="Times New Roman" w:eastAsia="AdvGulliv-R" w:hAnsi="Times New Roman"/>
          <w:color w:val="000000" w:themeColor="text1"/>
          <w:sz w:val="20"/>
          <w:szCs w:val="20"/>
        </w:rPr>
        <w:t xml:space="preserve">/bamboo charcoal. </w:t>
      </w:r>
      <w:r w:rsidRPr="0004560D">
        <w:rPr>
          <w:rFonts w:ascii="Times New Roman" w:eastAsia="AdvGulliv-R" w:hAnsi="Times New Roman"/>
          <w:i/>
          <w:color w:val="000000" w:themeColor="text1"/>
          <w:sz w:val="20"/>
          <w:szCs w:val="20"/>
        </w:rPr>
        <w:t>Journal of Materials Science</w:t>
      </w:r>
      <w:r w:rsidRPr="0004560D">
        <w:rPr>
          <w:rFonts w:ascii="Times New Roman" w:eastAsia="AdvGulliv-R" w:hAnsi="Times New Roman"/>
          <w:color w:val="000000" w:themeColor="text1"/>
          <w:sz w:val="20"/>
          <w:szCs w:val="20"/>
        </w:rPr>
        <w:t>, 44: 3112 – 3117.</w:t>
      </w:r>
    </w:p>
    <w:p w:rsidR="0004560D" w:rsidRPr="0004560D" w:rsidRDefault="0004560D" w:rsidP="0004560D">
      <w:pPr>
        <w:pStyle w:val="ListParagraph"/>
        <w:numPr>
          <w:ilvl w:val="0"/>
          <w:numId w:val="2"/>
        </w:numPr>
        <w:spacing w:after="0" w:line="240" w:lineRule="auto"/>
        <w:ind w:left="360"/>
        <w:jc w:val="both"/>
        <w:rPr>
          <w:rFonts w:ascii="Times New Roman" w:hAnsi="Times New Roman"/>
          <w:bCs/>
          <w:color w:val="000000" w:themeColor="text1"/>
          <w:sz w:val="20"/>
          <w:szCs w:val="20"/>
        </w:rPr>
      </w:pPr>
      <w:r w:rsidRPr="0004560D">
        <w:rPr>
          <w:rFonts w:ascii="Times New Roman" w:hAnsi="Times New Roman"/>
          <w:sz w:val="20"/>
          <w:szCs w:val="20"/>
        </w:rPr>
        <w:t xml:space="preserve">Maricq, M. M., Chase, R. E., Xu, N. and Laing, P. M. (2002). The effects of the catalytic converter and fuel sulfur level on motor vehicle particulate matter emissions: Light duty diesel vehicles. </w:t>
      </w:r>
      <w:r w:rsidRPr="0004560D">
        <w:rPr>
          <w:rFonts w:ascii="Times New Roman" w:hAnsi="Times New Roman"/>
          <w:i/>
          <w:iCs/>
          <w:sz w:val="20"/>
          <w:szCs w:val="20"/>
        </w:rPr>
        <w:t xml:space="preserve">Environmental Science &amp; Technology, </w:t>
      </w:r>
      <w:r w:rsidRPr="0004560D">
        <w:rPr>
          <w:rFonts w:ascii="Times New Roman" w:hAnsi="Times New Roman"/>
          <w:sz w:val="20"/>
          <w:szCs w:val="20"/>
        </w:rPr>
        <w:t>36: 283 – 289.</w:t>
      </w:r>
    </w:p>
    <w:p w:rsidR="0004560D" w:rsidRPr="0004560D" w:rsidRDefault="0004560D" w:rsidP="0004560D">
      <w:pPr>
        <w:pStyle w:val="Reference"/>
        <w:numPr>
          <w:ilvl w:val="0"/>
          <w:numId w:val="2"/>
        </w:numPr>
        <w:ind w:left="360"/>
      </w:pPr>
      <w:r w:rsidRPr="0004560D">
        <w:t xml:space="preserve">Campos-Martin, J. M., Capel-Sanchez, M. C., Perez-Presas, P. and Fierro, J. L. G. (2010). Oxidative processes of desulfurization of liquid fuels. </w:t>
      </w:r>
      <w:r w:rsidRPr="0004560D">
        <w:rPr>
          <w:i/>
        </w:rPr>
        <w:t>Journal of Chemical Technology and Biotechnology,</w:t>
      </w:r>
      <w:r w:rsidRPr="0004560D">
        <w:t xml:space="preserve"> 85: 879 </w:t>
      </w:r>
      <w:r w:rsidRPr="0004560D">
        <w:sym w:font="Symbol" w:char="F02D"/>
      </w:r>
      <w:r w:rsidRPr="0004560D">
        <w:t xml:space="preserve"> 890.</w:t>
      </w:r>
    </w:p>
    <w:p w:rsidR="0004560D" w:rsidRPr="0004560D" w:rsidRDefault="0004560D" w:rsidP="0004560D">
      <w:pPr>
        <w:pStyle w:val="Reference"/>
        <w:numPr>
          <w:ilvl w:val="0"/>
          <w:numId w:val="2"/>
        </w:numPr>
        <w:ind w:left="360"/>
        <w:rPr>
          <w:rFonts w:asciiTheme="majorBidi" w:hAnsiTheme="majorBidi" w:cstheme="majorBidi"/>
          <w:bCs/>
          <w:color w:val="000000" w:themeColor="text1"/>
        </w:rPr>
      </w:pPr>
      <w:r w:rsidRPr="0004560D">
        <w:t xml:space="preserve">Jiang, Z., Lu, H., Zhang, Y. and Li, C. (2011). </w:t>
      </w:r>
      <w:hyperlink r:id="rId19" w:history="1">
        <w:r w:rsidRPr="0004560D">
          <w:rPr>
            <w:rStyle w:val="txtlarge"/>
            <w:rFonts w:hint="eastAsia"/>
          </w:rPr>
          <w:t xml:space="preserve">Oxidative </w:t>
        </w:r>
        <w:r w:rsidRPr="0004560D">
          <w:rPr>
            <w:rStyle w:val="txtlarge"/>
          </w:rPr>
          <w:t>desulfurization of fuel oils</w:t>
        </w:r>
      </w:hyperlink>
      <w:r w:rsidRPr="0004560D">
        <w:rPr>
          <w:rStyle w:val="txtlarge"/>
        </w:rPr>
        <w:t>.</w:t>
      </w:r>
      <w:r w:rsidRPr="0004560D">
        <w:t xml:space="preserve"> </w:t>
      </w:r>
      <w:r w:rsidRPr="0004560D">
        <w:rPr>
          <w:i/>
          <w:iCs/>
        </w:rPr>
        <w:t xml:space="preserve">Chinese </w:t>
      </w:r>
      <w:r w:rsidRPr="0004560D">
        <w:rPr>
          <w:i/>
          <w:iCs/>
          <w:color w:val="000000"/>
        </w:rPr>
        <w:t xml:space="preserve">Journal of Catalysis, </w:t>
      </w:r>
      <w:r w:rsidRPr="0004560D">
        <w:rPr>
          <w:bCs/>
          <w:color w:val="000000"/>
        </w:rPr>
        <w:t>32</w:t>
      </w:r>
      <w:r w:rsidRPr="0004560D">
        <w:rPr>
          <w:color w:val="000000"/>
        </w:rPr>
        <w:t>(5): 707 –</w:t>
      </w:r>
      <w:r w:rsidRPr="0004560D">
        <w:rPr>
          <w:rFonts w:asciiTheme="majorBidi" w:hAnsiTheme="majorBidi" w:cstheme="majorBidi"/>
          <w:bCs/>
          <w:color w:val="000000" w:themeColor="text1"/>
        </w:rPr>
        <w:t xml:space="preserve"> </w:t>
      </w:r>
      <w:r w:rsidRPr="0004560D">
        <w:rPr>
          <w:color w:val="000000"/>
        </w:rPr>
        <w:t xml:space="preserve">715. </w:t>
      </w:r>
    </w:p>
    <w:p w:rsidR="0004560D" w:rsidRPr="0004560D" w:rsidRDefault="0004560D" w:rsidP="0004560D">
      <w:pPr>
        <w:pStyle w:val="ListParagraph"/>
        <w:numPr>
          <w:ilvl w:val="0"/>
          <w:numId w:val="2"/>
        </w:numPr>
        <w:spacing w:after="0" w:line="240" w:lineRule="auto"/>
        <w:ind w:left="360"/>
        <w:jc w:val="both"/>
        <w:rPr>
          <w:rFonts w:asciiTheme="majorBidi" w:hAnsiTheme="majorBidi" w:cstheme="majorBidi"/>
          <w:bCs/>
          <w:sz w:val="20"/>
          <w:szCs w:val="20"/>
        </w:rPr>
      </w:pPr>
      <w:r w:rsidRPr="0004560D">
        <w:rPr>
          <w:rFonts w:ascii="Times New Roman" w:eastAsia="AdvGulliv-R" w:hAnsi="Times New Roman"/>
          <w:sz w:val="20"/>
          <w:szCs w:val="20"/>
        </w:rPr>
        <w:t xml:space="preserve">Lina, Y., Jian, L., Xingdong, Y., Shen, J. and Yutai, Q. (2007). One step non-hydrodesulfurization of fuel oil: catalyzed oxidation adsorption desulfurization over HPWA-SBA-15. </w:t>
      </w:r>
      <w:r w:rsidRPr="0004560D">
        <w:rPr>
          <w:rFonts w:ascii="Times New Roman" w:eastAsia="AdvGulliv-R" w:hAnsi="Times New Roman"/>
          <w:i/>
          <w:sz w:val="20"/>
          <w:szCs w:val="20"/>
        </w:rPr>
        <w:t>Journal of Molecular Catalysis A: Chemical,</w:t>
      </w:r>
      <w:r w:rsidRPr="0004560D">
        <w:rPr>
          <w:rFonts w:ascii="Times New Roman" w:eastAsia="AdvGulliv-R" w:hAnsi="Times New Roman"/>
          <w:sz w:val="20"/>
          <w:szCs w:val="20"/>
        </w:rPr>
        <w:t xml:space="preserve"> 262: 114 – 118.</w:t>
      </w:r>
    </w:p>
    <w:p w:rsidR="0004560D" w:rsidRPr="0004560D" w:rsidRDefault="0004560D" w:rsidP="0004560D">
      <w:pPr>
        <w:pStyle w:val="ListParagraph"/>
        <w:numPr>
          <w:ilvl w:val="0"/>
          <w:numId w:val="2"/>
        </w:numPr>
        <w:spacing w:after="0" w:line="240" w:lineRule="auto"/>
        <w:ind w:left="360"/>
        <w:jc w:val="both"/>
        <w:rPr>
          <w:rFonts w:asciiTheme="majorBidi" w:hAnsiTheme="majorBidi" w:cstheme="majorBidi"/>
          <w:bCs/>
          <w:sz w:val="20"/>
          <w:szCs w:val="20"/>
        </w:rPr>
      </w:pPr>
      <w:r w:rsidRPr="0004560D">
        <w:rPr>
          <w:rFonts w:ascii="Times New Roman" w:eastAsia="AdvGulliv-R" w:hAnsi="Times New Roman"/>
          <w:sz w:val="20"/>
          <w:szCs w:val="20"/>
        </w:rPr>
        <w:t>Lu, H., Deng, C., Ren, W. and Yang, X. (2014).  Oxidative desulfurization of model diesel using [(C</w:t>
      </w:r>
      <w:r w:rsidRPr="0004560D">
        <w:rPr>
          <w:rFonts w:ascii="Times New Roman" w:eastAsia="AdvGulliv-R" w:hAnsi="Times New Roman"/>
          <w:sz w:val="20"/>
          <w:szCs w:val="20"/>
          <w:vertAlign w:val="subscript"/>
        </w:rPr>
        <w:t>4</w:t>
      </w:r>
      <w:r w:rsidRPr="0004560D">
        <w:rPr>
          <w:rFonts w:ascii="Times New Roman" w:eastAsia="AdvGulliv-R" w:hAnsi="Times New Roman"/>
          <w:sz w:val="20"/>
          <w:szCs w:val="20"/>
        </w:rPr>
        <w:t>H</w:t>
      </w:r>
      <w:r w:rsidRPr="0004560D">
        <w:rPr>
          <w:rFonts w:ascii="Times New Roman" w:eastAsia="AdvGulliv-R" w:hAnsi="Times New Roman"/>
          <w:sz w:val="20"/>
          <w:szCs w:val="20"/>
          <w:vertAlign w:val="subscript"/>
        </w:rPr>
        <w:t>9</w:t>
      </w:r>
      <w:r w:rsidRPr="0004560D">
        <w:rPr>
          <w:rFonts w:ascii="Times New Roman" w:eastAsia="AdvGulliv-R" w:hAnsi="Times New Roman"/>
          <w:sz w:val="20"/>
          <w:szCs w:val="20"/>
        </w:rPr>
        <w:t>)</w:t>
      </w:r>
      <w:r w:rsidRPr="0004560D">
        <w:rPr>
          <w:rFonts w:ascii="Times New Roman" w:eastAsia="AdvGulliv-R" w:hAnsi="Times New Roman"/>
          <w:sz w:val="20"/>
          <w:szCs w:val="20"/>
          <w:vertAlign w:val="subscript"/>
        </w:rPr>
        <w:t>4</w:t>
      </w:r>
      <w:r w:rsidRPr="0004560D">
        <w:rPr>
          <w:rFonts w:ascii="Times New Roman" w:eastAsia="AdvGulliv-R" w:hAnsi="Times New Roman"/>
          <w:sz w:val="20"/>
          <w:szCs w:val="20"/>
        </w:rPr>
        <w:t>N]</w:t>
      </w:r>
      <w:r w:rsidRPr="0004560D">
        <w:rPr>
          <w:rFonts w:ascii="Times New Roman" w:eastAsia="AdvGulliv-R" w:hAnsi="Times New Roman"/>
          <w:sz w:val="20"/>
          <w:szCs w:val="20"/>
          <w:vertAlign w:val="subscript"/>
        </w:rPr>
        <w:t>6</w:t>
      </w:r>
      <w:r w:rsidRPr="0004560D">
        <w:rPr>
          <w:rFonts w:ascii="Times New Roman" w:eastAsia="AdvGulliv-R" w:hAnsi="Times New Roman"/>
          <w:sz w:val="20"/>
          <w:szCs w:val="20"/>
        </w:rPr>
        <w:t>Mo</w:t>
      </w:r>
      <w:r w:rsidRPr="0004560D">
        <w:rPr>
          <w:rFonts w:ascii="Times New Roman" w:eastAsia="AdvGulliv-R" w:hAnsi="Times New Roman"/>
          <w:sz w:val="20"/>
          <w:szCs w:val="20"/>
          <w:vertAlign w:val="subscript"/>
        </w:rPr>
        <w:t>7</w:t>
      </w:r>
      <w:r w:rsidRPr="0004560D">
        <w:rPr>
          <w:rFonts w:ascii="Times New Roman" w:eastAsia="AdvGulliv-R" w:hAnsi="Times New Roman"/>
          <w:sz w:val="20"/>
          <w:szCs w:val="20"/>
        </w:rPr>
        <w:t>O</w:t>
      </w:r>
      <w:r w:rsidRPr="0004560D">
        <w:rPr>
          <w:rFonts w:ascii="Times New Roman" w:eastAsia="AdvGulliv-R" w:hAnsi="Times New Roman"/>
          <w:sz w:val="20"/>
          <w:szCs w:val="20"/>
          <w:vertAlign w:val="subscript"/>
        </w:rPr>
        <w:t>24</w:t>
      </w:r>
      <w:r w:rsidRPr="0004560D">
        <w:rPr>
          <w:rFonts w:ascii="Times New Roman" w:eastAsia="AdvGulliv-R" w:hAnsi="Times New Roman"/>
          <w:sz w:val="20"/>
          <w:szCs w:val="20"/>
        </w:rPr>
        <w:t xml:space="preserve"> as a catalyst in ionic liquids. </w:t>
      </w:r>
      <w:r w:rsidRPr="0004560D">
        <w:rPr>
          <w:rFonts w:ascii="Times New Roman" w:eastAsia="AdvGulliv-R" w:hAnsi="Times New Roman"/>
          <w:i/>
          <w:sz w:val="20"/>
          <w:szCs w:val="20"/>
        </w:rPr>
        <w:t xml:space="preserve">Fuel Process Technology, </w:t>
      </w:r>
      <w:r w:rsidRPr="0004560D">
        <w:rPr>
          <w:rFonts w:ascii="Times New Roman" w:eastAsia="AdvGulliv-R" w:hAnsi="Times New Roman"/>
          <w:sz w:val="20"/>
          <w:szCs w:val="20"/>
        </w:rPr>
        <w:t xml:space="preserve">119: 87 – 91. </w:t>
      </w:r>
    </w:p>
    <w:p w:rsidR="0004560D" w:rsidRPr="0004560D" w:rsidRDefault="0004560D" w:rsidP="0004560D">
      <w:pPr>
        <w:pStyle w:val="ListParagraph"/>
        <w:numPr>
          <w:ilvl w:val="0"/>
          <w:numId w:val="2"/>
        </w:numPr>
        <w:autoSpaceDE w:val="0"/>
        <w:autoSpaceDN w:val="0"/>
        <w:adjustRightInd w:val="0"/>
        <w:spacing w:after="0" w:line="240" w:lineRule="auto"/>
        <w:ind w:left="360"/>
        <w:jc w:val="both"/>
        <w:rPr>
          <w:rFonts w:ascii="Times New Roman" w:eastAsia="AdvGulliv-R" w:hAnsi="Times New Roman"/>
          <w:sz w:val="20"/>
          <w:szCs w:val="20"/>
        </w:rPr>
      </w:pPr>
      <w:r w:rsidRPr="0004560D">
        <w:rPr>
          <w:rFonts w:ascii="Times New Roman" w:eastAsia="AdvGulliv-R" w:hAnsi="Times New Roman"/>
          <w:sz w:val="20"/>
          <w:szCs w:val="20"/>
        </w:rPr>
        <w:t>Ban, L. L., Liu, P., Ma, C. H. and Dai, B. (2013). Deep extractive desulfurization of diesel fuel by FeCl</w:t>
      </w:r>
      <w:r w:rsidRPr="0004560D">
        <w:rPr>
          <w:rFonts w:ascii="Times New Roman" w:eastAsia="AdvGulliv-R" w:hAnsi="Times New Roman"/>
          <w:sz w:val="20"/>
          <w:szCs w:val="20"/>
          <w:vertAlign w:val="subscript"/>
        </w:rPr>
        <w:t>3</w:t>
      </w:r>
      <w:r w:rsidRPr="0004560D">
        <w:rPr>
          <w:rFonts w:ascii="Times New Roman" w:eastAsia="AdvGulliv-R" w:hAnsi="Times New Roman"/>
          <w:sz w:val="20"/>
          <w:szCs w:val="20"/>
        </w:rPr>
        <w:t xml:space="preserve">/ionic liquids. </w:t>
      </w:r>
      <w:r w:rsidRPr="0004560D">
        <w:rPr>
          <w:rFonts w:ascii="Times New Roman" w:eastAsia="AdvGulliv-R" w:hAnsi="Times New Roman"/>
          <w:i/>
          <w:sz w:val="20"/>
          <w:szCs w:val="20"/>
        </w:rPr>
        <w:t>Chinese Chemistry Letters,</w:t>
      </w:r>
      <w:r w:rsidRPr="0004560D">
        <w:rPr>
          <w:rFonts w:ascii="Times New Roman" w:eastAsia="AdvGulliv-R" w:hAnsi="Times New Roman"/>
          <w:sz w:val="20"/>
          <w:szCs w:val="20"/>
        </w:rPr>
        <w:t xml:space="preserve"> 24:755 – 758. </w:t>
      </w:r>
    </w:p>
    <w:p w:rsidR="0004560D" w:rsidRPr="0004560D" w:rsidRDefault="0004560D" w:rsidP="0004560D">
      <w:pPr>
        <w:pStyle w:val="ListParagraph"/>
        <w:numPr>
          <w:ilvl w:val="0"/>
          <w:numId w:val="2"/>
        </w:numPr>
        <w:autoSpaceDE w:val="0"/>
        <w:autoSpaceDN w:val="0"/>
        <w:adjustRightInd w:val="0"/>
        <w:spacing w:after="0" w:line="240" w:lineRule="auto"/>
        <w:ind w:left="360"/>
        <w:jc w:val="both"/>
        <w:rPr>
          <w:rFonts w:ascii="Times New Roman" w:eastAsia="AdvGulliv-R" w:hAnsi="Times New Roman"/>
          <w:sz w:val="20"/>
          <w:szCs w:val="20"/>
        </w:rPr>
      </w:pPr>
      <w:r w:rsidRPr="0004560D">
        <w:rPr>
          <w:rFonts w:ascii="Times New Roman" w:eastAsia="AdvGulliv-R" w:hAnsi="Times New Roman"/>
          <w:sz w:val="20"/>
          <w:szCs w:val="20"/>
        </w:rPr>
        <w:t xml:space="preserve">Rodriguez-Cabo, B., Rodriguez, H., Rodil, E., Arce, A. and Soto, A. (2014).  Extractive and oxidative–extractive desulfurization of fuel with ionic liquids. </w:t>
      </w:r>
      <w:r w:rsidRPr="0004560D">
        <w:rPr>
          <w:rFonts w:ascii="Times New Roman" w:eastAsia="AdvGulliv-R" w:hAnsi="Times New Roman"/>
          <w:i/>
          <w:sz w:val="20"/>
          <w:szCs w:val="20"/>
        </w:rPr>
        <w:t>Fuel,</w:t>
      </w:r>
      <w:r w:rsidRPr="0004560D">
        <w:rPr>
          <w:rFonts w:ascii="Times New Roman" w:eastAsia="AdvGulliv-R" w:hAnsi="Times New Roman"/>
          <w:sz w:val="20"/>
          <w:szCs w:val="20"/>
        </w:rPr>
        <w:t xml:space="preserve"> 117: 882 – 889. </w:t>
      </w:r>
    </w:p>
    <w:p w:rsidR="0004560D" w:rsidRPr="0004560D" w:rsidRDefault="0004560D" w:rsidP="0004560D">
      <w:pPr>
        <w:pStyle w:val="ListParagraph"/>
        <w:numPr>
          <w:ilvl w:val="0"/>
          <w:numId w:val="2"/>
        </w:numPr>
        <w:autoSpaceDE w:val="0"/>
        <w:autoSpaceDN w:val="0"/>
        <w:adjustRightInd w:val="0"/>
        <w:spacing w:after="0" w:line="240" w:lineRule="auto"/>
        <w:ind w:left="360"/>
        <w:jc w:val="both"/>
        <w:rPr>
          <w:rFonts w:ascii="Times New Roman" w:eastAsia="AdvGulliv-R" w:hAnsi="Times New Roman"/>
          <w:sz w:val="20"/>
          <w:szCs w:val="20"/>
        </w:rPr>
      </w:pPr>
      <w:r w:rsidRPr="0004560D">
        <w:rPr>
          <w:rFonts w:ascii="Times New Roman" w:eastAsia="AdvGulliv-R" w:hAnsi="Times New Roman"/>
          <w:sz w:val="20"/>
          <w:szCs w:val="20"/>
        </w:rPr>
        <w:t xml:space="preserve">Li, W. L., Tang, H., Liu, Q., Xing, J., Li, Q., Wang, D., </w:t>
      </w:r>
      <w:r w:rsidRPr="0004560D">
        <w:rPr>
          <w:rFonts w:ascii="Times New Roman" w:eastAsia="AdvGulliv-R" w:hAnsi="Times New Roman"/>
          <w:iCs/>
          <w:sz w:val="20"/>
          <w:szCs w:val="20"/>
        </w:rPr>
        <w:t xml:space="preserve">Yang, M., Li, X. and Liu, H. </w:t>
      </w:r>
      <w:r w:rsidRPr="0004560D">
        <w:rPr>
          <w:rFonts w:ascii="Times New Roman" w:eastAsia="AdvGulliv-R" w:hAnsi="Times New Roman"/>
          <w:sz w:val="20"/>
          <w:szCs w:val="20"/>
        </w:rPr>
        <w:t xml:space="preserve">(2009). Deep desulfurization of diesel by integrating adsorption and microbial method. </w:t>
      </w:r>
      <w:r w:rsidRPr="0004560D">
        <w:rPr>
          <w:rFonts w:ascii="Times New Roman" w:eastAsia="AdvGulliv-R" w:hAnsi="Times New Roman"/>
          <w:i/>
          <w:sz w:val="20"/>
          <w:szCs w:val="20"/>
        </w:rPr>
        <w:t>Biochemical Engineering Journal,</w:t>
      </w:r>
      <w:r w:rsidRPr="0004560D">
        <w:rPr>
          <w:rFonts w:ascii="Times New Roman" w:eastAsia="AdvGulliv-R" w:hAnsi="Times New Roman"/>
          <w:sz w:val="20"/>
          <w:szCs w:val="20"/>
        </w:rPr>
        <w:t xml:space="preserve"> 44: 297 – 301.</w:t>
      </w:r>
    </w:p>
    <w:p w:rsidR="0004560D" w:rsidRPr="0004560D" w:rsidRDefault="0004560D" w:rsidP="0004560D">
      <w:pPr>
        <w:pStyle w:val="ListParagraph"/>
        <w:numPr>
          <w:ilvl w:val="0"/>
          <w:numId w:val="2"/>
        </w:numPr>
        <w:autoSpaceDE w:val="0"/>
        <w:autoSpaceDN w:val="0"/>
        <w:adjustRightInd w:val="0"/>
        <w:spacing w:after="0" w:line="240" w:lineRule="auto"/>
        <w:ind w:left="360"/>
        <w:jc w:val="both"/>
        <w:rPr>
          <w:rFonts w:ascii="Times New Roman" w:eastAsia="AdvGulliv-R" w:hAnsi="Times New Roman"/>
          <w:sz w:val="20"/>
          <w:szCs w:val="20"/>
        </w:rPr>
      </w:pPr>
      <w:r w:rsidRPr="0004560D">
        <w:rPr>
          <w:rFonts w:ascii="Times New Roman" w:eastAsia="AdvGulliv-R" w:hAnsi="Times New Roman"/>
          <w:sz w:val="20"/>
          <w:szCs w:val="20"/>
        </w:rPr>
        <w:t xml:space="preserve">Kim, H., Ma, X., Zhou, A. and Song, C. (2006). Ultra-deep desulfurization and denitrogenation of diesel fuel by selective adsorption over three different adsorbents: a study on adsorptive selectivity and mechanism. </w:t>
      </w:r>
      <w:r w:rsidRPr="0004560D">
        <w:rPr>
          <w:rFonts w:ascii="Times New Roman" w:eastAsia="AdvGulliv-R" w:hAnsi="Times New Roman"/>
          <w:i/>
          <w:sz w:val="20"/>
          <w:szCs w:val="20"/>
        </w:rPr>
        <w:t xml:space="preserve">Catalysis Today, </w:t>
      </w:r>
      <w:r w:rsidRPr="0004560D">
        <w:rPr>
          <w:rFonts w:ascii="Times New Roman" w:eastAsia="AdvGulliv-R" w:hAnsi="Times New Roman"/>
          <w:sz w:val="20"/>
          <w:szCs w:val="20"/>
        </w:rPr>
        <w:t>111:74 – 83.</w:t>
      </w:r>
    </w:p>
    <w:p w:rsidR="0004560D" w:rsidRPr="0004560D" w:rsidRDefault="0004560D" w:rsidP="0004560D">
      <w:pPr>
        <w:pStyle w:val="ListParagraph"/>
        <w:numPr>
          <w:ilvl w:val="0"/>
          <w:numId w:val="2"/>
        </w:numPr>
        <w:autoSpaceDE w:val="0"/>
        <w:autoSpaceDN w:val="0"/>
        <w:adjustRightInd w:val="0"/>
        <w:spacing w:after="0" w:line="240" w:lineRule="auto"/>
        <w:ind w:left="360"/>
        <w:jc w:val="both"/>
        <w:rPr>
          <w:rFonts w:ascii="Times New Roman" w:eastAsia="AdvGulliv-R" w:hAnsi="Times New Roman"/>
          <w:sz w:val="20"/>
          <w:szCs w:val="20"/>
        </w:rPr>
      </w:pPr>
      <w:r w:rsidRPr="0004560D">
        <w:rPr>
          <w:rFonts w:ascii="Times New Roman" w:eastAsia="AdvGulliv-R" w:hAnsi="Times New Roman"/>
          <w:sz w:val="20"/>
          <w:szCs w:val="20"/>
        </w:rPr>
        <w:t xml:space="preserve">Dinamarca, M. A., Ibacache-Quiroga, C., Baeza, P., Galvez, S., Villarroel, M., Olivero, P. and Ojeda, J. (2010). Biodesulfurization of gas oil using inorganic supports biomodified with metabolically active cells immobilized by adsorption. </w:t>
      </w:r>
      <w:r w:rsidRPr="0004560D">
        <w:rPr>
          <w:rFonts w:ascii="Times New Roman" w:eastAsia="AdvGulliv-R" w:hAnsi="Times New Roman"/>
          <w:i/>
          <w:sz w:val="20"/>
          <w:szCs w:val="20"/>
        </w:rPr>
        <w:t>Bioresource Technology,</w:t>
      </w:r>
      <w:r w:rsidRPr="0004560D">
        <w:rPr>
          <w:rFonts w:ascii="Times New Roman" w:eastAsia="AdvGulliv-R" w:hAnsi="Times New Roman"/>
          <w:sz w:val="20"/>
          <w:szCs w:val="20"/>
        </w:rPr>
        <w:t xml:space="preserve"> 101: 2375 – 2378.</w:t>
      </w:r>
    </w:p>
    <w:p w:rsidR="0004560D" w:rsidRPr="0004560D" w:rsidRDefault="0004560D" w:rsidP="0004560D">
      <w:pPr>
        <w:pStyle w:val="ListParagraph"/>
        <w:numPr>
          <w:ilvl w:val="0"/>
          <w:numId w:val="2"/>
        </w:numPr>
        <w:autoSpaceDE w:val="0"/>
        <w:autoSpaceDN w:val="0"/>
        <w:adjustRightInd w:val="0"/>
        <w:spacing w:after="0" w:line="240" w:lineRule="auto"/>
        <w:ind w:left="360"/>
        <w:jc w:val="both"/>
        <w:rPr>
          <w:rFonts w:ascii="Times New Roman" w:eastAsia="AdvGulliv-R" w:hAnsi="Times New Roman"/>
          <w:color w:val="000000"/>
          <w:sz w:val="20"/>
          <w:szCs w:val="20"/>
        </w:rPr>
      </w:pPr>
      <w:r w:rsidRPr="0004560D">
        <w:rPr>
          <w:rFonts w:ascii="Times New Roman" w:eastAsia="AdvGulliv-R" w:hAnsi="Times New Roman"/>
          <w:sz w:val="20"/>
          <w:szCs w:val="20"/>
        </w:rPr>
        <w:t xml:space="preserve">Fatemeh, D. D., Manouchehr, V. and Abed, A. Z. (2010). Biodesulfurization of dibenzothiophene by newly isolated rhodococcus erythropolis strain. </w:t>
      </w:r>
      <w:r w:rsidRPr="0004560D">
        <w:rPr>
          <w:rFonts w:ascii="Times New Roman" w:eastAsia="AdvGulliv-R" w:hAnsi="Times New Roman"/>
          <w:i/>
          <w:sz w:val="20"/>
          <w:szCs w:val="20"/>
        </w:rPr>
        <w:t>Bioresource Technology,</w:t>
      </w:r>
      <w:r w:rsidRPr="0004560D">
        <w:rPr>
          <w:rFonts w:ascii="Times New Roman" w:eastAsia="AdvGulliv-R" w:hAnsi="Times New Roman"/>
          <w:sz w:val="20"/>
          <w:szCs w:val="20"/>
        </w:rPr>
        <w:t xml:space="preserve"> 101:1102 – 1105</w:t>
      </w:r>
      <w:r w:rsidRPr="0004560D">
        <w:rPr>
          <w:rFonts w:ascii="Times New Roman" w:eastAsia="AdvGulliv-R" w:hAnsi="Times New Roman"/>
          <w:color w:val="000000"/>
          <w:sz w:val="20"/>
          <w:szCs w:val="20"/>
        </w:rPr>
        <w:t>.</w:t>
      </w:r>
    </w:p>
    <w:p w:rsidR="0004560D" w:rsidRPr="0004560D" w:rsidRDefault="0004560D" w:rsidP="0004560D">
      <w:pPr>
        <w:pStyle w:val="ListParagraph"/>
        <w:numPr>
          <w:ilvl w:val="0"/>
          <w:numId w:val="2"/>
        </w:numPr>
        <w:autoSpaceDE w:val="0"/>
        <w:autoSpaceDN w:val="0"/>
        <w:adjustRightInd w:val="0"/>
        <w:spacing w:after="0" w:line="240" w:lineRule="auto"/>
        <w:ind w:left="360"/>
        <w:jc w:val="both"/>
        <w:rPr>
          <w:rFonts w:ascii="Times New Roman" w:eastAsia="AdvGulliv-R" w:hAnsi="Times New Roman"/>
          <w:color w:val="000000"/>
          <w:sz w:val="20"/>
          <w:szCs w:val="20"/>
        </w:rPr>
      </w:pPr>
      <w:r w:rsidRPr="0004560D">
        <w:rPr>
          <w:rFonts w:ascii="Times New Roman" w:eastAsia="AdvGulliv-R" w:hAnsi="Times New Roman"/>
          <w:sz w:val="20"/>
          <w:szCs w:val="20"/>
        </w:rPr>
        <w:t>Hirai, T</w:t>
      </w:r>
      <w:r w:rsidRPr="0004560D">
        <w:rPr>
          <w:rFonts w:ascii="Times New Roman" w:eastAsia="AdvGulliv-R" w:hAnsi="Times New Roman"/>
          <w:color w:val="000000"/>
          <w:sz w:val="20"/>
          <w:szCs w:val="20"/>
        </w:rPr>
        <w:t xml:space="preserve">., Ogawa, K. and Komasawa, I. (1996). </w:t>
      </w:r>
      <w:r w:rsidRPr="0004560D">
        <w:rPr>
          <w:rFonts w:ascii="Times New Roman" w:hAnsi="Times New Roman" w:cs="Courier New"/>
          <w:sz w:val="20"/>
          <w:szCs w:val="20"/>
        </w:rPr>
        <w:t xml:space="preserve">Desulfurization process for dibenzothiophenes from light oil by photochemical reaction and liquid-liquid extraction.  </w:t>
      </w:r>
      <w:r w:rsidRPr="0004560D">
        <w:rPr>
          <w:rFonts w:ascii="Times New Roman" w:hAnsi="Times New Roman" w:cs="Courier New"/>
          <w:i/>
          <w:iCs/>
          <w:sz w:val="20"/>
          <w:szCs w:val="20"/>
        </w:rPr>
        <w:t>Industrial and Engineering Chemical Research</w:t>
      </w:r>
      <w:r w:rsidRPr="0004560D">
        <w:rPr>
          <w:rFonts w:ascii="Times New Roman" w:hAnsi="Times New Roman" w:cs="Courier New"/>
          <w:sz w:val="20"/>
          <w:szCs w:val="20"/>
        </w:rPr>
        <w:t>, 35: 586 – 589.</w:t>
      </w:r>
    </w:p>
    <w:p w:rsidR="0004560D" w:rsidRPr="0004560D" w:rsidRDefault="0004560D" w:rsidP="0004560D">
      <w:pPr>
        <w:pStyle w:val="ListParagraph"/>
        <w:numPr>
          <w:ilvl w:val="0"/>
          <w:numId w:val="2"/>
        </w:numPr>
        <w:autoSpaceDE w:val="0"/>
        <w:autoSpaceDN w:val="0"/>
        <w:adjustRightInd w:val="0"/>
        <w:spacing w:after="0" w:line="240" w:lineRule="auto"/>
        <w:ind w:left="360"/>
        <w:jc w:val="both"/>
        <w:rPr>
          <w:rFonts w:ascii="Times New Roman" w:eastAsia="AdvGulliv-R" w:hAnsi="Times New Roman"/>
          <w:color w:val="000000"/>
          <w:sz w:val="20"/>
          <w:szCs w:val="20"/>
        </w:rPr>
      </w:pPr>
      <w:r w:rsidRPr="0004560D">
        <w:rPr>
          <w:rFonts w:ascii="Times New Roman" w:eastAsia="AdvGulliv-R" w:hAnsi="Times New Roman"/>
          <w:sz w:val="20"/>
          <w:szCs w:val="20"/>
        </w:rPr>
        <w:t>Shiraishi, Y.</w:t>
      </w:r>
      <w:r w:rsidRPr="0004560D">
        <w:rPr>
          <w:rFonts w:ascii="Times New Roman" w:eastAsia="AdvGulliv-R" w:hAnsi="Times New Roman"/>
          <w:color w:val="000000"/>
          <w:sz w:val="20"/>
          <w:szCs w:val="20"/>
        </w:rPr>
        <w:t>, Hirai, T. and Komasawa, I. (2002). TiO</w:t>
      </w:r>
      <w:r w:rsidRPr="0004560D">
        <w:rPr>
          <w:rFonts w:ascii="Times New Roman" w:eastAsia="AdvGulliv-R" w:hAnsi="Times New Roman"/>
          <w:color w:val="000000"/>
          <w:sz w:val="20"/>
          <w:szCs w:val="20"/>
          <w:vertAlign w:val="subscript"/>
        </w:rPr>
        <w:t>2</w:t>
      </w:r>
      <w:r w:rsidRPr="0004560D">
        <w:rPr>
          <w:rFonts w:ascii="Times New Roman" w:eastAsia="AdvGulliv-R" w:hAnsi="Times New Roman"/>
          <w:color w:val="000000"/>
          <w:sz w:val="20"/>
          <w:szCs w:val="20"/>
        </w:rPr>
        <w:t xml:space="preserve">-mediated photocatalytic desulfurization process for light oils using an organic two-phase system. </w:t>
      </w:r>
      <w:r w:rsidRPr="0004560D">
        <w:rPr>
          <w:rFonts w:ascii="Times New Roman" w:eastAsia="AdvGulliv-R" w:hAnsi="Times New Roman"/>
          <w:i/>
          <w:iCs/>
          <w:color w:val="000000"/>
          <w:sz w:val="20"/>
          <w:szCs w:val="20"/>
        </w:rPr>
        <w:t xml:space="preserve">Journal of Chemical Engineering of Japan, </w:t>
      </w:r>
      <w:r w:rsidRPr="0004560D">
        <w:rPr>
          <w:rFonts w:ascii="Times New Roman" w:eastAsia="AdvGulliv-R" w:hAnsi="Times New Roman"/>
          <w:iCs/>
          <w:color w:val="000000"/>
          <w:sz w:val="20"/>
          <w:szCs w:val="20"/>
        </w:rPr>
        <w:t>35: 489 –</w:t>
      </w:r>
      <w:r>
        <w:rPr>
          <w:rFonts w:ascii="Times New Roman" w:eastAsia="AdvGulliv-R" w:hAnsi="Times New Roman"/>
          <w:iCs/>
          <w:color w:val="000000"/>
          <w:sz w:val="20"/>
          <w:szCs w:val="20"/>
        </w:rPr>
        <w:t xml:space="preserve"> </w:t>
      </w:r>
      <w:r w:rsidRPr="0004560D">
        <w:rPr>
          <w:rFonts w:ascii="Times New Roman" w:eastAsia="AdvGulliv-R" w:hAnsi="Times New Roman"/>
          <w:iCs/>
          <w:color w:val="000000"/>
          <w:sz w:val="20"/>
          <w:szCs w:val="20"/>
        </w:rPr>
        <w:t>492</w:t>
      </w:r>
      <w:r w:rsidRPr="0004560D">
        <w:rPr>
          <w:rFonts w:ascii="Times New Roman" w:eastAsia="AdvGulliv-R" w:hAnsi="Times New Roman"/>
          <w:i/>
          <w:iCs/>
          <w:color w:val="000000"/>
          <w:sz w:val="20"/>
          <w:szCs w:val="20"/>
        </w:rPr>
        <w:t>.</w:t>
      </w:r>
    </w:p>
    <w:p w:rsidR="0004560D" w:rsidRPr="0004560D" w:rsidRDefault="0004560D" w:rsidP="0004560D">
      <w:pPr>
        <w:pStyle w:val="ListParagraph"/>
        <w:numPr>
          <w:ilvl w:val="0"/>
          <w:numId w:val="2"/>
        </w:numPr>
        <w:autoSpaceDE w:val="0"/>
        <w:autoSpaceDN w:val="0"/>
        <w:adjustRightInd w:val="0"/>
        <w:spacing w:after="0" w:line="240" w:lineRule="auto"/>
        <w:ind w:left="360"/>
        <w:jc w:val="both"/>
        <w:rPr>
          <w:rFonts w:ascii="Times New Roman" w:eastAsia="AdvGulliv-R" w:hAnsi="Times New Roman"/>
          <w:color w:val="000000"/>
          <w:sz w:val="20"/>
          <w:szCs w:val="20"/>
        </w:rPr>
      </w:pPr>
      <w:r w:rsidRPr="0004560D">
        <w:rPr>
          <w:rFonts w:ascii="Times New Roman" w:hAnsi="Times New Roman"/>
          <w:color w:val="222222"/>
          <w:sz w:val="20"/>
          <w:szCs w:val="20"/>
        </w:rPr>
        <w:t>Huang, Y., Ho, W., Ai, Z., Song, X., Zhang, L. and Lee, S. (2009). Aerosol-assisted flow synthesis of B-doped, Ni doped and B–Ni-codoped TiO</w:t>
      </w:r>
      <w:r w:rsidRPr="0004560D">
        <w:rPr>
          <w:rFonts w:ascii="Times New Roman" w:hAnsi="Times New Roman"/>
          <w:color w:val="222222"/>
          <w:sz w:val="20"/>
          <w:szCs w:val="20"/>
          <w:vertAlign w:val="subscript"/>
        </w:rPr>
        <w:t xml:space="preserve">2 </w:t>
      </w:r>
      <w:r w:rsidRPr="0004560D">
        <w:rPr>
          <w:rFonts w:ascii="Times New Roman" w:hAnsi="Times New Roman"/>
          <w:color w:val="222222"/>
          <w:sz w:val="20"/>
          <w:szCs w:val="20"/>
        </w:rPr>
        <w:t>solid and hollow microspheres for photocatalytic removal of NO.</w:t>
      </w:r>
      <w:r w:rsidRPr="0004560D">
        <w:rPr>
          <w:rStyle w:val="apple-converted-space"/>
          <w:rFonts w:ascii="Times New Roman" w:hAnsi="Times New Roman"/>
          <w:color w:val="222222"/>
          <w:sz w:val="20"/>
          <w:szCs w:val="20"/>
        </w:rPr>
        <w:t xml:space="preserve"> </w:t>
      </w:r>
      <w:r w:rsidRPr="0004560D">
        <w:rPr>
          <w:rFonts w:ascii="Times New Roman" w:hAnsi="Times New Roman"/>
          <w:i/>
          <w:iCs/>
          <w:color w:val="222222"/>
          <w:sz w:val="20"/>
          <w:szCs w:val="20"/>
        </w:rPr>
        <w:t xml:space="preserve">Applied Catalysis B, </w:t>
      </w:r>
      <w:r w:rsidRPr="0004560D">
        <w:rPr>
          <w:rFonts w:ascii="Times New Roman" w:hAnsi="Times New Roman"/>
          <w:color w:val="222222"/>
          <w:sz w:val="20"/>
          <w:szCs w:val="20"/>
        </w:rPr>
        <w:t>89:398 – 405.</w:t>
      </w:r>
    </w:p>
    <w:p w:rsidR="0004560D" w:rsidRPr="0004560D" w:rsidRDefault="0004560D" w:rsidP="0004560D">
      <w:pPr>
        <w:pStyle w:val="ListParagraph"/>
        <w:numPr>
          <w:ilvl w:val="0"/>
          <w:numId w:val="2"/>
        </w:numPr>
        <w:autoSpaceDE w:val="0"/>
        <w:autoSpaceDN w:val="0"/>
        <w:adjustRightInd w:val="0"/>
        <w:spacing w:after="0" w:line="240" w:lineRule="auto"/>
        <w:ind w:left="360"/>
        <w:jc w:val="both"/>
        <w:rPr>
          <w:rFonts w:ascii="Times New Roman" w:eastAsia="AdvGulliv-R" w:hAnsi="Times New Roman"/>
          <w:color w:val="000000"/>
          <w:sz w:val="20"/>
          <w:szCs w:val="20"/>
        </w:rPr>
      </w:pPr>
      <w:r w:rsidRPr="0004560D">
        <w:rPr>
          <w:rFonts w:ascii="Times New Roman" w:hAnsi="Times New Roman"/>
          <w:color w:val="222222"/>
          <w:sz w:val="20"/>
          <w:szCs w:val="20"/>
        </w:rPr>
        <w:t>Liu, G. Q., Jin, Z. G., Liu, X. X., Wang, T. and Liu, Z. F. (2006).</w:t>
      </w:r>
      <w:r w:rsidRPr="0004560D">
        <w:rPr>
          <w:rStyle w:val="apple-converted-space"/>
          <w:rFonts w:ascii="Times New Roman" w:hAnsi="Times New Roman"/>
          <w:color w:val="222222"/>
          <w:sz w:val="20"/>
          <w:szCs w:val="20"/>
        </w:rPr>
        <w:t> </w:t>
      </w:r>
      <w:r w:rsidRPr="0004560D">
        <w:rPr>
          <w:rFonts w:ascii="Times New Roman" w:hAnsi="Times New Roman"/>
          <w:color w:val="222222"/>
          <w:sz w:val="20"/>
          <w:szCs w:val="20"/>
        </w:rPr>
        <w:t>Anatase TiO</w:t>
      </w:r>
      <w:r w:rsidRPr="0004560D">
        <w:rPr>
          <w:rFonts w:ascii="Times New Roman" w:hAnsi="Times New Roman"/>
          <w:color w:val="222222"/>
          <w:sz w:val="20"/>
          <w:szCs w:val="20"/>
          <w:vertAlign w:val="subscript"/>
        </w:rPr>
        <w:t>2</w:t>
      </w:r>
      <w:r w:rsidRPr="0004560D">
        <w:rPr>
          <w:rStyle w:val="apple-converted-space"/>
          <w:rFonts w:ascii="Times New Roman" w:hAnsi="Times New Roman"/>
          <w:color w:val="222222"/>
          <w:sz w:val="20"/>
          <w:szCs w:val="20"/>
        </w:rPr>
        <w:t> </w:t>
      </w:r>
      <w:r w:rsidRPr="0004560D">
        <w:rPr>
          <w:rFonts w:ascii="Times New Roman" w:hAnsi="Times New Roman"/>
          <w:color w:val="222222"/>
          <w:sz w:val="20"/>
          <w:szCs w:val="20"/>
        </w:rPr>
        <w:t>porous thin films prepared by sol-gel method using CTAB surfactant.</w:t>
      </w:r>
      <w:r w:rsidRPr="0004560D">
        <w:rPr>
          <w:rStyle w:val="apple-converted-space"/>
          <w:rFonts w:ascii="Times New Roman" w:hAnsi="Times New Roman"/>
          <w:color w:val="222222"/>
          <w:sz w:val="20"/>
          <w:szCs w:val="20"/>
        </w:rPr>
        <w:t> </w:t>
      </w:r>
      <w:r w:rsidRPr="0004560D">
        <w:rPr>
          <w:rFonts w:ascii="Times New Roman" w:hAnsi="Times New Roman"/>
          <w:i/>
          <w:iCs/>
          <w:color w:val="222222"/>
          <w:sz w:val="20"/>
          <w:szCs w:val="20"/>
        </w:rPr>
        <w:t xml:space="preserve">Journal of Sol-Gel Science and Technology, </w:t>
      </w:r>
      <w:r w:rsidRPr="0004560D">
        <w:rPr>
          <w:rFonts w:ascii="Times New Roman" w:hAnsi="Times New Roman"/>
          <w:color w:val="222222"/>
          <w:sz w:val="20"/>
          <w:szCs w:val="20"/>
        </w:rPr>
        <w:t>41: 49 – 55.</w:t>
      </w:r>
    </w:p>
    <w:p w:rsidR="0004560D" w:rsidRPr="0004560D" w:rsidRDefault="0004560D" w:rsidP="0004560D">
      <w:pPr>
        <w:pStyle w:val="ListParagraph"/>
        <w:numPr>
          <w:ilvl w:val="0"/>
          <w:numId w:val="2"/>
        </w:numPr>
        <w:autoSpaceDE w:val="0"/>
        <w:autoSpaceDN w:val="0"/>
        <w:adjustRightInd w:val="0"/>
        <w:spacing w:after="0" w:line="240" w:lineRule="auto"/>
        <w:ind w:left="360"/>
        <w:jc w:val="both"/>
        <w:rPr>
          <w:rFonts w:ascii="Times New Roman" w:eastAsia="AdvGulliv-R" w:hAnsi="Times New Roman"/>
          <w:color w:val="000000"/>
          <w:sz w:val="20"/>
          <w:szCs w:val="20"/>
        </w:rPr>
      </w:pPr>
      <w:r w:rsidRPr="0004560D">
        <w:rPr>
          <w:rFonts w:ascii="Times New Roman" w:eastAsia="AdvGulliv-R" w:hAnsi="Times New Roman"/>
          <w:color w:val="000000"/>
          <w:sz w:val="20"/>
          <w:szCs w:val="20"/>
        </w:rPr>
        <w:t xml:space="preserve">Ibrahim, A., Xian, S. B. and Wei, Z. (2003). Desulfurization of FCC gasoline by solvent extraction and photooxidation. </w:t>
      </w:r>
      <w:r w:rsidRPr="0004560D">
        <w:rPr>
          <w:rFonts w:ascii="Times New Roman" w:eastAsia="AdvGulliv-R" w:hAnsi="Times New Roman"/>
          <w:i/>
          <w:iCs/>
          <w:color w:val="000000"/>
          <w:sz w:val="20"/>
          <w:szCs w:val="20"/>
        </w:rPr>
        <w:t xml:space="preserve">Petroleum Science and Technology, </w:t>
      </w:r>
      <w:r w:rsidRPr="0004560D">
        <w:rPr>
          <w:rFonts w:ascii="Times New Roman" w:eastAsia="AdvGulliv-R" w:hAnsi="Times New Roman"/>
          <w:color w:val="000000"/>
          <w:sz w:val="20"/>
          <w:szCs w:val="20"/>
        </w:rPr>
        <w:t>21: 1555 – 1573.</w:t>
      </w:r>
    </w:p>
    <w:p w:rsidR="0004560D" w:rsidRPr="0004560D" w:rsidRDefault="0004560D" w:rsidP="0004560D">
      <w:pPr>
        <w:pStyle w:val="ListParagraph"/>
        <w:numPr>
          <w:ilvl w:val="0"/>
          <w:numId w:val="2"/>
        </w:numPr>
        <w:autoSpaceDE w:val="0"/>
        <w:autoSpaceDN w:val="0"/>
        <w:adjustRightInd w:val="0"/>
        <w:spacing w:after="0" w:line="240" w:lineRule="auto"/>
        <w:ind w:left="360"/>
        <w:jc w:val="both"/>
        <w:rPr>
          <w:rFonts w:ascii="Times New Roman" w:eastAsia="AdvGulliv-R" w:hAnsi="Times New Roman"/>
          <w:sz w:val="20"/>
          <w:szCs w:val="20"/>
        </w:rPr>
      </w:pPr>
      <w:r w:rsidRPr="0004560D">
        <w:rPr>
          <w:rFonts w:ascii="Times New Roman" w:hAnsi="Times New Roman"/>
          <w:sz w:val="20"/>
          <w:szCs w:val="20"/>
        </w:rPr>
        <w:t>Zhao, D., Li, F., Han, J. and Li, H. (2007). Photochemical oxidation of thiophene by O</w:t>
      </w:r>
      <w:r w:rsidRPr="0004560D">
        <w:rPr>
          <w:rFonts w:ascii="Times New Roman" w:hAnsi="Times New Roman"/>
          <w:sz w:val="20"/>
          <w:szCs w:val="20"/>
          <w:vertAlign w:val="subscript"/>
        </w:rPr>
        <w:t>2</w:t>
      </w:r>
      <w:r w:rsidRPr="0004560D">
        <w:rPr>
          <w:rFonts w:ascii="Times New Roman" w:hAnsi="Times New Roman"/>
          <w:sz w:val="20"/>
          <w:szCs w:val="20"/>
        </w:rPr>
        <w:t xml:space="preserve"> in an organic two-phase liquid-liquid extraction system. </w:t>
      </w:r>
      <w:r w:rsidRPr="0004560D">
        <w:rPr>
          <w:rFonts w:ascii="Times New Roman" w:hAnsi="Times New Roman"/>
          <w:i/>
          <w:sz w:val="20"/>
          <w:szCs w:val="20"/>
        </w:rPr>
        <w:t>Petroleum Chemistry</w:t>
      </w:r>
      <w:r w:rsidRPr="0004560D">
        <w:rPr>
          <w:rFonts w:ascii="Times New Roman" w:hAnsi="Times New Roman"/>
          <w:sz w:val="20"/>
          <w:szCs w:val="20"/>
        </w:rPr>
        <w:t>, 47: 448 – 451.</w:t>
      </w:r>
    </w:p>
    <w:p w:rsidR="0004560D" w:rsidRPr="0004560D" w:rsidRDefault="0004560D" w:rsidP="0004560D">
      <w:pPr>
        <w:pStyle w:val="ListParagraph"/>
        <w:numPr>
          <w:ilvl w:val="0"/>
          <w:numId w:val="2"/>
        </w:numPr>
        <w:autoSpaceDE w:val="0"/>
        <w:autoSpaceDN w:val="0"/>
        <w:adjustRightInd w:val="0"/>
        <w:spacing w:after="0" w:line="240" w:lineRule="auto"/>
        <w:ind w:left="360"/>
        <w:jc w:val="both"/>
        <w:rPr>
          <w:rFonts w:ascii="Times New Roman" w:eastAsia="AdvGulliv-R" w:hAnsi="Times New Roman"/>
          <w:color w:val="000000"/>
          <w:sz w:val="20"/>
          <w:szCs w:val="20"/>
        </w:rPr>
      </w:pPr>
      <w:r w:rsidRPr="0004560D">
        <w:rPr>
          <w:rFonts w:ascii="Times New Roman" w:eastAsia="AdvGulliv-R" w:hAnsi="Times New Roman"/>
          <w:color w:val="000000"/>
          <w:sz w:val="20"/>
          <w:szCs w:val="20"/>
        </w:rPr>
        <w:t xml:space="preserve">Shiraishi, Y., Hirai, T. and Komasawa, I. (1999). Identification of desulfurization products in the photochemical desulfurization process for benzothiophene and dibenzothiophene from light oil using an organic two-phase extraction system. </w:t>
      </w:r>
      <w:r w:rsidRPr="0004560D">
        <w:rPr>
          <w:rFonts w:ascii="Times New Roman" w:eastAsia="AdvGulliv-R" w:hAnsi="Times New Roman"/>
          <w:i/>
          <w:iCs/>
          <w:color w:val="000000"/>
          <w:sz w:val="20"/>
          <w:szCs w:val="20"/>
        </w:rPr>
        <w:t xml:space="preserve">Industrial and Engineering Chemical Research, </w:t>
      </w:r>
      <w:r w:rsidRPr="0004560D">
        <w:rPr>
          <w:rFonts w:ascii="Times New Roman" w:eastAsia="AdvGulliv-R" w:hAnsi="Times New Roman"/>
          <w:color w:val="000000"/>
          <w:sz w:val="20"/>
          <w:szCs w:val="20"/>
        </w:rPr>
        <w:t>38: 3300 –3309.</w:t>
      </w:r>
    </w:p>
    <w:p w:rsidR="0004560D" w:rsidRPr="0004560D" w:rsidRDefault="0004560D" w:rsidP="0004560D">
      <w:pPr>
        <w:pStyle w:val="ListParagraph"/>
        <w:numPr>
          <w:ilvl w:val="0"/>
          <w:numId w:val="2"/>
        </w:numPr>
        <w:autoSpaceDE w:val="0"/>
        <w:autoSpaceDN w:val="0"/>
        <w:adjustRightInd w:val="0"/>
        <w:spacing w:after="0" w:line="240" w:lineRule="auto"/>
        <w:ind w:left="360"/>
        <w:jc w:val="both"/>
        <w:rPr>
          <w:rFonts w:ascii="Times New Roman" w:eastAsia="AdvGulliv-R" w:hAnsi="Times New Roman"/>
          <w:color w:val="000000"/>
          <w:sz w:val="20"/>
          <w:szCs w:val="20"/>
        </w:rPr>
      </w:pPr>
      <w:r w:rsidRPr="0004560D">
        <w:rPr>
          <w:rFonts w:ascii="Times New Roman" w:eastAsia="AdvGulliv-R" w:hAnsi="Times New Roman"/>
          <w:color w:val="000000"/>
          <w:sz w:val="20"/>
          <w:szCs w:val="20"/>
        </w:rPr>
        <w:t xml:space="preserve">Song, C. (2003). An overview of new approaches to deep desulfurization for ultra-clean gasoline, diesel and jet fuel. </w:t>
      </w:r>
      <w:r w:rsidRPr="0004560D">
        <w:rPr>
          <w:rFonts w:ascii="Times New Roman" w:eastAsia="AdvGulliv-R" w:hAnsi="Times New Roman"/>
          <w:i/>
          <w:iCs/>
          <w:color w:val="000000"/>
          <w:sz w:val="20"/>
          <w:szCs w:val="20"/>
        </w:rPr>
        <w:t xml:space="preserve">Catalysis Today, </w:t>
      </w:r>
      <w:r w:rsidRPr="0004560D">
        <w:rPr>
          <w:rFonts w:ascii="Times New Roman" w:eastAsia="AdvGulliv-R" w:hAnsi="Times New Roman"/>
          <w:color w:val="000000"/>
          <w:sz w:val="20"/>
          <w:szCs w:val="20"/>
        </w:rPr>
        <w:t>86: 211 – 263.</w:t>
      </w:r>
    </w:p>
    <w:p w:rsidR="0004560D" w:rsidRPr="0004560D" w:rsidRDefault="0004560D" w:rsidP="0004560D">
      <w:pPr>
        <w:pStyle w:val="ListParagraph"/>
        <w:numPr>
          <w:ilvl w:val="0"/>
          <w:numId w:val="2"/>
        </w:numPr>
        <w:autoSpaceDE w:val="0"/>
        <w:autoSpaceDN w:val="0"/>
        <w:adjustRightInd w:val="0"/>
        <w:spacing w:after="0" w:line="240" w:lineRule="auto"/>
        <w:ind w:left="360"/>
        <w:jc w:val="both"/>
        <w:rPr>
          <w:rFonts w:ascii="Times New Roman" w:eastAsia="AdvGulliv-R" w:hAnsi="Times New Roman"/>
          <w:sz w:val="20"/>
          <w:szCs w:val="20"/>
        </w:rPr>
      </w:pPr>
      <w:r w:rsidRPr="0004560D">
        <w:rPr>
          <w:rFonts w:ascii="Times New Roman" w:eastAsia="AdvGulliv-R" w:hAnsi="Times New Roman"/>
          <w:sz w:val="20"/>
          <w:szCs w:val="20"/>
        </w:rPr>
        <w:lastRenderedPageBreak/>
        <w:t>Matsuzawa, S., Tanaka, J., Sato, S. and Ibusuki, T. (2002). Photocatalytic oxidation of dibenzothiophene in acetonitrile using TiO</w:t>
      </w:r>
      <w:r w:rsidRPr="0004560D">
        <w:rPr>
          <w:rFonts w:ascii="Times New Roman" w:eastAsia="AdvGulliv-R" w:hAnsi="Times New Roman"/>
          <w:sz w:val="20"/>
          <w:szCs w:val="20"/>
          <w:vertAlign w:val="subscript"/>
        </w:rPr>
        <w:t>2</w:t>
      </w:r>
      <w:r w:rsidRPr="0004560D">
        <w:rPr>
          <w:rFonts w:ascii="Times New Roman" w:eastAsia="AdvGulliv-R" w:hAnsi="Times New Roman"/>
          <w:sz w:val="20"/>
          <w:szCs w:val="20"/>
        </w:rPr>
        <w:t xml:space="preserve">: effect of hydrogen peroxide and ultrasound irradiation. </w:t>
      </w:r>
      <w:r w:rsidRPr="0004560D">
        <w:rPr>
          <w:rFonts w:ascii="Times New Roman" w:eastAsia="AdvGulliv-R" w:hAnsi="Times New Roman"/>
          <w:i/>
          <w:iCs/>
          <w:sz w:val="20"/>
          <w:szCs w:val="20"/>
        </w:rPr>
        <w:t>Journal of Photochemistry and Photobiology A,</w:t>
      </w:r>
      <w:r w:rsidRPr="0004560D">
        <w:rPr>
          <w:rFonts w:ascii="Times New Roman" w:eastAsia="AdvGulliv-R" w:hAnsi="Times New Roman"/>
          <w:sz w:val="20"/>
          <w:szCs w:val="20"/>
        </w:rPr>
        <w:t xml:space="preserve"> 149: 183 – 189.</w:t>
      </w:r>
    </w:p>
    <w:p w:rsidR="0004560D" w:rsidRPr="0004560D" w:rsidRDefault="0004560D" w:rsidP="0004560D">
      <w:pPr>
        <w:pStyle w:val="ListParagraph"/>
        <w:numPr>
          <w:ilvl w:val="0"/>
          <w:numId w:val="2"/>
        </w:numPr>
        <w:autoSpaceDE w:val="0"/>
        <w:autoSpaceDN w:val="0"/>
        <w:adjustRightInd w:val="0"/>
        <w:spacing w:after="0" w:line="240" w:lineRule="auto"/>
        <w:ind w:left="360"/>
        <w:jc w:val="both"/>
        <w:rPr>
          <w:rFonts w:ascii="Times New Roman" w:eastAsia="AdvGulliv-R" w:hAnsi="Times New Roman"/>
          <w:color w:val="000000"/>
          <w:sz w:val="20"/>
          <w:szCs w:val="20"/>
        </w:rPr>
      </w:pPr>
      <w:r w:rsidRPr="0004560D">
        <w:rPr>
          <w:rFonts w:ascii="Times New Roman" w:eastAsia="AdvGulliv-R" w:hAnsi="Times New Roman"/>
          <w:color w:val="000000"/>
          <w:sz w:val="20"/>
          <w:szCs w:val="20"/>
        </w:rPr>
        <w:t xml:space="preserve">Shiraishi, Y., Hirai, T. and Komasawa, I. (2001). Photochemical desulfurization and denitrogenation process for vacuum gas oil using an organic two-phase extraction system. </w:t>
      </w:r>
      <w:r w:rsidRPr="0004560D">
        <w:rPr>
          <w:rFonts w:ascii="Times New Roman" w:eastAsia="AdvGulliv-R" w:hAnsi="Times New Roman"/>
          <w:i/>
          <w:iCs/>
          <w:color w:val="000000"/>
          <w:sz w:val="20"/>
          <w:szCs w:val="20"/>
        </w:rPr>
        <w:t xml:space="preserve">Industrial and Engineering Chemical Research, </w:t>
      </w:r>
      <w:r w:rsidRPr="0004560D">
        <w:rPr>
          <w:rFonts w:ascii="Times New Roman" w:eastAsia="AdvGulliv-R" w:hAnsi="Times New Roman"/>
          <w:color w:val="000000"/>
          <w:sz w:val="20"/>
          <w:szCs w:val="20"/>
        </w:rPr>
        <w:t>40: 293 – 303.</w:t>
      </w:r>
    </w:p>
    <w:p w:rsidR="0004560D" w:rsidRPr="0004560D" w:rsidRDefault="0004560D" w:rsidP="0004560D">
      <w:pPr>
        <w:pStyle w:val="ListParagraph"/>
        <w:numPr>
          <w:ilvl w:val="0"/>
          <w:numId w:val="2"/>
        </w:numPr>
        <w:autoSpaceDE w:val="0"/>
        <w:autoSpaceDN w:val="0"/>
        <w:adjustRightInd w:val="0"/>
        <w:spacing w:after="0" w:line="240" w:lineRule="auto"/>
        <w:ind w:left="360"/>
        <w:jc w:val="both"/>
        <w:rPr>
          <w:rFonts w:ascii="Times New Roman" w:eastAsia="AdvGulliv-R" w:hAnsi="Times New Roman"/>
          <w:sz w:val="20"/>
          <w:szCs w:val="20"/>
        </w:rPr>
      </w:pPr>
      <w:r w:rsidRPr="0004560D">
        <w:rPr>
          <w:rFonts w:ascii="Times New Roman" w:eastAsia="AdvGulliv-R" w:hAnsi="Times New Roman"/>
          <w:sz w:val="20"/>
          <w:szCs w:val="20"/>
        </w:rPr>
        <w:t>Liu, J, Zhang, Z, Yang, L, Zhang, Y, Deng S. (2011). The degradation of reactive black wastewater by Fe/Cu co-doped TiO</w:t>
      </w:r>
      <w:r w:rsidRPr="0004560D">
        <w:rPr>
          <w:rFonts w:ascii="Times New Roman" w:eastAsia="AdvGulliv-R" w:hAnsi="Times New Roman"/>
          <w:sz w:val="20"/>
          <w:szCs w:val="20"/>
          <w:vertAlign w:val="subscript"/>
        </w:rPr>
        <w:t>2</w:t>
      </w:r>
      <w:r w:rsidRPr="0004560D">
        <w:rPr>
          <w:rFonts w:ascii="Times New Roman" w:eastAsia="AdvGulliv-R" w:hAnsi="Times New Roman"/>
          <w:sz w:val="20"/>
          <w:szCs w:val="20"/>
        </w:rPr>
        <w:t xml:space="preserve">. </w:t>
      </w:r>
      <w:r w:rsidRPr="0004560D">
        <w:rPr>
          <w:rFonts w:ascii="Times New Roman" w:eastAsia="AdvGulliv-R" w:hAnsi="Times New Roman"/>
          <w:i/>
          <w:iCs/>
          <w:sz w:val="20"/>
          <w:szCs w:val="20"/>
        </w:rPr>
        <w:t>International Journal of Chemistry</w:t>
      </w:r>
      <w:r w:rsidRPr="0004560D">
        <w:rPr>
          <w:rFonts w:ascii="Times New Roman" w:eastAsia="AdvGulliv-R" w:hAnsi="Times New Roman"/>
          <w:sz w:val="20"/>
          <w:szCs w:val="20"/>
        </w:rPr>
        <w:t>, 3: 87 – 92.</w:t>
      </w:r>
    </w:p>
    <w:p w:rsidR="0004560D" w:rsidRPr="0004560D" w:rsidRDefault="0004560D" w:rsidP="0004560D">
      <w:pPr>
        <w:pStyle w:val="ListParagraph"/>
        <w:numPr>
          <w:ilvl w:val="0"/>
          <w:numId w:val="2"/>
        </w:numPr>
        <w:autoSpaceDE w:val="0"/>
        <w:autoSpaceDN w:val="0"/>
        <w:adjustRightInd w:val="0"/>
        <w:spacing w:after="0" w:line="240" w:lineRule="auto"/>
        <w:ind w:left="360"/>
        <w:jc w:val="both"/>
        <w:rPr>
          <w:rFonts w:ascii="Times New Roman" w:eastAsia="AdvGulliv-R" w:hAnsi="Times New Roman"/>
          <w:sz w:val="20"/>
          <w:szCs w:val="20"/>
        </w:rPr>
      </w:pPr>
      <w:r w:rsidRPr="0004560D">
        <w:rPr>
          <w:rFonts w:ascii="Times New Roman" w:eastAsia="AdvGulliv-R" w:hAnsi="Times New Roman"/>
          <w:sz w:val="20"/>
          <w:szCs w:val="20"/>
        </w:rPr>
        <w:t xml:space="preserve">Zhang, D. (2010). Enhanced photocatalytic activity for titanium dioxide by commodification with copper and iron. </w:t>
      </w:r>
      <w:r w:rsidRPr="0004560D">
        <w:rPr>
          <w:rFonts w:ascii="Times New Roman" w:eastAsia="AdvGulliv-R" w:hAnsi="Times New Roman"/>
          <w:i/>
          <w:iCs/>
          <w:sz w:val="20"/>
          <w:szCs w:val="20"/>
        </w:rPr>
        <w:t>Transition Metal Chemistry,</w:t>
      </w:r>
      <w:r w:rsidRPr="0004560D">
        <w:rPr>
          <w:rFonts w:ascii="Times New Roman" w:eastAsia="AdvGulliv-R" w:hAnsi="Times New Roman"/>
          <w:sz w:val="20"/>
          <w:szCs w:val="20"/>
        </w:rPr>
        <w:t xml:space="preserve"> 35: 933 – 938.</w:t>
      </w:r>
    </w:p>
    <w:p w:rsidR="0004560D" w:rsidRPr="0004560D" w:rsidRDefault="0004560D" w:rsidP="0004560D">
      <w:pPr>
        <w:pStyle w:val="ListParagraph"/>
        <w:numPr>
          <w:ilvl w:val="0"/>
          <w:numId w:val="2"/>
        </w:numPr>
        <w:autoSpaceDE w:val="0"/>
        <w:autoSpaceDN w:val="0"/>
        <w:adjustRightInd w:val="0"/>
        <w:spacing w:after="0" w:line="240" w:lineRule="auto"/>
        <w:ind w:left="360"/>
        <w:jc w:val="both"/>
        <w:rPr>
          <w:rFonts w:ascii="Times New Roman" w:eastAsia="AdvGulliv-R" w:hAnsi="Times New Roman"/>
          <w:sz w:val="20"/>
          <w:szCs w:val="20"/>
        </w:rPr>
      </w:pPr>
      <w:r w:rsidRPr="0004560D">
        <w:rPr>
          <w:rFonts w:ascii="Times New Roman" w:eastAsia="AdvGulliv-R" w:hAnsi="Times New Roman"/>
          <w:sz w:val="20"/>
          <w:szCs w:val="20"/>
        </w:rPr>
        <w:t>Zaid, H. F. M., Chong, F. K. and Mutalib, M. I. A. (2014). Integrated photooxidative–extractive desulfurization system for fuel oil using Cu, Fe and Cu–Fe/TiO</w:t>
      </w:r>
      <w:r w:rsidRPr="0004560D">
        <w:rPr>
          <w:rFonts w:ascii="Times New Roman" w:eastAsia="AdvGulliv-R" w:hAnsi="Times New Roman"/>
          <w:sz w:val="20"/>
          <w:szCs w:val="20"/>
          <w:vertAlign w:val="subscript"/>
        </w:rPr>
        <w:t>2</w:t>
      </w:r>
      <w:r w:rsidRPr="0004560D">
        <w:rPr>
          <w:rFonts w:ascii="Times New Roman" w:eastAsia="AdvGulliv-R" w:hAnsi="Times New Roman"/>
          <w:sz w:val="20"/>
          <w:szCs w:val="20"/>
        </w:rPr>
        <w:t xml:space="preserve"> and eutectic based ionic liquids: effect of calcination temperature and duration. </w:t>
      </w:r>
      <w:r w:rsidRPr="0004560D">
        <w:rPr>
          <w:rFonts w:ascii="Times New Roman" w:eastAsia="AdvGulliv-R" w:hAnsi="Times New Roman"/>
          <w:i/>
          <w:iCs/>
          <w:sz w:val="20"/>
          <w:szCs w:val="20"/>
        </w:rPr>
        <w:t>AIP Conference Proceedings</w:t>
      </w:r>
      <w:r w:rsidRPr="0004560D">
        <w:rPr>
          <w:rFonts w:ascii="Times New Roman" w:eastAsia="AdvGulliv-R" w:hAnsi="Times New Roman"/>
          <w:sz w:val="20"/>
          <w:szCs w:val="20"/>
        </w:rPr>
        <w:t>, 1621: 231 – 237.</w:t>
      </w:r>
    </w:p>
    <w:p w:rsidR="0004560D" w:rsidRPr="0004560D" w:rsidRDefault="0004560D" w:rsidP="0004560D">
      <w:pPr>
        <w:pStyle w:val="ListParagraph"/>
        <w:numPr>
          <w:ilvl w:val="0"/>
          <w:numId w:val="2"/>
        </w:numPr>
        <w:autoSpaceDE w:val="0"/>
        <w:autoSpaceDN w:val="0"/>
        <w:adjustRightInd w:val="0"/>
        <w:spacing w:after="0" w:line="240" w:lineRule="auto"/>
        <w:ind w:left="360"/>
        <w:jc w:val="both"/>
        <w:rPr>
          <w:rFonts w:ascii="Times New Roman" w:eastAsia="AdvGulliv-R" w:hAnsi="Times New Roman"/>
          <w:sz w:val="20"/>
          <w:szCs w:val="20"/>
        </w:rPr>
      </w:pPr>
      <w:r w:rsidRPr="0004560D">
        <w:rPr>
          <w:rFonts w:ascii="Times New Roman" w:eastAsia="AdvGulliv-R" w:hAnsi="Times New Roman"/>
          <w:sz w:val="20"/>
          <w:szCs w:val="20"/>
        </w:rPr>
        <w:t>Khan, M. A., Akhtar, M. S. and Yang, O. B. (2010). Synthesis, characterization and application of sol–gel derived mesoporous TiO</w:t>
      </w:r>
      <w:r w:rsidRPr="0004560D">
        <w:rPr>
          <w:rFonts w:ascii="Times New Roman" w:eastAsia="AdvGulliv-R" w:hAnsi="Times New Roman"/>
          <w:sz w:val="20"/>
          <w:szCs w:val="20"/>
          <w:vertAlign w:val="subscript"/>
        </w:rPr>
        <w:t>2</w:t>
      </w:r>
      <w:r w:rsidRPr="0004560D">
        <w:rPr>
          <w:rFonts w:ascii="Times New Roman" w:eastAsia="AdvGulliv-R" w:hAnsi="Times New Roman"/>
          <w:sz w:val="20"/>
          <w:szCs w:val="20"/>
        </w:rPr>
        <w:t xml:space="preserve"> nanoparticles for dye-sensitized solar cells. </w:t>
      </w:r>
      <w:r w:rsidRPr="0004560D">
        <w:rPr>
          <w:rFonts w:ascii="Times New Roman" w:eastAsia="AdvGulliv-R" w:hAnsi="Times New Roman"/>
          <w:i/>
          <w:iCs/>
          <w:sz w:val="20"/>
          <w:szCs w:val="20"/>
        </w:rPr>
        <w:t>Sol Energy</w:t>
      </w:r>
      <w:r w:rsidRPr="0004560D">
        <w:rPr>
          <w:rFonts w:ascii="Times New Roman" w:eastAsia="AdvGulliv-R" w:hAnsi="Times New Roman"/>
          <w:sz w:val="20"/>
          <w:szCs w:val="20"/>
        </w:rPr>
        <w:t>, 84: 2195 – 2201.</w:t>
      </w:r>
    </w:p>
    <w:p w:rsidR="0004560D" w:rsidRPr="0004560D" w:rsidRDefault="0004560D" w:rsidP="0004560D">
      <w:pPr>
        <w:pStyle w:val="ListParagraph"/>
        <w:numPr>
          <w:ilvl w:val="0"/>
          <w:numId w:val="2"/>
        </w:numPr>
        <w:autoSpaceDE w:val="0"/>
        <w:autoSpaceDN w:val="0"/>
        <w:adjustRightInd w:val="0"/>
        <w:spacing w:after="0" w:line="240" w:lineRule="auto"/>
        <w:ind w:left="360"/>
        <w:jc w:val="both"/>
        <w:rPr>
          <w:rFonts w:ascii="Times New Roman" w:eastAsia="AdvGulliv-R" w:hAnsi="Times New Roman"/>
          <w:sz w:val="20"/>
          <w:szCs w:val="20"/>
        </w:rPr>
      </w:pPr>
      <w:r w:rsidRPr="0004560D">
        <w:rPr>
          <w:rFonts w:ascii="Times New Roman" w:eastAsia="AdvGulliv-R" w:hAnsi="Times New Roman"/>
          <w:sz w:val="20"/>
          <w:szCs w:val="20"/>
        </w:rPr>
        <w:t>Vijayalakshmi, R. and Rajendran, V.  (2012). Synthesis and characterization of nano-TiO</w:t>
      </w:r>
      <w:r w:rsidRPr="0004560D">
        <w:rPr>
          <w:rFonts w:ascii="Times New Roman" w:eastAsia="AdvGulliv-R" w:hAnsi="Times New Roman"/>
          <w:sz w:val="20"/>
          <w:szCs w:val="20"/>
          <w:vertAlign w:val="subscript"/>
        </w:rPr>
        <w:t>2</w:t>
      </w:r>
      <w:r w:rsidRPr="0004560D">
        <w:rPr>
          <w:rFonts w:ascii="Times New Roman" w:eastAsia="AdvGulliv-R" w:hAnsi="Times New Roman"/>
          <w:sz w:val="20"/>
          <w:szCs w:val="20"/>
        </w:rPr>
        <w:t xml:space="preserve"> via different methods. </w:t>
      </w:r>
      <w:r w:rsidRPr="0004560D">
        <w:rPr>
          <w:rFonts w:ascii="Times New Roman" w:eastAsia="AdvGulliv-R" w:hAnsi="Times New Roman"/>
          <w:i/>
          <w:iCs/>
          <w:sz w:val="20"/>
          <w:szCs w:val="20"/>
        </w:rPr>
        <w:t>Archives Applied Science Research</w:t>
      </w:r>
      <w:r w:rsidRPr="0004560D">
        <w:rPr>
          <w:rFonts w:ascii="Times New Roman" w:eastAsia="AdvGulliv-R" w:hAnsi="Times New Roman"/>
          <w:sz w:val="20"/>
          <w:szCs w:val="20"/>
        </w:rPr>
        <w:t>, 4:1183 – 1190.</w:t>
      </w:r>
    </w:p>
    <w:p w:rsidR="0004560D" w:rsidRPr="0004560D" w:rsidRDefault="0004560D" w:rsidP="0004560D">
      <w:pPr>
        <w:pStyle w:val="ListParagraph"/>
        <w:numPr>
          <w:ilvl w:val="0"/>
          <w:numId w:val="2"/>
        </w:numPr>
        <w:autoSpaceDE w:val="0"/>
        <w:autoSpaceDN w:val="0"/>
        <w:adjustRightInd w:val="0"/>
        <w:spacing w:after="0" w:line="240" w:lineRule="auto"/>
        <w:ind w:left="360"/>
        <w:jc w:val="both"/>
        <w:rPr>
          <w:rFonts w:ascii="Times New Roman" w:eastAsia="AdvGulliv-R" w:hAnsi="Times New Roman"/>
          <w:sz w:val="20"/>
          <w:szCs w:val="20"/>
        </w:rPr>
      </w:pPr>
      <w:r w:rsidRPr="0004560D">
        <w:rPr>
          <w:rFonts w:ascii="Times New Roman" w:eastAsia="AdvGulliv-R" w:hAnsi="Times New Roman"/>
          <w:sz w:val="20"/>
          <w:szCs w:val="20"/>
        </w:rPr>
        <w:t>Kim, D. S. and Kwak, S. Y. (2007). The hydrothermal synthesis of mesoporous TiO</w:t>
      </w:r>
      <w:r w:rsidRPr="0004560D">
        <w:rPr>
          <w:rFonts w:ascii="Times New Roman" w:eastAsia="AdvGulliv-R" w:hAnsi="Times New Roman"/>
          <w:sz w:val="20"/>
          <w:szCs w:val="20"/>
          <w:vertAlign w:val="subscript"/>
        </w:rPr>
        <w:t>2</w:t>
      </w:r>
      <w:r w:rsidRPr="0004560D">
        <w:rPr>
          <w:rFonts w:ascii="Times New Roman" w:eastAsia="AdvGulliv-R" w:hAnsi="Times New Roman"/>
          <w:sz w:val="20"/>
          <w:szCs w:val="20"/>
        </w:rPr>
        <w:t xml:space="preserve"> with high crystallinity, thermal stability, large surface area, and enhanced photocatalytic activity</w:t>
      </w:r>
      <w:r w:rsidRPr="0004560D">
        <w:rPr>
          <w:rFonts w:ascii="Times New Roman" w:eastAsia="AdvGulliv-R" w:hAnsi="Times New Roman"/>
          <w:i/>
          <w:iCs/>
          <w:sz w:val="20"/>
          <w:szCs w:val="20"/>
        </w:rPr>
        <w:t>. Applied Catalysis A: General</w:t>
      </w:r>
      <w:r w:rsidRPr="0004560D">
        <w:rPr>
          <w:rFonts w:ascii="Times New Roman" w:eastAsia="AdvGulliv-R" w:hAnsi="Times New Roman"/>
          <w:sz w:val="20"/>
          <w:szCs w:val="20"/>
        </w:rPr>
        <w:t>, 323: 110 – 118.</w:t>
      </w:r>
    </w:p>
    <w:p w:rsidR="0004560D" w:rsidRPr="0004560D" w:rsidRDefault="0004560D" w:rsidP="0004560D">
      <w:pPr>
        <w:pStyle w:val="ListParagraph"/>
        <w:numPr>
          <w:ilvl w:val="0"/>
          <w:numId w:val="2"/>
        </w:numPr>
        <w:autoSpaceDE w:val="0"/>
        <w:autoSpaceDN w:val="0"/>
        <w:adjustRightInd w:val="0"/>
        <w:spacing w:after="0" w:line="240" w:lineRule="auto"/>
        <w:ind w:left="360"/>
        <w:jc w:val="both"/>
        <w:rPr>
          <w:rFonts w:ascii="Times New Roman" w:eastAsia="AdvGulliv-R" w:hAnsi="Times New Roman"/>
          <w:sz w:val="20"/>
          <w:szCs w:val="20"/>
        </w:rPr>
      </w:pPr>
      <w:r w:rsidRPr="0004560D">
        <w:rPr>
          <w:rFonts w:ascii="Times New Roman" w:eastAsia="AdvGulliv-R" w:hAnsi="Times New Roman"/>
          <w:sz w:val="20"/>
          <w:szCs w:val="20"/>
        </w:rPr>
        <w:t>Yu, J., Zhao, X. and Zhao, Q. (2000). Effect of surface structure on photocatalytic activity of TiO</w:t>
      </w:r>
      <w:r w:rsidRPr="0004560D">
        <w:rPr>
          <w:rFonts w:ascii="Times New Roman" w:eastAsia="AdvGulliv-R" w:hAnsi="Times New Roman"/>
          <w:sz w:val="20"/>
          <w:szCs w:val="20"/>
          <w:vertAlign w:val="subscript"/>
        </w:rPr>
        <w:t>2</w:t>
      </w:r>
      <w:r w:rsidRPr="0004560D">
        <w:rPr>
          <w:rFonts w:ascii="Times New Roman" w:eastAsia="AdvGulliv-R" w:hAnsi="Times New Roman"/>
          <w:sz w:val="20"/>
          <w:szCs w:val="20"/>
        </w:rPr>
        <w:t xml:space="preserve"> thin films prepared by sol–gel method. </w:t>
      </w:r>
      <w:r w:rsidRPr="0004560D">
        <w:rPr>
          <w:rFonts w:ascii="Times New Roman" w:eastAsia="AdvGulliv-R" w:hAnsi="Times New Roman"/>
          <w:i/>
          <w:iCs/>
          <w:sz w:val="20"/>
          <w:szCs w:val="20"/>
        </w:rPr>
        <w:t>Thin Solid Films,</w:t>
      </w:r>
      <w:r w:rsidRPr="0004560D">
        <w:rPr>
          <w:rFonts w:ascii="Times New Roman" w:eastAsia="AdvGulliv-R" w:hAnsi="Times New Roman"/>
          <w:sz w:val="20"/>
          <w:szCs w:val="20"/>
        </w:rPr>
        <w:t xml:space="preserve"> 379: 7 – 14.</w:t>
      </w:r>
    </w:p>
    <w:p w:rsidR="0004560D" w:rsidRPr="0004560D" w:rsidRDefault="0004560D" w:rsidP="0004560D">
      <w:pPr>
        <w:pStyle w:val="ListParagraph"/>
        <w:numPr>
          <w:ilvl w:val="0"/>
          <w:numId w:val="2"/>
        </w:numPr>
        <w:autoSpaceDE w:val="0"/>
        <w:autoSpaceDN w:val="0"/>
        <w:adjustRightInd w:val="0"/>
        <w:spacing w:after="0" w:line="240" w:lineRule="auto"/>
        <w:ind w:left="360"/>
        <w:jc w:val="both"/>
        <w:rPr>
          <w:rFonts w:ascii="Times New Roman" w:eastAsia="AdvGulliv-R" w:hAnsi="Times New Roman"/>
          <w:sz w:val="20"/>
          <w:szCs w:val="20"/>
        </w:rPr>
      </w:pPr>
      <w:r w:rsidRPr="0004560D">
        <w:rPr>
          <w:rFonts w:ascii="Times New Roman" w:eastAsia="AdvGulliv-R" w:hAnsi="Times New Roman"/>
          <w:sz w:val="20"/>
          <w:szCs w:val="20"/>
        </w:rPr>
        <w:t>Wu, Y., Zhang, J., Xiao, L. and Chen, F. (2009). Preparation and characterization of TiO</w:t>
      </w:r>
      <w:r w:rsidRPr="0004560D">
        <w:rPr>
          <w:rFonts w:ascii="Times New Roman" w:eastAsia="AdvGulliv-R" w:hAnsi="Times New Roman"/>
          <w:sz w:val="20"/>
          <w:szCs w:val="20"/>
          <w:vertAlign w:val="subscript"/>
        </w:rPr>
        <w:t>2</w:t>
      </w:r>
      <w:r w:rsidRPr="0004560D">
        <w:rPr>
          <w:rFonts w:ascii="Times New Roman" w:eastAsia="AdvGulliv-R" w:hAnsi="Times New Roman"/>
          <w:sz w:val="20"/>
          <w:szCs w:val="20"/>
        </w:rPr>
        <w:t xml:space="preserve"> photocatalysts by Fe</w:t>
      </w:r>
      <w:r w:rsidRPr="0004560D">
        <w:rPr>
          <w:rFonts w:ascii="Times New Roman" w:eastAsia="AdvGulliv-R" w:hAnsi="Times New Roman"/>
          <w:sz w:val="20"/>
          <w:szCs w:val="20"/>
          <w:vertAlign w:val="superscript"/>
        </w:rPr>
        <w:t>3+</w:t>
      </w:r>
      <w:r w:rsidRPr="0004560D">
        <w:rPr>
          <w:rFonts w:ascii="Times New Roman" w:eastAsia="AdvGulliv-R" w:hAnsi="Times New Roman"/>
          <w:sz w:val="20"/>
          <w:szCs w:val="20"/>
        </w:rPr>
        <w:t xml:space="preserve"> doping together with Au deposition for the degradation of organic pollutants. </w:t>
      </w:r>
      <w:r w:rsidRPr="0004560D">
        <w:rPr>
          <w:rFonts w:ascii="Times New Roman" w:eastAsia="AdvGulliv-R" w:hAnsi="Times New Roman"/>
          <w:i/>
          <w:iCs/>
          <w:sz w:val="20"/>
          <w:szCs w:val="20"/>
        </w:rPr>
        <w:t>Applied Catalysis B: Environment</w:t>
      </w:r>
      <w:r w:rsidRPr="0004560D">
        <w:rPr>
          <w:rFonts w:ascii="Times New Roman" w:eastAsia="AdvGulliv-R" w:hAnsi="Times New Roman"/>
          <w:sz w:val="20"/>
          <w:szCs w:val="20"/>
        </w:rPr>
        <w:t>, 88: 525 – 532.</w:t>
      </w:r>
    </w:p>
    <w:p w:rsidR="0004560D" w:rsidRPr="0004560D" w:rsidRDefault="0004560D" w:rsidP="0004560D">
      <w:pPr>
        <w:pStyle w:val="ListParagraph"/>
        <w:numPr>
          <w:ilvl w:val="0"/>
          <w:numId w:val="2"/>
        </w:numPr>
        <w:autoSpaceDE w:val="0"/>
        <w:autoSpaceDN w:val="0"/>
        <w:adjustRightInd w:val="0"/>
        <w:spacing w:after="0" w:line="240" w:lineRule="auto"/>
        <w:ind w:left="360"/>
        <w:jc w:val="both"/>
        <w:rPr>
          <w:rFonts w:ascii="Times New Roman" w:eastAsia="AdvGulliv-R" w:hAnsi="Times New Roman"/>
          <w:sz w:val="20"/>
          <w:szCs w:val="20"/>
        </w:rPr>
      </w:pPr>
      <w:r w:rsidRPr="0004560D">
        <w:rPr>
          <w:rFonts w:ascii="Times New Roman" w:eastAsia="AdvGulliv-R" w:hAnsi="Times New Roman"/>
          <w:sz w:val="20"/>
          <w:szCs w:val="20"/>
        </w:rPr>
        <w:t>Yoong, L. S., Chong, F. K. and Dutta, B. K. (2009). Development of copper-doped TiO</w:t>
      </w:r>
      <w:r w:rsidRPr="0004560D">
        <w:rPr>
          <w:rFonts w:ascii="Times New Roman" w:eastAsia="AdvGulliv-R" w:hAnsi="Times New Roman"/>
          <w:sz w:val="20"/>
          <w:szCs w:val="20"/>
          <w:vertAlign w:val="subscript"/>
        </w:rPr>
        <w:t>2</w:t>
      </w:r>
      <w:r w:rsidRPr="0004560D">
        <w:rPr>
          <w:rFonts w:ascii="Times New Roman" w:eastAsia="AdvGulliv-R" w:hAnsi="Times New Roman"/>
          <w:sz w:val="20"/>
          <w:szCs w:val="20"/>
        </w:rPr>
        <w:t xml:space="preserve"> photocatalyst for hydrogen production under visible light. </w:t>
      </w:r>
      <w:r w:rsidRPr="0004560D">
        <w:rPr>
          <w:rFonts w:ascii="Times New Roman" w:eastAsia="AdvGulliv-R" w:hAnsi="Times New Roman"/>
          <w:i/>
          <w:iCs/>
          <w:sz w:val="20"/>
          <w:szCs w:val="20"/>
        </w:rPr>
        <w:t>Energy</w:t>
      </w:r>
      <w:r w:rsidRPr="0004560D">
        <w:rPr>
          <w:rFonts w:ascii="Times New Roman" w:eastAsia="AdvGulliv-R" w:hAnsi="Times New Roman"/>
          <w:sz w:val="20"/>
          <w:szCs w:val="20"/>
        </w:rPr>
        <w:t>, 34: 1652 – 1661.</w:t>
      </w:r>
    </w:p>
    <w:p w:rsidR="0004560D" w:rsidRPr="0004560D" w:rsidRDefault="0004560D" w:rsidP="0004560D">
      <w:pPr>
        <w:pStyle w:val="ListParagraph"/>
        <w:numPr>
          <w:ilvl w:val="0"/>
          <w:numId w:val="2"/>
        </w:numPr>
        <w:autoSpaceDE w:val="0"/>
        <w:autoSpaceDN w:val="0"/>
        <w:adjustRightInd w:val="0"/>
        <w:spacing w:after="0" w:line="240" w:lineRule="auto"/>
        <w:ind w:left="360"/>
        <w:jc w:val="both"/>
        <w:rPr>
          <w:rFonts w:ascii="Times New Roman" w:eastAsia="AdvGulliv-R" w:hAnsi="Times New Roman"/>
          <w:sz w:val="20"/>
          <w:szCs w:val="20"/>
        </w:rPr>
      </w:pPr>
      <w:r w:rsidRPr="0004560D">
        <w:rPr>
          <w:rFonts w:ascii="Times New Roman" w:eastAsia="AdvGulliv-R" w:hAnsi="Times New Roman"/>
          <w:sz w:val="20"/>
          <w:szCs w:val="20"/>
        </w:rPr>
        <w:t>Kim, A. Y. and Kang, M. (2012). Effect of Al-Cu bimetallic components in a TiO</w:t>
      </w:r>
      <w:r w:rsidRPr="0004560D">
        <w:rPr>
          <w:rFonts w:ascii="Times New Roman" w:eastAsia="AdvGulliv-R" w:hAnsi="Times New Roman"/>
          <w:sz w:val="20"/>
          <w:szCs w:val="20"/>
          <w:vertAlign w:val="subscript"/>
        </w:rPr>
        <w:t>2</w:t>
      </w:r>
      <w:r w:rsidRPr="0004560D">
        <w:rPr>
          <w:rFonts w:ascii="Times New Roman" w:eastAsia="AdvGulliv-R" w:hAnsi="Times New Roman"/>
          <w:sz w:val="20"/>
          <w:szCs w:val="20"/>
        </w:rPr>
        <w:t xml:space="preserve"> framework for high hydrogen production on methanol/water photo-splitting. </w:t>
      </w:r>
      <w:r w:rsidRPr="0004560D">
        <w:rPr>
          <w:rFonts w:ascii="Times New Roman" w:eastAsia="AdvGulliv-R" w:hAnsi="Times New Roman"/>
          <w:i/>
          <w:iCs/>
          <w:sz w:val="20"/>
          <w:szCs w:val="20"/>
        </w:rPr>
        <w:t xml:space="preserve">International Journal of Photoenergy, </w:t>
      </w:r>
      <w:r w:rsidRPr="0004560D">
        <w:rPr>
          <w:rFonts w:ascii="Times New Roman" w:eastAsia="AdvGulliv-R" w:hAnsi="Times New Roman"/>
          <w:sz w:val="20"/>
          <w:szCs w:val="20"/>
        </w:rPr>
        <w:t>2012:1-9.</w:t>
      </w:r>
    </w:p>
    <w:p w:rsidR="0004560D" w:rsidRPr="0004560D" w:rsidRDefault="0004560D" w:rsidP="0004560D">
      <w:pPr>
        <w:pStyle w:val="ListParagraph"/>
        <w:numPr>
          <w:ilvl w:val="0"/>
          <w:numId w:val="2"/>
        </w:numPr>
        <w:autoSpaceDE w:val="0"/>
        <w:autoSpaceDN w:val="0"/>
        <w:adjustRightInd w:val="0"/>
        <w:spacing w:after="0" w:line="240" w:lineRule="auto"/>
        <w:ind w:left="360"/>
        <w:jc w:val="both"/>
        <w:rPr>
          <w:rFonts w:ascii="Times New Roman" w:eastAsia="AdvGulliv-R" w:hAnsi="Times New Roman"/>
          <w:sz w:val="20"/>
          <w:szCs w:val="20"/>
        </w:rPr>
      </w:pPr>
      <w:r w:rsidRPr="0004560D">
        <w:rPr>
          <w:rFonts w:ascii="Times New Roman" w:eastAsia="AdvGulliv-R" w:hAnsi="Times New Roman"/>
          <w:color w:val="000000"/>
          <w:sz w:val="20"/>
          <w:szCs w:val="20"/>
        </w:rPr>
        <w:t>Nurlaela, E., Chong, F. K., Dutta, B. K. and Riaz N. (2010). Bimetallic Cu–Ni/TiO</w:t>
      </w:r>
      <w:r w:rsidRPr="0004560D">
        <w:rPr>
          <w:rFonts w:ascii="Times New Roman" w:eastAsia="AdvGulliv-R" w:hAnsi="Times New Roman"/>
          <w:color w:val="000000"/>
          <w:sz w:val="20"/>
          <w:szCs w:val="20"/>
          <w:vertAlign w:val="subscript"/>
        </w:rPr>
        <w:t>2</w:t>
      </w:r>
      <w:r w:rsidRPr="0004560D">
        <w:rPr>
          <w:rFonts w:ascii="Times New Roman" w:eastAsia="AdvGulliv-R" w:hAnsi="Times New Roman"/>
          <w:color w:val="000000"/>
          <w:sz w:val="20"/>
          <w:szCs w:val="20"/>
        </w:rPr>
        <w:t xml:space="preserve"> as photocatalyst for hydrogen production from water</w:t>
      </w:r>
      <w:r w:rsidRPr="0004560D">
        <w:rPr>
          <w:rFonts w:ascii="Times New Roman" w:eastAsia="AdvGulliv-R" w:hAnsi="Times New Roman"/>
          <w:i/>
          <w:iCs/>
          <w:color w:val="000000"/>
          <w:sz w:val="20"/>
          <w:szCs w:val="20"/>
        </w:rPr>
        <w:t>. International Conference on Fundamental and Applied Sciences (ICFAS2010).</w:t>
      </w:r>
      <w:r w:rsidRPr="0004560D">
        <w:rPr>
          <w:rFonts w:ascii="Times New Roman" w:eastAsia="AdvGulliv-R" w:hAnsi="Times New Roman"/>
          <w:color w:val="000000"/>
          <w:sz w:val="20"/>
          <w:szCs w:val="20"/>
        </w:rPr>
        <w:t xml:space="preserve"> Kuala Lumpur, Convention Center, KL.</w:t>
      </w:r>
    </w:p>
    <w:p w:rsidR="0004560D" w:rsidRPr="0004560D" w:rsidRDefault="0004560D" w:rsidP="0004560D">
      <w:pPr>
        <w:pStyle w:val="ListParagraph"/>
        <w:numPr>
          <w:ilvl w:val="0"/>
          <w:numId w:val="2"/>
        </w:numPr>
        <w:autoSpaceDE w:val="0"/>
        <w:autoSpaceDN w:val="0"/>
        <w:adjustRightInd w:val="0"/>
        <w:spacing w:after="0" w:line="240" w:lineRule="auto"/>
        <w:ind w:left="360"/>
        <w:jc w:val="both"/>
        <w:rPr>
          <w:rFonts w:ascii="Times New Roman" w:eastAsia="AdvGulliv-R" w:hAnsi="Times New Roman"/>
          <w:sz w:val="20"/>
          <w:szCs w:val="20"/>
        </w:rPr>
      </w:pPr>
      <w:r w:rsidRPr="0004560D">
        <w:rPr>
          <w:rFonts w:ascii="Times New Roman" w:eastAsia="AdvGulliv-R" w:hAnsi="Times New Roman"/>
          <w:sz w:val="20"/>
          <w:szCs w:val="20"/>
        </w:rPr>
        <w:t>Zhu, J., Chen, F., Zhang, J., Chen, H. and Anpo, M. (2006).  Fe</w:t>
      </w:r>
      <w:r w:rsidRPr="0004560D">
        <w:rPr>
          <w:rFonts w:ascii="Times New Roman" w:eastAsia="AdvGulliv-R" w:hAnsi="Times New Roman"/>
          <w:sz w:val="20"/>
          <w:szCs w:val="20"/>
          <w:vertAlign w:val="superscript"/>
        </w:rPr>
        <w:t>3+</w:t>
      </w:r>
      <w:r w:rsidRPr="0004560D">
        <w:rPr>
          <w:rFonts w:ascii="Times New Roman" w:eastAsia="AdvGulliv-R" w:hAnsi="Times New Roman"/>
          <w:sz w:val="20"/>
          <w:szCs w:val="20"/>
        </w:rPr>
        <w:t>–TiO</w:t>
      </w:r>
      <w:r w:rsidRPr="0004560D">
        <w:rPr>
          <w:rFonts w:ascii="Times New Roman" w:eastAsia="AdvGulliv-R" w:hAnsi="Times New Roman"/>
          <w:sz w:val="20"/>
          <w:szCs w:val="20"/>
          <w:vertAlign w:val="subscript"/>
        </w:rPr>
        <w:t>2</w:t>
      </w:r>
      <w:r w:rsidRPr="0004560D">
        <w:rPr>
          <w:rFonts w:ascii="Times New Roman" w:eastAsia="AdvGulliv-R" w:hAnsi="Times New Roman"/>
          <w:sz w:val="20"/>
          <w:szCs w:val="20"/>
        </w:rPr>
        <w:t xml:space="preserve"> photocatalysts prepared by combining sol–gel method with hydrothermal treatment and their characterization. </w:t>
      </w:r>
      <w:r w:rsidRPr="0004560D">
        <w:rPr>
          <w:rFonts w:ascii="Times New Roman" w:eastAsia="AdvGulliv-R" w:hAnsi="Times New Roman"/>
          <w:i/>
          <w:iCs/>
          <w:sz w:val="20"/>
          <w:szCs w:val="20"/>
        </w:rPr>
        <w:t>Journal of Photochemistry and Photobiology A: Chemistry</w:t>
      </w:r>
      <w:r w:rsidRPr="0004560D">
        <w:rPr>
          <w:rFonts w:ascii="Times New Roman" w:eastAsia="AdvGulliv-R" w:hAnsi="Times New Roman"/>
          <w:sz w:val="20"/>
          <w:szCs w:val="20"/>
        </w:rPr>
        <w:t>, 180: 196 – 204.</w:t>
      </w:r>
    </w:p>
    <w:p w:rsidR="0004560D" w:rsidRPr="0004560D" w:rsidRDefault="0004560D" w:rsidP="0004560D">
      <w:pPr>
        <w:pStyle w:val="ListParagraph"/>
        <w:numPr>
          <w:ilvl w:val="0"/>
          <w:numId w:val="2"/>
        </w:numPr>
        <w:autoSpaceDE w:val="0"/>
        <w:autoSpaceDN w:val="0"/>
        <w:adjustRightInd w:val="0"/>
        <w:spacing w:after="0" w:line="240" w:lineRule="auto"/>
        <w:ind w:left="360"/>
        <w:jc w:val="both"/>
        <w:rPr>
          <w:rFonts w:asciiTheme="majorBidi" w:eastAsia="AdvGulliv-R" w:hAnsiTheme="majorBidi" w:cstheme="majorBidi"/>
          <w:iCs/>
          <w:sz w:val="20"/>
          <w:szCs w:val="20"/>
        </w:rPr>
      </w:pPr>
      <w:r w:rsidRPr="0004560D">
        <w:rPr>
          <w:rFonts w:asciiTheme="majorBidi" w:hAnsiTheme="majorBidi" w:cstheme="majorBidi"/>
          <w:sz w:val="20"/>
          <w:szCs w:val="20"/>
        </w:rPr>
        <w:t>Lu, C. H., Wu, W. H. and Kale, R. B. (2008). Microemulsion-mediated hydrothermal synthesis of photocatalytic TiO</w:t>
      </w:r>
      <w:r w:rsidRPr="0004560D">
        <w:rPr>
          <w:rFonts w:asciiTheme="majorBidi" w:hAnsiTheme="majorBidi" w:cstheme="majorBidi"/>
          <w:sz w:val="20"/>
          <w:szCs w:val="20"/>
          <w:vertAlign w:val="subscript"/>
        </w:rPr>
        <w:t>2</w:t>
      </w:r>
      <w:r w:rsidRPr="0004560D">
        <w:rPr>
          <w:rFonts w:asciiTheme="majorBidi" w:hAnsiTheme="majorBidi" w:cstheme="majorBidi"/>
          <w:sz w:val="20"/>
          <w:szCs w:val="20"/>
        </w:rPr>
        <w:t xml:space="preserve"> powders. </w:t>
      </w:r>
      <w:r w:rsidRPr="0004560D">
        <w:rPr>
          <w:rFonts w:asciiTheme="majorBidi" w:hAnsiTheme="majorBidi" w:cstheme="majorBidi"/>
          <w:i/>
          <w:sz w:val="20"/>
          <w:szCs w:val="20"/>
        </w:rPr>
        <w:t xml:space="preserve">Journal of Hazardous Materials, </w:t>
      </w:r>
      <w:r w:rsidRPr="0004560D">
        <w:rPr>
          <w:rFonts w:asciiTheme="majorBidi" w:hAnsiTheme="majorBidi" w:cstheme="majorBidi"/>
          <w:iCs/>
          <w:sz w:val="20"/>
          <w:szCs w:val="20"/>
        </w:rPr>
        <w:t>154: 649 – 654</w:t>
      </w:r>
    </w:p>
    <w:p w:rsidR="0004560D" w:rsidRPr="0004560D" w:rsidRDefault="0004560D" w:rsidP="0004560D">
      <w:pPr>
        <w:pStyle w:val="ListParagraph"/>
        <w:numPr>
          <w:ilvl w:val="0"/>
          <w:numId w:val="2"/>
        </w:numPr>
        <w:autoSpaceDE w:val="0"/>
        <w:autoSpaceDN w:val="0"/>
        <w:adjustRightInd w:val="0"/>
        <w:spacing w:after="0" w:line="240" w:lineRule="auto"/>
        <w:ind w:left="360"/>
        <w:jc w:val="both"/>
        <w:rPr>
          <w:rFonts w:asciiTheme="majorBidi" w:eastAsia="AdvGulliv-R" w:hAnsiTheme="majorBidi" w:cstheme="majorBidi"/>
          <w:iCs/>
          <w:sz w:val="20"/>
          <w:szCs w:val="20"/>
        </w:rPr>
      </w:pPr>
      <w:r w:rsidRPr="0004560D">
        <w:rPr>
          <w:rFonts w:ascii="Times New Roman" w:eastAsia="AdvGulliv-R" w:hAnsi="Times New Roman"/>
          <w:color w:val="000000"/>
          <w:sz w:val="20"/>
          <w:szCs w:val="20"/>
        </w:rPr>
        <w:t>Aeroxide and Aeroperl. (2005). Technical information (1243) for Aeroxide and Aeroperl titanium Dioxide as photocatalyst; Bulletin No. 1-1243-0:1-14.</w:t>
      </w:r>
    </w:p>
    <w:p w:rsidR="0004560D" w:rsidRPr="0004560D" w:rsidRDefault="0004560D" w:rsidP="0004560D">
      <w:pPr>
        <w:pStyle w:val="ListParagraph"/>
        <w:numPr>
          <w:ilvl w:val="0"/>
          <w:numId w:val="2"/>
        </w:numPr>
        <w:autoSpaceDE w:val="0"/>
        <w:autoSpaceDN w:val="0"/>
        <w:adjustRightInd w:val="0"/>
        <w:spacing w:after="0" w:line="240" w:lineRule="auto"/>
        <w:ind w:left="360"/>
        <w:jc w:val="both"/>
        <w:rPr>
          <w:rFonts w:asciiTheme="majorBidi" w:eastAsia="AdvGulliv-R" w:hAnsiTheme="majorBidi" w:cstheme="majorBidi"/>
          <w:iCs/>
          <w:sz w:val="20"/>
          <w:szCs w:val="20"/>
        </w:rPr>
      </w:pPr>
      <w:r w:rsidRPr="0004560D">
        <w:rPr>
          <w:rFonts w:asciiTheme="majorBidi" w:eastAsia="AdvGulliv-R" w:hAnsiTheme="majorBidi" w:cstheme="majorBidi"/>
          <w:iCs/>
          <w:sz w:val="20"/>
          <w:szCs w:val="20"/>
        </w:rPr>
        <w:t>Li, D., Haneda, H., Hishita, S. and Ohashi, N. (2005). Visible-light driven nitrogen-doped TiO</w:t>
      </w:r>
      <w:r w:rsidRPr="0004560D">
        <w:rPr>
          <w:rFonts w:asciiTheme="majorBidi" w:eastAsia="AdvGulliv-R" w:hAnsiTheme="majorBidi" w:cstheme="majorBidi"/>
          <w:iCs/>
          <w:sz w:val="20"/>
          <w:szCs w:val="20"/>
          <w:vertAlign w:val="subscript"/>
        </w:rPr>
        <w:t>2</w:t>
      </w:r>
      <w:r w:rsidRPr="0004560D">
        <w:rPr>
          <w:rFonts w:asciiTheme="majorBidi" w:eastAsia="AdvGulliv-R" w:hAnsiTheme="majorBidi" w:cstheme="majorBidi"/>
          <w:iCs/>
          <w:sz w:val="20"/>
          <w:szCs w:val="20"/>
        </w:rPr>
        <w:t xml:space="preserve"> photocatalysis: Effect of nitrogen precursors on their photocatalysis for decomposition of gas-phase organic pollutants. </w:t>
      </w:r>
      <w:r w:rsidRPr="0004560D">
        <w:rPr>
          <w:rFonts w:asciiTheme="majorBidi" w:eastAsia="AdvGulliv-R" w:hAnsiTheme="majorBidi" w:cstheme="majorBidi"/>
          <w:i/>
          <w:sz w:val="20"/>
          <w:szCs w:val="20"/>
        </w:rPr>
        <w:t xml:space="preserve">Materials Science and Engineering B, </w:t>
      </w:r>
      <w:r w:rsidRPr="0004560D">
        <w:rPr>
          <w:rFonts w:asciiTheme="majorBidi" w:eastAsia="AdvGulliv-R" w:hAnsiTheme="majorBidi" w:cstheme="majorBidi"/>
          <w:iCs/>
          <w:sz w:val="20"/>
          <w:szCs w:val="20"/>
        </w:rPr>
        <w:t>52: 843 – 850.</w:t>
      </w:r>
    </w:p>
    <w:p w:rsidR="0004560D" w:rsidRPr="0004560D" w:rsidRDefault="0004560D" w:rsidP="0004560D">
      <w:pPr>
        <w:pStyle w:val="ListParagraph"/>
        <w:numPr>
          <w:ilvl w:val="0"/>
          <w:numId w:val="2"/>
        </w:numPr>
        <w:autoSpaceDE w:val="0"/>
        <w:autoSpaceDN w:val="0"/>
        <w:adjustRightInd w:val="0"/>
        <w:spacing w:after="0" w:line="240" w:lineRule="auto"/>
        <w:ind w:left="360"/>
        <w:jc w:val="both"/>
        <w:rPr>
          <w:rFonts w:asciiTheme="majorBidi" w:eastAsia="AdvGulliv-R" w:hAnsiTheme="majorBidi" w:cstheme="majorBidi"/>
          <w:iCs/>
          <w:sz w:val="20"/>
          <w:szCs w:val="20"/>
        </w:rPr>
      </w:pPr>
      <w:r w:rsidRPr="0004560D">
        <w:rPr>
          <w:rFonts w:asciiTheme="majorBidi" w:eastAsia="AdvGulliv-R" w:hAnsiTheme="majorBidi" w:cstheme="majorBidi"/>
          <w:iCs/>
          <w:sz w:val="20"/>
          <w:szCs w:val="20"/>
        </w:rPr>
        <w:t>Yan, X., He, J., Evans, D. G., Zhu, Y. and Duan, X. (2004). Preparation, characterization and photocatalytic activity of TiO</w:t>
      </w:r>
      <w:r w:rsidRPr="0004560D">
        <w:rPr>
          <w:rFonts w:asciiTheme="majorBidi" w:eastAsia="AdvGulliv-R" w:hAnsiTheme="majorBidi" w:cstheme="majorBidi"/>
          <w:iCs/>
          <w:sz w:val="20"/>
          <w:szCs w:val="20"/>
          <w:vertAlign w:val="subscript"/>
        </w:rPr>
        <w:t>2</w:t>
      </w:r>
      <w:r w:rsidRPr="0004560D">
        <w:rPr>
          <w:rFonts w:asciiTheme="majorBidi" w:eastAsia="AdvGulliv-R" w:hAnsiTheme="majorBidi" w:cstheme="majorBidi"/>
          <w:iCs/>
          <w:sz w:val="20"/>
          <w:szCs w:val="20"/>
        </w:rPr>
        <w:t xml:space="preserve"> formed from mesoporous precursor</w:t>
      </w:r>
      <w:r w:rsidRPr="0004560D">
        <w:rPr>
          <w:rFonts w:asciiTheme="majorBidi" w:eastAsia="AdvGulliv-R" w:hAnsiTheme="majorBidi" w:cstheme="majorBidi"/>
          <w:i/>
          <w:sz w:val="20"/>
          <w:szCs w:val="20"/>
        </w:rPr>
        <w:t>. Journal of Porous Materials</w:t>
      </w:r>
      <w:r w:rsidRPr="0004560D">
        <w:rPr>
          <w:rFonts w:asciiTheme="majorBidi" w:eastAsia="AdvGulliv-R" w:hAnsiTheme="majorBidi" w:cstheme="majorBidi"/>
          <w:iCs/>
          <w:sz w:val="20"/>
          <w:szCs w:val="20"/>
        </w:rPr>
        <w:t>, 11:131 – 139.</w:t>
      </w:r>
    </w:p>
    <w:p w:rsidR="0004560D" w:rsidRPr="0004560D" w:rsidRDefault="0004560D" w:rsidP="0004560D">
      <w:pPr>
        <w:pStyle w:val="ListParagraph"/>
        <w:numPr>
          <w:ilvl w:val="0"/>
          <w:numId w:val="2"/>
        </w:numPr>
        <w:autoSpaceDE w:val="0"/>
        <w:autoSpaceDN w:val="0"/>
        <w:adjustRightInd w:val="0"/>
        <w:spacing w:after="0" w:line="240" w:lineRule="auto"/>
        <w:ind w:left="360"/>
        <w:jc w:val="both"/>
        <w:rPr>
          <w:rFonts w:asciiTheme="majorBidi" w:eastAsia="AdvGulliv-R" w:hAnsiTheme="majorBidi" w:cstheme="majorBidi"/>
          <w:iCs/>
          <w:sz w:val="20"/>
          <w:szCs w:val="20"/>
        </w:rPr>
      </w:pPr>
      <w:r w:rsidRPr="0004560D">
        <w:rPr>
          <w:rFonts w:asciiTheme="majorBidi" w:hAnsiTheme="majorBidi" w:cstheme="majorBidi"/>
          <w:sz w:val="20"/>
          <w:szCs w:val="20"/>
        </w:rPr>
        <w:t xml:space="preserve">Fuerte, A., Hernandez-Alonso, M. D., Maira, A. J., Martinez-Arias, A., Fernandez-Garcia, M., Conesa, J. C., Soria, J. and Munuera, G. (2002). Nanosize Ti-W mixes oxides: Effect of doping level in the photocatalytic degradation of toluene using sunlight type excitation. </w:t>
      </w:r>
      <w:r w:rsidRPr="0004560D">
        <w:rPr>
          <w:rFonts w:asciiTheme="majorBidi" w:hAnsiTheme="majorBidi" w:cstheme="majorBidi"/>
          <w:i/>
          <w:iCs/>
          <w:sz w:val="20"/>
          <w:szCs w:val="20"/>
        </w:rPr>
        <w:t xml:space="preserve">Journal of Catalysis, </w:t>
      </w:r>
      <w:r w:rsidRPr="0004560D">
        <w:rPr>
          <w:rFonts w:asciiTheme="majorBidi" w:hAnsiTheme="majorBidi" w:cstheme="majorBidi"/>
          <w:sz w:val="20"/>
          <w:szCs w:val="20"/>
        </w:rPr>
        <w:t>212: 1 – 9.</w:t>
      </w:r>
    </w:p>
    <w:p w:rsidR="0004560D" w:rsidRPr="0004560D" w:rsidRDefault="0004560D" w:rsidP="0004560D">
      <w:pPr>
        <w:pStyle w:val="ListParagraph"/>
        <w:numPr>
          <w:ilvl w:val="0"/>
          <w:numId w:val="2"/>
        </w:numPr>
        <w:autoSpaceDE w:val="0"/>
        <w:autoSpaceDN w:val="0"/>
        <w:adjustRightInd w:val="0"/>
        <w:spacing w:after="0" w:line="240" w:lineRule="auto"/>
        <w:ind w:left="360"/>
        <w:jc w:val="both"/>
        <w:rPr>
          <w:rFonts w:asciiTheme="majorBidi" w:eastAsia="AdvGulliv-R" w:hAnsiTheme="majorBidi" w:cstheme="majorBidi"/>
          <w:iCs/>
          <w:sz w:val="20"/>
          <w:szCs w:val="20"/>
        </w:rPr>
      </w:pPr>
      <w:r w:rsidRPr="0004560D">
        <w:rPr>
          <w:rFonts w:asciiTheme="majorBidi" w:hAnsiTheme="majorBidi" w:cstheme="majorBidi"/>
          <w:sz w:val="20"/>
          <w:szCs w:val="20"/>
        </w:rPr>
        <w:t>Cao, H., Lin, X., Zhan, H., Zhang, H. and Lin J. (2013). Photocatalytic degradation kinetics and mechanism of phenobarbital in TiO</w:t>
      </w:r>
      <w:r w:rsidRPr="0004560D">
        <w:rPr>
          <w:rFonts w:asciiTheme="majorBidi" w:hAnsiTheme="majorBidi" w:cstheme="majorBidi"/>
          <w:sz w:val="20"/>
          <w:szCs w:val="20"/>
          <w:vertAlign w:val="subscript"/>
        </w:rPr>
        <w:t>2</w:t>
      </w:r>
      <w:r w:rsidRPr="0004560D">
        <w:rPr>
          <w:rFonts w:asciiTheme="majorBidi" w:hAnsiTheme="majorBidi" w:cstheme="majorBidi"/>
          <w:sz w:val="20"/>
          <w:szCs w:val="20"/>
        </w:rPr>
        <w:t xml:space="preserve"> aqueous solution. </w:t>
      </w:r>
      <w:r w:rsidRPr="0004560D">
        <w:rPr>
          <w:rFonts w:asciiTheme="majorBidi" w:hAnsiTheme="majorBidi" w:cstheme="majorBidi"/>
          <w:i/>
          <w:sz w:val="20"/>
          <w:szCs w:val="20"/>
        </w:rPr>
        <w:t xml:space="preserve">Chemosphere, </w:t>
      </w:r>
      <w:r w:rsidRPr="0004560D">
        <w:rPr>
          <w:rFonts w:asciiTheme="majorBidi" w:hAnsiTheme="majorBidi" w:cstheme="majorBidi"/>
          <w:iCs/>
          <w:sz w:val="20"/>
          <w:szCs w:val="20"/>
        </w:rPr>
        <w:t xml:space="preserve">90: 1514 </w:t>
      </w:r>
      <w:r w:rsidRPr="0004560D">
        <w:rPr>
          <w:rFonts w:asciiTheme="majorBidi" w:hAnsiTheme="majorBidi" w:cstheme="majorBidi"/>
          <w:sz w:val="20"/>
          <w:szCs w:val="20"/>
        </w:rPr>
        <w:t>– 1519.</w:t>
      </w:r>
    </w:p>
    <w:p w:rsidR="0004560D" w:rsidRPr="0004560D" w:rsidRDefault="0004560D" w:rsidP="0004560D">
      <w:pPr>
        <w:pStyle w:val="ListParagraph"/>
        <w:numPr>
          <w:ilvl w:val="0"/>
          <w:numId w:val="2"/>
        </w:numPr>
        <w:autoSpaceDE w:val="0"/>
        <w:autoSpaceDN w:val="0"/>
        <w:adjustRightInd w:val="0"/>
        <w:spacing w:after="0" w:line="240" w:lineRule="auto"/>
        <w:ind w:left="360"/>
        <w:jc w:val="both"/>
        <w:rPr>
          <w:rFonts w:asciiTheme="majorBidi" w:eastAsia="AdvGulliv-R" w:hAnsiTheme="majorBidi" w:cstheme="majorBidi"/>
          <w:iCs/>
          <w:sz w:val="20"/>
          <w:szCs w:val="20"/>
        </w:rPr>
      </w:pPr>
      <w:r w:rsidRPr="0004560D">
        <w:rPr>
          <w:rFonts w:ascii="Times New Roman" w:eastAsia="AdvGulliv-R" w:hAnsi="Times New Roman"/>
          <w:sz w:val="20"/>
          <w:szCs w:val="20"/>
        </w:rPr>
        <w:t>Nahar, M. S., Hasegawa, K. and Kagaya, S. (2006). Photocatalytic degradation of phenol by visible light-responsive iron-doped TiO</w:t>
      </w:r>
      <w:r w:rsidRPr="0004560D">
        <w:rPr>
          <w:rFonts w:ascii="Times New Roman" w:eastAsia="AdvGulliv-R" w:hAnsi="Times New Roman"/>
          <w:sz w:val="20"/>
          <w:szCs w:val="20"/>
          <w:vertAlign w:val="subscript"/>
        </w:rPr>
        <w:t>2</w:t>
      </w:r>
      <w:r w:rsidRPr="0004560D">
        <w:rPr>
          <w:rFonts w:ascii="Times New Roman" w:eastAsia="AdvGulliv-R" w:hAnsi="Times New Roman"/>
          <w:sz w:val="20"/>
          <w:szCs w:val="20"/>
        </w:rPr>
        <w:t xml:space="preserve"> and spontaneous sedimentation of the TiO</w:t>
      </w:r>
      <w:r w:rsidRPr="0004560D">
        <w:rPr>
          <w:rFonts w:ascii="Times New Roman" w:eastAsia="AdvGulliv-R" w:hAnsi="Times New Roman"/>
          <w:sz w:val="20"/>
          <w:szCs w:val="20"/>
          <w:vertAlign w:val="subscript"/>
        </w:rPr>
        <w:t>2</w:t>
      </w:r>
      <w:r w:rsidRPr="0004560D">
        <w:rPr>
          <w:rFonts w:ascii="Times New Roman" w:eastAsia="AdvGulliv-R" w:hAnsi="Times New Roman"/>
          <w:sz w:val="20"/>
          <w:szCs w:val="20"/>
        </w:rPr>
        <w:t xml:space="preserve"> particles. </w:t>
      </w:r>
      <w:r w:rsidRPr="0004560D">
        <w:rPr>
          <w:rFonts w:ascii="Times New Roman" w:eastAsia="AdvGulliv-R" w:hAnsi="Times New Roman"/>
          <w:i/>
          <w:iCs/>
          <w:sz w:val="20"/>
          <w:szCs w:val="20"/>
        </w:rPr>
        <w:t>Chemosphere</w:t>
      </w:r>
      <w:r w:rsidRPr="0004560D">
        <w:rPr>
          <w:rFonts w:ascii="Times New Roman" w:eastAsia="AdvGulliv-R" w:hAnsi="Times New Roman"/>
          <w:sz w:val="20"/>
          <w:szCs w:val="20"/>
        </w:rPr>
        <w:t>, 65: 1976 – 1982.</w:t>
      </w:r>
      <w:bookmarkStart w:id="2" w:name="_ENREF_96"/>
    </w:p>
    <w:p w:rsidR="0004560D" w:rsidRPr="0004560D" w:rsidRDefault="0004560D" w:rsidP="0004560D">
      <w:pPr>
        <w:pStyle w:val="ListParagraph"/>
        <w:numPr>
          <w:ilvl w:val="0"/>
          <w:numId w:val="2"/>
        </w:numPr>
        <w:autoSpaceDE w:val="0"/>
        <w:autoSpaceDN w:val="0"/>
        <w:adjustRightInd w:val="0"/>
        <w:spacing w:after="0" w:line="240" w:lineRule="auto"/>
        <w:ind w:left="360"/>
        <w:jc w:val="both"/>
        <w:rPr>
          <w:rFonts w:asciiTheme="majorBidi" w:eastAsia="AdvGulliv-R" w:hAnsiTheme="majorBidi" w:cstheme="majorBidi"/>
          <w:iCs/>
          <w:sz w:val="20"/>
          <w:szCs w:val="20"/>
        </w:rPr>
      </w:pPr>
      <w:r w:rsidRPr="0004560D">
        <w:rPr>
          <w:rFonts w:asciiTheme="majorBidi" w:hAnsiTheme="majorBidi" w:cstheme="majorBidi"/>
          <w:sz w:val="20"/>
          <w:szCs w:val="20"/>
        </w:rPr>
        <w:lastRenderedPageBreak/>
        <w:t>Li, H., Zhang, Y., Wang, S., Wu, Q. and Liu, C. (2009). Study on nanomagnets supported TiO</w:t>
      </w:r>
      <w:r w:rsidRPr="0004560D">
        <w:rPr>
          <w:rFonts w:asciiTheme="majorBidi" w:hAnsiTheme="majorBidi" w:cstheme="majorBidi"/>
          <w:sz w:val="20"/>
          <w:szCs w:val="20"/>
          <w:vertAlign w:val="subscript"/>
        </w:rPr>
        <w:t>2</w:t>
      </w:r>
      <w:r w:rsidRPr="0004560D">
        <w:rPr>
          <w:rFonts w:asciiTheme="majorBidi" w:hAnsiTheme="majorBidi" w:cstheme="majorBidi"/>
          <w:sz w:val="20"/>
          <w:szCs w:val="20"/>
        </w:rPr>
        <w:t xml:space="preserve"> photocatalysts prepared by a sol–gel process in reverse microemulsion combining with solvent-thermal technique</w:t>
      </w:r>
      <w:r w:rsidRPr="0004560D">
        <w:rPr>
          <w:rFonts w:asciiTheme="majorBidi" w:hAnsiTheme="majorBidi" w:cstheme="majorBidi"/>
          <w:i/>
          <w:sz w:val="20"/>
          <w:szCs w:val="20"/>
        </w:rPr>
        <w:t>. Journal of Hazardous Materials</w:t>
      </w:r>
      <w:r w:rsidRPr="0004560D">
        <w:rPr>
          <w:rFonts w:asciiTheme="majorBidi" w:hAnsiTheme="majorBidi" w:cstheme="majorBidi"/>
          <w:iCs/>
          <w:sz w:val="20"/>
          <w:szCs w:val="20"/>
        </w:rPr>
        <w:t>, 169: 1045 – 1053.</w:t>
      </w:r>
      <w:bookmarkEnd w:id="2"/>
    </w:p>
    <w:p w:rsidR="0004560D" w:rsidRPr="0004560D" w:rsidRDefault="0004560D" w:rsidP="0004560D">
      <w:pPr>
        <w:pStyle w:val="ListParagraph"/>
        <w:numPr>
          <w:ilvl w:val="0"/>
          <w:numId w:val="2"/>
        </w:numPr>
        <w:autoSpaceDE w:val="0"/>
        <w:autoSpaceDN w:val="0"/>
        <w:adjustRightInd w:val="0"/>
        <w:spacing w:after="0" w:line="240" w:lineRule="auto"/>
        <w:ind w:left="360"/>
        <w:jc w:val="both"/>
        <w:rPr>
          <w:rFonts w:asciiTheme="majorBidi" w:eastAsia="AdvGulliv-R" w:hAnsiTheme="majorBidi" w:cstheme="majorBidi"/>
          <w:iCs/>
          <w:sz w:val="20"/>
          <w:szCs w:val="20"/>
        </w:rPr>
      </w:pPr>
      <w:r w:rsidRPr="0004560D">
        <w:rPr>
          <w:rFonts w:ascii="Times New Roman" w:eastAsia="AdvGulliv-R" w:hAnsi="Times New Roman"/>
          <w:sz w:val="20"/>
          <w:szCs w:val="20"/>
        </w:rPr>
        <w:t xml:space="preserve">Murphy, A. B. (2007). Band-gap determination from diffuse reflectance measurements of semiconductor films, and application to photoelectrochemical watersplitting. </w:t>
      </w:r>
      <w:r w:rsidRPr="0004560D">
        <w:rPr>
          <w:rFonts w:ascii="Times New Roman" w:eastAsia="AdvGulliv-R" w:hAnsi="Times New Roman"/>
          <w:i/>
          <w:iCs/>
          <w:sz w:val="20"/>
          <w:szCs w:val="20"/>
        </w:rPr>
        <w:t>Solar Energy Materials Solar Cells</w:t>
      </w:r>
      <w:r w:rsidRPr="0004560D">
        <w:rPr>
          <w:rFonts w:ascii="Times New Roman" w:eastAsia="AdvGulliv-R" w:hAnsi="Times New Roman"/>
          <w:sz w:val="20"/>
          <w:szCs w:val="20"/>
        </w:rPr>
        <w:t>, 91: 1326 – 1337.</w:t>
      </w:r>
      <w:bookmarkStart w:id="3" w:name="_ENREF_179"/>
    </w:p>
    <w:p w:rsidR="0004560D" w:rsidRPr="0004560D" w:rsidRDefault="0004560D" w:rsidP="0004560D">
      <w:pPr>
        <w:pStyle w:val="ListParagraph"/>
        <w:numPr>
          <w:ilvl w:val="0"/>
          <w:numId w:val="2"/>
        </w:numPr>
        <w:autoSpaceDE w:val="0"/>
        <w:autoSpaceDN w:val="0"/>
        <w:adjustRightInd w:val="0"/>
        <w:spacing w:after="0" w:line="240" w:lineRule="auto"/>
        <w:ind w:left="360"/>
        <w:jc w:val="both"/>
        <w:rPr>
          <w:rFonts w:asciiTheme="majorBidi" w:eastAsia="AdvGulliv-R" w:hAnsiTheme="majorBidi" w:cstheme="majorBidi"/>
          <w:iCs/>
          <w:sz w:val="20"/>
          <w:szCs w:val="20"/>
        </w:rPr>
      </w:pPr>
      <w:r w:rsidRPr="0004560D">
        <w:rPr>
          <w:rFonts w:asciiTheme="majorBidi" w:hAnsiTheme="majorBidi" w:cstheme="majorBidi"/>
          <w:sz w:val="20"/>
          <w:szCs w:val="20"/>
        </w:rPr>
        <w:t>Wu, D., Long, M., Cai, W., Chen, C. and Wu, Y. (2010). Low temperature hydrothermal synthesis of N-doped TiO</w:t>
      </w:r>
      <w:r w:rsidRPr="0004560D">
        <w:rPr>
          <w:rFonts w:asciiTheme="majorBidi" w:hAnsiTheme="majorBidi" w:cstheme="majorBidi"/>
          <w:sz w:val="20"/>
          <w:szCs w:val="20"/>
          <w:vertAlign w:val="subscript"/>
        </w:rPr>
        <w:t>2</w:t>
      </w:r>
      <w:r w:rsidRPr="0004560D">
        <w:rPr>
          <w:rFonts w:asciiTheme="majorBidi" w:hAnsiTheme="majorBidi" w:cstheme="majorBidi"/>
          <w:sz w:val="20"/>
          <w:szCs w:val="20"/>
        </w:rPr>
        <w:t xml:space="preserve"> photocatalyst with high visible-light activity. </w:t>
      </w:r>
      <w:r w:rsidRPr="0004560D">
        <w:rPr>
          <w:rFonts w:asciiTheme="majorBidi" w:hAnsiTheme="majorBidi" w:cstheme="majorBidi"/>
          <w:i/>
          <w:sz w:val="20"/>
          <w:szCs w:val="20"/>
        </w:rPr>
        <w:t xml:space="preserve">Journal of Alloys and Compounds, </w:t>
      </w:r>
      <w:r w:rsidRPr="0004560D">
        <w:rPr>
          <w:rFonts w:asciiTheme="majorBidi" w:hAnsiTheme="majorBidi" w:cstheme="majorBidi"/>
          <w:iCs/>
          <w:sz w:val="20"/>
          <w:szCs w:val="20"/>
        </w:rPr>
        <w:t>502: 289 –</w:t>
      </w:r>
      <w:r>
        <w:rPr>
          <w:rFonts w:asciiTheme="majorBidi" w:hAnsiTheme="majorBidi" w:cstheme="majorBidi"/>
          <w:iCs/>
          <w:sz w:val="20"/>
          <w:szCs w:val="20"/>
        </w:rPr>
        <w:t xml:space="preserve"> </w:t>
      </w:r>
      <w:r w:rsidRPr="0004560D">
        <w:rPr>
          <w:rFonts w:asciiTheme="majorBidi" w:hAnsiTheme="majorBidi" w:cstheme="majorBidi"/>
          <w:iCs/>
          <w:sz w:val="20"/>
          <w:szCs w:val="20"/>
        </w:rPr>
        <w:t>294.</w:t>
      </w:r>
      <w:bookmarkEnd w:id="3"/>
    </w:p>
    <w:p w:rsidR="0004560D" w:rsidRPr="0004560D" w:rsidRDefault="0004560D" w:rsidP="0004560D">
      <w:pPr>
        <w:pStyle w:val="ListParagraph"/>
        <w:numPr>
          <w:ilvl w:val="0"/>
          <w:numId w:val="2"/>
        </w:numPr>
        <w:autoSpaceDE w:val="0"/>
        <w:autoSpaceDN w:val="0"/>
        <w:adjustRightInd w:val="0"/>
        <w:spacing w:after="0" w:line="240" w:lineRule="auto"/>
        <w:ind w:left="360"/>
        <w:jc w:val="both"/>
        <w:rPr>
          <w:rFonts w:asciiTheme="majorBidi" w:eastAsia="AdvGulliv-R" w:hAnsiTheme="majorBidi" w:cstheme="majorBidi"/>
          <w:iCs/>
          <w:sz w:val="20"/>
          <w:szCs w:val="20"/>
        </w:rPr>
      </w:pPr>
      <w:r w:rsidRPr="0004560D">
        <w:rPr>
          <w:rFonts w:ascii="Times New Roman" w:hAnsi="Times New Roman"/>
          <w:sz w:val="20"/>
          <w:szCs w:val="20"/>
          <w:shd w:val="clear" w:color="auto" w:fill="FFFFFF"/>
        </w:rPr>
        <w:t xml:space="preserve">Yalçin, Y., Kiliç, M. and Çinar, </w:t>
      </w:r>
      <w:r w:rsidRPr="0004560D">
        <w:rPr>
          <w:rFonts w:ascii="Times New Roman" w:hAnsi="Times New Roman"/>
          <w:color w:val="444444"/>
          <w:sz w:val="20"/>
          <w:szCs w:val="20"/>
          <w:shd w:val="clear" w:color="auto" w:fill="FFFFFF"/>
        </w:rPr>
        <w:t>Z.</w:t>
      </w:r>
      <w:r w:rsidRPr="0004560D">
        <w:rPr>
          <w:rFonts w:ascii="Times New Roman" w:eastAsia="AdvGulliv-R" w:hAnsi="Times New Roman"/>
          <w:sz w:val="20"/>
          <w:szCs w:val="20"/>
        </w:rPr>
        <w:t xml:space="preserve"> (2010). Fe</w:t>
      </w:r>
      <w:r w:rsidRPr="0004560D">
        <w:rPr>
          <w:rFonts w:ascii="Times New Roman" w:eastAsia="AdvGulliv-R" w:hAnsi="Times New Roman"/>
          <w:sz w:val="20"/>
          <w:szCs w:val="20"/>
          <w:vertAlign w:val="superscript"/>
        </w:rPr>
        <w:t>+3</w:t>
      </w:r>
      <w:r w:rsidRPr="0004560D">
        <w:rPr>
          <w:rFonts w:ascii="Times New Roman" w:eastAsia="AdvGulliv-R" w:hAnsi="Times New Roman"/>
          <w:sz w:val="20"/>
          <w:szCs w:val="20"/>
        </w:rPr>
        <w:t>-doped TiO</w:t>
      </w:r>
      <w:r w:rsidRPr="0004560D">
        <w:rPr>
          <w:rFonts w:ascii="Times New Roman" w:eastAsia="AdvGulliv-R" w:hAnsi="Times New Roman"/>
          <w:sz w:val="20"/>
          <w:szCs w:val="20"/>
          <w:vertAlign w:val="subscript"/>
        </w:rPr>
        <w:t>2</w:t>
      </w:r>
      <w:r w:rsidRPr="0004560D">
        <w:rPr>
          <w:rFonts w:ascii="Times New Roman" w:eastAsia="AdvGulliv-R" w:hAnsi="Times New Roman"/>
          <w:sz w:val="20"/>
          <w:szCs w:val="20"/>
        </w:rPr>
        <w:t xml:space="preserve">: a combined experimental and computational approach to the evaluation of visible light activity. </w:t>
      </w:r>
      <w:r w:rsidRPr="0004560D">
        <w:rPr>
          <w:rFonts w:ascii="Times New Roman" w:eastAsia="AdvGulliv-R" w:hAnsi="Times New Roman"/>
          <w:i/>
          <w:iCs/>
          <w:sz w:val="20"/>
          <w:szCs w:val="20"/>
        </w:rPr>
        <w:t>Applied Catalysis B: Environment</w:t>
      </w:r>
      <w:r w:rsidRPr="0004560D">
        <w:rPr>
          <w:rFonts w:ascii="Times New Roman" w:eastAsia="AdvGulliv-R" w:hAnsi="Times New Roman"/>
          <w:sz w:val="20"/>
          <w:szCs w:val="20"/>
        </w:rPr>
        <w:t>, 99: 469 – 477.</w:t>
      </w:r>
    </w:p>
    <w:p w:rsidR="0004560D" w:rsidRPr="0004560D" w:rsidRDefault="0004560D" w:rsidP="0004560D">
      <w:pPr>
        <w:pStyle w:val="ListParagraph"/>
        <w:numPr>
          <w:ilvl w:val="0"/>
          <w:numId w:val="2"/>
        </w:numPr>
        <w:autoSpaceDE w:val="0"/>
        <w:autoSpaceDN w:val="0"/>
        <w:adjustRightInd w:val="0"/>
        <w:spacing w:after="0" w:line="240" w:lineRule="auto"/>
        <w:ind w:left="360"/>
        <w:jc w:val="both"/>
        <w:rPr>
          <w:rFonts w:asciiTheme="majorBidi" w:eastAsia="AdvGulliv-R" w:hAnsiTheme="majorBidi" w:cstheme="majorBidi"/>
          <w:iCs/>
          <w:sz w:val="20"/>
          <w:szCs w:val="20"/>
        </w:rPr>
      </w:pPr>
      <w:r w:rsidRPr="0004560D">
        <w:rPr>
          <w:rFonts w:asciiTheme="majorBidi" w:hAnsiTheme="majorBidi" w:cstheme="majorBidi"/>
          <w:sz w:val="20"/>
          <w:szCs w:val="20"/>
        </w:rPr>
        <w:t xml:space="preserve">Singto, S., Sorapong, P., Yoshikazu, S. and Susumu, Y. (2005). </w:t>
      </w:r>
      <w:r w:rsidRPr="0004560D">
        <w:rPr>
          <w:rFonts w:asciiTheme="majorBidi" w:hAnsiTheme="majorBidi" w:cstheme="majorBidi"/>
          <w:kern w:val="36"/>
          <w:sz w:val="20"/>
          <w:szCs w:val="20"/>
        </w:rPr>
        <w:t xml:space="preserve">Photocatalytic activity of titania nanocrystals prepared by surfactant-assisted templating method </w:t>
      </w:r>
      <w:r w:rsidRPr="0004560D">
        <w:rPr>
          <w:rFonts w:asciiTheme="majorBidi" w:hAnsiTheme="majorBidi" w:cstheme="majorBidi"/>
          <w:kern w:val="36"/>
          <w:sz w:val="20"/>
          <w:szCs w:val="20"/>
        </w:rPr>
        <w:sym w:font="Symbol" w:char="F02D"/>
      </w:r>
      <w:r w:rsidRPr="0004560D">
        <w:rPr>
          <w:rFonts w:asciiTheme="majorBidi" w:hAnsiTheme="majorBidi" w:cstheme="majorBidi"/>
          <w:kern w:val="36"/>
          <w:sz w:val="20"/>
          <w:szCs w:val="20"/>
        </w:rPr>
        <w:t xml:space="preserve"> Effect of calcination conditions. </w:t>
      </w:r>
      <w:r w:rsidRPr="0004560D">
        <w:rPr>
          <w:rFonts w:asciiTheme="majorBidi" w:hAnsiTheme="majorBidi" w:cstheme="majorBidi"/>
          <w:i/>
          <w:iCs/>
          <w:kern w:val="36"/>
          <w:sz w:val="20"/>
          <w:szCs w:val="20"/>
        </w:rPr>
        <w:t>Materials Letters,</w:t>
      </w:r>
      <w:r w:rsidRPr="0004560D">
        <w:rPr>
          <w:rFonts w:asciiTheme="majorBidi" w:hAnsiTheme="majorBidi" w:cstheme="majorBidi"/>
          <w:kern w:val="36"/>
          <w:sz w:val="20"/>
          <w:szCs w:val="20"/>
        </w:rPr>
        <w:t xml:space="preserve"> 59: 2965 – 2968.</w:t>
      </w:r>
    </w:p>
    <w:p w:rsidR="00A74A7E" w:rsidRPr="0004560D" w:rsidRDefault="00A74A7E" w:rsidP="0004560D">
      <w:pPr>
        <w:spacing w:after="0" w:line="240" w:lineRule="auto"/>
        <w:jc w:val="both"/>
        <w:rPr>
          <w:rFonts w:ascii="Times New Roman" w:hAnsi="Times New Roman"/>
          <w:noProof/>
          <w:sz w:val="20"/>
          <w:szCs w:val="20"/>
          <w:lang w:bidi="ar-SA"/>
        </w:rPr>
      </w:pPr>
    </w:p>
    <w:sectPr w:rsidR="00A74A7E" w:rsidRPr="0004560D" w:rsidSect="00D275C9">
      <w:headerReference w:type="even" r:id="rId20"/>
      <w:headerReference w:type="default" r:id="rId21"/>
      <w:footerReference w:type="even" r:id="rId22"/>
      <w:footerReference w:type="default" r:id="rId23"/>
      <w:pgSz w:w="12240" w:h="15840" w:code="1"/>
      <w:pgMar w:top="1800" w:right="1469" w:bottom="1699" w:left="1440" w:header="706" w:footer="706" w:gutter="0"/>
      <w:pgNumType w:start="713"/>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02641" w:rsidRDefault="00502641" w:rsidP="00FB4C59">
      <w:pPr>
        <w:spacing w:after="0" w:line="240" w:lineRule="auto"/>
      </w:pPr>
      <w:r>
        <w:separator/>
      </w:r>
    </w:p>
  </w:endnote>
  <w:endnote w:type="continuationSeparator" w:id="0">
    <w:p w:rsidR="00502641" w:rsidRDefault="00502641" w:rsidP="00FB4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AdvGulliv-R">
    <w:altName w:val="MS Mincho"/>
    <w:panose1 w:val="00000000000000000000"/>
    <w:charset w:val="00"/>
    <w:family w:val="auto"/>
    <w:notTrueType/>
    <w:pitch w:val="default"/>
    <w:sig w:usb0="00000003" w:usb1="08070000" w:usb2="00000010" w:usb3="00000000" w:csb0="00020001" w:csb1="00000000"/>
  </w:font>
  <w:font w:name="Courier New">
    <w:panose1 w:val="02070309020205020404"/>
    <w:charset w:val="00"/>
    <w:family w:val="modern"/>
    <w:pitch w:val="fixed"/>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05061416"/>
      <w:docPartObj>
        <w:docPartGallery w:val="Page Numbers (Bottom of Page)"/>
        <w:docPartUnique/>
      </w:docPartObj>
    </w:sdtPr>
    <w:sdtEndPr>
      <w:rPr>
        <w:rFonts w:ascii="Times New Roman" w:hAnsi="Times New Roman"/>
        <w:noProof/>
      </w:rPr>
    </w:sdtEndPr>
    <w:sdtContent>
      <w:p w:rsidR="00FE5CEF" w:rsidRPr="00FE5CEF" w:rsidRDefault="00FE5CEF">
        <w:pPr>
          <w:pStyle w:val="Footer"/>
          <w:rPr>
            <w:rFonts w:ascii="Times New Roman" w:hAnsi="Times New Roman"/>
          </w:rPr>
        </w:pPr>
        <w:r w:rsidRPr="00FE5CEF">
          <w:rPr>
            <w:rFonts w:ascii="Times New Roman" w:hAnsi="Times New Roman"/>
          </w:rPr>
          <w:fldChar w:fldCharType="begin"/>
        </w:r>
        <w:r w:rsidRPr="00FE5CEF">
          <w:rPr>
            <w:rFonts w:ascii="Times New Roman" w:hAnsi="Times New Roman"/>
          </w:rPr>
          <w:instrText xml:space="preserve"> PAGE   \* MERGEFORMAT </w:instrText>
        </w:r>
        <w:r w:rsidRPr="00FE5CEF">
          <w:rPr>
            <w:rFonts w:ascii="Times New Roman" w:hAnsi="Times New Roman"/>
          </w:rPr>
          <w:fldChar w:fldCharType="separate"/>
        </w:r>
        <w:r w:rsidR="008668E9">
          <w:rPr>
            <w:rFonts w:ascii="Times New Roman" w:hAnsi="Times New Roman"/>
            <w:noProof/>
          </w:rPr>
          <w:t>724</w:t>
        </w:r>
        <w:r w:rsidRPr="00FE5CEF">
          <w:rPr>
            <w:rFonts w:ascii="Times New Roman" w:hAnsi="Times New Roman"/>
            <w:noProof/>
          </w:rPr>
          <w:fldChar w:fldCharType="end"/>
        </w:r>
      </w:p>
    </w:sdtContent>
  </w:sdt>
  <w:p w:rsidR="00A14DB9" w:rsidRDefault="00A14DB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68530547"/>
      <w:docPartObj>
        <w:docPartGallery w:val="Page Numbers (Bottom of Page)"/>
        <w:docPartUnique/>
      </w:docPartObj>
    </w:sdtPr>
    <w:sdtEndPr>
      <w:rPr>
        <w:rFonts w:ascii="Times New Roman" w:hAnsi="Times New Roman"/>
        <w:noProof/>
      </w:rPr>
    </w:sdtEndPr>
    <w:sdtContent>
      <w:p w:rsidR="00FE5CEF" w:rsidRPr="00FE5CEF" w:rsidRDefault="00FE5CEF">
        <w:pPr>
          <w:pStyle w:val="Footer"/>
          <w:jc w:val="right"/>
          <w:rPr>
            <w:rFonts w:ascii="Times New Roman" w:hAnsi="Times New Roman"/>
          </w:rPr>
        </w:pPr>
        <w:r w:rsidRPr="00FE5CEF">
          <w:rPr>
            <w:rFonts w:ascii="Times New Roman" w:hAnsi="Times New Roman"/>
          </w:rPr>
          <w:fldChar w:fldCharType="begin"/>
        </w:r>
        <w:r w:rsidRPr="00FE5CEF">
          <w:rPr>
            <w:rFonts w:ascii="Times New Roman" w:hAnsi="Times New Roman"/>
          </w:rPr>
          <w:instrText xml:space="preserve"> PAGE   \* MERGEFORMAT </w:instrText>
        </w:r>
        <w:r w:rsidRPr="00FE5CEF">
          <w:rPr>
            <w:rFonts w:ascii="Times New Roman" w:hAnsi="Times New Roman"/>
          </w:rPr>
          <w:fldChar w:fldCharType="separate"/>
        </w:r>
        <w:r w:rsidR="008668E9">
          <w:rPr>
            <w:rFonts w:ascii="Times New Roman" w:hAnsi="Times New Roman"/>
            <w:noProof/>
          </w:rPr>
          <w:t>725</w:t>
        </w:r>
        <w:r w:rsidRPr="00FE5CEF">
          <w:rPr>
            <w:rFonts w:ascii="Times New Roman" w:hAnsi="Times New Roman"/>
            <w:noProof/>
          </w:rPr>
          <w:fldChar w:fldCharType="end"/>
        </w:r>
      </w:p>
    </w:sdtContent>
  </w:sdt>
  <w:p w:rsidR="00D75B35" w:rsidRPr="004B43FF" w:rsidRDefault="00D75B35">
    <w:pPr>
      <w:pStyle w:val="Footer"/>
      <w:rPr>
        <w:rFonts w:ascii="Times New Roman" w:hAnsi="Times New Roman"/>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02641" w:rsidRDefault="00502641" w:rsidP="00FB4C59">
      <w:pPr>
        <w:spacing w:after="0" w:line="240" w:lineRule="auto"/>
      </w:pPr>
      <w:r>
        <w:separator/>
      </w:r>
    </w:p>
  </w:footnote>
  <w:footnote w:type="continuationSeparator" w:id="0">
    <w:p w:rsidR="00502641" w:rsidRDefault="00502641" w:rsidP="00FB4C5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6177" w:rsidRPr="008F6177" w:rsidRDefault="008F6177" w:rsidP="008F6177">
    <w:pPr>
      <w:spacing w:after="0" w:line="240" w:lineRule="auto"/>
      <w:ind w:left="2160" w:hanging="2160"/>
      <w:outlineLvl w:val="0"/>
      <w:rPr>
        <w:rFonts w:asciiTheme="majorBidi" w:hAnsiTheme="majorBidi" w:cstheme="majorBidi"/>
        <w:sz w:val="20"/>
        <w:szCs w:val="20"/>
      </w:rPr>
    </w:pPr>
    <w:r>
      <w:rPr>
        <w:rFonts w:ascii="Times New Roman" w:hAnsi="Times New Roman"/>
        <w:sz w:val="20"/>
        <w:szCs w:val="20"/>
      </w:rPr>
      <w:t>Hayyiratul Fatimah et al</w:t>
    </w:r>
    <w:r w:rsidR="006B72B0" w:rsidRPr="008F6177">
      <w:rPr>
        <w:rFonts w:ascii="Times New Roman" w:hAnsi="Times New Roman"/>
        <w:sz w:val="20"/>
        <w:szCs w:val="20"/>
      </w:rPr>
      <w:t xml:space="preserve">: </w:t>
    </w:r>
    <w:r>
      <w:rPr>
        <w:rFonts w:ascii="Times New Roman" w:hAnsi="Times New Roman"/>
        <w:sz w:val="20"/>
        <w:szCs w:val="20"/>
      </w:rPr>
      <w:t xml:space="preserve"> </w:t>
    </w:r>
    <w:r>
      <w:rPr>
        <w:rFonts w:ascii="Times New Roman" w:hAnsi="Times New Roman"/>
        <w:sz w:val="20"/>
        <w:szCs w:val="20"/>
      </w:rPr>
      <w:tab/>
    </w:r>
    <w:r w:rsidRPr="008F6177">
      <w:rPr>
        <w:rFonts w:asciiTheme="majorBidi" w:hAnsiTheme="majorBidi" w:cstheme="majorBidi"/>
        <w:sz w:val="20"/>
        <w:szCs w:val="20"/>
      </w:rPr>
      <w:t>PREPARATION AND CHARACTERIZATION OF Cu-Fe/TiO</w:t>
    </w:r>
    <w:r w:rsidRPr="008F6177">
      <w:rPr>
        <w:rFonts w:asciiTheme="majorBidi" w:hAnsiTheme="majorBidi" w:cstheme="majorBidi"/>
        <w:sz w:val="20"/>
        <w:szCs w:val="20"/>
        <w:vertAlign w:val="subscript"/>
      </w:rPr>
      <w:t xml:space="preserve">2 </w:t>
    </w:r>
    <w:r w:rsidRPr="008F6177">
      <w:rPr>
        <w:rFonts w:asciiTheme="majorBidi" w:hAnsiTheme="majorBidi" w:cstheme="majorBidi"/>
        <w:sz w:val="20"/>
        <w:szCs w:val="20"/>
      </w:rPr>
      <w:t>PHOTOCATALYST FOR VISIBLE LIGHT DEEP DESULFURIZATION</w:t>
    </w:r>
  </w:p>
  <w:p w:rsidR="00A14DB9" w:rsidRDefault="00A14DB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5B35" w:rsidRDefault="006B72B0" w:rsidP="006B72B0">
    <w:pPr>
      <w:pStyle w:val="Header"/>
      <w:jc w:val="right"/>
      <w:rPr>
        <w:rFonts w:ascii="Times New Roman" w:hAnsi="Times New Roman"/>
        <w:i/>
        <w:lang w:val="en-US"/>
      </w:rPr>
    </w:pPr>
    <w:r w:rsidRPr="00D75B35">
      <w:rPr>
        <w:rFonts w:ascii="Times New Roman" w:hAnsi="Times New Roman"/>
        <w:i/>
      </w:rPr>
      <w:t xml:space="preserve">Malaysian Journal of </w:t>
    </w:r>
    <w:r w:rsidR="00331953">
      <w:rPr>
        <w:rFonts w:ascii="Times New Roman" w:hAnsi="Times New Roman"/>
        <w:i/>
      </w:rPr>
      <w:t xml:space="preserve">Analytical Sciences, Vol </w:t>
    </w:r>
    <w:r w:rsidR="00331953">
      <w:rPr>
        <w:rFonts w:ascii="Times New Roman" w:hAnsi="Times New Roman"/>
        <w:i/>
        <w:lang w:val="en-US"/>
      </w:rPr>
      <w:t>20</w:t>
    </w:r>
    <w:r>
      <w:rPr>
        <w:rFonts w:ascii="Times New Roman" w:hAnsi="Times New Roman"/>
        <w:i/>
      </w:rPr>
      <w:t xml:space="preserve"> </w:t>
    </w:r>
    <w:r w:rsidR="000D7CEA">
      <w:rPr>
        <w:rFonts w:ascii="Times New Roman" w:hAnsi="Times New Roman"/>
        <w:i/>
        <w:lang w:val="en-US"/>
      </w:rPr>
      <w:t>No 4</w:t>
    </w:r>
    <w:r>
      <w:rPr>
        <w:rFonts w:ascii="Times New Roman" w:hAnsi="Times New Roman"/>
        <w:i/>
      </w:rPr>
      <w:t xml:space="preserve"> (201</w:t>
    </w:r>
    <w:r w:rsidR="00331953">
      <w:rPr>
        <w:rFonts w:ascii="Times New Roman" w:hAnsi="Times New Roman"/>
        <w:i/>
        <w:lang w:val="en-US"/>
      </w:rPr>
      <w:t>6</w:t>
    </w:r>
    <w:r w:rsidRPr="00D75B35">
      <w:rPr>
        <w:rFonts w:ascii="Times New Roman" w:hAnsi="Times New Roman"/>
        <w:i/>
      </w:rPr>
      <w:t xml:space="preserve">): </w:t>
    </w:r>
    <w:r w:rsidR="00D275C9">
      <w:rPr>
        <w:rFonts w:ascii="Times New Roman" w:hAnsi="Times New Roman"/>
        <w:i/>
        <w:lang w:val="en-US"/>
      </w:rPr>
      <w:t>713</w:t>
    </w:r>
    <w:r>
      <w:rPr>
        <w:rFonts w:ascii="Times New Roman" w:hAnsi="Times New Roman"/>
        <w:i/>
        <w:lang w:val="en-US"/>
      </w:rPr>
      <w:t xml:space="preserve"> </w:t>
    </w:r>
    <w:r w:rsidR="000D7CEA">
      <w:rPr>
        <w:rFonts w:ascii="Times New Roman" w:hAnsi="Times New Roman"/>
        <w:i/>
        <w:lang w:val="en-US"/>
      </w:rPr>
      <w:t>-</w:t>
    </w:r>
    <w:r w:rsidR="00D275C9">
      <w:rPr>
        <w:rFonts w:ascii="Times New Roman" w:hAnsi="Times New Roman"/>
        <w:i/>
        <w:lang w:val="en-US"/>
      </w:rPr>
      <w:t xml:space="preserve"> 725</w:t>
    </w:r>
  </w:p>
  <w:p w:rsidR="00584A9B" w:rsidRDefault="00584A9B" w:rsidP="00584A9B">
    <w:pPr>
      <w:pStyle w:val="Header"/>
      <w:jc w:val="right"/>
      <w:rPr>
        <w:rFonts w:ascii="Times New Roman" w:hAnsi="Times New Roman"/>
        <w:i/>
        <w:lang w:val="en-US"/>
      </w:rPr>
    </w:pPr>
    <w:r>
      <w:rPr>
        <w:rFonts w:ascii="Times New Roman" w:hAnsi="Times New Roman"/>
        <w:i/>
        <w:lang w:val="en-US"/>
      </w:rPr>
      <w:t>DOI: http</w:t>
    </w:r>
    <w:r w:rsidR="003972AD">
      <w:rPr>
        <w:rFonts w:ascii="Times New Roman" w:hAnsi="Times New Roman"/>
        <w:i/>
        <w:lang w:val="en-US"/>
      </w:rPr>
      <w:t>://dx</w:t>
    </w:r>
    <w:r w:rsidR="000D7CEA">
      <w:rPr>
        <w:rFonts w:ascii="Times New Roman" w:hAnsi="Times New Roman"/>
        <w:i/>
        <w:lang w:val="en-US"/>
      </w:rPr>
      <w:t>.do</w:t>
    </w:r>
    <w:r w:rsidR="00D275C9">
      <w:rPr>
        <w:rFonts w:ascii="Times New Roman" w:hAnsi="Times New Roman"/>
        <w:i/>
        <w:lang w:val="en-US"/>
      </w:rPr>
      <w:t>i.org/10.17576/mjas-2016-2004-03</w:t>
    </w:r>
  </w:p>
  <w:p w:rsidR="00584A9B" w:rsidRPr="00584A9B" w:rsidRDefault="00584A9B" w:rsidP="00584A9B">
    <w:pPr>
      <w:pStyle w:val="Header"/>
      <w:rPr>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AA17CE3"/>
    <w:multiLevelType w:val="hybridMultilevel"/>
    <w:tmpl w:val="4A342D44"/>
    <w:lvl w:ilvl="0" w:tplc="EBD030B2">
      <w:start w:val="1"/>
      <w:numFmt w:val="decimal"/>
      <w:pStyle w:val="Reference"/>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3C3D1FC1"/>
    <w:multiLevelType w:val="hybridMultilevel"/>
    <w:tmpl w:val="59929B1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
    <w:nsid w:val="476E1A79"/>
    <w:multiLevelType w:val="hybridMultilevel"/>
    <w:tmpl w:val="D1E60D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evenAndOddHeaders/>
  <w:drawingGridHorizontalSpacing w:val="110"/>
  <w:displayHorizontalDrawingGridEvery w:val="2"/>
  <w:characterSpacingControl w:val="doNotCompress"/>
  <w:hdrShapeDefaults>
    <o:shapedefaults v:ext="edit" spidmax="337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470E"/>
    <w:rsid w:val="000029F0"/>
    <w:rsid w:val="00016385"/>
    <w:rsid w:val="00022E96"/>
    <w:rsid w:val="0004560D"/>
    <w:rsid w:val="00063C28"/>
    <w:rsid w:val="00084936"/>
    <w:rsid w:val="000C49FF"/>
    <w:rsid w:val="000D7CEA"/>
    <w:rsid w:val="000F77DA"/>
    <w:rsid w:val="001068E8"/>
    <w:rsid w:val="00117BCD"/>
    <w:rsid w:val="001D035A"/>
    <w:rsid w:val="001D3855"/>
    <w:rsid w:val="001D6F2C"/>
    <w:rsid w:val="001F492C"/>
    <w:rsid w:val="0024193F"/>
    <w:rsid w:val="00253F77"/>
    <w:rsid w:val="0027154E"/>
    <w:rsid w:val="00281D65"/>
    <w:rsid w:val="0028516A"/>
    <w:rsid w:val="002B188F"/>
    <w:rsid w:val="002B3BD8"/>
    <w:rsid w:val="002E7DF9"/>
    <w:rsid w:val="002F1D03"/>
    <w:rsid w:val="002F3F91"/>
    <w:rsid w:val="00304767"/>
    <w:rsid w:val="00304B34"/>
    <w:rsid w:val="00331953"/>
    <w:rsid w:val="00361BAF"/>
    <w:rsid w:val="00367D1F"/>
    <w:rsid w:val="0039241A"/>
    <w:rsid w:val="003972AD"/>
    <w:rsid w:val="003D585B"/>
    <w:rsid w:val="003E0260"/>
    <w:rsid w:val="003E742F"/>
    <w:rsid w:val="003E7DA6"/>
    <w:rsid w:val="003F12FF"/>
    <w:rsid w:val="004370C4"/>
    <w:rsid w:val="00455AA4"/>
    <w:rsid w:val="004760D4"/>
    <w:rsid w:val="00494C46"/>
    <w:rsid w:val="004B43FF"/>
    <w:rsid w:val="004F127D"/>
    <w:rsid w:val="00502641"/>
    <w:rsid w:val="00583520"/>
    <w:rsid w:val="00584A9B"/>
    <w:rsid w:val="005C6768"/>
    <w:rsid w:val="005E4871"/>
    <w:rsid w:val="00634C25"/>
    <w:rsid w:val="006416AB"/>
    <w:rsid w:val="006768E9"/>
    <w:rsid w:val="006830ED"/>
    <w:rsid w:val="00687982"/>
    <w:rsid w:val="006B3EC8"/>
    <w:rsid w:val="006B72B0"/>
    <w:rsid w:val="006D5E07"/>
    <w:rsid w:val="006D695E"/>
    <w:rsid w:val="00725A6A"/>
    <w:rsid w:val="007737B0"/>
    <w:rsid w:val="007912C0"/>
    <w:rsid w:val="007943F3"/>
    <w:rsid w:val="007A738C"/>
    <w:rsid w:val="007B05E1"/>
    <w:rsid w:val="007B1349"/>
    <w:rsid w:val="007B3FDB"/>
    <w:rsid w:val="007E25BD"/>
    <w:rsid w:val="00802C35"/>
    <w:rsid w:val="00805802"/>
    <w:rsid w:val="008129F7"/>
    <w:rsid w:val="0082181A"/>
    <w:rsid w:val="008668E9"/>
    <w:rsid w:val="008B470E"/>
    <w:rsid w:val="008E1211"/>
    <w:rsid w:val="008E5BBF"/>
    <w:rsid w:val="008E6968"/>
    <w:rsid w:val="008F6177"/>
    <w:rsid w:val="00A07E20"/>
    <w:rsid w:val="00A14DB9"/>
    <w:rsid w:val="00A34308"/>
    <w:rsid w:val="00A4762A"/>
    <w:rsid w:val="00A74A7E"/>
    <w:rsid w:val="00AD1B8A"/>
    <w:rsid w:val="00AE26C5"/>
    <w:rsid w:val="00AE713F"/>
    <w:rsid w:val="00B1121C"/>
    <w:rsid w:val="00B253CE"/>
    <w:rsid w:val="00B25B65"/>
    <w:rsid w:val="00B2770A"/>
    <w:rsid w:val="00B314AD"/>
    <w:rsid w:val="00B75BF6"/>
    <w:rsid w:val="00BA1F7B"/>
    <w:rsid w:val="00BB58AF"/>
    <w:rsid w:val="00BB65A5"/>
    <w:rsid w:val="00BE7C30"/>
    <w:rsid w:val="00C01598"/>
    <w:rsid w:val="00C055BF"/>
    <w:rsid w:val="00C2226A"/>
    <w:rsid w:val="00C94D92"/>
    <w:rsid w:val="00C97340"/>
    <w:rsid w:val="00CA513F"/>
    <w:rsid w:val="00CC7614"/>
    <w:rsid w:val="00CF05FF"/>
    <w:rsid w:val="00D275C9"/>
    <w:rsid w:val="00D340BB"/>
    <w:rsid w:val="00D505D5"/>
    <w:rsid w:val="00D6540C"/>
    <w:rsid w:val="00D75B35"/>
    <w:rsid w:val="00D76E09"/>
    <w:rsid w:val="00D9736F"/>
    <w:rsid w:val="00D9792A"/>
    <w:rsid w:val="00DD377F"/>
    <w:rsid w:val="00E03DB1"/>
    <w:rsid w:val="00E25547"/>
    <w:rsid w:val="00E3287E"/>
    <w:rsid w:val="00E604BB"/>
    <w:rsid w:val="00E66197"/>
    <w:rsid w:val="00EC0B58"/>
    <w:rsid w:val="00F07FA5"/>
    <w:rsid w:val="00F31093"/>
    <w:rsid w:val="00F412AF"/>
    <w:rsid w:val="00F43667"/>
    <w:rsid w:val="00F447A7"/>
    <w:rsid w:val="00FB4C59"/>
    <w:rsid w:val="00FC3A4D"/>
    <w:rsid w:val="00FE0572"/>
    <w:rsid w:val="00FE5C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37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libri"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92A"/>
    <w:pPr>
      <w:spacing w:after="200" w:line="276" w:lineRule="auto"/>
    </w:pPr>
    <w:rPr>
      <w:rFonts w:eastAsia="Times New Roman"/>
      <w:sz w:val="22"/>
      <w:szCs w:val="22"/>
      <w:lang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qFormat/>
    <w:rsid w:val="00117BCD"/>
    <w:pPr>
      <w:jc w:val="center"/>
    </w:pPr>
    <w:rPr>
      <w:b/>
      <w:sz w:val="20"/>
    </w:rPr>
  </w:style>
  <w:style w:type="paragraph" w:customStyle="1" w:styleId="Topics-Content">
    <w:name w:val="Topics - Content"/>
    <w:basedOn w:val="Topics"/>
    <w:qFormat/>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paragraph" w:customStyle="1" w:styleId="AuthorAffiliation">
    <w:name w:val="Author Affiliation"/>
    <w:basedOn w:val="Normal"/>
    <w:rsid w:val="006830ED"/>
    <w:pPr>
      <w:spacing w:after="0" w:line="240" w:lineRule="auto"/>
      <w:jc w:val="center"/>
    </w:pPr>
    <w:rPr>
      <w:rFonts w:ascii="Times New Roman" w:hAnsi="Times New Roman"/>
      <w:i/>
      <w:sz w:val="20"/>
      <w:szCs w:val="20"/>
      <w:lang w:bidi="ar-SA"/>
    </w:rPr>
  </w:style>
  <w:style w:type="table" w:customStyle="1" w:styleId="TableGrid1">
    <w:name w:val="Table Grid1"/>
    <w:basedOn w:val="TableNormal"/>
    <w:uiPriority w:val="59"/>
    <w:rsid w:val="00B253CE"/>
    <w:rPr>
      <w:rFonts w:asciiTheme="minorHAnsi" w:eastAsiaTheme="minorHAnsi" w:hAnsiTheme="minorHAnsi" w:cstheme="minorBidi"/>
      <w:sz w:val="22"/>
      <w:szCs w:val="22"/>
      <w:lang w:val="en-M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B253CE"/>
    <w:pPr>
      <w:jc w:val="both"/>
    </w:pPr>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
    <w:name w:val="Reference"/>
    <w:basedOn w:val="Normal"/>
    <w:rsid w:val="0004560D"/>
    <w:pPr>
      <w:numPr>
        <w:numId w:val="3"/>
      </w:numPr>
      <w:spacing w:after="0" w:line="240" w:lineRule="auto"/>
      <w:jc w:val="both"/>
    </w:pPr>
    <w:rPr>
      <w:rFonts w:ascii="Times New Roman" w:hAnsi="Times New Roman"/>
      <w:sz w:val="20"/>
      <w:szCs w:val="20"/>
      <w:lang w:bidi="ar-SA"/>
    </w:rPr>
  </w:style>
  <w:style w:type="character" w:customStyle="1" w:styleId="txtlarge">
    <w:name w:val="txtlarge"/>
    <w:basedOn w:val="DefaultParagraphFont"/>
    <w:rsid w:val="0004560D"/>
  </w:style>
  <w:style w:type="character" w:customStyle="1" w:styleId="apple-converted-space">
    <w:name w:val="apple-converted-space"/>
    <w:basedOn w:val="DefaultParagraphFont"/>
    <w:rsid w:val="0004560D"/>
  </w:style>
  <w:style w:type="paragraph" w:styleId="NormalWeb">
    <w:name w:val="Normal (Web)"/>
    <w:basedOn w:val="Normal"/>
    <w:uiPriority w:val="99"/>
    <w:semiHidden/>
    <w:unhideWhenUsed/>
    <w:rsid w:val="002E7DF9"/>
    <w:pPr>
      <w:spacing w:before="100" w:beforeAutospacing="1" w:after="100" w:afterAutospacing="1" w:line="240" w:lineRule="auto"/>
    </w:pPr>
    <w:rPr>
      <w:rFonts w:ascii="Times New Roman" w:hAnsi="Times New Roman"/>
      <w:sz w:val="24"/>
      <w:szCs w:val="24"/>
      <w:lang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libri"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92A"/>
    <w:pPr>
      <w:spacing w:after="200" w:line="276" w:lineRule="auto"/>
    </w:pPr>
    <w:rPr>
      <w:rFonts w:eastAsia="Times New Roman"/>
      <w:sz w:val="22"/>
      <w:szCs w:val="22"/>
      <w:lang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qFormat/>
    <w:rsid w:val="00117BCD"/>
    <w:pPr>
      <w:jc w:val="center"/>
    </w:pPr>
    <w:rPr>
      <w:b/>
      <w:sz w:val="20"/>
    </w:rPr>
  </w:style>
  <w:style w:type="paragraph" w:customStyle="1" w:styleId="Topics-Content">
    <w:name w:val="Topics - Content"/>
    <w:basedOn w:val="Topics"/>
    <w:qFormat/>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paragraph" w:customStyle="1" w:styleId="AuthorAffiliation">
    <w:name w:val="Author Affiliation"/>
    <w:basedOn w:val="Normal"/>
    <w:rsid w:val="006830ED"/>
    <w:pPr>
      <w:spacing w:after="0" w:line="240" w:lineRule="auto"/>
      <w:jc w:val="center"/>
    </w:pPr>
    <w:rPr>
      <w:rFonts w:ascii="Times New Roman" w:hAnsi="Times New Roman"/>
      <w:i/>
      <w:sz w:val="20"/>
      <w:szCs w:val="20"/>
      <w:lang w:bidi="ar-SA"/>
    </w:rPr>
  </w:style>
  <w:style w:type="table" w:customStyle="1" w:styleId="TableGrid1">
    <w:name w:val="Table Grid1"/>
    <w:basedOn w:val="TableNormal"/>
    <w:uiPriority w:val="59"/>
    <w:rsid w:val="00B253CE"/>
    <w:rPr>
      <w:rFonts w:asciiTheme="minorHAnsi" w:eastAsiaTheme="minorHAnsi" w:hAnsiTheme="minorHAnsi" w:cstheme="minorBidi"/>
      <w:sz w:val="22"/>
      <w:szCs w:val="22"/>
      <w:lang w:val="en-M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B253CE"/>
    <w:pPr>
      <w:jc w:val="both"/>
    </w:pPr>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
    <w:name w:val="Reference"/>
    <w:basedOn w:val="Normal"/>
    <w:rsid w:val="0004560D"/>
    <w:pPr>
      <w:numPr>
        <w:numId w:val="3"/>
      </w:numPr>
      <w:spacing w:after="0" w:line="240" w:lineRule="auto"/>
      <w:jc w:val="both"/>
    </w:pPr>
    <w:rPr>
      <w:rFonts w:ascii="Times New Roman" w:hAnsi="Times New Roman"/>
      <w:sz w:val="20"/>
      <w:szCs w:val="20"/>
      <w:lang w:bidi="ar-SA"/>
    </w:rPr>
  </w:style>
  <w:style w:type="character" w:customStyle="1" w:styleId="txtlarge">
    <w:name w:val="txtlarge"/>
    <w:basedOn w:val="DefaultParagraphFont"/>
    <w:rsid w:val="0004560D"/>
  </w:style>
  <w:style w:type="character" w:customStyle="1" w:styleId="apple-converted-space">
    <w:name w:val="apple-converted-space"/>
    <w:basedOn w:val="DefaultParagraphFont"/>
    <w:rsid w:val="0004560D"/>
  </w:style>
  <w:style w:type="paragraph" w:styleId="NormalWeb">
    <w:name w:val="Normal (Web)"/>
    <w:basedOn w:val="Normal"/>
    <w:uiPriority w:val="99"/>
    <w:semiHidden/>
    <w:unhideWhenUsed/>
    <w:rsid w:val="002E7DF9"/>
    <w:pPr>
      <w:spacing w:before="100" w:beforeAutospacing="1" w:after="100" w:afterAutospacing="1" w:line="240" w:lineRule="auto"/>
    </w:pPr>
    <w:rPr>
      <w:rFonts w:ascii="Times New Roman" w:hAnsi="Times New Roman"/>
      <w:sz w:val="24"/>
      <w:szCs w:val="2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7893377">
      <w:bodyDiv w:val="1"/>
      <w:marLeft w:val="0"/>
      <w:marRight w:val="0"/>
      <w:marTop w:val="0"/>
      <w:marBottom w:val="0"/>
      <w:divBdr>
        <w:top w:val="none" w:sz="0" w:space="0" w:color="auto"/>
        <w:left w:val="none" w:sz="0" w:space="0" w:color="auto"/>
        <w:bottom w:val="none" w:sz="0" w:space="0" w:color="auto"/>
        <w:right w:val="none" w:sz="0" w:space="0" w:color="auto"/>
      </w:divBdr>
    </w:div>
    <w:div w:id="16857852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hyperlink" Target="http://www.sciencedirect.com/science/article/pii/S187220671060246X"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46C221-71C5-481C-92D6-A69F6EC2CC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TotalTime>
  <Pages>13</Pages>
  <Words>5909</Words>
  <Characters>32999</Characters>
  <Application>Microsoft Office Word</Application>
  <DocSecurity>0</DocSecurity>
  <Lines>513</Lines>
  <Paragraphs>148</Paragraphs>
  <ScaleCrop>false</ScaleCrop>
  <HeadingPairs>
    <vt:vector size="2" baseType="variant">
      <vt:variant>
        <vt:lpstr>Title</vt:lpstr>
      </vt:variant>
      <vt:variant>
        <vt:i4>1</vt:i4>
      </vt:variant>
    </vt:vector>
  </HeadingPairs>
  <TitlesOfParts>
    <vt:vector size="1" baseType="lpstr">
      <vt:lpstr>MJAS Vol 20 No 3 (2016)</vt:lpstr>
    </vt:vector>
  </TitlesOfParts>
  <Company>UKM</Company>
  <LinksUpToDate>false</LinksUpToDate>
  <CharactersWithSpaces>39017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MJAS Vol 20 No 4 (2016)</dc:title>
  <dc:creator>Harun Hj Hamzah</dc:creator>
  <cp:lastModifiedBy>ANALIS</cp:lastModifiedBy>
  <cp:revision>25</cp:revision>
  <cp:lastPrinted>2016-07-13T11:14:00Z</cp:lastPrinted>
  <dcterms:created xsi:type="dcterms:W3CDTF">2016-06-22T00:37:00Z</dcterms:created>
  <dcterms:modified xsi:type="dcterms:W3CDTF">2016-07-13T11:14:00Z</dcterms:modified>
</cp:coreProperties>
</file>