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7114" w:rsidRDefault="007D7114" w:rsidP="007D7114">
      <w:pPr>
        <w:spacing w:after="0" w:line="240" w:lineRule="auto"/>
        <w:jc w:val="center"/>
        <w:rPr>
          <w:rFonts w:cs="Times New Roman"/>
          <w:sz w:val="28"/>
          <w:szCs w:val="24"/>
          <w:lang w:val="en-GB"/>
        </w:rPr>
      </w:pPr>
      <w:bookmarkStart w:id="0" w:name="_GoBack"/>
      <w:bookmarkEnd w:id="0"/>
      <w:r w:rsidRPr="00C11B61">
        <w:rPr>
          <w:rFonts w:cs="Times New Roman"/>
          <w:sz w:val="28"/>
          <w:szCs w:val="24"/>
          <w:lang w:val="en-GB"/>
        </w:rPr>
        <w:t>ADSORBENT FROM WASTE AND NATURAL DEPOSITS FOR PARAQUAT REMOVAL IN WATER</w:t>
      </w:r>
    </w:p>
    <w:p w:rsidR="00650200" w:rsidRDefault="00650200" w:rsidP="007D7114">
      <w:pPr>
        <w:spacing w:after="0" w:line="240" w:lineRule="auto"/>
        <w:jc w:val="center"/>
        <w:rPr>
          <w:rFonts w:cs="Times New Roman"/>
          <w:sz w:val="28"/>
          <w:szCs w:val="24"/>
          <w:lang w:val="en-GB"/>
        </w:rPr>
      </w:pPr>
    </w:p>
    <w:p w:rsidR="00650200" w:rsidRDefault="00650200" w:rsidP="007D7114">
      <w:pPr>
        <w:spacing w:after="0"/>
        <w:jc w:val="center"/>
        <w:rPr>
          <w:rFonts w:cs="Times New Roman"/>
          <w:sz w:val="28"/>
          <w:szCs w:val="28"/>
        </w:rPr>
      </w:pPr>
      <w:r>
        <w:rPr>
          <w:rFonts w:cs="Times New Roman"/>
          <w:sz w:val="28"/>
          <w:szCs w:val="28"/>
        </w:rPr>
        <w:t xml:space="preserve">(Penjerap daripada Sisa Industri dan Semulajadi untuk </w:t>
      </w:r>
    </w:p>
    <w:p w:rsidR="007D7114" w:rsidRDefault="00650200" w:rsidP="00650200">
      <w:pPr>
        <w:spacing w:after="0"/>
        <w:jc w:val="center"/>
        <w:rPr>
          <w:rFonts w:cs="Times New Roman"/>
          <w:sz w:val="28"/>
          <w:szCs w:val="28"/>
        </w:rPr>
      </w:pPr>
      <w:r>
        <w:rPr>
          <w:rFonts w:cs="Times New Roman"/>
          <w:sz w:val="28"/>
          <w:szCs w:val="28"/>
        </w:rPr>
        <w:t>Penyingkiran Paraquat di dalam Air)</w:t>
      </w:r>
    </w:p>
    <w:p w:rsidR="00650200" w:rsidRPr="00650200" w:rsidRDefault="00650200" w:rsidP="00650200">
      <w:pPr>
        <w:spacing w:after="0"/>
        <w:jc w:val="center"/>
        <w:rPr>
          <w:rFonts w:cs="Times New Roman"/>
          <w:sz w:val="28"/>
          <w:szCs w:val="28"/>
        </w:rPr>
      </w:pPr>
    </w:p>
    <w:p w:rsidR="00650200" w:rsidRDefault="007D7114" w:rsidP="007D7114">
      <w:pPr>
        <w:spacing w:after="0" w:line="240" w:lineRule="auto"/>
        <w:jc w:val="center"/>
        <w:rPr>
          <w:rFonts w:eastAsia="Gulim" w:cs="Times New Roman"/>
          <w:color w:val="000000"/>
          <w:szCs w:val="24"/>
        </w:rPr>
      </w:pPr>
      <w:r w:rsidRPr="00C11B61">
        <w:rPr>
          <w:rFonts w:eastAsia="Gulim" w:cs="Times New Roman"/>
          <w:color w:val="000000"/>
          <w:szCs w:val="24"/>
        </w:rPr>
        <w:t>Nur Fatin Zakaria</w:t>
      </w:r>
      <w:r w:rsidRPr="00C11B61">
        <w:rPr>
          <w:rFonts w:eastAsia="Gulim" w:cs="Times New Roman"/>
          <w:color w:val="000000"/>
          <w:szCs w:val="24"/>
          <w:vertAlign w:val="superscript"/>
        </w:rPr>
        <w:t>1</w:t>
      </w:r>
      <w:r w:rsidRPr="00C11B61">
        <w:rPr>
          <w:rFonts w:eastAsia="Gulim" w:cs="Times New Roman"/>
          <w:color w:val="000000"/>
          <w:szCs w:val="24"/>
        </w:rPr>
        <w:t>, Zaiton Abdul Majid</w:t>
      </w:r>
      <w:r w:rsidRPr="00C11B61">
        <w:rPr>
          <w:rFonts w:eastAsia="Gulim" w:cs="Times New Roman"/>
          <w:color w:val="000000"/>
          <w:szCs w:val="24"/>
          <w:vertAlign w:val="superscript"/>
        </w:rPr>
        <w:t>1</w:t>
      </w:r>
      <w:r w:rsidR="006C7F6D">
        <w:rPr>
          <w:rFonts w:eastAsia="Gulim" w:cs="Times New Roman"/>
          <w:color w:val="000000"/>
          <w:szCs w:val="24"/>
          <w:vertAlign w:val="superscript"/>
        </w:rPr>
        <w:t>*</w:t>
      </w:r>
      <w:r w:rsidRPr="00C11B61">
        <w:rPr>
          <w:rFonts w:eastAsia="Gulim" w:cs="Times New Roman"/>
          <w:color w:val="000000"/>
          <w:szCs w:val="24"/>
        </w:rPr>
        <w:t>, Zainab Ramli</w:t>
      </w:r>
      <w:r w:rsidRPr="00C11B61">
        <w:rPr>
          <w:rFonts w:eastAsia="Gulim" w:cs="Times New Roman"/>
          <w:color w:val="000000"/>
          <w:szCs w:val="24"/>
          <w:vertAlign w:val="superscript"/>
        </w:rPr>
        <w:t>1</w:t>
      </w:r>
      <w:r w:rsidRPr="00C11B61">
        <w:rPr>
          <w:rFonts w:eastAsia="Gulim" w:cs="Times New Roman"/>
          <w:color w:val="000000"/>
          <w:szCs w:val="24"/>
        </w:rPr>
        <w:t>, Jafariah Jaafar</w:t>
      </w:r>
      <w:r w:rsidRPr="00C11B61">
        <w:rPr>
          <w:rFonts w:eastAsia="Gulim" w:cs="Times New Roman"/>
          <w:color w:val="000000"/>
          <w:szCs w:val="24"/>
          <w:vertAlign w:val="superscript"/>
        </w:rPr>
        <w:t>1</w:t>
      </w:r>
      <w:r w:rsidRPr="00C11B61">
        <w:rPr>
          <w:rFonts w:eastAsia="Gulim" w:cs="Times New Roman"/>
          <w:color w:val="000000"/>
          <w:szCs w:val="24"/>
        </w:rPr>
        <w:t>, Azmi Aris</w:t>
      </w:r>
      <w:r w:rsidRPr="00C11B61">
        <w:rPr>
          <w:rFonts w:eastAsia="Gulim" w:cs="Times New Roman"/>
          <w:color w:val="000000"/>
          <w:szCs w:val="24"/>
          <w:vertAlign w:val="superscript"/>
        </w:rPr>
        <w:t>2,3</w:t>
      </w:r>
      <w:r w:rsidRPr="00C11B61">
        <w:rPr>
          <w:rFonts w:eastAsia="Gulim" w:cs="Times New Roman"/>
          <w:color w:val="000000"/>
          <w:szCs w:val="24"/>
        </w:rPr>
        <w:t xml:space="preserve">, </w:t>
      </w:r>
    </w:p>
    <w:p w:rsidR="007D7114" w:rsidRPr="003D73EB" w:rsidRDefault="007D7114" w:rsidP="007D7114">
      <w:pPr>
        <w:spacing w:after="0" w:line="240" w:lineRule="auto"/>
        <w:jc w:val="center"/>
        <w:rPr>
          <w:rFonts w:eastAsia="Gulim" w:cs="Times New Roman"/>
          <w:color w:val="000000"/>
          <w:szCs w:val="24"/>
        </w:rPr>
      </w:pPr>
      <w:r w:rsidRPr="00C11B61">
        <w:rPr>
          <w:rFonts w:eastAsia="Gulim" w:cs="Times New Roman"/>
          <w:color w:val="000000"/>
          <w:szCs w:val="24"/>
        </w:rPr>
        <w:t>Juhaizah Talib</w:t>
      </w:r>
      <w:r w:rsidRPr="00C11B61">
        <w:rPr>
          <w:rFonts w:eastAsia="Gulim" w:cs="Times New Roman"/>
          <w:color w:val="000000"/>
          <w:szCs w:val="24"/>
          <w:vertAlign w:val="superscript"/>
        </w:rPr>
        <w:t>2,3</w:t>
      </w:r>
      <w:r>
        <w:rPr>
          <w:rFonts w:eastAsia="Gulim" w:cs="Times New Roman"/>
          <w:color w:val="000000"/>
          <w:szCs w:val="24"/>
        </w:rPr>
        <w:t xml:space="preserve">, </w:t>
      </w:r>
      <w:r w:rsidRPr="00C11B61">
        <w:rPr>
          <w:rFonts w:eastAsia="Gulim" w:cs="Times New Roman"/>
          <w:color w:val="000000"/>
          <w:szCs w:val="24"/>
        </w:rPr>
        <w:t>Rusmidah Ali</w:t>
      </w:r>
      <w:r w:rsidRPr="00C11B61">
        <w:rPr>
          <w:rFonts w:eastAsia="Gulim" w:cs="Times New Roman"/>
          <w:color w:val="000000"/>
          <w:szCs w:val="24"/>
          <w:vertAlign w:val="superscript"/>
        </w:rPr>
        <w:t>1</w:t>
      </w:r>
    </w:p>
    <w:p w:rsidR="007D7114" w:rsidRPr="00C11B61" w:rsidRDefault="007D7114" w:rsidP="007D7114">
      <w:pPr>
        <w:spacing w:after="0" w:line="240" w:lineRule="auto"/>
        <w:rPr>
          <w:rFonts w:eastAsia="Gulim" w:cs="Times New Roman"/>
          <w:color w:val="000000"/>
          <w:sz w:val="24"/>
          <w:szCs w:val="24"/>
        </w:rPr>
      </w:pPr>
    </w:p>
    <w:p w:rsidR="00650200" w:rsidRDefault="007D7114" w:rsidP="007D7114">
      <w:pPr>
        <w:spacing w:after="0" w:line="240" w:lineRule="auto"/>
        <w:jc w:val="center"/>
        <w:rPr>
          <w:rFonts w:eastAsia="Gulim" w:cs="Times New Roman"/>
          <w:bCs/>
          <w:i/>
          <w:color w:val="000000"/>
          <w:sz w:val="18"/>
          <w:szCs w:val="24"/>
        </w:rPr>
      </w:pPr>
      <w:r w:rsidRPr="00C11B61">
        <w:rPr>
          <w:rFonts w:eastAsia="Gulim" w:cs="Times New Roman"/>
          <w:bCs/>
          <w:i/>
          <w:color w:val="000000"/>
          <w:sz w:val="18"/>
          <w:szCs w:val="24"/>
          <w:vertAlign w:val="superscript"/>
        </w:rPr>
        <w:t>1</w:t>
      </w:r>
      <w:r w:rsidRPr="00C11B61">
        <w:rPr>
          <w:rFonts w:eastAsia="Gulim" w:cs="Times New Roman"/>
          <w:bCs/>
          <w:i/>
          <w:color w:val="000000"/>
          <w:sz w:val="18"/>
          <w:szCs w:val="24"/>
        </w:rPr>
        <w:t xml:space="preserve">Department of Chemistry, </w:t>
      </w:r>
    </w:p>
    <w:p w:rsidR="007D7114" w:rsidRPr="00C11B61" w:rsidRDefault="007D7114" w:rsidP="007D7114">
      <w:pPr>
        <w:spacing w:after="0" w:line="240" w:lineRule="auto"/>
        <w:jc w:val="center"/>
        <w:rPr>
          <w:rFonts w:eastAsia="Gulim" w:cs="Times New Roman"/>
          <w:bCs/>
          <w:i/>
          <w:color w:val="000000"/>
          <w:sz w:val="18"/>
          <w:szCs w:val="24"/>
        </w:rPr>
      </w:pPr>
      <w:r w:rsidRPr="00C11B61">
        <w:rPr>
          <w:rFonts w:eastAsia="Gulim" w:cs="Times New Roman"/>
          <w:bCs/>
          <w:i/>
          <w:color w:val="000000"/>
          <w:sz w:val="18"/>
          <w:szCs w:val="24"/>
        </w:rPr>
        <w:t>Faculty of Science, Universiti Teknologi Malaysia (UTM), 81310, Johor, Malaysia</w:t>
      </w:r>
    </w:p>
    <w:p w:rsidR="00650200" w:rsidRDefault="007D7114" w:rsidP="007D7114">
      <w:pPr>
        <w:spacing w:after="0" w:line="240" w:lineRule="auto"/>
        <w:jc w:val="center"/>
        <w:rPr>
          <w:rFonts w:cs="Times New Roman"/>
          <w:i/>
          <w:sz w:val="18"/>
          <w:szCs w:val="24"/>
          <w:lang w:val="en-CA"/>
        </w:rPr>
      </w:pPr>
      <w:r w:rsidRPr="00C11B61">
        <w:rPr>
          <w:rFonts w:eastAsia="Gulim" w:cs="Times New Roman"/>
          <w:bCs/>
          <w:i/>
          <w:color w:val="000000"/>
          <w:sz w:val="18"/>
          <w:szCs w:val="24"/>
          <w:vertAlign w:val="superscript"/>
        </w:rPr>
        <w:t>2</w:t>
      </w:r>
      <w:r w:rsidRPr="00C11B61">
        <w:rPr>
          <w:rFonts w:cs="Times New Roman"/>
          <w:i/>
          <w:sz w:val="18"/>
          <w:szCs w:val="24"/>
          <w:lang w:val="en-CA"/>
        </w:rPr>
        <w:t>Department of Environmental Engineering,</w:t>
      </w:r>
    </w:p>
    <w:p w:rsidR="007D7114" w:rsidRPr="00C11B61" w:rsidRDefault="007D7114" w:rsidP="007D7114">
      <w:pPr>
        <w:spacing w:after="0" w:line="240" w:lineRule="auto"/>
        <w:jc w:val="center"/>
        <w:rPr>
          <w:rFonts w:cs="Times New Roman"/>
          <w:i/>
          <w:sz w:val="18"/>
          <w:szCs w:val="24"/>
          <w:lang w:val="en-CA"/>
        </w:rPr>
      </w:pPr>
      <w:r w:rsidRPr="00C11B61">
        <w:rPr>
          <w:rFonts w:cs="Times New Roman"/>
          <w:i/>
          <w:sz w:val="18"/>
          <w:szCs w:val="24"/>
          <w:lang w:val="en-CA"/>
        </w:rPr>
        <w:t xml:space="preserve"> Faculty of Civil Engineering, Universiti Teknologi Malaysia (UTM),</w:t>
      </w:r>
      <w:r w:rsidR="00650200">
        <w:rPr>
          <w:rFonts w:cs="Times New Roman"/>
          <w:i/>
          <w:sz w:val="18"/>
          <w:szCs w:val="24"/>
          <w:lang w:val="en-CA"/>
        </w:rPr>
        <w:t xml:space="preserve"> </w:t>
      </w:r>
      <w:r w:rsidRPr="00C11B61">
        <w:rPr>
          <w:rFonts w:cs="Times New Roman"/>
          <w:i/>
          <w:sz w:val="18"/>
          <w:szCs w:val="24"/>
          <w:lang w:val="en-CA"/>
        </w:rPr>
        <w:t>81310,  Johor, Malaysia</w:t>
      </w:r>
    </w:p>
    <w:p w:rsidR="00650200" w:rsidRDefault="007D7114" w:rsidP="007D7114">
      <w:pPr>
        <w:spacing w:after="0" w:line="240" w:lineRule="auto"/>
        <w:jc w:val="center"/>
        <w:rPr>
          <w:rFonts w:cs="Times New Roman"/>
          <w:i/>
          <w:sz w:val="18"/>
          <w:szCs w:val="24"/>
          <w:lang w:val="en-CA"/>
        </w:rPr>
      </w:pPr>
      <w:r w:rsidRPr="00C11B61">
        <w:rPr>
          <w:rFonts w:cs="Times New Roman"/>
          <w:i/>
          <w:sz w:val="18"/>
          <w:szCs w:val="24"/>
          <w:vertAlign w:val="superscript"/>
          <w:lang w:val="en-CA"/>
        </w:rPr>
        <w:t>3</w:t>
      </w:r>
      <w:r w:rsidRPr="00C11B61">
        <w:rPr>
          <w:rFonts w:cs="Times New Roman"/>
          <w:i/>
          <w:sz w:val="18"/>
          <w:szCs w:val="24"/>
          <w:lang w:val="en-CA"/>
        </w:rPr>
        <w:t xml:space="preserve">Institute of Environmental and Water Resource Management, </w:t>
      </w:r>
    </w:p>
    <w:p w:rsidR="007D7114" w:rsidRDefault="007D7114" w:rsidP="00650200">
      <w:pPr>
        <w:spacing w:after="0" w:line="240" w:lineRule="auto"/>
        <w:jc w:val="center"/>
        <w:rPr>
          <w:rFonts w:cs="Times New Roman"/>
          <w:i/>
          <w:sz w:val="18"/>
          <w:szCs w:val="24"/>
          <w:lang w:val="en-CA"/>
        </w:rPr>
      </w:pPr>
      <w:r w:rsidRPr="00C11B61">
        <w:rPr>
          <w:rFonts w:cs="Times New Roman"/>
          <w:i/>
          <w:sz w:val="18"/>
          <w:szCs w:val="24"/>
          <w:lang w:val="en-CA"/>
        </w:rPr>
        <w:t>Universiti Teknologi Malaysia (UTM), 81310, Johor, Malaysia</w:t>
      </w:r>
    </w:p>
    <w:p w:rsidR="006C7F6D" w:rsidRDefault="006C7F6D" w:rsidP="00650200">
      <w:pPr>
        <w:spacing w:after="0" w:line="240" w:lineRule="auto"/>
        <w:jc w:val="center"/>
        <w:rPr>
          <w:rFonts w:cs="Times New Roman"/>
          <w:i/>
          <w:sz w:val="18"/>
          <w:szCs w:val="24"/>
          <w:lang w:val="en-CA"/>
        </w:rPr>
      </w:pPr>
    </w:p>
    <w:p w:rsidR="006C7F6D" w:rsidRDefault="006C7F6D" w:rsidP="00650200">
      <w:pPr>
        <w:spacing w:after="0" w:line="240" w:lineRule="auto"/>
        <w:jc w:val="center"/>
        <w:rPr>
          <w:rFonts w:cs="Times New Roman"/>
          <w:i/>
          <w:sz w:val="18"/>
          <w:szCs w:val="24"/>
          <w:lang w:val="en-CA"/>
        </w:rPr>
      </w:pPr>
      <w:r>
        <w:rPr>
          <w:rFonts w:cs="Times New Roman"/>
          <w:i/>
          <w:sz w:val="18"/>
          <w:szCs w:val="24"/>
          <w:lang w:val="en-CA"/>
        </w:rPr>
        <w:t>*Corresponding author: zaiton@kimia.fs.utm.my</w:t>
      </w:r>
    </w:p>
    <w:p w:rsidR="00650200" w:rsidRPr="00650200" w:rsidRDefault="00650200" w:rsidP="00650200">
      <w:pPr>
        <w:spacing w:after="0" w:line="240" w:lineRule="auto"/>
        <w:jc w:val="center"/>
        <w:rPr>
          <w:rFonts w:cs="Times New Roman"/>
          <w:i/>
          <w:sz w:val="18"/>
          <w:szCs w:val="24"/>
          <w:lang w:val="en-CA"/>
        </w:rPr>
      </w:pPr>
    </w:p>
    <w:p w:rsidR="007D7114" w:rsidRPr="00C64271" w:rsidRDefault="007D7114" w:rsidP="007D7114">
      <w:pPr>
        <w:spacing w:after="0" w:line="240" w:lineRule="auto"/>
        <w:jc w:val="center"/>
        <w:rPr>
          <w:rFonts w:eastAsia="Calibri" w:cs="Times New Roman"/>
          <w:b/>
          <w:sz w:val="18"/>
          <w:szCs w:val="24"/>
        </w:rPr>
      </w:pPr>
      <w:r w:rsidRPr="00C64271">
        <w:rPr>
          <w:rFonts w:eastAsia="Calibri" w:cs="Times New Roman"/>
          <w:b/>
          <w:sz w:val="18"/>
          <w:szCs w:val="24"/>
        </w:rPr>
        <w:t>Abstract</w:t>
      </w:r>
    </w:p>
    <w:p w:rsidR="00650200" w:rsidRDefault="007D7114" w:rsidP="00650200">
      <w:pPr>
        <w:spacing w:after="0" w:line="240" w:lineRule="auto"/>
        <w:jc w:val="both"/>
        <w:rPr>
          <w:rFonts w:cs="Times New Roman"/>
          <w:sz w:val="18"/>
          <w:szCs w:val="16"/>
        </w:rPr>
      </w:pPr>
      <w:r>
        <w:rPr>
          <w:rFonts w:cs="Times New Roman"/>
          <w:sz w:val="18"/>
          <w:szCs w:val="16"/>
        </w:rPr>
        <w:t xml:space="preserve">Studies on the removal of </w:t>
      </w:r>
      <w:r w:rsidRPr="002646AB">
        <w:rPr>
          <w:rFonts w:cs="Times New Roman"/>
          <w:sz w:val="18"/>
          <w:szCs w:val="16"/>
        </w:rPr>
        <w:t xml:space="preserve">frequently used herbicide for controlling broad-leafed weeds, Paraquat Dichloride (PQ) has been carried out intensively. </w:t>
      </w:r>
      <w:r>
        <w:rPr>
          <w:rFonts w:cs="Times New Roman"/>
          <w:sz w:val="18"/>
          <w:szCs w:val="16"/>
        </w:rPr>
        <w:t>W</w:t>
      </w:r>
      <w:r w:rsidRPr="002646AB">
        <w:rPr>
          <w:rFonts w:cs="Times New Roman"/>
          <w:sz w:val="18"/>
          <w:szCs w:val="16"/>
        </w:rPr>
        <w:t>aste from steelmaking industries</w:t>
      </w:r>
      <w:r>
        <w:rPr>
          <w:rFonts w:cs="Times New Roman"/>
          <w:sz w:val="18"/>
          <w:szCs w:val="16"/>
        </w:rPr>
        <w:t xml:space="preserve"> (Electric Arc Furnace (EAF) slag)</w:t>
      </w:r>
      <w:r w:rsidRPr="002646AB">
        <w:rPr>
          <w:rFonts w:cs="Times New Roman"/>
          <w:sz w:val="18"/>
          <w:szCs w:val="16"/>
        </w:rPr>
        <w:t xml:space="preserve"> and natural zeolite</w:t>
      </w:r>
      <w:r>
        <w:rPr>
          <w:rFonts w:cs="Times New Roman"/>
          <w:sz w:val="18"/>
          <w:szCs w:val="16"/>
        </w:rPr>
        <w:t xml:space="preserve"> (clinoptilolite)</w:t>
      </w:r>
      <w:r w:rsidRPr="002646AB">
        <w:rPr>
          <w:rFonts w:cs="Times New Roman"/>
          <w:sz w:val="18"/>
          <w:szCs w:val="16"/>
        </w:rPr>
        <w:t xml:space="preserve"> </w:t>
      </w:r>
      <w:r>
        <w:rPr>
          <w:rFonts w:cs="Times New Roman"/>
          <w:sz w:val="18"/>
          <w:szCs w:val="16"/>
        </w:rPr>
        <w:t>were used as the starting</w:t>
      </w:r>
      <w:r w:rsidRPr="002646AB">
        <w:rPr>
          <w:rFonts w:cs="Times New Roman"/>
          <w:sz w:val="18"/>
          <w:szCs w:val="16"/>
        </w:rPr>
        <w:t xml:space="preserve"> materials. </w:t>
      </w:r>
      <w:r>
        <w:rPr>
          <w:rFonts w:cs="Times New Roman"/>
          <w:sz w:val="18"/>
          <w:szCs w:val="16"/>
        </w:rPr>
        <w:t>Preparation of an adsorbent involved two steps, namely extraction</w:t>
      </w:r>
      <w:r w:rsidRPr="002646AB">
        <w:rPr>
          <w:rFonts w:cs="Times New Roman"/>
          <w:sz w:val="18"/>
          <w:szCs w:val="16"/>
        </w:rPr>
        <w:t xml:space="preserve"> </w:t>
      </w:r>
      <w:r>
        <w:rPr>
          <w:rFonts w:cs="Times New Roman"/>
          <w:sz w:val="18"/>
          <w:szCs w:val="16"/>
        </w:rPr>
        <w:t>iron oxide</w:t>
      </w:r>
      <w:r w:rsidRPr="002646AB">
        <w:rPr>
          <w:rFonts w:cs="Times New Roman"/>
          <w:sz w:val="18"/>
          <w:szCs w:val="16"/>
        </w:rPr>
        <w:t xml:space="preserve"> </w:t>
      </w:r>
      <w:r>
        <w:rPr>
          <w:rFonts w:cs="Times New Roman"/>
          <w:sz w:val="18"/>
          <w:szCs w:val="16"/>
        </w:rPr>
        <w:t>(</w:t>
      </w:r>
      <w:r w:rsidRPr="002646AB">
        <w:rPr>
          <w:rFonts w:cs="Times New Roman"/>
          <w:sz w:val="18"/>
          <w:szCs w:val="16"/>
        </w:rPr>
        <w:t>IO</w:t>
      </w:r>
      <w:r>
        <w:rPr>
          <w:rFonts w:cs="Times New Roman"/>
          <w:sz w:val="18"/>
          <w:szCs w:val="16"/>
        </w:rPr>
        <w:t>) from slag</w:t>
      </w:r>
      <w:r w:rsidRPr="002646AB">
        <w:rPr>
          <w:rFonts w:cs="Times New Roman"/>
          <w:sz w:val="18"/>
          <w:szCs w:val="16"/>
        </w:rPr>
        <w:t xml:space="preserve"> </w:t>
      </w:r>
      <w:r>
        <w:rPr>
          <w:rFonts w:cs="Times New Roman"/>
          <w:sz w:val="18"/>
          <w:szCs w:val="16"/>
        </w:rPr>
        <w:t xml:space="preserve">and </w:t>
      </w:r>
      <w:r>
        <w:rPr>
          <w:rFonts w:cs="Times New Roman"/>
          <w:sz w:val="18"/>
          <w:szCs w:val="18"/>
        </w:rPr>
        <w:t>precipitation of IO onto</w:t>
      </w:r>
      <w:r w:rsidRPr="00025481">
        <w:rPr>
          <w:rFonts w:cs="Times New Roman"/>
          <w:sz w:val="18"/>
          <w:szCs w:val="18"/>
        </w:rPr>
        <w:t xml:space="preserve"> clinoptilolite. Characterization of NZIC were done using Fourier Transform Infrared spectroscopy (FTIR), Scanning Electron Microscopy (SEM), single-point Brunauer Emmett Teller </w:t>
      </w:r>
      <w:r>
        <w:rPr>
          <w:rFonts w:cs="Times New Roman"/>
          <w:sz w:val="18"/>
          <w:szCs w:val="18"/>
        </w:rPr>
        <w:t xml:space="preserve">(BET) surface area analysis, </w:t>
      </w:r>
      <w:r w:rsidRPr="00025481">
        <w:rPr>
          <w:rFonts w:cs="Times New Roman"/>
          <w:sz w:val="18"/>
          <w:szCs w:val="18"/>
        </w:rPr>
        <w:t>Vibrating Sample Magnetometer (VSM)</w:t>
      </w:r>
      <w:r>
        <w:rPr>
          <w:rFonts w:cs="Times New Roman"/>
          <w:sz w:val="18"/>
          <w:szCs w:val="18"/>
        </w:rPr>
        <w:t xml:space="preserve"> and pH at zero point charge (pHzpc). </w:t>
      </w:r>
      <w:r w:rsidRPr="00025481">
        <w:rPr>
          <w:rFonts w:cs="Times New Roman"/>
          <w:sz w:val="18"/>
          <w:szCs w:val="18"/>
        </w:rPr>
        <w:t>The NZIC showed a low</w:t>
      </w:r>
      <w:r>
        <w:rPr>
          <w:rFonts w:cs="Times New Roman"/>
          <w:sz w:val="18"/>
          <w:szCs w:val="18"/>
        </w:rPr>
        <w:t>er</w:t>
      </w:r>
      <w:r w:rsidRPr="00025481">
        <w:rPr>
          <w:rFonts w:cs="Times New Roman"/>
          <w:sz w:val="18"/>
          <w:szCs w:val="18"/>
        </w:rPr>
        <w:t xml:space="preserve"> magnetic saturation at 8.13 emu/g compared to maghemite at 29.5 emu/g</w:t>
      </w:r>
      <w:r>
        <w:rPr>
          <w:rFonts w:cs="Times New Roman"/>
          <w:sz w:val="18"/>
          <w:szCs w:val="18"/>
        </w:rPr>
        <w:t>. The BET surface area of NZIC wa</w:t>
      </w:r>
      <w:r w:rsidRPr="00025481">
        <w:rPr>
          <w:rFonts w:cs="Times New Roman"/>
          <w:sz w:val="18"/>
          <w:szCs w:val="18"/>
        </w:rPr>
        <w:t>s 146.29 m</w:t>
      </w:r>
      <w:r w:rsidRPr="00025481">
        <w:rPr>
          <w:rFonts w:cs="Times New Roman"/>
          <w:sz w:val="18"/>
          <w:szCs w:val="18"/>
          <w:vertAlign w:val="superscript"/>
        </w:rPr>
        <w:t>2</w:t>
      </w:r>
      <w:r w:rsidRPr="00025481">
        <w:rPr>
          <w:rFonts w:cs="Times New Roman"/>
          <w:sz w:val="18"/>
          <w:szCs w:val="18"/>
        </w:rPr>
        <w:t>/g, larger compared to the individual surface area of clinoptilolite and maghemite which are 37.84 and 17.84 m</w:t>
      </w:r>
      <w:r w:rsidRPr="00025481">
        <w:rPr>
          <w:rFonts w:cs="Times New Roman"/>
          <w:sz w:val="18"/>
          <w:szCs w:val="18"/>
          <w:vertAlign w:val="superscript"/>
        </w:rPr>
        <w:t>2</w:t>
      </w:r>
      <w:r w:rsidRPr="00025481">
        <w:rPr>
          <w:rFonts w:cs="Times New Roman"/>
          <w:sz w:val="18"/>
          <w:szCs w:val="18"/>
        </w:rPr>
        <w:t>/g respectively</w:t>
      </w:r>
      <w:r>
        <w:rPr>
          <w:rFonts w:cs="Times New Roman"/>
          <w:sz w:val="18"/>
          <w:szCs w:val="18"/>
        </w:rPr>
        <w:t>.</w:t>
      </w:r>
      <w:r>
        <w:rPr>
          <w:rFonts w:cs="Times New Roman"/>
          <w:sz w:val="18"/>
          <w:szCs w:val="16"/>
        </w:rPr>
        <w:t xml:space="preserve"> A</w:t>
      </w:r>
      <w:r w:rsidRPr="002646AB">
        <w:rPr>
          <w:rFonts w:cs="Times New Roman"/>
          <w:sz w:val="18"/>
          <w:szCs w:val="16"/>
        </w:rPr>
        <w:t xml:space="preserve">dsorption of PQ </w:t>
      </w:r>
      <w:r>
        <w:rPr>
          <w:rFonts w:cs="Times New Roman"/>
          <w:sz w:val="18"/>
          <w:szCs w:val="16"/>
        </w:rPr>
        <w:t>onto clinoptilolite and NZIC were</w:t>
      </w:r>
      <w:r w:rsidRPr="002646AB">
        <w:rPr>
          <w:rFonts w:cs="Times New Roman"/>
          <w:sz w:val="18"/>
          <w:szCs w:val="16"/>
        </w:rPr>
        <w:t xml:space="preserve"> investigate</w:t>
      </w:r>
      <w:r>
        <w:rPr>
          <w:rFonts w:cs="Times New Roman"/>
          <w:sz w:val="18"/>
          <w:szCs w:val="16"/>
        </w:rPr>
        <w:t xml:space="preserve">d using a batch experiment. </w:t>
      </w:r>
      <w:r w:rsidR="00650200">
        <w:rPr>
          <w:rFonts w:cs="Times New Roman"/>
          <w:sz w:val="18"/>
          <w:szCs w:val="18"/>
        </w:rPr>
        <w:t>Surface characteristic</w:t>
      </w:r>
      <w:r>
        <w:rPr>
          <w:rFonts w:cs="Times New Roman"/>
          <w:sz w:val="18"/>
          <w:szCs w:val="18"/>
        </w:rPr>
        <w:t xml:space="preserve"> of NZIC was investigated by </w:t>
      </w:r>
      <w:r w:rsidRPr="00025481">
        <w:rPr>
          <w:rFonts w:cs="Times New Roman"/>
          <w:sz w:val="18"/>
          <w:szCs w:val="18"/>
        </w:rPr>
        <w:t>pH</w:t>
      </w:r>
      <w:r>
        <w:rPr>
          <w:rFonts w:cs="Times New Roman"/>
          <w:sz w:val="18"/>
          <w:szCs w:val="18"/>
        </w:rPr>
        <w:t>zpc</w:t>
      </w:r>
      <w:r w:rsidRPr="00025481">
        <w:rPr>
          <w:rFonts w:cs="Times New Roman"/>
          <w:sz w:val="18"/>
          <w:szCs w:val="18"/>
        </w:rPr>
        <w:t xml:space="preserve"> </w:t>
      </w:r>
      <w:r>
        <w:rPr>
          <w:rFonts w:cs="Times New Roman"/>
          <w:sz w:val="18"/>
          <w:szCs w:val="18"/>
        </w:rPr>
        <w:t>experiment</w:t>
      </w:r>
      <w:r>
        <w:rPr>
          <w:rFonts w:cs="Times New Roman"/>
          <w:sz w:val="18"/>
          <w:szCs w:val="16"/>
        </w:rPr>
        <w:t xml:space="preserve"> showing</w:t>
      </w:r>
      <w:r w:rsidRPr="002646AB">
        <w:rPr>
          <w:rFonts w:cs="Times New Roman"/>
          <w:sz w:val="18"/>
          <w:szCs w:val="16"/>
        </w:rPr>
        <w:t xml:space="preserve"> that at pH 8</w:t>
      </w:r>
      <w:r>
        <w:rPr>
          <w:rFonts w:cs="Times New Roman"/>
          <w:sz w:val="18"/>
          <w:szCs w:val="16"/>
        </w:rPr>
        <w:t>.2</w:t>
      </w:r>
      <w:r w:rsidRPr="002646AB">
        <w:rPr>
          <w:rFonts w:cs="Times New Roman"/>
          <w:sz w:val="18"/>
          <w:szCs w:val="16"/>
        </w:rPr>
        <w:t xml:space="preserve"> its electr</w:t>
      </w:r>
      <w:r>
        <w:rPr>
          <w:rFonts w:cs="Times New Roman"/>
          <w:sz w:val="18"/>
          <w:szCs w:val="16"/>
        </w:rPr>
        <w:t>ic surface charge is zero. O</w:t>
      </w:r>
      <w:r w:rsidRPr="002646AB">
        <w:rPr>
          <w:rFonts w:cs="Times New Roman"/>
          <w:sz w:val="18"/>
          <w:szCs w:val="16"/>
        </w:rPr>
        <w:t>ptimum parameters for adsorption of PQ in water were found at pH 12 with 0.01 g/10 mL of NZIC and equilibrium time of 20 minutes.</w:t>
      </w:r>
      <w:r>
        <w:rPr>
          <w:rFonts w:cs="Times New Roman"/>
          <w:sz w:val="18"/>
          <w:szCs w:val="16"/>
        </w:rPr>
        <w:t xml:space="preserve"> Desorption experiment revealed that </w:t>
      </w:r>
      <w:r w:rsidRPr="002646AB">
        <w:rPr>
          <w:rFonts w:cs="Times New Roman"/>
          <w:sz w:val="18"/>
          <w:szCs w:val="16"/>
        </w:rPr>
        <w:t>NZIC have a good recovery in repetitive usage for PQ removal in water.</w:t>
      </w:r>
    </w:p>
    <w:p w:rsidR="00650200" w:rsidRDefault="00650200" w:rsidP="00650200">
      <w:pPr>
        <w:spacing w:after="0" w:line="240" w:lineRule="auto"/>
        <w:jc w:val="both"/>
        <w:rPr>
          <w:rFonts w:cs="Times New Roman"/>
          <w:sz w:val="18"/>
          <w:szCs w:val="16"/>
        </w:rPr>
      </w:pPr>
    </w:p>
    <w:p w:rsidR="00650200" w:rsidRPr="00650200" w:rsidRDefault="00650200" w:rsidP="00650200">
      <w:pPr>
        <w:spacing w:after="0" w:line="240" w:lineRule="auto"/>
        <w:jc w:val="both"/>
        <w:rPr>
          <w:rFonts w:cs="Times New Roman"/>
          <w:sz w:val="18"/>
          <w:szCs w:val="16"/>
        </w:rPr>
      </w:pPr>
      <w:r w:rsidRPr="00650200">
        <w:rPr>
          <w:rFonts w:eastAsia="Calibri" w:cs="Times New Roman"/>
          <w:b/>
          <w:sz w:val="18"/>
          <w:szCs w:val="24"/>
        </w:rPr>
        <w:t>Keywords</w:t>
      </w:r>
      <w:r>
        <w:rPr>
          <w:rFonts w:eastAsia="Calibri" w:cs="Times New Roman"/>
          <w:sz w:val="18"/>
          <w:szCs w:val="24"/>
        </w:rPr>
        <w:t>: waste, clinoptilolite, iron oxide, paraquat, a</w:t>
      </w:r>
      <w:r w:rsidRPr="00C11B61">
        <w:rPr>
          <w:rFonts w:eastAsia="Calibri" w:cs="Times New Roman"/>
          <w:sz w:val="18"/>
          <w:szCs w:val="24"/>
        </w:rPr>
        <w:t>dsorption</w:t>
      </w:r>
    </w:p>
    <w:p w:rsidR="007D7114" w:rsidRPr="00650200" w:rsidRDefault="007D7114" w:rsidP="007D7114">
      <w:pPr>
        <w:spacing w:after="0" w:line="240" w:lineRule="auto"/>
        <w:jc w:val="both"/>
        <w:rPr>
          <w:rFonts w:cs="Times New Roman"/>
          <w:sz w:val="18"/>
          <w:szCs w:val="16"/>
        </w:rPr>
      </w:pPr>
      <w:r w:rsidRPr="002646AB">
        <w:rPr>
          <w:rFonts w:cs="Times New Roman"/>
          <w:sz w:val="18"/>
          <w:szCs w:val="16"/>
        </w:rPr>
        <w:t xml:space="preserve"> </w:t>
      </w:r>
    </w:p>
    <w:p w:rsidR="007D7114" w:rsidRPr="00650200" w:rsidRDefault="007D7114" w:rsidP="00B00214">
      <w:pPr>
        <w:spacing w:after="0" w:line="240" w:lineRule="auto"/>
        <w:jc w:val="center"/>
        <w:rPr>
          <w:rFonts w:cs="Times New Roman"/>
          <w:sz w:val="18"/>
          <w:szCs w:val="20"/>
        </w:rPr>
      </w:pPr>
      <w:r w:rsidRPr="002646AB">
        <w:rPr>
          <w:rFonts w:cs="Times New Roman"/>
          <w:b/>
          <w:sz w:val="18"/>
          <w:szCs w:val="20"/>
        </w:rPr>
        <w:t>Abstrak</w:t>
      </w:r>
    </w:p>
    <w:p w:rsidR="00650200" w:rsidRDefault="007D7114" w:rsidP="00B002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color w:val="212121"/>
          <w:sz w:val="18"/>
          <w:szCs w:val="18"/>
        </w:rPr>
      </w:pPr>
      <w:r w:rsidRPr="0046035C">
        <w:rPr>
          <w:rFonts w:eastAsia="Times New Roman" w:cs="Times New Roman"/>
          <w:color w:val="212121"/>
          <w:sz w:val="18"/>
          <w:szCs w:val="18"/>
        </w:rPr>
        <w:t xml:space="preserve">Kajian ke atas penghapusan racun </w:t>
      </w:r>
      <w:r w:rsidRPr="004D047D">
        <w:rPr>
          <w:rFonts w:eastAsia="Times New Roman" w:cs="Times New Roman"/>
          <w:color w:val="212121"/>
          <w:sz w:val="18"/>
          <w:szCs w:val="18"/>
        </w:rPr>
        <w:t>rumpai</w:t>
      </w:r>
      <w:r w:rsidRPr="0046035C">
        <w:rPr>
          <w:rFonts w:eastAsia="Times New Roman" w:cs="Times New Roman"/>
          <w:color w:val="212121"/>
          <w:sz w:val="18"/>
          <w:szCs w:val="18"/>
        </w:rPr>
        <w:t xml:space="preserve"> yang sering digunakan untuk mengawal </w:t>
      </w:r>
      <w:r w:rsidRPr="004D047D">
        <w:rPr>
          <w:rFonts w:eastAsia="Times New Roman" w:cs="Times New Roman"/>
          <w:color w:val="212121"/>
          <w:sz w:val="18"/>
          <w:szCs w:val="18"/>
        </w:rPr>
        <w:t>tumbuhan berdaun besar, Paraquat Diklorit</w:t>
      </w:r>
      <w:r w:rsidRPr="0046035C">
        <w:rPr>
          <w:rFonts w:eastAsia="Times New Roman" w:cs="Times New Roman"/>
          <w:color w:val="212121"/>
          <w:sz w:val="18"/>
          <w:szCs w:val="18"/>
        </w:rPr>
        <w:t xml:space="preserve"> (PQ) telah dijalankan secara intensif. Sisa daripada industri keluli dan zeolit </w:t>
      </w:r>
      <w:r w:rsidRPr="004D047D">
        <w:rPr>
          <w:rFonts w:eastAsia="Times New Roman" w:cs="Times New Roman"/>
          <w:color w:val="212121"/>
          <w:sz w:val="18"/>
          <w:szCs w:val="18"/>
        </w:rPr>
        <w:t>asli (klinoptilolit</w:t>
      </w:r>
      <w:r w:rsidRPr="0046035C">
        <w:rPr>
          <w:rFonts w:eastAsia="Times New Roman" w:cs="Times New Roman"/>
          <w:color w:val="212121"/>
          <w:sz w:val="18"/>
          <w:szCs w:val="18"/>
        </w:rPr>
        <w:t>) telah d</w:t>
      </w:r>
      <w:r w:rsidRPr="004D047D">
        <w:rPr>
          <w:rFonts w:eastAsia="Times New Roman" w:cs="Times New Roman"/>
          <w:color w:val="212121"/>
          <w:sz w:val="18"/>
          <w:szCs w:val="18"/>
        </w:rPr>
        <w:t>igunakan sebagai bahan mentah</w:t>
      </w:r>
      <w:r w:rsidRPr="0046035C">
        <w:rPr>
          <w:rFonts w:eastAsia="Times New Roman" w:cs="Times New Roman"/>
          <w:color w:val="212121"/>
          <w:sz w:val="18"/>
          <w:szCs w:val="18"/>
        </w:rPr>
        <w:t xml:space="preserve">. Elektrik relau arka (EAF) sanga </w:t>
      </w:r>
      <w:r w:rsidRPr="004D047D">
        <w:rPr>
          <w:rFonts w:eastAsia="Times New Roman" w:cs="Times New Roman"/>
          <w:color w:val="212121"/>
          <w:sz w:val="18"/>
          <w:szCs w:val="18"/>
        </w:rPr>
        <w:t>mengandungi logam oksida</w:t>
      </w:r>
      <w:r w:rsidRPr="0046035C">
        <w:rPr>
          <w:rFonts w:eastAsia="Times New Roman" w:cs="Times New Roman"/>
          <w:color w:val="212121"/>
          <w:sz w:val="18"/>
          <w:szCs w:val="18"/>
        </w:rPr>
        <w:t xml:space="preserve"> berharga seperti oksida besi (IO) yang </w:t>
      </w:r>
      <w:r>
        <w:rPr>
          <w:rFonts w:eastAsia="Times New Roman" w:cs="Times New Roman"/>
          <w:color w:val="212121"/>
          <w:sz w:val="18"/>
          <w:szCs w:val="18"/>
        </w:rPr>
        <w:t>merangkumi 37% (w/</w:t>
      </w:r>
      <w:r w:rsidRPr="0046035C">
        <w:rPr>
          <w:rFonts w:eastAsia="Times New Roman" w:cs="Times New Roman"/>
          <w:color w:val="212121"/>
          <w:sz w:val="18"/>
          <w:szCs w:val="18"/>
        </w:rPr>
        <w:t xml:space="preserve">w) sanga. Kajian </w:t>
      </w:r>
      <w:r w:rsidRPr="004D047D">
        <w:rPr>
          <w:rFonts w:eastAsia="Times New Roman" w:cs="Times New Roman"/>
          <w:color w:val="212121"/>
          <w:sz w:val="18"/>
          <w:szCs w:val="18"/>
        </w:rPr>
        <w:t>ini memberi tumpuan untuk</w:t>
      </w:r>
      <w:r>
        <w:rPr>
          <w:rFonts w:eastAsia="Times New Roman" w:cs="Times New Roman"/>
          <w:color w:val="212121"/>
          <w:sz w:val="18"/>
          <w:szCs w:val="18"/>
        </w:rPr>
        <w:t xml:space="preserve"> mengekstrak IO</w:t>
      </w:r>
      <w:r w:rsidRPr="0046035C">
        <w:rPr>
          <w:rFonts w:eastAsia="Times New Roman" w:cs="Times New Roman"/>
          <w:color w:val="212121"/>
          <w:sz w:val="18"/>
          <w:szCs w:val="18"/>
        </w:rPr>
        <w:t xml:space="preserve"> dan </w:t>
      </w:r>
      <w:r w:rsidRPr="004D047D">
        <w:rPr>
          <w:rFonts w:eastAsia="Times New Roman" w:cs="Times New Roman"/>
          <w:color w:val="212121"/>
          <w:sz w:val="18"/>
          <w:szCs w:val="18"/>
        </w:rPr>
        <w:t>pemendakan</w:t>
      </w:r>
      <w:r w:rsidRPr="0046035C">
        <w:rPr>
          <w:rFonts w:eastAsia="Times New Roman" w:cs="Times New Roman"/>
          <w:color w:val="212121"/>
          <w:sz w:val="18"/>
          <w:szCs w:val="18"/>
        </w:rPr>
        <w:t xml:space="preserve"> </w:t>
      </w:r>
      <w:r w:rsidRPr="004D047D">
        <w:rPr>
          <w:rFonts w:eastAsia="Times New Roman" w:cs="Times New Roman"/>
          <w:color w:val="212121"/>
          <w:sz w:val="18"/>
          <w:szCs w:val="18"/>
        </w:rPr>
        <w:t>ke atas k</w:t>
      </w:r>
      <w:r w:rsidRPr="0046035C">
        <w:rPr>
          <w:rFonts w:eastAsia="Times New Roman" w:cs="Times New Roman"/>
          <w:color w:val="212121"/>
          <w:sz w:val="18"/>
          <w:szCs w:val="18"/>
        </w:rPr>
        <w:t>li</w:t>
      </w:r>
      <w:r w:rsidRPr="004D047D">
        <w:rPr>
          <w:rFonts w:eastAsia="Times New Roman" w:cs="Times New Roman"/>
          <w:color w:val="212121"/>
          <w:sz w:val="18"/>
          <w:szCs w:val="18"/>
        </w:rPr>
        <w:t>noptilolit</w:t>
      </w:r>
      <w:r>
        <w:rPr>
          <w:rFonts w:eastAsia="Times New Roman" w:cs="Times New Roman"/>
          <w:color w:val="212121"/>
          <w:sz w:val="18"/>
          <w:szCs w:val="18"/>
        </w:rPr>
        <w:t>. Penyediaan Zeolit</w:t>
      </w:r>
      <w:r w:rsidRPr="0046035C">
        <w:rPr>
          <w:rFonts w:eastAsia="Times New Roman" w:cs="Times New Roman"/>
          <w:color w:val="212121"/>
          <w:sz w:val="18"/>
          <w:szCs w:val="18"/>
        </w:rPr>
        <w:t xml:space="preserve">-Besi Oksida Komposit (NZIC) melibatkan dua langkah mudah iaitu pengekstrakan IO dari </w:t>
      </w:r>
      <w:r w:rsidRPr="004D047D">
        <w:rPr>
          <w:rFonts w:eastAsia="Times New Roman" w:cs="Times New Roman"/>
          <w:color w:val="212121"/>
          <w:sz w:val="18"/>
          <w:szCs w:val="18"/>
        </w:rPr>
        <w:t xml:space="preserve">sanga EAF dan pemendakan IO ke </w:t>
      </w:r>
      <w:r>
        <w:rPr>
          <w:rFonts w:eastAsia="Times New Roman" w:cs="Times New Roman"/>
          <w:color w:val="212121"/>
          <w:sz w:val="18"/>
          <w:szCs w:val="18"/>
        </w:rPr>
        <w:t xml:space="preserve">atas </w:t>
      </w:r>
      <w:r w:rsidRPr="004D047D">
        <w:rPr>
          <w:rFonts w:eastAsia="Times New Roman" w:cs="Times New Roman"/>
          <w:color w:val="212121"/>
          <w:sz w:val="18"/>
          <w:szCs w:val="18"/>
        </w:rPr>
        <w:t>klinoptilolit</w:t>
      </w:r>
      <w:r w:rsidRPr="0046035C">
        <w:rPr>
          <w:rFonts w:eastAsia="Times New Roman" w:cs="Times New Roman"/>
          <w:color w:val="212121"/>
          <w:sz w:val="18"/>
          <w:szCs w:val="18"/>
        </w:rPr>
        <w:t>. Pencirian NZIC telah dilakukan dengan</w:t>
      </w:r>
      <w:r w:rsidRPr="004D047D">
        <w:rPr>
          <w:rFonts w:eastAsia="Times New Roman" w:cs="Times New Roman"/>
          <w:color w:val="212121"/>
          <w:sz w:val="18"/>
          <w:szCs w:val="18"/>
        </w:rPr>
        <w:t xml:space="preserve"> menggunakan Fourier Transform I</w:t>
      </w:r>
      <w:r w:rsidRPr="0046035C">
        <w:rPr>
          <w:rFonts w:eastAsia="Times New Roman" w:cs="Times New Roman"/>
          <w:color w:val="212121"/>
          <w:sz w:val="18"/>
          <w:szCs w:val="18"/>
        </w:rPr>
        <w:t xml:space="preserve">nframerah </w:t>
      </w:r>
      <w:r w:rsidRPr="004D047D">
        <w:rPr>
          <w:rFonts w:eastAsia="Times New Roman" w:cs="Times New Roman"/>
          <w:color w:val="212121"/>
          <w:sz w:val="18"/>
          <w:szCs w:val="18"/>
        </w:rPr>
        <w:t>S</w:t>
      </w:r>
      <w:r w:rsidRPr="0046035C">
        <w:rPr>
          <w:rFonts w:eastAsia="Times New Roman" w:cs="Times New Roman"/>
          <w:color w:val="212121"/>
          <w:sz w:val="18"/>
          <w:szCs w:val="18"/>
        </w:rPr>
        <w:t xml:space="preserve">pektroskopi (FTIR), Imbasan Elektron Mikroskopi (SEM), </w:t>
      </w:r>
      <w:r w:rsidRPr="004D047D">
        <w:rPr>
          <w:rFonts w:eastAsia="Times New Roman" w:cs="Times New Roman"/>
          <w:color w:val="212121"/>
          <w:sz w:val="18"/>
          <w:szCs w:val="18"/>
        </w:rPr>
        <w:t xml:space="preserve">analisis kawasan permukaan </w:t>
      </w:r>
      <w:r w:rsidRPr="0046035C">
        <w:rPr>
          <w:rFonts w:eastAsia="Times New Roman" w:cs="Times New Roman"/>
          <w:color w:val="212121"/>
          <w:sz w:val="18"/>
          <w:szCs w:val="18"/>
        </w:rPr>
        <w:t>Brunauer Emmett T</w:t>
      </w:r>
      <w:r>
        <w:rPr>
          <w:rFonts w:eastAsia="Times New Roman" w:cs="Times New Roman"/>
          <w:color w:val="212121"/>
          <w:sz w:val="18"/>
          <w:szCs w:val="18"/>
        </w:rPr>
        <w:t xml:space="preserve">eller (BET), </w:t>
      </w:r>
      <w:r w:rsidRPr="004D047D">
        <w:rPr>
          <w:rFonts w:eastAsia="Times New Roman" w:cs="Times New Roman"/>
          <w:color w:val="212121"/>
          <w:sz w:val="18"/>
          <w:szCs w:val="18"/>
        </w:rPr>
        <w:t>Vibrating Sample M</w:t>
      </w:r>
      <w:r w:rsidRPr="0046035C">
        <w:rPr>
          <w:rFonts w:eastAsia="Times New Roman" w:cs="Times New Roman"/>
          <w:color w:val="212121"/>
          <w:sz w:val="18"/>
          <w:szCs w:val="18"/>
        </w:rPr>
        <w:t>agnetometer (VSM)</w:t>
      </w:r>
      <w:r>
        <w:rPr>
          <w:rFonts w:eastAsia="Times New Roman" w:cs="Times New Roman"/>
          <w:color w:val="212121"/>
          <w:sz w:val="18"/>
          <w:szCs w:val="18"/>
        </w:rPr>
        <w:t xml:space="preserve"> dan </w:t>
      </w:r>
      <w:r w:rsidRPr="004D047D">
        <w:rPr>
          <w:rFonts w:eastAsia="Times New Roman" w:cs="Times New Roman"/>
          <w:color w:val="212121"/>
          <w:sz w:val="18"/>
          <w:szCs w:val="18"/>
        </w:rPr>
        <w:t>p</w:t>
      </w:r>
      <w:r w:rsidRPr="0046035C">
        <w:rPr>
          <w:rFonts w:eastAsia="Times New Roman" w:cs="Times New Roman"/>
          <w:color w:val="212121"/>
          <w:sz w:val="18"/>
          <w:szCs w:val="18"/>
        </w:rPr>
        <w:t xml:space="preserve">H di caj titik sifar (pHzpc). NZIC menunjukkan </w:t>
      </w:r>
      <w:r w:rsidRPr="004D047D">
        <w:rPr>
          <w:rFonts w:eastAsia="Times New Roman" w:cs="Times New Roman"/>
          <w:color w:val="212121"/>
          <w:sz w:val="18"/>
          <w:szCs w:val="18"/>
        </w:rPr>
        <w:t>ketepuan</w:t>
      </w:r>
      <w:r w:rsidRPr="0046035C">
        <w:rPr>
          <w:rFonts w:eastAsia="Times New Roman" w:cs="Times New Roman"/>
          <w:color w:val="212121"/>
          <w:sz w:val="18"/>
          <w:szCs w:val="18"/>
        </w:rPr>
        <w:t xml:space="preserve"> m</w:t>
      </w:r>
      <w:r w:rsidRPr="004D047D">
        <w:rPr>
          <w:rFonts w:eastAsia="Times New Roman" w:cs="Times New Roman"/>
          <w:color w:val="212121"/>
          <w:sz w:val="18"/>
          <w:szCs w:val="18"/>
        </w:rPr>
        <w:t xml:space="preserve">agnet yang rendah </w:t>
      </w:r>
      <w:r>
        <w:rPr>
          <w:rFonts w:eastAsia="Times New Roman" w:cs="Times New Roman"/>
          <w:color w:val="212121"/>
          <w:sz w:val="18"/>
          <w:szCs w:val="18"/>
        </w:rPr>
        <w:t xml:space="preserve">iaitu </w:t>
      </w:r>
      <w:r w:rsidRPr="004D047D">
        <w:rPr>
          <w:rFonts w:eastAsia="Times New Roman" w:cs="Times New Roman"/>
          <w:color w:val="212121"/>
          <w:sz w:val="18"/>
          <w:szCs w:val="18"/>
        </w:rPr>
        <w:t>pada 8.13 emu/g berbanding maghemite dengan ketepuan magnet</w:t>
      </w:r>
      <w:r w:rsidRPr="0046035C">
        <w:rPr>
          <w:rFonts w:eastAsia="Times New Roman" w:cs="Times New Roman"/>
          <w:color w:val="212121"/>
          <w:sz w:val="18"/>
          <w:szCs w:val="18"/>
        </w:rPr>
        <w:t xml:space="preserve"> 29.5 emu</w:t>
      </w:r>
      <w:r w:rsidRPr="004D047D">
        <w:rPr>
          <w:rFonts w:eastAsia="Times New Roman" w:cs="Times New Roman"/>
          <w:color w:val="212121"/>
          <w:sz w:val="18"/>
          <w:szCs w:val="18"/>
        </w:rPr>
        <w:t>/</w:t>
      </w:r>
      <w:r w:rsidRPr="0046035C">
        <w:rPr>
          <w:rFonts w:eastAsia="Times New Roman" w:cs="Times New Roman"/>
          <w:color w:val="212121"/>
          <w:sz w:val="18"/>
          <w:szCs w:val="18"/>
        </w:rPr>
        <w:t xml:space="preserve">g. Kawasan permukaan BET </w:t>
      </w:r>
      <w:r w:rsidRPr="004D047D">
        <w:rPr>
          <w:rFonts w:eastAsia="Times New Roman" w:cs="Times New Roman"/>
          <w:color w:val="212121"/>
          <w:sz w:val="18"/>
          <w:szCs w:val="18"/>
        </w:rPr>
        <w:t>untuk NZIC adalah 146.</w:t>
      </w:r>
      <w:r w:rsidRPr="0046035C">
        <w:rPr>
          <w:rFonts w:eastAsia="Times New Roman" w:cs="Times New Roman"/>
          <w:color w:val="212121"/>
          <w:sz w:val="18"/>
          <w:szCs w:val="18"/>
        </w:rPr>
        <w:t>29 m</w:t>
      </w:r>
      <w:r w:rsidRPr="0046035C">
        <w:rPr>
          <w:rFonts w:eastAsia="Times New Roman" w:cs="Times New Roman"/>
          <w:color w:val="212121"/>
          <w:sz w:val="18"/>
          <w:szCs w:val="18"/>
          <w:vertAlign w:val="superscript"/>
        </w:rPr>
        <w:t>2</w:t>
      </w:r>
      <w:r w:rsidRPr="004D047D">
        <w:rPr>
          <w:rFonts w:eastAsia="Times New Roman" w:cs="Times New Roman"/>
          <w:color w:val="212121"/>
          <w:sz w:val="18"/>
          <w:szCs w:val="18"/>
        </w:rPr>
        <w:t>/</w:t>
      </w:r>
      <w:r w:rsidRPr="0046035C">
        <w:rPr>
          <w:rFonts w:eastAsia="Times New Roman" w:cs="Times New Roman"/>
          <w:color w:val="212121"/>
          <w:sz w:val="18"/>
          <w:szCs w:val="18"/>
        </w:rPr>
        <w:t>g, lebih besar berbanding den</w:t>
      </w:r>
      <w:r w:rsidRPr="004D047D">
        <w:rPr>
          <w:rFonts w:eastAsia="Times New Roman" w:cs="Times New Roman"/>
          <w:color w:val="212121"/>
          <w:sz w:val="18"/>
          <w:szCs w:val="18"/>
        </w:rPr>
        <w:t>gan kawasan permukaan individu klinoptilolit dan maghemite, 37.84 dan 17.84 m</w:t>
      </w:r>
      <w:r w:rsidRPr="004D047D">
        <w:rPr>
          <w:rFonts w:eastAsia="Times New Roman" w:cs="Times New Roman"/>
          <w:color w:val="212121"/>
          <w:sz w:val="18"/>
          <w:szCs w:val="18"/>
          <w:vertAlign w:val="superscript"/>
        </w:rPr>
        <w:t>2</w:t>
      </w:r>
      <w:r w:rsidRPr="004D047D">
        <w:rPr>
          <w:rFonts w:eastAsia="Times New Roman" w:cs="Times New Roman"/>
          <w:color w:val="212121"/>
          <w:sz w:val="18"/>
          <w:szCs w:val="18"/>
        </w:rPr>
        <w:t>/</w:t>
      </w:r>
      <w:r w:rsidRPr="0046035C">
        <w:rPr>
          <w:rFonts w:eastAsia="Times New Roman" w:cs="Times New Roman"/>
          <w:color w:val="212121"/>
          <w:sz w:val="18"/>
          <w:szCs w:val="18"/>
        </w:rPr>
        <w:t>g masing-masing</w:t>
      </w:r>
      <w:r w:rsidRPr="004D047D">
        <w:rPr>
          <w:rFonts w:eastAsia="Times New Roman" w:cs="Times New Roman"/>
          <w:color w:val="212121"/>
          <w:sz w:val="18"/>
          <w:szCs w:val="18"/>
        </w:rPr>
        <w:t>.</w:t>
      </w:r>
      <w:r w:rsidRPr="0046035C">
        <w:rPr>
          <w:rFonts w:eastAsia="Times New Roman" w:cs="Times New Roman"/>
          <w:color w:val="212121"/>
          <w:sz w:val="18"/>
          <w:szCs w:val="18"/>
        </w:rPr>
        <w:t xml:space="preserve"> </w:t>
      </w:r>
      <w:r w:rsidRPr="004D047D">
        <w:rPr>
          <w:rFonts w:eastAsia="Times New Roman" w:cs="Times New Roman"/>
          <w:color w:val="212121"/>
          <w:sz w:val="18"/>
          <w:szCs w:val="18"/>
        </w:rPr>
        <w:t>Penjerapan PQ ke atas klipnotilolit</w:t>
      </w:r>
      <w:r w:rsidRPr="0046035C">
        <w:rPr>
          <w:rFonts w:eastAsia="Times New Roman" w:cs="Times New Roman"/>
          <w:color w:val="212121"/>
          <w:sz w:val="18"/>
          <w:szCs w:val="18"/>
        </w:rPr>
        <w:t xml:space="preserve"> dan NZIC telah disiasat men</w:t>
      </w:r>
      <w:r>
        <w:rPr>
          <w:rFonts w:eastAsia="Times New Roman" w:cs="Times New Roman"/>
          <w:color w:val="212121"/>
          <w:sz w:val="18"/>
          <w:szCs w:val="18"/>
        </w:rPr>
        <w:t>ggunakan eksperimen kumpulan. pHzpc</w:t>
      </w:r>
      <w:r w:rsidRPr="0046035C">
        <w:rPr>
          <w:rFonts w:eastAsia="Times New Roman" w:cs="Times New Roman"/>
          <w:color w:val="212121"/>
          <w:sz w:val="18"/>
          <w:szCs w:val="18"/>
        </w:rPr>
        <w:t xml:space="preserve"> </w:t>
      </w:r>
      <w:r w:rsidRPr="004D047D">
        <w:rPr>
          <w:rFonts w:eastAsia="Times New Roman" w:cs="Times New Roman"/>
          <w:color w:val="212121"/>
          <w:sz w:val="18"/>
          <w:szCs w:val="18"/>
        </w:rPr>
        <w:t>untuk</w:t>
      </w:r>
      <w:r w:rsidRPr="0046035C">
        <w:rPr>
          <w:rFonts w:eastAsia="Times New Roman" w:cs="Times New Roman"/>
          <w:color w:val="212121"/>
          <w:sz w:val="18"/>
          <w:szCs w:val="18"/>
        </w:rPr>
        <w:t xml:space="preserve"> NZIC </w:t>
      </w:r>
      <w:r w:rsidRPr="004D047D">
        <w:rPr>
          <w:rFonts w:eastAsia="Times New Roman" w:cs="Times New Roman"/>
          <w:color w:val="212121"/>
          <w:sz w:val="18"/>
          <w:szCs w:val="18"/>
        </w:rPr>
        <w:t xml:space="preserve">adalah pada pH 8.2 di mana caj permukaannya adalah seimbang. </w:t>
      </w:r>
      <w:r w:rsidRPr="0046035C">
        <w:rPr>
          <w:rFonts w:eastAsia="Times New Roman" w:cs="Times New Roman"/>
          <w:color w:val="212121"/>
          <w:sz w:val="18"/>
          <w:szCs w:val="18"/>
        </w:rPr>
        <w:t>Parameter optimum untuk penjerapan PQ dalam air didapati pada pH 12 dengan 0.01 g</w:t>
      </w:r>
      <w:r w:rsidRPr="004D047D">
        <w:rPr>
          <w:rFonts w:eastAsia="Times New Roman" w:cs="Times New Roman"/>
          <w:color w:val="212121"/>
          <w:sz w:val="18"/>
          <w:szCs w:val="18"/>
        </w:rPr>
        <w:t>/</w:t>
      </w:r>
      <w:r w:rsidRPr="0046035C">
        <w:rPr>
          <w:rFonts w:eastAsia="Times New Roman" w:cs="Times New Roman"/>
          <w:color w:val="212121"/>
          <w:sz w:val="18"/>
          <w:szCs w:val="18"/>
        </w:rPr>
        <w:t xml:space="preserve">10 mL NZIC dan keseimbangan </w:t>
      </w:r>
      <w:r w:rsidRPr="004D047D">
        <w:rPr>
          <w:rFonts w:eastAsia="Times New Roman" w:cs="Times New Roman"/>
          <w:color w:val="212121"/>
          <w:sz w:val="18"/>
          <w:szCs w:val="18"/>
        </w:rPr>
        <w:t xml:space="preserve">masa iaitu 20 minit. </w:t>
      </w:r>
      <w:r>
        <w:rPr>
          <w:rFonts w:eastAsia="Times New Roman" w:cs="Times New Roman"/>
          <w:color w:val="212121"/>
          <w:sz w:val="18"/>
          <w:szCs w:val="18"/>
        </w:rPr>
        <w:t xml:space="preserve">Eksperimen penyaherapan menunjukkan </w:t>
      </w:r>
      <w:r w:rsidRPr="0046035C">
        <w:rPr>
          <w:rFonts w:eastAsia="Times New Roman" w:cs="Times New Roman"/>
          <w:color w:val="212121"/>
          <w:sz w:val="18"/>
          <w:szCs w:val="18"/>
        </w:rPr>
        <w:t xml:space="preserve">NZIC mempunyai </w:t>
      </w:r>
      <w:r w:rsidRPr="004D047D">
        <w:rPr>
          <w:rFonts w:eastAsia="Times New Roman" w:cs="Times New Roman"/>
          <w:color w:val="212121"/>
          <w:sz w:val="18"/>
          <w:szCs w:val="18"/>
        </w:rPr>
        <w:t xml:space="preserve">kadar </w:t>
      </w:r>
      <w:r w:rsidRPr="0046035C">
        <w:rPr>
          <w:rFonts w:eastAsia="Times New Roman" w:cs="Times New Roman"/>
          <w:color w:val="212121"/>
          <w:sz w:val="18"/>
          <w:szCs w:val="18"/>
        </w:rPr>
        <w:t>pemulihan yang baik dalam penggunaan berulang-</w:t>
      </w:r>
      <w:r w:rsidRPr="004D047D">
        <w:rPr>
          <w:rFonts w:eastAsia="Times New Roman" w:cs="Times New Roman"/>
          <w:color w:val="212121"/>
          <w:sz w:val="18"/>
          <w:szCs w:val="18"/>
        </w:rPr>
        <w:t>dalam penyingkiran</w:t>
      </w:r>
      <w:r w:rsidRPr="0046035C">
        <w:rPr>
          <w:rFonts w:eastAsia="Times New Roman" w:cs="Times New Roman"/>
          <w:color w:val="212121"/>
          <w:sz w:val="18"/>
          <w:szCs w:val="18"/>
        </w:rPr>
        <w:t xml:space="preserve"> PQ </w:t>
      </w:r>
      <w:r w:rsidRPr="004D047D">
        <w:rPr>
          <w:rFonts w:eastAsia="Times New Roman" w:cs="Times New Roman"/>
          <w:color w:val="212121"/>
          <w:sz w:val="18"/>
          <w:szCs w:val="18"/>
        </w:rPr>
        <w:t xml:space="preserve">di </w:t>
      </w:r>
      <w:r w:rsidRPr="0046035C">
        <w:rPr>
          <w:rFonts w:eastAsia="Times New Roman" w:cs="Times New Roman"/>
          <w:color w:val="212121"/>
          <w:sz w:val="18"/>
          <w:szCs w:val="18"/>
        </w:rPr>
        <w:t>dalam air.</w:t>
      </w:r>
    </w:p>
    <w:p w:rsidR="00650200" w:rsidRDefault="00650200" w:rsidP="00B002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color w:val="212121"/>
          <w:sz w:val="18"/>
          <w:szCs w:val="18"/>
        </w:rPr>
      </w:pPr>
    </w:p>
    <w:p w:rsidR="00650200" w:rsidRDefault="00650200" w:rsidP="00B002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color w:val="212121"/>
          <w:sz w:val="18"/>
          <w:szCs w:val="18"/>
        </w:rPr>
      </w:pPr>
      <w:r w:rsidRPr="00650200">
        <w:rPr>
          <w:rFonts w:eastAsia="Calibri" w:cs="Times New Roman"/>
          <w:b/>
          <w:sz w:val="18"/>
          <w:szCs w:val="24"/>
        </w:rPr>
        <w:t>K</w:t>
      </w:r>
      <w:r>
        <w:rPr>
          <w:rFonts w:eastAsia="Calibri" w:cs="Times New Roman"/>
          <w:b/>
          <w:sz w:val="18"/>
          <w:szCs w:val="24"/>
        </w:rPr>
        <w:t>ata kunci</w:t>
      </w:r>
      <w:r>
        <w:rPr>
          <w:rFonts w:eastAsia="Calibri" w:cs="Times New Roman"/>
          <w:sz w:val="18"/>
          <w:szCs w:val="24"/>
        </w:rPr>
        <w:t>: sisa, klinoptilolit, ferum oksida, paraquat, penjerapan</w:t>
      </w:r>
    </w:p>
    <w:p w:rsidR="00783B21" w:rsidRPr="00783B21" w:rsidRDefault="00783B21" w:rsidP="00783B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color w:val="212121"/>
          <w:sz w:val="18"/>
          <w:szCs w:val="18"/>
        </w:rPr>
      </w:pPr>
    </w:p>
    <w:p w:rsidR="00783B21" w:rsidRPr="00783B21" w:rsidRDefault="00783B21" w:rsidP="00B00214">
      <w:pPr>
        <w:spacing w:after="0" w:line="240" w:lineRule="auto"/>
        <w:jc w:val="center"/>
        <w:rPr>
          <w:rFonts w:cs="Times New Roman"/>
          <w:b/>
          <w:szCs w:val="24"/>
        </w:rPr>
      </w:pPr>
      <w:r w:rsidRPr="00783B21">
        <w:rPr>
          <w:rFonts w:cs="Times New Roman"/>
          <w:b/>
          <w:szCs w:val="24"/>
        </w:rPr>
        <w:t>Introduction</w:t>
      </w:r>
    </w:p>
    <w:p w:rsidR="00783B21" w:rsidRDefault="00783B21" w:rsidP="00B00214">
      <w:pPr>
        <w:pStyle w:val="TAMainText"/>
        <w:spacing w:line="240" w:lineRule="auto"/>
        <w:ind w:firstLine="0"/>
        <w:rPr>
          <w:sz w:val="20"/>
        </w:rPr>
      </w:pPr>
      <w:r w:rsidRPr="00783B21">
        <w:rPr>
          <w:rFonts w:ascii="Times New Roman" w:hAnsi="Times New Roman"/>
          <w:sz w:val="20"/>
        </w:rPr>
        <w:t>Paraquat (1,1’-dimethyl-4,4’-bipyridinium) is a highly effective herbicide used to control weeds and grass in agricultural area. Commonly, farmers tend to spray the diluted herbicides to the plant area and eventually the excess PQ may reach the source of fresh water by leaching from soil. Paraquat (PQ</w:t>
      </w:r>
      <w:r>
        <w:rPr>
          <w:rFonts w:ascii="Times New Roman" w:hAnsi="Times New Roman"/>
          <w:sz w:val="20"/>
        </w:rPr>
        <w:t>) is hydrophilic compound and</w:t>
      </w:r>
      <w:r w:rsidRPr="00783B21">
        <w:rPr>
          <w:rFonts w:ascii="Times New Roman" w:hAnsi="Times New Roman"/>
          <w:sz w:val="20"/>
        </w:rPr>
        <w:t xml:space="preserve"> it is highly soluble in water. Paraquat is classified as toxic to human and environment. The maximum concentration level (MCL) of PQ in drinking water is 20 µg/L according to United States Environmental Protection Agency (USEPA).</w:t>
      </w:r>
      <w:r>
        <w:rPr>
          <w:rFonts w:ascii="Times New Roman" w:hAnsi="Times New Roman"/>
          <w:sz w:val="20"/>
        </w:rPr>
        <w:t xml:space="preserve"> </w:t>
      </w:r>
      <w:r>
        <w:rPr>
          <w:sz w:val="20"/>
        </w:rPr>
        <w:t xml:space="preserve">Hence, efficient method for pesticides removal in water is constantly being researched. Various techniques has been research including adsorption [1, 2] and advanced oxidation process </w:t>
      </w:r>
      <w:r>
        <w:rPr>
          <w:sz w:val="20"/>
        </w:rPr>
        <w:lastRenderedPageBreak/>
        <w:t xml:space="preserve">(AOP) via catalyst and Fenton [3-5]. Adsorption is considered a feasible method for pesticides removal due to its simplicity, cost-effectiveness and high removal. </w:t>
      </w:r>
    </w:p>
    <w:p w:rsidR="006C7F6D" w:rsidRDefault="006C7F6D" w:rsidP="00B00214">
      <w:pPr>
        <w:pStyle w:val="TAMainText"/>
        <w:spacing w:line="240" w:lineRule="auto"/>
        <w:ind w:firstLine="0"/>
        <w:rPr>
          <w:sz w:val="20"/>
        </w:rPr>
      </w:pPr>
    </w:p>
    <w:p w:rsidR="00783B21" w:rsidRPr="00783B21" w:rsidRDefault="00783B21" w:rsidP="00B00214">
      <w:pPr>
        <w:pStyle w:val="TAMainText"/>
        <w:spacing w:line="240" w:lineRule="auto"/>
        <w:ind w:firstLine="0"/>
        <w:rPr>
          <w:rFonts w:ascii="Times New Roman" w:hAnsi="Times New Roman"/>
          <w:sz w:val="22"/>
        </w:rPr>
      </w:pPr>
      <w:r w:rsidRPr="00783B21">
        <w:rPr>
          <w:rFonts w:ascii="Times New Roman" w:hAnsi="Times New Roman"/>
          <w:sz w:val="20"/>
        </w:rPr>
        <w:t>The use of agricultural and industrial waste as precursors in the preparation of adsorbent constantly studied. In this study, electric arc furnace (EAF) slag and clinoptilolite were used as the starting materials for the production of an</w:t>
      </w:r>
      <w:r>
        <w:rPr>
          <w:rFonts w:ascii="Times New Roman" w:hAnsi="Times New Roman"/>
          <w:sz w:val="20"/>
        </w:rPr>
        <w:t xml:space="preserve"> </w:t>
      </w:r>
      <w:r w:rsidRPr="00783B21">
        <w:rPr>
          <w:rFonts w:ascii="Times New Roman" w:hAnsi="Times New Roman"/>
          <w:sz w:val="20"/>
        </w:rPr>
        <w:t xml:space="preserve">adsorbent. </w:t>
      </w:r>
      <w:r w:rsidRPr="00783B21">
        <w:rPr>
          <w:rFonts w:ascii="Times New Roman" w:eastAsia="AdvTimes" w:hAnsi="Times New Roman"/>
          <w:sz w:val="20"/>
        </w:rPr>
        <w:t>N</w:t>
      </w:r>
      <w:r w:rsidRPr="00783B21">
        <w:rPr>
          <w:rFonts w:ascii="Times New Roman" w:hAnsi="Times New Roman"/>
          <w:sz w:val="20"/>
        </w:rPr>
        <w:t xml:space="preserve">atural </w:t>
      </w:r>
      <w:r>
        <w:rPr>
          <w:rFonts w:ascii="Times New Roman" w:hAnsi="Times New Roman"/>
          <w:sz w:val="20"/>
        </w:rPr>
        <w:t>zeolite namely clinoptilolite</w:t>
      </w:r>
      <w:r w:rsidRPr="00783B21">
        <w:rPr>
          <w:rFonts w:ascii="Times New Roman" w:hAnsi="Times New Roman"/>
          <w:sz w:val="20"/>
        </w:rPr>
        <w:t xml:space="preserve"> is a </w:t>
      </w:r>
      <w:r w:rsidRPr="00783B21">
        <w:rPr>
          <w:rFonts w:ascii="Times New Roman" w:eastAsia="AdvTimes" w:hAnsi="Times New Roman"/>
          <w:sz w:val="20"/>
        </w:rPr>
        <w:t>cation exchanger and have high selectivity properties. The selectivity and size exclusion of zeolite offers more effective removal of PQ. The performance of synthetic and natural zeolite in removing contaminants is not much different [6]. Zeolite</w:t>
      </w:r>
      <w:r>
        <w:rPr>
          <w:rFonts w:ascii="Times New Roman" w:eastAsia="AdvTimes" w:hAnsi="Times New Roman"/>
          <w:sz w:val="20"/>
        </w:rPr>
        <w:t>s</w:t>
      </w:r>
      <w:r w:rsidRPr="00783B21">
        <w:rPr>
          <w:rFonts w:ascii="Times New Roman" w:eastAsia="AdvTimes" w:hAnsi="Times New Roman"/>
          <w:sz w:val="20"/>
        </w:rPr>
        <w:t xml:space="preserve"> also reduce the effect of NOM in adsorption of contaminant in real water sample [7]. </w:t>
      </w:r>
    </w:p>
    <w:p w:rsidR="00783B21" w:rsidRDefault="00783B21" w:rsidP="00B00214">
      <w:pPr>
        <w:pStyle w:val="TAMainText"/>
        <w:spacing w:line="240" w:lineRule="auto"/>
        <w:ind w:firstLine="0"/>
        <w:rPr>
          <w:sz w:val="20"/>
        </w:rPr>
      </w:pPr>
    </w:p>
    <w:p w:rsidR="006C22AA" w:rsidRPr="006D1954" w:rsidRDefault="00783B21" w:rsidP="00B00214">
      <w:pPr>
        <w:pStyle w:val="TAMainText"/>
        <w:spacing w:line="240" w:lineRule="auto"/>
        <w:ind w:firstLine="0"/>
        <w:rPr>
          <w:rFonts w:ascii="Times New Roman" w:hAnsi="Times New Roman"/>
          <w:sz w:val="20"/>
        </w:rPr>
      </w:pPr>
      <w:r w:rsidRPr="006D1954">
        <w:rPr>
          <w:rFonts w:ascii="Times New Roman" w:hAnsi="Times New Roman"/>
          <w:sz w:val="20"/>
        </w:rPr>
        <w:t xml:space="preserve">The EAF slag is a highly available material from steel-making industry wastes and comprised of many valuable metal oxides such as Zinc (Zn), Iron (Fe), Calcium (Ca), Copper (Cu) and Manganese (Mn) [8]. Numerous works have been reported on the recovery of these valuable materials from slag. For example, Saufi [8] extracted Fe to use to enhance its carbon nanotube (CNT). On the other hand, Shawabkeh [9], Fallman [10] and Orhan [11] studied on maximizing Zinc, Chromium and Barium recovery from slag. In this work, iron oxide was extracted from EAF slag and precipitated onto clinoptilolite to produce an adsorbent </w:t>
      </w:r>
      <w:r w:rsidR="006C22AA" w:rsidRPr="006D1954">
        <w:rPr>
          <w:rFonts w:ascii="Times New Roman" w:hAnsi="Times New Roman"/>
          <w:sz w:val="20"/>
        </w:rPr>
        <w:t>for the removal of PQ in water.</w:t>
      </w:r>
    </w:p>
    <w:p w:rsidR="006C22AA" w:rsidRDefault="006C22AA" w:rsidP="00B00214">
      <w:pPr>
        <w:pStyle w:val="TAMainText"/>
        <w:spacing w:line="240" w:lineRule="auto"/>
        <w:ind w:firstLine="0"/>
        <w:rPr>
          <w:sz w:val="20"/>
        </w:rPr>
      </w:pPr>
    </w:p>
    <w:p w:rsidR="006C22AA" w:rsidRPr="006D1954" w:rsidRDefault="006C22AA" w:rsidP="006C22AA">
      <w:pPr>
        <w:pStyle w:val="TAMainText"/>
        <w:spacing w:line="240" w:lineRule="auto"/>
        <w:ind w:firstLine="0"/>
        <w:jc w:val="center"/>
        <w:rPr>
          <w:rFonts w:ascii="Times New Roman" w:hAnsi="Times New Roman"/>
          <w:b/>
          <w:sz w:val="20"/>
          <w:szCs w:val="24"/>
        </w:rPr>
      </w:pPr>
      <w:r w:rsidRPr="006D1954">
        <w:rPr>
          <w:rFonts w:ascii="Times New Roman" w:hAnsi="Times New Roman"/>
          <w:b/>
          <w:sz w:val="20"/>
          <w:szCs w:val="24"/>
        </w:rPr>
        <w:t>Materials and Methods</w:t>
      </w:r>
    </w:p>
    <w:p w:rsidR="00C92010" w:rsidRPr="006D1954" w:rsidRDefault="006C22AA" w:rsidP="00B00214">
      <w:pPr>
        <w:pStyle w:val="TAMainText"/>
        <w:spacing w:line="240" w:lineRule="auto"/>
        <w:ind w:firstLine="0"/>
        <w:rPr>
          <w:rFonts w:ascii="Times New Roman" w:hAnsi="Times New Roman"/>
          <w:sz w:val="22"/>
        </w:rPr>
      </w:pPr>
      <w:r w:rsidRPr="006D1954">
        <w:rPr>
          <w:rFonts w:ascii="Times New Roman" w:hAnsi="Times New Roman"/>
          <w:b/>
          <w:sz w:val="20"/>
        </w:rPr>
        <w:t>Raw m</w:t>
      </w:r>
      <w:r w:rsidR="00C92010" w:rsidRPr="006D1954">
        <w:rPr>
          <w:rFonts w:ascii="Times New Roman" w:hAnsi="Times New Roman"/>
          <w:b/>
          <w:sz w:val="20"/>
        </w:rPr>
        <w:t>aterial</w:t>
      </w:r>
    </w:p>
    <w:p w:rsidR="006C22AA" w:rsidRPr="006D1954" w:rsidRDefault="00C92010" w:rsidP="00B00214">
      <w:pPr>
        <w:pStyle w:val="TAMainText"/>
        <w:spacing w:line="240" w:lineRule="auto"/>
        <w:ind w:firstLine="0"/>
        <w:rPr>
          <w:rFonts w:ascii="Times New Roman" w:hAnsi="Times New Roman"/>
          <w:sz w:val="20"/>
        </w:rPr>
      </w:pPr>
      <w:r w:rsidRPr="006D1954">
        <w:rPr>
          <w:rFonts w:ascii="Times New Roman" w:hAnsi="Times New Roman"/>
          <w:sz w:val="20"/>
        </w:rPr>
        <w:t xml:space="preserve">Electric arc furnace slag was collected from Antara Steel Mills (M) Sdn.Bhd and clinoptilolite was purchased from Shafzan Feed and Fertilizer. Both raw materials were ground and sieved to a particle size of 75 µm prior to use. Clinoptilolite was first activated by agitating in 2M sodium chloride (NaCl) solution [12]. Paraquat standard was purchased from Fluka Analytical and used without further purification. Stock solution of PQ was prepared by dissolving standard paraquat in double distilled water. The working solution of PQ was prepared by series of dilution from the stock solution prepared. </w:t>
      </w:r>
    </w:p>
    <w:p w:rsidR="006C22AA" w:rsidRDefault="006C22AA" w:rsidP="00C92010">
      <w:pPr>
        <w:pStyle w:val="TAMainText"/>
        <w:spacing w:line="240" w:lineRule="auto"/>
        <w:ind w:firstLine="0"/>
        <w:rPr>
          <w:sz w:val="20"/>
        </w:rPr>
      </w:pPr>
    </w:p>
    <w:p w:rsidR="006C22AA" w:rsidRPr="006D1954" w:rsidRDefault="00C92010" w:rsidP="00B00214">
      <w:pPr>
        <w:pStyle w:val="TAMainText"/>
        <w:spacing w:line="240" w:lineRule="auto"/>
        <w:ind w:firstLine="0"/>
        <w:rPr>
          <w:rFonts w:ascii="Times New Roman" w:hAnsi="Times New Roman"/>
          <w:sz w:val="20"/>
        </w:rPr>
      </w:pPr>
      <w:r w:rsidRPr="006D1954">
        <w:rPr>
          <w:rFonts w:ascii="Times New Roman" w:hAnsi="Times New Roman"/>
          <w:b/>
          <w:sz w:val="20"/>
        </w:rPr>
        <w:t>Preparation of Natural Zeolite-Iron Oxide Composite (NZIC)</w:t>
      </w:r>
    </w:p>
    <w:p w:rsidR="006D1954" w:rsidRPr="006D1954" w:rsidRDefault="00C92010" w:rsidP="00B00214">
      <w:pPr>
        <w:pStyle w:val="TAMainText"/>
        <w:spacing w:line="240" w:lineRule="auto"/>
        <w:ind w:firstLine="0"/>
        <w:rPr>
          <w:rFonts w:ascii="Times New Roman" w:hAnsi="Times New Roman"/>
          <w:sz w:val="20"/>
        </w:rPr>
      </w:pPr>
      <w:r w:rsidRPr="006D1954">
        <w:rPr>
          <w:rFonts w:ascii="Times New Roman" w:hAnsi="Times New Roman"/>
          <w:sz w:val="20"/>
        </w:rPr>
        <w:t>The NZIC was prepared via two simple steps. First, iron oxide (IO) was extracted from EAF slag, followed by the precipitation of iron (hydr)oxide onto clinoptilolite. Powdered EAF slag was added to ammonium chloride (NH</w:t>
      </w:r>
      <w:r w:rsidRPr="006D1954">
        <w:rPr>
          <w:rFonts w:ascii="Times New Roman" w:hAnsi="Times New Roman"/>
          <w:sz w:val="20"/>
          <w:vertAlign w:val="subscript"/>
        </w:rPr>
        <w:t>4</w:t>
      </w:r>
      <w:r w:rsidRPr="006D1954">
        <w:rPr>
          <w:rFonts w:ascii="Times New Roman" w:hAnsi="Times New Roman"/>
          <w:sz w:val="20"/>
        </w:rPr>
        <w:t>Cl) solution and the mixtures were refluxed for 2 hours. A desired amount of clinoptilolite was added to the filtrate solution to make a 3 to 1 amount of clinoptilolite to iron oxide. Concentrated sodium hydroxide (NaOH) was added dropwise to the filtrate with an aid of sonication. The mixture was stirred for another 2 hours until homogenous suspension was obtained. Synthesized product was filtered, washed and dried overnight in an oven at 70˚C. Final product was calcined in a box furnace at 500°C for two hours at a</w:t>
      </w:r>
      <w:r w:rsidR="006D1954" w:rsidRPr="006D1954">
        <w:rPr>
          <w:rFonts w:ascii="Times New Roman" w:hAnsi="Times New Roman"/>
          <w:sz w:val="20"/>
        </w:rPr>
        <w:t xml:space="preserve"> temperature rate of 10 ˚C/min.</w:t>
      </w:r>
    </w:p>
    <w:p w:rsidR="006D1954" w:rsidRDefault="006D1954" w:rsidP="00C92010">
      <w:pPr>
        <w:pStyle w:val="TAMainText"/>
        <w:spacing w:line="240" w:lineRule="auto"/>
        <w:ind w:firstLine="0"/>
        <w:rPr>
          <w:sz w:val="20"/>
        </w:rPr>
      </w:pPr>
    </w:p>
    <w:p w:rsidR="006C22AA" w:rsidRPr="006D1954" w:rsidRDefault="00C92010" w:rsidP="00B00214">
      <w:pPr>
        <w:pStyle w:val="TAMainText"/>
        <w:spacing w:line="240" w:lineRule="auto"/>
        <w:ind w:firstLine="0"/>
        <w:rPr>
          <w:rFonts w:ascii="Times New Roman" w:hAnsi="Times New Roman"/>
          <w:sz w:val="20"/>
        </w:rPr>
      </w:pPr>
      <w:r w:rsidRPr="006D1954">
        <w:rPr>
          <w:rFonts w:ascii="Times New Roman" w:hAnsi="Times New Roman"/>
          <w:b/>
          <w:sz w:val="20"/>
        </w:rPr>
        <w:t>Characterization of NZIC</w:t>
      </w:r>
    </w:p>
    <w:p w:rsidR="006D1954" w:rsidRPr="006D1954" w:rsidRDefault="00C92010" w:rsidP="00B00214">
      <w:pPr>
        <w:pStyle w:val="TAMainText"/>
        <w:spacing w:line="240" w:lineRule="auto"/>
        <w:ind w:firstLine="0"/>
        <w:rPr>
          <w:rFonts w:ascii="Times New Roman" w:hAnsi="Times New Roman"/>
          <w:sz w:val="20"/>
        </w:rPr>
      </w:pPr>
      <w:r w:rsidRPr="006D1954">
        <w:rPr>
          <w:rFonts w:ascii="Times New Roman" w:hAnsi="Times New Roman"/>
          <w:sz w:val="20"/>
        </w:rPr>
        <w:t>Fourier Transform Infra-red (FTIR) spectroscopy (Perkin Elmer, Spectrum One) was used to analyse the functional groups found in the clinoptilolite and NZIC prepared at a spectral range of 4000 cm</w:t>
      </w:r>
      <w:r w:rsidRPr="006D1954">
        <w:rPr>
          <w:rFonts w:ascii="Times New Roman" w:hAnsi="Times New Roman"/>
          <w:sz w:val="20"/>
          <w:vertAlign w:val="superscript"/>
        </w:rPr>
        <w:t>-1</w:t>
      </w:r>
      <w:r w:rsidRPr="006D1954">
        <w:rPr>
          <w:rFonts w:ascii="Times New Roman" w:hAnsi="Times New Roman"/>
          <w:sz w:val="20"/>
        </w:rPr>
        <w:t xml:space="preserve"> to 400 cm</w:t>
      </w:r>
      <w:r w:rsidRPr="006D1954">
        <w:rPr>
          <w:rFonts w:ascii="Times New Roman" w:hAnsi="Times New Roman"/>
          <w:sz w:val="20"/>
          <w:vertAlign w:val="superscript"/>
        </w:rPr>
        <w:t>-1</w:t>
      </w:r>
      <w:r w:rsidRPr="006D1954">
        <w:rPr>
          <w:rFonts w:ascii="Times New Roman" w:hAnsi="Times New Roman"/>
          <w:sz w:val="20"/>
        </w:rPr>
        <w:t>. The morphology of clinoptilolite, maghemite and NZIC were observed using Scanning Electron Microscopy (SEM) (Phenom G2 Pro). Effect of surface area of clinoptilolite, maghemite and NZIC were studied using single-point Brunauer Emmett Teller (BET) surface area analysis. Magnetic properties of maghemite and NZIC were analysed using Vibrating Sample Magnetometer (VSM) at room temperature. Zero point charge (zpc) of NZIC was determine</w:t>
      </w:r>
      <w:r w:rsidR="006C22AA" w:rsidRPr="006D1954">
        <w:rPr>
          <w:rFonts w:ascii="Times New Roman" w:hAnsi="Times New Roman"/>
          <w:sz w:val="20"/>
        </w:rPr>
        <w:t>d</w:t>
      </w:r>
      <w:r w:rsidRPr="006D1954">
        <w:rPr>
          <w:rFonts w:ascii="Times New Roman" w:hAnsi="Times New Roman"/>
          <w:sz w:val="20"/>
        </w:rPr>
        <w:t xml:space="preserve"> by pH at zero point charge (zpc) experiment [13].</w:t>
      </w:r>
    </w:p>
    <w:p w:rsidR="006D1954" w:rsidRDefault="006D1954" w:rsidP="006D1954">
      <w:pPr>
        <w:pStyle w:val="TAMainText"/>
        <w:spacing w:line="240" w:lineRule="auto"/>
        <w:ind w:firstLine="0"/>
        <w:rPr>
          <w:sz w:val="20"/>
        </w:rPr>
      </w:pPr>
    </w:p>
    <w:p w:rsidR="006D1954" w:rsidRDefault="006D1954" w:rsidP="006D1954">
      <w:pPr>
        <w:pStyle w:val="TAMainText"/>
        <w:spacing w:line="240" w:lineRule="auto"/>
        <w:ind w:firstLine="0"/>
        <w:rPr>
          <w:rFonts w:ascii="Times New Roman" w:hAnsi="Times New Roman"/>
          <w:b/>
          <w:sz w:val="20"/>
        </w:rPr>
      </w:pPr>
      <w:r w:rsidRPr="008824BB">
        <w:rPr>
          <w:rFonts w:ascii="Times New Roman" w:hAnsi="Times New Roman"/>
          <w:b/>
          <w:sz w:val="20"/>
        </w:rPr>
        <w:t>Removal of Paraquat in water by NZIC</w:t>
      </w:r>
    </w:p>
    <w:p w:rsidR="006D1954" w:rsidRDefault="006D1954" w:rsidP="006D1954">
      <w:pPr>
        <w:pStyle w:val="TAMainText"/>
        <w:spacing w:line="240" w:lineRule="auto"/>
        <w:ind w:firstLine="0"/>
        <w:rPr>
          <w:rFonts w:ascii="Times New Roman" w:hAnsi="Times New Roman"/>
          <w:sz w:val="20"/>
        </w:rPr>
      </w:pPr>
      <w:r w:rsidRPr="006D1954">
        <w:rPr>
          <w:rFonts w:ascii="Times New Roman" w:hAnsi="Times New Roman"/>
          <w:sz w:val="20"/>
        </w:rPr>
        <w:t>Adsorption experiment for study on were effect of time, adsorbent dosage and pH in paraquat removal by NZIC were conducted in a batch mode study. The experiment take place in thermostat orbital shaker (Lab Companion) and experiments were repeated to ensure the reproducibility of the result is obtained. Adsorption and desorption experiment were done using 10 mg/L PQ standard solution followed by desorption with distilled water. Initial and final concentration of PQ was quantified using calibration curve of PQ standard, analysed by UV-Vis spectrophotometry (UV-Vis-</w:t>
      </w:r>
      <w:r w:rsidRPr="006D1954">
        <w:rPr>
          <w:rFonts w:ascii="Times New Roman" w:hAnsi="Times New Roman"/>
          <w:bCs/>
          <w:sz w:val="20"/>
        </w:rPr>
        <w:t xml:space="preserve">Perkin Elmer Lambda25 </w:t>
      </w:r>
      <w:r w:rsidRPr="006D1954">
        <w:rPr>
          <w:rFonts w:ascii="Times New Roman" w:hAnsi="Times New Roman"/>
          <w:sz w:val="20"/>
        </w:rPr>
        <w:t>Spectrophotometer) at maximum absorption wavelength of 257 nm.</w:t>
      </w:r>
    </w:p>
    <w:p w:rsidR="006D1954" w:rsidRDefault="006D1954" w:rsidP="006D1954">
      <w:pPr>
        <w:pStyle w:val="TAMainText"/>
        <w:spacing w:line="240" w:lineRule="auto"/>
        <w:ind w:firstLine="0"/>
        <w:rPr>
          <w:rFonts w:ascii="Times New Roman" w:hAnsi="Times New Roman"/>
          <w:sz w:val="20"/>
        </w:rPr>
      </w:pPr>
    </w:p>
    <w:p w:rsidR="006D1954" w:rsidRDefault="006D1954" w:rsidP="006D1954">
      <w:pPr>
        <w:pStyle w:val="TAMainText"/>
        <w:spacing w:line="240" w:lineRule="auto"/>
        <w:ind w:firstLine="0"/>
        <w:jc w:val="center"/>
        <w:rPr>
          <w:rFonts w:ascii="Times New Roman" w:hAnsi="Times New Roman"/>
          <w:b/>
          <w:sz w:val="20"/>
        </w:rPr>
      </w:pPr>
      <w:r w:rsidRPr="006D1954">
        <w:rPr>
          <w:rFonts w:ascii="Times New Roman" w:hAnsi="Times New Roman"/>
          <w:b/>
          <w:sz w:val="20"/>
        </w:rPr>
        <w:t>Result and Discussion</w:t>
      </w:r>
    </w:p>
    <w:p w:rsidR="006D1954" w:rsidRPr="006D1954" w:rsidRDefault="006D1954" w:rsidP="006D1954">
      <w:pPr>
        <w:pStyle w:val="TAMainText"/>
        <w:spacing w:line="240" w:lineRule="auto"/>
        <w:ind w:firstLine="0"/>
        <w:jc w:val="center"/>
        <w:rPr>
          <w:rFonts w:ascii="Times New Roman" w:hAnsi="Times New Roman"/>
          <w:b/>
          <w:sz w:val="20"/>
        </w:rPr>
      </w:pPr>
    </w:p>
    <w:p w:rsidR="006D1954" w:rsidRPr="006D1954" w:rsidRDefault="006D1954" w:rsidP="006D1954">
      <w:pPr>
        <w:pStyle w:val="TAMainText"/>
        <w:spacing w:line="240" w:lineRule="auto"/>
        <w:ind w:firstLine="0"/>
        <w:rPr>
          <w:rFonts w:ascii="Times New Roman" w:hAnsi="Times New Roman"/>
          <w:sz w:val="20"/>
        </w:rPr>
      </w:pPr>
      <w:r w:rsidRPr="006D1954">
        <w:rPr>
          <w:rFonts w:ascii="Times New Roman" w:hAnsi="Times New Roman"/>
          <w:b/>
          <w:sz w:val="20"/>
        </w:rPr>
        <w:t>Characterization of NZIC: Fourier Transform Infra-red</w:t>
      </w:r>
    </w:p>
    <w:p w:rsidR="00462FCE" w:rsidRDefault="006D1954" w:rsidP="00B00214">
      <w:pPr>
        <w:pStyle w:val="TAMainText"/>
        <w:spacing w:line="240" w:lineRule="auto"/>
        <w:ind w:firstLine="0"/>
        <w:rPr>
          <w:rFonts w:ascii="Times New Roman" w:hAnsi="Times New Roman"/>
          <w:sz w:val="20"/>
        </w:rPr>
      </w:pPr>
      <w:r w:rsidRPr="006D1954">
        <w:rPr>
          <w:rFonts w:ascii="Times New Roman" w:hAnsi="Times New Roman"/>
          <w:sz w:val="20"/>
        </w:rPr>
        <w:t xml:space="preserve">Spectra of clinoptilolite, maghemite and NZIC in </w:t>
      </w:r>
      <w:r w:rsidRPr="006D1954">
        <w:rPr>
          <w:rFonts w:ascii="Times New Roman" w:hAnsi="Times New Roman"/>
          <w:sz w:val="20"/>
        </w:rPr>
        <w:fldChar w:fldCharType="begin"/>
      </w:r>
      <w:r w:rsidRPr="006D1954">
        <w:rPr>
          <w:rFonts w:ascii="Times New Roman" w:hAnsi="Times New Roman"/>
          <w:sz w:val="20"/>
        </w:rPr>
        <w:instrText xml:space="preserve"> REF _Ref419868347 \h  \* MERGEFORMAT </w:instrText>
      </w:r>
      <w:r w:rsidRPr="006D1954">
        <w:rPr>
          <w:rFonts w:ascii="Times New Roman" w:hAnsi="Times New Roman"/>
          <w:sz w:val="20"/>
        </w:rPr>
      </w:r>
      <w:r w:rsidRPr="006D1954">
        <w:rPr>
          <w:rFonts w:ascii="Times New Roman" w:hAnsi="Times New Roman"/>
          <w:sz w:val="20"/>
        </w:rPr>
        <w:fldChar w:fldCharType="separate"/>
      </w:r>
      <w:r w:rsidRPr="006D1954">
        <w:rPr>
          <w:rFonts w:ascii="Times New Roman" w:hAnsi="Times New Roman"/>
          <w:sz w:val="20"/>
        </w:rPr>
        <w:t xml:space="preserve">Figure </w:t>
      </w:r>
      <w:r w:rsidRPr="006D1954">
        <w:rPr>
          <w:rFonts w:ascii="Times New Roman" w:hAnsi="Times New Roman"/>
          <w:noProof/>
          <w:sz w:val="20"/>
        </w:rPr>
        <w:t>1</w:t>
      </w:r>
      <w:r w:rsidRPr="006D1954">
        <w:rPr>
          <w:rFonts w:ascii="Times New Roman" w:hAnsi="Times New Roman"/>
          <w:sz w:val="20"/>
        </w:rPr>
        <w:fldChar w:fldCharType="end"/>
      </w:r>
      <w:r w:rsidRPr="006D1954">
        <w:rPr>
          <w:rFonts w:ascii="Times New Roman" w:hAnsi="Times New Roman"/>
          <w:sz w:val="20"/>
        </w:rPr>
        <w:t xml:space="preserve"> showed an intense peak at 1028 cm</w:t>
      </w:r>
      <w:r w:rsidRPr="006D1954">
        <w:rPr>
          <w:rFonts w:ascii="Times New Roman" w:hAnsi="Times New Roman"/>
          <w:sz w:val="20"/>
          <w:vertAlign w:val="superscript"/>
        </w:rPr>
        <w:t>-1</w:t>
      </w:r>
      <w:r w:rsidRPr="006D1954">
        <w:rPr>
          <w:rFonts w:ascii="Times New Roman" w:hAnsi="Times New Roman"/>
          <w:sz w:val="20"/>
        </w:rPr>
        <w:t xml:space="preserve"> indicates the presence of internal vibration of tetrahedral Si-O and Al-O. At 450 cm</w:t>
      </w:r>
      <w:r w:rsidRPr="006D1954">
        <w:rPr>
          <w:rFonts w:ascii="Times New Roman" w:hAnsi="Times New Roman"/>
          <w:sz w:val="20"/>
          <w:vertAlign w:val="superscript"/>
        </w:rPr>
        <w:t>-1</w:t>
      </w:r>
      <w:r w:rsidRPr="006D1954">
        <w:rPr>
          <w:rFonts w:ascii="Times New Roman" w:hAnsi="Times New Roman"/>
          <w:sz w:val="20"/>
        </w:rPr>
        <w:t xml:space="preserve"> band showed the vibration of O-Al-O or </w:t>
      </w:r>
      <w:r w:rsidRPr="006D1954">
        <w:rPr>
          <w:rFonts w:ascii="Times New Roman" w:hAnsi="Times New Roman"/>
          <w:sz w:val="20"/>
        </w:rPr>
        <w:lastRenderedPageBreak/>
        <w:t>O-Si-O bonds. The existence of in-plane-bending vibration of water (H</w:t>
      </w:r>
      <w:r w:rsidRPr="006D1954">
        <w:rPr>
          <w:rFonts w:ascii="Times New Roman" w:hAnsi="Times New Roman"/>
          <w:sz w:val="20"/>
          <w:vertAlign w:val="subscript"/>
        </w:rPr>
        <w:t>2</w:t>
      </w:r>
      <w:r w:rsidRPr="006D1954">
        <w:rPr>
          <w:rFonts w:ascii="Times New Roman" w:hAnsi="Times New Roman"/>
          <w:sz w:val="20"/>
        </w:rPr>
        <w:t>O) and OH bending in clinoptilolite and maghemite observed at 1637 cm</w:t>
      </w:r>
      <w:r w:rsidRPr="006D1954">
        <w:rPr>
          <w:rFonts w:ascii="Times New Roman" w:hAnsi="Times New Roman"/>
          <w:sz w:val="20"/>
          <w:vertAlign w:val="superscript"/>
        </w:rPr>
        <w:t>-1</w:t>
      </w:r>
      <w:r w:rsidRPr="006D1954">
        <w:rPr>
          <w:rFonts w:ascii="Times New Roman" w:hAnsi="Times New Roman"/>
          <w:sz w:val="20"/>
        </w:rPr>
        <w:t xml:space="preserve"> and 3447 cm</w:t>
      </w:r>
      <w:r w:rsidRPr="006D1954">
        <w:rPr>
          <w:rFonts w:ascii="Times New Roman" w:hAnsi="Times New Roman"/>
          <w:sz w:val="20"/>
          <w:vertAlign w:val="superscript"/>
        </w:rPr>
        <w:t>-1</w:t>
      </w:r>
      <w:r w:rsidRPr="006D1954">
        <w:rPr>
          <w:rFonts w:ascii="Times New Roman" w:hAnsi="Times New Roman"/>
          <w:sz w:val="20"/>
        </w:rPr>
        <w:t xml:space="preserve"> respectively were due to moisture in the sample preparation. Low band at wavenumber of 600 and 790 cm</w:t>
      </w:r>
      <w:r w:rsidRPr="006D1954">
        <w:rPr>
          <w:rFonts w:ascii="Times New Roman" w:hAnsi="Times New Roman"/>
          <w:sz w:val="20"/>
          <w:vertAlign w:val="superscript"/>
        </w:rPr>
        <w:t>-1</w:t>
      </w:r>
      <w:r w:rsidRPr="006D1954">
        <w:rPr>
          <w:rFonts w:ascii="Times New Roman" w:hAnsi="Times New Roman"/>
          <w:sz w:val="20"/>
        </w:rPr>
        <w:t xml:space="preserve"> found at spectrum of maghemite and NZIC were attributed to the characteristics band of iron oxide [14].</w:t>
      </w:r>
    </w:p>
    <w:p w:rsidR="00B00214" w:rsidRDefault="00B00214" w:rsidP="00B00214">
      <w:pPr>
        <w:pStyle w:val="TAMainText"/>
        <w:spacing w:line="240" w:lineRule="auto"/>
        <w:ind w:firstLine="0"/>
        <w:rPr>
          <w:rFonts w:ascii="Times New Roman" w:hAnsi="Times New Roman"/>
          <w:sz w:val="20"/>
        </w:rPr>
      </w:pPr>
    </w:p>
    <w:tbl>
      <w:tblPr>
        <w:tblStyle w:val="TableGrid"/>
        <w:tblW w:w="0" w:type="auto"/>
        <w:jc w:val="center"/>
        <w:tblLook w:val="04A0" w:firstRow="1" w:lastRow="0" w:firstColumn="1" w:lastColumn="0" w:noHBand="0" w:noVBand="1"/>
      </w:tblPr>
      <w:tblGrid>
        <w:gridCol w:w="6408"/>
      </w:tblGrid>
      <w:tr w:rsidR="00462FCE" w:rsidRPr="00AC4FC4" w:rsidTr="0004143C">
        <w:trPr>
          <w:trHeight w:val="2456"/>
          <w:jc w:val="center"/>
        </w:trPr>
        <w:tc>
          <w:tcPr>
            <w:tcW w:w="6408" w:type="dxa"/>
            <w:tcBorders>
              <w:top w:val="nil"/>
              <w:left w:val="nil"/>
              <w:bottom w:val="nil"/>
              <w:right w:val="nil"/>
            </w:tcBorders>
          </w:tcPr>
          <w:p w:rsidR="00462FCE" w:rsidRPr="00AC4FC4" w:rsidRDefault="00462FCE" w:rsidP="0004143C">
            <w:pPr>
              <w:jc w:val="center"/>
              <w:rPr>
                <w:rFonts w:cs="Times New Roman"/>
                <w:sz w:val="18"/>
                <w:szCs w:val="18"/>
              </w:rPr>
            </w:pPr>
            <w:r w:rsidRPr="00AC4FC4">
              <w:rPr>
                <w:rFonts w:cs="Times New Roman"/>
                <w:noProof/>
                <w:sz w:val="18"/>
                <w:szCs w:val="18"/>
              </w:rPr>
              <w:drawing>
                <wp:inline distT="0" distB="0" distL="0" distR="0" wp14:anchorId="55F22FEC" wp14:editId="47254DCC">
                  <wp:extent cx="3780704" cy="2560320"/>
                  <wp:effectExtent l="19050" t="19050" r="10795" b="1143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87412" cy="2564863"/>
                          </a:xfrm>
                          <a:prstGeom prst="rect">
                            <a:avLst/>
                          </a:prstGeom>
                          <a:noFill/>
                          <a:ln>
                            <a:solidFill>
                              <a:schemeClr val="tx1"/>
                            </a:solidFill>
                          </a:ln>
                        </pic:spPr>
                      </pic:pic>
                    </a:graphicData>
                  </a:graphic>
                </wp:inline>
              </w:drawing>
            </w:r>
          </w:p>
        </w:tc>
      </w:tr>
      <w:tr w:rsidR="00462FCE" w:rsidRPr="00AC4FC4" w:rsidTr="0004143C">
        <w:trPr>
          <w:jc w:val="center"/>
        </w:trPr>
        <w:tc>
          <w:tcPr>
            <w:tcW w:w="6408" w:type="dxa"/>
            <w:tcBorders>
              <w:top w:val="nil"/>
              <w:left w:val="nil"/>
              <w:bottom w:val="nil"/>
              <w:right w:val="nil"/>
            </w:tcBorders>
          </w:tcPr>
          <w:p w:rsidR="00462FCE" w:rsidRDefault="00462FCE" w:rsidP="0004143C">
            <w:pPr>
              <w:pStyle w:val="Caption"/>
              <w:jc w:val="center"/>
              <w:rPr>
                <w:rFonts w:cs="Times New Roman"/>
              </w:rPr>
            </w:pPr>
            <w:bookmarkStart w:id="1" w:name="_Ref419868347"/>
          </w:p>
          <w:p w:rsidR="00462FCE" w:rsidRPr="00462FCE" w:rsidRDefault="00462FCE" w:rsidP="0004143C">
            <w:pPr>
              <w:pStyle w:val="Caption"/>
              <w:jc w:val="center"/>
              <w:rPr>
                <w:rFonts w:cs="Times New Roman"/>
                <w:b w:val="0"/>
                <w:i/>
              </w:rPr>
            </w:pPr>
            <w:r w:rsidRPr="00462FCE">
              <w:rPr>
                <w:rFonts w:cs="Times New Roman"/>
                <w:b w:val="0"/>
                <w:sz w:val="20"/>
              </w:rPr>
              <w:t xml:space="preserve">Figure </w:t>
            </w:r>
            <w:r w:rsidRPr="00462FCE">
              <w:rPr>
                <w:rFonts w:cs="Times New Roman"/>
                <w:b w:val="0"/>
                <w:i/>
                <w:sz w:val="20"/>
              </w:rPr>
              <w:fldChar w:fldCharType="begin"/>
            </w:r>
            <w:r w:rsidRPr="00462FCE">
              <w:rPr>
                <w:rFonts w:cs="Times New Roman"/>
                <w:b w:val="0"/>
                <w:sz w:val="20"/>
              </w:rPr>
              <w:instrText xml:space="preserve"> SEQ Figure \* ARABIC </w:instrText>
            </w:r>
            <w:r w:rsidRPr="00462FCE">
              <w:rPr>
                <w:rFonts w:cs="Times New Roman"/>
                <w:b w:val="0"/>
                <w:i/>
                <w:sz w:val="20"/>
              </w:rPr>
              <w:fldChar w:fldCharType="separate"/>
            </w:r>
            <w:r w:rsidRPr="00462FCE">
              <w:rPr>
                <w:rFonts w:cs="Times New Roman"/>
                <w:b w:val="0"/>
                <w:noProof/>
                <w:sz w:val="20"/>
              </w:rPr>
              <w:t>1</w:t>
            </w:r>
            <w:r w:rsidRPr="00462FCE">
              <w:rPr>
                <w:rFonts w:cs="Times New Roman"/>
                <w:b w:val="0"/>
                <w:i/>
                <w:sz w:val="20"/>
              </w:rPr>
              <w:fldChar w:fldCharType="end"/>
            </w:r>
            <w:bookmarkEnd w:id="1"/>
            <w:r>
              <w:rPr>
                <w:b w:val="0"/>
                <w:sz w:val="20"/>
              </w:rPr>
              <w:t xml:space="preserve">. </w:t>
            </w:r>
            <w:r w:rsidRPr="00462FCE">
              <w:rPr>
                <w:b w:val="0"/>
                <w:sz w:val="20"/>
              </w:rPr>
              <w:t>IR spectra of a) clinoptilolite, b) maghemite and c) NZIC</w:t>
            </w:r>
          </w:p>
        </w:tc>
      </w:tr>
    </w:tbl>
    <w:p w:rsidR="00462FCE" w:rsidRDefault="00462FCE" w:rsidP="00462FCE">
      <w:pPr>
        <w:pStyle w:val="TAMainText"/>
        <w:ind w:firstLine="0"/>
        <w:rPr>
          <w:rFonts w:ascii="Times New Roman" w:hAnsi="Times New Roman"/>
          <w:sz w:val="20"/>
        </w:rPr>
      </w:pPr>
    </w:p>
    <w:p w:rsidR="00462FCE" w:rsidRPr="00462FCE" w:rsidRDefault="00462FCE" w:rsidP="00B00214">
      <w:pPr>
        <w:pStyle w:val="TAMainText"/>
        <w:spacing w:line="240" w:lineRule="auto"/>
        <w:ind w:firstLine="0"/>
        <w:rPr>
          <w:rFonts w:ascii="Times New Roman" w:hAnsi="Times New Roman"/>
          <w:b/>
          <w:sz w:val="20"/>
        </w:rPr>
      </w:pPr>
      <w:r w:rsidRPr="00462FCE">
        <w:rPr>
          <w:rFonts w:ascii="Times New Roman" w:hAnsi="Times New Roman"/>
          <w:b/>
          <w:sz w:val="20"/>
        </w:rPr>
        <w:t xml:space="preserve">Scanning Electron Microscopy micrograph </w:t>
      </w:r>
    </w:p>
    <w:p w:rsidR="00462FCE" w:rsidRDefault="00462FCE" w:rsidP="00B00214">
      <w:pPr>
        <w:pStyle w:val="TAMainText"/>
        <w:spacing w:line="240" w:lineRule="auto"/>
        <w:ind w:firstLine="0"/>
        <w:rPr>
          <w:rFonts w:ascii="Times New Roman" w:hAnsi="Times New Roman"/>
          <w:sz w:val="20"/>
        </w:rPr>
      </w:pPr>
      <w:r w:rsidRPr="00462FCE">
        <w:rPr>
          <w:rFonts w:ascii="Times New Roman" w:hAnsi="Times New Roman"/>
          <w:sz w:val="20"/>
        </w:rPr>
        <w:t>SEM images of clinoptilolite, maghemite and NZIC were shown in Figure 2. Micrograph in Figure 2a showed an irregularly shaped of clinoptilolite. Maghemite poses a prismatic and flake-like shape as observed in Figure 2b. Maghemite was scattered around clinoptilolite in Figure 2c showing the effective effect of dispersive by sonication in preparation of NZIC procedure.</w:t>
      </w:r>
    </w:p>
    <w:p w:rsidR="00462FCE" w:rsidRDefault="00462FCE" w:rsidP="00462FCE">
      <w:pPr>
        <w:pStyle w:val="TAMainText"/>
        <w:ind w:firstLine="0"/>
        <w:rPr>
          <w:rFonts w:ascii="Times New Roman" w:hAnsi="Times New Roman"/>
          <w:sz w:val="20"/>
        </w:rPr>
      </w:pPr>
    </w:p>
    <w:p w:rsidR="00A47092" w:rsidRDefault="00A47092" w:rsidP="00462FCE">
      <w:pPr>
        <w:pStyle w:val="TAMainText"/>
        <w:ind w:firstLine="0"/>
        <w:rPr>
          <w:rFonts w:ascii="Times New Roman" w:hAnsi="Times New Roman"/>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8"/>
      </w:tblGrid>
      <w:tr w:rsidR="00A47092" w:rsidRPr="00AC4FC4" w:rsidTr="0004143C">
        <w:trPr>
          <w:jc w:val="center"/>
        </w:trPr>
        <w:tc>
          <w:tcPr>
            <w:tcW w:w="6408" w:type="dxa"/>
          </w:tcPr>
          <w:p w:rsidR="00A47092" w:rsidRPr="00AC4FC4" w:rsidRDefault="00EF092B" w:rsidP="0004143C">
            <w:pPr>
              <w:rPr>
                <w:rFonts w:eastAsia="AdvTimes" w:cs="Times New Roman"/>
                <w:sz w:val="18"/>
                <w:szCs w:val="18"/>
              </w:rPr>
            </w:pPr>
            <w:r>
              <w:rPr>
                <w:noProof/>
              </w:rPr>
              <mc:AlternateContent>
                <mc:Choice Requires="wps">
                  <w:drawing>
                    <wp:anchor distT="0" distB="0" distL="114300" distR="114300" simplePos="0" relativeHeight="251663360" behindDoc="0" locked="0" layoutInCell="1" allowOverlap="1" wp14:anchorId="1B9B460A" wp14:editId="2EDAB5CA">
                      <wp:simplePos x="0" y="0"/>
                      <wp:positionH relativeFrom="column">
                        <wp:posOffset>2089785</wp:posOffset>
                      </wp:positionH>
                      <wp:positionV relativeFrom="paragraph">
                        <wp:posOffset>95250</wp:posOffset>
                      </wp:positionV>
                      <wp:extent cx="344805" cy="238125"/>
                      <wp:effectExtent l="0" t="0" r="17145" b="28575"/>
                      <wp:wrapNone/>
                      <wp:docPr id="4" name="Text Box 4"/>
                      <wp:cNvGraphicFramePr/>
                      <a:graphic xmlns:a="http://schemas.openxmlformats.org/drawingml/2006/main">
                        <a:graphicData uri="http://schemas.microsoft.com/office/word/2010/wordprocessingShape">
                          <wps:wsp>
                            <wps:cNvSpPr txBox="1"/>
                            <wps:spPr>
                              <a:xfrm>
                                <a:off x="0" y="0"/>
                                <a:ext cx="34480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092B" w:rsidRDefault="00EF092B" w:rsidP="00EF092B">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64.55pt;margin-top:7.5pt;width:27.15pt;height:18.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" fillcolor="white [3201]" strokeweight=".5pt">
                      <v:textbox>
                        <w:txbxContent>
                          <w:p w:rsidR="00EF092B" w:rsidRDefault="00EF092B" w:rsidP="00EF092B">
                            <w:r>
                              <w:t>b</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ED8D256" wp14:editId="6F0A1431">
                      <wp:simplePos x="0" y="0"/>
                      <wp:positionH relativeFrom="column">
                        <wp:posOffset>76607</wp:posOffset>
                      </wp:positionH>
                      <wp:positionV relativeFrom="paragraph">
                        <wp:posOffset>97562</wp:posOffset>
                      </wp:positionV>
                      <wp:extent cx="335915" cy="269875"/>
                      <wp:effectExtent l="0" t="0" r="26035" b="15875"/>
                      <wp:wrapNone/>
                      <wp:docPr id="3" name="Text Box 3"/>
                      <wp:cNvGraphicFramePr/>
                      <a:graphic xmlns:a="http://schemas.openxmlformats.org/drawingml/2006/main">
                        <a:graphicData uri="http://schemas.microsoft.com/office/word/2010/wordprocessingShape">
                          <wps:wsp>
                            <wps:cNvSpPr txBox="1"/>
                            <wps:spPr>
                              <a:xfrm>
                                <a:off x="0" y="0"/>
                                <a:ext cx="335915" cy="269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092B" w:rsidRDefault="00EF092B" w:rsidP="00EF092B">
                                  <w:r>
                                    <w:t>a</w:t>
                                  </w:r>
                                  <w:r>
                                    <w:rPr>
                                      <w:noProof/>
                                    </w:rPr>
                                    <w:drawing>
                                      <wp:inline distT="0" distB="0" distL="0" distR="0" wp14:anchorId="6A3329F4" wp14:editId="47DD6C8D">
                                        <wp:extent cx="146685" cy="121022"/>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6685" cy="1210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27" type="#_x0000_t202" style="position:absolute;margin-left:6.05pt;margin-top:7.7pt;width:26.45pt;height:21.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" fillcolor="white [3201]" strokeweight=".5pt">
                      <v:textbox>
                        <w:txbxContent>
                          <w:p w:rsidR="00EF092B" w:rsidRDefault="00EF092B" w:rsidP="00EF092B">
                            <w:r>
                              <w:t>a</w:t>
                            </w:r>
                            <w:r>
                              <w:rPr>
                                <w:noProof/>
                              </w:rPr>
                              <w:drawing>
                                <wp:inline distT="0" distB="0" distL="0" distR="0" wp14:anchorId="6A3329F4" wp14:editId="47DD6C8D">
                                  <wp:extent cx="146685" cy="121022"/>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685" cy="121022"/>
                                          </a:xfrm>
                                          <a:prstGeom prst="rect">
                                            <a:avLst/>
                                          </a:prstGeom>
                                          <a:noFill/>
                                          <a:ln>
                                            <a:noFill/>
                                          </a:ln>
                                        </pic:spPr>
                                      </pic:pic>
                                    </a:graphicData>
                                  </a:graphic>
                                </wp:inline>
                              </w:drawing>
                            </w:r>
                          </w:p>
                        </w:txbxContent>
                      </v:textbox>
                    </v:shape>
                  </w:pict>
                </mc:Fallback>
              </mc:AlternateContent>
            </w:r>
            <w:r w:rsidR="00A47092" w:rsidRPr="00AC4FC4">
              <w:rPr>
                <w:bCs/>
                <w:noProof/>
                <w:sz w:val="18"/>
                <w:szCs w:val="18"/>
              </w:rPr>
              <w:drawing>
                <wp:inline distT="0" distB="0" distL="0" distR="0" wp14:anchorId="70B58BAB" wp14:editId="7FBC004D">
                  <wp:extent cx="1860605" cy="1654930"/>
                  <wp:effectExtent l="0" t="0" r="6350" b="2540"/>
                  <wp:docPr id="32" name="Picture 4" descr="C:\Users\User\Dropbox\Research\Analisis result\FESEM\j29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ropbox\Research\Analisis result\FESEM\j29b.tif"/>
                          <pic:cNvPicPr>
                            <a:picLocks noChangeAspect="1" noChangeArrowheads="1"/>
                          </pic:cNvPicPr>
                        </pic:nvPicPr>
                        <pic:blipFill>
                          <a:blip r:embed="rId9"/>
                          <a:srcRect/>
                          <a:stretch>
                            <a:fillRect/>
                          </a:stretch>
                        </pic:blipFill>
                        <pic:spPr bwMode="auto">
                          <a:xfrm>
                            <a:off x="0" y="0"/>
                            <a:ext cx="1869631" cy="1662959"/>
                          </a:xfrm>
                          <a:prstGeom prst="rect">
                            <a:avLst/>
                          </a:prstGeom>
                          <a:noFill/>
                          <a:ln w="9525">
                            <a:noFill/>
                            <a:miter lim="800000"/>
                            <a:headEnd/>
                            <a:tailEnd/>
                          </a:ln>
                        </pic:spPr>
                      </pic:pic>
                    </a:graphicData>
                  </a:graphic>
                </wp:inline>
              </w:drawing>
            </w:r>
            <w:r w:rsidR="00A47092">
              <w:rPr>
                <w:rFonts w:eastAsia="AdvTimes" w:cs="Times New Roman"/>
                <w:sz w:val="18"/>
                <w:szCs w:val="18"/>
              </w:rPr>
              <w:t xml:space="preserve">     </w:t>
            </w:r>
            <w:r w:rsidR="00A47092" w:rsidRPr="00AC4FC4">
              <w:rPr>
                <w:noProof/>
                <w:sz w:val="18"/>
                <w:szCs w:val="18"/>
              </w:rPr>
              <w:t xml:space="preserve"> </w:t>
            </w:r>
            <w:r w:rsidRPr="00AC4FC4">
              <w:rPr>
                <w:noProof/>
                <w:sz w:val="18"/>
                <w:szCs w:val="18"/>
              </w:rPr>
              <w:drawing>
                <wp:inline distT="0" distB="0" distL="0" distR="0" wp14:anchorId="6A647A70" wp14:editId="2BBA0D41">
                  <wp:extent cx="1862348" cy="1656271"/>
                  <wp:effectExtent l="0" t="0" r="5080" b="1270"/>
                  <wp:docPr id="2" name="Picture 9" descr="C:\Users\User\Dropbox\Research\Analisis result\FESEM\sem nnd fatin\phenom 6 feb\FEO 5000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ropbox\Research\Analisis result\FESEM\sem nnd fatin\phenom 6 feb\FEO 5000005.tif"/>
                          <pic:cNvPicPr>
                            <a:picLocks noChangeAspect="1" noChangeArrowheads="1"/>
                          </pic:cNvPicPr>
                        </pic:nvPicPr>
                        <pic:blipFill>
                          <a:blip r:embed="rId10"/>
                          <a:srcRect/>
                          <a:stretch>
                            <a:fillRect/>
                          </a:stretch>
                        </pic:blipFill>
                        <pic:spPr bwMode="auto">
                          <a:xfrm>
                            <a:off x="0" y="0"/>
                            <a:ext cx="1875672" cy="1668121"/>
                          </a:xfrm>
                          <a:prstGeom prst="rect">
                            <a:avLst/>
                          </a:prstGeom>
                          <a:noFill/>
                          <a:ln w="9525">
                            <a:noFill/>
                            <a:miter lim="800000"/>
                            <a:headEnd/>
                            <a:tailEnd/>
                          </a:ln>
                        </pic:spPr>
                      </pic:pic>
                    </a:graphicData>
                  </a:graphic>
                </wp:inline>
              </w:drawing>
            </w:r>
          </w:p>
        </w:tc>
      </w:tr>
      <w:tr w:rsidR="00A47092" w:rsidRPr="00AC4FC4" w:rsidTr="0004143C">
        <w:trPr>
          <w:jc w:val="center"/>
        </w:trPr>
        <w:tc>
          <w:tcPr>
            <w:tcW w:w="6408" w:type="dxa"/>
          </w:tcPr>
          <w:p w:rsidR="00A47092" w:rsidRPr="00AC4FC4" w:rsidRDefault="00A47092" w:rsidP="0004143C">
            <w:pPr>
              <w:rPr>
                <w:bCs/>
                <w:noProof/>
                <w:sz w:val="18"/>
                <w:szCs w:val="18"/>
              </w:rPr>
            </w:pPr>
          </w:p>
        </w:tc>
      </w:tr>
      <w:tr w:rsidR="00A47092" w:rsidRPr="00AC4FC4" w:rsidTr="0004143C">
        <w:trPr>
          <w:trHeight w:val="2601"/>
          <w:jc w:val="center"/>
        </w:trPr>
        <w:tc>
          <w:tcPr>
            <w:tcW w:w="6408" w:type="dxa"/>
          </w:tcPr>
          <w:p w:rsidR="00A47092" w:rsidRPr="00AC4FC4" w:rsidRDefault="00EF092B" w:rsidP="0004143C">
            <w:pPr>
              <w:jc w:val="center"/>
              <w:rPr>
                <w:rFonts w:eastAsia="AdvTimes" w:cs="Times New Roman"/>
                <w:sz w:val="18"/>
                <w:szCs w:val="18"/>
              </w:rPr>
            </w:pPr>
            <w:r>
              <w:rPr>
                <w:rFonts w:eastAsia="AdvTimes" w:cs="Times New Roman"/>
                <w:noProof/>
                <w:sz w:val="18"/>
                <w:szCs w:val="18"/>
              </w:rPr>
              <mc:AlternateContent>
                <mc:Choice Requires="wps">
                  <w:drawing>
                    <wp:anchor distT="0" distB="0" distL="114300" distR="114300" simplePos="0" relativeHeight="251664384" behindDoc="0" locked="0" layoutInCell="1" allowOverlap="1">
                      <wp:simplePos x="0" y="0"/>
                      <wp:positionH relativeFrom="column">
                        <wp:posOffset>1092907</wp:posOffset>
                      </wp:positionH>
                      <wp:positionV relativeFrom="paragraph">
                        <wp:posOffset>117152</wp:posOffset>
                      </wp:positionV>
                      <wp:extent cx="301924" cy="267418"/>
                      <wp:effectExtent l="0" t="0" r="22225" b="18415"/>
                      <wp:wrapNone/>
                      <wp:docPr id="17" name="Text Box 17"/>
                      <wp:cNvGraphicFramePr/>
                      <a:graphic xmlns:a="http://schemas.openxmlformats.org/drawingml/2006/main">
                        <a:graphicData uri="http://schemas.microsoft.com/office/word/2010/wordprocessingShape">
                          <wps:wsp>
                            <wps:cNvSpPr txBox="1"/>
                            <wps:spPr>
                              <a:xfrm>
                                <a:off x="0" y="0"/>
                                <a:ext cx="301924" cy="2674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092B" w:rsidRDefault="00EF092B">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28" type="#_x0000_t202" style="position:absolute;left:0;text-align:left;margin-left:86.05pt;margin-top:9.2pt;width:23.75pt;height:21.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" fillcolor="white [3201]" strokeweight=".5pt">
                      <v:textbox>
                        <w:txbxContent>
                          <w:p w:rsidR="00EF092B" w:rsidRDefault="00EF092B">
                            <w:r>
                              <w:t>c</w:t>
                            </w:r>
                          </w:p>
                        </w:txbxContent>
                      </v:textbox>
                    </v:shape>
                  </w:pict>
                </mc:Fallback>
              </mc:AlternateContent>
            </w:r>
            <w:r w:rsidR="00A47092" w:rsidRPr="00AC4FC4">
              <w:rPr>
                <w:rFonts w:eastAsia="AdvTimes" w:cs="Times New Roman"/>
                <w:sz w:val="18"/>
                <w:szCs w:val="18"/>
              </w:rPr>
              <w:t xml:space="preserve"> </w:t>
            </w:r>
            <w:r w:rsidR="00A47092" w:rsidRPr="00AC4FC4">
              <w:rPr>
                <w:noProof/>
                <w:sz w:val="18"/>
                <w:szCs w:val="18"/>
              </w:rPr>
              <w:drawing>
                <wp:inline distT="0" distB="0" distL="0" distR="0" wp14:anchorId="29533930" wp14:editId="78C5ADD7">
                  <wp:extent cx="1963973" cy="1551486"/>
                  <wp:effectExtent l="0" t="0" r="0" b="0"/>
                  <wp:docPr id="8" name="Picture 8" descr="C:\Users\User\Dropbox\Research\Analisis result\FESEM\1st fesem\j31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ropbox\Research\Analisis result\FESEM\1st fesem\j31c.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5425" cy="1568433"/>
                          </a:xfrm>
                          <a:prstGeom prst="rect">
                            <a:avLst/>
                          </a:prstGeom>
                          <a:noFill/>
                          <a:ln>
                            <a:noFill/>
                          </a:ln>
                        </pic:spPr>
                      </pic:pic>
                    </a:graphicData>
                  </a:graphic>
                </wp:inline>
              </w:drawing>
            </w:r>
          </w:p>
        </w:tc>
      </w:tr>
    </w:tbl>
    <w:p w:rsidR="00A47092" w:rsidRDefault="00A47092" w:rsidP="00EF092B">
      <w:pPr>
        <w:pStyle w:val="TAMainText"/>
        <w:ind w:firstLine="0"/>
        <w:jc w:val="center"/>
        <w:rPr>
          <w:rFonts w:ascii="Times New Roman" w:hAnsi="Times New Roman"/>
          <w:sz w:val="20"/>
        </w:rPr>
      </w:pPr>
      <w:r>
        <w:rPr>
          <w:rFonts w:ascii="Times New Roman" w:hAnsi="Times New Roman"/>
          <w:sz w:val="20"/>
        </w:rPr>
        <w:t xml:space="preserve">Figure 2. </w:t>
      </w:r>
      <w:r w:rsidRPr="00A47092">
        <w:rPr>
          <w:rFonts w:ascii="Times New Roman" w:hAnsi="Times New Roman"/>
          <w:sz w:val="20"/>
        </w:rPr>
        <w:t>Micrograph of a) clinoptilolite, b) maghemite and c) NZIC</w:t>
      </w:r>
    </w:p>
    <w:p w:rsidR="00EF092B" w:rsidRDefault="00EF092B" w:rsidP="00EF092B">
      <w:pPr>
        <w:pStyle w:val="TAMainText"/>
        <w:ind w:firstLine="0"/>
        <w:rPr>
          <w:rFonts w:ascii="Times New Roman" w:hAnsi="Times New Roman"/>
          <w:sz w:val="20"/>
        </w:rPr>
      </w:pPr>
    </w:p>
    <w:p w:rsidR="006C7F6D" w:rsidRDefault="006C7F6D" w:rsidP="00494D60">
      <w:pPr>
        <w:pStyle w:val="TAMainText"/>
        <w:ind w:firstLine="0"/>
        <w:rPr>
          <w:rFonts w:ascii="Times New Roman" w:hAnsi="Times New Roman"/>
          <w:b/>
          <w:sz w:val="20"/>
        </w:rPr>
      </w:pPr>
    </w:p>
    <w:p w:rsidR="006C7F6D" w:rsidRDefault="006C7F6D" w:rsidP="00494D60">
      <w:pPr>
        <w:pStyle w:val="TAMainText"/>
        <w:ind w:firstLine="0"/>
        <w:rPr>
          <w:rFonts w:ascii="Times New Roman" w:hAnsi="Times New Roman"/>
          <w:b/>
          <w:sz w:val="20"/>
        </w:rPr>
      </w:pPr>
    </w:p>
    <w:p w:rsidR="00494D60" w:rsidRPr="00494D60" w:rsidRDefault="00494D60" w:rsidP="00494D60">
      <w:pPr>
        <w:pStyle w:val="TAMainText"/>
        <w:ind w:firstLine="0"/>
        <w:rPr>
          <w:rFonts w:ascii="Times New Roman" w:hAnsi="Times New Roman"/>
          <w:b/>
          <w:sz w:val="20"/>
        </w:rPr>
      </w:pPr>
      <w:r w:rsidRPr="00494D60">
        <w:rPr>
          <w:rFonts w:ascii="Times New Roman" w:hAnsi="Times New Roman"/>
          <w:b/>
          <w:sz w:val="20"/>
        </w:rPr>
        <w:lastRenderedPageBreak/>
        <w:t>Magnetic saturation</w:t>
      </w:r>
    </w:p>
    <w:p w:rsidR="004A588F" w:rsidRDefault="00494D60" w:rsidP="00B00214">
      <w:pPr>
        <w:pStyle w:val="TAMainText"/>
        <w:spacing w:line="240" w:lineRule="auto"/>
        <w:ind w:firstLine="0"/>
        <w:rPr>
          <w:rFonts w:ascii="Times New Roman" w:hAnsi="Times New Roman"/>
          <w:sz w:val="20"/>
        </w:rPr>
      </w:pPr>
      <w:r w:rsidRPr="00494D60">
        <w:rPr>
          <w:rFonts w:ascii="Times New Roman" w:hAnsi="Times New Roman"/>
          <w:sz w:val="20"/>
        </w:rPr>
        <w:t>Figure</w:t>
      </w:r>
      <w:r>
        <w:rPr>
          <w:rFonts w:ascii="Times New Roman" w:hAnsi="Times New Roman"/>
          <w:sz w:val="20"/>
        </w:rPr>
        <w:t xml:space="preserve"> 3a</w:t>
      </w:r>
      <w:r w:rsidRPr="00494D60">
        <w:rPr>
          <w:rFonts w:ascii="Times New Roman" w:hAnsi="Times New Roman"/>
          <w:sz w:val="20"/>
        </w:rPr>
        <w:t xml:space="preserve"> showed the hyteresis loop for maghemite and NZIC analysed by VSM at room temperature indicate curve for paramagnetism materials. Magnetic saturation of maghemite and NZIC were 29.55 and 8.13 emu/g respectively. Magnetic curve of maghemite and NZIC showed small loop indicating the remaining of magnetic reflux in the sample eventhough mag</w:t>
      </w:r>
      <w:r w:rsidR="004A588F">
        <w:rPr>
          <w:rFonts w:ascii="Times New Roman" w:hAnsi="Times New Roman"/>
          <w:sz w:val="20"/>
        </w:rPr>
        <w:t>netic force is zero. Figure 3b</w:t>
      </w:r>
      <w:r w:rsidRPr="00494D60">
        <w:rPr>
          <w:rFonts w:ascii="Times New Roman" w:hAnsi="Times New Roman"/>
          <w:sz w:val="20"/>
        </w:rPr>
        <w:t xml:space="preserve"> suggested that NZIC in water was attracted effectively when external magnetic field was introduced. The decreasing effect of magnetic saturation in NZIC sample was due to small amount of maghemite in per gram of NZIC.</w:t>
      </w:r>
    </w:p>
    <w:p w:rsidR="00B00214" w:rsidRPr="00B00214" w:rsidRDefault="00B00214" w:rsidP="00B00214">
      <w:pPr>
        <w:pStyle w:val="TAMainText"/>
        <w:spacing w:line="240" w:lineRule="auto"/>
        <w:ind w:firstLine="0"/>
        <w:rPr>
          <w:rFonts w:ascii="Times New Roman" w:hAnsi="Times New Roman"/>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3"/>
      </w:tblGrid>
      <w:tr w:rsidR="004A588F" w:rsidTr="0004143C">
        <w:trPr>
          <w:jc w:val="center"/>
        </w:trPr>
        <w:tc>
          <w:tcPr>
            <w:tcW w:w="8773" w:type="dxa"/>
          </w:tcPr>
          <w:p w:rsidR="004A588F" w:rsidRDefault="004A588F" w:rsidP="004A588F">
            <w:pPr>
              <w:jc w:val="center"/>
            </w:pPr>
            <w:r>
              <w:rPr>
                <w:noProof/>
              </w:rPr>
              <w:drawing>
                <wp:inline distT="0" distB="0" distL="0" distR="0" wp14:anchorId="05891B08" wp14:editId="77DEAB57">
                  <wp:extent cx="3931920" cy="2242185"/>
                  <wp:effectExtent l="0" t="0" r="11430" b="2476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A588F" w:rsidRDefault="004A588F" w:rsidP="004A588F">
            <w:pPr>
              <w:jc w:val="center"/>
            </w:pPr>
          </w:p>
          <w:tbl>
            <w:tblPr>
              <w:tblStyle w:val="TableGrid"/>
              <w:tblW w:w="0" w:type="auto"/>
              <w:tblInd w:w="1178" w:type="dxa"/>
              <w:tblLook w:val="04A0" w:firstRow="1" w:lastRow="0" w:firstColumn="1" w:lastColumn="0" w:noHBand="0" w:noVBand="1"/>
            </w:tblPr>
            <w:tblGrid>
              <w:gridCol w:w="6237"/>
            </w:tblGrid>
            <w:tr w:rsidR="00B76DBD" w:rsidTr="00B76DBD">
              <w:tc>
                <w:tcPr>
                  <w:tcW w:w="6237" w:type="dxa"/>
                </w:tcPr>
                <w:p w:rsidR="00B76DBD" w:rsidRDefault="00B76DBD" w:rsidP="004A588F">
                  <w:pPr>
                    <w:jc w:val="center"/>
                  </w:pPr>
                </w:p>
                <w:p w:rsidR="00B76DBD" w:rsidRDefault="00B76DBD" w:rsidP="004A588F">
                  <w:pPr>
                    <w:jc w:val="center"/>
                  </w:pPr>
                  <w:r>
                    <w:rPr>
                      <w:noProof/>
                    </w:rPr>
                    <mc:AlternateContent>
                      <mc:Choice Requires="wps">
                        <w:drawing>
                          <wp:anchor distT="0" distB="0" distL="114300" distR="114300" simplePos="0" relativeHeight="251666432" behindDoc="0" locked="0" layoutInCell="1" allowOverlap="1" wp14:anchorId="3460139B" wp14:editId="64DCE378">
                            <wp:simplePos x="0" y="0"/>
                            <wp:positionH relativeFrom="column">
                              <wp:posOffset>829945</wp:posOffset>
                            </wp:positionH>
                            <wp:positionV relativeFrom="paragraph">
                              <wp:posOffset>11430</wp:posOffset>
                            </wp:positionV>
                            <wp:extent cx="325755" cy="248920"/>
                            <wp:effectExtent l="0" t="0" r="17145" b="17780"/>
                            <wp:wrapNone/>
                            <wp:docPr id="18" name="Text Box 1"/>
                            <wp:cNvGraphicFramePr/>
                            <a:graphic xmlns:a="http://schemas.openxmlformats.org/drawingml/2006/main">
                              <a:graphicData uri="http://schemas.microsoft.com/office/word/2010/wordprocessingShape">
                                <wps:wsp>
                                  <wps:cNvSpPr txBox="1"/>
                                  <wps:spPr>
                                    <a:xfrm>
                                      <a:off x="0" y="0"/>
                                      <a:ext cx="325755" cy="248920"/>
                                    </a:xfrm>
                                    <a:prstGeom prst="rect">
                                      <a:avLst/>
                                    </a:prstGeom>
                                    <a:ln>
                                      <a:solidFill>
                                        <a:schemeClr val="tx1"/>
                                      </a:solidFill>
                                    </a:ln>
                                  </wps:spPr>
                                  <wps:txbx>
                                    <w:txbxContent>
                                      <w:p w:rsidR="004A588F" w:rsidRDefault="004A588F" w:rsidP="004A588F">
                                        <w:pPr>
                                          <w:pStyle w:val="NormalWeb"/>
                                          <w:spacing w:before="0" w:beforeAutospacing="0" w:after="0" w:afterAutospacing="0"/>
                                        </w:pPr>
                                        <w:r>
                                          <w:rPr>
                                            <w:sz w:val="20"/>
                                            <w:szCs w:val="20"/>
                                          </w:rPr>
                                          <w:t>b</w:t>
                                        </w:r>
                                      </w:p>
                                    </w:txbxContent>
                                  </wps:txbx>
                                  <wps:bodyPr vertOverflow="clip" wrap="square" rtlCol="0"/>
                                </wps:wsp>
                              </a:graphicData>
                            </a:graphic>
                          </wp:anchor>
                        </w:drawing>
                      </mc:Choice>
                      <mc:Fallback>
                        <w:pict>
                          <v:shape id="Text Box 1" o:spid="_x0000_s1029" type="#_x0000_t202" style="position:absolute;left:0;text-align:left;margin-left:65.35pt;margin-top:.9pt;width:25.65pt;height:19.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" filled="f" strokecolor="black [3213]">
                            <v:textbox>
                              <w:txbxContent>
                                <w:p w:rsidR="004A588F" w:rsidRDefault="004A588F" w:rsidP="004A588F">
                                  <w:pPr>
                                    <w:pStyle w:val="NormalWeb"/>
                                    <w:spacing w:before="0" w:beforeAutospacing="0" w:after="0" w:afterAutospacing="0"/>
                                  </w:pPr>
                                  <w:r>
                                    <w:rPr>
                                      <w:sz w:val="20"/>
                                      <w:szCs w:val="20"/>
                                    </w:rPr>
                                    <w:t>b</w:t>
                                  </w:r>
                                </w:p>
                              </w:txbxContent>
                            </v:textbox>
                          </v:shape>
                        </w:pict>
                      </mc:Fallback>
                    </mc:AlternateContent>
                  </w:r>
                  <w:r>
                    <w:rPr>
                      <w:noProof/>
                    </w:rPr>
                    <w:drawing>
                      <wp:inline distT="0" distB="0" distL="0" distR="0" wp14:anchorId="090F5B59" wp14:editId="2D301643">
                        <wp:extent cx="1216324" cy="1656272"/>
                        <wp:effectExtent l="0" t="0" r="3175" b="1270"/>
                        <wp:docPr id="9" name="Picture 9" descr="C:\Users\User\Dropbox\Research\Research pic\NZIC attract in water.jpg"/>
                        <wp:cNvGraphicFramePr/>
                        <a:graphic xmlns:a="http://schemas.openxmlformats.org/drawingml/2006/main">
                          <a:graphicData uri="http://schemas.openxmlformats.org/drawingml/2006/picture">
                            <pic:pic xmlns:pic="http://schemas.openxmlformats.org/drawingml/2006/picture">
                              <pic:nvPicPr>
                                <pic:cNvPr id="2" name="Picture 2" descr="C:\Users\User\Dropbox\Research\Research pic\NZIC attract in water.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6325" cy="1656273"/>
                                </a:xfrm>
                                <a:prstGeom prst="rect">
                                  <a:avLst/>
                                </a:prstGeom>
                                <a:noFill/>
                                <a:ln>
                                  <a:noFill/>
                                </a:ln>
                              </pic:spPr>
                            </pic:pic>
                          </a:graphicData>
                        </a:graphic>
                      </wp:inline>
                    </w:drawing>
                  </w:r>
                </w:p>
                <w:p w:rsidR="00B76DBD" w:rsidRDefault="00B76DBD" w:rsidP="00B76DBD"/>
              </w:tc>
            </w:tr>
          </w:tbl>
          <w:p w:rsidR="004A588F" w:rsidRDefault="004A588F" w:rsidP="004A588F">
            <w:pPr>
              <w:jc w:val="center"/>
            </w:pPr>
          </w:p>
          <w:p w:rsidR="004A588F" w:rsidRDefault="004A588F" w:rsidP="00B76DBD">
            <w:pPr>
              <w:jc w:val="center"/>
            </w:pPr>
          </w:p>
        </w:tc>
      </w:tr>
      <w:tr w:rsidR="004A588F" w:rsidTr="0004143C">
        <w:trPr>
          <w:jc w:val="center"/>
        </w:trPr>
        <w:tc>
          <w:tcPr>
            <w:tcW w:w="8773" w:type="dxa"/>
          </w:tcPr>
          <w:p w:rsidR="004A588F" w:rsidRDefault="004A588F" w:rsidP="00B76DBD">
            <w:pPr>
              <w:pStyle w:val="Caption"/>
              <w:ind w:left="758" w:hanging="758"/>
              <w:jc w:val="both"/>
              <w:rPr>
                <w:b w:val="0"/>
                <w:sz w:val="20"/>
              </w:rPr>
            </w:pPr>
            <w:bookmarkStart w:id="2" w:name="_Ref420222409"/>
            <w:r w:rsidRPr="004A588F">
              <w:rPr>
                <w:b w:val="0"/>
                <w:sz w:val="20"/>
              </w:rPr>
              <w:t xml:space="preserve">Figure </w:t>
            </w:r>
            <w:r w:rsidRPr="004A588F">
              <w:rPr>
                <w:b w:val="0"/>
                <w:sz w:val="20"/>
              </w:rPr>
              <w:fldChar w:fldCharType="begin"/>
            </w:r>
            <w:r w:rsidRPr="004A588F">
              <w:rPr>
                <w:b w:val="0"/>
                <w:sz w:val="20"/>
              </w:rPr>
              <w:instrText xml:space="preserve"> SEQ Figure \* ARABIC </w:instrText>
            </w:r>
            <w:r w:rsidRPr="004A588F">
              <w:rPr>
                <w:b w:val="0"/>
                <w:sz w:val="20"/>
              </w:rPr>
              <w:fldChar w:fldCharType="separate"/>
            </w:r>
            <w:r w:rsidRPr="004A588F">
              <w:rPr>
                <w:b w:val="0"/>
                <w:noProof/>
                <w:sz w:val="20"/>
              </w:rPr>
              <w:t>3</w:t>
            </w:r>
            <w:r w:rsidRPr="004A588F">
              <w:rPr>
                <w:b w:val="0"/>
                <w:noProof/>
                <w:sz w:val="20"/>
              </w:rPr>
              <w:fldChar w:fldCharType="end"/>
            </w:r>
            <w:bookmarkEnd w:id="2"/>
            <w:r>
              <w:rPr>
                <w:b w:val="0"/>
                <w:sz w:val="20"/>
              </w:rPr>
              <w:t xml:space="preserve">. a) </w:t>
            </w:r>
            <w:r w:rsidRPr="004A588F">
              <w:rPr>
                <w:b w:val="0"/>
                <w:sz w:val="20"/>
              </w:rPr>
              <w:t xml:space="preserve">Magnetization curve of </w:t>
            </w:r>
            <w:r>
              <w:rPr>
                <w:b w:val="0"/>
                <w:sz w:val="20"/>
              </w:rPr>
              <w:t>i</w:t>
            </w:r>
            <w:r w:rsidRPr="004A588F">
              <w:rPr>
                <w:b w:val="0"/>
                <w:sz w:val="20"/>
              </w:rPr>
              <w:t xml:space="preserve">) maghemite and </w:t>
            </w:r>
            <w:r>
              <w:rPr>
                <w:b w:val="0"/>
                <w:sz w:val="20"/>
              </w:rPr>
              <w:t>ii</w:t>
            </w:r>
            <w:r w:rsidRPr="004A588F">
              <w:rPr>
                <w:b w:val="0"/>
                <w:sz w:val="20"/>
              </w:rPr>
              <w:t>) NZIC at 300 K and b) magnetic attraction of NZIC towards external magnetic application</w:t>
            </w:r>
          </w:p>
          <w:p w:rsidR="00B76DBD" w:rsidRPr="00B76DBD" w:rsidRDefault="00B76DBD" w:rsidP="00B76DBD"/>
        </w:tc>
      </w:tr>
    </w:tbl>
    <w:p w:rsidR="00B76DBD" w:rsidRPr="00B76DBD" w:rsidRDefault="00B76DBD" w:rsidP="00B76DBD">
      <w:pPr>
        <w:pStyle w:val="TAMainText"/>
        <w:ind w:firstLine="0"/>
        <w:rPr>
          <w:rFonts w:ascii="Times New Roman" w:hAnsi="Times New Roman"/>
          <w:b/>
          <w:sz w:val="20"/>
        </w:rPr>
      </w:pPr>
      <w:r w:rsidRPr="00B76DBD">
        <w:rPr>
          <w:rFonts w:ascii="Times New Roman" w:hAnsi="Times New Roman"/>
          <w:b/>
          <w:sz w:val="20"/>
        </w:rPr>
        <w:t>Surface area</w:t>
      </w:r>
    </w:p>
    <w:p w:rsidR="00B76DBD" w:rsidRDefault="00B76DBD" w:rsidP="00B00214">
      <w:pPr>
        <w:pStyle w:val="TAMainText"/>
        <w:spacing w:line="240" w:lineRule="auto"/>
        <w:ind w:firstLine="0"/>
        <w:rPr>
          <w:rFonts w:ascii="Times New Roman" w:hAnsi="Times New Roman"/>
          <w:sz w:val="20"/>
        </w:rPr>
      </w:pPr>
      <w:r w:rsidRPr="008824BB">
        <w:rPr>
          <w:rFonts w:ascii="Times New Roman" w:hAnsi="Times New Roman"/>
          <w:sz w:val="20"/>
        </w:rPr>
        <w:t>The surface areas of raw material</w:t>
      </w:r>
      <w:r>
        <w:rPr>
          <w:rFonts w:ascii="Times New Roman" w:hAnsi="Times New Roman"/>
          <w:sz w:val="20"/>
        </w:rPr>
        <w:t>s</w:t>
      </w:r>
      <w:r w:rsidRPr="008824BB">
        <w:rPr>
          <w:rFonts w:ascii="Times New Roman" w:hAnsi="Times New Roman"/>
          <w:sz w:val="20"/>
        </w:rPr>
        <w:t>, clinoptilolite</w:t>
      </w:r>
      <w:r>
        <w:rPr>
          <w:rFonts w:ascii="Times New Roman" w:hAnsi="Times New Roman"/>
          <w:sz w:val="20"/>
        </w:rPr>
        <w:t xml:space="preserve"> and EAF slag</w:t>
      </w:r>
      <w:r w:rsidRPr="008824BB">
        <w:rPr>
          <w:rFonts w:ascii="Times New Roman" w:hAnsi="Times New Roman"/>
          <w:sz w:val="20"/>
        </w:rPr>
        <w:t xml:space="preserve"> as well as </w:t>
      </w:r>
      <w:r>
        <w:rPr>
          <w:rFonts w:ascii="Times New Roman" w:hAnsi="Times New Roman"/>
          <w:sz w:val="20"/>
        </w:rPr>
        <w:t xml:space="preserve">maghemite and </w:t>
      </w:r>
      <w:r w:rsidRPr="008824BB">
        <w:rPr>
          <w:rFonts w:ascii="Times New Roman" w:hAnsi="Times New Roman"/>
          <w:sz w:val="20"/>
        </w:rPr>
        <w:t>NZIC were presented in</w:t>
      </w:r>
      <w:r>
        <w:rPr>
          <w:rFonts w:ascii="Times New Roman" w:hAnsi="Times New Roman"/>
          <w:sz w:val="20"/>
        </w:rPr>
        <w:t xml:space="preserve"> </w:t>
      </w:r>
      <w:r w:rsidRPr="002F6B0D">
        <w:rPr>
          <w:rFonts w:ascii="Times New Roman" w:hAnsi="Times New Roman"/>
          <w:sz w:val="20"/>
        </w:rPr>
        <w:fldChar w:fldCharType="begin"/>
      </w:r>
      <w:r w:rsidRPr="002F6B0D">
        <w:rPr>
          <w:rFonts w:ascii="Times New Roman" w:hAnsi="Times New Roman"/>
          <w:sz w:val="20"/>
        </w:rPr>
        <w:instrText xml:space="preserve"> REF _Ref419883374 \h  \* MERGEFORMAT </w:instrText>
      </w:r>
      <w:r w:rsidRPr="002F6B0D">
        <w:rPr>
          <w:rFonts w:ascii="Times New Roman" w:hAnsi="Times New Roman"/>
          <w:sz w:val="20"/>
        </w:rPr>
      </w:r>
      <w:r w:rsidRPr="002F6B0D">
        <w:rPr>
          <w:rFonts w:ascii="Times New Roman" w:hAnsi="Times New Roman"/>
          <w:sz w:val="20"/>
        </w:rPr>
        <w:fldChar w:fldCharType="separate"/>
      </w:r>
      <w:r w:rsidRPr="002F6B0D">
        <w:t xml:space="preserve">Table </w:t>
      </w:r>
      <w:r w:rsidRPr="002F6B0D">
        <w:rPr>
          <w:noProof/>
        </w:rPr>
        <w:t>1</w:t>
      </w:r>
      <w:r w:rsidRPr="002F6B0D">
        <w:rPr>
          <w:rFonts w:ascii="Times New Roman" w:hAnsi="Times New Roman"/>
          <w:sz w:val="20"/>
        </w:rPr>
        <w:fldChar w:fldCharType="end"/>
      </w:r>
      <w:r w:rsidRPr="008824BB">
        <w:rPr>
          <w:rFonts w:ascii="Times New Roman" w:hAnsi="Times New Roman"/>
          <w:sz w:val="20"/>
        </w:rPr>
        <w:t xml:space="preserve">. Iron oxide showed a small surface area due to the agglomeration effects and its mutual magnetic attraction. By modification of </w:t>
      </w:r>
      <w:r>
        <w:rPr>
          <w:rFonts w:ascii="Times New Roman" w:hAnsi="Times New Roman"/>
          <w:sz w:val="20"/>
        </w:rPr>
        <w:t xml:space="preserve">maghemite </w:t>
      </w:r>
      <w:r w:rsidRPr="008824BB">
        <w:rPr>
          <w:rFonts w:ascii="Times New Roman" w:hAnsi="Times New Roman"/>
          <w:sz w:val="20"/>
        </w:rPr>
        <w:t>with clinoptilolite, the surface area increas</w:t>
      </w:r>
      <w:r>
        <w:rPr>
          <w:rFonts w:ascii="Times New Roman" w:hAnsi="Times New Roman"/>
          <w:sz w:val="20"/>
        </w:rPr>
        <w:t xml:space="preserve">e almost four fold. The </w:t>
      </w:r>
      <w:r w:rsidRPr="008824BB">
        <w:rPr>
          <w:rFonts w:ascii="Times New Roman" w:hAnsi="Times New Roman"/>
          <w:sz w:val="20"/>
        </w:rPr>
        <w:t xml:space="preserve">larger surface area of an adsorbent, </w:t>
      </w:r>
      <w:r>
        <w:rPr>
          <w:rFonts w:ascii="Times New Roman" w:hAnsi="Times New Roman"/>
          <w:sz w:val="20"/>
        </w:rPr>
        <w:t xml:space="preserve">then </w:t>
      </w:r>
      <w:r w:rsidRPr="008824BB">
        <w:rPr>
          <w:rFonts w:ascii="Times New Roman" w:hAnsi="Times New Roman"/>
          <w:sz w:val="20"/>
        </w:rPr>
        <w:t>the bigger active site available for adsorption to take place.</w:t>
      </w:r>
    </w:p>
    <w:p w:rsidR="00B76DBD" w:rsidRPr="00B76DBD" w:rsidRDefault="00B76DBD" w:rsidP="00B76DBD">
      <w:pPr>
        <w:pStyle w:val="TAMainText"/>
        <w:ind w:firstLine="0"/>
        <w:rPr>
          <w:rFonts w:ascii="Times New Roman" w:hAnsi="Times New Roman"/>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8"/>
      </w:tblGrid>
      <w:tr w:rsidR="00B76DBD" w:rsidRPr="00AC4FC4" w:rsidTr="0004143C">
        <w:trPr>
          <w:trHeight w:val="1174"/>
          <w:jc w:val="center"/>
        </w:trPr>
        <w:tc>
          <w:tcPr>
            <w:tcW w:w="6408" w:type="dxa"/>
            <w:tcBorders>
              <w:bottom w:val="nil"/>
            </w:tcBorders>
          </w:tcPr>
          <w:p w:rsidR="00B76DBD" w:rsidRPr="00B76DBD" w:rsidRDefault="00B76DBD" w:rsidP="0004143C">
            <w:pPr>
              <w:jc w:val="center"/>
              <w:rPr>
                <w:rFonts w:eastAsia="AdvTimes" w:cs="Times New Roman"/>
                <w:szCs w:val="18"/>
              </w:rPr>
            </w:pPr>
            <w:bookmarkStart w:id="3" w:name="_Ref419883374"/>
            <w:r w:rsidRPr="00B76DBD">
              <w:rPr>
                <w:szCs w:val="18"/>
              </w:rPr>
              <w:t xml:space="preserve">Table </w:t>
            </w:r>
            <w:r w:rsidRPr="00B76DBD">
              <w:rPr>
                <w:szCs w:val="18"/>
              </w:rPr>
              <w:fldChar w:fldCharType="begin"/>
            </w:r>
            <w:r w:rsidRPr="00B76DBD">
              <w:rPr>
                <w:szCs w:val="18"/>
              </w:rPr>
              <w:instrText xml:space="preserve"> SEQ Table \* ARABIC </w:instrText>
            </w:r>
            <w:r w:rsidRPr="00B76DBD">
              <w:rPr>
                <w:szCs w:val="18"/>
              </w:rPr>
              <w:fldChar w:fldCharType="separate"/>
            </w:r>
            <w:r w:rsidRPr="00B76DBD">
              <w:rPr>
                <w:noProof/>
                <w:szCs w:val="18"/>
              </w:rPr>
              <w:t>1</w:t>
            </w:r>
            <w:r w:rsidRPr="00B76DBD">
              <w:rPr>
                <w:szCs w:val="18"/>
              </w:rPr>
              <w:fldChar w:fldCharType="end"/>
            </w:r>
            <w:bookmarkEnd w:id="3"/>
            <w:r>
              <w:rPr>
                <w:szCs w:val="18"/>
              </w:rPr>
              <w:t xml:space="preserve">. </w:t>
            </w:r>
            <w:r w:rsidRPr="00B76DBD">
              <w:rPr>
                <w:rFonts w:eastAsia="AdvTimes" w:cs="Times New Roman"/>
                <w:szCs w:val="18"/>
              </w:rPr>
              <w:t>Surface area of clinoptilolite, EAFS, iron oxide and NZIC</w:t>
            </w:r>
          </w:p>
          <w:p w:rsidR="00B76DBD" w:rsidRPr="00B76DBD" w:rsidRDefault="00B76DBD" w:rsidP="0004143C">
            <w:pPr>
              <w:jc w:val="center"/>
              <w:rPr>
                <w:rFonts w:eastAsia="AdvTimes" w:cs="Times New Roman"/>
                <w:szCs w:val="18"/>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1740"/>
              <w:gridCol w:w="1339"/>
              <w:gridCol w:w="991"/>
              <w:gridCol w:w="1183"/>
              <w:gridCol w:w="939"/>
            </w:tblGrid>
            <w:tr w:rsidR="00B76DBD" w:rsidRPr="00AC4FC4" w:rsidTr="0004143C">
              <w:trPr>
                <w:trHeight w:val="454"/>
              </w:trPr>
              <w:tc>
                <w:tcPr>
                  <w:tcW w:w="1466" w:type="pct"/>
                  <w:tcBorders>
                    <w:top w:val="single" w:sz="4" w:space="0" w:color="auto"/>
                    <w:bottom w:val="single" w:sz="4" w:space="0" w:color="auto"/>
                  </w:tcBorders>
                  <w:hideMark/>
                </w:tcPr>
                <w:p w:rsidR="00B76DBD" w:rsidRPr="00B76DBD" w:rsidRDefault="00B76DBD" w:rsidP="0004143C">
                  <w:pPr>
                    <w:jc w:val="center"/>
                    <w:rPr>
                      <w:rFonts w:eastAsia="AdvTimes" w:cs="Times New Roman"/>
                      <w:b/>
                      <w:szCs w:val="18"/>
                      <w:lang w:val="en-MY"/>
                    </w:rPr>
                  </w:pPr>
                  <w:r w:rsidRPr="00B76DBD">
                    <w:rPr>
                      <w:rFonts w:eastAsia="AdvTimes" w:cs="Times New Roman"/>
                      <w:b/>
                      <w:szCs w:val="18"/>
                    </w:rPr>
                    <w:t>Sample</w:t>
                  </w:r>
                </w:p>
              </w:tc>
              <w:tc>
                <w:tcPr>
                  <w:tcW w:w="1036" w:type="pct"/>
                  <w:tcBorders>
                    <w:top w:val="single" w:sz="4" w:space="0" w:color="auto"/>
                    <w:bottom w:val="single" w:sz="4" w:space="0" w:color="auto"/>
                  </w:tcBorders>
                  <w:hideMark/>
                </w:tcPr>
                <w:p w:rsidR="00B76DBD" w:rsidRPr="00B76DBD" w:rsidRDefault="00B76DBD" w:rsidP="0004143C">
                  <w:pPr>
                    <w:jc w:val="center"/>
                    <w:rPr>
                      <w:rFonts w:eastAsia="AdvTimes" w:cs="Times New Roman"/>
                      <w:b/>
                      <w:szCs w:val="18"/>
                      <w:lang w:val="en-MY"/>
                    </w:rPr>
                  </w:pPr>
                  <w:r w:rsidRPr="00B76DBD">
                    <w:rPr>
                      <w:rFonts w:eastAsia="AdvTimes" w:cs="Times New Roman"/>
                      <w:b/>
                      <w:szCs w:val="18"/>
                    </w:rPr>
                    <w:t>Clinoptilolite</w:t>
                  </w:r>
                </w:p>
              </w:tc>
              <w:tc>
                <w:tcPr>
                  <w:tcW w:w="860" w:type="pct"/>
                  <w:tcBorders>
                    <w:top w:val="single" w:sz="4" w:space="0" w:color="auto"/>
                    <w:bottom w:val="single" w:sz="4" w:space="0" w:color="auto"/>
                  </w:tcBorders>
                  <w:hideMark/>
                </w:tcPr>
                <w:p w:rsidR="00B76DBD" w:rsidRPr="00B76DBD" w:rsidRDefault="00B76DBD" w:rsidP="0004143C">
                  <w:pPr>
                    <w:jc w:val="center"/>
                    <w:rPr>
                      <w:rFonts w:eastAsia="AdvTimes" w:cs="Times New Roman"/>
                      <w:b/>
                      <w:szCs w:val="18"/>
                      <w:lang w:val="en-MY"/>
                    </w:rPr>
                  </w:pPr>
                  <w:r w:rsidRPr="00B76DBD">
                    <w:rPr>
                      <w:rFonts w:eastAsia="AdvTimes" w:cs="Times New Roman"/>
                      <w:b/>
                      <w:szCs w:val="18"/>
                    </w:rPr>
                    <w:t>Raw EAFS</w:t>
                  </w:r>
                </w:p>
              </w:tc>
              <w:tc>
                <w:tcPr>
                  <w:tcW w:w="820" w:type="pct"/>
                  <w:tcBorders>
                    <w:top w:val="single" w:sz="4" w:space="0" w:color="auto"/>
                    <w:bottom w:val="single" w:sz="4" w:space="0" w:color="auto"/>
                  </w:tcBorders>
                </w:tcPr>
                <w:p w:rsidR="00B76DBD" w:rsidRPr="00B76DBD" w:rsidRDefault="00B76DBD" w:rsidP="0004143C">
                  <w:pPr>
                    <w:jc w:val="center"/>
                    <w:rPr>
                      <w:rFonts w:eastAsia="AdvTimes" w:cs="Times New Roman"/>
                      <w:b/>
                      <w:bCs/>
                      <w:szCs w:val="18"/>
                    </w:rPr>
                  </w:pPr>
                  <w:r w:rsidRPr="00B76DBD">
                    <w:rPr>
                      <w:rFonts w:eastAsia="AdvTimes" w:cs="Times New Roman"/>
                      <w:b/>
                      <w:szCs w:val="18"/>
                    </w:rPr>
                    <w:t>Maghemite</w:t>
                  </w:r>
                </w:p>
              </w:tc>
              <w:tc>
                <w:tcPr>
                  <w:tcW w:w="818" w:type="pct"/>
                  <w:tcBorders>
                    <w:top w:val="single" w:sz="4" w:space="0" w:color="auto"/>
                    <w:bottom w:val="single" w:sz="4" w:space="0" w:color="auto"/>
                  </w:tcBorders>
                  <w:hideMark/>
                </w:tcPr>
                <w:p w:rsidR="00B76DBD" w:rsidRPr="00B76DBD" w:rsidRDefault="00B76DBD" w:rsidP="0004143C">
                  <w:pPr>
                    <w:jc w:val="center"/>
                    <w:rPr>
                      <w:rFonts w:eastAsia="AdvTimes" w:cs="Times New Roman"/>
                      <w:b/>
                      <w:szCs w:val="18"/>
                      <w:lang w:val="en-MY"/>
                    </w:rPr>
                  </w:pPr>
                  <w:r w:rsidRPr="00B76DBD">
                    <w:rPr>
                      <w:rFonts w:eastAsia="AdvTimes" w:cs="Times New Roman"/>
                      <w:b/>
                      <w:szCs w:val="18"/>
                    </w:rPr>
                    <w:t>NZIC</w:t>
                  </w:r>
                </w:p>
              </w:tc>
            </w:tr>
            <w:tr w:rsidR="00B76DBD" w:rsidRPr="00AC4FC4" w:rsidTr="0004143C">
              <w:trPr>
                <w:trHeight w:val="454"/>
              </w:trPr>
              <w:tc>
                <w:tcPr>
                  <w:tcW w:w="1466" w:type="pct"/>
                  <w:tcBorders>
                    <w:top w:val="single" w:sz="4" w:space="0" w:color="auto"/>
                    <w:bottom w:val="single" w:sz="4" w:space="0" w:color="auto"/>
                  </w:tcBorders>
                  <w:hideMark/>
                </w:tcPr>
                <w:p w:rsidR="00B76DBD" w:rsidRPr="00B76DBD" w:rsidRDefault="00B76DBD" w:rsidP="0004143C">
                  <w:pPr>
                    <w:jc w:val="center"/>
                    <w:rPr>
                      <w:rFonts w:eastAsia="AdvTimes" w:cs="Times New Roman"/>
                      <w:szCs w:val="18"/>
                      <w:lang w:val="en-MY"/>
                    </w:rPr>
                  </w:pPr>
                  <w:r w:rsidRPr="00B76DBD">
                    <w:rPr>
                      <w:rFonts w:eastAsia="AdvTimes" w:cs="Times New Roman"/>
                      <w:bCs/>
                      <w:szCs w:val="18"/>
                    </w:rPr>
                    <w:t>Surface area, m</w:t>
                  </w:r>
                  <w:r w:rsidRPr="00B76DBD">
                    <w:rPr>
                      <w:rFonts w:eastAsia="AdvTimes" w:cs="Times New Roman"/>
                      <w:bCs/>
                      <w:szCs w:val="18"/>
                      <w:vertAlign w:val="superscript"/>
                    </w:rPr>
                    <w:t>2</w:t>
                  </w:r>
                  <w:r w:rsidRPr="00B76DBD">
                    <w:rPr>
                      <w:rFonts w:eastAsia="AdvTimes" w:cs="Times New Roman"/>
                      <w:bCs/>
                      <w:szCs w:val="18"/>
                    </w:rPr>
                    <w:t>/g</w:t>
                  </w:r>
                </w:p>
              </w:tc>
              <w:tc>
                <w:tcPr>
                  <w:tcW w:w="1036" w:type="pct"/>
                  <w:tcBorders>
                    <w:top w:val="single" w:sz="4" w:space="0" w:color="auto"/>
                    <w:bottom w:val="single" w:sz="4" w:space="0" w:color="auto"/>
                  </w:tcBorders>
                  <w:hideMark/>
                </w:tcPr>
                <w:p w:rsidR="00B76DBD" w:rsidRPr="00B76DBD" w:rsidRDefault="00B76DBD" w:rsidP="0004143C">
                  <w:pPr>
                    <w:jc w:val="center"/>
                    <w:rPr>
                      <w:rFonts w:eastAsia="AdvTimes" w:cs="Times New Roman"/>
                      <w:szCs w:val="18"/>
                      <w:lang w:val="en-MY"/>
                    </w:rPr>
                  </w:pPr>
                  <w:r w:rsidRPr="00B76DBD">
                    <w:rPr>
                      <w:rFonts w:eastAsia="AdvTimes" w:cs="Times New Roman"/>
                      <w:szCs w:val="18"/>
                    </w:rPr>
                    <w:t>37.84</w:t>
                  </w:r>
                </w:p>
              </w:tc>
              <w:tc>
                <w:tcPr>
                  <w:tcW w:w="860" w:type="pct"/>
                  <w:tcBorders>
                    <w:top w:val="single" w:sz="4" w:space="0" w:color="auto"/>
                    <w:bottom w:val="single" w:sz="4" w:space="0" w:color="auto"/>
                  </w:tcBorders>
                  <w:hideMark/>
                </w:tcPr>
                <w:p w:rsidR="00B76DBD" w:rsidRPr="00B76DBD" w:rsidRDefault="00B76DBD" w:rsidP="0004143C">
                  <w:pPr>
                    <w:jc w:val="center"/>
                    <w:rPr>
                      <w:rFonts w:eastAsia="AdvTimes" w:cs="Times New Roman"/>
                      <w:szCs w:val="18"/>
                      <w:lang w:val="en-MY"/>
                    </w:rPr>
                  </w:pPr>
                  <w:r w:rsidRPr="00B76DBD">
                    <w:rPr>
                      <w:rFonts w:eastAsia="AdvTimes" w:cs="Times New Roman"/>
                      <w:szCs w:val="18"/>
                    </w:rPr>
                    <w:t>3.02</w:t>
                  </w:r>
                </w:p>
              </w:tc>
              <w:tc>
                <w:tcPr>
                  <w:tcW w:w="820" w:type="pct"/>
                  <w:tcBorders>
                    <w:top w:val="single" w:sz="4" w:space="0" w:color="auto"/>
                    <w:bottom w:val="single" w:sz="4" w:space="0" w:color="auto"/>
                  </w:tcBorders>
                </w:tcPr>
                <w:p w:rsidR="00B76DBD" w:rsidRPr="00B76DBD" w:rsidRDefault="00B76DBD" w:rsidP="0004143C">
                  <w:pPr>
                    <w:jc w:val="center"/>
                    <w:rPr>
                      <w:rFonts w:eastAsia="AdvTimes" w:cs="Times New Roman"/>
                      <w:szCs w:val="18"/>
                    </w:rPr>
                  </w:pPr>
                  <w:r w:rsidRPr="00B76DBD">
                    <w:rPr>
                      <w:rFonts w:eastAsia="AdvTimes" w:cs="Times New Roman"/>
                      <w:szCs w:val="18"/>
                    </w:rPr>
                    <w:t>9.62</w:t>
                  </w:r>
                </w:p>
              </w:tc>
              <w:tc>
                <w:tcPr>
                  <w:tcW w:w="818" w:type="pct"/>
                  <w:tcBorders>
                    <w:top w:val="single" w:sz="4" w:space="0" w:color="auto"/>
                    <w:bottom w:val="single" w:sz="4" w:space="0" w:color="auto"/>
                  </w:tcBorders>
                  <w:hideMark/>
                </w:tcPr>
                <w:p w:rsidR="00B76DBD" w:rsidRPr="00B76DBD" w:rsidRDefault="00B76DBD" w:rsidP="0004143C">
                  <w:pPr>
                    <w:jc w:val="center"/>
                    <w:rPr>
                      <w:rFonts w:eastAsia="AdvTimes" w:cs="Times New Roman"/>
                      <w:szCs w:val="18"/>
                      <w:lang w:val="en-MY"/>
                    </w:rPr>
                  </w:pPr>
                  <w:r w:rsidRPr="00B76DBD">
                    <w:rPr>
                      <w:rFonts w:eastAsia="AdvTimes" w:cs="Times New Roman"/>
                      <w:szCs w:val="18"/>
                    </w:rPr>
                    <w:t>146.29</w:t>
                  </w:r>
                </w:p>
              </w:tc>
            </w:tr>
          </w:tbl>
          <w:p w:rsidR="00B76DBD" w:rsidRPr="00AC4FC4" w:rsidRDefault="00B76DBD" w:rsidP="0004143C">
            <w:pPr>
              <w:jc w:val="center"/>
              <w:rPr>
                <w:rFonts w:eastAsia="AdvTimes" w:cs="Times New Roman"/>
                <w:sz w:val="18"/>
                <w:szCs w:val="18"/>
              </w:rPr>
            </w:pPr>
          </w:p>
        </w:tc>
      </w:tr>
    </w:tbl>
    <w:p w:rsidR="00B76DBD" w:rsidRPr="008824BB" w:rsidRDefault="00B76DBD" w:rsidP="00B76DBD">
      <w:pPr>
        <w:pStyle w:val="TAMainText"/>
        <w:ind w:firstLine="0"/>
        <w:rPr>
          <w:rFonts w:ascii="Times New Roman" w:hAnsi="Times New Roman"/>
          <w:sz w:val="20"/>
        </w:rPr>
      </w:pPr>
    </w:p>
    <w:p w:rsidR="00B76DBD" w:rsidRDefault="00B76DBD" w:rsidP="00B76DBD">
      <w:pPr>
        <w:pStyle w:val="TAMainText"/>
        <w:ind w:firstLine="0"/>
        <w:rPr>
          <w:rFonts w:ascii="Times New Roman" w:hAnsi="Times New Roman"/>
          <w:b/>
          <w:sz w:val="20"/>
        </w:rPr>
      </w:pPr>
      <w:r w:rsidRPr="00B76DBD">
        <w:rPr>
          <w:rFonts w:ascii="Times New Roman" w:hAnsi="Times New Roman"/>
          <w:b/>
          <w:sz w:val="20"/>
        </w:rPr>
        <w:t>pH at zero point charge</w:t>
      </w:r>
    </w:p>
    <w:p w:rsidR="00B76DBD" w:rsidRPr="00B76DBD" w:rsidRDefault="00B76DBD" w:rsidP="00B00214">
      <w:pPr>
        <w:pStyle w:val="TAMainText"/>
        <w:spacing w:line="240" w:lineRule="auto"/>
        <w:ind w:firstLine="0"/>
        <w:rPr>
          <w:rFonts w:ascii="Times New Roman" w:hAnsi="Times New Roman"/>
          <w:b/>
          <w:sz w:val="20"/>
        </w:rPr>
      </w:pPr>
      <w:r w:rsidRPr="008824BB">
        <w:rPr>
          <w:rFonts w:ascii="Times New Roman" w:hAnsi="Times New Roman"/>
          <w:sz w:val="20"/>
        </w:rPr>
        <w:t>The pH at zero point charge (pH</w:t>
      </w:r>
      <w:r w:rsidRPr="008824BB">
        <w:rPr>
          <w:rFonts w:ascii="Times New Roman" w:hAnsi="Times New Roman"/>
          <w:sz w:val="20"/>
          <w:vertAlign w:val="subscript"/>
        </w:rPr>
        <w:t>zpc</w:t>
      </w:r>
      <w:r w:rsidRPr="008824BB">
        <w:rPr>
          <w:rFonts w:ascii="Times New Roman" w:hAnsi="Times New Roman"/>
          <w:sz w:val="20"/>
        </w:rPr>
        <w:t xml:space="preserve">) for NZIC was determined by mixing 0.15 g NZIC in 0.01 M concentration of NaCl and varying the pH of the solution from pH 2-13. After 24 hours agitation, the resulting mixtures were analysed for its pH. The plot of initial and final pH in </w:t>
      </w:r>
      <w:r w:rsidRPr="00256A68">
        <w:rPr>
          <w:rFonts w:ascii="Times New Roman" w:hAnsi="Times New Roman"/>
          <w:sz w:val="20"/>
        </w:rPr>
        <w:fldChar w:fldCharType="begin"/>
      </w:r>
      <w:r w:rsidRPr="00256A68">
        <w:rPr>
          <w:rFonts w:ascii="Times New Roman" w:hAnsi="Times New Roman"/>
          <w:sz w:val="20"/>
        </w:rPr>
        <w:instrText xml:space="preserve"> REF _Ref419884193 \h  \* MERGEFORMAT </w:instrText>
      </w:r>
      <w:r w:rsidRPr="00256A68">
        <w:rPr>
          <w:rFonts w:ascii="Times New Roman" w:hAnsi="Times New Roman"/>
          <w:sz w:val="20"/>
        </w:rPr>
      </w:r>
      <w:r w:rsidRPr="00256A68">
        <w:rPr>
          <w:rFonts w:ascii="Times New Roman" w:hAnsi="Times New Roman"/>
          <w:sz w:val="20"/>
        </w:rPr>
        <w:fldChar w:fldCharType="separate"/>
      </w:r>
      <w:r w:rsidRPr="00256A68">
        <w:rPr>
          <w:rFonts w:ascii="Times New Roman" w:hAnsi="Times New Roman"/>
          <w:sz w:val="20"/>
        </w:rPr>
        <w:t xml:space="preserve">Figure </w:t>
      </w:r>
      <w:r w:rsidRPr="00256A68">
        <w:rPr>
          <w:rFonts w:ascii="Times New Roman" w:hAnsi="Times New Roman"/>
          <w:noProof/>
          <w:sz w:val="20"/>
        </w:rPr>
        <w:t>4</w:t>
      </w:r>
      <w:r w:rsidRPr="00256A68">
        <w:rPr>
          <w:rFonts w:ascii="Times New Roman" w:hAnsi="Times New Roman"/>
          <w:sz w:val="20"/>
        </w:rPr>
        <w:fldChar w:fldCharType="end"/>
      </w:r>
      <w:r>
        <w:rPr>
          <w:rFonts w:ascii="Times New Roman" w:hAnsi="Times New Roman"/>
          <w:sz w:val="20"/>
        </w:rPr>
        <w:t xml:space="preserve"> </w:t>
      </w:r>
      <w:r w:rsidRPr="008824BB">
        <w:rPr>
          <w:rFonts w:ascii="Times New Roman" w:hAnsi="Times New Roman"/>
          <w:sz w:val="20"/>
        </w:rPr>
        <w:t>showed an intersec</w:t>
      </w:r>
      <w:r>
        <w:rPr>
          <w:rFonts w:ascii="Times New Roman" w:hAnsi="Times New Roman"/>
          <w:sz w:val="20"/>
        </w:rPr>
        <w:t xml:space="preserve">tion of the two curves at pH </w:t>
      </w:r>
      <w:r>
        <w:rPr>
          <w:rFonts w:ascii="Times New Roman" w:hAnsi="Times New Roman"/>
          <w:sz w:val="20"/>
        </w:rPr>
        <w:lastRenderedPageBreak/>
        <w:t>8.2</w:t>
      </w:r>
      <w:r w:rsidRPr="008824BB">
        <w:rPr>
          <w:rFonts w:ascii="Times New Roman" w:hAnsi="Times New Roman"/>
          <w:sz w:val="20"/>
        </w:rPr>
        <w:t xml:space="preserve">. At this point, the NZIC charge is considered neutral. </w:t>
      </w:r>
      <w:r>
        <w:rPr>
          <w:rFonts w:ascii="Times New Roman" w:hAnsi="Times New Roman"/>
          <w:sz w:val="20"/>
        </w:rPr>
        <w:t>The adsorption of PQ depends on the pH of solution as PQ exists in its cationic form in water. At lower pH, surface of NZIC was saturated with hydronium ions (H</w:t>
      </w:r>
      <w:r w:rsidRPr="00117E72">
        <w:rPr>
          <w:rFonts w:ascii="Times New Roman" w:hAnsi="Times New Roman"/>
          <w:sz w:val="20"/>
          <w:vertAlign w:val="subscript"/>
        </w:rPr>
        <w:t>3</w:t>
      </w:r>
      <w:r>
        <w:rPr>
          <w:rFonts w:ascii="Times New Roman" w:hAnsi="Times New Roman"/>
          <w:sz w:val="20"/>
        </w:rPr>
        <w:t>O</w:t>
      </w:r>
      <w:r w:rsidRPr="00117E72">
        <w:rPr>
          <w:rFonts w:ascii="Times New Roman" w:hAnsi="Times New Roman"/>
          <w:sz w:val="20"/>
          <w:vertAlign w:val="superscript"/>
        </w:rPr>
        <w:t>+</w:t>
      </w:r>
      <w:r>
        <w:rPr>
          <w:rFonts w:ascii="Times New Roman" w:hAnsi="Times New Roman"/>
          <w:sz w:val="20"/>
        </w:rPr>
        <w:t>), thus high competition of these positively charge paraquat (PQ</w:t>
      </w:r>
      <w:r w:rsidRPr="00117E72">
        <w:rPr>
          <w:rFonts w:ascii="Times New Roman" w:hAnsi="Times New Roman"/>
          <w:sz w:val="20"/>
          <w:vertAlign w:val="superscript"/>
        </w:rPr>
        <w:t>+</w:t>
      </w:r>
      <w:r>
        <w:rPr>
          <w:rFonts w:ascii="Times New Roman" w:hAnsi="Times New Roman"/>
          <w:sz w:val="20"/>
        </w:rPr>
        <w:t>) and H</w:t>
      </w:r>
      <w:r w:rsidRPr="00117E72">
        <w:rPr>
          <w:rFonts w:ascii="Times New Roman" w:hAnsi="Times New Roman"/>
          <w:sz w:val="20"/>
          <w:vertAlign w:val="subscript"/>
        </w:rPr>
        <w:t>3</w:t>
      </w:r>
      <w:r>
        <w:rPr>
          <w:rFonts w:ascii="Times New Roman" w:hAnsi="Times New Roman"/>
          <w:sz w:val="20"/>
        </w:rPr>
        <w:t>O</w:t>
      </w:r>
      <w:r w:rsidRPr="00117E72">
        <w:rPr>
          <w:rFonts w:ascii="Times New Roman" w:hAnsi="Times New Roman"/>
          <w:sz w:val="20"/>
          <w:vertAlign w:val="superscript"/>
        </w:rPr>
        <w:t>+</w:t>
      </w:r>
      <w:r>
        <w:rPr>
          <w:rFonts w:ascii="Times New Roman" w:hAnsi="Times New Roman"/>
          <w:sz w:val="20"/>
        </w:rPr>
        <w:t xml:space="preserve"> decreased the adsorption of PQ. </w:t>
      </w:r>
    </w:p>
    <w:p w:rsidR="004A588F" w:rsidRDefault="004A588F" w:rsidP="00494D60">
      <w:pPr>
        <w:pStyle w:val="TAMainText"/>
        <w:ind w:firstLine="0"/>
        <w:rPr>
          <w:rFonts w:ascii="Times New Roman" w:hAnsi="Times New Roman"/>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6"/>
      </w:tblGrid>
      <w:tr w:rsidR="00B76DBD" w:rsidRPr="008824BB" w:rsidTr="0004143C">
        <w:trPr>
          <w:jc w:val="center"/>
        </w:trPr>
        <w:tc>
          <w:tcPr>
            <w:tcW w:w="6408" w:type="dxa"/>
          </w:tcPr>
          <w:p w:rsidR="00B76DBD" w:rsidRPr="008824BB" w:rsidRDefault="00B76DBD" w:rsidP="0004143C">
            <w:pPr>
              <w:jc w:val="center"/>
              <w:rPr>
                <w:rFonts w:cs="Times New Roman"/>
                <w:szCs w:val="20"/>
              </w:rPr>
            </w:pPr>
            <w:r w:rsidRPr="008824BB">
              <w:rPr>
                <w:rFonts w:cs="Times New Roman"/>
                <w:noProof/>
                <w:szCs w:val="20"/>
              </w:rPr>
              <w:drawing>
                <wp:anchor distT="0" distB="0" distL="114300" distR="114300" simplePos="0" relativeHeight="251667456" behindDoc="0" locked="0" layoutInCell="1" allowOverlap="1" wp14:anchorId="1DFA7E9A" wp14:editId="2DD78E3F">
                  <wp:simplePos x="0" y="0"/>
                  <wp:positionH relativeFrom="column">
                    <wp:posOffset>222885</wp:posOffset>
                  </wp:positionH>
                  <wp:positionV relativeFrom="paragraph">
                    <wp:posOffset>-1905</wp:posOffset>
                  </wp:positionV>
                  <wp:extent cx="4028440" cy="2181860"/>
                  <wp:effectExtent l="0" t="0" r="10160" b="27940"/>
                  <wp:wrapSquare wrapText="bothSides"/>
                  <wp:docPr id="1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tc>
      </w:tr>
      <w:tr w:rsidR="00B76DBD" w:rsidRPr="00A57321" w:rsidTr="0004143C">
        <w:trPr>
          <w:jc w:val="center"/>
        </w:trPr>
        <w:tc>
          <w:tcPr>
            <w:tcW w:w="6408" w:type="dxa"/>
          </w:tcPr>
          <w:p w:rsidR="00B76DBD" w:rsidRPr="00B76DBD" w:rsidRDefault="00B76DBD" w:rsidP="00344229">
            <w:pPr>
              <w:pStyle w:val="Caption"/>
              <w:jc w:val="center"/>
              <w:rPr>
                <w:b w:val="0"/>
              </w:rPr>
            </w:pPr>
            <w:bookmarkStart w:id="4" w:name="_Ref419884193"/>
            <w:r w:rsidRPr="00B76DBD">
              <w:rPr>
                <w:b w:val="0"/>
                <w:sz w:val="20"/>
              </w:rPr>
              <w:t xml:space="preserve">Figure </w:t>
            </w:r>
            <w:r w:rsidRPr="00B76DBD">
              <w:rPr>
                <w:b w:val="0"/>
                <w:sz w:val="20"/>
              </w:rPr>
              <w:fldChar w:fldCharType="begin"/>
            </w:r>
            <w:r w:rsidRPr="00B76DBD">
              <w:rPr>
                <w:b w:val="0"/>
                <w:sz w:val="20"/>
              </w:rPr>
              <w:instrText xml:space="preserve"> SEQ Figure \* ARABIC </w:instrText>
            </w:r>
            <w:r w:rsidRPr="00B76DBD">
              <w:rPr>
                <w:b w:val="0"/>
                <w:sz w:val="20"/>
              </w:rPr>
              <w:fldChar w:fldCharType="separate"/>
            </w:r>
            <w:r w:rsidRPr="00B76DBD">
              <w:rPr>
                <w:b w:val="0"/>
                <w:noProof/>
                <w:sz w:val="20"/>
              </w:rPr>
              <w:t>4</w:t>
            </w:r>
            <w:r w:rsidRPr="00B76DBD">
              <w:rPr>
                <w:b w:val="0"/>
                <w:noProof/>
                <w:sz w:val="20"/>
              </w:rPr>
              <w:fldChar w:fldCharType="end"/>
            </w:r>
            <w:bookmarkEnd w:id="4"/>
            <w:r w:rsidR="00344229">
              <w:rPr>
                <w:b w:val="0"/>
                <w:sz w:val="20"/>
              </w:rPr>
              <w:t>. T</w:t>
            </w:r>
            <w:r>
              <w:rPr>
                <w:b w:val="0"/>
                <w:sz w:val="20"/>
              </w:rPr>
              <w:t xml:space="preserve">he </w:t>
            </w:r>
            <w:r w:rsidRPr="00B76DBD">
              <w:rPr>
                <w:rFonts w:cs="Times New Roman"/>
                <w:b w:val="0"/>
                <w:sz w:val="20"/>
                <w:szCs w:val="20"/>
              </w:rPr>
              <w:t>pH at zero point charge of NZIC</w:t>
            </w:r>
          </w:p>
        </w:tc>
      </w:tr>
    </w:tbl>
    <w:p w:rsidR="00344229" w:rsidRDefault="00344229" w:rsidP="00344229">
      <w:pPr>
        <w:pStyle w:val="TAMainText"/>
        <w:ind w:firstLine="0"/>
        <w:rPr>
          <w:rFonts w:ascii="Times New Roman" w:hAnsi="Times New Roman"/>
          <w:b/>
          <w:sz w:val="20"/>
        </w:rPr>
      </w:pPr>
    </w:p>
    <w:p w:rsidR="00344229" w:rsidRPr="008824BB" w:rsidRDefault="00344229" w:rsidP="00344229">
      <w:pPr>
        <w:pStyle w:val="TAMainText"/>
        <w:ind w:firstLine="0"/>
        <w:rPr>
          <w:rFonts w:ascii="Times New Roman" w:hAnsi="Times New Roman"/>
          <w:b/>
          <w:sz w:val="20"/>
        </w:rPr>
      </w:pPr>
      <w:r w:rsidRPr="008824BB">
        <w:rPr>
          <w:rFonts w:ascii="Times New Roman" w:hAnsi="Times New Roman"/>
          <w:b/>
          <w:sz w:val="20"/>
        </w:rPr>
        <w:t>Paraquat removal by NZIC</w:t>
      </w:r>
    </w:p>
    <w:p w:rsidR="00344229" w:rsidRPr="008824BB" w:rsidRDefault="00344229" w:rsidP="00B00214">
      <w:pPr>
        <w:pStyle w:val="TAMainText"/>
        <w:spacing w:line="240" w:lineRule="auto"/>
        <w:ind w:firstLine="0"/>
        <w:rPr>
          <w:rFonts w:ascii="Times New Roman" w:hAnsi="Times New Roman"/>
          <w:sz w:val="20"/>
        </w:rPr>
      </w:pPr>
      <w:r w:rsidRPr="00256A68">
        <w:rPr>
          <w:rFonts w:ascii="Times New Roman" w:hAnsi="Times New Roman"/>
          <w:sz w:val="20"/>
        </w:rPr>
        <w:fldChar w:fldCharType="begin"/>
      </w:r>
      <w:r w:rsidRPr="00256A68">
        <w:rPr>
          <w:rFonts w:ascii="Times New Roman" w:hAnsi="Times New Roman"/>
          <w:sz w:val="20"/>
        </w:rPr>
        <w:instrText xml:space="preserve"> REF _Ref419886064 \h  \* MERGEFORMAT </w:instrText>
      </w:r>
      <w:r w:rsidRPr="00256A68">
        <w:rPr>
          <w:rFonts w:ascii="Times New Roman" w:hAnsi="Times New Roman"/>
          <w:sz w:val="20"/>
        </w:rPr>
      </w:r>
      <w:r w:rsidRPr="00256A68">
        <w:rPr>
          <w:rFonts w:ascii="Times New Roman" w:hAnsi="Times New Roman"/>
          <w:sz w:val="20"/>
        </w:rPr>
        <w:fldChar w:fldCharType="separate"/>
      </w:r>
      <w:r w:rsidRPr="00256A68">
        <w:rPr>
          <w:rFonts w:ascii="Times New Roman" w:hAnsi="Times New Roman"/>
          <w:sz w:val="20"/>
        </w:rPr>
        <w:t xml:space="preserve">Figure </w:t>
      </w:r>
      <w:r w:rsidRPr="00256A68">
        <w:rPr>
          <w:rFonts w:ascii="Times New Roman" w:hAnsi="Times New Roman"/>
          <w:noProof/>
          <w:sz w:val="20"/>
        </w:rPr>
        <w:t>5</w:t>
      </w:r>
      <w:r w:rsidRPr="00256A68">
        <w:rPr>
          <w:rFonts w:ascii="Times New Roman" w:hAnsi="Times New Roman"/>
          <w:sz w:val="20"/>
        </w:rPr>
        <w:fldChar w:fldCharType="end"/>
      </w:r>
      <w:r>
        <w:rPr>
          <w:rFonts w:ascii="Times New Roman" w:hAnsi="Times New Roman"/>
          <w:sz w:val="20"/>
        </w:rPr>
        <w:t xml:space="preserve"> </w:t>
      </w:r>
      <w:r w:rsidRPr="008824BB">
        <w:rPr>
          <w:rFonts w:ascii="Times New Roman" w:hAnsi="Times New Roman"/>
          <w:sz w:val="20"/>
        </w:rPr>
        <w:t xml:space="preserve">shows the </w:t>
      </w:r>
      <w:r>
        <w:rPr>
          <w:rFonts w:ascii="Times New Roman" w:hAnsi="Times New Roman"/>
          <w:sz w:val="20"/>
        </w:rPr>
        <w:t>plots</w:t>
      </w:r>
      <w:r w:rsidRPr="008824BB">
        <w:rPr>
          <w:rFonts w:ascii="Times New Roman" w:hAnsi="Times New Roman"/>
          <w:sz w:val="20"/>
        </w:rPr>
        <w:t xml:space="preserve"> of PQ removal by clinoptilolite</w:t>
      </w:r>
      <w:r>
        <w:rPr>
          <w:rFonts w:ascii="Times New Roman" w:hAnsi="Times New Roman"/>
          <w:sz w:val="20"/>
        </w:rPr>
        <w:t xml:space="preserve">, maghemite </w:t>
      </w:r>
      <w:r w:rsidRPr="008824BB">
        <w:rPr>
          <w:rFonts w:ascii="Times New Roman" w:hAnsi="Times New Roman"/>
          <w:sz w:val="20"/>
        </w:rPr>
        <w:t>and NZIC</w:t>
      </w:r>
      <w:r>
        <w:rPr>
          <w:rFonts w:ascii="Times New Roman" w:hAnsi="Times New Roman"/>
          <w:sz w:val="20"/>
        </w:rPr>
        <w:t xml:space="preserve"> against time. A</w:t>
      </w:r>
      <w:r w:rsidRPr="008824BB">
        <w:rPr>
          <w:rFonts w:ascii="Times New Roman" w:hAnsi="Times New Roman"/>
          <w:sz w:val="20"/>
        </w:rPr>
        <w:t xml:space="preserve">dsorption </w:t>
      </w:r>
      <w:r>
        <w:rPr>
          <w:rFonts w:ascii="Times New Roman" w:hAnsi="Times New Roman"/>
          <w:sz w:val="20"/>
        </w:rPr>
        <w:t xml:space="preserve">of </w:t>
      </w:r>
      <w:r w:rsidRPr="008824BB">
        <w:rPr>
          <w:rFonts w:ascii="Times New Roman" w:hAnsi="Times New Roman"/>
          <w:sz w:val="20"/>
        </w:rPr>
        <w:t xml:space="preserve">PQ </w:t>
      </w:r>
      <w:r>
        <w:rPr>
          <w:rFonts w:ascii="Times New Roman" w:hAnsi="Times New Roman"/>
          <w:sz w:val="20"/>
        </w:rPr>
        <w:t>by clinoptilolite and NZIC (3:1) were rapid at first and reached plateau after 20 minutes contact time</w:t>
      </w:r>
      <w:r w:rsidRPr="008824BB">
        <w:rPr>
          <w:rFonts w:ascii="Times New Roman" w:hAnsi="Times New Roman"/>
          <w:sz w:val="20"/>
        </w:rPr>
        <w:t xml:space="preserve">. The equilibrium time of PQ removal was attained at the </w:t>
      </w:r>
      <w:r>
        <w:rPr>
          <w:rFonts w:ascii="Times New Roman" w:hAnsi="Times New Roman"/>
          <w:sz w:val="20"/>
        </w:rPr>
        <w:t>20th</w:t>
      </w:r>
      <w:r w:rsidRPr="008824BB">
        <w:rPr>
          <w:rFonts w:ascii="Times New Roman" w:hAnsi="Times New Roman"/>
          <w:sz w:val="20"/>
        </w:rPr>
        <w:t xml:space="preserve"> minutes. </w:t>
      </w:r>
      <w:r>
        <w:rPr>
          <w:rFonts w:ascii="Times New Roman" w:hAnsi="Times New Roman"/>
          <w:sz w:val="20"/>
        </w:rPr>
        <w:t xml:space="preserve">From the graph in </w:t>
      </w:r>
      <w:r w:rsidRPr="00256A68">
        <w:rPr>
          <w:rFonts w:ascii="Times New Roman" w:hAnsi="Times New Roman"/>
          <w:sz w:val="20"/>
        </w:rPr>
        <w:fldChar w:fldCharType="begin"/>
      </w:r>
      <w:r w:rsidRPr="00256A68">
        <w:rPr>
          <w:rFonts w:ascii="Times New Roman" w:hAnsi="Times New Roman"/>
          <w:sz w:val="20"/>
        </w:rPr>
        <w:instrText xml:space="preserve"> REF _Ref419886064 \h  \* MERGEFORMAT </w:instrText>
      </w:r>
      <w:r w:rsidRPr="00256A68">
        <w:rPr>
          <w:rFonts w:ascii="Times New Roman" w:hAnsi="Times New Roman"/>
          <w:sz w:val="20"/>
        </w:rPr>
      </w:r>
      <w:r w:rsidRPr="00256A68">
        <w:rPr>
          <w:rFonts w:ascii="Times New Roman" w:hAnsi="Times New Roman"/>
          <w:sz w:val="20"/>
        </w:rPr>
        <w:fldChar w:fldCharType="separate"/>
      </w:r>
      <w:r w:rsidRPr="00256A68">
        <w:rPr>
          <w:rFonts w:ascii="Times New Roman" w:hAnsi="Times New Roman"/>
          <w:sz w:val="20"/>
        </w:rPr>
        <w:t xml:space="preserve">Figure </w:t>
      </w:r>
      <w:r w:rsidRPr="00256A68">
        <w:rPr>
          <w:rFonts w:ascii="Times New Roman" w:hAnsi="Times New Roman"/>
          <w:noProof/>
          <w:sz w:val="20"/>
        </w:rPr>
        <w:t>5</w:t>
      </w:r>
      <w:r w:rsidRPr="00256A68">
        <w:rPr>
          <w:rFonts w:ascii="Times New Roman" w:hAnsi="Times New Roman"/>
          <w:sz w:val="20"/>
        </w:rPr>
        <w:fldChar w:fldCharType="end"/>
      </w:r>
      <w:r w:rsidRPr="000249D0">
        <w:rPr>
          <w:rFonts w:ascii="Times New Roman" w:hAnsi="Times New Roman"/>
          <w:sz w:val="20"/>
        </w:rPr>
        <w:t>,</w:t>
      </w:r>
      <w:r>
        <w:rPr>
          <w:rFonts w:ascii="Times New Roman" w:hAnsi="Times New Roman"/>
          <w:sz w:val="20"/>
        </w:rPr>
        <w:t xml:space="preserve"> maghemite showed a very low adsorption, means that maghemite was not a good adsorbent. Although the surface area of NZIC was higher than clinoptilolite, but, the removal of paraquat by clinoptilolite was slightly higher than NZIC. As observed in </w:t>
      </w:r>
      <w:r w:rsidRPr="00DE040C">
        <w:rPr>
          <w:rFonts w:ascii="Times New Roman" w:hAnsi="Times New Roman"/>
          <w:sz w:val="20"/>
        </w:rPr>
        <w:fldChar w:fldCharType="begin"/>
      </w:r>
      <w:r w:rsidRPr="00DE040C">
        <w:rPr>
          <w:rFonts w:ascii="Times New Roman" w:hAnsi="Times New Roman"/>
          <w:sz w:val="20"/>
        </w:rPr>
        <w:instrText xml:space="preserve"> REF _Ref419886064 \h  \* MERGEFORMAT </w:instrText>
      </w:r>
      <w:r w:rsidRPr="00DE040C">
        <w:rPr>
          <w:rFonts w:ascii="Times New Roman" w:hAnsi="Times New Roman"/>
          <w:sz w:val="20"/>
        </w:rPr>
      </w:r>
      <w:r w:rsidRPr="00DE040C">
        <w:rPr>
          <w:rFonts w:ascii="Times New Roman" w:hAnsi="Times New Roman"/>
          <w:sz w:val="20"/>
        </w:rPr>
        <w:fldChar w:fldCharType="separate"/>
      </w:r>
      <w:r w:rsidRPr="00DE040C">
        <w:rPr>
          <w:rFonts w:ascii="Times New Roman" w:hAnsi="Times New Roman"/>
          <w:sz w:val="20"/>
        </w:rPr>
        <w:t xml:space="preserve">Figure </w:t>
      </w:r>
      <w:r w:rsidRPr="00DE040C">
        <w:rPr>
          <w:rFonts w:ascii="Times New Roman" w:hAnsi="Times New Roman"/>
          <w:noProof/>
          <w:sz w:val="20"/>
        </w:rPr>
        <w:t>5</w:t>
      </w:r>
      <w:r w:rsidRPr="00DE040C">
        <w:rPr>
          <w:rFonts w:ascii="Times New Roman" w:hAnsi="Times New Roman"/>
          <w:sz w:val="20"/>
        </w:rPr>
        <w:fldChar w:fldCharType="end"/>
      </w:r>
      <w:r>
        <w:rPr>
          <w:rFonts w:ascii="Times New Roman" w:hAnsi="Times New Roman"/>
          <w:sz w:val="20"/>
        </w:rPr>
        <w:t xml:space="preserve">, low removal of PQ observed. Hence, high surface area of NZIC resultant lower because of maghemite in NZIC was not functioning as an adsorbent. </w:t>
      </w:r>
    </w:p>
    <w:p w:rsidR="004A588F" w:rsidRDefault="004A588F" w:rsidP="00494D60">
      <w:pPr>
        <w:pStyle w:val="TAMainText"/>
        <w:ind w:firstLine="0"/>
        <w:rPr>
          <w:rFonts w:ascii="Times New Roman" w:hAnsi="Times New Roman"/>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5"/>
      </w:tblGrid>
      <w:tr w:rsidR="00344229" w:rsidRPr="008824BB" w:rsidTr="00344229">
        <w:trPr>
          <w:trHeight w:val="3046"/>
          <w:jc w:val="center"/>
        </w:trPr>
        <w:tc>
          <w:tcPr>
            <w:tcW w:w="7855" w:type="dxa"/>
          </w:tcPr>
          <w:p w:rsidR="00344229" w:rsidRPr="008824BB" w:rsidRDefault="00344229" w:rsidP="0004143C">
            <w:pPr>
              <w:jc w:val="center"/>
              <w:rPr>
                <w:rFonts w:cs="Times New Roman"/>
                <w:szCs w:val="20"/>
              </w:rPr>
            </w:pPr>
            <w:r>
              <w:rPr>
                <w:noProof/>
              </w:rPr>
              <w:drawing>
                <wp:anchor distT="0" distB="0" distL="114300" distR="114300" simplePos="0" relativeHeight="251668480" behindDoc="0" locked="0" layoutInCell="1" allowOverlap="1" wp14:anchorId="2B39C2BA" wp14:editId="61F01284">
                  <wp:simplePos x="0" y="0"/>
                  <wp:positionH relativeFrom="column">
                    <wp:posOffset>455930</wp:posOffset>
                  </wp:positionH>
                  <wp:positionV relativeFrom="paragraph">
                    <wp:posOffset>1905</wp:posOffset>
                  </wp:positionV>
                  <wp:extent cx="3931920" cy="2082800"/>
                  <wp:effectExtent l="0" t="0" r="11430" b="12700"/>
                  <wp:wrapSquare wrapText="bothSides"/>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tc>
      </w:tr>
      <w:tr w:rsidR="00344229" w:rsidRPr="00344229" w:rsidTr="00344229">
        <w:trPr>
          <w:trHeight w:val="222"/>
          <w:jc w:val="center"/>
        </w:trPr>
        <w:tc>
          <w:tcPr>
            <w:tcW w:w="7855" w:type="dxa"/>
          </w:tcPr>
          <w:p w:rsidR="00344229" w:rsidRPr="00344229" w:rsidRDefault="00344229" w:rsidP="00344229"/>
        </w:tc>
      </w:tr>
    </w:tbl>
    <w:p w:rsidR="00344229" w:rsidRDefault="00344229" w:rsidP="00B00214">
      <w:pPr>
        <w:spacing w:after="0" w:line="240" w:lineRule="auto"/>
        <w:ind w:left="851" w:hanging="851"/>
        <w:jc w:val="both"/>
      </w:pPr>
      <w:r w:rsidRPr="00344229">
        <w:t xml:space="preserve">Figure </w:t>
      </w:r>
      <w:fldSimple w:instr=" SEQ Figure \* ARABIC ">
        <w:r w:rsidRPr="00344229">
          <w:t>5</w:t>
        </w:r>
      </w:fldSimple>
      <w:r w:rsidRPr="00344229">
        <w:t xml:space="preserve">. Comparison on the PQ removal by a) clinoptilolite, b) maghemite and c) </w:t>
      </w:r>
      <w:r>
        <w:t xml:space="preserve">NZIC (initial PQ </w:t>
      </w:r>
      <w:r w:rsidRPr="00344229">
        <w:t>concentration</w:t>
      </w:r>
      <w:r>
        <w:t xml:space="preserve"> </w:t>
      </w:r>
      <w:r w:rsidRPr="00344229">
        <w:t>= 10 mg/L, Adsorbent dosage= 0.01 g, pH= neutral)</w:t>
      </w:r>
    </w:p>
    <w:p w:rsidR="00B00214" w:rsidRDefault="00B00214" w:rsidP="00B00214">
      <w:pPr>
        <w:spacing w:after="0" w:line="240" w:lineRule="auto"/>
        <w:ind w:left="851" w:hanging="851"/>
        <w:jc w:val="both"/>
      </w:pPr>
    </w:p>
    <w:p w:rsidR="00344229" w:rsidRDefault="00344229" w:rsidP="00B00214">
      <w:pPr>
        <w:pStyle w:val="TAMainText"/>
        <w:spacing w:line="240" w:lineRule="auto"/>
        <w:ind w:firstLine="0"/>
        <w:rPr>
          <w:rFonts w:ascii="Times New Roman" w:hAnsi="Times New Roman"/>
          <w:sz w:val="20"/>
        </w:rPr>
      </w:pPr>
      <w:r>
        <w:rPr>
          <w:rFonts w:ascii="Times New Roman" w:hAnsi="Times New Roman"/>
          <w:sz w:val="20"/>
        </w:rPr>
        <w:t>Plot</w:t>
      </w:r>
      <w:r w:rsidRPr="00BE21A5">
        <w:rPr>
          <w:rFonts w:ascii="Times New Roman" w:hAnsi="Times New Roman"/>
          <w:sz w:val="20"/>
        </w:rPr>
        <w:t xml:space="preserve"> in </w:t>
      </w:r>
      <w:r w:rsidRPr="00BE21A5">
        <w:rPr>
          <w:rFonts w:ascii="Times New Roman" w:hAnsi="Times New Roman"/>
          <w:sz w:val="20"/>
        </w:rPr>
        <w:fldChar w:fldCharType="begin"/>
      </w:r>
      <w:r w:rsidRPr="00BE21A5">
        <w:rPr>
          <w:rFonts w:ascii="Times New Roman" w:hAnsi="Times New Roman"/>
          <w:sz w:val="20"/>
        </w:rPr>
        <w:instrText xml:space="preserve"> REF _Ref419887441 \h  \* MERGEFORMAT </w:instrText>
      </w:r>
      <w:r w:rsidRPr="00BE21A5">
        <w:rPr>
          <w:rFonts w:ascii="Times New Roman" w:hAnsi="Times New Roman"/>
          <w:sz w:val="20"/>
        </w:rPr>
      </w:r>
      <w:r w:rsidRPr="00BE21A5">
        <w:rPr>
          <w:rFonts w:ascii="Times New Roman" w:hAnsi="Times New Roman"/>
          <w:sz w:val="20"/>
        </w:rPr>
        <w:fldChar w:fldCharType="separate"/>
      </w:r>
      <w:r w:rsidRPr="00BE21A5">
        <w:rPr>
          <w:rFonts w:ascii="Times New Roman" w:hAnsi="Times New Roman"/>
          <w:sz w:val="20"/>
        </w:rPr>
        <w:t xml:space="preserve">Figure </w:t>
      </w:r>
      <w:r w:rsidRPr="00BE21A5">
        <w:rPr>
          <w:rFonts w:ascii="Times New Roman" w:hAnsi="Times New Roman"/>
          <w:noProof/>
          <w:sz w:val="20"/>
        </w:rPr>
        <w:t>6</w:t>
      </w:r>
      <w:r w:rsidRPr="00BE21A5">
        <w:rPr>
          <w:rFonts w:ascii="Times New Roman" w:hAnsi="Times New Roman"/>
          <w:sz w:val="20"/>
        </w:rPr>
        <w:fldChar w:fldCharType="end"/>
      </w:r>
      <w:r w:rsidRPr="00BE21A5">
        <w:rPr>
          <w:rFonts w:ascii="Times New Roman" w:hAnsi="Times New Roman"/>
          <w:sz w:val="20"/>
        </w:rPr>
        <w:t xml:space="preserve"> indicate that paraquat uptake increased with increasing pH. Maximum PQ uptake was obtained at pH 12. The removal of PQ is highly dependent on initial solution pH. This condition interrelated with the nature of PQ in water. The pK</w:t>
      </w:r>
      <w:r w:rsidRPr="00BE21A5">
        <w:rPr>
          <w:rFonts w:ascii="Times New Roman" w:hAnsi="Times New Roman"/>
          <w:sz w:val="20"/>
          <w:vertAlign w:val="subscript"/>
        </w:rPr>
        <w:t>a</w:t>
      </w:r>
      <w:r w:rsidRPr="00BE21A5">
        <w:rPr>
          <w:rFonts w:ascii="Times New Roman" w:hAnsi="Times New Roman"/>
          <w:sz w:val="20"/>
        </w:rPr>
        <w:t xml:space="preserve"> value of cationic PQ is 9</w:t>
      </w:r>
      <w:r>
        <w:rPr>
          <w:rFonts w:ascii="Times New Roman" w:hAnsi="Times New Roman"/>
          <w:sz w:val="20"/>
        </w:rPr>
        <w:t xml:space="preserve"> – </w:t>
      </w:r>
      <w:r w:rsidRPr="00BE21A5">
        <w:rPr>
          <w:rFonts w:ascii="Times New Roman" w:hAnsi="Times New Roman"/>
          <w:sz w:val="20"/>
        </w:rPr>
        <w:t xml:space="preserve">9.5 </w:t>
      </w:r>
      <w:r w:rsidRPr="00BE21A5">
        <w:rPr>
          <w:rFonts w:ascii="Times New Roman" w:hAnsi="Times New Roman"/>
          <w:sz w:val="20"/>
        </w:rPr>
        <w:fldChar w:fldCharType="begin" w:fldLock="1"/>
      </w:r>
      <w:r>
        <w:rPr>
          <w:rFonts w:ascii="Times New Roman" w:hAnsi="Times New Roman"/>
          <w:sz w:val="20"/>
        </w:rPr>
        <w:instrText>ADDIN CSL_CITATION { "citationItems" : [ { "id" : "ITEM-1", "itemData" : { "ISSN" : "0971457X", "author" : [ { "dropping-particle" : "", "family" : "Tantriratna", "given" : "P.", "non-dropping-particle" : "", "parse-names" : false, "suffix" : "" }, { "dropping-particle" : "", "family" : "Wirojanagud", "given" : "W.", "non-dropping-particle" : "", "parse-names" : false, "suffix" : "" }, { "dropping-particle" : "", "family" : "Neramittagapong", "given" : "S.", "non-dropping-particle" : "", "parse-names" : false, "suffix" : "" }, { "dropping-particle" : "", "family" : "Wantala", "given" : "K.", "non-dropping-particle" : "", "parse-names" : false, "suffix" : "" }, { "dropping-particle" : "", "family" : "Grisdanurak", "given" : "N.", "non-dropping-particle" : "", "parse-names" : false, "suffix" : "" } ], "container-title" : "Indian Journal of Chemical Technology", "id" : "ITEM-1", "issued" : { "date-parts" : [ [ "2011" ] ] }, "page" : "363-371", "title" : "Optimization for UV-Photocatalytic Degradation of Paraquat over Titanium Dioxide Supported on Rice Husk Silica using Box-Behnken Design", "type" : "article-journal", "volume" : "18" }, "uris" : [ "http://www.mendeley.com/documents/?uuid=65199557-51ba-4262-aace-40acabba3094" ] } ], "mendeley" : { "formattedCitation" : "[14]", "plainTextFormattedCitation" : "[14]", "previouslyFormattedCitation" : "[14]" }, "properties" : { "noteIndex" : 0 }, "schema" : "https://github.com/citation-style-language/schema/raw/master/csl-citation.json" }</w:instrText>
      </w:r>
      <w:r w:rsidRPr="00BE21A5">
        <w:rPr>
          <w:rFonts w:ascii="Times New Roman" w:hAnsi="Times New Roman"/>
          <w:sz w:val="20"/>
        </w:rPr>
        <w:fldChar w:fldCharType="separate"/>
      </w:r>
      <w:r w:rsidRPr="005C0261">
        <w:rPr>
          <w:rFonts w:ascii="Times New Roman" w:hAnsi="Times New Roman"/>
          <w:noProof/>
          <w:sz w:val="20"/>
        </w:rPr>
        <w:t>[14]</w:t>
      </w:r>
      <w:r w:rsidRPr="00BE21A5">
        <w:rPr>
          <w:rFonts w:ascii="Times New Roman" w:hAnsi="Times New Roman"/>
          <w:sz w:val="20"/>
        </w:rPr>
        <w:fldChar w:fldCharType="end"/>
      </w:r>
      <w:r w:rsidRPr="00BE21A5">
        <w:rPr>
          <w:rFonts w:ascii="Times New Roman" w:hAnsi="Times New Roman"/>
          <w:sz w:val="20"/>
        </w:rPr>
        <w:t>. At higher pH than pH</w:t>
      </w:r>
      <w:r w:rsidRPr="00BE21A5">
        <w:rPr>
          <w:rFonts w:ascii="Times New Roman" w:hAnsi="Times New Roman"/>
          <w:sz w:val="20"/>
          <w:vertAlign w:val="subscript"/>
        </w:rPr>
        <w:t>zpc</w:t>
      </w:r>
      <w:r w:rsidRPr="00BE21A5">
        <w:rPr>
          <w:rFonts w:ascii="Times New Roman" w:hAnsi="Times New Roman"/>
          <w:sz w:val="20"/>
        </w:rPr>
        <w:t>, higher concentration of hydroxide ions (OH</w:t>
      </w:r>
      <w:r w:rsidRPr="00BE21A5">
        <w:rPr>
          <w:rFonts w:ascii="Times New Roman" w:hAnsi="Times New Roman"/>
          <w:sz w:val="20"/>
          <w:vertAlign w:val="superscript"/>
        </w:rPr>
        <w:t>-</w:t>
      </w:r>
      <w:r w:rsidRPr="00BE21A5">
        <w:rPr>
          <w:rFonts w:ascii="Times New Roman" w:hAnsi="Times New Roman"/>
          <w:sz w:val="20"/>
        </w:rPr>
        <w:t xml:space="preserve">) </w:t>
      </w:r>
      <w:r>
        <w:rPr>
          <w:rFonts w:ascii="Times New Roman" w:hAnsi="Times New Roman"/>
          <w:sz w:val="20"/>
        </w:rPr>
        <w:t xml:space="preserve">was present </w:t>
      </w:r>
      <w:r w:rsidRPr="00BE21A5">
        <w:rPr>
          <w:rFonts w:ascii="Times New Roman" w:hAnsi="Times New Roman"/>
          <w:sz w:val="20"/>
        </w:rPr>
        <w:t>on NZIC surface. Hence, NZIC acquired a negatively surface charge at higher pH and cationic PQ easily attached to the surface of NZIC via attraction force.</w:t>
      </w:r>
    </w:p>
    <w:p w:rsidR="00344229" w:rsidRDefault="00344229" w:rsidP="00344229">
      <w:pPr>
        <w:pStyle w:val="TAMainText"/>
        <w:ind w:firstLine="0"/>
        <w:rPr>
          <w:rFonts w:ascii="Times New Roman" w:hAnsi="Times New Roman"/>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6"/>
      </w:tblGrid>
      <w:tr w:rsidR="002F3F2E" w:rsidRPr="008824BB" w:rsidTr="002F3F2E">
        <w:trPr>
          <w:jc w:val="center"/>
        </w:trPr>
        <w:tc>
          <w:tcPr>
            <w:tcW w:w="6426" w:type="dxa"/>
          </w:tcPr>
          <w:p w:rsidR="002F3F2E" w:rsidRPr="008824BB" w:rsidRDefault="002F3F2E" w:rsidP="0004143C">
            <w:pPr>
              <w:jc w:val="center"/>
              <w:rPr>
                <w:rFonts w:cs="Times New Roman"/>
                <w:szCs w:val="20"/>
              </w:rPr>
            </w:pPr>
            <w:r>
              <w:rPr>
                <w:noProof/>
              </w:rPr>
              <w:lastRenderedPageBreak/>
              <w:drawing>
                <wp:inline distT="0" distB="0" distL="0" distR="0" wp14:anchorId="11CF4171" wp14:editId="570E57E1">
                  <wp:extent cx="4028536" cy="2053087"/>
                  <wp:effectExtent l="0" t="0" r="10160" b="2349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2F3F2E" w:rsidRPr="00F45388" w:rsidTr="002F3F2E">
        <w:trPr>
          <w:jc w:val="center"/>
        </w:trPr>
        <w:tc>
          <w:tcPr>
            <w:tcW w:w="6426" w:type="dxa"/>
          </w:tcPr>
          <w:p w:rsidR="002F3F2E" w:rsidRPr="002F3F2E" w:rsidRDefault="002F3F2E" w:rsidP="002F3F2E">
            <w:pPr>
              <w:jc w:val="both"/>
            </w:pPr>
          </w:p>
        </w:tc>
      </w:tr>
    </w:tbl>
    <w:p w:rsidR="00344229" w:rsidRPr="00BE21A5" w:rsidRDefault="002F3F2E" w:rsidP="00B00214">
      <w:pPr>
        <w:pStyle w:val="TAMainText"/>
        <w:spacing w:line="240" w:lineRule="auto"/>
        <w:ind w:left="851" w:hanging="851"/>
        <w:rPr>
          <w:rFonts w:ascii="Times New Roman" w:hAnsi="Times New Roman"/>
          <w:sz w:val="20"/>
        </w:rPr>
      </w:pPr>
      <w:r>
        <w:rPr>
          <w:rFonts w:ascii="Times New Roman" w:hAnsi="Times New Roman"/>
          <w:sz w:val="20"/>
        </w:rPr>
        <w:t xml:space="preserve">Figure 6. </w:t>
      </w:r>
      <w:r w:rsidRPr="002F3F2E">
        <w:rPr>
          <w:rFonts w:ascii="Times New Roman" w:hAnsi="Times New Roman"/>
          <w:sz w:val="20"/>
        </w:rPr>
        <w:t>Effect of pH on PQ uptake by NZIC (initial PQ concentration= 10 mg/L, Adsorbent dosage= 0.01 g, pH= 12)</w:t>
      </w:r>
    </w:p>
    <w:p w:rsidR="002F3F2E" w:rsidRDefault="002F3F2E" w:rsidP="00B00214">
      <w:pPr>
        <w:spacing w:after="0" w:line="240" w:lineRule="auto"/>
        <w:jc w:val="both"/>
      </w:pPr>
    </w:p>
    <w:p w:rsidR="002F3F2E" w:rsidRDefault="002F3F2E" w:rsidP="00B00214">
      <w:pPr>
        <w:spacing w:line="240" w:lineRule="auto"/>
        <w:jc w:val="both"/>
      </w:pPr>
      <w:r w:rsidRPr="002F3F2E">
        <w:t>Figure 7 shows revealed that NZIC have a good recovery of PQ in desorption experiment. At first adsorption-desorption experiment, 99</w:t>
      </w:r>
      <w:r>
        <w:t xml:space="preserve"> </w:t>
      </w:r>
      <w:r w:rsidRPr="002F3F2E">
        <w:t>% of PQ was adsorbed and desorbed into the solution. The performance of PQ removal after second and third time repetitive usage was decreased to 86</w:t>
      </w:r>
      <w:r>
        <w:t xml:space="preserve"> </w:t>
      </w:r>
      <w:r w:rsidRPr="002F3F2E">
        <w:t>%. This small decreasing in percentage removal of PQ showed that the stability of these adsorbent for repetitive usage.</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6"/>
      </w:tblGrid>
      <w:tr w:rsidR="00AA74F2" w:rsidRPr="00AA74F2" w:rsidTr="00B00214">
        <w:trPr>
          <w:jc w:val="center"/>
        </w:trPr>
        <w:tc>
          <w:tcPr>
            <w:tcW w:w="6426" w:type="dxa"/>
          </w:tcPr>
          <w:p w:rsidR="00AA74F2" w:rsidRPr="00AA74F2" w:rsidRDefault="00AA74F2" w:rsidP="00AA74F2">
            <w:pPr>
              <w:spacing w:after="200" w:line="276" w:lineRule="auto"/>
              <w:rPr>
                <w:rFonts w:eastAsia="Calibri"/>
                <w:sz w:val="18"/>
                <w:szCs w:val="18"/>
              </w:rPr>
            </w:pPr>
            <w:r w:rsidRPr="00AA74F2">
              <w:rPr>
                <w:rFonts w:eastAsia="Calibri"/>
                <w:noProof/>
                <w:sz w:val="18"/>
                <w:szCs w:val="18"/>
              </w:rPr>
              <w:drawing>
                <wp:inline distT="0" distB="0" distL="0" distR="0" wp14:anchorId="056D3643" wp14:editId="49C759B8">
                  <wp:extent cx="3931920" cy="2359025"/>
                  <wp:effectExtent l="0" t="0" r="11430" b="222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rsidR="00344229" w:rsidRDefault="00B00214" w:rsidP="00B00214">
      <w:pPr>
        <w:spacing w:line="240" w:lineRule="auto"/>
        <w:ind w:left="851" w:hanging="851"/>
        <w:jc w:val="both"/>
        <w:rPr>
          <w:rFonts w:eastAsia="Calibri"/>
          <w:iCs/>
          <w:szCs w:val="18"/>
        </w:rPr>
      </w:pPr>
      <w:r>
        <w:rPr>
          <w:rFonts w:eastAsia="Calibri"/>
          <w:iCs/>
          <w:sz w:val="18"/>
          <w:szCs w:val="18"/>
        </w:rPr>
        <w:t>.</w:t>
      </w:r>
      <w:bookmarkStart w:id="5" w:name="_Ref419889476"/>
      <w:r w:rsidRPr="00B00214">
        <w:rPr>
          <w:rFonts w:eastAsia="Calibri"/>
          <w:b/>
          <w:iCs/>
          <w:sz w:val="18"/>
          <w:szCs w:val="18"/>
        </w:rPr>
        <w:t xml:space="preserve"> </w:t>
      </w:r>
      <w:r w:rsidRPr="00AA74F2">
        <w:rPr>
          <w:rFonts w:eastAsia="Calibri"/>
          <w:iCs/>
          <w:szCs w:val="18"/>
        </w:rPr>
        <w:t xml:space="preserve">Figure </w:t>
      </w:r>
      <w:r w:rsidRPr="00AA74F2">
        <w:rPr>
          <w:rFonts w:eastAsia="Calibri"/>
          <w:i/>
          <w:iCs/>
          <w:szCs w:val="18"/>
        </w:rPr>
        <w:fldChar w:fldCharType="begin"/>
      </w:r>
      <w:r w:rsidRPr="00AA74F2">
        <w:rPr>
          <w:rFonts w:eastAsia="Calibri"/>
          <w:iCs/>
          <w:szCs w:val="18"/>
        </w:rPr>
        <w:instrText xml:space="preserve"> SEQ Figure \* ARABIC </w:instrText>
      </w:r>
      <w:r w:rsidRPr="00AA74F2">
        <w:rPr>
          <w:rFonts w:eastAsia="Calibri"/>
          <w:i/>
          <w:iCs/>
          <w:szCs w:val="18"/>
        </w:rPr>
        <w:fldChar w:fldCharType="separate"/>
      </w:r>
      <w:r w:rsidRPr="00AA74F2">
        <w:rPr>
          <w:rFonts w:eastAsia="Calibri"/>
          <w:iCs/>
          <w:noProof/>
          <w:szCs w:val="18"/>
        </w:rPr>
        <w:t>7</w:t>
      </w:r>
      <w:r w:rsidRPr="00AA74F2">
        <w:rPr>
          <w:rFonts w:eastAsia="Calibri"/>
          <w:i/>
          <w:iCs/>
          <w:szCs w:val="18"/>
        </w:rPr>
        <w:fldChar w:fldCharType="end"/>
      </w:r>
      <w:bookmarkEnd w:id="5"/>
      <w:r>
        <w:rPr>
          <w:rFonts w:eastAsia="Calibri"/>
          <w:iCs/>
          <w:szCs w:val="18"/>
        </w:rPr>
        <w:t xml:space="preserve">. </w:t>
      </w:r>
      <w:r w:rsidRPr="00AA74F2">
        <w:rPr>
          <w:rFonts w:eastAsia="Calibri"/>
          <w:iCs/>
          <w:szCs w:val="18"/>
        </w:rPr>
        <w:t>Repetitive adsorption of PQ onto NZIC (initial PQ concentration= 10 mg/L, Adsorbent dosage</w:t>
      </w:r>
      <w:r>
        <w:rPr>
          <w:rFonts w:eastAsia="Calibri"/>
          <w:iCs/>
          <w:szCs w:val="18"/>
        </w:rPr>
        <w:t xml:space="preserve"> </w:t>
      </w:r>
      <w:r w:rsidRPr="00AA74F2">
        <w:rPr>
          <w:rFonts w:eastAsia="Calibri"/>
          <w:iCs/>
          <w:szCs w:val="18"/>
        </w:rPr>
        <w:t>=</w:t>
      </w:r>
      <w:r>
        <w:rPr>
          <w:rFonts w:eastAsia="Calibri"/>
          <w:iCs/>
          <w:szCs w:val="18"/>
        </w:rPr>
        <w:t xml:space="preserve">  </w:t>
      </w:r>
      <w:r w:rsidRPr="00AA74F2">
        <w:rPr>
          <w:rFonts w:eastAsia="Calibri"/>
          <w:iCs/>
          <w:szCs w:val="18"/>
        </w:rPr>
        <w:t xml:space="preserve"> 0.01 g, pH= 12)</w:t>
      </w:r>
    </w:p>
    <w:p w:rsidR="00B00214" w:rsidRDefault="00B00214" w:rsidP="00B00214">
      <w:pPr>
        <w:spacing w:after="0" w:line="240" w:lineRule="auto"/>
        <w:ind w:left="851" w:hanging="851"/>
        <w:jc w:val="center"/>
        <w:rPr>
          <w:rFonts w:eastAsia="Calibri"/>
          <w:b/>
          <w:iCs/>
          <w:szCs w:val="18"/>
        </w:rPr>
      </w:pPr>
      <w:r w:rsidRPr="00B00214">
        <w:rPr>
          <w:rFonts w:eastAsia="Calibri"/>
          <w:b/>
          <w:iCs/>
          <w:szCs w:val="18"/>
        </w:rPr>
        <w:t>Conclusion</w:t>
      </w:r>
    </w:p>
    <w:p w:rsidR="00B00214" w:rsidRDefault="00B00214" w:rsidP="00B00214">
      <w:pPr>
        <w:spacing w:after="0" w:line="240" w:lineRule="auto"/>
        <w:jc w:val="both"/>
        <w:rPr>
          <w:rFonts w:eastAsia="Calibri"/>
          <w:iCs/>
          <w:szCs w:val="18"/>
        </w:rPr>
      </w:pPr>
      <w:r w:rsidRPr="00B00214">
        <w:rPr>
          <w:rFonts w:eastAsia="Calibri"/>
          <w:iCs/>
          <w:szCs w:val="18"/>
        </w:rPr>
        <w:t>Preparation of NZIC was done by extraction of iron oxide (IO) from slag and precipitation of IO onto clinoptilolite. Magnetization analysis of NZIC revealed the ability of maghemite in NZIC as a magnetic separator when external magnetic field was applied. Preliminary study showed that clinoptilolite have higher removal percentage of paraquat (96%) compared to NZIC (86%) due to nature of maghemite which is not a good adsorbent. Optimum parameters for adsorption of 10 mg/L PQ in water were found at pH 12 with 0.01 g of NZIC with equilibrium time of 20 minutes. Desorption experiment demonstrate that NZIC as a stable adsorbent for repetitive usage for PQ adsorption.</w:t>
      </w:r>
    </w:p>
    <w:p w:rsidR="00B00214" w:rsidRDefault="00B00214" w:rsidP="00B00214">
      <w:pPr>
        <w:spacing w:after="0" w:line="240" w:lineRule="auto"/>
        <w:jc w:val="both"/>
        <w:rPr>
          <w:rFonts w:eastAsia="Calibri"/>
          <w:iCs/>
          <w:szCs w:val="18"/>
        </w:rPr>
      </w:pPr>
    </w:p>
    <w:p w:rsidR="00B00214" w:rsidRDefault="00B00214" w:rsidP="00B00214">
      <w:pPr>
        <w:spacing w:after="0" w:line="240" w:lineRule="auto"/>
        <w:jc w:val="center"/>
        <w:rPr>
          <w:rFonts w:eastAsia="Calibri"/>
          <w:iCs/>
          <w:szCs w:val="18"/>
        </w:rPr>
      </w:pPr>
      <w:r w:rsidRPr="00B00214">
        <w:rPr>
          <w:rFonts w:eastAsia="Calibri"/>
          <w:b/>
          <w:iCs/>
          <w:szCs w:val="18"/>
        </w:rPr>
        <w:t>Acknowledgement</w:t>
      </w:r>
    </w:p>
    <w:p w:rsidR="00B00214" w:rsidRDefault="00B00214" w:rsidP="00B00214">
      <w:pPr>
        <w:spacing w:after="0" w:line="240" w:lineRule="auto"/>
        <w:jc w:val="both"/>
        <w:rPr>
          <w:rFonts w:eastAsia="Calibri"/>
          <w:iCs/>
          <w:szCs w:val="18"/>
        </w:rPr>
      </w:pPr>
      <w:r w:rsidRPr="00B00214">
        <w:rPr>
          <w:rFonts w:eastAsia="Calibri"/>
          <w:iCs/>
          <w:szCs w:val="18"/>
        </w:rPr>
        <w:t>We would like to express our gratitude to Universiti Teknologi Malaysia, Institute of Environmental and Water Resource Management (IPASA) and Ministry of Higher Education (MOHE) for the financial support given under Long Term Research Grant, 4L810 and 4L812 and Fundamental Research Grant, 4F234.</w:t>
      </w:r>
    </w:p>
    <w:p w:rsidR="00784CDA" w:rsidRDefault="00784CDA" w:rsidP="00B00214">
      <w:pPr>
        <w:spacing w:after="0" w:line="240" w:lineRule="auto"/>
        <w:jc w:val="both"/>
        <w:rPr>
          <w:rFonts w:eastAsia="Calibri"/>
          <w:iCs/>
          <w:szCs w:val="18"/>
        </w:rPr>
      </w:pPr>
    </w:p>
    <w:p w:rsidR="00784CDA" w:rsidRDefault="00784CDA" w:rsidP="00B00214">
      <w:pPr>
        <w:spacing w:after="0" w:line="240" w:lineRule="auto"/>
        <w:jc w:val="both"/>
        <w:rPr>
          <w:rFonts w:eastAsia="Calibri"/>
          <w:iCs/>
          <w:szCs w:val="18"/>
        </w:rPr>
      </w:pPr>
    </w:p>
    <w:p w:rsidR="00784CDA" w:rsidRDefault="00784CDA" w:rsidP="00B00214">
      <w:pPr>
        <w:spacing w:after="0" w:line="240" w:lineRule="auto"/>
        <w:jc w:val="both"/>
        <w:rPr>
          <w:rFonts w:eastAsia="Calibri"/>
          <w:iCs/>
          <w:szCs w:val="18"/>
        </w:rPr>
      </w:pPr>
    </w:p>
    <w:p w:rsidR="00784CDA" w:rsidRDefault="00784CDA" w:rsidP="00B00214">
      <w:pPr>
        <w:spacing w:after="0" w:line="240" w:lineRule="auto"/>
        <w:jc w:val="both"/>
        <w:rPr>
          <w:rFonts w:eastAsia="Calibri"/>
          <w:iCs/>
          <w:szCs w:val="18"/>
        </w:rPr>
      </w:pPr>
    </w:p>
    <w:p w:rsidR="00784CDA" w:rsidRPr="00784CDA" w:rsidRDefault="00784CDA" w:rsidP="00784CDA">
      <w:pPr>
        <w:spacing w:after="0" w:line="240" w:lineRule="auto"/>
        <w:jc w:val="center"/>
        <w:rPr>
          <w:rFonts w:eastAsia="Calibri"/>
          <w:b/>
          <w:iCs/>
          <w:szCs w:val="18"/>
        </w:rPr>
      </w:pPr>
      <w:r w:rsidRPr="00784CDA">
        <w:rPr>
          <w:rFonts w:eastAsia="Calibri"/>
          <w:b/>
          <w:iCs/>
          <w:szCs w:val="18"/>
        </w:rPr>
        <w:lastRenderedPageBreak/>
        <w:t>References</w:t>
      </w:r>
    </w:p>
    <w:p w:rsidR="00784CDA" w:rsidRDefault="00784CDA" w:rsidP="00B00214">
      <w:pPr>
        <w:spacing w:after="0" w:line="240" w:lineRule="auto"/>
        <w:jc w:val="both"/>
        <w:rPr>
          <w:rFonts w:eastAsia="Calibri"/>
          <w:iCs/>
          <w:szCs w:val="18"/>
        </w:rPr>
      </w:pPr>
    </w:p>
    <w:p w:rsidR="00784CDA" w:rsidRDefault="00784CDA" w:rsidP="00784CDA">
      <w:pPr>
        <w:pStyle w:val="ListParagraph"/>
        <w:numPr>
          <w:ilvl w:val="0"/>
          <w:numId w:val="1"/>
        </w:numPr>
        <w:spacing w:after="0" w:line="240" w:lineRule="auto"/>
        <w:ind w:hanging="720"/>
        <w:jc w:val="both"/>
        <w:rPr>
          <w:rFonts w:cs="Times New Roman"/>
          <w:szCs w:val="18"/>
        </w:rPr>
      </w:pPr>
      <w:r w:rsidRPr="00784CDA">
        <w:rPr>
          <w:rFonts w:cs="Times New Roman"/>
          <w:szCs w:val="18"/>
        </w:rPr>
        <w:t>Rahman, I. A., Sing, Y.Y., Bari, M.</w:t>
      </w:r>
      <w:r>
        <w:rPr>
          <w:rFonts w:cs="Times New Roman"/>
          <w:szCs w:val="18"/>
        </w:rPr>
        <w:t xml:space="preserve"> F. and Saad, B. (2015). </w:t>
      </w:r>
      <w:r w:rsidRPr="00784CDA">
        <w:rPr>
          <w:rFonts w:cs="Times New Roman"/>
          <w:szCs w:val="18"/>
        </w:rPr>
        <w:t>Adsorption of paraquat by treated and untreated rice husks studied by flow injection-analysis</w:t>
      </w:r>
      <w:r>
        <w:rPr>
          <w:rFonts w:cs="Times New Roman"/>
          <w:szCs w:val="18"/>
        </w:rPr>
        <w:t xml:space="preserve">. </w:t>
      </w:r>
      <w:r w:rsidRPr="00784CDA">
        <w:rPr>
          <w:rFonts w:cs="Times New Roman"/>
          <w:i/>
          <w:szCs w:val="18"/>
        </w:rPr>
        <w:t>Research Journal of Chemistry and Environment</w:t>
      </w:r>
      <w:r>
        <w:rPr>
          <w:rFonts w:cs="Times New Roman"/>
          <w:szCs w:val="18"/>
        </w:rPr>
        <w:t xml:space="preserve"> 9 (1): </w:t>
      </w:r>
      <w:r w:rsidRPr="00784CDA">
        <w:rPr>
          <w:rFonts w:cs="Times New Roman"/>
          <w:szCs w:val="18"/>
        </w:rPr>
        <w:t>13</w:t>
      </w:r>
      <w:r>
        <w:rPr>
          <w:rFonts w:cs="Times New Roman"/>
          <w:szCs w:val="18"/>
        </w:rPr>
        <w:t xml:space="preserve"> </w:t>
      </w:r>
      <w:r w:rsidRPr="00784CDA">
        <w:rPr>
          <w:rFonts w:cs="Times New Roman"/>
          <w:szCs w:val="18"/>
        </w:rPr>
        <w:t>–</w:t>
      </w:r>
      <w:r>
        <w:rPr>
          <w:rFonts w:cs="Times New Roman"/>
          <w:szCs w:val="18"/>
        </w:rPr>
        <w:t xml:space="preserve"> </w:t>
      </w:r>
      <w:r w:rsidRPr="00784CDA">
        <w:rPr>
          <w:rFonts w:cs="Times New Roman"/>
          <w:szCs w:val="18"/>
        </w:rPr>
        <w:t>18.</w:t>
      </w:r>
    </w:p>
    <w:p w:rsidR="00784CDA" w:rsidRDefault="00784CDA" w:rsidP="00784CDA">
      <w:pPr>
        <w:pStyle w:val="ListParagraph"/>
        <w:numPr>
          <w:ilvl w:val="0"/>
          <w:numId w:val="1"/>
        </w:numPr>
        <w:spacing w:after="0" w:line="240" w:lineRule="auto"/>
        <w:ind w:hanging="720"/>
        <w:jc w:val="both"/>
        <w:rPr>
          <w:rFonts w:cs="Times New Roman"/>
          <w:szCs w:val="18"/>
        </w:rPr>
      </w:pPr>
      <w:r>
        <w:rPr>
          <w:rFonts w:cs="Times New Roman"/>
          <w:szCs w:val="18"/>
        </w:rPr>
        <w:t xml:space="preserve">Hsu, S.-T. and Pan, T.-C. (2007). </w:t>
      </w:r>
      <w:r w:rsidRPr="00784CDA">
        <w:rPr>
          <w:rFonts w:cs="Times New Roman"/>
          <w:szCs w:val="18"/>
        </w:rPr>
        <w:t xml:space="preserve">Adsorption of paraquat using methacrylic acid-modified rice husk. </w:t>
      </w:r>
      <w:r w:rsidRPr="00784CDA">
        <w:rPr>
          <w:rFonts w:cs="Times New Roman"/>
          <w:i/>
          <w:szCs w:val="18"/>
        </w:rPr>
        <w:t>Bioresource Technology</w:t>
      </w:r>
      <w:r>
        <w:rPr>
          <w:rFonts w:cs="Times New Roman"/>
          <w:szCs w:val="18"/>
        </w:rPr>
        <w:t xml:space="preserve">, 98 (18): </w:t>
      </w:r>
      <w:r w:rsidRPr="00784CDA">
        <w:rPr>
          <w:rFonts w:cs="Times New Roman"/>
          <w:szCs w:val="18"/>
        </w:rPr>
        <w:t>3617</w:t>
      </w:r>
      <w:r>
        <w:rPr>
          <w:rFonts w:cs="Times New Roman"/>
          <w:szCs w:val="18"/>
        </w:rPr>
        <w:t xml:space="preserve"> </w:t>
      </w:r>
      <w:r w:rsidRPr="00784CDA">
        <w:rPr>
          <w:rFonts w:cs="Times New Roman"/>
          <w:szCs w:val="18"/>
        </w:rPr>
        <w:t>–</w:t>
      </w:r>
      <w:r>
        <w:rPr>
          <w:rFonts w:cs="Times New Roman"/>
          <w:szCs w:val="18"/>
        </w:rPr>
        <w:t xml:space="preserve"> </w:t>
      </w:r>
      <w:r w:rsidRPr="00784CDA">
        <w:rPr>
          <w:rFonts w:cs="Times New Roman"/>
          <w:szCs w:val="18"/>
        </w:rPr>
        <w:t>3621.</w:t>
      </w:r>
    </w:p>
    <w:p w:rsidR="00784CDA" w:rsidRDefault="00784CDA" w:rsidP="00784CDA">
      <w:pPr>
        <w:pStyle w:val="ListParagraph"/>
        <w:numPr>
          <w:ilvl w:val="0"/>
          <w:numId w:val="1"/>
        </w:numPr>
        <w:spacing w:after="0" w:line="240" w:lineRule="auto"/>
        <w:ind w:hanging="720"/>
        <w:jc w:val="both"/>
        <w:rPr>
          <w:rFonts w:cs="Times New Roman"/>
          <w:szCs w:val="18"/>
        </w:rPr>
      </w:pPr>
      <w:r>
        <w:rPr>
          <w:rFonts w:cs="Times New Roman"/>
          <w:szCs w:val="18"/>
        </w:rPr>
        <w:t xml:space="preserve">Ali, R. and </w:t>
      </w:r>
      <w:r w:rsidRPr="00784CDA">
        <w:rPr>
          <w:rFonts w:cs="Times New Roman"/>
          <w:szCs w:val="18"/>
        </w:rPr>
        <w:t>Hassan, S.</w:t>
      </w:r>
      <w:r>
        <w:rPr>
          <w:rFonts w:cs="Times New Roman"/>
          <w:szCs w:val="18"/>
        </w:rPr>
        <w:t xml:space="preserve"> H. (2008). </w:t>
      </w:r>
      <w:r w:rsidRPr="00784CDA">
        <w:rPr>
          <w:rFonts w:cs="Times New Roman"/>
          <w:szCs w:val="18"/>
        </w:rPr>
        <w:t>Degradation studies on paraquat and malathion using TiO</w:t>
      </w:r>
      <w:r w:rsidRPr="00784CDA">
        <w:rPr>
          <w:rFonts w:cs="Times New Roman"/>
          <w:szCs w:val="18"/>
          <w:vertAlign w:val="subscript"/>
        </w:rPr>
        <w:t>2</w:t>
      </w:r>
      <w:r w:rsidRPr="00784CDA">
        <w:rPr>
          <w:rFonts w:cs="Times New Roman"/>
          <w:szCs w:val="18"/>
        </w:rPr>
        <w:t xml:space="preserve">/ZnO based photocatalyst. </w:t>
      </w:r>
      <w:r w:rsidRPr="00784CDA">
        <w:rPr>
          <w:rFonts w:cs="Times New Roman"/>
          <w:i/>
          <w:szCs w:val="18"/>
        </w:rPr>
        <w:t>Malaysian Journal of Analytical Sciences</w:t>
      </w:r>
      <w:r>
        <w:rPr>
          <w:rFonts w:cs="Times New Roman"/>
          <w:szCs w:val="18"/>
        </w:rPr>
        <w:t xml:space="preserve">, 12 (1): </w:t>
      </w:r>
      <w:r w:rsidRPr="00784CDA">
        <w:rPr>
          <w:rFonts w:cs="Times New Roman"/>
          <w:szCs w:val="18"/>
        </w:rPr>
        <w:t>77</w:t>
      </w:r>
      <w:r>
        <w:rPr>
          <w:rFonts w:cs="Times New Roman"/>
          <w:szCs w:val="18"/>
        </w:rPr>
        <w:t xml:space="preserve"> </w:t>
      </w:r>
      <w:r w:rsidRPr="00784CDA">
        <w:rPr>
          <w:rFonts w:cs="Times New Roman"/>
          <w:szCs w:val="18"/>
        </w:rPr>
        <w:t>–</w:t>
      </w:r>
      <w:r>
        <w:rPr>
          <w:rFonts w:cs="Times New Roman"/>
          <w:szCs w:val="18"/>
        </w:rPr>
        <w:t xml:space="preserve"> </w:t>
      </w:r>
      <w:r w:rsidRPr="00784CDA">
        <w:rPr>
          <w:rFonts w:cs="Times New Roman"/>
          <w:szCs w:val="18"/>
        </w:rPr>
        <w:t>87.</w:t>
      </w:r>
    </w:p>
    <w:p w:rsidR="002D45B8" w:rsidRDefault="00784CDA" w:rsidP="00784CDA">
      <w:pPr>
        <w:pStyle w:val="ListParagraph"/>
        <w:numPr>
          <w:ilvl w:val="0"/>
          <w:numId w:val="1"/>
        </w:numPr>
        <w:spacing w:after="0" w:line="240" w:lineRule="auto"/>
        <w:ind w:hanging="720"/>
        <w:jc w:val="both"/>
        <w:rPr>
          <w:rFonts w:cs="Times New Roman"/>
          <w:szCs w:val="18"/>
        </w:rPr>
      </w:pPr>
      <w:r w:rsidRPr="00784CDA">
        <w:rPr>
          <w:rFonts w:cs="Times New Roman"/>
          <w:szCs w:val="18"/>
        </w:rPr>
        <w:t>Santos, M.</w:t>
      </w:r>
      <w:r>
        <w:rPr>
          <w:rFonts w:cs="Times New Roman"/>
          <w:szCs w:val="18"/>
        </w:rPr>
        <w:t xml:space="preserve"> </w:t>
      </w:r>
      <w:r w:rsidRPr="00784CDA">
        <w:rPr>
          <w:rFonts w:cs="Times New Roman"/>
          <w:szCs w:val="18"/>
        </w:rPr>
        <w:t>S.</w:t>
      </w:r>
      <w:r>
        <w:rPr>
          <w:rFonts w:cs="Times New Roman"/>
          <w:szCs w:val="18"/>
        </w:rPr>
        <w:t xml:space="preserve"> F., Alves, A. and </w:t>
      </w:r>
      <w:r w:rsidRPr="00784CDA">
        <w:rPr>
          <w:rFonts w:cs="Times New Roman"/>
          <w:szCs w:val="18"/>
        </w:rPr>
        <w:t>Madeira, L.</w:t>
      </w:r>
      <w:r>
        <w:rPr>
          <w:rFonts w:cs="Times New Roman"/>
          <w:szCs w:val="18"/>
        </w:rPr>
        <w:t xml:space="preserve"> M. (2011). </w:t>
      </w:r>
      <w:r w:rsidRPr="00784CDA">
        <w:rPr>
          <w:rFonts w:cs="Times New Roman"/>
          <w:szCs w:val="18"/>
        </w:rPr>
        <w:t>Paraquat removal from water by oxidation with</w:t>
      </w:r>
      <w:r>
        <w:rPr>
          <w:rFonts w:cs="Times New Roman"/>
          <w:szCs w:val="18"/>
        </w:rPr>
        <w:t xml:space="preserve"> Fenton’s reagent</w:t>
      </w:r>
      <w:r w:rsidRPr="00784CDA">
        <w:rPr>
          <w:rFonts w:cs="Times New Roman"/>
          <w:szCs w:val="18"/>
        </w:rPr>
        <w:t xml:space="preserve">. </w:t>
      </w:r>
      <w:r w:rsidRPr="00784CDA">
        <w:rPr>
          <w:rFonts w:cs="Times New Roman"/>
          <w:i/>
          <w:szCs w:val="18"/>
        </w:rPr>
        <w:t>Chemical Engineering Journal</w:t>
      </w:r>
      <w:r>
        <w:rPr>
          <w:rFonts w:cs="Times New Roman"/>
          <w:szCs w:val="18"/>
        </w:rPr>
        <w:t xml:space="preserve">, 175: </w:t>
      </w:r>
      <w:r w:rsidRPr="00784CDA">
        <w:rPr>
          <w:rFonts w:cs="Times New Roman"/>
          <w:szCs w:val="18"/>
        </w:rPr>
        <w:t>279</w:t>
      </w:r>
      <w:r>
        <w:rPr>
          <w:rFonts w:cs="Times New Roman"/>
          <w:szCs w:val="18"/>
        </w:rPr>
        <w:t xml:space="preserve"> </w:t>
      </w:r>
      <w:r w:rsidRPr="00784CDA">
        <w:rPr>
          <w:rFonts w:cs="Times New Roman"/>
          <w:szCs w:val="18"/>
        </w:rPr>
        <w:t>–</w:t>
      </w:r>
      <w:r>
        <w:rPr>
          <w:rFonts w:cs="Times New Roman"/>
          <w:szCs w:val="18"/>
        </w:rPr>
        <w:t xml:space="preserve"> </w:t>
      </w:r>
      <w:r w:rsidRPr="00784CDA">
        <w:rPr>
          <w:rFonts w:cs="Times New Roman"/>
          <w:szCs w:val="18"/>
        </w:rPr>
        <w:t>290.</w:t>
      </w:r>
    </w:p>
    <w:p w:rsidR="002D45B8" w:rsidRDefault="00784CDA" w:rsidP="00784CDA">
      <w:pPr>
        <w:pStyle w:val="ListParagraph"/>
        <w:numPr>
          <w:ilvl w:val="0"/>
          <w:numId w:val="1"/>
        </w:numPr>
        <w:spacing w:after="0" w:line="240" w:lineRule="auto"/>
        <w:ind w:hanging="720"/>
        <w:jc w:val="both"/>
        <w:rPr>
          <w:rFonts w:cs="Times New Roman"/>
          <w:szCs w:val="18"/>
        </w:rPr>
      </w:pPr>
      <w:r w:rsidRPr="002D45B8">
        <w:rPr>
          <w:rFonts w:cs="Times New Roman"/>
          <w:szCs w:val="18"/>
        </w:rPr>
        <w:t>Oliveira,</w:t>
      </w:r>
      <w:r w:rsidR="002D45B8">
        <w:rPr>
          <w:rFonts w:cs="Times New Roman"/>
          <w:szCs w:val="18"/>
        </w:rPr>
        <w:t xml:space="preserve"> C., Gruskevica, K., Juhna, T. and Tihomirova, K. (2014). </w:t>
      </w:r>
      <w:r w:rsidRPr="002D45B8">
        <w:rPr>
          <w:rFonts w:cs="Times New Roman"/>
          <w:szCs w:val="18"/>
        </w:rPr>
        <w:t xml:space="preserve">Removal </w:t>
      </w:r>
      <w:r w:rsidR="002D45B8" w:rsidRPr="002D45B8">
        <w:rPr>
          <w:rFonts w:cs="Times New Roman"/>
          <w:szCs w:val="18"/>
        </w:rPr>
        <w:t xml:space="preserve">of paraquat pesticide with </w:t>
      </w:r>
      <w:r w:rsidRPr="002D45B8">
        <w:rPr>
          <w:rFonts w:cs="Times New Roman"/>
          <w:szCs w:val="18"/>
        </w:rPr>
        <w:t xml:space="preserve">Fenton </w:t>
      </w:r>
      <w:r w:rsidR="002D45B8" w:rsidRPr="002D45B8">
        <w:rPr>
          <w:rFonts w:cs="Times New Roman"/>
          <w:szCs w:val="18"/>
        </w:rPr>
        <w:t>reaction in a pilot scale water system</w:t>
      </w:r>
      <w:r w:rsidRPr="002D45B8">
        <w:rPr>
          <w:rFonts w:cs="Times New Roman"/>
          <w:szCs w:val="18"/>
        </w:rPr>
        <w:t xml:space="preserve">. </w:t>
      </w:r>
      <w:r w:rsidRPr="002D45B8">
        <w:rPr>
          <w:rFonts w:cs="Times New Roman"/>
          <w:i/>
          <w:szCs w:val="18"/>
        </w:rPr>
        <w:t>Drinking Water Engineering Science</w:t>
      </w:r>
      <w:r w:rsidR="002D45B8">
        <w:rPr>
          <w:rFonts w:cs="Times New Roman"/>
          <w:szCs w:val="18"/>
        </w:rPr>
        <w:t xml:space="preserve">, 7: </w:t>
      </w:r>
      <w:r w:rsidRPr="002D45B8">
        <w:rPr>
          <w:rFonts w:cs="Times New Roman"/>
          <w:szCs w:val="18"/>
        </w:rPr>
        <w:t>11</w:t>
      </w:r>
      <w:r w:rsidR="002D45B8">
        <w:rPr>
          <w:rFonts w:cs="Times New Roman"/>
          <w:szCs w:val="18"/>
        </w:rPr>
        <w:t xml:space="preserve"> </w:t>
      </w:r>
      <w:r w:rsidRPr="002D45B8">
        <w:rPr>
          <w:rFonts w:cs="Times New Roman"/>
          <w:szCs w:val="18"/>
        </w:rPr>
        <w:t>–</w:t>
      </w:r>
      <w:r w:rsidR="002D45B8">
        <w:rPr>
          <w:rFonts w:cs="Times New Roman"/>
          <w:szCs w:val="18"/>
        </w:rPr>
        <w:t xml:space="preserve"> </w:t>
      </w:r>
      <w:r w:rsidRPr="002D45B8">
        <w:rPr>
          <w:rFonts w:cs="Times New Roman"/>
          <w:szCs w:val="18"/>
        </w:rPr>
        <w:t>21.</w:t>
      </w:r>
    </w:p>
    <w:p w:rsidR="00463B26" w:rsidRDefault="00784CDA" w:rsidP="00463B26">
      <w:pPr>
        <w:pStyle w:val="ListParagraph"/>
        <w:numPr>
          <w:ilvl w:val="0"/>
          <w:numId w:val="1"/>
        </w:numPr>
        <w:spacing w:after="0" w:line="240" w:lineRule="auto"/>
        <w:ind w:hanging="720"/>
        <w:jc w:val="both"/>
        <w:rPr>
          <w:rFonts w:cs="Times New Roman"/>
          <w:szCs w:val="18"/>
        </w:rPr>
      </w:pPr>
      <w:r w:rsidRPr="002D45B8">
        <w:rPr>
          <w:rFonts w:cs="Times New Roman"/>
          <w:szCs w:val="18"/>
        </w:rPr>
        <w:t>Nah, I.</w:t>
      </w:r>
      <w:r w:rsidR="002D45B8">
        <w:rPr>
          <w:rFonts w:cs="Times New Roman"/>
          <w:szCs w:val="18"/>
        </w:rPr>
        <w:t xml:space="preserve"> W., Hwang, K.-Y., Jeon, C. and </w:t>
      </w:r>
      <w:r w:rsidRPr="002D45B8">
        <w:rPr>
          <w:rFonts w:cs="Times New Roman"/>
          <w:szCs w:val="18"/>
        </w:rPr>
        <w:t>Choi, H.</w:t>
      </w:r>
      <w:r w:rsidR="002D45B8">
        <w:rPr>
          <w:rFonts w:cs="Times New Roman"/>
          <w:szCs w:val="18"/>
        </w:rPr>
        <w:t xml:space="preserve"> B. (2006). </w:t>
      </w:r>
      <w:r w:rsidRPr="002D45B8">
        <w:rPr>
          <w:rFonts w:cs="Times New Roman"/>
          <w:szCs w:val="18"/>
        </w:rPr>
        <w:t xml:space="preserve">Removal of Pb </w:t>
      </w:r>
      <w:r w:rsidR="002D45B8" w:rsidRPr="002D45B8">
        <w:rPr>
          <w:rFonts w:cs="Times New Roman"/>
          <w:szCs w:val="18"/>
        </w:rPr>
        <w:t>ion from water by magnetically modified zeolite</w:t>
      </w:r>
      <w:r w:rsidRPr="002D45B8">
        <w:rPr>
          <w:rFonts w:cs="Times New Roman"/>
          <w:szCs w:val="18"/>
        </w:rPr>
        <w:t xml:space="preserve">. </w:t>
      </w:r>
      <w:r w:rsidRPr="002D45B8">
        <w:rPr>
          <w:rFonts w:cs="Times New Roman"/>
          <w:i/>
          <w:szCs w:val="18"/>
        </w:rPr>
        <w:t>Mineral Engineering</w:t>
      </w:r>
      <w:r w:rsidR="002D45B8">
        <w:rPr>
          <w:rFonts w:cs="Times New Roman"/>
          <w:szCs w:val="18"/>
        </w:rPr>
        <w:t xml:space="preserve">, 19 (14): </w:t>
      </w:r>
      <w:r w:rsidRPr="002D45B8">
        <w:rPr>
          <w:rFonts w:cs="Times New Roman"/>
          <w:szCs w:val="18"/>
        </w:rPr>
        <w:t>1452</w:t>
      </w:r>
      <w:r w:rsidR="002D45B8">
        <w:rPr>
          <w:rFonts w:cs="Times New Roman"/>
          <w:szCs w:val="18"/>
        </w:rPr>
        <w:t xml:space="preserve"> </w:t>
      </w:r>
      <w:r w:rsidRPr="002D45B8">
        <w:rPr>
          <w:rFonts w:cs="Times New Roman"/>
          <w:szCs w:val="18"/>
        </w:rPr>
        <w:t>–</w:t>
      </w:r>
      <w:r w:rsidR="002D45B8">
        <w:rPr>
          <w:rFonts w:cs="Times New Roman"/>
          <w:szCs w:val="18"/>
        </w:rPr>
        <w:t xml:space="preserve"> </w:t>
      </w:r>
      <w:r w:rsidRPr="002D45B8">
        <w:rPr>
          <w:rFonts w:cs="Times New Roman"/>
          <w:szCs w:val="18"/>
        </w:rPr>
        <w:t>1455.</w:t>
      </w:r>
    </w:p>
    <w:p w:rsidR="002D45B8" w:rsidRPr="00463B26" w:rsidRDefault="00784CDA" w:rsidP="00463B26">
      <w:pPr>
        <w:pStyle w:val="ListParagraph"/>
        <w:numPr>
          <w:ilvl w:val="0"/>
          <w:numId w:val="1"/>
        </w:numPr>
        <w:spacing w:after="0" w:line="240" w:lineRule="auto"/>
        <w:ind w:hanging="720"/>
        <w:jc w:val="both"/>
        <w:rPr>
          <w:rFonts w:cs="Times New Roman"/>
          <w:szCs w:val="18"/>
        </w:rPr>
      </w:pPr>
      <w:r w:rsidRPr="00463B26">
        <w:rPr>
          <w:rFonts w:cs="Times New Roman"/>
          <w:szCs w:val="18"/>
        </w:rPr>
        <w:t>Ridder D.</w:t>
      </w:r>
      <w:r w:rsidR="002D45B8" w:rsidRPr="00463B26">
        <w:rPr>
          <w:rFonts w:cs="Times New Roman"/>
          <w:szCs w:val="18"/>
        </w:rPr>
        <w:t xml:space="preserve"> J. (2012). </w:t>
      </w:r>
      <w:r w:rsidRPr="00463B26">
        <w:rPr>
          <w:rFonts w:cs="Times New Roman"/>
          <w:szCs w:val="18"/>
        </w:rPr>
        <w:t xml:space="preserve">Adsorption </w:t>
      </w:r>
      <w:r w:rsidR="002D45B8" w:rsidRPr="00463B26">
        <w:rPr>
          <w:rFonts w:cs="Times New Roman"/>
          <w:szCs w:val="18"/>
        </w:rPr>
        <w:t>of organic micropollutants onto activated carbon and zeolites. Water Management Academic Press, Netherlands</w:t>
      </w:r>
    </w:p>
    <w:p w:rsidR="002D45B8" w:rsidRPr="002D45B8" w:rsidRDefault="002D45B8" w:rsidP="00784CDA">
      <w:pPr>
        <w:pStyle w:val="ListParagraph"/>
        <w:numPr>
          <w:ilvl w:val="0"/>
          <w:numId w:val="1"/>
        </w:numPr>
        <w:spacing w:after="0" w:line="240" w:lineRule="auto"/>
        <w:ind w:hanging="720"/>
        <w:jc w:val="both"/>
        <w:rPr>
          <w:rFonts w:cs="Times New Roman"/>
          <w:szCs w:val="18"/>
        </w:rPr>
      </w:pPr>
      <w:r>
        <w:rPr>
          <w:rFonts w:cs="Times New Roman"/>
          <w:szCs w:val="18"/>
          <w:lang w:val="en-MY"/>
        </w:rPr>
        <w:t xml:space="preserve">Mohd Saufi bin Rosmi. (2010). </w:t>
      </w:r>
      <w:r w:rsidR="00784CDA" w:rsidRPr="002D45B8">
        <w:rPr>
          <w:rFonts w:cs="Times New Roman"/>
          <w:szCs w:val="18"/>
          <w:lang w:val="en-MY"/>
        </w:rPr>
        <w:t>Synthesis of high quality of CNT via decomposition of acethylene on unsupported catalyst derived from industrial waste”. Thesis Bachelor of Science, University Teknologi Malaysia.</w:t>
      </w:r>
    </w:p>
    <w:p w:rsidR="002D45B8" w:rsidRDefault="00784CDA" w:rsidP="00784CDA">
      <w:pPr>
        <w:pStyle w:val="ListParagraph"/>
        <w:numPr>
          <w:ilvl w:val="0"/>
          <w:numId w:val="1"/>
        </w:numPr>
        <w:spacing w:after="0" w:line="240" w:lineRule="auto"/>
        <w:ind w:hanging="720"/>
        <w:jc w:val="both"/>
        <w:rPr>
          <w:rFonts w:cs="Times New Roman"/>
          <w:szCs w:val="18"/>
        </w:rPr>
      </w:pPr>
      <w:r w:rsidRPr="002D45B8">
        <w:rPr>
          <w:rFonts w:cs="Times New Roman"/>
          <w:szCs w:val="18"/>
        </w:rPr>
        <w:t>Shawabkeh, R.</w:t>
      </w:r>
      <w:r w:rsidR="002D45B8">
        <w:rPr>
          <w:rFonts w:cs="Times New Roman"/>
          <w:szCs w:val="18"/>
        </w:rPr>
        <w:t xml:space="preserve"> A. (2010). </w:t>
      </w:r>
      <w:r w:rsidRPr="002D45B8">
        <w:rPr>
          <w:rFonts w:cs="Times New Roman"/>
          <w:szCs w:val="18"/>
        </w:rPr>
        <w:t xml:space="preserve">Hydrometallurgical </w:t>
      </w:r>
      <w:r w:rsidR="002D45B8" w:rsidRPr="002D45B8">
        <w:rPr>
          <w:rFonts w:cs="Times New Roman"/>
          <w:szCs w:val="18"/>
        </w:rPr>
        <w:t xml:space="preserve">extraction of </w:t>
      </w:r>
      <w:r w:rsidRPr="002D45B8">
        <w:rPr>
          <w:rFonts w:cs="Times New Roman"/>
          <w:szCs w:val="18"/>
        </w:rPr>
        <w:t xml:space="preserve">Zinc from Jordanian </w:t>
      </w:r>
      <w:r w:rsidR="002D45B8" w:rsidRPr="002D45B8">
        <w:rPr>
          <w:rFonts w:cs="Times New Roman"/>
          <w:szCs w:val="18"/>
        </w:rPr>
        <w:t>electric arc furnace dust</w:t>
      </w:r>
      <w:r w:rsidRPr="002D45B8">
        <w:rPr>
          <w:rFonts w:cs="Times New Roman"/>
          <w:szCs w:val="18"/>
        </w:rPr>
        <w:t xml:space="preserve">. </w:t>
      </w:r>
      <w:r w:rsidRPr="002D45B8">
        <w:rPr>
          <w:rFonts w:cs="Times New Roman"/>
          <w:i/>
          <w:szCs w:val="18"/>
        </w:rPr>
        <w:t>Hydrometallurgy</w:t>
      </w:r>
      <w:r w:rsidR="002D45B8">
        <w:rPr>
          <w:rFonts w:cs="Times New Roman"/>
          <w:szCs w:val="18"/>
        </w:rPr>
        <w:t xml:space="preserve">, 104 (1): </w:t>
      </w:r>
      <w:r w:rsidRPr="002D45B8">
        <w:rPr>
          <w:rFonts w:cs="Times New Roman"/>
          <w:szCs w:val="18"/>
        </w:rPr>
        <w:t>61</w:t>
      </w:r>
      <w:r w:rsidR="002D45B8">
        <w:rPr>
          <w:rFonts w:cs="Times New Roman"/>
          <w:szCs w:val="18"/>
        </w:rPr>
        <w:t xml:space="preserve"> </w:t>
      </w:r>
      <w:r w:rsidRPr="002D45B8">
        <w:rPr>
          <w:rFonts w:cs="Times New Roman"/>
          <w:szCs w:val="18"/>
        </w:rPr>
        <w:t>–</w:t>
      </w:r>
      <w:r w:rsidR="002D45B8">
        <w:rPr>
          <w:rFonts w:cs="Times New Roman"/>
          <w:szCs w:val="18"/>
        </w:rPr>
        <w:t xml:space="preserve"> </w:t>
      </w:r>
      <w:r w:rsidRPr="002D45B8">
        <w:rPr>
          <w:rFonts w:cs="Times New Roman"/>
          <w:szCs w:val="18"/>
        </w:rPr>
        <w:t>65.</w:t>
      </w:r>
    </w:p>
    <w:p w:rsidR="002D45B8" w:rsidRDefault="002D45B8" w:rsidP="00784CDA">
      <w:pPr>
        <w:pStyle w:val="ListParagraph"/>
        <w:numPr>
          <w:ilvl w:val="0"/>
          <w:numId w:val="1"/>
        </w:numPr>
        <w:spacing w:after="0" w:line="240" w:lineRule="auto"/>
        <w:ind w:hanging="720"/>
        <w:jc w:val="both"/>
        <w:rPr>
          <w:rFonts w:cs="Times New Roman"/>
          <w:szCs w:val="18"/>
        </w:rPr>
      </w:pPr>
      <w:r>
        <w:rPr>
          <w:rFonts w:cs="Times New Roman"/>
          <w:szCs w:val="18"/>
        </w:rPr>
        <w:t xml:space="preserve">Fallman, A.-M. (2000). </w:t>
      </w:r>
      <w:r w:rsidR="00784CDA" w:rsidRPr="002D45B8">
        <w:rPr>
          <w:rFonts w:cs="Times New Roman"/>
          <w:szCs w:val="18"/>
        </w:rPr>
        <w:t xml:space="preserve">Leaching of Chromium and Barium </w:t>
      </w:r>
      <w:r w:rsidRPr="002D45B8">
        <w:rPr>
          <w:rFonts w:cs="Times New Roman"/>
          <w:szCs w:val="18"/>
        </w:rPr>
        <w:t>from steel slag in laboratory and field tests- a</w:t>
      </w:r>
      <w:r>
        <w:rPr>
          <w:rFonts w:cs="Times New Roman"/>
          <w:szCs w:val="18"/>
        </w:rPr>
        <w:t xml:space="preserve"> solubility controlled process?</w:t>
      </w:r>
      <w:r w:rsidRPr="002D45B8">
        <w:rPr>
          <w:rFonts w:cs="Times New Roman"/>
          <w:szCs w:val="18"/>
        </w:rPr>
        <w:t xml:space="preserve"> </w:t>
      </w:r>
      <w:r w:rsidR="00784CDA" w:rsidRPr="002D45B8">
        <w:rPr>
          <w:rFonts w:cs="Times New Roman"/>
          <w:i/>
          <w:szCs w:val="18"/>
        </w:rPr>
        <w:t>Waste Management</w:t>
      </w:r>
      <w:r>
        <w:rPr>
          <w:rFonts w:cs="Times New Roman"/>
          <w:szCs w:val="18"/>
        </w:rPr>
        <w:t xml:space="preserve">, </w:t>
      </w:r>
      <w:r w:rsidR="00784CDA" w:rsidRPr="002D45B8">
        <w:rPr>
          <w:rFonts w:cs="Times New Roman"/>
          <w:szCs w:val="18"/>
        </w:rPr>
        <w:t>20</w:t>
      </w:r>
      <w:r>
        <w:rPr>
          <w:rFonts w:cs="Times New Roman"/>
          <w:szCs w:val="18"/>
        </w:rPr>
        <w:t xml:space="preserve"> (2-3): 149 </w:t>
      </w:r>
      <w:r w:rsidR="00784CDA" w:rsidRPr="002D45B8">
        <w:rPr>
          <w:rFonts w:cs="Times New Roman"/>
          <w:szCs w:val="18"/>
        </w:rPr>
        <w:t>–</w:t>
      </w:r>
      <w:r>
        <w:rPr>
          <w:rFonts w:cs="Times New Roman"/>
          <w:szCs w:val="18"/>
        </w:rPr>
        <w:t>1</w:t>
      </w:r>
      <w:r w:rsidR="00784CDA" w:rsidRPr="002D45B8">
        <w:rPr>
          <w:rFonts w:cs="Times New Roman"/>
          <w:szCs w:val="18"/>
        </w:rPr>
        <w:t>5</w:t>
      </w:r>
      <w:r>
        <w:rPr>
          <w:rFonts w:cs="Times New Roman"/>
          <w:szCs w:val="18"/>
        </w:rPr>
        <w:t>4</w:t>
      </w:r>
      <w:r w:rsidR="00784CDA" w:rsidRPr="002D45B8">
        <w:rPr>
          <w:rFonts w:cs="Times New Roman"/>
          <w:szCs w:val="18"/>
        </w:rPr>
        <w:t>.</w:t>
      </w:r>
    </w:p>
    <w:p w:rsidR="002D45B8" w:rsidRDefault="002D45B8" w:rsidP="00784CDA">
      <w:pPr>
        <w:pStyle w:val="ListParagraph"/>
        <w:numPr>
          <w:ilvl w:val="0"/>
          <w:numId w:val="1"/>
        </w:numPr>
        <w:spacing w:after="0" w:line="240" w:lineRule="auto"/>
        <w:ind w:hanging="720"/>
        <w:jc w:val="both"/>
        <w:rPr>
          <w:rFonts w:cs="Times New Roman"/>
          <w:szCs w:val="18"/>
        </w:rPr>
      </w:pPr>
      <w:r>
        <w:rPr>
          <w:rFonts w:cs="Times New Roman"/>
          <w:szCs w:val="18"/>
        </w:rPr>
        <w:t xml:space="preserve">Orhan, G. (2005). </w:t>
      </w:r>
      <w:r w:rsidR="00784CDA" w:rsidRPr="002D45B8">
        <w:rPr>
          <w:rFonts w:cs="Times New Roman"/>
          <w:szCs w:val="18"/>
        </w:rPr>
        <w:t xml:space="preserve">Leaching </w:t>
      </w:r>
      <w:r w:rsidRPr="002D45B8">
        <w:rPr>
          <w:rFonts w:cs="Times New Roman"/>
          <w:szCs w:val="18"/>
        </w:rPr>
        <w:t>and cementation of heavy metals from electric arc furnace dust in alkaline medium</w:t>
      </w:r>
      <w:r w:rsidR="00784CDA" w:rsidRPr="002D45B8">
        <w:rPr>
          <w:rFonts w:cs="Times New Roman"/>
          <w:szCs w:val="18"/>
        </w:rPr>
        <w:t xml:space="preserve">. </w:t>
      </w:r>
      <w:r w:rsidR="00784CDA" w:rsidRPr="002D45B8">
        <w:rPr>
          <w:rFonts w:cs="Times New Roman"/>
          <w:i/>
          <w:szCs w:val="18"/>
        </w:rPr>
        <w:t>Hydrometallurgy</w:t>
      </w:r>
      <w:r>
        <w:rPr>
          <w:rFonts w:cs="Times New Roman"/>
          <w:szCs w:val="18"/>
        </w:rPr>
        <w:t xml:space="preserve">, 78 (3-4): </w:t>
      </w:r>
      <w:r w:rsidR="00784CDA" w:rsidRPr="002D45B8">
        <w:rPr>
          <w:rFonts w:cs="Times New Roman"/>
          <w:szCs w:val="18"/>
        </w:rPr>
        <w:t>236</w:t>
      </w:r>
      <w:r>
        <w:rPr>
          <w:rFonts w:cs="Times New Roman"/>
          <w:szCs w:val="18"/>
        </w:rPr>
        <w:t xml:space="preserve"> </w:t>
      </w:r>
      <w:r w:rsidR="00784CDA" w:rsidRPr="002D45B8">
        <w:rPr>
          <w:rFonts w:cs="Times New Roman"/>
          <w:szCs w:val="18"/>
        </w:rPr>
        <w:t>–</w:t>
      </w:r>
      <w:r>
        <w:rPr>
          <w:rFonts w:cs="Times New Roman"/>
          <w:szCs w:val="18"/>
        </w:rPr>
        <w:t xml:space="preserve"> </w:t>
      </w:r>
      <w:r w:rsidR="00784CDA" w:rsidRPr="002D45B8">
        <w:rPr>
          <w:rFonts w:cs="Times New Roman"/>
          <w:szCs w:val="18"/>
        </w:rPr>
        <w:t>245.</w:t>
      </w:r>
    </w:p>
    <w:p w:rsidR="00463B26" w:rsidRDefault="00784CDA" w:rsidP="00784CDA">
      <w:pPr>
        <w:pStyle w:val="ListParagraph"/>
        <w:numPr>
          <w:ilvl w:val="0"/>
          <w:numId w:val="1"/>
        </w:numPr>
        <w:spacing w:after="0" w:line="240" w:lineRule="auto"/>
        <w:ind w:hanging="720"/>
        <w:jc w:val="both"/>
        <w:rPr>
          <w:rFonts w:cs="Times New Roman"/>
          <w:szCs w:val="18"/>
        </w:rPr>
      </w:pPr>
      <w:r w:rsidRPr="002D45B8">
        <w:rPr>
          <w:rFonts w:cs="Times New Roman"/>
          <w:szCs w:val="18"/>
        </w:rPr>
        <w:t>Po</w:t>
      </w:r>
      <w:r w:rsidR="002D45B8">
        <w:rPr>
          <w:rFonts w:cs="Times New Roman"/>
          <w:szCs w:val="18"/>
        </w:rPr>
        <w:t xml:space="preserve">de, V., Popovici, E., Pode, R. and Georgescu, V. (2007). </w:t>
      </w:r>
      <w:r w:rsidR="00463B26">
        <w:rPr>
          <w:rFonts w:cs="Times New Roman"/>
          <w:szCs w:val="18"/>
        </w:rPr>
        <w:t>M</w:t>
      </w:r>
      <w:r w:rsidR="002D45B8" w:rsidRPr="002D45B8">
        <w:rPr>
          <w:rFonts w:cs="Times New Roman"/>
          <w:szCs w:val="18"/>
        </w:rPr>
        <w:t>agnetic properties of an adsorbent based on modified natural zeolite</w:t>
      </w:r>
      <w:r w:rsidR="00463B26">
        <w:rPr>
          <w:rFonts w:cs="Times New Roman"/>
          <w:szCs w:val="18"/>
        </w:rPr>
        <w:t xml:space="preserve">. </w:t>
      </w:r>
      <w:r w:rsidR="00463B26" w:rsidRPr="00463B26">
        <w:rPr>
          <w:rFonts w:cs="Times New Roman"/>
          <w:i/>
          <w:szCs w:val="18"/>
        </w:rPr>
        <w:t>Revue Roumaine Chimie</w:t>
      </w:r>
      <w:r w:rsidR="00463B26">
        <w:rPr>
          <w:rFonts w:cs="Times New Roman"/>
          <w:szCs w:val="18"/>
        </w:rPr>
        <w:t xml:space="preserve">, 52 (10): </w:t>
      </w:r>
      <w:r w:rsidRPr="002D45B8">
        <w:rPr>
          <w:rFonts w:cs="Times New Roman"/>
          <w:szCs w:val="18"/>
        </w:rPr>
        <w:t>983</w:t>
      </w:r>
      <w:r w:rsidR="00463B26">
        <w:rPr>
          <w:rFonts w:cs="Times New Roman"/>
          <w:szCs w:val="18"/>
        </w:rPr>
        <w:t xml:space="preserve"> </w:t>
      </w:r>
      <w:r w:rsidRPr="002D45B8">
        <w:rPr>
          <w:rFonts w:cs="Times New Roman"/>
          <w:szCs w:val="18"/>
        </w:rPr>
        <w:t>–</w:t>
      </w:r>
      <w:r w:rsidR="00463B26">
        <w:rPr>
          <w:rFonts w:cs="Times New Roman"/>
          <w:szCs w:val="18"/>
        </w:rPr>
        <w:t xml:space="preserve"> </w:t>
      </w:r>
      <w:r w:rsidRPr="002D45B8">
        <w:rPr>
          <w:rFonts w:cs="Times New Roman"/>
          <w:szCs w:val="18"/>
        </w:rPr>
        <w:t>989.</w:t>
      </w:r>
    </w:p>
    <w:p w:rsidR="00463B26" w:rsidRDefault="00784CDA" w:rsidP="00463B26">
      <w:pPr>
        <w:pStyle w:val="ListParagraph"/>
        <w:numPr>
          <w:ilvl w:val="0"/>
          <w:numId w:val="1"/>
        </w:numPr>
        <w:spacing w:after="0" w:line="240" w:lineRule="auto"/>
        <w:ind w:hanging="720"/>
        <w:jc w:val="both"/>
        <w:rPr>
          <w:rFonts w:cs="Times New Roman"/>
          <w:szCs w:val="18"/>
        </w:rPr>
      </w:pPr>
      <w:r w:rsidRPr="00463B26">
        <w:rPr>
          <w:rFonts w:cs="Times New Roman"/>
          <w:szCs w:val="18"/>
        </w:rPr>
        <w:t>Faria, P.</w:t>
      </w:r>
      <w:r w:rsidR="00463B26">
        <w:rPr>
          <w:rFonts w:cs="Times New Roman"/>
          <w:szCs w:val="18"/>
        </w:rPr>
        <w:t xml:space="preserve"> </w:t>
      </w:r>
      <w:r w:rsidRPr="00463B26">
        <w:rPr>
          <w:rFonts w:cs="Times New Roman"/>
          <w:szCs w:val="18"/>
        </w:rPr>
        <w:t>C.</w:t>
      </w:r>
      <w:r w:rsidR="00463B26">
        <w:rPr>
          <w:rFonts w:cs="Times New Roman"/>
          <w:szCs w:val="18"/>
        </w:rPr>
        <w:t xml:space="preserve"> </w:t>
      </w:r>
      <w:r w:rsidRPr="00463B26">
        <w:rPr>
          <w:rFonts w:cs="Times New Roman"/>
          <w:szCs w:val="18"/>
        </w:rPr>
        <w:t>C., Orfão, J.</w:t>
      </w:r>
      <w:r w:rsidR="00463B26">
        <w:rPr>
          <w:rFonts w:cs="Times New Roman"/>
          <w:szCs w:val="18"/>
        </w:rPr>
        <w:t xml:space="preserve"> J. and </w:t>
      </w:r>
      <w:r w:rsidRPr="00463B26">
        <w:rPr>
          <w:rFonts w:cs="Times New Roman"/>
          <w:szCs w:val="18"/>
        </w:rPr>
        <w:t>Pereira, M.</w:t>
      </w:r>
      <w:r w:rsidR="00463B26">
        <w:rPr>
          <w:rFonts w:cs="Times New Roman"/>
          <w:szCs w:val="18"/>
        </w:rPr>
        <w:t xml:space="preserve"> F. (2004). </w:t>
      </w:r>
      <w:r w:rsidRPr="00463B26">
        <w:rPr>
          <w:rFonts w:cs="Times New Roman"/>
          <w:szCs w:val="18"/>
        </w:rPr>
        <w:t xml:space="preserve">Adsorption of </w:t>
      </w:r>
      <w:r w:rsidR="00463B26" w:rsidRPr="00463B26">
        <w:rPr>
          <w:rFonts w:cs="Times New Roman"/>
          <w:szCs w:val="18"/>
        </w:rPr>
        <w:t>anionic and cationic dyes on activated carbons with different surface chemistry</w:t>
      </w:r>
      <w:r w:rsidRPr="00463B26">
        <w:rPr>
          <w:rFonts w:cs="Times New Roman"/>
          <w:szCs w:val="18"/>
        </w:rPr>
        <w:t xml:space="preserve">. </w:t>
      </w:r>
      <w:r w:rsidRPr="00463B26">
        <w:rPr>
          <w:rFonts w:cs="Times New Roman"/>
          <w:i/>
          <w:szCs w:val="18"/>
        </w:rPr>
        <w:t>Water Res</w:t>
      </w:r>
      <w:r w:rsidR="00463B26" w:rsidRPr="00463B26">
        <w:rPr>
          <w:rFonts w:cs="Times New Roman"/>
          <w:i/>
          <w:szCs w:val="18"/>
        </w:rPr>
        <w:t>earch</w:t>
      </w:r>
      <w:r w:rsidR="00463B26">
        <w:rPr>
          <w:rFonts w:cs="Times New Roman"/>
          <w:szCs w:val="18"/>
        </w:rPr>
        <w:t xml:space="preserve">, 38 (8): </w:t>
      </w:r>
      <w:r w:rsidRPr="00463B26">
        <w:rPr>
          <w:rFonts w:cs="Times New Roman"/>
          <w:szCs w:val="18"/>
        </w:rPr>
        <w:t>2043</w:t>
      </w:r>
      <w:r w:rsidR="00463B26">
        <w:rPr>
          <w:rFonts w:cs="Times New Roman"/>
          <w:szCs w:val="18"/>
        </w:rPr>
        <w:t xml:space="preserve"> </w:t>
      </w:r>
      <w:r w:rsidRPr="00463B26">
        <w:rPr>
          <w:rFonts w:cs="Times New Roman"/>
          <w:szCs w:val="18"/>
        </w:rPr>
        <w:t>–</w:t>
      </w:r>
      <w:r w:rsidR="00463B26">
        <w:rPr>
          <w:rFonts w:cs="Times New Roman"/>
          <w:szCs w:val="18"/>
        </w:rPr>
        <w:t xml:space="preserve"> </w:t>
      </w:r>
      <w:r w:rsidRPr="00463B26">
        <w:rPr>
          <w:rFonts w:cs="Times New Roman"/>
          <w:szCs w:val="18"/>
        </w:rPr>
        <w:t>2052.</w:t>
      </w:r>
    </w:p>
    <w:p w:rsidR="00784CDA" w:rsidRPr="00463B26" w:rsidRDefault="00784CDA" w:rsidP="00463B26">
      <w:pPr>
        <w:pStyle w:val="ListParagraph"/>
        <w:numPr>
          <w:ilvl w:val="0"/>
          <w:numId w:val="1"/>
        </w:numPr>
        <w:spacing w:after="0" w:line="240" w:lineRule="auto"/>
        <w:ind w:hanging="720"/>
        <w:jc w:val="both"/>
        <w:rPr>
          <w:rFonts w:cs="Times New Roman"/>
          <w:szCs w:val="18"/>
        </w:rPr>
      </w:pPr>
      <w:r w:rsidRPr="00463B26">
        <w:rPr>
          <w:rFonts w:cs="Times New Roman"/>
          <w:szCs w:val="18"/>
        </w:rPr>
        <w:t>Tantriratna, P., Wirojanagud, W., Ne</w:t>
      </w:r>
      <w:r w:rsidR="00463B26" w:rsidRPr="00463B26">
        <w:rPr>
          <w:rFonts w:cs="Times New Roman"/>
          <w:szCs w:val="18"/>
        </w:rPr>
        <w:t xml:space="preserve">ramittagapong, S., Wantala, K. and </w:t>
      </w:r>
      <w:r w:rsidR="00463B26">
        <w:rPr>
          <w:rFonts w:cs="Times New Roman"/>
          <w:szCs w:val="18"/>
        </w:rPr>
        <w:t xml:space="preserve">Grisdanurak, N. (2011). </w:t>
      </w:r>
      <w:r w:rsidRPr="00463B26">
        <w:rPr>
          <w:rFonts w:cs="Times New Roman"/>
          <w:szCs w:val="18"/>
        </w:rPr>
        <w:t xml:space="preserve">Optimization for UV-Photocatalytic </w:t>
      </w:r>
      <w:r w:rsidR="00463B26" w:rsidRPr="00463B26">
        <w:rPr>
          <w:rFonts w:cs="Times New Roman"/>
          <w:szCs w:val="18"/>
        </w:rPr>
        <w:t>degradation of paraquat over titanium dioxide supported on rice husk silica using</w:t>
      </w:r>
      <w:r w:rsidR="00463B26">
        <w:rPr>
          <w:rFonts w:cs="Times New Roman"/>
          <w:szCs w:val="18"/>
        </w:rPr>
        <w:t xml:space="preserve"> Box-Behnken Design. </w:t>
      </w:r>
      <w:r w:rsidR="00463B26" w:rsidRPr="00463B26">
        <w:rPr>
          <w:rFonts w:cs="Times New Roman"/>
          <w:i/>
          <w:szCs w:val="18"/>
        </w:rPr>
        <w:t>Indian Journal of Chemical Technology</w:t>
      </w:r>
      <w:r w:rsidR="00463B26">
        <w:rPr>
          <w:rFonts w:cs="Times New Roman"/>
          <w:i/>
          <w:szCs w:val="18"/>
        </w:rPr>
        <w:t>,</w:t>
      </w:r>
      <w:r w:rsidR="00463B26">
        <w:rPr>
          <w:rFonts w:cs="Times New Roman"/>
          <w:szCs w:val="18"/>
        </w:rPr>
        <w:t xml:space="preserve"> 18: </w:t>
      </w:r>
      <w:r w:rsidRPr="00463B26">
        <w:rPr>
          <w:rFonts w:cs="Times New Roman"/>
          <w:szCs w:val="18"/>
        </w:rPr>
        <w:t>363</w:t>
      </w:r>
      <w:r w:rsidR="00463B26">
        <w:rPr>
          <w:rFonts w:cs="Times New Roman"/>
          <w:szCs w:val="18"/>
        </w:rPr>
        <w:t xml:space="preserve"> </w:t>
      </w:r>
      <w:r w:rsidRPr="00463B26">
        <w:rPr>
          <w:rFonts w:cs="Times New Roman"/>
          <w:szCs w:val="18"/>
        </w:rPr>
        <w:t>–</w:t>
      </w:r>
      <w:r w:rsidR="00463B26">
        <w:rPr>
          <w:rFonts w:cs="Times New Roman"/>
          <w:szCs w:val="18"/>
        </w:rPr>
        <w:t xml:space="preserve"> </w:t>
      </w:r>
      <w:r w:rsidRPr="00463B26">
        <w:rPr>
          <w:rFonts w:cs="Times New Roman"/>
          <w:szCs w:val="18"/>
        </w:rPr>
        <w:t xml:space="preserve">371. </w:t>
      </w:r>
    </w:p>
    <w:p w:rsidR="00784CDA" w:rsidRPr="00784CDA" w:rsidRDefault="00784CDA" w:rsidP="00784CDA">
      <w:pPr>
        <w:jc w:val="both"/>
        <w:rPr>
          <w:sz w:val="22"/>
        </w:rPr>
      </w:pPr>
    </w:p>
    <w:p w:rsidR="00784CDA" w:rsidRDefault="00784CDA" w:rsidP="00B00214">
      <w:pPr>
        <w:spacing w:after="0" w:line="240" w:lineRule="auto"/>
        <w:jc w:val="both"/>
        <w:rPr>
          <w:rFonts w:eastAsia="Calibri"/>
          <w:iCs/>
          <w:szCs w:val="18"/>
        </w:rPr>
      </w:pPr>
    </w:p>
    <w:p w:rsidR="00B00214" w:rsidRDefault="00B00214" w:rsidP="00B00214">
      <w:pPr>
        <w:spacing w:after="0" w:line="240" w:lineRule="auto"/>
        <w:jc w:val="both"/>
        <w:rPr>
          <w:rFonts w:eastAsia="Calibri"/>
          <w:iCs/>
          <w:szCs w:val="18"/>
        </w:rPr>
      </w:pPr>
    </w:p>
    <w:p w:rsidR="00B00214" w:rsidRPr="00B00214" w:rsidRDefault="00B00214" w:rsidP="00B00214">
      <w:pPr>
        <w:spacing w:after="0" w:line="240" w:lineRule="auto"/>
        <w:jc w:val="both"/>
        <w:rPr>
          <w:rFonts w:eastAsia="Calibri"/>
          <w:iCs/>
          <w:szCs w:val="18"/>
        </w:rPr>
      </w:pPr>
    </w:p>
    <w:sectPr w:rsidR="00B00214" w:rsidRPr="00B00214" w:rsidSect="007D7114">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ulim">
    <w:altName w:val="굴림"/>
    <w:panose1 w:val="020B0600000101010101"/>
    <w:charset w:val="81"/>
    <w:family w:val="roman"/>
    <w:notTrueType/>
    <w:pitch w:val="fixed"/>
    <w:sig w:usb0="00000001" w:usb1="09060000" w:usb2="00000010" w:usb3="00000000" w:csb0="00080000" w:csb1="00000000"/>
  </w:font>
  <w:font w:name="AdvTime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8285D"/>
    <w:multiLevelType w:val="hybridMultilevel"/>
    <w:tmpl w:val="47529A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BAE"/>
    <w:rsid w:val="000A3A62"/>
    <w:rsid w:val="0019214F"/>
    <w:rsid w:val="002124D8"/>
    <w:rsid w:val="002D45B8"/>
    <w:rsid w:val="002F3F2E"/>
    <w:rsid w:val="00344229"/>
    <w:rsid w:val="003D76C3"/>
    <w:rsid w:val="00462FCE"/>
    <w:rsid w:val="00463B26"/>
    <w:rsid w:val="00494D60"/>
    <w:rsid w:val="004A588F"/>
    <w:rsid w:val="004F205A"/>
    <w:rsid w:val="00650200"/>
    <w:rsid w:val="0069130A"/>
    <w:rsid w:val="006C22AA"/>
    <w:rsid w:val="006C7F6D"/>
    <w:rsid w:val="006D1954"/>
    <w:rsid w:val="00767BAE"/>
    <w:rsid w:val="00783B21"/>
    <w:rsid w:val="00784CDA"/>
    <w:rsid w:val="007D7114"/>
    <w:rsid w:val="008553C2"/>
    <w:rsid w:val="00A16B50"/>
    <w:rsid w:val="00A47092"/>
    <w:rsid w:val="00AA74F2"/>
    <w:rsid w:val="00B00214"/>
    <w:rsid w:val="00B55DE5"/>
    <w:rsid w:val="00B76DBD"/>
    <w:rsid w:val="00B862A8"/>
    <w:rsid w:val="00C92010"/>
    <w:rsid w:val="00DD176A"/>
    <w:rsid w:val="00E623C0"/>
    <w:rsid w:val="00EF092B"/>
    <w:rsid w:val="00EF59B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114"/>
    <w:rPr>
      <w:rFonts w:ascii="Times New Roman" w:hAnsi="Times New Roman"/>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MainText">
    <w:name w:val="TA_Main_Text"/>
    <w:basedOn w:val="Normal"/>
    <w:rsid w:val="00783B21"/>
    <w:pPr>
      <w:spacing w:after="0" w:line="220" w:lineRule="exact"/>
      <w:ind w:firstLine="187"/>
      <w:jc w:val="both"/>
    </w:pPr>
    <w:rPr>
      <w:rFonts w:ascii="Times" w:eastAsia="Times New Roman" w:hAnsi="Times" w:cs="Times New Roman"/>
      <w:sz w:val="18"/>
      <w:szCs w:val="20"/>
    </w:rPr>
  </w:style>
  <w:style w:type="paragraph" w:styleId="ListParagraph">
    <w:name w:val="List Paragraph"/>
    <w:basedOn w:val="Normal"/>
    <w:uiPriority w:val="34"/>
    <w:qFormat/>
    <w:rsid w:val="00783B21"/>
    <w:pPr>
      <w:ind w:left="720"/>
      <w:contextualSpacing/>
    </w:pPr>
  </w:style>
  <w:style w:type="paragraph" w:styleId="BalloonText">
    <w:name w:val="Balloon Text"/>
    <w:basedOn w:val="Normal"/>
    <w:link w:val="BalloonTextChar"/>
    <w:uiPriority w:val="99"/>
    <w:semiHidden/>
    <w:unhideWhenUsed/>
    <w:rsid w:val="00462F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FCE"/>
    <w:rPr>
      <w:rFonts w:ascii="Tahoma" w:hAnsi="Tahoma" w:cs="Tahoma"/>
      <w:sz w:val="16"/>
      <w:szCs w:val="16"/>
    </w:rPr>
  </w:style>
  <w:style w:type="table" w:styleId="TableGrid">
    <w:name w:val="Table Grid"/>
    <w:basedOn w:val="TableNormal"/>
    <w:uiPriority w:val="59"/>
    <w:rsid w:val="00462FC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462FCE"/>
    <w:pPr>
      <w:spacing w:line="240" w:lineRule="auto"/>
    </w:pPr>
    <w:rPr>
      <w:b/>
      <w:iCs/>
      <w:sz w:val="18"/>
      <w:szCs w:val="18"/>
    </w:rPr>
  </w:style>
  <w:style w:type="paragraph" w:styleId="NormalWeb">
    <w:name w:val="Normal (Web)"/>
    <w:basedOn w:val="Normal"/>
    <w:uiPriority w:val="99"/>
    <w:semiHidden/>
    <w:unhideWhenUsed/>
    <w:rsid w:val="004A588F"/>
    <w:pPr>
      <w:spacing w:before="100" w:beforeAutospacing="1" w:after="100" w:afterAutospacing="1" w:line="240" w:lineRule="auto"/>
    </w:pPr>
    <w:rPr>
      <w:rFonts w:eastAsiaTheme="minorEastAsia" w:cs="Times New Roman"/>
      <w:sz w:val="24"/>
      <w:szCs w:val="24"/>
    </w:rPr>
  </w:style>
  <w:style w:type="table" w:customStyle="1" w:styleId="TableGrid1">
    <w:name w:val="Table Grid1"/>
    <w:basedOn w:val="TableNormal"/>
    <w:next w:val="TableGrid"/>
    <w:uiPriority w:val="59"/>
    <w:rsid w:val="00AA74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114"/>
    <w:rPr>
      <w:rFonts w:ascii="Times New Roman" w:hAnsi="Times New Roman"/>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MainText">
    <w:name w:val="TA_Main_Text"/>
    <w:basedOn w:val="Normal"/>
    <w:rsid w:val="00783B21"/>
    <w:pPr>
      <w:spacing w:after="0" w:line="220" w:lineRule="exact"/>
      <w:ind w:firstLine="187"/>
      <w:jc w:val="both"/>
    </w:pPr>
    <w:rPr>
      <w:rFonts w:ascii="Times" w:eastAsia="Times New Roman" w:hAnsi="Times" w:cs="Times New Roman"/>
      <w:sz w:val="18"/>
      <w:szCs w:val="20"/>
    </w:rPr>
  </w:style>
  <w:style w:type="paragraph" w:styleId="ListParagraph">
    <w:name w:val="List Paragraph"/>
    <w:basedOn w:val="Normal"/>
    <w:uiPriority w:val="34"/>
    <w:qFormat/>
    <w:rsid w:val="00783B21"/>
    <w:pPr>
      <w:ind w:left="720"/>
      <w:contextualSpacing/>
    </w:pPr>
  </w:style>
  <w:style w:type="paragraph" w:styleId="BalloonText">
    <w:name w:val="Balloon Text"/>
    <w:basedOn w:val="Normal"/>
    <w:link w:val="BalloonTextChar"/>
    <w:uiPriority w:val="99"/>
    <w:semiHidden/>
    <w:unhideWhenUsed/>
    <w:rsid w:val="00462F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FCE"/>
    <w:rPr>
      <w:rFonts w:ascii="Tahoma" w:hAnsi="Tahoma" w:cs="Tahoma"/>
      <w:sz w:val="16"/>
      <w:szCs w:val="16"/>
    </w:rPr>
  </w:style>
  <w:style w:type="table" w:styleId="TableGrid">
    <w:name w:val="Table Grid"/>
    <w:basedOn w:val="TableNormal"/>
    <w:uiPriority w:val="59"/>
    <w:rsid w:val="00462FC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462FCE"/>
    <w:pPr>
      <w:spacing w:line="240" w:lineRule="auto"/>
    </w:pPr>
    <w:rPr>
      <w:b/>
      <w:iCs/>
      <w:sz w:val="18"/>
      <w:szCs w:val="18"/>
    </w:rPr>
  </w:style>
  <w:style w:type="paragraph" w:styleId="NormalWeb">
    <w:name w:val="Normal (Web)"/>
    <w:basedOn w:val="Normal"/>
    <w:uiPriority w:val="99"/>
    <w:semiHidden/>
    <w:unhideWhenUsed/>
    <w:rsid w:val="004A588F"/>
    <w:pPr>
      <w:spacing w:before="100" w:beforeAutospacing="1" w:after="100" w:afterAutospacing="1" w:line="240" w:lineRule="auto"/>
    </w:pPr>
    <w:rPr>
      <w:rFonts w:eastAsiaTheme="minorEastAsia" w:cs="Times New Roman"/>
      <w:sz w:val="24"/>
      <w:szCs w:val="24"/>
    </w:rPr>
  </w:style>
  <w:style w:type="table" w:customStyle="1" w:styleId="TableGrid1">
    <w:name w:val="Table Grid1"/>
    <w:basedOn w:val="TableNormal"/>
    <w:next w:val="TableGrid"/>
    <w:uiPriority w:val="59"/>
    <w:rsid w:val="00AA74F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emf"/><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chart" Target="charts/chart1.xml"/><Relationship Id="rId17" Type="http://schemas.openxmlformats.org/officeDocument/2006/relationships/chart" Target="charts/chart5.xml"/><Relationship Id="rId2" Type="http://schemas.openxmlformats.org/officeDocument/2006/relationships/styles" Target="styles.xml"/><Relationship Id="rId16" Type="http://schemas.openxmlformats.org/officeDocument/2006/relationships/chart" Target="charts/chart4.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5.tiff"/><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image" Target="media/image4.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tiff"/><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Dropbox\Research\Analisis%20result\VSM\sndri%20plot%20vsm%20edi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ropbox\Research\Analisis%20result\pH%20at%20zero%20point%20charge.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User\Dropbox\Research\Analisis%20result\BATCH%20STUDY\PQ\adsorption\2%20tim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ropbox\Research\Analisis%20result\BATCH%20STUDY\PQ\adsorption\4%20pH.xls"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C:\Users\User\Dropbox\Research\Analisis%20result\BATCH%20STUDY\PQ\adsorption\Ads-Des%20study.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162648129152477"/>
          <c:y val="4.1203112142842807E-2"/>
          <c:w val="0.613502054975686"/>
          <c:h val="0.84881423469441797"/>
        </c:manualLayout>
      </c:layout>
      <c:scatterChart>
        <c:scatterStyle val="smoothMarker"/>
        <c:varyColors val="0"/>
        <c:ser>
          <c:idx val="0"/>
          <c:order val="0"/>
          <c:tx>
            <c:v>maghemite</c:v>
          </c:tx>
          <c:spPr>
            <a:ln w="0">
              <a:solidFill>
                <a:srgbClr val="7030A0"/>
              </a:solidFill>
            </a:ln>
          </c:spPr>
          <c:marker>
            <c:symbol val="none"/>
          </c:marker>
          <c:xVal>
            <c:numRef>
              <c:f>combine!$B$7:$B$106</c:f>
              <c:numCache>
                <c:formatCode>General</c:formatCode>
                <c:ptCount val="100"/>
                <c:pt idx="0">
                  <c:v>11781.9</c:v>
                </c:pt>
                <c:pt idx="1">
                  <c:v>11310.4</c:v>
                </c:pt>
                <c:pt idx="2">
                  <c:v>10840.1</c:v>
                </c:pt>
                <c:pt idx="3">
                  <c:v>10368.4</c:v>
                </c:pt>
                <c:pt idx="4">
                  <c:v>9898.31</c:v>
                </c:pt>
                <c:pt idx="5">
                  <c:v>9426.68</c:v>
                </c:pt>
                <c:pt idx="6">
                  <c:v>8957.0400000000009</c:v>
                </c:pt>
                <c:pt idx="7">
                  <c:v>8485.67</c:v>
                </c:pt>
                <c:pt idx="8">
                  <c:v>8015.92</c:v>
                </c:pt>
                <c:pt idx="9">
                  <c:v>7544.34</c:v>
                </c:pt>
                <c:pt idx="10">
                  <c:v>7074.67</c:v>
                </c:pt>
                <c:pt idx="11">
                  <c:v>6603.02</c:v>
                </c:pt>
                <c:pt idx="12">
                  <c:v>6132.47</c:v>
                </c:pt>
                <c:pt idx="13">
                  <c:v>5662.96</c:v>
                </c:pt>
                <c:pt idx="14">
                  <c:v>5191.4000000000005</c:v>
                </c:pt>
                <c:pt idx="15">
                  <c:v>4721.71</c:v>
                </c:pt>
                <c:pt idx="16">
                  <c:v>4250.17</c:v>
                </c:pt>
                <c:pt idx="17">
                  <c:v>3780.48</c:v>
                </c:pt>
                <c:pt idx="18">
                  <c:v>3308.91</c:v>
                </c:pt>
                <c:pt idx="19">
                  <c:v>2839.45</c:v>
                </c:pt>
                <c:pt idx="20">
                  <c:v>2367.8000000000002</c:v>
                </c:pt>
                <c:pt idx="21">
                  <c:v>1897.77</c:v>
                </c:pt>
                <c:pt idx="22">
                  <c:v>1427.02</c:v>
                </c:pt>
                <c:pt idx="23">
                  <c:v>956.05899999999997</c:v>
                </c:pt>
                <c:pt idx="24">
                  <c:v>486.44200000000001</c:v>
                </c:pt>
                <c:pt idx="25">
                  <c:v>14.7898</c:v>
                </c:pt>
                <c:pt idx="26">
                  <c:v>-454.69799999999992</c:v>
                </c:pt>
                <c:pt idx="27">
                  <c:v>-926.226</c:v>
                </c:pt>
                <c:pt idx="28">
                  <c:v>-1395.67</c:v>
                </c:pt>
                <c:pt idx="29">
                  <c:v>-1867.42</c:v>
                </c:pt>
                <c:pt idx="30">
                  <c:v>-2337.08</c:v>
                </c:pt>
                <c:pt idx="31">
                  <c:v>-2808.57</c:v>
                </c:pt>
                <c:pt idx="32">
                  <c:v>-3278.97</c:v>
                </c:pt>
                <c:pt idx="33">
                  <c:v>-3748.89</c:v>
                </c:pt>
                <c:pt idx="34">
                  <c:v>-4220.17</c:v>
                </c:pt>
                <c:pt idx="35">
                  <c:v>-4689.74</c:v>
                </c:pt>
                <c:pt idx="36">
                  <c:v>-5161.2299999999996</c:v>
                </c:pt>
                <c:pt idx="37">
                  <c:v>-5630.71</c:v>
                </c:pt>
                <c:pt idx="38">
                  <c:v>-6102.24</c:v>
                </c:pt>
                <c:pt idx="39">
                  <c:v>-6571.66</c:v>
                </c:pt>
                <c:pt idx="40">
                  <c:v>-7043.21</c:v>
                </c:pt>
                <c:pt idx="41">
                  <c:v>-7512.7</c:v>
                </c:pt>
                <c:pt idx="42">
                  <c:v>-7984.09</c:v>
                </c:pt>
                <c:pt idx="43">
                  <c:v>-8453.7800000000007</c:v>
                </c:pt>
                <c:pt idx="44">
                  <c:v>-8924.7199999999975</c:v>
                </c:pt>
                <c:pt idx="45">
                  <c:v>-9395.2199999999975</c:v>
                </c:pt>
                <c:pt idx="46">
                  <c:v>-9864.73</c:v>
                </c:pt>
                <c:pt idx="47">
                  <c:v>-10336.1</c:v>
                </c:pt>
                <c:pt idx="48">
                  <c:v>-10805.5</c:v>
                </c:pt>
                <c:pt idx="49">
                  <c:v>-11276.6</c:v>
                </c:pt>
                <c:pt idx="50">
                  <c:v>-11745.9</c:v>
                </c:pt>
                <c:pt idx="51">
                  <c:v>-11774.7</c:v>
                </c:pt>
                <c:pt idx="52">
                  <c:v>-11284.6</c:v>
                </c:pt>
                <c:pt idx="53">
                  <c:v>-10793.3</c:v>
                </c:pt>
                <c:pt idx="54">
                  <c:v>-10303.5</c:v>
                </c:pt>
                <c:pt idx="55">
                  <c:v>-9813.8499999999985</c:v>
                </c:pt>
                <c:pt idx="56">
                  <c:v>-9323.4599999999955</c:v>
                </c:pt>
                <c:pt idx="57">
                  <c:v>-8834.58</c:v>
                </c:pt>
                <c:pt idx="58">
                  <c:v>-8343.76</c:v>
                </c:pt>
                <c:pt idx="59">
                  <c:v>-7854.9</c:v>
                </c:pt>
                <c:pt idx="60">
                  <c:v>-7364.17</c:v>
                </c:pt>
                <c:pt idx="61">
                  <c:v>-6875.23</c:v>
                </c:pt>
                <c:pt idx="62">
                  <c:v>-6384.5</c:v>
                </c:pt>
                <c:pt idx="63">
                  <c:v>-5895.58</c:v>
                </c:pt>
                <c:pt idx="64">
                  <c:v>-5404.85</c:v>
                </c:pt>
                <c:pt idx="65">
                  <c:v>-4915.2299999999996</c:v>
                </c:pt>
                <c:pt idx="66">
                  <c:v>-4425.96</c:v>
                </c:pt>
                <c:pt idx="67">
                  <c:v>-3935.27</c:v>
                </c:pt>
                <c:pt idx="68">
                  <c:v>-3446.47</c:v>
                </c:pt>
                <c:pt idx="69">
                  <c:v>-2955.55</c:v>
                </c:pt>
                <c:pt idx="70">
                  <c:v>-2466.6999999999998</c:v>
                </c:pt>
                <c:pt idx="71">
                  <c:v>-1975.93</c:v>
                </c:pt>
                <c:pt idx="72">
                  <c:v>-1487.15</c:v>
                </c:pt>
                <c:pt idx="73">
                  <c:v>-996.31799999999987</c:v>
                </c:pt>
                <c:pt idx="74">
                  <c:v>-507.52499999999992</c:v>
                </c:pt>
                <c:pt idx="75">
                  <c:v>-16.740400000000001</c:v>
                </c:pt>
                <c:pt idx="76">
                  <c:v>472.21800000000002</c:v>
                </c:pt>
                <c:pt idx="77">
                  <c:v>962.61300000000006</c:v>
                </c:pt>
                <c:pt idx="78">
                  <c:v>1452.53</c:v>
                </c:pt>
                <c:pt idx="79">
                  <c:v>1941.29</c:v>
                </c:pt>
                <c:pt idx="80">
                  <c:v>2432.04</c:v>
                </c:pt>
                <c:pt idx="81">
                  <c:v>2920.99</c:v>
                </c:pt>
                <c:pt idx="82">
                  <c:v>3411.77</c:v>
                </c:pt>
                <c:pt idx="83">
                  <c:v>3900.37</c:v>
                </c:pt>
                <c:pt idx="84">
                  <c:v>4391.2</c:v>
                </c:pt>
                <c:pt idx="85">
                  <c:v>4879.92</c:v>
                </c:pt>
                <c:pt idx="86">
                  <c:v>5370.54</c:v>
                </c:pt>
                <c:pt idx="87">
                  <c:v>5859.78</c:v>
                </c:pt>
                <c:pt idx="88">
                  <c:v>6349.85</c:v>
                </c:pt>
                <c:pt idx="89">
                  <c:v>6839.88</c:v>
                </c:pt>
                <c:pt idx="90">
                  <c:v>7328.5</c:v>
                </c:pt>
                <c:pt idx="91">
                  <c:v>7819.17</c:v>
                </c:pt>
                <c:pt idx="92">
                  <c:v>8307.9699999999957</c:v>
                </c:pt>
                <c:pt idx="93">
                  <c:v>8798.4599999999955</c:v>
                </c:pt>
                <c:pt idx="94">
                  <c:v>9287.42</c:v>
                </c:pt>
                <c:pt idx="95">
                  <c:v>9777.8799999999956</c:v>
                </c:pt>
                <c:pt idx="96">
                  <c:v>10266.4</c:v>
                </c:pt>
                <c:pt idx="97">
                  <c:v>10757</c:v>
                </c:pt>
                <c:pt idx="98">
                  <c:v>11246.2</c:v>
                </c:pt>
                <c:pt idx="99">
                  <c:v>11735.1</c:v>
                </c:pt>
              </c:numCache>
            </c:numRef>
          </c:xVal>
          <c:yVal>
            <c:numRef>
              <c:f>combine!$C$7:$C$106</c:f>
              <c:numCache>
                <c:formatCode>General</c:formatCode>
                <c:ptCount val="100"/>
                <c:pt idx="0">
                  <c:v>21.136500000000009</c:v>
                </c:pt>
                <c:pt idx="1">
                  <c:v>21.148099999999999</c:v>
                </c:pt>
                <c:pt idx="2">
                  <c:v>21.147500000000001</c:v>
                </c:pt>
                <c:pt idx="3">
                  <c:v>21.150200000000009</c:v>
                </c:pt>
                <c:pt idx="4">
                  <c:v>21.152999999999999</c:v>
                </c:pt>
                <c:pt idx="5">
                  <c:v>21.156300000000009</c:v>
                </c:pt>
                <c:pt idx="6">
                  <c:v>21.156500000000001</c:v>
                </c:pt>
                <c:pt idx="7">
                  <c:v>21.158100000000001</c:v>
                </c:pt>
                <c:pt idx="8">
                  <c:v>21.153199999999991</c:v>
                </c:pt>
                <c:pt idx="9">
                  <c:v>21.1509</c:v>
                </c:pt>
                <c:pt idx="10">
                  <c:v>21.146899999999999</c:v>
                </c:pt>
                <c:pt idx="11">
                  <c:v>21.146699999999999</c:v>
                </c:pt>
                <c:pt idx="12">
                  <c:v>21.135899999999999</c:v>
                </c:pt>
                <c:pt idx="13">
                  <c:v>21.124700000000001</c:v>
                </c:pt>
                <c:pt idx="14">
                  <c:v>21.109400000000001</c:v>
                </c:pt>
                <c:pt idx="15">
                  <c:v>21.089200000000002</c:v>
                </c:pt>
                <c:pt idx="16">
                  <c:v>21.0625</c:v>
                </c:pt>
                <c:pt idx="17">
                  <c:v>21.0244</c:v>
                </c:pt>
                <c:pt idx="18">
                  <c:v>20.9773</c:v>
                </c:pt>
                <c:pt idx="19">
                  <c:v>20.904800000000009</c:v>
                </c:pt>
                <c:pt idx="20">
                  <c:v>20.791699999999999</c:v>
                </c:pt>
                <c:pt idx="21">
                  <c:v>20.615600000000001</c:v>
                </c:pt>
                <c:pt idx="22">
                  <c:v>20.2912</c:v>
                </c:pt>
                <c:pt idx="23">
                  <c:v>19.567299999999999</c:v>
                </c:pt>
                <c:pt idx="24">
                  <c:v>17.4054</c:v>
                </c:pt>
                <c:pt idx="25">
                  <c:v>5.5361599999999997</c:v>
                </c:pt>
                <c:pt idx="26">
                  <c:v>-15.9946</c:v>
                </c:pt>
                <c:pt idx="27">
                  <c:v>-19.273900000000001</c:v>
                </c:pt>
                <c:pt idx="28">
                  <c:v>-20.1218</c:v>
                </c:pt>
                <c:pt idx="29">
                  <c:v>-20.497599999999991</c:v>
                </c:pt>
                <c:pt idx="30">
                  <c:v>-20.695799999999991</c:v>
                </c:pt>
                <c:pt idx="31">
                  <c:v>-20.816600000000001</c:v>
                </c:pt>
                <c:pt idx="32">
                  <c:v>-20.901599999999991</c:v>
                </c:pt>
                <c:pt idx="33">
                  <c:v>-20.953499999999991</c:v>
                </c:pt>
                <c:pt idx="34">
                  <c:v>-21.003699999999991</c:v>
                </c:pt>
                <c:pt idx="35">
                  <c:v>-21.030200000000001</c:v>
                </c:pt>
                <c:pt idx="36">
                  <c:v>-21.057700000000001</c:v>
                </c:pt>
                <c:pt idx="37">
                  <c:v>-21.0748</c:v>
                </c:pt>
                <c:pt idx="38">
                  <c:v>-21.0914</c:v>
                </c:pt>
                <c:pt idx="39">
                  <c:v>-21.1037</c:v>
                </c:pt>
                <c:pt idx="40">
                  <c:v>-21.115400000000001</c:v>
                </c:pt>
                <c:pt idx="41">
                  <c:v>-21.119800000000001</c:v>
                </c:pt>
                <c:pt idx="42">
                  <c:v>-21.126799999999999</c:v>
                </c:pt>
                <c:pt idx="43">
                  <c:v>-21.131599999999999</c:v>
                </c:pt>
                <c:pt idx="44">
                  <c:v>-21.139099999999999</c:v>
                </c:pt>
                <c:pt idx="45">
                  <c:v>-21.137699999999999</c:v>
                </c:pt>
                <c:pt idx="46">
                  <c:v>-21.139500000000009</c:v>
                </c:pt>
                <c:pt idx="47">
                  <c:v>-21.143699999999999</c:v>
                </c:pt>
                <c:pt idx="48">
                  <c:v>-21.14</c:v>
                </c:pt>
                <c:pt idx="49">
                  <c:v>-21.140899999999991</c:v>
                </c:pt>
                <c:pt idx="50">
                  <c:v>-21.141999999999999</c:v>
                </c:pt>
                <c:pt idx="51">
                  <c:v>-21.142700000000001</c:v>
                </c:pt>
                <c:pt idx="52">
                  <c:v>-21.148</c:v>
                </c:pt>
                <c:pt idx="53">
                  <c:v>-21.150300000000001</c:v>
                </c:pt>
                <c:pt idx="54">
                  <c:v>-21.1523</c:v>
                </c:pt>
                <c:pt idx="55">
                  <c:v>-21.151199999999999</c:v>
                </c:pt>
                <c:pt idx="56">
                  <c:v>-21.152999999999999</c:v>
                </c:pt>
                <c:pt idx="57">
                  <c:v>-21.148900000000001</c:v>
                </c:pt>
                <c:pt idx="58">
                  <c:v>-21.1525</c:v>
                </c:pt>
                <c:pt idx="59">
                  <c:v>-21.150099999999991</c:v>
                </c:pt>
                <c:pt idx="60">
                  <c:v>-21.147300000000001</c:v>
                </c:pt>
                <c:pt idx="61">
                  <c:v>-21.1434</c:v>
                </c:pt>
                <c:pt idx="62">
                  <c:v>-21.136900000000001</c:v>
                </c:pt>
                <c:pt idx="63">
                  <c:v>-21.122299999999999</c:v>
                </c:pt>
                <c:pt idx="64">
                  <c:v>-21.109200000000001</c:v>
                </c:pt>
                <c:pt idx="65">
                  <c:v>-21.0901</c:v>
                </c:pt>
                <c:pt idx="66">
                  <c:v>-21.067</c:v>
                </c:pt>
                <c:pt idx="67">
                  <c:v>-21.033200000000001</c:v>
                </c:pt>
                <c:pt idx="68">
                  <c:v>-20.986899999999991</c:v>
                </c:pt>
                <c:pt idx="69">
                  <c:v>-20.922499999999989</c:v>
                </c:pt>
                <c:pt idx="70">
                  <c:v>-20.817900000000009</c:v>
                </c:pt>
                <c:pt idx="71">
                  <c:v>-20.6477</c:v>
                </c:pt>
                <c:pt idx="72">
                  <c:v>-20.340199999999999</c:v>
                </c:pt>
                <c:pt idx="73">
                  <c:v>-19.660799999999991</c:v>
                </c:pt>
                <c:pt idx="74">
                  <c:v>-17.5837</c:v>
                </c:pt>
                <c:pt idx="75">
                  <c:v>-5.5712400000000004</c:v>
                </c:pt>
                <c:pt idx="76">
                  <c:v>16.2058</c:v>
                </c:pt>
                <c:pt idx="77">
                  <c:v>19.366399999999999</c:v>
                </c:pt>
                <c:pt idx="78">
                  <c:v>20.1815</c:v>
                </c:pt>
                <c:pt idx="79">
                  <c:v>20.532699999999991</c:v>
                </c:pt>
                <c:pt idx="80">
                  <c:v>20.724900000000009</c:v>
                </c:pt>
                <c:pt idx="81">
                  <c:v>20.8384</c:v>
                </c:pt>
                <c:pt idx="82">
                  <c:v>20.914000000000001</c:v>
                </c:pt>
                <c:pt idx="83">
                  <c:v>20.9712</c:v>
                </c:pt>
                <c:pt idx="84">
                  <c:v>21.010200000000001</c:v>
                </c:pt>
                <c:pt idx="85">
                  <c:v>21.040800000000001</c:v>
                </c:pt>
                <c:pt idx="86">
                  <c:v>21.065300000000001</c:v>
                </c:pt>
                <c:pt idx="87">
                  <c:v>21.081</c:v>
                </c:pt>
                <c:pt idx="88">
                  <c:v>21.097300000000001</c:v>
                </c:pt>
                <c:pt idx="89">
                  <c:v>21.107299999999999</c:v>
                </c:pt>
                <c:pt idx="90">
                  <c:v>21.1173</c:v>
                </c:pt>
                <c:pt idx="91">
                  <c:v>21.122199999999999</c:v>
                </c:pt>
                <c:pt idx="92">
                  <c:v>21.125599999999999</c:v>
                </c:pt>
                <c:pt idx="93">
                  <c:v>21.132400000000001</c:v>
                </c:pt>
                <c:pt idx="94">
                  <c:v>21.132100000000001</c:v>
                </c:pt>
                <c:pt idx="95">
                  <c:v>21.1388</c:v>
                </c:pt>
                <c:pt idx="96">
                  <c:v>21.139199999999999</c:v>
                </c:pt>
                <c:pt idx="97">
                  <c:v>21.139199999999999</c:v>
                </c:pt>
                <c:pt idx="98">
                  <c:v>21.141200000000001</c:v>
                </c:pt>
                <c:pt idx="99">
                  <c:v>21.139800000000001</c:v>
                </c:pt>
              </c:numCache>
            </c:numRef>
          </c:yVal>
          <c:smooth val="1"/>
        </c:ser>
        <c:ser>
          <c:idx val="1"/>
          <c:order val="1"/>
          <c:tx>
            <c:v>NZIC</c:v>
          </c:tx>
          <c:spPr>
            <a:ln w="0">
              <a:solidFill>
                <a:srgbClr val="FF0000"/>
              </a:solidFill>
            </a:ln>
          </c:spPr>
          <c:marker>
            <c:symbol val="none"/>
          </c:marker>
          <c:xVal>
            <c:numRef>
              <c:f>combine!$F$7:$F$106</c:f>
              <c:numCache>
                <c:formatCode>General</c:formatCode>
                <c:ptCount val="100"/>
                <c:pt idx="0">
                  <c:v>11782</c:v>
                </c:pt>
                <c:pt idx="1">
                  <c:v>11310.3</c:v>
                </c:pt>
                <c:pt idx="2">
                  <c:v>10840.4</c:v>
                </c:pt>
                <c:pt idx="3">
                  <c:v>10368.299999999999</c:v>
                </c:pt>
                <c:pt idx="4">
                  <c:v>9898.39</c:v>
                </c:pt>
                <c:pt idx="5">
                  <c:v>9426.61</c:v>
                </c:pt>
                <c:pt idx="6">
                  <c:v>8957.0300000000007</c:v>
                </c:pt>
                <c:pt idx="7">
                  <c:v>8485.56</c:v>
                </c:pt>
                <c:pt idx="8">
                  <c:v>8015.91</c:v>
                </c:pt>
                <c:pt idx="9">
                  <c:v>7544.32</c:v>
                </c:pt>
                <c:pt idx="10">
                  <c:v>7073.91</c:v>
                </c:pt>
                <c:pt idx="11">
                  <c:v>6603.76</c:v>
                </c:pt>
                <c:pt idx="12">
                  <c:v>6132.51</c:v>
                </c:pt>
                <c:pt idx="13">
                  <c:v>5662.93</c:v>
                </c:pt>
                <c:pt idx="14">
                  <c:v>5191.46</c:v>
                </c:pt>
                <c:pt idx="15">
                  <c:v>4721.63</c:v>
                </c:pt>
                <c:pt idx="16">
                  <c:v>4250.13</c:v>
                </c:pt>
                <c:pt idx="17">
                  <c:v>3780.55</c:v>
                </c:pt>
                <c:pt idx="18">
                  <c:v>3308.97</c:v>
                </c:pt>
                <c:pt idx="19">
                  <c:v>2839.25</c:v>
                </c:pt>
                <c:pt idx="20">
                  <c:v>2367.85</c:v>
                </c:pt>
                <c:pt idx="21">
                  <c:v>1898.13</c:v>
                </c:pt>
                <c:pt idx="22">
                  <c:v>1426.6</c:v>
                </c:pt>
                <c:pt idx="23">
                  <c:v>955.97400000000005</c:v>
                </c:pt>
                <c:pt idx="24">
                  <c:v>486.39800000000002</c:v>
                </c:pt>
                <c:pt idx="25">
                  <c:v>14.876300000000001</c:v>
                </c:pt>
                <c:pt idx="26">
                  <c:v>-454.714</c:v>
                </c:pt>
                <c:pt idx="27">
                  <c:v>-926.245</c:v>
                </c:pt>
                <c:pt idx="28">
                  <c:v>-1395.93</c:v>
                </c:pt>
                <c:pt idx="29">
                  <c:v>-1867.34</c:v>
                </c:pt>
                <c:pt idx="30">
                  <c:v>-2337.0100000000002</c:v>
                </c:pt>
                <c:pt idx="31">
                  <c:v>-2808.54</c:v>
                </c:pt>
                <c:pt idx="32">
                  <c:v>-3278.32</c:v>
                </c:pt>
                <c:pt idx="33">
                  <c:v>-3749.44</c:v>
                </c:pt>
                <c:pt idx="34">
                  <c:v>-4220.24</c:v>
                </c:pt>
                <c:pt idx="35">
                  <c:v>-4689.74</c:v>
                </c:pt>
                <c:pt idx="36">
                  <c:v>-5161.1899999999996</c:v>
                </c:pt>
                <c:pt idx="37">
                  <c:v>-5630.82</c:v>
                </c:pt>
                <c:pt idx="38">
                  <c:v>-6102.11</c:v>
                </c:pt>
                <c:pt idx="39">
                  <c:v>-6571.72</c:v>
                </c:pt>
                <c:pt idx="40">
                  <c:v>-7043.18</c:v>
                </c:pt>
                <c:pt idx="41">
                  <c:v>-7512.74</c:v>
                </c:pt>
                <c:pt idx="42">
                  <c:v>-7984.1</c:v>
                </c:pt>
                <c:pt idx="43">
                  <c:v>-8454.19</c:v>
                </c:pt>
                <c:pt idx="44">
                  <c:v>-8924.369999999999</c:v>
                </c:pt>
                <c:pt idx="45">
                  <c:v>-9395.26</c:v>
                </c:pt>
                <c:pt idx="46">
                  <c:v>-9864.73</c:v>
                </c:pt>
                <c:pt idx="47">
                  <c:v>-10336.1</c:v>
                </c:pt>
                <c:pt idx="48">
                  <c:v>-10805.5</c:v>
                </c:pt>
                <c:pt idx="49">
                  <c:v>-11276.6</c:v>
                </c:pt>
                <c:pt idx="50">
                  <c:v>-11746</c:v>
                </c:pt>
                <c:pt idx="51">
                  <c:v>-11774.3</c:v>
                </c:pt>
                <c:pt idx="52">
                  <c:v>-11284.2</c:v>
                </c:pt>
                <c:pt idx="53">
                  <c:v>-10792.9</c:v>
                </c:pt>
                <c:pt idx="54">
                  <c:v>-10303.4</c:v>
                </c:pt>
                <c:pt idx="55">
                  <c:v>-9813.2800000000007</c:v>
                </c:pt>
                <c:pt idx="56">
                  <c:v>-9322.9</c:v>
                </c:pt>
                <c:pt idx="57">
                  <c:v>-8834.06</c:v>
                </c:pt>
                <c:pt idx="58">
                  <c:v>-8343.32</c:v>
                </c:pt>
                <c:pt idx="59">
                  <c:v>-7854.48</c:v>
                </c:pt>
                <c:pt idx="60">
                  <c:v>-7363.69</c:v>
                </c:pt>
                <c:pt idx="61">
                  <c:v>-6874.91</c:v>
                </c:pt>
                <c:pt idx="62">
                  <c:v>-6384.09</c:v>
                </c:pt>
                <c:pt idx="63">
                  <c:v>-5895.14</c:v>
                </c:pt>
                <c:pt idx="64">
                  <c:v>-5404.33</c:v>
                </c:pt>
                <c:pt idx="65">
                  <c:v>-4914.76</c:v>
                </c:pt>
                <c:pt idx="66">
                  <c:v>-4425.5</c:v>
                </c:pt>
                <c:pt idx="67">
                  <c:v>-3934.84</c:v>
                </c:pt>
                <c:pt idx="68">
                  <c:v>-3445.98</c:v>
                </c:pt>
                <c:pt idx="69">
                  <c:v>-2955.16</c:v>
                </c:pt>
                <c:pt idx="70">
                  <c:v>-2466.33</c:v>
                </c:pt>
                <c:pt idx="71">
                  <c:v>-1975.5</c:v>
                </c:pt>
                <c:pt idx="72">
                  <c:v>-1486.68</c:v>
                </c:pt>
                <c:pt idx="73">
                  <c:v>-995.96199999999988</c:v>
                </c:pt>
                <c:pt idx="74">
                  <c:v>-507.16699999999992</c:v>
                </c:pt>
                <c:pt idx="75">
                  <c:v>-16.373100000000001</c:v>
                </c:pt>
                <c:pt idx="76">
                  <c:v>472.57499999999999</c:v>
                </c:pt>
                <c:pt idx="77">
                  <c:v>962.94799999999987</c:v>
                </c:pt>
                <c:pt idx="78">
                  <c:v>1453</c:v>
                </c:pt>
                <c:pt idx="79">
                  <c:v>1941.8</c:v>
                </c:pt>
                <c:pt idx="80">
                  <c:v>2432.5</c:v>
                </c:pt>
                <c:pt idx="81">
                  <c:v>2921.39</c:v>
                </c:pt>
                <c:pt idx="82">
                  <c:v>3412.1</c:v>
                </c:pt>
                <c:pt idx="83">
                  <c:v>3900.82</c:v>
                </c:pt>
                <c:pt idx="84">
                  <c:v>4391.57</c:v>
                </c:pt>
                <c:pt idx="85">
                  <c:v>4880.3500000000004</c:v>
                </c:pt>
                <c:pt idx="86">
                  <c:v>5370.98</c:v>
                </c:pt>
                <c:pt idx="87">
                  <c:v>5860.14</c:v>
                </c:pt>
                <c:pt idx="88">
                  <c:v>6350.18</c:v>
                </c:pt>
                <c:pt idx="89">
                  <c:v>6840.39</c:v>
                </c:pt>
                <c:pt idx="90">
                  <c:v>7328.92</c:v>
                </c:pt>
                <c:pt idx="91">
                  <c:v>7819.65</c:v>
                </c:pt>
                <c:pt idx="92">
                  <c:v>8308.2199999999975</c:v>
                </c:pt>
                <c:pt idx="93">
                  <c:v>8798.82</c:v>
                </c:pt>
                <c:pt idx="94">
                  <c:v>9287.7000000000007</c:v>
                </c:pt>
                <c:pt idx="95">
                  <c:v>9778.44</c:v>
                </c:pt>
                <c:pt idx="96">
                  <c:v>10266.799999999999</c:v>
                </c:pt>
                <c:pt idx="97">
                  <c:v>10757.4</c:v>
                </c:pt>
                <c:pt idx="98">
                  <c:v>11246.6</c:v>
                </c:pt>
                <c:pt idx="99">
                  <c:v>11735.5</c:v>
                </c:pt>
              </c:numCache>
            </c:numRef>
          </c:xVal>
          <c:yVal>
            <c:numRef>
              <c:f>combine!$G$7:$G$106</c:f>
              <c:numCache>
                <c:formatCode>General</c:formatCode>
                <c:ptCount val="100"/>
                <c:pt idx="0">
                  <c:v>6.2570799999999993</c:v>
                </c:pt>
                <c:pt idx="1">
                  <c:v>6.22926</c:v>
                </c:pt>
                <c:pt idx="2">
                  <c:v>6.1972699999999996</c:v>
                </c:pt>
                <c:pt idx="3">
                  <c:v>6.1674899999999981</c:v>
                </c:pt>
                <c:pt idx="4">
                  <c:v>6.1284799999999988</c:v>
                </c:pt>
                <c:pt idx="5">
                  <c:v>6.0885400000000001</c:v>
                </c:pt>
                <c:pt idx="6">
                  <c:v>6.0481499999999997</c:v>
                </c:pt>
                <c:pt idx="7">
                  <c:v>6.0029899999999987</c:v>
                </c:pt>
                <c:pt idx="8">
                  <c:v>5.95533</c:v>
                </c:pt>
                <c:pt idx="9">
                  <c:v>5.9010400000000001</c:v>
                </c:pt>
                <c:pt idx="10">
                  <c:v>5.8442099999999986</c:v>
                </c:pt>
                <c:pt idx="11">
                  <c:v>5.7832299999999996</c:v>
                </c:pt>
                <c:pt idx="12">
                  <c:v>5.714389999999999</c:v>
                </c:pt>
                <c:pt idx="13">
                  <c:v>5.6465199999999989</c:v>
                </c:pt>
                <c:pt idx="14">
                  <c:v>5.5627000000000004</c:v>
                </c:pt>
                <c:pt idx="15">
                  <c:v>5.4695200000000002</c:v>
                </c:pt>
                <c:pt idx="16">
                  <c:v>5.3674199999999992</c:v>
                </c:pt>
                <c:pt idx="17">
                  <c:v>5.2485299999999997</c:v>
                </c:pt>
                <c:pt idx="18">
                  <c:v>5.1065199999999988</c:v>
                </c:pt>
                <c:pt idx="19">
                  <c:v>4.9517699999999998</c:v>
                </c:pt>
                <c:pt idx="20">
                  <c:v>4.7558400000000001</c:v>
                </c:pt>
                <c:pt idx="21">
                  <c:v>4.5203799999999994</c:v>
                </c:pt>
                <c:pt idx="22">
                  <c:v>4.2018300000000002</c:v>
                </c:pt>
                <c:pt idx="23">
                  <c:v>3.7522600000000002</c:v>
                </c:pt>
                <c:pt idx="24">
                  <c:v>2.945819999999999</c:v>
                </c:pt>
                <c:pt idx="25">
                  <c:v>0.45515299999999997</c:v>
                </c:pt>
                <c:pt idx="26">
                  <c:v>-2.7054999999999998</c:v>
                </c:pt>
                <c:pt idx="27">
                  <c:v>-3.650679999999999</c:v>
                </c:pt>
                <c:pt idx="28">
                  <c:v>-4.1354799999999994</c:v>
                </c:pt>
                <c:pt idx="29">
                  <c:v>-4.47539</c:v>
                </c:pt>
                <c:pt idx="30">
                  <c:v>-4.7205799999999991</c:v>
                </c:pt>
                <c:pt idx="31">
                  <c:v>-4.9225899999999987</c:v>
                </c:pt>
                <c:pt idx="32">
                  <c:v>-5.0851799999999994</c:v>
                </c:pt>
                <c:pt idx="33">
                  <c:v>-5.2228599999999989</c:v>
                </c:pt>
                <c:pt idx="34">
                  <c:v>-5.344949999999999</c:v>
                </c:pt>
                <c:pt idx="35">
                  <c:v>-5.4468399999999999</c:v>
                </c:pt>
                <c:pt idx="36">
                  <c:v>-5.544719999999999</c:v>
                </c:pt>
                <c:pt idx="37">
                  <c:v>-5.6307999999999998</c:v>
                </c:pt>
                <c:pt idx="38">
                  <c:v>-5.7056300000000002</c:v>
                </c:pt>
                <c:pt idx="39">
                  <c:v>-5.77454</c:v>
                </c:pt>
                <c:pt idx="40">
                  <c:v>-5.8346600000000004</c:v>
                </c:pt>
                <c:pt idx="41">
                  <c:v>-5.8937499999999998</c:v>
                </c:pt>
                <c:pt idx="42">
                  <c:v>-5.9455099999999996</c:v>
                </c:pt>
                <c:pt idx="43">
                  <c:v>-5.9943999999999997</c:v>
                </c:pt>
                <c:pt idx="44">
                  <c:v>-6.0406700000000004</c:v>
                </c:pt>
                <c:pt idx="45">
                  <c:v>-6.08101</c:v>
                </c:pt>
                <c:pt idx="46">
                  <c:v>-6.1235199999999992</c:v>
                </c:pt>
                <c:pt idx="47">
                  <c:v>-6.1612</c:v>
                </c:pt>
                <c:pt idx="48">
                  <c:v>-6.1910799999999986</c:v>
                </c:pt>
                <c:pt idx="49">
                  <c:v>-6.2323000000000004</c:v>
                </c:pt>
                <c:pt idx="50">
                  <c:v>-6.2582300000000002</c:v>
                </c:pt>
                <c:pt idx="51">
                  <c:v>-6.2586000000000004</c:v>
                </c:pt>
                <c:pt idx="52">
                  <c:v>-6.2309000000000001</c:v>
                </c:pt>
                <c:pt idx="53">
                  <c:v>-6.1979199999999981</c:v>
                </c:pt>
                <c:pt idx="54">
                  <c:v>-6.1638400000000004</c:v>
                </c:pt>
                <c:pt idx="55">
                  <c:v>-6.122749999999999</c:v>
                </c:pt>
                <c:pt idx="56">
                  <c:v>-6.0830500000000001</c:v>
                </c:pt>
                <c:pt idx="57">
                  <c:v>-6.0380700000000003</c:v>
                </c:pt>
                <c:pt idx="58">
                  <c:v>-5.9915799999999999</c:v>
                </c:pt>
                <c:pt idx="59">
                  <c:v>-5.94191</c:v>
                </c:pt>
                <c:pt idx="60">
                  <c:v>-5.8843199999999989</c:v>
                </c:pt>
                <c:pt idx="61">
                  <c:v>-5.8244799999999977</c:v>
                </c:pt>
                <c:pt idx="62">
                  <c:v>-5.7522900000000003</c:v>
                </c:pt>
                <c:pt idx="63">
                  <c:v>-5.6794000000000002</c:v>
                </c:pt>
                <c:pt idx="64">
                  <c:v>-5.59924</c:v>
                </c:pt>
                <c:pt idx="65">
                  <c:v>-5.5054799999999986</c:v>
                </c:pt>
                <c:pt idx="66">
                  <c:v>-5.4050200000000004</c:v>
                </c:pt>
                <c:pt idx="67">
                  <c:v>-5.2843200000000001</c:v>
                </c:pt>
                <c:pt idx="68">
                  <c:v>-5.14947</c:v>
                </c:pt>
                <c:pt idx="69">
                  <c:v>-4.9917400000000001</c:v>
                </c:pt>
                <c:pt idx="70">
                  <c:v>-4.8016100000000002</c:v>
                </c:pt>
                <c:pt idx="71">
                  <c:v>-4.5675399999999993</c:v>
                </c:pt>
                <c:pt idx="72">
                  <c:v>-4.2503799999999998</c:v>
                </c:pt>
                <c:pt idx="73">
                  <c:v>-3.7976100000000002</c:v>
                </c:pt>
                <c:pt idx="74">
                  <c:v>-3.0003199999999999</c:v>
                </c:pt>
                <c:pt idx="75">
                  <c:v>-0.476914</c:v>
                </c:pt>
                <c:pt idx="76">
                  <c:v>2.7507899999999998</c:v>
                </c:pt>
                <c:pt idx="77">
                  <c:v>3.6932399999999999</c:v>
                </c:pt>
                <c:pt idx="78">
                  <c:v>4.184289999999999</c:v>
                </c:pt>
                <c:pt idx="79">
                  <c:v>4.5160999999999998</c:v>
                </c:pt>
                <c:pt idx="80">
                  <c:v>4.76328</c:v>
                </c:pt>
                <c:pt idx="81">
                  <c:v>4.9627299999999996</c:v>
                </c:pt>
                <c:pt idx="82">
                  <c:v>5.1294199999999988</c:v>
                </c:pt>
                <c:pt idx="83">
                  <c:v>5.2575200000000004</c:v>
                </c:pt>
                <c:pt idx="84">
                  <c:v>5.3815799999999996</c:v>
                </c:pt>
                <c:pt idx="85">
                  <c:v>5.4870400000000004</c:v>
                </c:pt>
                <c:pt idx="86">
                  <c:v>5.5794199999999998</c:v>
                </c:pt>
                <c:pt idx="87">
                  <c:v>5.6662699999999999</c:v>
                </c:pt>
                <c:pt idx="88">
                  <c:v>5.7431999999999999</c:v>
                </c:pt>
                <c:pt idx="89">
                  <c:v>5.81135</c:v>
                </c:pt>
                <c:pt idx="90">
                  <c:v>5.8710100000000001</c:v>
                </c:pt>
                <c:pt idx="91">
                  <c:v>5.9263500000000002</c:v>
                </c:pt>
                <c:pt idx="92">
                  <c:v>5.9829099999999986</c:v>
                </c:pt>
                <c:pt idx="93">
                  <c:v>6.0368300000000001</c:v>
                </c:pt>
                <c:pt idx="94">
                  <c:v>6.0742900000000004</c:v>
                </c:pt>
                <c:pt idx="95">
                  <c:v>6.115969999999999</c:v>
                </c:pt>
                <c:pt idx="96">
                  <c:v>6.1543799999999989</c:v>
                </c:pt>
                <c:pt idx="97">
                  <c:v>6.1909299999999989</c:v>
                </c:pt>
                <c:pt idx="98">
                  <c:v>6.2251499999999993</c:v>
                </c:pt>
                <c:pt idx="99">
                  <c:v>6.2592400000000001</c:v>
                </c:pt>
              </c:numCache>
            </c:numRef>
          </c:yVal>
          <c:smooth val="1"/>
        </c:ser>
        <c:dLbls>
          <c:showLegendKey val="0"/>
          <c:showVal val="0"/>
          <c:showCatName val="0"/>
          <c:showSerName val="0"/>
          <c:showPercent val="0"/>
          <c:showBubbleSize val="0"/>
        </c:dLbls>
        <c:axId val="77372800"/>
        <c:axId val="77460992"/>
      </c:scatterChart>
      <c:valAx>
        <c:axId val="77372800"/>
        <c:scaling>
          <c:orientation val="minMax"/>
          <c:max val="10000"/>
          <c:min val="-10000"/>
        </c:scaling>
        <c:delete val="0"/>
        <c:axPos val="b"/>
        <c:title>
          <c:tx>
            <c:rich>
              <a:bodyPr/>
              <a:lstStyle/>
              <a:p>
                <a:pPr>
                  <a:defRPr/>
                </a:pPr>
                <a:r>
                  <a:rPr lang="en-US"/>
                  <a:t>Magnetic field (Oe)</a:t>
                </a:r>
              </a:p>
            </c:rich>
          </c:tx>
          <c:layout>
            <c:manualLayout>
              <c:xMode val="edge"/>
              <c:yMode val="edge"/>
              <c:x val="0.36931217738255484"/>
              <c:y val="0.92062742369608208"/>
            </c:manualLayout>
          </c:layout>
          <c:overlay val="0"/>
        </c:title>
        <c:numFmt formatCode="General" sourceLinked="1"/>
        <c:majorTickMark val="none"/>
        <c:minorTickMark val="none"/>
        <c:tickLblPos val="nextTo"/>
        <c:crossAx val="77460992"/>
        <c:crosses val="autoZero"/>
        <c:crossBetween val="midCat"/>
      </c:valAx>
      <c:valAx>
        <c:axId val="77460992"/>
        <c:scaling>
          <c:orientation val="minMax"/>
        </c:scaling>
        <c:delete val="0"/>
        <c:axPos val="l"/>
        <c:title>
          <c:tx>
            <c:rich>
              <a:bodyPr/>
              <a:lstStyle/>
              <a:p>
                <a:pPr>
                  <a:defRPr/>
                </a:pPr>
                <a:r>
                  <a:rPr lang="en-US"/>
                  <a:t>Magnetization (emu/g)</a:t>
                </a:r>
              </a:p>
            </c:rich>
          </c:tx>
          <c:layout>
            <c:manualLayout>
              <c:xMode val="edge"/>
              <c:yMode val="edge"/>
              <c:x val="7.1553482838436114E-2"/>
              <c:y val="0.26175672390993604"/>
            </c:manualLayout>
          </c:layout>
          <c:overlay val="0"/>
        </c:title>
        <c:numFmt formatCode="General" sourceLinked="1"/>
        <c:majorTickMark val="none"/>
        <c:minorTickMark val="none"/>
        <c:tickLblPos val="nextTo"/>
        <c:crossAx val="77372800"/>
        <c:crosses val="autoZero"/>
        <c:crossBetween val="midCat"/>
      </c:valAx>
      <c:spPr>
        <a:ln>
          <a:solidFill>
            <a:schemeClr val="tx1"/>
          </a:solidFill>
        </a:ln>
      </c:spPr>
    </c:plotArea>
    <c:plotVisOnly val="1"/>
    <c:dispBlanksAs val="gap"/>
    <c:showDLblsOverMax val="0"/>
  </c:chart>
  <c:spPr>
    <a:ln>
      <a:solidFill>
        <a:schemeClr val="tx1"/>
      </a:solidFill>
    </a:ln>
  </c:spPr>
  <c:txPr>
    <a:bodyPr/>
    <a:lstStyle/>
    <a:p>
      <a:pPr>
        <a:defRPr sz="900" b="0">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blank</c:v>
          </c:tx>
          <c:spPr>
            <a:ln w="12700"/>
          </c:spPr>
          <c:marker>
            <c:spPr>
              <a:ln w="12700"/>
            </c:spPr>
          </c:marker>
          <c:xVal>
            <c:numRef>
              <c:f>Sheet1!$B$4:$B$15</c:f>
              <c:numCache>
                <c:formatCode>General</c:formatCode>
                <c:ptCount val="12"/>
                <c:pt idx="0">
                  <c:v>2.0166666666666582</c:v>
                </c:pt>
                <c:pt idx="1">
                  <c:v>3.0233333333333352</c:v>
                </c:pt>
                <c:pt idx="2">
                  <c:v>4.0366666666666724</c:v>
                </c:pt>
                <c:pt idx="3">
                  <c:v>5.0333333333333643</c:v>
                </c:pt>
                <c:pt idx="4">
                  <c:v>5.9733333333333798</c:v>
                </c:pt>
                <c:pt idx="5">
                  <c:v>7.0449999999999946</c:v>
                </c:pt>
                <c:pt idx="6">
                  <c:v>7.9700000000000024</c:v>
                </c:pt>
                <c:pt idx="7">
                  <c:v>8.7833333333333332</c:v>
                </c:pt>
                <c:pt idx="8">
                  <c:v>10.01333333333333</c:v>
                </c:pt>
                <c:pt idx="9">
                  <c:v>10.99</c:v>
                </c:pt>
                <c:pt idx="10">
                  <c:v>12.02333333333333</c:v>
                </c:pt>
                <c:pt idx="11">
                  <c:v>12.89666666666673</c:v>
                </c:pt>
              </c:numCache>
            </c:numRef>
          </c:xVal>
          <c:yVal>
            <c:numRef>
              <c:f>Sheet1!$C$4:$C$15</c:f>
              <c:numCache>
                <c:formatCode>General</c:formatCode>
                <c:ptCount val="12"/>
                <c:pt idx="0">
                  <c:v>2.0233333333333352</c:v>
                </c:pt>
                <c:pt idx="1">
                  <c:v>3.0633333333333348</c:v>
                </c:pt>
                <c:pt idx="2">
                  <c:v>4.0199999999999996</c:v>
                </c:pt>
                <c:pt idx="3">
                  <c:v>5.1633333333333384</c:v>
                </c:pt>
                <c:pt idx="4">
                  <c:v>5.7666666666666684</c:v>
                </c:pt>
                <c:pt idx="5">
                  <c:v>6.7700000000000014</c:v>
                </c:pt>
                <c:pt idx="6">
                  <c:v>6.5066666666666704</c:v>
                </c:pt>
                <c:pt idx="7">
                  <c:v>7.7266666666666683</c:v>
                </c:pt>
                <c:pt idx="8">
                  <c:v>7.9766666666666826</c:v>
                </c:pt>
                <c:pt idx="9">
                  <c:v>8.7800000000000011</c:v>
                </c:pt>
                <c:pt idx="10">
                  <c:v>11.45666666666675</c:v>
                </c:pt>
                <c:pt idx="11">
                  <c:v>12.79</c:v>
                </c:pt>
              </c:numCache>
            </c:numRef>
          </c:yVal>
          <c:smooth val="1"/>
        </c:ser>
        <c:ser>
          <c:idx val="1"/>
          <c:order val="1"/>
          <c:tx>
            <c:v>NZIC</c:v>
          </c:tx>
          <c:spPr>
            <a:ln w="12700"/>
          </c:spPr>
          <c:marker>
            <c:spPr>
              <a:ln w="12700"/>
            </c:spPr>
          </c:marker>
          <c:xVal>
            <c:numRef>
              <c:f>(Sheet1!$D$4:$D$9,Sheet1!$D$11:$D$15)</c:f>
              <c:numCache>
                <c:formatCode>General</c:formatCode>
                <c:ptCount val="11"/>
                <c:pt idx="0">
                  <c:v>1.82</c:v>
                </c:pt>
                <c:pt idx="1">
                  <c:v>3.01</c:v>
                </c:pt>
                <c:pt idx="2">
                  <c:v>3.99</c:v>
                </c:pt>
                <c:pt idx="3">
                  <c:v>5.03</c:v>
                </c:pt>
                <c:pt idx="4">
                  <c:v>5.98</c:v>
                </c:pt>
                <c:pt idx="5">
                  <c:v>6.54</c:v>
                </c:pt>
                <c:pt idx="6">
                  <c:v>9.09</c:v>
                </c:pt>
                <c:pt idx="7">
                  <c:v>9.9700000000000006</c:v>
                </c:pt>
                <c:pt idx="8">
                  <c:v>11.01</c:v>
                </c:pt>
                <c:pt idx="9">
                  <c:v>12.03</c:v>
                </c:pt>
                <c:pt idx="10">
                  <c:v>12.91</c:v>
                </c:pt>
              </c:numCache>
            </c:numRef>
          </c:xVal>
          <c:yVal>
            <c:numRef>
              <c:f>(Sheet1!$E$4:$E$9,Sheet1!$E$11:$E$15)</c:f>
              <c:numCache>
                <c:formatCode>General</c:formatCode>
                <c:ptCount val="11"/>
                <c:pt idx="0">
                  <c:v>2.14</c:v>
                </c:pt>
                <c:pt idx="1">
                  <c:v>7.33</c:v>
                </c:pt>
                <c:pt idx="2">
                  <c:v>7.31</c:v>
                </c:pt>
                <c:pt idx="3">
                  <c:v>7.09</c:v>
                </c:pt>
                <c:pt idx="4">
                  <c:v>7.05</c:v>
                </c:pt>
                <c:pt idx="5">
                  <c:v>6.99</c:v>
                </c:pt>
                <c:pt idx="6">
                  <c:v>6.87</c:v>
                </c:pt>
                <c:pt idx="7">
                  <c:v>7.09</c:v>
                </c:pt>
                <c:pt idx="8">
                  <c:v>7.49</c:v>
                </c:pt>
                <c:pt idx="9">
                  <c:v>8.83</c:v>
                </c:pt>
                <c:pt idx="10">
                  <c:v>10.7</c:v>
                </c:pt>
              </c:numCache>
            </c:numRef>
          </c:yVal>
          <c:smooth val="1"/>
        </c:ser>
        <c:dLbls>
          <c:showLegendKey val="0"/>
          <c:showVal val="0"/>
          <c:showCatName val="0"/>
          <c:showSerName val="0"/>
          <c:showPercent val="0"/>
          <c:showBubbleSize val="0"/>
        </c:dLbls>
        <c:axId val="130220800"/>
        <c:axId val="130223488"/>
      </c:scatterChart>
      <c:valAx>
        <c:axId val="130220800"/>
        <c:scaling>
          <c:orientation val="minMax"/>
        </c:scaling>
        <c:delete val="0"/>
        <c:axPos val="b"/>
        <c:title>
          <c:tx>
            <c:rich>
              <a:bodyPr/>
              <a:lstStyle/>
              <a:p>
                <a:pPr>
                  <a:defRPr/>
                </a:pPr>
                <a:r>
                  <a:rPr lang="en-US"/>
                  <a:t>pH final</a:t>
                </a:r>
              </a:p>
            </c:rich>
          </c:tx>
          <c:layout>
            <c:manualLayout>
              <c:xMode val="edge"/>
              <c:yMode val="edge"/>
              <c:x val="0.45145030592685204"/>
              <c:y val="0.88249764697780131"/>
            </c:manualLayout>
          </c:layout>
          <c:overlay val="0"/>
        </c:title>
        <c:numFmt formatCode="General" sourceLinked="1"/>
        <c:majorTickMark val="out"/>
        <c:minorTickMark val="none"/>
        <c:tickLblPos val="nextTo"/>
        <c:spPr>
          <a:ln/>
        </c:spPr>
        <c:crossAx val="130223488"/>
        <c:crosses val="autoZero"/>
        <c:crossBetween val="midCat"/>
        <c:majorUnit val="2"/>
      </c:valAx>
      <c:valAx>
        <c:axId val="130223488"/>
        <c:scaling>
          <c:orientation val="minMax"/>
        </c:scaling>
        <c:delete val="0"/>
        <c:axPos val="l"/>
        <c:title>
          <c:tx>
            <c:rich>
              <a:bodyPr/>
              <a:lstStyle/>
              <a:p>
                <a:pPr>
                  <a:defRPr/>
                </a:pPr>
                <a:r>
                  <a:rPr lang="en-US"/>
                  <a:t>pH initial</a:t>
                </a:r>
              </a:p>
            </c:rich>
          </c:tx>
          <c:layout/>
          <c:overlay val="0"/>
        </c:title>
        <c:numFmt formatCode="General" sourceLinked="1"/>
        <c:majorTickMark val="out"/>
        <c:minorTickMark val="none"/>
        <c:tickLblPos val="nextTo"/>
        <c:spPr>
          <a:ln/>
        </c:spPr>
        <c:crossAx val="130220800"/>
        <c:crosses val="autoZero"/>
        <c:crossBetween val="midCat"/>
        <c:majorUnit val="2"/>
      </c:valAx>
    </c:plotArea>
    <c:plotVisOnly val="1"/>
    <c:dispBlanksAs val="gap"/>
    <c:showDLblsOverMax val="0"/>
  </c:chart>
  <c:spPr>
    <a:ln>
      <a:solidFill>
        <a:schemeClr val="tx1"/>
      </a:solidFill>
    </a:ln>
  </c:spPr>
  <c:txPr>
    <a:bodyPr/>
    <a:lstStyle/>
    <a:p>
      <a:pPr>
        <a:defRPr sz="900"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75"/>
          <c:y val="5.3912219305920099E-2"/>
          <c:w val="0.64488779527559104"/>
          <c:h val="0.71317600606046705"/>
        </c:manualLayout>
      </c:layout>
      <c:scatterChart>
        <c:scatterStyle val="smoothMarker"/>
        <c:varyColors val="0"/>
        <c:ser>
          <c:idx val="0"/>
          <c:order val="0"/>
          <c:tx>
            <c:v>clinoptilolite</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compare2!$B$34:$B$42</c:f>
              <c:numCache>
                <c:formatCode>General</c:formatCode>
                <c:ptCount val="9"/>
                <c:pt idx="0">
                  <c:v>0</c:v>
                </c:pt>
                <c:pt idx="1">
                  <c:v>2</c:v>
                </c:pt>
                <c:pt idx="2">
                  <c:v>4</c:v>
                </c:pt>
                <c:pt idx="3">
                  <c:v>6</c:v>
                </c:pt>
                <c:pt idx="4">
                  <c:v>8</c:v>
                </c:pt>
                <c:pt idx="5">
                  <c:v>10</c:v>
                </c:pt>
                <c:pt idx="6">
                  <c:v>20</c:v>
                </c:pt>
                <c:pt idx="7">
                  <c:v>30</c:v>
                </c:pt>
                <c:pt idx="8">
                  <c:v>60</c:v>
                </c:pt>
              </c:numCache>
            </c:numRef>
          </c:xVal>
          <c:yVal>
            <c:numRef>
              <c:f>compare2!$C$34:$C$42</c:f>
              <c:numCache>
                <c:formatCode>General</c:formatCode>
                <c:ptCount val="9"/>
                <c:pt idx="0">
                  <c:v>0</c:v>
                </c:pt>
                <c:pt idx="1">
                  <c:v>44.397058823529399</c:v>
                </c:pt>
                <c:pt idx="2">
                  <c:v>48.617647058823493</c:v>
                </c:pt>
                <c:pt idx="3">
                  <c:v>59.985294117647094</c:v>
                </c:pt>
                <c:pt idx="4">
                  <c:v>66.191176470588189</c:v>
                </c:pt>
                <c:pt idx="5">
                  <c:v>73.924999999999997</c:v>
                </c:pt>
                <c:pt idx="6">
                  <c:v>92.273676470588185</c:v>
                </c:pt>
                <c:pt idx="7">
                  <c:v>94.241323529411787</c:v>
                </c:pt>
                <c:pt idx="8">
                  <c:v>96.966176470588181</c:v>
                </c:pt>
              </c:numCache>
            </c:numRef>
          </c:yVal>
          <c:smooth val="1"/>
        </c:ser>
        <c:ser>
          <c:idx val="2"/>
          <c:order val="1"/>
          <c:tx>
            <c:v>maghemite</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compare2!$B$34:$B$42</c:f>
              <c:numCache>
                <c:formatCode>General</c:formatCode>
                <c:ptCount val="9"/>
                <c:pt idx="0">
                  <c:v>0</c:v>
                </c:pt>
                <c:pt idx="1">
                  <c:v>2</c:v>
                </c:pt>
                <c:pt idx="2">
                  <c:v>4</c:v>
                </c:pt>
                <c:pt idx="3">
                  <c:v>6</c:v>
                </c:pt>
                <c:pt idx="4">
                  <c:v>8</c:v>
                </c:pt>
                <c:pt idx="5">
                  <c:v>10</c:v>
                </c:pt>
                <c:pt idx="6">
                  <c:v>20</c:v>
                </c:pt>
                <c:pt idx="7">
                  <c:v>30</c:v>
                </c:pt>
                <c:pt idx="8">
                  <c:v>60</c:v>
                </c:pt>
              </c:numCache>
            </c:numRef>
          </c:xVal>
          <c:yVal>
            <c:numRef>
              <c:f>compare2!$E$34:$E$42</c:f>
              <c:numCache>
                <c:formatCode>General</c:formatCode>
                <c:ptCount val="9"/>
                <c:pt idx="0">
                  <c:v>0</c:v>
                </c:pt>
                <c:pt idx="1">
                  <c:v>7.2691176470587981</c:v>
                </c:pt>
                <c:pt idx="2">
                  <c:v>7.727941176470579</c:v>
                </c:pt>
                <c:pt idx="3">
                  <c:v>10.70588235294119</c:v>
                </c:pt>
                <c:pt idx="4">
                  <c:v>12.801470588235301</c:v>
                </c:pt>
                <c:pt idx="5">
                  <c:v>12.926470588235</c:v>
                </c:pt>
                <c:pt idx="6">
                  <c:v>16.672058823529401</c:v>
                </c:pt>
                <c:pt idx="7">
                  <c:v>17.198529411764699</c:v>
                </c:pt>
                <c:pt idx="8">
                  <c:v>19.269117647058799</c:v>
                </c:pt>
              </c:numCache>
            </c:numRef>
          </c:yVal>
          <c:smooth val="1"/>
        </c:ser>
        <c:ser>
          <c:idx val="1"/>
          <c:order val="2"/>
          <c:tx>
            <c:v>NZIC(3:1)</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compare2!$B$34:$B$42</c:f>
              <c:numCache>
                <c:formatCode>General</c:formatCode>
                <c:ptCount val="9"/>
                <c:pt idx="0">
                  <c:v>0</c:v>
                </c:pt>
                <c:pt idx="1">
                  <c:v>2</c:v>
                </c:pt>
                <c:pt idx="2">
                  <c:v>4</c:v>
                </c:pt>
                <c:pt idx="3">
                  <c:v>6</c:v>
                </c:pt>
                <c:pt idx="4">
                  <c:v>8</c:v>
                </c:pt>
                <c:pt idx="5">
                  <c:v>10</c:v>
                </c:pt>
                <c:pt idx="6">
                  <c:v>20</c:v>
                </c:pt>
                <c:pt idx="7">
                  <c:v>30</c:v>
                </c:pt>
                <c:pt idx="8">
                  <c:v>60</c:v>
                </c:pt>
              </c:numCache>
            </c:numRef>
          </c:xVal>
          <c:yVal>
            <c:numRef>
              <c:f>compare2!$D$34:$D$42</c:f>
              <c:numCache>
                <c:formatCode>General</c:formatCode>
                <c:ptCount val="9"/>
                <c:pt idx="0">
                  <c:v>0</c:v>
                </c:pt>
                <c:pt idx="1">
                  <c:v>36.70514705882352</c:v>
                </c:pt>
                <c:pt idx="2">
                  <c:v>42.977205882352948</c:v>
                </c:pt>
                <c:pt idx="3">
                  <c:v>55.892647058823492</c:v>
                </c:pt>
                <c:pt idx="4">
                  <c:v>63.949264705882342</c:v>
                </c:pt>
                <c:pt idx="5">
                  <c:v>69.833823529411802</c:v>
                </c:pt>
                <c:pt idx="6">
                  <c:v>77.454411764705895</c:v>
                </c:pt>
                <c:pt idx="7">
                  <c:v>79.089705882352888</c:v>
                </c:pt>
                <c:pt idx="8">
                  <c:v>85.802941176470554</c:v>
                </c:pt>
              </c:numCache>
            </c:numRef>
          </c:yVal>
          <c:smooth val="1"/>
        </c:ser>
        <c:dLbls>
          <c:showLegendKey val="0"/>
          <c:showVal val="0"/>
          <c:showCatName val="0"/>
          <c:showSerName val="0"/>
          <c:showPercent val="0"/>
          <c:showBubbleSize val="0"/>
        </c:dLbls>
        <c:axId val="76443648"/>
        <c:axId val="76445952"/>
      </c:scatterChart>
      <c:valAx>
        <c:axId val="76443648"/>
        <c:scaling>
          <c:orientation val="minMax"/>
          <c:max val="60"/>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Time (minute)</a:t>
                </a:r>
              </a:p>
            </c:rich>
          </c:tx>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6445952"/>
        <c:crosses val="autoZero"/>
        <c:crossBetween val="midCat"/>
      </c:valAx>
      <c:valAx>
        <c:axId val="76445952"/>
        <c:scaling>
          <c:orientation val="minMax"/>
          <c:max val="10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Removal (%)</a:t>
                </a:r>
              </a:p>
            </c:rich>
          </c:tx>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6443648"/>
        <c:crosses val="autoZero"/>
        <c:crossBetween val="midCat"/>
        <c:majorUnit val="20"/>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697222222222201"/>
          <c:y val="5.3912219305920099E-2"/>
          <c:w val="0.79580555555555599"/>
          <c:h val="0.71590259550889501"/>
        </c:manualLayout>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uptake!$B$5:$B$11</c:f>
              <c:numCache>
                <c:formatCode>General</c:formatCode>
                <c:ptCount val="7"/>
                <c:pt idx="0">
                  <c:v>2</c:v>
                </c:pt>
                <c:pt idx="1">
                  <c:v>4</c:v>
                </c:pt>
                <c:pt idx="2">
                  <c:v>6</c:v>
                </c:pt>
                <c:pt idx="3">
                  <c:v>7</c:v>
                </c:pt>
                <c:pt idx="4">
                  <c:v>8</c:v>
                </c:pt>
                <c:pt idx="5">
                  <c:v>10</c:v>
                </c:pt>
                <c:pt idx="6">
                  <c:v>12</c:v>
                </c:pt>
              </c:numCache>
            </c:numRef>
          </c:xVal>
          <c:yVal>
            <c:numRef>
              <c:f>uptake!$F$5:$F$11</c:f>
              <c:numCache>
                <c:formatCode>General</c:formatCode>
                <c:ptCount val="7"/>
                <c:pt idx="0">
                  <c:v>4.986088235294118</c:v>
                </c:pt>
                <c:pt idx="1">
                  <c:v>5.9480882352941178</c:v>
                </c:pt>
                <c:pt idx="2">
                  <c:v>6.2631617647058828</c:v>
                </c:pt>
                <c:pt idx="3">
                  <c:v>6.023823529411759</c:v>
                </c:pt>
                <c:pt idx="4">
                  <c:v>7.0510294117647057</c:v>
                </c:pt>
                <c:pt idx="5">
                  <c:v>7.4</c:v>
                </c:pt>
                <c:pt idx="6">
                  <c:v>8.2674485294117641</c:v>
                </c:pt>
              </c:numCache>
            </c:numRef>
          </c:yVal>
          <c:smooth val="0"/>
        </c:ser>
        <c:dLbls>
          <c:showLegendKey val="0"/>
          <c:showVal val="0"/>
          <c:showCatName val="0"/>
          <c:showSerName val="0"/>
          <c:showPercent val="0"/>
          <c:showBubbleSize val="0"/>
        </c:dLbls>
        <c:axId val="76569600"/>
        <c:axId val="76584448"/>
      </c:scatterChart>
      <c:valAx>
        <c:axId val="76569600"/>
        <c:scaling>
          <c:orientation val="minMax"/>
        </c:scaling>
        <c:delete val="0"/>
        <c:axPos val="b"/>
        <c:title>
          <c:tx>
            <c:rich>
              <a:bodyPr rot="0" vert="horz"/>
              <a:lstStyle/>
              <a:p>
                <a:pPr>
                  <a:defRPr/>
                </a:pPr>
                <a:r>
                  <a:rPr lang="en-US"/>
                  <a:t>pH</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0" vert="horz"/>
          <a:lstStyle/>
          <a:p>
            <a:pPr>
              <a:defRPr sz="900"/>
            </a:pPr>
            <a:endParaRPr lang="en-US"/>
          </a:p>
        </c:txPr>
        <c:crossAx val="76584448"/>
        <c:crosses val="autoZero"/>
        <c:crossBetween val="midCat"/>
        <c:majorUnit val="2"/>
      </c:valAx>
      <c:valAx>
        <c:axId val="76584448"/>
        <c:scaling>
          <c:orientation val="minMax"/>
        </c:scaling>
        <c:delete val="0"/>
        <c:axPos val="l"/>
        <c:title>
          <c:tx>
            <c:rich>
              <a:bodyPr rot="-5400000" vert="horz"/>
              <a:lstStyle/>
              <a:p>
                <a:pPr>
                  <a:defRPr sz="900">
                    <a:solidFill>
                      <a:sysClr val="windowText" lastClr="000000"/>
                    </a:solidFill>
                  </a:defRPr>
                </a:pPr>
                <a:r>
                  <a:rPr lang="en-US" sz="900">
                    <a:solidFill>
                      <a:sysClr val="windowText" lastClr="000000"/>
                    </a:solidFill>
                  </a:rPr>
                  <a:t>Equilibrium uptake, qe (mg/g)</a:t>
                </a:r>
              </a:p>
            </c:rich>
          </c:tx>
          <c:layout>
            <c:manualLayout>
              <c:xMode val="edge"/>
              <c:yMode val="edge"/>
              <c:x val="3.3333333333333298E-2"/>
              <c:y val="6.0080927384076999E-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vert="horz"/>
          <a:lstStyle/>
          <a:p>
            <a:pPr>
              <a:defRPr sz="900"/>
            </a:pPr>
            <a:endParaRPr lang="en-US"/>
          </a:p>
        </c:txPr>
        <c:crossAx val="76569600"/>
        <c:crosses val="autoZero"/>
        <c:crossBetween val="midCat"/>
      </c:valAx>
      <c:spPr>
        <a:noFill/>
        <a:ln w="25400">
          <a:noFill/>
        </a:ln>
      </c:spPr>
    </c:plotArea>
    <c:plotVisOnly val="1"/>
    <c:dispBlanksAs val="gap"/>
    <c:showDLblsOverMax val="0"/>
  </c:chart>
  <c:spPr>
    <a:solidFill>
      <a:schemeClr val="bg1"/>
    </a:solidFill>
    <a:ln w="9525" cap="flat" cmpd="sng" algn="ctr">
      <a:solidFill>
        <a:schemeClr val="tx1"/>
      </a:solidFill>
      <a:round/>
    </a:ln>
    <a:effectLst/>
  </c:spPr>
  <c:txPr>
    <a:bodyPr/>
    <a:lstStyle/>
    <a:p>
      <a:pPr>
        <a:defRPr sz="1000" b="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Adsorb</c:v>
          </c:tx>
          <c:spPr>
            <a:solidFill>
              <a:schemeClr val="accent1"/>
            </a:solidFill>
            <a:ln>
              <a:noFill/>
            </a:ln>
            <a:effectLst/>
          </c:spPr>
          <c:invertIfNegative val="0"/>
          <c:cat>
            <c:strLit>
              <c:ptCount val="3"/>
              <c:pt idx="0">
                <c:v>Adsorption-Desorption 1</c:v>
              </c:pt>
              <c:pt idx="1">
                <c:v> Adsorption-Desorption 2</c:v>
              </c:pt>
              <c:pt idx="2">
                <c:v> Adsorption-Desorption 3</c:v>
              </c:pt>
            </c:strLit>
          </c:cat>
          <c:val>
            <c:numRef>
              <c:f>(Sheet3!$D$5,Sheet3!$D$7,Sheet3!$D$9)</c:f>
              <c:numCache>
                <c:formatCode>General</c:formatCode>
                <c:ptCount val="3"/>
                <c:pt idx="0">
                  <c:v>99.024905660377385</c:v>
                </c:pt>
                <c:pt idx="1">
                  <c:v>86.822641509433936</c:v>
                </c:pt>
                <c:pt idx="2">
                  <c:v>86.459056603773575</c:v>
                </c:pt>
              </c:numCache>
            </c:numRef>
          </c:val>
        </c:ser>
        <c:ser>
          <c:idx val="1"/>
          <c:order val="1"/>
          <c:tx>
            <c:v>desorb</c:v>
          </c:tx>
          <c:spPr>
            <a:solidFill>
              <a:schemeClr val="accent2"/>
            </a:solidFill>
            <a:ln>
              <a:noFill/>
            </a:ln>
            <a:effectLst/>
          </c:spPr>
          <c:invertIfNegative val="0"/>
          <c:cat>
            <c:strLit>
              <c:ptCount val="3"/>
              <c:pt idx="0">
                <c:v>Adsorption-Desorption 1</c:v>
              </c:pt>
              <c:pt idx="1">
                <c:v> Adsorption-Desorption 2</c:v>
              </c:pt>
              <c:pt idx="2">
                <c:v> Adsorption-Desorption 3</c:v>
              </c:pt>
            </c:strLit>
          </c:cat>
          <c:val>
            <c:numRef>
              <c:f>(Sheet3!$E$6,Sheet3!$E$8,Sheet3!$E$10)</c:f>
              <c:numCache>
                <c:formatCode>General</c:formatCode>
                <c:ptCount val="3"/>
                <c:pt idx="0">
                  <c:v>99.181132075471666</c:v>
                </c:pt>
                <c:pt idx="1">
                  <c:v>85.630188679245293</c:v>
                </c:pt>
                <c:pt idx="2">
                  <c:v>83.32641509433958</c:v>
                </c:pt>
              </c:numCache>
            </c:numRef>
          </c:val>
        </c:ser>
        <c:dLbls>
          <c:showLegendKey val="0"/>
          <c:showVal val="0"/>
          <c:showCatName val="0"/>
          <c:showSerName val="0"/>
          <c:showPercent val="0"/>
          <c:showBubbleSize val="0"/>
        </c:dLbls>
        <c:gapWidth val="150"/>
        <c:axId val="76826496"/>
        <c:axId val="76828032"/>
      </c:barChart>
      <c:catAx>
        <c:axId val="7682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6828032"/>
        <c:crosses val="autoZero"/>
        <c:auto val="1"/>
        <c:lblAlgn val="ctr"/>
        <c:lblOffset val="100"/>
        <c:noMultiLvlLbl val="0"/>
      </c:catAx>
      <c:valAx>
        <c:axId val="76828032"/>
        <c:scaling>
          <c:orientation val="minMax"/>
          <c:max val="100"/>
          <c:min val="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Percentage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68264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0.57634</cdr:x>
      <cdr:y>0.01686</cdr:y>
    </cdr:from>
    <cdr:to>
      <cdr:x>0.65319</cdr:x>
      <cdr:y>0.10449</cdr:y>
    </cdr:to>
    <cdr:sp macro="" textlink="">
      <cdr:nvSpPr>
        <cdr:cNvPr id="2" name="Text Box 1"/>
        <cdr:cNvSpPr txBox="1"/>
      </cdr:nvSpPr>
      <cdr:spPr>
        <a:xfrm xmlns:a="http://schemas.openxmlformats.org/drawingml/2006/main">
          <a:off x="2266108" y="39764"/>
          <a:ext cx="302168" cy="2067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latin typeface="Times New Roman" panose="02020603050405020304" pitchFamily="18" charset="0"/>
              <a:cs typeface="Times New Roman" panose="02020603050405020304" pitchFamily="18" charset="0"/>
            </a:rPr>
            <a:t>(i)</a:t>
          </a:r>
        </a:p>
      </cdr:txBody>
    </cdr:sp>
  </cdr:relSizeAnchor>
  <cdr:relSizeAnchor xmlns:cdr="http://schemas.openxmlformats.org/drawingml/2006/chartDrawing">
    <cdr:from>
      <cdr:x>0.58926</cdr:x>
      <cdr:y>0.03839</cdr:y>
    </cdr:from>
    <cdr:to>
      <cdr:x>0.66611</cdr:x>
      <cdr:y>0.12602</cdr:y>
    </cdr:to>
    <cdr:sp macro="" textlink="">
      <cdr:nvSpPr>
        <cdr:cNvPr id="3" name="Text Box 1"/>
        <cdr:cNvSpPr txBox="1"/>
      </cdr:nvSpPr>
      <cdr:spPr>
        <a:xfrm xmlns:a="http://schemas.openxmlformats.org/drawingml/2006/main">
          <a:off x="2316908" y="90564"/>
          <a:ext cx="302168" cy="206721"/>
        </a:xfrm>
        <a:prstGeom xmlns:a="http://schemas.openxmlformats.org/drawingml/2006/main" prst="rect">
          <a:avLst/>
        </a:prstGeom>
      </cdr:spPr>
    </cdr:sp>
  </cdr:relSizeAnchor>
  <cdr:relSizeAnchor xmlns:cdr="http://schemas.openxmlformats.org/drawingml/2006/chartDrawing">
    <cdr:from>
      <cdr:x>0.81092</cdr:x>
      <cdr:y>0.19007</cdr:y>
    </cdr:from>
    <cdr:to>
      <cdr:x>0.88777</cdr:x>
      <cdr:y>0.2777</cdr:y>
    </cdr:to>
    <cdr:sp macro="" textlink="">
      <cdr:nvSpPr>
        <cdr:cNvPr id="4" name="Text Box 1"/>
        <cdr:cNvSpPr txBox="1"/>
      </cdr:nvSpPr>
      <cdr:spPr>
        <a:xfrm xmlns:a="http://schemas.openxmlformats.org/drawingml/2006/main">
          <a:off x="3188473" y="448373"/>
          <a:ext cx="302168" cy="206721"/>
        </a:xfrm>
        <a:prstGeom xmlns:a="http://schemas.openxmlformats.org/drawingml/2006/main" prst="rect">
          <a:avLst/>
        </a:prstGeom>
      </cdr:spPr>
    </cdr:sp>
  </cdr:relSizeAnchor>
  <cdr:relSizeAnchor xmlns:cdr="http://schemas.openxmlformats.org/drawingml/2006/chartDrawing">
    <cdr:from>
      <cdr:x>0.03033</cdr:x>
      <cdr:y>0.03904</cdr:y>
    </cdr:from>
    <cdr:to>
      <cdr:x>0.11325</cdr:x>
      <cdr:y>0.15027</cdr:y>
    </cdr:to>
    <cdr:sp macro="" textlink="">
      <cdr:nvSpPr>
        <cdr:cNvPr id="5" name="Text Box 4"/>
        <cdr:cNvSpPr txBox="1"/>
      </cdr:nvSpPr>
      <cdr:spPr>
        <a:xfrm xmlns:a="http://schemas.openxmlformats.org/drawingml/2006/main">
          <a:off x="119270" y="87539"/>
          <a:ext cx="326003" cy="249397"/>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en-US" sz="1000">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0.54275</cdr:x>
      <cdr:y>0.26345</cdr:y>
    </cdr:from>
    <cdr:to>
      <cdr:x>0.6196</cdr:x>
      <cdr:y>0.35108</cdr:y>
    </cdr:to>
    <cdr:sp macro="" textlink="">
      <cdr:nvSpPr>
        <cdr:cNvPr id="7" name="Text Box 1"/>
        <cdr:cNvSpPr txBox="1"/>
      </cdr:nvSpPr>
      <cdr:spPr>
        <a:xfrm xmlns:a="http://schemas.openxmlformats.org/drawingml/2006/main">
          <a:off x="2134043" y="590696"/>
          <a:ext cx="302168" cy="196483"/>
        </a:xfrm>
        <a:prstGeom xmlns:a="http://schemas.openxmlformats.org/drawingml/2006/main" prst="rect">
          <a:avLst/>
        </a:prstGeom>
      </cdr:spPr>
    </cdr:sp>
  </cdr:relSizeAnchor>
  <cdr:relSizeAnchor xmlns:cdr="http://schemas.openxmlformats.org/drawingml/2006/chartDrawing">
    <cdr:from>
      <cdr:x>0.57713</cdr:x>
      <cdr:y>0.23456</cdr:y>
    </cdr:from>
    <cdr:to>
      <cdr:x>0.65398</cdr:x>
      <cdr:y>0.32219</cdr:y>
    </cdr:to>
    <cdr:sp macro="" textlink="">
      <cdr:nvSpPr>
        <cdr:cNvPr id="8" name="Text Box 1"/>
        <cdr:cNvSpPr txBox="1"/>
      </cdr:nvSpPr>
      <cdr:spPr>
        <a:xfrm xmlns:a="http://schemas.openxmlformats.org/drawingml/2006/main">
          <a:off x="2269216" y="525924"/>
          <a:ext cx="302168" cy="196483"/>
        </a:xfrm>
        <a:prstGeom xmlns:a="http://schemas.openxmlformats.org/drawingml/2006/main" prst="rect">
          <a:avLst/>
        </a:prstGeom>
      </cdr:spPr>
    </cdr:sp>
  </cdr:relSizeAnchor>
  <cdr:relSizeAnchor xmlns:cdr="http://schemas.openxmlformats.org/drawingml/2006/chartDrawing">
    <cdr:from>
      <cdr:x>0.57634</cdr:x>
      <cdr:y>0.26597</cdr:y>
    </cdr:from>
    <cdr:to>
      <cdr:x>0.66915</cdr:x>
      <cdr:y>0.38299</cdr:y>
    </cdr:to>
    <cdr:sp macro="" textlink="">
      <cdr:nvSpPr>
        <cdr:cNvPr id="9" name="Text Box 8"/>
        <cdr:cNvSpPr txBox="1"/>
      </cdr:nvSpPr>
      <cdr:spPr>
        <a:xfrm xmlns:a="http://schemas.openxmlformats.org/drawingml/2006/main">
          <a:off x="2266123" y="596354"/>
          <a:ext cx="364934" cy="2623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latin typeface="Times New Roman" panose="02020603050405020304" pitchFamily="18" charset="0"/>
              <a:cs typeface="Times New Roman" panose="02020603050405020304" pitchFamily="18" charset="0"/>
            </a:rPr>
            <a:t>(ii)</a:t>
          </a:r>
        </a:p>
      </cdr:txBody>
    </cdr:sp>
  </cdr:relSizeAnchor>
</c:userShapes>
</file>

<file path=word/drawings/drawing2.xml><?xml version="1.0" encoding="utf-8"?>
<c:userShapes xmlns:c="http://schemas.openxmlformats.org/drawingml/2006/chart">
  <cdr:relSizeAnchor xmlns:cdr="http://schemas.openxmlformats.org/drawingml/2006/chartDrawing">
    <cdr:from>
      <cdr:x>0.81294</cdr:x>
      <cdr:y>0</cdr:y>
    </cdr:from>
    <cdr:to>
      <cdr:x>0.90192</cdr:x>
      <cdr:y>0.09857</cdr:y>
    </cdr:to>
    <cdr:sp macro="" textlink="">
      <cdr:nvSpPr>
        <cdr:cNvPr id="2" name="Text Box 1"/>
        <cdr:cNvSpPr txBox="1"/>
      </cdr:nvSpPr>
      <cdr:spPr>
        <a:xfrm xmlns:a="http://schemas.openxmlformats.org/drawingml/2006/main">
          <a:off x="3196424" y="0"/>
          <a:ext cx="349857" cy="2052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latin typeface="Times New Roman" panose="02020603050405020304" pitchFamily="18" charset="0"/>
              <a:cs typeface="Times New Roman" panose="02020603050405020304" pitchFamily="18" charset="0"/>
            </a:rPr>
            <a:t>a)</a:t>
          </a:r>
        </a:p>
      </cdr:txBody>
    </cdr:sp>
  </cdr:relSizeAnchor>
  <cdr:relSizeAnchor xmlns:cdr="http://schemas.openxmlformats.org/drawingml/2006/chartDrawing">
    <cdr:from>
      <cdr:x>0.81294</cdr:x>
      <cdr:y>0.09857</cdr:y>
    </cdr:from>
    <cdr:to>
      <cdr:x>0.89383</cdr:x>
      <cdr:y>0.22524</cdr:y>
    </cdr:to>
    <cdr:sp macro="" textlink="">
      <cdr:nvSpPr>
        <cdr:cNvPr id="3" name="Text Box 2"/>
        <cdr:cNvSpPr txBox="1"/>
      </cdr:nvSpPr>
      <cdr:spPr>
        <a:xfrm xmlns:a="http://schemas.openxmlformats.org/drawingml/2006/main">
          <a:off x="3196423" y="205297"/>
          <a:ext cx="318053" cy="2638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latin typeface="Times New Roman" panose="02020603050405020304" pitchFamily="18" charset="0"/>
              <a:cs typeface="Times New Roman" panose="02020603050405020304" pitchFamily="18" charset="0"/>
            </a:rPr>
            <a:t>b)</a:t>
          </a:r>
        </a:p>
      </cdr:txBody>
    </cdr:sp>
  </cdr:relSizeAnchor>
  <cdr:relSizeAnchor xmlns:cdr="http://schemas.openxmlformats.org/drawingml/2006/chartDrawing">
    <cdr:from>
      <cdr:x>0.81496</cdr:x>
      <cdr:y>0.5549</cdr:y>
    </cdr:from>
    <cdr:to>
      <cdr:x>0.8999</cdr:x>
      <cdr:y>0.69099</cdr:y>
    </cdr:to>
    <cdr:sp macro="" textlink="">
      <cdr:nvSpPr>
        <cdr:cNvPr id="4" name="Text Box 3"/>
        <cdr:cNvSpPr txBox="1"/>
      </cdr:nvSpPr>
      <cdr:spPr>
        <a:xfrm xmlns:a="http://schemas.openxmlformats.org/drawingml/2006/main">
          <a:off x="3204374" y="1155745"/>
          <a:ext cx="333955" cy="2834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a:latin typeface="Times New Roman" panose="02020603050405020304" pitchFamily="18" charset="0"/>
              <a:cs typeface="Times New Roman" panose="02020603050405020304" pitchFamily="18" charset="0"/>
            </a:rPr>
            <a:t>c)</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81</TotalTime>
  <Pages>7</Pages>
  <Words>2969</Words>
  <Characters>16929</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ANALIS</cp:lastModifiedBy>
  <cp:revision>16</cp:revision>
  <dcterms:created xsi:type="dcterms:W3CDTF">2016-04-15T13:34:00Z</dcterms:created>
  <dcterms:modified xsi:type="dcterms:W3CDTF">2016-04-18T22:22:00Z</dcterms:modified>
</cp:coreProperties>
</file>