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AD" w:rsidRDefault="00173FAD" w:rsidP="00173FAD">
      <w:pPr>
        <w:pStyle w:val="Default"/>
        <w:rPr>
          <w:lang w:val="en-US"/>
        </w:rPr>
      </w:pPr>
      <w:bookmarkStart w:id="0" w:name="OLE_LINK3"/>
      <w:r>
        <w:rPr>
          <w:lang w:val="en-US"/>
        </w:rPr>
        <w:t>Malaysian Journal of Analytical Sciences Vol 20 No 3 (2016): 687 - 696</w:t>
      </w:r>
    </w:p>
    <w:p w:rsidR="00173FAD" w:rsidRDefault="00173FAD" w:rsidP="00173FAD">
      <w:pPr>
        <w:pStyle w:val="Default"/>
        <w:rPr>
          <w:lang w:val="en-US"/>
        </w:rPr>
      </w:pPr>
    </w:p>
    <w:p w:rsidR="00173FAD" w:rsidRDefault="00173FAD" w:rsidP="00173FAD">
      <w:pPr>
        <w:pStyle w:val="Default"/>
        <w:rPr>
          <w:lang w:val="en-US"/>
        </w:rPr>
      </w:pPr>
    </w:p>
    <w:p w:rsidR="00173FAD" w:rsidRPr="00173FAD" w:rsidRDefault="00173FAD" w:rsidP="00173FAD">
      <w:pPr>
        <w:pStyle w:val="Default"/>
        <w:rPr>
          <w:lang w:val="en-US"/>
        </w:rPr>
      </w:pPr>
    </w:p>
    <w:p w:rsidR="00173FAD" w:rsidRPr="002F0E00" w:rsidRDefault="00173FAD" w:rsidP="00173FAD">
      <w:pPr>
        <w:pStyle w:val="Default"/>
        <w:jc w:val="center"/>
        <w:rPr>
          <w:sz w:val="28"/>
          <w:szCs w:val="28"/>
          <w:lang w:val="en-US"/>
        </w:rPr>
      </w:pPr>
      <w:r w:rsidRPr="002F0E00">
        <w:rPr>
          <w:sz w:val="28"/>
          <w:szCs w:val="28"/>
          <w:lang w:val="en-US"/>
        </w:rPr>
        <w:t>CRITICAL POWDER LOADING AND RHEOLOGICAL PROPERTIES OF POLYPROPYLENE/GRAPHITE COMPOSITE</w:t>
      </w:r>
      <w:bookmarkEnd w:id="0"/>
      <w:r w:rsidRPr="002F0E00">
        <w:rPr>
          <w:sz w:val="28"/>
          <w:szCs w:val="28"/>
          <w:lang w:val="en-US"/>
        </w:rPr>
        <w:t xml:space="preserve"> FEEDSTOCK FOR BIPOLAR PLATE APPLICATION</w:t>
      </w:r>
    </w:p>
    <w:p w:rsidR="00173FAD" w:rsidRPr="00F447A7" w:rsidRDefault="00173FAD" w:rsidP="00173FAD">
      <w:pPr>
        <w:spacing w:after="0" w:line="240" w:lineRule="auto"/>
        <w:jc w:val="center"/>
        <w:rPr>
          <w:rFonts w:ascii="Times New Roman" w:hAnsi="Times New Roman"/>
          <w:noProof/>
          <w:sz w:val="24"/>
          <w:szCs w:val="24"/>
          <w:lang w:bidi="ar-SA"/>
        </w:rPr>
      </w:pPr>
    </w:p>
    <w:p w:rsidR="00173FAD" w:rsidRPr="00B0046A" w:rsidRDefault="00173FAD" w:rsidP="00173FAD">
      <w:pPr>
        <w:pStyle w:val="ListParagraph"/>
        <w:spacing w:after="0" w:line="240" w:lineRule="auto"/>
        <w:ind w:left="0"/>
        <w:jc w:val="center"/>
        <w:rPr>
          <w:rFonts w:ascii="Times New Roman" w:hAnsi="Times New Roman"/>
          <w:sz w:val="24"/>
          <w:szCs w:val="24"/>
        </w:rPr>
      </w:pPr>
      <w:r w:rsidRPr="00B0046A">
        <w:rPr>
          <w:rFonts w:ascii="Times New Roman" w:hAnsi="Times New Roman"/>
          <w:sz w:val="24"/>
          <w:szCs w:val="24"/>
        </w:rPr>
        <w:t xml:space="preserve">(Beban Serbuk Kritikal dan Sifat Reologi Bahan Suapan Komposit </w:t>
      </w:r>
      <w:r>
        <w:rPr>
          <w:rFonts w:ascii="Times New Roman" w:hAnsi="Times New Roman"/>
          <w:sz w:val="24"/>
          <w:szCs w:val="24"/>
        </w:rPr>
        <w:t>Polipropilena/</w:t>
      </w:r>
      <w:r w:rsidR="007C6FA4">
        <w:rPr>
          <w:rFonts w:ascii="Times New Roman" w:hAnsi="Times New Roman"/>
          <w:sz w:val="24"/>
          <w:szCs w:val="24"/>
        </w:rPr>
        <w:t>Grafit untuk Aplikasi Plat Dwi</w:t>
      </w:r>
      <w:r w:rsidRPr="00B0046A">
        <w:rPr>
          <w:rFonts w:ascii="Times New Roman" w:hAnsi="Times New Roman"/>
          <w:sz w:val="24"/>
          <w:szCs w:val="24"/>
        </w:rPr>
        <w:t>kutub)</w:t>
      </w:r>
    </w:p>
    <w:p w:rsidR="00173FAD" w:rsidRPr="00F447A7" w:rsidRDefault="00173FAD" w:rsidP="00173FAD">
      <w:pPr>
        <w:spacing w:after="0" w:line="240" w:lineRule="auto"/>
        <w:jc w:val="center"/>
        <w:rPr>
          <w:rFonts w:ascii="Times New Roman" w:hAnsi="Times New Roman"/>
          <w:noProof/>
          <w:sz w:val="20"/>
          <w:szCs w:val="20"/>
          <w:lang w:bidi="ar-SA"/>
        </w:rPr>
      </w:pPr>
    </w:p>
    <w:p w:rsidR="00173FAD" w:rsidRPr="002F0E00" w:rsidRDefault="00173FAD" w:rsidP="00173FAD">
      <w:pPr>
        <w:pStyle w:val="Default"/>
        <w:jc w:val="center"/>
        <w:outlineLvl w:val="0"/>
        <w:rPr>
          <w:bCs/>
          <w:color w:val="auto"/>
          <w:sz w:val="20"/>
          <w:szCs w:val="20"/>
          <w:lang w:val="en-US"/>
        </w:rPr>
      </w:pPr>
      <w:r w:rsidRPr="00B0046A">
        <w:rPr>
          <w:bCs/>
          <w:color w:val="auto"/>
          <w:sz w:val="20"/>
          <w:szCs w:val="20"/>
          <w:lang w:val="en-US"/>
        </w:rPr>
        <w:t>Iswandi</w:t>
      </w:r>
      <w:r w:rsidRPr="00B0046A">
        <w:rPr>
          <w:bCs/>
          <w:color w:val="auto"/>
          <w:sz w:val="20"/>
          <w:szCs w:val="20"/>
          <w:vertAlign w:val="superscript"/>
          <w:lang w:val="en-US"/>
        </w:rPr>
        <w:t>1,2,3</w:t>
      </w:r>
      <w:r w:rsidRPr="00B0046A">
        <w:rPr>
          <w:bCs/>
          <w:color w:val="auto"/>
          <w:sz w:val="20"/>
          <w:szCs w:val="20"/>
          <w:lang w:val="en-US"/>
        </w:rPr>
        <w:t>, Jaafar Sahari</w:t>
      </w:r>
      <w:r w:rsidRPr="00B0046A">
        <w:rPr>
          <w:bCs/>
          <w:color w:val="auto"/>
          <w:sz w:val="20"/>
          <w:szCs w:val="20"/>
          <w:vertAlign w:val="superscript"/>
          <w:lang w:val="en-US"/>
        </w:rPr>
        <w:t>1,2</w:t>
      </w:r>
      <w:r w:rsidRPr="00B0046A">
        <w:rPr>
          <w:bCs/>
          <w:color w:val="auto"/>
          <w:sz w:val="20"/>
          <w:szCs w:val="20"/>
          <w:lang w:val="en-US"/>
        </w:rPr>
        <w:t>, Abu Bakar Sulong</w:t>
      </w:r>
      <w:r w:rsidRPr="00B0046A">
        <w:rPr>
          <w:bCs/>
          <w:color w:val="auto"/>
          <w:sz w:val="20"/>
          <w:szCs w:val="20"/>
          <w:vertAlign w:val="superscript"/>
          <w:lang w:val="en-US"/>
        </w:rPr>
        <w:t>1,2</w:t>
      </w:r>
      <w:r w:rsidRPr="00B0046A">
        <w:rPr>
          <w:bCs/>
          <w:color w:val="auto"/>
          <w:sz w:val="20"/>
          <w:szCs w:val="20"/>
          <w:lang w:val="en-US"/>
        </w:rPr>
        <w:t>, Teuku Husaini</w:t>
      </w:r>
      <w:r w:rsidRPr="00B0046A">
        <w:rPr>
          <w:bCs/>
          <w:color w:val="auto"/>
          <w:sz w:val="20"/>
          <w:szCs w:val="20"/>
          <w:vertAlign w:val="superscript"/>
          <w:lang w:val="en-US"/>
        </w:rPr>
        <w:t>1</w:t>
      </w:r>
      <w:r w:rsidRPr="002F0E00">
        <w:rPr>
          <w:bCs/>
          <w:color w:val="auto"/>
          <w:sz w:val="20"/>
          <w:szCs w:val="20"/>
          <w:lang w:val="en-US"/>
        </w:rPr>
        <w:t>*</w:t>
      </w:r>
    </w:p>
    <w:p w:rsidR="00173FAD" w:rsidRPr="00173FAD" w:rsidRDefault="00173FAD" w:rsidP="00173FAD">
      <w:pPr>
        <w:spacing w:after="0" w:line="240" w:lineRule="auto"/>
        <w:jc w:val="center"/>
        <w:rPr>
          <w:rFonts w:ascii="Times New Roman" w:hAnsi="Times New Roman"/>
          <w:noProof/>
          <w:sz w:val="20"/>
          <w:szCs w:val="20"/>
          <w:lang w:bidi="ar-SA"/>
        </w:rPr>
      </w:pPr>
    </w:p>
    <w:p w:rsidR="00173FAD" w:rsidRPr="00173FAD" w:rsidRDefault="00173FAD" w:rsidP="00173FAD">
      <w:pPr>
        <w:pStyle w:val="Default"/>
        <w:jc w:val="center"/>
        <w:rPr>
          <w:i/>
          <w:color w:val="auto"/>
          <w:sz w:val="20"/>
          <w:szCs w:val="20"/>
          <w:lang w:val="en-US"/>
        </w:rPr>
      </w:pPr>
      <w:r w:rsidRPr="00173FAD">
        <w:rPr>
          <w:i/>
          <w:color w:val="auto"/>
          <w:sz w:val="20"/>
          <w:szCs w:val="20"/>
          <w:vertAlign w:val="superscript"/>
          <w:lang w:val="en-US"/>
        </w:rPr>
        <w:t>1</w:t>
      </w:r>
      <w:r w:rsidRPr="00173FAD">
        <w:rPr>
          <w:i/>
          <w:color w:val="auto"/>
          <w:sz w:val="20"/>
          <w:szCs w:val="20"/>
          <w:lang w:val="en-US"/>
        </w:rPr>
        <w:t>Fuel Cell Institute</w:t>
      </w:r>
    </w:p>
    <w:p w:rsidR="00173FAD" w:rsidRPr="00173FAD" w:rsidRDefault="00173FAD" w:rsidP="00173FAD">
      <w:pPr>
        <w:spacing w:after="0" w:line="240" w:lineRule="auto"/>
        <w:jc w:val="center"/>
        <w:outlineLvl w:val="0"/>
        <w:rPr>
          <w:rFonts w:ascii="Times New Roman" w:hAnsi="Times New Roman"/>
          <w:i/>
          <w:sz w:val="20"/>
          <w:szCs w:val="20"/>
        </w:rPr>
      </w:pPr>
      <w:r w:rsidRPr="00173FAD">
        <w:rPr>
          <w:rFonts w:ascii="Times New Roman" w:hAnsi="Times New Roman"/>
          <w:i/>
          <w:sz w:val="20"/>
          <w:szCs w:val="20"/>
          <w:vertAlign w:val="superscript"/>
        </w:rPr>
        <w:t xml:space="preserve">2 </w:t>
      </w:r>
      <w:r w:rsidRPr="00173FAD">
        <w:rPr>
          <w:rFonts w:ascii="Times New Roman" w:hAnsi="Times New Roman"/>
          <w:i/>
          <w:sz w:val="20"/>
          <w:szCs w:val="20"/>
        </w:rPr>
        <w:t>Department Mechanical and Materials Engineering, Faculty of Engineering and Built Environment</w:t>
      </w:r>
    </w:p>
    <w:p w:rsidR="00173FAD" w:rsidRPr="00173FAD" w:rsidRDefault="00173FAD" w:rsidP="00173FAD">
      <w:pPr>
        <w:pStyle w:val="NoSpacing"/>
        <w:jc w:val="center"/>
        <w:rPr>
          <w:rFonts w:ascii="Times New Roman" w:hAnsi="Times New Roman"/>
          <w:i/>
          <w:sz w:val="20"/>
          <w:szCs w:val="20"/>
        </w:rPr>
      </w:pPr>
      <w:r w:rsidRPr="00173FAD">
        <w:rPr>
          <w:rFonts w:ascii="Times New Roman" w:hAnsi="Times New Roman"/>
          <w:i/>
          <w:sz w:val="20"/>
          <w:szCs w:val="20"/>
        </w:rPr>
        <w:t>Universiti Kebangsaan Malaysia, 43600 UKM Bangi, Selangor, Malaysia</w:t>
      </w:r>
    </w:p>
    <w:p w:rsidR="00173FAD" w:rsidRPr="00173FAD" w:rsidRDefault="00173FAD" w:rsidP="00173FAD">
      <w:pPr>
        <w:pStyle w:val="NoSpacing"/>
        <w:jc w:val="center"/>
        <w:rPr>
          <w:rFonts w:ascii="Times New Roman" w:hAnsi="Times New Roman"/>
          <w:i/>
          <w:sz w:val="20"/>
          <w:szCs w:val="20"/>
        </w:rPr>
      </w:pPr>
      <w:r w:rsidRPr="00173FAD">
        <w:rPr>
          <w:rFonts w:ascii="Times New Roman" w:hAnsi="Times New Roman"/>
          <w:i/>
          <w:sz w:val="20"/>
          <w:szCs w:val="20"/>
          <w:vertAlign w:val="superscript"/>
        </w:rPr>
        <w:t>3</w:t>
      </w:r>
      <w:r w:rsidRPr="00173FAD">
        <w:rPr>
          <w:rFonts w:ascii="Times New Roman" w:hAnsi="Times New Roman"/>
          <w:i/>
          <w:sz w:val="20"/>
          <w:szCs w:val="20"/>
        </w:rPr>
        <w:t xml:space="preserve">Department Mechanical Engineering, </w:t>
      </w:r>
    </w:p>
    <w:p w:rsidR="00173FAD" w:rsidRPr="00173FAD" w:rsidRDefault="00173FAD" w:rsidP="00173FAD">
      <w:pPr>
        <w:pStyle w:val="NoSpacing"/>
        <w:jc w:val="center"/>
        <w:rPr>
          <w:rFonts w:ascii="Times New Roman" w:hAnsi="Times New Roman"/>
          <w:i/>
          <w:sz w:val="20"/>
          <w:szCs w:val="20"/>
        </w:rPr>
      </w:pPr>
      <w:r w:rsidRPr="00173FAD">
        <w:rPr>
          <w:rFonts w:ascii="Times New Roman" w:hAnsi="Times New Roman"/>
          <w:i/>
          <w:sz w:val="20"/>
          <w:szCs w:val="20"/>
        </w:rPr>
        <w:t xml:space="preserve">Institut Teknologi Medan, Medan, Indonesia </w:t>
      </w:r>
    </w:p>
    <w:p w:rsidR="00173FAD" w:rsidRPr="00173FAD" w:rsidRDefault="00173FAD" w:rsidP="00173FAD">
      <w:pPr>
        <w:spacing w:after="0" w:line="240" w:lineRule="auto"/>
        <w:jc w:val="center"/>
        <w:rPr>
          <w:rFonts w:ascii="Times New Roman" w:hAnsi="Times New Roman"/>
          <w:noProof/>
          <w:sz w:val="20"/>
          <w:szCs w:val="20"/>
          <w:lang w:bidi="ar-SA"/>
        </w:rPr>
      </w:pPr>
    </w:p>
    <w:p w:rsidR="00173FAD" w:rsidRPr="00173FAD" w:rsidRDefault="00173FAD" w:rsidP="00173FAD">
      <w:pPr>
        <w:spacing w:after="0" w:line="240" w:lineRule="auto"/>
        <w:jc w:val="center"/>
        <w:rPr>
          <w:rFonts w:ascii="Times New Roman" w:hAnsi="Times New Roman"/>
          <w:i/>
          <w:noProof/>
          <w:sz w:val="20"/>
          <w:szCs w:val="20"/>
          <w:lang w:bidi="ar-SA"/>
        </w:rPr>
      </w:pPr>
      <w:r w:rsidRPr="00173FAD">
        <w:rPr>
          <w:rFonts w:ascii="Times New Roman" w:hAnsi="Times New Roman"/>
          <w:i/>
          <w:noProof/>
          <w:sz w:val="20"/>
          <w:szCs w:val="20"/>
          <w:lang w:bidi="ar-SA"/>
        </w:rPr>
        <w:t xml:space="preserve">*Corresponding author: </w:t>
      </w:r>
      <w:r w:rsidRPr="00173FAD">
        <w:rPr>
          <w:rFonts w:ascii="Times New Roman" w:hAnsi="Times New Roman"/>
          <w:i/>
          <w:sz w:val="20"/>
          <w:szCs w:val="20"/>
        </w:rPr>
        <w:t>t_husaini_st@yahoo.com</w:t>
      </w:r>
    </w:p>
    <w:p w:rsidR="00173FAD" w:rsidRPr="00173FAD" w:rsidRDefault="00173FAD" w:rsidP="00173FAD">
      <w:pPr>
        <w:spacing w:after="0" w:line="240" w:lineRule="auto"/>
        <w:jc w:val="center"/>
        <w:rPr>
          <w:rFonts w:ascii="Times New Roman" w:hAnsi="Times New Roman"/>
          <w:noProof/>
          <w:sz w:val="20"/>
          <w:szCs w:val="20"/>
          <w:lang w:bidi="ar-SA"/>
        </w:rPr>
      </w:pPr>
    </w:p>
    <w:p w:rsidR="00173FAD" w:rsidRPr="00173FAD" w:rsidRDefault="00173FAD" w:rsidP="00173FAD">
      <w:pPr>
        <w:spacing w:after="0" w:line="240" w:lineRule="auto"/>
        <w:jc w:val="center"/>
        <w:rPr>
          <w:rFonts w:ascii="Times New Roman" w:hAnsi="Times New Roman"/>
          <w:noProof/>
          <w:sz w:val="20"/>
          <w:szCs w:val="20"/>
          <w:lang w:bidi="ar-SA"/>
        </w:rPr>
      </w:pPr>
    </w:p>
    <w:p w:rsidR="00173FAD" w:rsidRPr="00173FAD" w:rsidRDefault="00173FAD" w:rsidP="00173FAD">
      <w:pPr>
        <w:spacing w:after="0" w:line="240" w:lineRule="auto"/>
        <w:jc w:val="center"/>
        <w:rPr>
          <w:rFonts w:ascii="Times New Roman" w:hAnsi="Times New Roman"/>
          <w:noProof/>
          <w:sz w:val="20"/>
          <w:szCs w:val="20"/>
          <w:lang w:bidi="ar-SA"/>
        </w:rPr>
      </w:pPr>
      <w:r w:rsidRPr="00173FAD">
        <w:rPr>
          <w:rFonts w:ascii="Times New Roman" w:hAnsi="Times New Roman"/>
          <w:noProof/>
          <w:sz w:val="20"/>
          <w:szCs w:val="20"/>
          <w:lang w:bidi="ar-SA"/>
        </w:rPr>
        <w:t>Received: 5 February 2016; Accepted: 22 April 2016</w:t>
      </w:r>
    </w:p>
    <w:p w:rsidR="00173FAD" w:rsidRPr="00173FAD" w:rsidRDefault="00173FAD" w:rsidP="00173FAD">
      <w:pPr>
        <w:spacing w:after="0" w:line="240" w:lineRule="auto"/>
        <w:jc w:val="center"/>
        <w:rPr>
          <w:rFonts w:ascii="Times New Roman" w:hAnsi="Times New Roman"/>
          <w:noProof/>
          <w:sz w:val="20"/>
          <w:szCs w:val="20"/>
          <w:lang w:bidi="ar-SA"/>
        </w:rPr>
      </w:pPr>
    </w:p>
    <w:p w:rsidR="00173FAD" w:rsidRPr="00173FAD" w:rsidRDefault="00173FAD" w:rsidP="00173FAD">
      <w:pPr>
        <w:spacing w:after="0" w:line="240" w:lineRule="auto"/>
        <w:jc w:val="center"/>
        <w:rPr>
          <w:rFonts w:ascii="Times New Roman" w:hAnsi="Times New Roman"/>
          <w:noProof/>
          <w:sz w:val="20"/>
          <w:szCs w:val="20"/>
          <w:lang w:bidi="ar-SA"/>
        </w:rPr>
      </w:pPr>
    </w:p>
    <w:p w:rsidR="00173FAD" w:rsidRPr="00173FAD" w:rsidRDefault="00173FAD" w:rsidP="00173FAD">
      <w:pPr>
        <w:spacing w:after="0" w:line="240" w:lineRule="auto"/>
        <w:jc w:val="center"/>
        <w:rPr>
          <w:rFonts w:ascii="Times New Roman" w:hAnsi="Times New Roman"/>
          <w:b/>
          <w:noProof/>
          <w:sz w:val="20"/>
          <w:szCs w:val="20"/>
          <w:lang w:bidi="ar-SA"/>
        </w:rPr>
      </w:pPr>
      <w:r w:rsidRPr="00173FAD">
        <w:rPr>
          <w:rFonts w:ascii="Times New Roman" w:hAnsi="Times New Roman"/>
          <w:b/>
          <w:noProof/>
          <w:sz w:val="20"/>
          <w:szCs w:val="20"/>
          <w:lang w:bidi="ar-SA"/>
        </w:rPr>
        <w:t>Abstract</w:t>
      </w:r>
    </w:p>
    <w:p w:rsidR="00173FAD" w:rsidRPr="00173FAD" w:rsidRDefault="00173FAD" w:rsidP="00173FAD">
      <w:pPr>
        <w:pStyle w:val="NormalWeb"/>
        <w:spacing w:before="0" w:beforeAutospacing="0" w:after="0" w:afterAutospacing="0"/>
        <w:jc w:val="both"/>
        <w:rPr>
          <w:sz w:val="20"/>
          <w:szCs w:val="20"/>
        </w:rPr>
      </w:pPr>
      <w:r w:rsidRPr="00173FAD">
        <w:rPr>
          <w:sz w:val="20"/>
          <w:szCs w:val="20"/>
        </w:rPr>
        <w:t xml:space="preserve">Bipolar plate is one of the key parts in the fuel cell technology with the advantages of a higher electrical conductivity and mechanical properties are high. Injection molding is one of the manufacturing method that being used in the manufacture of bipolar plates. The critical powder loading and </w:t>
      </w:r>
      <w:r w:rsidRPr="00173FAD">
        <w:rPr>
          <w:rStyle w:val="spellmod"/>
          <w:sz w:val="20"/>
          <w:szCs w:val="20"/>
        </w:rPr>
        <w:t>rheological</w:t>
      </w:r>
      <w:r w:rsidRPr="00173FAD">
        <w:rPr>
          <w:sz w:val="20"/>
          <w:szCs w:val="20"/>
        </w:rPr>
        <w:t xml:space="preserve"> properties of the </w:t>
      </w:r>
      <w:r w:rsidRPr="00173FAD">
        <w:rPr>
          <w:rStyle w:val="spellmod"/>
          <w:sz w:val="20"/>
          <w:szCs w:val="20"/>
        </w:rPr>
        <w:t>feedstock</w:t>
      </w:r>
      <w:r w:rsidRPr="00173FAD">
        <w:rPr>
          <w:sz w:val="20"/>
          <w:szCs w:val="20"/>
        </w:rPr>
        <w:t xml:space="preserve"> are an important factor in the process of injection molding in the manufacturing process of bipolar plate.  The critical powder loading feedstocks with a mixture of polypropylene and graphite have been conducted with the torque method test. The appropriate critical powder loading the using a graphite filler material was produced with the composition of 75 % the weight of an optimum load and 25 % weight of polypropylene. The </w:t>
      </w:r>
      <w:r w:rsidRPr="00173FAD">
        <w:rPr>
          <w:rStyle w:val="spellmod"/>
          <w:sz w:val="20"/>
          <w:szCs w:val="20"/>
        </w:rPr>
        <w:t>rheological</w:t>
      </w:r>
      <w:r w:rsidRPr="00173FAD">
        <w:rPr>
          <w:sz w:val="20"/>
          <w:szCs w:val="20"/>
        </w:rPr>
        <w:t xml:space="preserve"> studies have also been carried out using capillary test for determining critical loading powder by increasing the viscosity of the </w:t>
      </w:r>
      <w:r w:rsidRPr="00173FAD">
        <w:rPr>
          <w:rStyle w:val="spellmod"/>
          <w:sz w:val="20"/>
          <w:szCs w:val="20"/>
        </w:rPr>
        <w:t xml:space="preserve">feedstock. </w:t>
      </w:r>
      <w:r w:rsidRPr="00173FAD">
        <w:rPr>
          <w:rStyle w:val="hps"/>
          <w:sz w:val="20"/>
          <w:szCs w:val="20"/>
        </w:rPr>
        <w:t>The test results</w:t>
      </w:r>
      <w:r w:rsidRPr="00173FAD">
        <w:rPr>
          <w:rStyle w:val="spellmodupdated"/>
          <w:sz w:val="20"/>
          <w:szCs w:val="20"/>
        </w:rPr>
        <w:t xml:space="preserve"> </w:t>
      </w:r>
      <w:r w:rsidRPr="00173FAD">
        <w:rPr>
          <w:rStyle w:val="hps"/>
          <w:sz w:val="20"/>
          <w:szCs w:val="20"/>
        </w:rPr>
        <w:t>showed</w:t>
      </w:r>
      <w:r w:rsidRPr="00173FAD">
        <w:rPr>
          <w:rStyle w:val="spellmodupdated"/>
          <w:sz w:val="20"/>
          <w:szCs w:val="20"/>
        </w:rPr>
        <w:t xml:space="preserve"> </w:t>
      </w:r>
      <w:r w:rsidRPr="00173FAD">
        <w:rPr>
          <w:rStyle w:val="hps"/>
          <w:sz w:val="20"/>
          <w:szCs w:val="20"/>
        </w:rPr>
        <w:t>that the</w:t>
      </w:r>
      <w:r w:rsidRPr="00173FAD">
        <w:rPr>
          <w:rStyle w:val="spellmodupdated"/>
          <w:sz w:val="20"/>
          <w:szCs w:val="20"/>
        </w:rPr>
        <w:t xml:space="preserve"> </w:t>
      </w:r>
      <w:r w:rsidRPr="00173FAD">
        <w:rPr>
          <w:rStyle w:val="hps"/>
          <w:sz w:val="20"/>
          <w:szCs w:val="20"/>
        </w:rPr>
        <w:t>rheological properties of</w:t>
      </w:r>
      <w:r w:rsidRPr="00173FAD">
        <w:rPr>
          <w:rStyle w:val="spellmodupdated"/>
          <w:sz w:val="20"/>
          <w:szCs w:val="20"/>
        </w:rPr>
        <w:t xml:space="preserve"> </w:t>
      </w:r>
      <w:r w:rsidRPr="00173FAD">
        <w:rPr>
          <w:rStyle w:val="hps"/>
          <w:sz w:val="20"/>
          <w:szCs w:val="20"/>
        </w:rPr>
        <w:t>the feedstock</w:t>
      </w:r>
      <w:r w:rsidRPr="00173FAD">
        <w:rPr>
          <w:rStyle w:val="spellmodupdated"/>
          <w:sz w:val="20"/>
          <w:szCs w:val="20"/>
        </w:rPr>
        <w:t xml:space="preserve"> </w:t>
      </w:r>
      <w:r w:rsidRPr="00173FAD">
        <w:rPr>
          <w:rStyle w:val="hps"/>
          <w:sz w:val="20"/>
          <w:szCs w:val="20"/>
        </w:rPr>
        <w:t>with</w:t>
      </w:r>
      <w:r w:rsidRPr="00173FAD">
        <w:rPr>
          <w:rStyle w:val="spellmodupdated"/>
          <w:sz w:val="20"/>
          <w:szCs w:val="20"/>
        </w:rPr>
        <w:t xml:space="preserve"> </w:t>
      </w:r>
      <w:r w:rsidRPr="00173FAD">
        <w:rPr>
          <w:rStyle w:val="hps"/>
          <w:sz w:val="20"/>
          <w:szCs w:val="20"/>
        </w:rPr>
        <w:t>optimum</w:t>
      </w:r>
      <w:r w:rsidRPr="00173FAD">
        <w:rPr>
          <w:rStyle w:val="spellmodupdated"/>
          <w:sz w:val="20"/>
          <w:szCs w:val="20"/>
        </w:rPr>
        <w:t xml:space="preserve"> </w:t>
      </w:r>
      <w:r w:rsidRPr="00173FAD">
        <w:rPr>
          <w:rStyle w:val="hps"/>
          <w:sz w:val="20"/>
          <w:szCs w:val="20"/>
        </w:rPr>
        <w:t>powder loading</w:t>
      </w:r>
      <w:r w:rsidRPr="00173FAD">
        <w:rPr>
          <w:rStyle w:val="spellmodupdated"/>
          <w:sz w:val="20"/>
          <w:szCs w:val="20"/>
        </w:rPr>
        <w:t xml:space="preserve"> </w:t>
      </w:r>
      <w:r w:rsidRPr="00173FAD">
        <w:rPr>
          <w:rStyle w:val="hps"/>
          <w:sz w:val="20"/>
          <w:szCs w:val="20"/>
        </w:rPr>
        <w:t>to exhibit</w:t>
      </w:r>
      <w:r w:rsidRPr="00173FAD">
        <w:rPr>
          <w:rStyle w:val="spellmodupdated"/>
          <w:sz w:val="20"/>
          <w:szCs w:val="20"/>
        </w:rPr>
        <w:t xml:space="preserve"> </w:t>
      </w:r>
      <w:r w:rsidRPr="00173FAD">
        <w:rPr>
          <w:rStyle w:val="hps"/>
          <w:sz w:val="20"/>
          <w:szCs w:val="20"/>
        </w:rPr>
        <w:t>pseudoplastic</w:t>
      </w:r>
      <w:r w:rsidRPr="00173FAD">
        <w:rPr>
          <w:rStyle w:val="spellmodupdated"/>
          <w:sz w:val="20"/>
          <w:szCs w:val="20"/>
        </w:rPr>
        <w:t xml:space="preserve"> </w:t>
      </w:r>
      <w:r w:rsidRPr="00173FAD">
        <w:rPr>
          <w:rStyle w:val="hps"/>
          <w:sz w:val="20"/>
          <w:szCs w:val="20"/>
        </w:rPr>
        <w:t>properties</w:t>
      </w:r>
      <w:r w:rsidRPr="00173FAD">
        <w:rPr>
          <w:rStyle w:val="spellmodupdated"/>
          <w:sz w:val="20"/>
          <w:szCs w:val="20"/>
        </w:rPr>
        <w:t xml:space="preserve"> </w:t>
      </w:r>
      <w:r w:rsidRPr="00173FAD">
        <w:rPr>
          <w:rStyle w:val="hps"/>
          <w:sz w:val="20"/>
          <w:szCs w:val="20"/>
        </w:rPr>
        <w:t>are</w:t>
      </w:r>
      <w:r w:rsidRPr="00173FAD">
        <w:rPr>
          <w:rStyle w:val="spellmodupdated"/>
          <w:sz w:val="20"/>
          <w:szCs w:val="20"/>
        </w:rPr>
        <w:t xml:space="preserve"> </w:t>
      </w:r>
      <w:r w:rsidRPr="00173FAD">
        <w:rPr>
          <w:rStyle w:val="hps"/>
          <w:sz w:val="20"/>
          <w:szCs w:val="20"/>
        </w:rPr>
        <w:t>suitable</w:t>
      </w:r>
      <w:r w:rsidRPr="00173FAD">
        <w:rPr>
          <w:rStyle w:val="spellmodupdated"/>
          <w:sz w:val="20"/>
          <w:szCs w:val="20"/>
        </w:rPr>
        <w:t xml:space="preserve"> </w:t>
      </w:r>
      <w:r w:rsidRPr="00173FAD">
        <w:rPr>
          <w:rStyle w:val="hps"/>
          <w:sz w:val="20"/>
          <w:szCs w:val="20"/>
        </w:rPr>
        <w:t>for</w:t>
      </w:r>
      <w:r w:rsidRPr="00173FAD">
        <w:rPr>
          <w:rStyle w:val="spellmodupdated"/>
          <w:sz w:val="20"/>
          <w:szCs w:val="20"/>
        </w:rPr>
        <w:t xml:space="preserve"> </w:t>
      </w:r>
      <w:r w:rsidRPr="00173FAD">
        <w:rPr>
          <w:rStyle w:val="hps"/>
          <w:sz w:val="20"/>
          <w:szCs w:val="20"/>
        </w:rPr>
        <w:t>injection</w:t>
      </w:r>
      <w:r w:rsidRPr="00173FAD">
        <w:rPr>
          <w:rStyle w:val="spellmodupdated"/>
          <w:sz w:val="20"/>
          <w:szCs w:val="20"/>
        </w:rPr>
        <w:t xml:space="preserve"> </w:t>
      </w:r>
      <w:r w:rsidRPr="00173FAD">
        <w:rPr>
          <w:rStyle w:val="hps"/>
          <w:sz w:val="20"/>
          <w:szCs w:val="20"/>
        </w:rPr>
        <w:t>molding</w:t>
      </w:r>
      <w:r w:rsidRPr="00173FAD">
        <w:rPr>
          <w:rStyle w:val="spellmodupdated"/>
          <w:sz w:val="20"/>
          <w:szCs w:val="20"/>
        </w:rPr>
        <w:t xml:space="preserve"> </w:t>
      </w:r>
      <w:r w:rsidRPr="00173FAD">
        <w:rPr>
          <w:rStyle w:val="hps"/>
          <w:sz w:val="20"/>
          <w:szCs w:val="20"/>
        </w:rPr>
        <w:t>process</w:t>
      </w:r>
      <w:r w:rsidRPr="00173FAD">
        <w:rPr>
          <w:rStyle w:val="spellmodupdated"/>
          <w:sz w:val="20"/>
          <w:szCs w:val="20"/>
        </w:rPr>
        <w:t xml:space="preserve"> </w:t>
      </w:r>
      <w:r w:rsidRPr="00173FAD">
        <w:rPr>
          <w:rStyle w:val="hps"/>
          <w:sz w:val="20"/>
          <w:szCs w:val="20"/>
        </w:rPr>
        <w:t>with</w:t>
      </w:r>
      <w:r w:rsidRPr="00173FAD">
        <w:rPr>
          <w:rStyle w:val="spellmodupdated"/>
          <w:sz w:val="20"/>
          <w:szCs w:val="20"/>
        </w:rPr>
        <w:t xml:space="preserve"> </w:t>
      </w:r>
      <w:r w:rsidRPr="00173FAD">
        <w:rPr>
          <w:rStyle w:val="hps"/>
          <w:sz w:val="20"/>
          <w:szCs w:val="20"/>
        </w:rPr>
        <w:t>the</w:t>
      </w:r>
      <w:r w:rsidRPr="00173FAD">
        <w:rPr>
          <w:rStyle w:val="spellmodupdated"/>
          <w:sz w:val="20"/>
          <w:szCs w:val="20"/>
        </w:rPr>
        <w:t xml:space="preserve"> </w:t>
      </w:r>
      <w:r w:rsidRPr="00173FAD">
        <w:rPr>
          <w:rStyle w:val="hps"/>
          <w:i/>
          <w:sz w:val="20"/>
          <w:szCs w:val="20"/>
        </w:rPr>
        <w:t>n</w:t>
      </w:r>
      <w:r w:rsidRPr="00173FAD">
        <w:rPr>
          <w:rStyle w:val="spellmodupdated"/>
          <w:sz w:val="20"/>
          <w:szCs w:val="20"/>
        </w:rPr>
        <w:t xml:space="preserve"> </w:t>
      </w:r>
      <w:r w:rsidRPr="00173FAD">
        <w:rPr>
          <w:rStyle w:val="hps"/>
          <w:sz w:val="20"/>
          <w:szCs w:val="20"/>
        </w:rPr>
        <w:t>less</w:t>
      </w:r>
      <w:r w:rsidRPr="00173FAD">
        <w:rPr>
          <w:rStyle w:val="spellmodupdated"/>
          <w:sz w:val="20"/>
          <w:szCs w:val="20"/>
        </w:rPr>
        <w:t xml:space="preserve"> </w:t>
      </w:r>
      <w:r w:rsidRPr="00173FAD">
        <w:rPr>
          <w:rStyle w:val="hps"/>
          <w:sz w:val="20"/>
          <w:szCs w:val="20"/>
        </w:rPr>
        <w:t>than</w:t>
      </w:r>
      <w:r w:rsidRPr="00173FAD">
        <w:rPr>
          <w:rStyle w:val="spellmodupdated"/>
          <w:sz w:val="20"/>
          <w:szCs w:val="20"/>
        </w:rPr>
        <w:t xml:space="preserve"> one.</w:t>
      </w:r>
    </w:p>
    <w:p w:rsidR="00173FAD" w:rsidRPr="00173FAD" w:rsidRDefault="00173FAD" w:rsidP="00173FAD">
      <w:pPr>
        <w:spacing w:after="0" w:line="240" w:lineRule="auto"/>
        <w:jc w:val="both"/>
        <w:rPr>
          <w:rStyle w:val="hps"/>
          <w:rFonts w:ascii="Times New Roman" w:hAnsi="Times New Roman"/>
          <w:sz w:val="20"/>
          <w:szCs w:val="20"/>
        </w:rPr>
      </w:pPr>
    </w:p>
    <w:p w:rsidR="00173FAD" w:rsidRPr="00173FAD" w:rsidRDefault="00173FAD" w:rsidP="00173FAD">
      <w:pPr>
        <w:spacing w:after="0" w:line="240" w:lineRule="auto"/>
        <w:jc w:val="both"/>
        <w:outlineLvl w:val="0"/>
        <w:rPr>
          <w:rFonts w:ascii="Times New Roman" w:hAnsi="Times New Roman"/>
          <w:bCs/>
          <w:sz w:val="20"/>
          <w:szCs w:val="20"/>
        </w:rPr>
      </w:pPr>
      <w:r w:rsidRPr="00173FAD">
        <w:rPr>
          <w:rFonts w:ascii="Times New Roman" w:hAnsi="Times New Roman"/>
          <w:b/>
          <w:bCs/>
          <w:sz w:val="20"/>
          <w:szCs w:val="20"/>
        </w:rPr>
        <w:t xml:space="preserve">Keywords: </w:t>
      </w:r>
      <w:r w:rsidRPr="00173FAD">
        <w:rPr>
          <w:rFonts w:ascii="Times New Roman" w:hAnsi="Times New Roman"/>
          <w:bCs/>
          <w:i/>
          <w:sz w:val="20"/>
          <w:szCs w:val="20"/>
        </w:rPr>
        <w:t xml:space="preserve"> </w:t>
      </w:r>
      <w:r w:rsidRPr="00173FAD">
        <w:rPr>
          <w:rFonts w:ascii="Times New Roman" w:hAnsi="Times New Roman"/>
          <w:bCs/>
          <w:sz w:val="20"/>
          <w:szCs w:val="20"/>
        </w:rPr>
        <w:t xml:space="preserve">injection molding, polymer composite, bipolar plate, fuel cell </w:t>
      </w:r>
    </w:p>
    <w:p w:rsidR="00173FAD" w:rsidRPr="00173FAD" w:rsidRDefault="00173FAD" w:rsidP="00173FAD">
      <w:pPr>
        <w:spacing w:after="0" w:line="240" w:lineRule="auto"/>
        <w:jc w:val="both"/>
        <w:outlineLvl w:val="0"/>
        <w:rPr>
          <w:rFonts w:ascii="Times New Roman" w:hAnsi="Times New Roman"/>
          <w:sz w:val="20"/>
          <w:szCs w:val="20"/>
        </w:rPr>
      </w:pPr>
    </w:p>
    <w:p w:rsidR="00173FAD" w:rsidRPr="00173FAD" w:rsidRDefault="00173FAD" w:rsidP="00173FAD">
      <w:pPr>
        <w:spacing w:after="0" w:line="240" w:lineRule="auto"/>
        <w:jc w:val="center"/>
        <w:rPr>
          <w:rFonts w:ascii="Times New Roman" w:hAnsi="Times New Roman"/>
          <w:sz w:val="20"/>
          <w:szCs w:val="20"/>
        </w:rPr>
      </w:pPr>
      <w:r w:rsidRPr="00173FAD">
        <w:rPr>
          <w:rFonts w:ascii="Times New Roman" w:hAnsi="Times New Roman"/>
          <w:b/>
          <w:sz w:val="20"/>
          <w:szCs w:val="20"/>
        </w:rPr>
        <w:t>Abstrak</w:t>
      </w:r>
    </w:p>
    <w:p w:rsidR="00173FAD" w:rsidRPr="00173FAD" w:rsidRDefault="007C6FA4" w:rsidP="00173FAD">
      <w:pPr>
        <w:spacing w:after="0" w:line="240" w:lineRule="auto"/>
        <w:jc w:val="both"/>
        <w:rPr>
          <w:rFonts w:ascii="Times New Roman" w:hAnsi="Times New Roman"/>
          <w:sz w:val="20"/>
          <w:szCs w:val="20"/>
        </w:rPr>
      </w:pPr>
      <w:r>
        <w:rPr>
          <w:rFonts w:ascii="Times New Roman" w:hAnsi="Times New Roman"/>
          <w:sz w:val="20"/>
          <w:szCs w:val="20"/>
        </w:rPr>
        <w:t>Plat dwi</w:t>
      </w:r>
      <w:r w:rsidR="00173FAD" w:rsidRPr="00173FAD">
        <w:rPr>
          <w:rFonts w:ascii="Times New Roman" w:hAnsi="Times New Roman"/>
          <w:sz w:val="20"/>
          <w:szCs w:val="20"/>
        </w:rPr>
        <w:t>kutub adalah salah satu bahagi</w:t>
      </w:r>
      <w:r>
        <w:rPr>
          <w:rFonts w:ascii="Times New Roman" w:hAnsi="Times New Roman"/>
          <w:sz w:val="20"/>
          <w:szCs w:val="20"/>
        </w:rPr>
        <w:t>an utama pada teknologi sel bahanapi</w:t>
      </w:r>
      <w:r w:rsidR="00173FAD" w:rsidRPr="00173FAD">
        <w:rPr>
          <w:rFonts w:ascii="Times New Roman" w:hAnsi="Times New Roman"/>
          <w:sz w:val="20"/>
          <w:szCs w:val="20"/>
        </w:rPr>
        <w:t xml:space="preserve"> dengan kelebihan sifat kekonduksian elektrik dan mekanik yang tinggi. Pengacuan suntikan adalah salah satu kaedah pembuatan yang digunakan dalam pembuatan plat dwikutub. Pembebanan serbuk genting dan sifat reologi bahan suapan adalah faktor penting dalam proses pengacuan suntikan s</w:t>
      </w:r>
      <w:r>
        <w:rPr>
          <w:rFonts w:ascii="Times New Roman" w:hAnsi="Times New Roman"/>
          <w:sz w:val="20"/>
          <w:szCs w:val="20"/>
        </w:rPr>
        <w:t>emasa proses pembuatan plat dwi</w:t>
      </w:r>
      <w:r w:rsidR="00173FAD" w:rsidRPr="00173FAD">
        <w:rPr>
          <w:rFonts w:ascii="Times New Roman" w:hAnsi="Times New Roman"/>
          <w:sz w:val="20"/>
          <w:szCs w:val="20"/>
        </w:rPr>
        <w:t xml:space="preserve">kutub.  Pembebanan serbuk genting bahan suapan dengan campuran polipropilina dan grafit telah pun dijalankan dengan kaedah ujian nilai tork. Pembebanan serbuk genting yang sesuai menggunakan bahan suapan grafit telah dihasilkan dengan komposisi 75 % berat yang merupakan beban optimum dan 25 % berat polipropilena. Kajian reologi juga telah dijalankan menggunakan ujian rerambut bagi menentukan beban serbuk genting dengan peningkatan nilai kelikatan bahan suapan. Keputusan ujian sifat reologi didapati bahawa bahan suapan dengan beban serbuk optimal mempamerkan sifat pseudoplastik yang sesuai bagi proses pengacuanan suntikan dengan nilai </w:t>
      </w:r>
      <w:r w:rsidR="00173FAD" w:rsidRPr="00173FAD">
        <w:rPr>
          <w:rFonts w:ascii="Times New Roman" w:hAnsi="Times New Roman"/>
          <w:i/>
          <w:sz w:val="20"/>
          <w:szCs w:val="20"/>
        </w:rPr>
        <w:t>n</w:t>
      </w:r>
      <w:r w:rsidR="00173FAD" w:rsidRPr="00173FAD">
        <w:rPr>
          <w:rFonts w:ascii="Times New Roman" w:hAnsi="Times New Roman"/>
          <w:sz w:val="20"/>
          <w:szCs w:val="20"/>
        </w:rPr>
        <w:t xml:space="preserve"> kurang daripada 1.  </w:t>
      </w:r>
    </w:p>
    <w:p w:rsidR="00173FAD" w:rsidRPr="00173FAD" w:rsidRDefault="00173FAD" w:rsidP="00173FAD">
      <w:pPr>
        <w:spacing w:after="0" w:line="240" w:lineRule="auto"/>
        <w:jc w:val="both"/>
        <w:rPr>
          <w:rFonts w:ascii="Times New Roman" w:hAnsi="Times New Roman"/>
          <w:sz w:val="20"/>
          <w:szCs w:val="20"/>
        </w:rPr>
      </w:pPr>
    </w:p>
    <w:p w:rsidR="007F2DE0" w:rsidRDefault="00173FAD" w:rsidP="00173FAD">
      <w:pPr>
        <w:spacing w:after="0" w:line="240" w:lineRule="auto"/>
        <w:jc w:val="both"/>
        <w:rPr>
          <w:rFonts w:ascii="Times New Roman" w:hAnsi="Times New Roman"/>
          <w:bCs/>
          <w:sz w:val="20"/>
          <w:szCs w:val="20"/>
        </w:rPr>
      </w:pPr>
      <w:r w:rsidRPr="00173FAD">
        <w:rPr>
          <w:rFonts w:ascii="Times New Roman" w:hAnsi="Times New Roman"/>
          <w:b/>
          <w:sz w:val="20"/>
          <w:szCs w:val="20"/>
        </w:rPr>
        <w:t>Kata kunci:</w:t>
      </w:r>
      <w:r w:rsidRPr="00173FAD">
        <w:rPr>
          <w:rFonts w:ascii="Times New Roman" w:hAnsi="Times New Roman"/>
          <w:sz w:val="20"/>
          <w:szCs w:val="20"/>
        </w:rPr>
        <w:t xml:space="preserve">  pengacuan sunti</w:t>
      </w:r>
      <w:r w:rsidR="007C6FA4">
        <w:rPr>
          <w:rFonts w:ascii="Times New Roman" w:hAnsi="Times New Roman"/>
          <w:sz w:val="20"/>
          <w:szCs w:val="20"/>
        </w:rPr>
        <w:t>kan, komposit polimer, plat dwi</w:t>
      </w:r>
      <w:bookmarkStart w:id="1" w:name="_GoBack"/>
      <w:bookmarkEnd w:id="1"/>
      <w:r w:rsidRPr="00173FAD">
        <w:rPr>
          <w:rFonts w:ascii="Times New Roman" w:hAnsi="Times New Roman"/>
          <w:sz w:val="20"/>
          <w:szCs w:val="20"/>
        </w:rPr>
        <w:t xml:space="preserve">kutub, sel </w:t>
      </w:r>
      <w:r w:rsidR="007C6FA4">
        <w:rPr>
          <w:rFonts w:ascii="Times New Roman" w:hAnsi="Times New Roman"/>
          <w:bCs/>
          <w:sz w:val="20"/>
          <w:szCs w:val="20"/>
        </w:rPr>
        <w:t>bahanapi</w:t>
      </w:r>
      <w:r w:rsidRPr="00173FAD">
        <w:rPr>
          <w:rFonts w:ascii="Times New Roman" w:hAnsi="Times New Roman"/>
          <w:bCs/>
          <w:sz w:val="20"/>
          <w:szCs w:val="20"/>
        </w:rPr>
        <w:t xml:space="preserve"> </w:t>
      </w:r>
    </w:p>
    <w:p w:rsidR="00173FAD" w:rsidRDefault="00173FAD" w:rsidP="00173FAD">
      <w:pPr>
        <w:spacing w:after="0" w:line="240" w:lineRule="auto"/>
        <w:jc w:val="both"/>
        <w:rPr>
          <w:rFonts w:ascii="Times New Roman" w:hAnsi="Times New Roman"/>
          <w:bCs/>
          <w:sz w:val="20"/>
          <w:szCs w:val="20"/>
        </w:rPr>
      </w:pPr>
    </w:p>
    <w:p w:rsidR="00173FAD" w:rsidRPr="00F447A7" w:rsidRDefault="00173FAD" w:rsidP="00173FA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Dicks, A. L. (2006). The role of carbon in fuel cells. </w:t>
      </w:r>
      <w:r w:rsidRPr="00B0046A">
        <w:rPr>
          <w:rFonts w:ascii="Times New Roman" w:hAnsi="Times New Roman"/>
          <w:i/>
          <w:sz w:val="20"/>
          <w:szCs w:val="20"/>
        </w:rPr>
        <w:t>Journal of Power Sources</w:t>
      </w:r>
      <w:r w:rsidRPr="00B0046A">
        <w:rPr>
          <w:rFonts w:ascii="Times New Roman" w:hAnsi="Times New Roman"/>
          <w:sz w:val="20"/>
          <w:szCs w:val="20"/>
        </w:rPr>
        <w:t>, 156(2): 128 – 141.</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Heo, S. I., Oh, K. S., Yun, J. C., Jung, S. H., Yang, Y. C., and Han, K. S. (2007). Development of preform moulding technique using expanded graphite for proton exchange membrane fuel cell bipolar plates. </w:t>
      </w:r>
      <w:r w:rsidRPr="00B0046A">
        <w:rPr>
          <w:rFonts w:ascii="Times New Roman" w:hAnsi="Times New Roman"/>
          <w:i/>
          <w:sz w:val="20"/>
          <w:szCs w:val="20"/>
        </w:rPr>
        <w:t>Journal of Power Sources</w:t>
      </w:r>
      <w:r w:rsidRPr="00B0046A">
        <w:rPr>
          <w:rFonts w:ascii="Times New Roman" w:hAnsi="Times New Roman"/>
          <w:sz w:val="20"/>
          <w:szCs w:val="20"/>
        </w:rPr>
        <w:t>, 171(2): 396 – 403.</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Dweiri, R. and Sahari, J. (2007). Electrical properties of carbon-based polypropylene composites for bipolar plates in polymer electrolyte membrane fuel cell (PEMFC). </w:t>
      </w:r>
      <w:r w:rsidRPr="00B0046A">
        <w:rPr>
          <w:rFonts w:ascii="Times New Roman" w:hAnsi="Times New Roman"/>
          <w:i/>
          <w:sz w:val="20"/>
          <w:szCs w:val="20"/>
        </w:rPr>
        <w:t>Journal of Power Sources</w:t>
      </w:r>
      <w:r w:rsidRPr="00B0046A">
        <w:rPr>
          <w:rFonts w:ascii="Times New Roman" w:hAnsi="Times New Roman"/>
          <w:sz w:val="20"/>
          <w:szCs w:val="20"/>
        </w:rPr>
        <w:t>, 171(2): 424 – 432.</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Liao, S. H., Yen, C. Y., Weng, C. C., Lin, Y. F., Ma, C. C. M., Yang, C. H., Tsai, M. C., Yen, M. Y., Hsiao, M. C., Lee, S. J., Xie, X. F. and Hsiao, Y. H. (2008). Preparation and properties of carbon nanotube/polypropylene nanocomposite bipolar plates for polymer electrolyte membrane fuel cells. </w:t>
      </w:r>
      <w:r w:rsidRPr="00B0046A">
        <w:rPr>
          <w:rFonts w:ascii="Times New Roman" w:hAnsi="Times New Roman"/>
          <w:i/>
          <w:sz w:val="20"/>
          <w:szCs w:val="20"/>
        </w:rPr>
        <w:t>Journal of Power Sources</w:t>
      </w:r>
      <w:r w:rsidRPr="00B0046A">
        <w:rPr>
          <w:rFonts w:ascii="Times New Roman" w:hAnsi="Times New Roman"/>
          <w:sz w:val="20"/>
          <w:szCs w:val="20"/>
        </w:rPr>
        <w:t>, 185(2): 1225 – 1232.</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Derieth, T., Bandlamudi, G., Beckhaus, P., Kreuz, C., Mahlendorf, F., and Heinzel, A. (2008). Development of highly filled graphite compounds as bipolar plate materials for low and high temperature PEM fuel cells. </w:t>
      </w:r>
      <w:r w:rsidRPr="00B0046A">
        <w:rPr>
          <w:rFonts w:ascii="Times New Roman" w:hAnsi="Times New Roman"/>
          <w:i/>
          <w:sz w:val="20"/>
          <w:szCs w:val="20"/>
        </w:rPr>
        <w:t>Journal of New Materials for Electrochemical Systems</w:t>
      </w:r>
      <w:r w:rsidRPr="00B0046A">
        <w:rPr>
          <w:rFonts w:ascii="Times New Roman" w:hAnsi="Times New Roman"/>
          <w:sz w:val="20"/>
          <w:szCs w:val="20"/>
        </w:rPr>
        <w:t>, 11(1): 21 – 29.</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Lee, J. H., Jang, Y. K., Hong, C. E., Kim, N. H., Li, P., and Lee, H. K. (2009). Effect of carbon fillers on properties of polymer composite bipolar plates of fuel cells. </w:t>
      </w:r>
      <w:r w:rsidRPr="00B0046A">
        <w:rPr>
          <w:rFonts w:ascii="Times New Roman" w:hAnsi="Times New Roman"/>
          <w:i/>
          <w:sz w:val="20"/>
          <w:szCs w:val="20"/>
        </w:rPr>
        <w:t>Journal of Power Sources</w:t>
      </w:r>
      <w:r w:rsidRPr="00B0046A">
        <w:rPr>
          <w:rFonts w:ascii="Times New Roman" w:hAnsi="Times New Roman"/>
          <w:sz w:val="20"/>
          <w:szCs w:val="20"/>
        </w:rPr>
        <w:t>, 193(2): 523 – 529.</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Guo, N., and Leu, M. C. (2012). Effect of different graphite materials on the electrical conductivity and flexural strength of bipolar plates fabricated using selective laser sintering. </w:t>
      </w:r>
      <w:r w:rsidRPr="00B0046A">
        <w:rPr>
          <w:rFonts w:ascii="Times New Roman" w:hAnsi="Times New Roman"/>
          <w:i/>
          <w:sz w:val="20"/>
          <w:szCs w:val="20"/>
        </w:rPr>
        <w:t>International Journal of Hydrogen Energy</w:t>
      </w:r>
      <w:r w:rsidRPr="00B0046A">
        <w:rPr>
          <w:rFonts w:ascii="Times New Roman" w:hAnsi="Times New Roman"/>
          <w:sz w:val="20"/>
          <w:szCs w:val="20"/>
        </w:rPr>
        <w:t>, 37(4): 3558 – 3566.</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Taherian, R., Golikand, A. N. and Hadianfard, M. J. (2011). The effect of mold pressing pressure and composition on properties of nanocomposite bipolar plate for proton exchange membrane fuel cell. </w:t>
      </w:r>
      <w:r w:rsidRPr="00B0046A">
        <w:rPr>
          <w:rFonts w:ascii="Times New Roman" w:hAnsi="Times New Roman"/>
          <w:i/>
          <w:sz w:val="20"/>
          <w:szCs w:val="20"/>
        </w:rPr>
        <w:t>Materials &amp; Design</w:t>
      </w:r>
      <w:r w:rsidRPr="00B0046A">
        <w:rPr>
          <w:rFonts w:ascii="Times New Roman" w:hAnsi="Times New Roman"/>
          <w:sz w:val="20"/>
          <w:szCs w:val="20"/>
        </w:rPr>
        <w:t>, 32(7): 3883 – 3892.</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Planes, E., Flandin, L., and Alberola, N. (2012). Polymer composites bipolar plates for PEMFCs. </w:t>
      </w:r>
      <w:r w:rsidRPr="00B0046A">
        <w:rPr>
          <w:rFonts w:ascii="Times New Roman" w:hAnsi="Times New Roman"/>
          <w:i/>
          <w:sz w:val="20"/>
          <w:szCs w:val="20"/>
        </w:rPr>
        <w:t>Energy Procedia</w:t>
      </w:r>
      <w:r w:rsidRPr="00B0046A">
        <w:rPr>
          <w:rFonts w:ascii="Times New Roman" w:hAnsi="Times New Roman"/>
          <w:sz w:val="20"/>
          <w:szCs w:val="20"/>
        </w:rPr>
        <w:t>, 20: 311 – 323.</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Agote, I., Odriozola, A., Gutierrez, M., Santamarıa, A., Quintanilla, J., Coupelle, P. and Soares, J. (2001). Rheological study of waste porcelain feedstocks for injection moulding. </w:t>
      </w:r>
      <w:r w:rsidRPr="00B0046A">
        <w:rPr>
          <w:rFonts w:ascii="Times New Roman" w:hAnsi="Times New Roman"/>
          <w:i/>
          <w:sz w:val="20"/>
          <w:szCs w:val="20"/>
        </w:rPr>
        <w:t>Journal of the European Ceramic Society</w:t>
      </w:r>
      <w:r w:rsidRPr="00B0046A">
        <w:rPr>
          <w:rFonts w:ascii="Times New Roman" w:hAnsi="Times New Roman"/>
          <w:sz w:val="20"/>
          <w:szCs w:val="20"/>
        </w:rPr>
        <w:t>, 21(16), 2843 – 2853.</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Reddy, J. J., Ravi, N. and Vijayakumar, M. (2000). A simple model for viscosity of powder injection moulding mixes with binder content above powder critical binder volume concentration. </w:t>
      </w:r>
      <w:r w:rsidRPr="00B0046A">
        <w:rPr>
          <w:rFonts w:ascii="Times New Roman" w:hAnsi="Times New Roman"/>
          <w:i/>
          <w:sz w:val="20"/>
          <w:szCs w:val="20"/>
        </w:rPr>
        <w:t>Journal of the European Ceramic Society</w:t>
      </w:r>
      <w:r w:rsidRPr="00B0046A">
        <w:rPr>
          <w:rFonts w:ascii="Times New Roman" w:hAnsi="Times New Roman"/>
          <w:sz w:val="20"/>
          <w:szCs w:val="20"/>
        </w:rPr>
        <w:t>, 20(12): 2183 – 2190.</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Baojun, Z., Xuanhui, Q., and Ying, T. (2002). Powder injection molding of WC–8% Co tungsten cemented carbide. </w:t>
      </w:r>
      <w:r w:rsidRPr="00B0046A">
        <w:rPr>
          <w:rFonts w:ascii="Times New Roman" w:hAnsi="Times New Roman"/>
          <w:i/>
          <w:sz w:val="20"/>
          <w:szCs w:val="20"/>
        </w:rPr>
        <w:t>International Journal of Refractory Metals and Hard Materials</w:t>
      </w:r>
      <w:r w:rsidRPr="00B0046A">
        <w:rPr>
          <w:rFonts w:ascii="Times New Roman" w:hAnsi="Times New Roman"/>
          <w:sz w:val="20"/>
          <w:szCs w:val="20"/>
        </w:rPr>
        <w:t>, 20(5), 389 – 394.</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Krauss, V. A., Pires, E. N., Klein, A. N., and Fredel, M. C. (2005). Rheological properties of alumina injection feedstocks. </w:t>
      </w:r>
      <w:r w:rsidRPr="00B0046A">
        <w:rPr>
          <w:rFonts w:ascii="Times New Roman" w:hAnsi="Times New Roman"/>
          <w:i/>
          <w:sz w:val="20"/>
          <w:szCs w:val="20"/>
        </w:rPr>
        <w:t>Materials Research</w:t>
      </w:r>
      <w:r w:rsidRPr="00B0046A">
        <w:rPr>
          <w:rFonts w:ascii="Times New Roman" w:hAnsi="Times New Roman"/>
          <w:sz w:val="20"/>
          <w:szCs w:val="20"/>
        </w:rPr>
        <w:t>, 8(2): 187 – 189.</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Loh, N. H., Tor, S. B. and Khor, K. A. (2001). Production of metal matrix composite part by powder injection molding. </w:t>
      </w:r>
      <w:r w:rsidRPr="00B0046A">
        <w:rPr>
          <w:rFonts w:ascii="Times New Roman" w:hAnsi="Times New Roman"/>
          <w:i/>
          <w:sz w:val="20"/>
          <w:szCs w:val="20"/>
        </w:rPr>
        <w:t>Journal of Materials Processing Technology</w:t>
      </w:r>
      <w:r w:rsidRPr="00B0046A">
        <w:rPr>
          <w:rFonts w:ascii="Times New Roman" w:hAnsi="Times New Roman"/>
          <w:sz w:val="20"/>
          <w:szCs w:val="20"/>
        </w:rPr>
        <w:t>, 108(3): 398 – 407.</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Loebbecke, B., Knitter, R. and Haußelt, J. (2009). Rheological properties of alumina feedstocks for the low-pressure injection moulding process. </w:t>
      </w:r>
      <w:r w:rsidRPr="00B0046A">
        <w:rPr>
          <w:rFonts w:ascii="Times New Roman" w:hAnsi="Times New Roman"/>
          <w:i/>
          <w:sz w:val="20"/>
          <w:szCs w:val="20"/>
        </w:rPr>
        <w:t>Journal of the European Ceramic Society</w:t>
      </w:r>
      <w:r w:rsidRPr="00B0046A">
        <w:rPr>
          <w:rFonts w:ascii="Times New Roman" w:hAnsi="Times New Roman"/>
          <w:sz w:val="20"/>
          <w:szCs w:val="20"/>
        </w:rPr>
        <w:t>, 29(9): 1595 –1602.</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Mighri, F., Huneault, M. A. and Champagne, M. F. (2004). Electrically conductive thermoplastic blends for injection and compression molding of bipolar plates in the fuel cell application. </w:t>
      </w:r>
      <w:r w:rsidRPr="00B0046A">
        <w:rPr>
          <w:rFonts w:ascii="Times New Roman" w:hAnsi="Times New Roman"/>
          <w:i/>
          <w:sz w:val="20"/>
          <w:szCs w:val="20"/>
        </w:rPr>
        <w:t>Polymer Engineering &amp; Science</w:t>
      </w:r>
      <w:r w:rsidRPr="00B0046A">
        <w:rPr>
          <w:rFonts w:ascii="Times New Roman" w:hAnsi="Times New Roman"/>
          <w:sz w:val="20"/>
          <w:szCs w:val="20"/>
        </w:rPr>
        <w:t>, 44(9): 1755 – 1765.</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Ahn, S., Park, S. J., Lee, S., Atre, S. V. and German, R. M. (2009). Effect of powders and binders on material properties and molding parameters in iron and stainless steel powder injection molding process. </w:t>
      </w:r>
      <w:r w:rsidRPr="00B0046A">
        <w:rPr>
          <w:rFonts w:ascii="Times New Roman" w:hAnsi="Times New Roman"/>
          <w:i/>
          <w:sz w:val="20"/>
          <w:szCs w:val="20"/>
        </w:rPr>
        <w:t>Powder Technology</w:t>
      </w:r>
      <w:r w:rsidRPr="00B0046A">
        <w:rPr>
          <w:rFonts w:ascii="Times New Roman" w:hAnsi="Times New Roman"/>
          <w:sz w:val="20"/>
          <w:szCs w:val="20"/>
        </w:rPr>
        <w:t>, 193(2): 162 – 169.</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Khakbiz, M., Simchi, A. and Bagheri, R. (2005). Analysis of the rheological behavior and stability of 316L stainless steel–TiC powder injection molding feedstock. </w:t>
      </w:r>
      <w:r w:rsidRPr="00B0046A">
        <w:rPr>
          <w:rFonts w:ascii="Times New Roman" w:hAnsi="Times New Roman"/>
          <w:i/>
          <w:sz w:val="20"/>
          <w:szCs w:val="20"/>
        </w:rPr>
        <w:t>Materials Science and Engineering: A</w:t>
      </w:r>
      <w:r w:rsidRPr="00B0046A">
        <w:rPr>
          <w:rFonts w:ascii="Times New Roman" w:hAnsi="Times New Roman"/>
          <w:sz w:val="20"/>
          <w:szCs w:val="20"/>
        </w:rPr>
        <w:t>, 407(1): 105 – 113.</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Hanemann, T. (2008). Influence of particle properties on the viscosity of polymer–alumina composites. </w:t>
      </w:r>
      <w:r w:rsidRPr="00B0046A">
        <w:rPr>
          <w:rFonts w:ascii="Times New Roman" w:hAnsi="Times New Roman"/>
          <w:i/>
          <w:sz w:val="20"/>
          <w:szCs w:val="20"/>
        </w:rPr>
        <w:t>Ceramics International</w:t>
      </w:r>
      <w:r w:rsidRPr="00B0046A">
        <w:rPr>
          <w:rFonts w:ascii="Times New Roman" w:hAnsi="Times New Roman"/>
          <w:sz w:val="20"/>
          <w:szCs w:val="20"/>
        </w:rPr>
        <w:t>, 34(8): 2099 – 2105.</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lastRenderedPageBreak/>
        <w:t xml:space="preserve">Wan, W., Yang, J., Zeng, J., Yao, L. and Qiu, T. (2014). Effect of solid loading on gelcasting of silica ceramics using DMAA. </w:t>
      </w:r>
      <w:r w:rsidRPr="00B0046A">
        <w:rPr>
          <w:rFonts w:ascii="Times New Roman" w:hAnsi="Times New Roman"/>
          <w:i/>
          <w:sz w:val="20"/>
          <w:szCs w:val="20"/>
        </w:rPr>
        <w:t>Ceramics International</w:t>
      </w:r>
      <w:r w:rsidRPr="00B0046A">
        <w:rPr>
          <w:rFonts w:ascii="Times New Roman" w:hAnsi="Times New Roman"/>
          <w:sz w:val="20"/>
          <w:szCs w:val="20"/>
        </w:rPr>
        <w:t>, 40(1): 1735 – 1740.</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Subbanna, M. and Kapur, P. C. (2002). Role of powder size, packing, solid loading and dispersion in colloidal processing of ceramics. </w:t>
      </w:r>
      <w:r w:rsidRPr="00B0046A">
        <w:rPr>
          <w:rFonts w:ascii="Times New Roman" w:hAnsi="Times New Roman"/>
          <w:i/>
          <w:sz w:val="20"/>
          <w:szCs w:val="20"/>
        </w:rPr>
        <w:t>Ceramics International</w:t>
      </w:r>
      <w:r w:rsidRPr="00B0046A">
        <w:rPr>
          <w:rFonts w:ascii="Times New Roman" w:hAnsi="Times New Roman"/>
          <w:sz w:val="20"/>
          <w:szCs w:val="20"/>
        </w:rPr>
        <w:t>, 28(4): 401 – 405.</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Jie, Z., Yan-wen, Z. O. U. and Jun, H. E. (2005). Influence of graphite particle size and its shape on performance of carbon composite bipolar plate. </w:t>
      </w:r>
      <w:r w:rsidRPr="00B0046A">
        <w:rPr>
          <w:rFonts w:ascii="Times New Roman" w:hAnsi="Times New Roman"/>
          <w:i/>
          <w:sz w:val="20"/>
          <w:szCs w:val="20"/>
        </w:rPr>
        <w:t>Journal of Zhejiang University Science A</w:t>
      </w:r>
      <w:r w:rsidRPr="00B0046A">
        <w:rPr>
          <w:rFonts w:ascii="Times New Roman" w:hAnsi="Times New Roman"/>
          <w:sz w:val="20"/>
          <w:szCs w:val="20"/>
        </w:rPr>
        <w:t>, 6(10): 1080 – 1083.</w:t>
      </w:r>
    </w:p>
    <w:p w:rsidR="00173FAD" w:rsidRPr="002718A7"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Iswandi, Sahari, J. and Sulong, A. B. (2011, June). Effects of different particles sizes of graphite on the engineering properties of graphites/polypropylene composites on injection molding application. </w:t>
      </w:r>
      <w:r w:rsidRPr="00B0046A">
        <w:rPr>
          <w:rFonts w:ascii="Times New Roman" w:hAnsi="Times New Roman"/>
          <w:i/>
          <w:sz w:val="20"/>
          <w:szCs w:val="20"/>
        </w:rPr>
        <w:t>Key Engineering Materials</w:t>
      </w:r>
      <w:r w:rsidRPr="00B0046A">
        <w:rPr>
          <w:rFonts w:ascii="Times New Roman" w:hAnsi="Times New Roman"/>
          <w:sz w:val="20"/>
          <w:szCs w:val="20"/>
        </w:rPr>
        <w:t>, 471: 109 – 114.</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Thomas-Vielma, P., Cervera, A., Levenfeld, B. and Várez, A. (2008). Production of alumina parts by powder injection molding with a binder system based on high density polyethylene. </w:t>
      </w:r>
      <w:r w:rsidRPr="00B0046A">
        <w:rPr>
          <w:rFonts w:ascii="Times New Roman" w:hAnsi="Times New Roman"/>
          <w:i/>
          <w:sz w:val="20"/>
          <w:szCs w:val="20"/>
        </w:rPr>
        <w:t>Journal of the European Ceramic Society</w:t>
      </w:r>
      <w:r w:rsidRPr="00B0046A">
        <w:rPr>
          <w:rFonts w:ascii="Times New Roman" w:hAnsi="Times New Roman"/>
          <w:sz w:val="20"/>
          <w:szCs w:val="20"/>
        </w:rPr>
        <w:t>, 28(4), 763 – 771.</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Zakaria, H., Muhamad, N., Sulong, A. B. and Ibrahim, I. (2014). Moldability characteristics of 3 mol% yttria stabilized zirconia feedstock for micro-powder injection molding process. Sains Malaysiana, 43(1): 129 – 136.</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Kalyon, D. M., Birinci, E., Yazici, R., Karuv, B. and Walsh, S. (2002). Electrical properties of composites as affected by the degree of mixedness of the conductive filler in the polymer matrix. </w:t>
      </w:r>
      <w:r w:rsidRPr="00B0046A">
        <w:rPr>
          <w:rFonts w:ascii="Times New Roman" w:hAnsi="Times New Roman"/>
          <w:i/>
          <w:sz w:val="20"/>
          <w:szCs w:val="20"/>
        </w:rPr>
        <w:t>Polymer Engineering &amp; Science</w:t>
      </w:r>
      <w:r w:rsidRPr="00B0046A">
        <w:rPr>
          <w:rFonts w:ascii="Times New Roman" w:hAnsi="Times New Roman"/>
          <w:sz w:val="20"/>
          <w:szCs w:val="20"/>
        </w:rPr>
        <w:t>, 42(7): 1609 – 1617.</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Karatas, C., Kocer, A., Ünal, H. I. and Saritas, S. (2004). Rheological properties of feedstocks prepared with steatite powder and polyethylene-based thermoplastic binders. </w:t>
      </w:r>
      <w:r w:rsidRPr="00B0046A">
        <w:rPr>
          <w:rFonts w:ascii="Times New Roman" w:hAnsi="Times New Roman"/>
          <w:i/>
          <w:sz w:val="20"/>
          <w:szCs w:val="20"/>
        </w:rPr>
        <w:t>Journal of Materials Processing Technology</w:t>
      </w:r>
      <w:r w:rsidRPr="00B0046A">
        <w:rPr>
          <w:rFonts w:ascii="Times New Roman" w:hAnsi="Times New Roman"/>
          <w:sz w:val="20"/>
          <w:szCs w:val="20"/>
        </w:rPr>
        <w:t>, 152(1): 77 – 83.</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Pr>
          <w:rFonts w:ascii="Times New Roman" w:hAnsi="Times New Roman"/>
          <w:sz w:val="20"/>
          <w:szCs w:val="20"/>
        </w:rPr>
        <w:t xml:space="preserve">German, R. M. and Bose, A. (1997). </w:t>
      </w:r>
      <w:r w:rsidRPr="00B0046A">
        <w:rPr>
          <w:rFonts w:ascii="Times New Roman" w:hAnsi="Times New Roman"/>
          <w:sz w:val="20"/>
          <w:szCs w:val="20"/>
        </w:rPr>
        <w:t>Injection molding of metal and ceramic. Metal Powd</w:t>
      </w:r>
      <w:r>
        <w:rPr>
          <w:rFonts w:ascii="Times New Roman" w:hAnsi="Times New Roman"/>
          <w:sz w:val="20"/>
          <w:szCs w:val="20"/>
        </w:rPr>
        <w:t xml:space="preserve">er Industries Federation. </w:t>
      </w:r>
      <w:r w:rsidRPr="00B0046A">
        <w:rPr>
          <w:rFonts w:ascii="Times New Roman" w:hAnsi="Times New Roman"/>
          <w:sz w:val="20"/>
          <w:szCs w:val="20"/>
        </w:rPr>
        <w:t>New Jersey: John Wiley &amp; Sons.</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Aggarwal, G., Smid, I., Park, S. J. and German, R. M. (2007). Development of niobium powder injection molding. Part II: Debinding and sintering. </w:t>
      </w:r>
      <w:r w:rsidRPr="00B0046A">
        <w:rPr>
          <w:rFonts w:ascii="Times New Roman" w:hAnsi="Times New Roman"/>
          <w:i/>
          <w:sz w:val="20"/>
          <w:szCs w:val="20"/>
        </w:rPr>
        <w:t>International Journal of Refractory Metals and Hard Materials</w:t>
      </w:r>
      <w:r w:rsidRPr="00B0046A">
        <w:rPr>
          <w:rFonts w:ascii="Times New Roman" w:hAnsi="Times New Roman"/>
          <w:sz w:val="20"/>
          <w:szCs w:val="20"/>
        </w:rPr>
        <w:t>, 25(3): 226 – 236.</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Olhero, S. M. and Ferreira, J. M. F. (2004). Influence of particle size distribution on rheology and particle packing of silica-based suspensions. </w:t>
      </w:r>
      <w:r w:rsidRPr="00B0046A">
        <w:rPr>
          <w:rFonts w:ascii="Times New Roman" w:hAnsi="Times New Roman"/>
          <w:i/>
          <w:sz w:val="20"/>
          <w:szCs w:val="20"/>
        </w:rPr>
        <w:t>Powder Technology</w:t>
      </w:r>
      <w:r w:rsidRPr="00B0046A">
        <w:rPr>
          <w:rFonts w:ascii="Times New Roman" w:hAnsi="Times New Roman"/>
          <w:sz w:val="20"/>
          <w:szCs w:val="20"/>
        </w:rPr>
        <w:t>, 139(1): 69 – 75.</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Han, C.D. (2007). Rheology and processing of polymeric materials. </w:t>
      </w:r>
      <w:r w:rsidRPr="00B0046A">
        <w:rPr>
          <w:rFonts w:ascii="Times New Roman" w:hAnsi="Times New Roman"/>
          <w:i/>
          <w:sz w:val="20"/>
          <w:szCs w:val="20"/>
        </w:rPr>
        <w:t>Polymer Processing</w:t>
      </w:r>
      <w:r w:rsidRPr="00B0046A">
        <w:rPr>
          <w:rFonts w:ascii="Times New Roman" w:hAnsi="Times New Roman"/>
          <w:sz w:val="20"/>
          <w:szCs w:val="20"/>
        </w:rPr>
        <w:t>, Vol. 2. Oxfort University Press.</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Trunec, M. and Hrazdera, J. (2005). Effect of ceramic nanopowders on rheology of thermoplastic suspensions. </w:t>
      </w:r>
      <w:r w:rsidRPr="00B0046A">
        <w:rPr>
          <w:rFonts w:ascii="Times New Roman" w:hAnsi="Times New Roman"/>
          <w:i/>
          <w:sz w:val="20"/>
          <w:szCs w:val="20"/>
        </w:rPr>
        <w:t>Ceramics International</w:t>
      </w:r>
      <w:r w:rsidRPr="00B0046A">
        <w:rPr>
          <w:rFonts w:ascii="Times New Roman" w:hAnsi="Times New Roman"/>
          <w:sz w:val="20"/>
          <w:szCs w:val="20"/>
        </w:rPr>
        <w:t>, 31(6): 845 – 849.</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Amin, S. Y. M., Muhamad, N., Jamaludin, K. R., Fayyaz, A. and Yunn, H. S. (2014). Characterization of the feedstock properties of metal injection-molded WC-Co with palm stearin binder system. </w:t>
      </w:r>
      <w:r w:rsidRPr="00B0046A">
        <w:rPr>
          <w:rFonts w:ascii="Times New Roman" w:hAnsi="Times New Roman"/>
          <w:i/>
          <w:sz w:val="20"/>
          <w:szCs w:val="20"/>
        </w:rPr>
        <w:t>Sains Malaysiana</w:t>
      </w:r>
      <w:r w:rsidRPr="00B0046A">
        <w:rPr>
          <w:rFonts w:ascii="Times New Roman" w:hAnsi="Times New Roman"/>
          <w:sz w:val="20"/>
          <w:szCs w:val="20"/>
        </w:rPr>
        <w:t>, 43(1), 123 – 128.</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Bobek, J., Seidl, M., Lenfeld, P., BČhálek, L. and Ausperger, A. (2011). Rheology of composites with nature vegetal origin fibers. </w:t>
      </w:r>
      <w:r w:rsidRPr="00B0046A">
        <w:rPr>
          <w:rFonts w:ascii="Times New Roman" w:hAnsi="Times New Roman"/>
          <w:i/>
          <w:sz w:val="20"/>
          <w:szCs w:val="20"/>
        </w:rPr>
        <w:t>International Journal of Mechanical, Aerospace, Industrial, Mechatronic and Manufacturing Engineering</w:t>
      </w:r>
      <w:r w:rsidRPr="00B0046A">
        <w:rPr>
          <w:rFonts w:ascii="Times New Roman" w:hAnsi="Times New Roman"/>
          <w:sz w:val="20"/>
          <w:szCs w:val="20"/>
        </w:rPr>
        <w:t>, 5(10): 1956 – 1959.</w:t>
      </w:r>
    </w:p>
    <w:p w:rsidR="00173FAD" w:rsidRPr="00B0046A" w:rsidRDefault="00173FAD" w:rsidP="00173FAD">
      <w:pPr>
        <w:numPr>
          <w:ilvl w:val="0"/>
          <w:numId w:val="1"/>
        </w:numPr>
        <w:spacing w:after="0" w:line="240" w:lineRule="auto"/>
        <w:ind w:left="360"/>
        <w:jc w:val="both"/>
        <w:outlineLvl w:val="0"/>
        <w:rPr>
          <w:rFonts w:ascii="Times New Roman" w:hAnsi="Times New Roman"/>
          <w:sz w:val="20"/>
          <w:szCs w:val="20"/>
        </w:rPr>
      </w:pPr>
      <w:r w:rsidRPr="00B0046A">
        <w:rPr>
          <w:rFonts w:ascii="Times New Roman" w:hAnsi="Times New Roman"/>
          <w:sz w:val="20"/>
          <w:szCs w:val="20"/>
        </w:rPr>
        <w:t xml:space="preserve">Hassan, N., Ahmad, S., Muhamad, N., Omar, M. A. and Hassan, N. A. (2013). Thermoplastic natural rubber (TPNR) as a backbone polymer for metal injection molding. </w:t>
      </w:r>
      <w:r w:rsidRPr="00B0046A">
        <w:rPr>
          <w:rFonts w:ascii="Times New Roman" w:hAnsi="Times New Roman"/>
          <w:i/>
          <w:sz w:val="20"/>
          <w:szCs w:val="20"/>
        </w:rPr>
        <w:t>Sains Malaysiana</w:t>
      </w:r>
      <w:r w:rsidRPr="00B0046A">
        <w:rPr>
          <w:rFonts w:ascii="Times New Roman" w:hAnsi="Times New Roman"/>
          <w:sz w:val="20"/>
          <w:szCs w:val="20"/>
        </w:rPr>
        <w:t>, 42(12): 1787 –1791.</w:t>
      </w:r>
    </w:p>
    <w:p w:rsidR="00173FAD" w:rsidRPr="00173FAD" w:rsidRDefault="00173FAD" w:rsidP="00173FAD">
      <w:pPr>
        <w:spacing w:after="0" w:line="240" w:lineRule="auto"/>
        <w:jc w:val="both"/>
        <w:rPr>
          <w:rFonts w:ascii="Times New Roman" w:hAnsi="Times New Roman"/>
          <w:bCs/>
          <w:sz w:val="20"/>
          <w:szCs w:val="20"/>
        </w:rPr>
      </w:pPr>
    </w:p>
    <w:sectPr w:rsidR="00173FAD" w:rsidRPr="00173FAD" w:rsidSect="00173FA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10293"/>
    <w:multiLevelType w:val="hybridMultilevel"/>
    <w:tmpl w:val="DE82D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AD"/>
    <w:rsid w:val="00173FAD"/>
    <w:rsid w:val="007C6FA4"/>
    <w:rsid w:val="007F2DE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A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173FAD"/>
    <w:pPr>
      <w:spacing w:after="0" w:line="240" w:lineRule="auto"/>
    </w:pPr>
  </w:style>
  <w:style w:type="paragraph" w:styleId="ListParagraph">
    <w:name w:val="List Paragraph"/>
    <w:basedOn w:val="Normal"/>
    <w:uiPriority w:val="34"/>
    <w:qFormat/>
    <w:rsid w:val="00173FAD"/>
    <w:pPr>
      <w:ind w:left="720"/>
      <w:contextualSpacing/>
    </w:pPr>
  </w:style>
  <w:style w:type="paragraph" w:customStyle="1" w:styleId="Default">
    <w:name w:val="Default"/>
    <w:rsid w:val="00173FA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ps">
    <w:name w:val="hps"/>
    <w:basedOn w:val="DefaultParagraphFont"/>
    <w:rsid w:val="00173FAD"/>
  </w:style>
  <w:style w:type="character" w:customStyle="1" w:styleId="spellmod">
    <w:name w:val="spellmod"/>
    <w:basedOn w:val="DefaultParagraphFont"/>
    <w:rsid w:val="00173FAD"/>
  </w:style>
  <w:style w:type="paragraph" w:styleId="NormalWeb">
    <w:name w:val="Normal (Web)"/>
    <w:basedOn w:val="Normal"/>
    <w:uiPriority w:val="99"/>
    <w:semiHidden/>
    <w:unhideWhenUsed/>
    <w:rsid w:val="00173FAD"/>
    <w:pPr>
      <w:spacing w:before="100" w:beforeAutospacing="1" w:after="100" w:afterAutospacing="1" w:line="240" w:lineRule="auto"/>
    </w:pPr>
    <w:rPr>
      <w:rFonts w:ascii="Times New Roman" w:hAnsi="Times New Roman"/>
      <w:sz w:val="24"/>
      <w:szCs w:val="24"/>
      <w:lang w:bidi="ar-SA"/>
    </w:rPr>
  </w:style>
  <w:style w:type="character" w:customStyle="1" w:styleId="spellmodupdated">
    <w:name w:val="spellmodupdated"/>
    <w:basedOn w:val="DefaultParagraphFont"/>
    <w:rsid w:val="00173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A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173FAD"/>
    <w:pPr>
      <w:spacing w:after="0" w:line="240" w:lineRule="auto"/>
    </w:pPr>
  </w:style>
  <w:style w:type="paragraph" w:styleId="ListParagraph">
    <w:name w:val="List Paragraph"/>
    <w:basedOn w:val="Normal"/>
    <w:uiPriority w:val="34"/>
    <w:qFormat/>
    <w:rsid w:val="00173FAD"/>
    <w:pPr>
      <w:ind w:left="720"/>
      <w:contextualSpacing/>
    </w:pPr>
  </w:style>
  <w:style w:type="paragraph" w:customStyle="1" w:styleId="Default">
    <w:name w:val="Default"/>
    <w:rsid w:val="00173FA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ps">
    <w:name w:val="hps"/>
    <w:basedOn w:val="DefaultParagraphFont"/>
    <w:rsid w:val="00173FAD"/>
  </w:style>
  <w:style w:type="character" w:customStyle="1" w:styleId="spellmod">
    <w:name w:val="spellmod"/>
    <w:basedOn w:val="DefaultParagraphFont"/>
    <w:rsid w:val="00173FAD"/>
  </w:style>
  <w:style w:type="paragraph" w:styleId="NormalWeb">
    <w:name w:val="Normal (Web)"/>
    <w:basedOn w:val="Normal"/>
    <w:uiPriority w:val="99"/>
    <w:semiHidden/>
    <w:unhideWhenUsed/>
    <w:rsid w:val="00173FAD"/>
    <w:pPr>
      <w:spacing w:before="100" w:beforeAutospacing="1" w:after="100" w:afterAutospacing="1" w:line="240" w:lineRule="auto"/>
    </w:pPr>
    <w:rPr>
      <w:rFonts w:ascii="Times New Roman" w:hAnsi="Times New Roman"/>
      <w:sz w:val="24"/>
      <w:szCs w:val="24"/>
      <w:lang w:bidi="ar-SA"/>
    </w:rPr>
  </w:style>
  <w:style w:type="character" w:customStyle="1" w:styleId="spellmodupdated">
    <w:name w:val="spellmodupdated"/>
    <w:basedOn w:val="DefaultParagraphFont"/>
    <w:rsid w:val="00173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1622</Words>
  <Characters>8845</Characters>
  <Application>Microsoft Office Word</Application>
  <DocSecurity>0</DocSecurity>
  <Lines>152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2016-05-24T23:48:00Z</dcterms:created>
  <dcterms:modified xsi:type="dcterms:W3CDTF">2016-06-05T03:02:00Z</dcterms:modified>
</cp:coreProperties>
</file>