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B7B" w:rsidRDefault="001C4B7B" w:rsidP="001C4B7B">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Sciences Vol 20 No 3 (2016): 660 - 669</w:t>
      </w:r>
    </w:p>
    <w:p w:rsidR="001C4B7B" w:rsidRDefault="001C4B7B" w:rsidP="001C4B7B">
      <w:pPr>
        <w:spacing w:after="0" w:line="240" w:lineRule="auto"/>
        <w:rPr>
          <w:rFonts w:ascii="Times New Roman" w:hAnsi="Times New Roman"/>
          <w:sz w:val="24"/>
          <w:szCs w:val="24"/>
          <w:lang w:val="en-GB"/>
        </w:rPr>
      </w:pPr>
    </w:p>
    <w:p w:rsidR="001C4B7B" w:rsidRDefault="001C4B7B" w:rsidP="001C4B7B">
      <w:pPr>
        <w:spacing w:after="0" w:line="240" w:lineRule="auto"/>
        <w:rPr>
          <w:rFonts w:ascii="Times New Roman" w:hAnsi="Times New Roman"/>
          <w:sz w:val="24"/>
          <w:szCs w:val="24"/>
          <w:lang w:val="en-GB"/>
        </w:rPr>
      </w:pPr>
    </w:p>
    <w:p w:rsidR="001C4B7B" w:rsidRPr="001C4B7B" w:rsidRDefault="001C4B7B" w:rsidP="001C4B7B">
      <w:pPr>
        <w:spacing w:after="0" w:line="240" w:lineRule="auto"/>
        <w:rPr>
          <w:rFonts w:ascii="Times New Roman" w:hAnsi="Times New Roman"/>
          <w:sz w:val="24"/>
          <w:szCs w:val="24"/>
          <w:lang w:val="en-GB"/>
        </w:rPr>
      </w:pPr>
    </w:p>
    <w:p w:rsidR="001C4B7B" w:rsidRPr="007E33B8" w:rsidRDefault="001C4B7B" w:rsidP="001C4B7B">
      <w:pPr>
        <w:spacing w:after="0" w:line="240" w:lineRule="auto"/>
        <w:jc w:val="center"/>
        <w:rPr>
          <w:rFonts w:ascii="Times New Roman" w:hAnsi="Times New Roman"/>
          <w:sz w:val="28"/>
          <w:szCs w:val="24"/>
          <w:lang w:val="en-GB"/>
        </w:rPr>
      </w:pPr>
      <w:r w:rsidRPr="007E33B8">
        <w:rPr>
          <w:rFonts w:ascii="Times New Roman" w:hAnsi="Times New Roman"/>
          <w:sz w:val="28"/>
          <w:szCs w:val="24"/>
          <w:lang w:val="en-GB"/>
        </w:rPr>
        <w:t>EFFECT OF PROCESS</w:t>
      </w:r>
      <w:r>
        <w:rPr>
          <w:rFonts w:ascii="Times New Roman" w:hAnsi="Times New Roman"/>
          <w:sz w:val="28"/>
          <w:szCs w:val="24"/>
          <w:lang w:val="en-GB"/>
        </w:rPr>
        <w:t xml:space="preserve"> PARAMETERS ON THE SYNTHESIS OF </w:t>
      </w:r>
      <w:r w:rsidRPr="007E33B8">
        <w:rPr>
          <w:rFonts w:ascii="Times New Roman" w:hAnsi="Times New Roman"/>
          <w:sz w:val="28"/>
          <w:szCs w:val="24"/>
          <w:lang w:val="en-GB"/>
        </w:rPr>
        <w:t>POLYPYRROLE BY THE TAGUCHI METHOD</w:t>
      </w:r>
    </w:p>
    <w:p w:rsidR="001C4B7B" w:rsidRPr="00F447A7" w:rsidRDefault="001C4B7B" w:rsidP="001C4B7B">
      <w:pPr>
        <w:spacing w:after="0" w:line="240" w:lineRule="auto"/>
        <w:jc w:val="center"/>
        <w:rPr>
          <w:rFonts w:ascii="Times New Roman" w:hAnsi="Times New Roman"/>
          <w:noProof/>
          <w:sz w:val="24"/>
          <w:szCs w:val="24"/>
          <w:lang w:bidi="ar-SA"/>
        </w:rPr>
      </w:pPr>
    </w:p>
    <w:p w:rsidR="001C4B7B" w:rsidRPr="00B638E9" w:rsidRDefault="001C4B7B" w:rsidP="001C4B7B">
      <w:pPr>
        <w:spacing w:after="0" w:line="240" w:lineRule="auto"/>
        <w:jc w:val="center"/>
        <w:rPr>
          <w:rFonts w:ascii="Times New Roman" w:hAnsi="Times New Roman"/>
          <w:sz w:val="24"/>
          <w:lang w:val="en-GB"/>
        </w:rPr>
      </w:pPr>
      <w:r w:rsidRPr="00117B3D">
        <w:rPr>
          <w:rFonts w:ascii="Times New Roman" w:hAnsi="Times New Roman"/>
          <w:sz w:val="24"/>
          <w:lang w:val="en-GB"/>
        </w:rPr>
        <w:t>(Kesan Pembolehubah Proses Terhadap Sintesis Polipirola Menggunakan Kaedah Taguchi)</w:t>
      </w:r>
    </w:p>
    <w:p w:rsidR="001C4B7B" w:rsidRPr="00F447A7" w:rsidRDefault="001C4B7B" w:rsidP="001C4B7B">
      <w:pPr>
        <w:spacing w:after="0" w:line="240" w:lineRule="auto"/>
        <w:jc w:val="center"/>
        <w:rPr>
          <w:rFonts w:ascii="Times New Roman" w:hAnsi="Times New Roman"/>
          <w:noProof/>
          <w:sz w:val="20"/>
          <w:szCs w:val="20"/>
          <w:lang w:bidi="ar-SA"/>
        </w:rPr>
      </w:pPr>
    </w:p>
    <w:p w:rsidR="001C4B7B" w:rsidRPr="00905AAA" w:rsidRDefault="001C4B7B" w:rsidP="001C4B7B">
      <w:pPr>
        <w:pStyle w:val="NoSpacing"/>
        <w:jc w:val="center"/>
        <w:rPr>
          <w:rFonts w:ascii="Times New Roman" w:hAnsi="Times New Roman"/>
          <w:sz w:val="20"/>
          <w:szCs w:val="20"/>
        </w:rPr>
      </w:pPr>
      <w:r w:rsidRPr="00905AAA">
        <w:rPr>
          <w:rFonts w:ascii="Times New Roman" w:hAnsi="Times New Roman"/>
          <w:sz w:val="20"/>
          <w:szCs w:val="20"/>
        </w:rPr>
        <w:t>Rika Sri Utami</w:t>
      </w:r>
      <w:r w:rsidRPr="00905AAA">
        <w:rPr>
          <w:rFonts w:ascii="Times New Roman" w:hAnsi="Times New Roman"/>
          <w:sz w:val="20"/>
          <w:szCs w:val="20"/>
          <w:vertAlign w:val="superscript"/>
        </w:rPr>
        <w:t>1</w:t>
      </w:r>
      <w:r w:rsidRPr="00905AAA">
        <w:rPr>
          <w:rFonts w:ascii="Times New Roman" w:hAnsi="Times New Roman"/>
          <w:sz w:val="20"/>
          <w:szCs w:val="20"/>
        </w:rPr>
        <w:t>, Ifa Puspasari</w:t>
      </w:r>
      <w:r w:rsidRPr="00905AAA">
        <w:rPr>
          <w:rFonts w:ascii="Times New Roman" w:hAnsi="Times New Roman"/>
          <w:sz w:val="20"/>
          <w:szCs w:val="20"/>
          <w:vertAlign w:val="superscript"/>
        </w:rPr>
        <w:t>1</w:t>
      </w:r>
      <w:r w:rsidRPr="00905AAA">
        <w:rPr>
          <w:rFonts w:ascii="Times New Roman" w:hAnsi="Times New Roman"/>
          <w:sz w:val="20"/>
          <w:szCs w:val="20"/>
        </w:rPr>
        <w:t>, Loh Kee Shyuan</w:t>
      </w:r>
      <w:r w:rsidRPr="00905AAA">
        <w:rPr>
          <w:rFonts w:ascii="Times New Roman" w:hAnsi="Times New Roman"/>
          <w:sz w:val="20"/>
          <w:szCs w:val="20"/>
          <w:vertAlign w:val="superscript"/>
        </w:rPr>
        <w:t>1</w:t>
      </w:r>
      <w:r w:rsidRPr="00B638E9">
        <w:rPr>
          <w:rFonts w:ascii="Times New Roman" w:hAnsi="Times New Roman"/>
          <w:sz w:val="20"/>
          <w:szCs w:val="20"/>
        </w:rPr>
        <w:t>*</w:t>
      </w:r>
      <w:r>
        <w:rPr>
          <w:rFonts w:ascii="Times New Roman" w:hAnsi="Times New Roman"/>
          <w:sz w:val="20"/>
          <w:szCs w:val="20"/>
        </w:rPr>
        <w:t>,</w:t>
      </w:r>
      <w:r w:rsidRPr="00905AAA">
        <w:rPr>
          <w:rFonts w:ascii="Times New Roman" w:hAnsi="Times New Roman"/>
          <w:sz w:val="20"/>
          <w:szCs w:val="20"/>
        </w:rPr>
        <w:t xml:space="preserve"> Abu Bakar Mohamed</w:t>
      </w:r>
      <w:r w:rsidRPr="00905AAA">
        <w:rPr>
          <w:rFonts w:ascii="Times New Roman" w:hAnsi="Times New Roman"/>
          <w:sz w:val="20"/>
          <w:szCs w:val="20"/>
          <w:vertAlign w:val="superscript"/>
        </w:rPr>
        <w:t>1,</w:t>
      </w:r>
      <w:r>
        <w:rPr>
          <w:rFonts w:ascii="Times New Roman" w:hAnsi="Times New Roman"/>
          <w:sz w:val="20"/>
          <w:szCs w:val="20"/>
          <w:vertAlign w:val="superscript"/>
        </w:rPr>
        <w:t xml:space="preserve"> </w:t>
      </w:r>
      <w:r w:rsidRPr="00905AAA">
        <w:rPr>
          <w:rFonts w:ascii="Times New Roman" w:hAnsi="Times New Roman"/>
          <w:sz w:val="20"/>
          <w:szCs w:val="20"/>
          <w:vertAlign w:val="superscript"/>
        </w:rPr>
        <w:t>2</w:t>
      </w:r>
      <w:r>
        <w:rPr>
          <w:rFonts w:ascii="Times New Roman" w:hAnsi="Times New Roman"/>
          <w:sz w:val="20"/>
          <w:szCs w:val="20"/>
        </w:rPr>
        <w:t xml:space="preserve">, </w:t>
      </w:r>
      <w:r w:rsidRPr="00905AAA">
        <w:rPr>
          <w:rFonts w:ascii="Times New Roman" w:hAnsi="Times New Roman"/>
          <w:sz w:val="20"/>
          <w:szCs w:val="20"/>
        </w:rPr>
        <w:t>Sagir Alva</w:t>
      </w:r>
      <w:r w:rsidRPr="00905AAA">
        <w:rPr>
          <w:rFonts w:ascii="Times New Roman" w:hAnsi="Times New Roman"/>
          <w:sz w:val="20"/>
          <w:szCs w:val="20"/>
          <w:vertAlign w:val="superscript"/>
        </w:rPr>
        <w:t>3</w:t>
      </w:r>
    </w:p>
    <w:p w:rsidR="001C4B7B" w:rsidRPr="001C4B7B" w:rsidRDefault="001C4B7B" w:rsidP="001C4B7B">
      <w:pPr>
        <w:spacing w:after="0" w:line="240" w:lineRule="auto"/>
        <w:jc w:val="center"/>
        <w:rPr>
          <w:rFonts w:ascii="Times New Roman" w:hAnsi="Times New Roman"/>
          <w:noProof/>
          <w:sz w:val="20"/>
          <w:szCs w:val="20"/>
          <w:lang w:bidi="ar-SA"/>
        </w:rPr>
      </w:pPr>
    </w:p>
    <w:p w:rsidR="001C4B7B" w:rsidRPr="001C4B7B" w:rsidRDefault="001C4B7B" w:rsidP="001C4B7B">
      <w:pPr>
        <w:pStyle w:val="NoSpacing"/>
        <w:jc w:val="center"/>
        <w:rPr>
          <w:rFonts w:ascii="Times New Roman" w:hAnsi="Times New Roman"/>
          <w:i/>
          <w:sz w:val="20"/>
          <w:szCs w:val="20"/>
        </w:rPr>
      </w:pPr>
      <w:r w:rsidRPr="001C4B7B">
        <w:rPr>
          <w:rFonts w:ascii="Times New Roman" w:hAnsi="Times New Roman"/>
          <w:i/>
          <w:sz w:val="20"/>
          <w:szCs w:val="20"/>
          <w:vertAlign w:val="superscript"/>
        </w:rPr>
        <w:t>1</w:t>
      </w:r>
      <w:r w:rsidRPr="001C4B7B">
        <w:rPr>
          <w:rFonts w:ascii="Times New Roman" w:hAnsi="Times New Roman"/>
          <w:i/>
          <w:sz w:val="20"/>
          <w:szCs w:val="20"/>
        </w:rPr>
        <w:t xml:space="preserve">Fuel Cell Institute </w:t>
      </w:r>
    </w:p>
    <w:p w:rsidR="001C4B7B" w:rsidRPr="001C4B7B" w:rsidRDefault="001C4B7B" w:rsidP="001C4B7B">
      <w:pPr>
        <w:pStyle w:val="NoSpacing"/>
        <w:jc w:val="center"/>
        <w:rPr>
          <w:rFonts w:ascii="Times New Roman" w:hAnsi="Times New Roman"/>
          <w:i/>
          <w:sz w:val="20"/>
          <w:szCs w:val="20"/>
        </w:rPr>
      </w:pPr>
      <w:r w:rsidRPr="001C4B7B">
        <w:rPr>
          <w:rFonts w:ascii="Times New Roman" w:hAnsi="Times New Roman"/>
          <w:i/>
          <w:sz w:val="20"/>
          <w:szCs w:val="20"/>
          <w:vertAlign w:val="superscript"/>
        </w:rPr>
        <w:t>2</w:t>
      </w:r>
      <w:r w:rsidRPr="001C4B7B">
        <w:rPr>
          <w:rFonts w:ascii="Times New Roman" w:hAnsi="Times New Roman"/>
          <w:i/>
          <w:sz w:val="20"/>
          <w:szCs w:val="20"/>
        </w:rPr>
        <w:t>Department of Chemical and Process Engineering, Faculty of Engineering and Built Environment</w:t>
      </w:r>
    </w:p>
    <w:p w:rsidR="001C4B7B" w:rsidRPr="001C4B7B" w:rsidRDefault="001C4B7B" w:rsidP="001C4B7B">
      <w:pPr>
        <w:pStyle w:val="NoSpacing"/>
        <w:jc w:val="center"/>
        <w:rPr>
          <w:rFonts w:ascii="Times New Roman" w:hAnsi="Times New Roman"/>
          <w:i/>
          <w:sz w:val="20"/>
          <w:szCs w:val="20"/>
        </w:rPr>
      </w:pPr>
      <w:r w:rsidRPr="001C4B7B">
        <w:rPr>
          <w:rFonts w:ascii="Times New Roman" w:hAnsi="Times New Roman"/>
          <w:i/>
          <w:sz w:val="20"/>
          <w:szCs w:val="20"/>
        </w:rPr>
        <w:t xml:space="preserve">Universiti Kebangsaan Malaysia, 43600 UKM Bangi, Selangor, Malaysia </w:t>
      </w:r>
    </w:p>
    <w:p w:rsidR="001C4B7B" w:rsidRPr="001C4B7B" w:rsidRDefault="001C4B7B" w:rsidP="001C4B7B">
      <w:pPr>
        <w:pStyle w:val="NoSpacing"/>
        <w:jc w:val="center"/>
        <w:rPr>
          <w:rFonts w:ascii="Times New Roman" w:hAnsi="Times New Roman"/>
          <w:i/>
          <w:sz w:val="20"/>
          <w:szCs w:val="20"/>
        </w:rPr>
      </w:pPr>
      <w:r w:rsidRPr="001C4B7B">
        <w:rPr>
          <w:rFonts w:ascii="Times New Roman" w:hAnsi="Times New Roman"/>
          <w:i/>
          <w:sz w:val="20"/>
          <w:szCs w:val="20"/>
          <w:vertAlign w:val="superscript"/>
        </w:rPr>
        <w:t>3</w:t>
      </w:r>
      <w:r w:rsidRPr="001C4B7B">
        <w:rPr>
          <w:rFonts w:ascii="Times New Roman" w:hAnsi="Times New Roman"/>
          <w:i/>
          <w:sz w:val="20"/>
          <w:szCs w:val="20"/>
        </w:rPr>
        <w:t xml:space="preserve">Mechanical Engineering Department, Engineering Faculty, </w:t>
      </w:r>
    </w:p>
    <w:p w:rsidR="001C4B7B" w:rsidRPr="001C4B7B" w:rsidRDefault="001C4B7B" w:rsidP="001C4B7B">
      <w:pPr>
        <w:pStyle w:val="NoSpacing"/>
        <w:jc w:val="center"/>
        <w:rPr>
          <w:rFonts w:ascii="Times New Roman" w:hAnsi="Times New Roman"/>
          <w:i/>
          <w:sz w:val="20"/>
          <w:szCs w:val="20"/>
        </w:rPr>
      </w:pPr>
      <w:r w:rsidRPr="001C4B7B">
        <w:rPr>
          <w:rFonts w:ascii="Times New Roman" w:hAnsi="Times New Roman"/>
          <w:i/>
          <w:sz w:val="20"/>
          <w:szCs w:val="20"/>
        </w:rPr>
        <w:t>Mercu Buana University, 11650 Jakarta, Indonesia</w:t>
      </w:r>
    </w:p>
    <w:p w:rsidR="001C4B7B" w:rsidRPr="001C4B7B" w:rsidRDefault="001C4B7B" w:rsidP="001C4B7B">
      <w:pPr>
        <w:spacing w:after="0" w:line="240" w:lineRule="auto"/>
        <w:jc w:val="center"/>
        <w:rPr>
          <w:rFonts w:ascii="Times New Roman" w:hAnsi="Times New Roman"/>
          <w:noProof/>
          <w:sz w:val="20"/>
          <w:szCs w:val="20"/>
          <w:lang w:bidi="ar-SA"/>
        </w:rPr>
      </w:pPr>
    </w:p>
    <w:p w:rsidR="001C4B7B" w:rsidRPr="001C4B7B" w:rsidRDefault="001C4B7B" w:rsidP="001C4B7B">
      <w:pPr>
        <w:spacing w:after="0" w:line="240" w:lineRule="auto"/>
        <w:jc w:val="center"/>
        <w:rPr>
          <w:rFonts w:ascii="Times New Roman" w:hAnsi="Times New Roman"/>
          <w:bCs/>
          <w:sz w:val="20"/>
          <w:szCs w:val="20"/>
        </w:rPr>
      </w:pPr>
      <w:r w:rsidRPr="001C4B7B">
        <w:rPr>
          <w:rFonts w:ascii="Times New Roman" w:hAnsi="Times New Roman"/>
          <w:i/>
          <w:noProof/>
          <w:sz w:val="20"/>
          <w:szCs w:val="20"/>
          <w:lang w:bidi="ar-SA"/>
        </w:rPr>
        <w:t xml:space="preserve">*Corresponding author: </w:t>
      </w:r>
      <w:r w:rsidRPr="001C4B7B">
        <w:rPr>
          <w:rFonts w:ascii="Times New Roman" w:hAnsi="Times New Roman"/>
          <w:bCs/>
          <w:i/>
          <w:sz w:val="20"/>
          <w:szCs w:val="20"/>
        </w:rPr>
        <w:t xml:space="preserve">ksloh@ukm.edu.my  </w:t>
      </w:r>
    </w:p>
    <w:p w:rsidR="001C4B7B" w:rsidRPr="001C4B7B" w:rsidRDefault="001C4B7B" w:rsidP="001C4B7B">
      <w:pPr>
        <w:spacing w:after="0" w:line="240" w:lineRule="auto"/>
        <w:jc w:val="center"/>
        <w:rPr>
          <w:rFonts w:ascii="Times New Roman" w:hAnsi="Times New Roman"/>
          <w:noProof/>
          <w:sz w:val="20"/>
          <w:szCs w:val="20"/>
          <w:lang w:bidi="ar-SA"/>
        </w:rPr>
      </w:pPr>
    </w:p>
    <w:p w:rsidR="001C4B7B" w:rsidRPr="001C4B7B" w:rsidRDefault="001C4B7B" w:rsidP="001C4B7B">
      <w:pPr>
        <w:spacing w:after="0" w:line="240" w:lineRule="auto"/>
        <w:jc w:val="center"/>
        <w:rPr>
          <w:rFonts w:ascii="Times New Roman" w:hAnsi="Times New Roman"/>
          <w:noProof/>
          <w:sz w:val="20"/>
          <w:szCs w:val="20"/>
          <w:lang w:bidi="ar-SA"/>
        </w:rPr>
      </w:pPr>
    </w:p>
    <w:p w:rsidR="001C4B7B" w:rsidRPr="001C4B7B" w:rsidRDefault="001C4B7B" w:rsidP="001C4B7B">
      <w:pPr>
        <w:spacing w:after="0" w:line="240" w:lineRule="auto"/>
        <w:jc w:val="center"/>
        <w:rPr>
          <w:rFonts w:ascii="Times New Roman" w:hAnsi="Times New Roman"/>
          <w:noProof/>
          <w:sz w:val="20"/>
          <w:szCs w:val="20"/>
          <w:lang w:bidi="ar-SA"/>
        </w:rPr>
      </w:pPr>
      <w:r w:rsidRPr="001C4B7B">
        <w:rPr>
          <w:rFonts w:ascii="Times New Roman" w:hAnsi="Times New Roman"/>
          <w:noProof/>
          <w:sz w:val="20"/>
          <w:szCs w:val="20"/>
          <w:lang w:bidi="ar-SA"/>
        </w:rPr>
        <w:t>Received: 5 February 2016; Accepted: 22 April 2016</w:t>
      </w:r>
    </w:p>
    <w:p w:rsidR="001C4B7B" w:rsidRPr="001C4B7B" w:rsidRDefault="001C4B7B" w:rsidP="001C4B7B">
      <w:pPr>
        <w:spacing w:after="0" w:line="240" w:lineRule="auto"/>
        <w:jc w:val="center"/>
        <w:rPr>
          <w:rFonts w:ascii="Times New Roman" w:hAnsi="Times New Roman"/>
          <w:noProof/>
          <w:sz w:val="20"/>
          <w:szCs w:val="20"/>
          <w:lang w:bidi="ar-SA"/>
        </w:rPr>
      </w:pPr>
    </w:p>
    <w:p w:rsidR="001C4B7B" w:rsidRPr="001C4B7B" w:rsidRDefault="001C4B7B" w:rsidP="001C4B7B">
      <w:pPr>
        <w:spacing w:after="0" w:line="240" w:lineRule="auto"/>
        <w:jc w:val="center"/>
        <w:rPr>
          <w:rFonts w:ascii="Times New Roman" w:hAnsi="Times New Roman"/>
          <w:noProof/>
          <w:sz w:val="20"/>
          <w:szCs w:val="20"/>
          <w:lang w:bidi="ar-SA"/>
        </w:rPr>
      </w:pPr>
    </w:p>
    <w:p w:rsidR="001C4B7B" w:rsidRPr="001C4B7B" w:rsidRDefault="001C4B7B" w:rsidP="001C4B7B">
      <w:pPr>
        <w:spacing w:after="0" w:line="240" w:lineRule="auto"/>
        <w:jc w:val="center"/>
        <w:rPr>
          <w:rFonts w:ascii="Times New Roman" w:hAnsi="Times New Roman"/>
          <w:b/>
          <w:noProof/>
          <w:sz w:val="20"/>
          <w:szCs w:val="20"/>
          <w:lang w:bidi="ar-SA"/>
        </w:rPr>
      </w:pPr>
      <w:r w:rsidRPr="001C4B7B">
        <w:rPr>
          <w:rFonts w:ascii="Times New Roman" w:hAnsi="Times New Roman"/>
          <w:b/>
          <w:noProof/>
          <w:sz w:val="20"/>
          <w:szCs w:val="20"/>
          <w:lang w:bidi="ar-SA"/>
        </w:rPr>
        <w:t>Abstract</w:t>
      </w:r>
    </w:p>
    <w:p w:rsidR="001C4B7B" w:rsidRPr="001C4B7B" w:rsidRDefault="001C4B7B" w:rsidP="001C4B7B">
      <w:pPr>
        <w:spacing w:after="0" w:line="240" w:lineRule="auto"/>
        <w:jc w:val="both"/>
        <w:rPr>
          <w:rFonts w:ascii="Times New Roman" w:hAnsi="Times New Roman"/>
          <w:sz w:val="20"/>
          <w:szCs w:val="20"/>
          <w:lang w:val="en-GB"/>
        </w:rPr>
      </w:pPr>
      <w:r w:rsidRPr="001C4B7B">
        <w:rPr>
          <w:rFonts w:ascii="Times New Roman" w:hAnsi="Times New Roman"/>
          <w:sz w:val="20"/>
          <w:szCs w:val="20"/>
          <w:lang w:val="en-GB"/>
        </w:rPr>
        <w:t>Polypyrrole is a conductive polymer that is widely used in electrochemical applications. To identify the effects of different parameters on the synthesis of polypyrrole, an experimental design based on an orthogonal array L</w:t>
      </w:r>
      <w:r w:rsidRPr="001C4B7B">
        <w:rPr>
          <w:rFonts w:ascii="Times New Roman" w:hAnsi="Times New Roman"/>
          <w:sz w:val="20"/>
          <w:szCs w:val="20"/>
          <w:vertAlign w:val="subscript"/>
          <w:lang w:val="en-GB"/>
        </w:rPr>
        <w:t>9</w:t>
      </w:r>
      <w:r w:rsidRPr="001C4B7B">
        <w:rPr>
          <w:rFonts w:ascii="Times New Roman" w:hAnsi="Times New Roman"/>
          <w:sz w:val="20"/>
          <w:szCs w:val="20"/>
          <w:lang w:val="en-GB"/>
        </w:rPr>
        <w:t xml:space="preserve"> (3</w:t>
      </w:r>
      <w:r w:rsidRPr="001C4B7B">
        <w:rPr>
          <w:rFonts w:ascii="Times New Roman" w:hAnsi="Times New Roman"/>
          <w:sz w:val="20"/>
          <w:szCs w:val="20"/>
          <w:vertAlign w:val="superscript"/>
          <w:lang w:val="en-GB"/>
        </w:rPr>
        <w:t>4</w:t>
      </w:r>
      <w:r w:rsidRPr="001C4B7B">
        <w:rPr>
          <w:rFonts w:ascii="Times New Roman" w:hAnsi="Times New Roman"/>
          <w:sz w:val="20"/>
          <w:szCs w:val="20"/>
          <w:lang w:val="en-GB"/>
        </w:rPr>
        <w:t>) proposed by Taguchi was applied. The parameters investigated were the oxidant type, molar ratio of oxidant: pyrrole, reaction time and dopant concentration, whereas the response variables observed were the yield, particle size and conductivity. Field Emission Scanning Electron Microscope (FESEM) characterization was used to study the morphology characteristics of the polypyrrole particles. Based on the signal-to-noise (S/N) ratio and the results of analysis of variance (ANOVA), the molar ratio of oxidant: pyrrole and the oxidant type significantly affected the yield and conductivity of the synthesized polypyrrole particles.</w:t>
      </w:r>
    </w:p>
    <w:p w:rsidR="001C4B7B" w:rsidRPr="001C4B7B" w:rsidRDefault="001C4B7B" w:rsidP="001C4B7B">
      <w:pPr>
        <w:spacing w:after="0" w:line="240" w:lineRule="auto"/>
        <w:jc w:val="both"/>
        <w:rPr>
          <w:rFonts w:ascii="Times New Roman" w:hAnsi="Times New Roman"/>
          <w:sz w:val="20"/>
          <w:szCs w:val="20"/>
          <w:lang w:val="en-GB"/>
        </w:rPr>
      </w:pPr>
    </w:p>
    <w:p w:rsidR="001C4B7B" w:rsidRPr="001C4B7B" w:rsidRDefault="001C4B7B" w:rsidP="001C4B7B">
      <w:pPr>
        <w:spacing w:after="0" w:line="240" w:lineRule="auto"/>
        <w:jc w:val="both"/>
        <w:rPr>
          <w:rStyle w:val="ShortAbstract"/>
          <w:rFonts w:eastAsiaTheme="minorHAnsi"/>
          <w:szCs w:val="20"/>
          <w:lang w:val="en-GB"/>
        </w:rPr>
      </w:pPr>
      <w:r w:rsidRPr="001C4B7B">
        <w:rPr>
          <w:rFonts w:ascii="Times New Roman" w:hAnsi="Times New Roman"/>
          <w:b/>
          <w:sz w:val="20"/>
          <w:szCs w:val="20"/>
        </w:rPr>
        <w:t>Keywords:</w:t>
      </w:r>
      <w:r w:rsidRPr="001C4B7B">
        <w:rPr>
          <w:rStyle w:val="ShortAbstract"/>
          <w:rFonts w:eastAsia="MS Mincho"/>
          <w:szCs w:val="20"/>
        </w:rPr>
        <w:t xml:space="preserve">  design of experiment, conductive polymer, yield, particle size, conductivity</w:t>
      </w:r>
    </w:p>
    <w:p w:rsidR="001C4B7B" w:rsidRPr="001C4B7B" w:rsidRDefault="001C4B7B" w:rsidP="001C4B7B">
      <w:pPr>
        <w:spacing w:after="0" w:line="240" w:lineRule="auto"/>
        <w:jc w:val="both"/>
        <w:rPr>
          <w:rStyle w:val="ShortAbstract"/>
          <w:rFonts w:eastAsiaTheme="minorHAnsi"/>
          <w:szCs w:val="20"/>
          <w:lang w:val="en-GB"/>
        </w:rPr>
      </w:pPr>
    </w:p>
    <w:p w:rsidR="001C4B7B" w:rsidRPr="001C4B7B" w:rsidRDefault="001C4B7B" w:rsidP="001C4B7B">
      <w:pPr>
        <w:pStyle w:val="ListParagraph"/>
        <w:spacing w:after="0" w:line="240" w:lineRule="auto"/>
        <w:ind w:left="0"/>
        <w:jc w:val="center"/>
        <w:rPr>
          <w:rFonts w:ascii="Times New Roman" w:hAnsi="Times New Roman"/>
          <w:b/>
          <w:sz w:val="20"/>
          <w:szCs w:val="20"/>
        </w:rPr>
      </w:pPr>
      <w:r w:rsidRPr="001C4B7B">
        <w:rPr>
          <w:rFonts w:ascii="Times New Roman" w:hAnsi="Times New Roman"/>
          <w:b/>
          <w:sz w:val="20"/>
          <w:szCs w:val="20"/>
        </w:rPr>
        <w:t>Abstrak</w:t>
      </w:r>
    </w:p>
    <w:p w:rsidR="001C4B7B" w:rsidRPr="001C4B7B" w:rsidRDefault="001C4B7B" w:rsidP="001C4B7B">
      <w:pPr>
        <w:snapToGrid w:val="0"/>
        <w:spacing w:after="0" w:line="240" w:lineRule="auto"/>
        <w:jc w:val="both"/>
        <w:rPr>
          <w:rFonts w:ascii="Times New Roman" w:hAnsi="Times New Roman"/>
          <w:sz w:val="20"/>
          <w:szCs w:val="20"/>
          <w:lang w:val="ms-MY"/>
        </w:rPr>
      </w:pPr>
      <w:r w:rsidRPr="001C4B7B">
        <w:rPr>
          <w:rFonts w:ascii="Times New Roman" w:eastAsia="MS Mincho" w:hAnsi="Times New Roman"/>
          <w:sz w:val="20"/>
          <w:szCs w:val="20"/>
        </w:rPr>
        <w:t xml:space="preserve">Polipirola merupakan polimer konduktif yang digunakan secara meluas dalam aplikasi elektrokimia. </w:t>
      </w:r>
      <w:r w:rsidRPr="001C4B7B">
        <w:rPr>
          <w:rStyle w:val="hps"/>
          <w:rFonts w:ascii="Times New Roman" w:hAnsi="Times New Roman"/>
          <w:sz w:val="20"/>
          <w:szCs w:val="20"/>
          <w:lang w:val="ms-MY"/>
        </w:rPr>
        <w:t>Bagi tujuan mengenal pasti</w:t>
      </w:r>
      <w:r w:rsidRPr="001C4B7B">
        <w:rPr>
          <w:rFonts w:ascii="Times New Roman" w:hAnsi="Times New Roman"/>
          <w:sz w:val="20"/>
          <w:szCs w:val="20"/>
          <w:lang w:val="ms-MY"/>
        </w:rPr>
        <w:t xml:space="preserve"> </w:t>
      </w:r>
      <w:r w:rsidR="000602D0">
        <w:rPr>
          <w:rStyle w:val="hps"/>
          <w:rFonts w:ascii="Times New Roman" w:hAnsi="Times New Roman"/>
          <w:sz w:val="20"/>
          <w:szCs w:val="20"/>
          <w:lang w:val="ms-MY"/>
        </w:rPr>
        <w:t>kesan-</w:t>
      </w:r>
      <w:bookmarkStart w:id="0" w:name="_GoBack"/>
      <w:bookmarkEnd w:id="0"/>
      <w:r w:rsidRPr="001C4B7B">
        <w:rPr>
          <w:rStyle w:val="hps"/>
          <w:rFonts w:ascii="Times New Roman" w:hAnsi="Times New Roman"/>
          <w:sz w:val="20"/>
          <w:szCs w:val="20"/>
          <w:lang w:val="ms-MY"/>
        </w:rPr>
        <w:t>kesan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parameter yang berbeza</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pada sintesis</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polipirola</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reka bentuk</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eksperimen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berdasarkan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ortogon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L</w:t>
      </w:r>
      <w:r w:rsidRPr="001C4B7B">
        <w:rPr>
          <w:rStyle w:val="hps"/>
          <w:rFonts w:ascii="Times New Roman" w:hAnsi="Times New Roman"/>
          <w:sz w:val="20"/>
          <w:szCs w:val="20"/>
          <w:vertAlign w:val="subscript"/>
          <w:lang w:val="ms-MY"/>
        </w:rPr>
        <w:t>9</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(3</w:t>
      </w:r>
      <w:r w:rsidRPr="001C4B7B">
        <w:rPr>
          <w:rStyle w:val="hps"/>
          <w:rFonts w:ascii="Times New Roman" w:hAnsi="Times New Roman"/>
          <w:sz w:val="20"/>
          <w:szCs w:val="20"/>
          <w:vertAlign w:val="superscript"/>
          <w:lang w:val="ms-MY"/>
        </w:rPr>
        <w:t>4</w:t>
      </w:r>
      <w:r w:rsidRPr="001C4B7B">
        <w:rPr>
          <w:rFonts w:ascii="Times New Roman" w:hAnsi="Times New Roman"/>
          <w:sz w:val="20"/>
          <w:szCs w:val="20"/>
          <w:lang w:val="ms-MY"/>
        </w:rPr>
        <w:t xml:space="preserve">) yang dicadangkan oleh </w:t>
      </w:r>
      <w:r w:rsidRPr="001C4B7B">
        <w:rPr>
          <w:rStyle w:val="hps"/>
          <w:rFonts w:ascii="Times New Roman" w:hAnsi="Times New Roman"/>
          <w:sz w:val="20"/>
          <w:szCs w:val="20"/>
          <w:lang w:val="ms-MY"/>
        </w:rPr>
        <w:t>Taguchi</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telah digunakan. Parameter</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yang dikaji ialah</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jenis</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oksidan</w:t>
      </w:r>
      <w:r w:rsidRPr="001C4B7B">
        <w:rPr>
          <w:rFonts w:ascii="Times New Roman" w:hAnsi="Times New Roman"/>
          <w:sz w:val="20"/>
          <w:szCs w:val="20"/>
          <w:lang w:val="ms-MY"/>
        </w:rPr>
        <w:t xml:space="preserve">, nisbah </w:t>
      </w:r>
      <w:r w:rsidRPr="001C4B7B">
        <w:rPr>
          <w:rStyle w:val="hps"/>
          <w:rFonts w:ascii="Times New Roman" w:hAnsi="Times New Roman"/>
          <w:sz w:val="20"/>
          <w:szCs w:val="20"/>
          <w:lang w:val="ms-MY"/>
        </w:rPr>
        <w:t>molar</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oksidan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pirola</w:t>
      </w:r>
      <w:r w:rsidRPr="001C4B7B">
        <w:rPr>
          <w:rFonts w:ascii="Times New Roman" w:hAnsi="Times New Roman"/>
          <w:sz w:val="20"/>
          <w:szCs w:val="20"/>
          <w:lang w:val="ms-MY"/>
        </w:rPr>
        <w:t xml:space="preserve">, masa tindak balas </w:t>
      </w:r>
      <w:r w:rsidRPr="001C4B7B">
        <w:rPr>
          <w:rStyle w:val="hps"/>
          <w:rFonts w:ascii="Times New Roman" w:hAnsi="Times New Roman"/>
          <w:sz w:val="20"/>
          <w:szCs w:val="20"/>
          <w:lang w:val="ms-MY"/>
        </w:rPr>
        <w:t>dan kepekatan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pendopan</w:t>
      </w:r>
      <w:r w:rsidRPr="001C4B7B">
        <w:rPr>
          <w:rFonts w:ascii="Times New Roman" w:hAnsi="Times New Roman"/>
          <w:sz w:val="20"/>
          <w:szCs w:val="20"/>
          <w:lang w:val="ms-MY"/>
        </w:rPr>
        <w:t xml:space="preserve">, manakala </w:t>
      </w:r>
      <w:r w:rsidRPr="001C4B7B">
        <w:rPr>
          <w:rStyle w:val="hps"/>
          <w:rFonts w:ascii="Times New Roman" w:hAnsi="Times New Roman"/>
          <w:sz w:val="20"/>
          <w:szCs w:val="20"/>
          <w:lang w:val="ms-MY"/>
        </w:rPr>
        <w:t>pemboleh ubah sambutan yang</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diperhatikan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adalah</w:t>
      </w:r>
      <w:r w:rsidRPr="001C4B7B">
        <w:rPr>
          <w:rFonts w:ascii="Times New Roman" w:hAnsi="Times New Roman"/>
          <w:sz w:val="20"/>
          <w:szCs w:val="20"/>
          <w:lang w:val="ms-MY"/>
        </w:rPr>
        <w:t xml:space="preserve"> jumlah </w:t>
      </w:r>
      <w:r w:rsidRPr="001C4B7B">
        <w:rPr>
          <w:rStyle w:val="hps"/>
          <w:rFonts w:ascii="Times New Roman" w:hAnsi="Times New Roman"/>
          <w:sz w:val="20"/>
          <w:szCs w:val="20"/>
          <w:lang w:val="ms-MY"/>
        </w:rPr>
        <w:t>hasil,</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saiz zarah dan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kekonduksian.</w:t>
      </w:r>
      <w:r w:rsidRPr="001C4B7B">
        <w:rPr>
          <w:rFonts w:ascii="Times New Roman" w:hAnsi="Times New Roman"/>
          <w:sz w:val="20"/>
          <w:szCs w:val="20"/>
          <w:lang w:val="ms-MY"/>
        </w:rPr>
        <w:t xml:space="preserve"> P</w:t>
      </w:r>
      <w:r w:rsidRPr="001C4B7B">
        <w:rPr>
          <w:rStyle w:val="hps"/>
          <w:rFonts w:ascii="Times New Roman" w:hAnsi="Times New Roman"/>
          <w:sz w:val="20"/>
          <w:szCs w:val="20"/>
          <w:lang w:val="ms-MY"/>
        </w:rPr>
        <w:t>encirian FESEM</w:t>
      </w:r>
      <w:r w:rsidRPr="001C4B7B">
        <w:rPr>
          <w:rFonts w:ascii="Times New Roman" w:hAnsi="Times New Roman"/>
          <w:sz w:val="20"/>
          <w:szCs w:val="20"/>
          <w:lang w:val="ms-MY"/>
        </w:rPr>
        <w:t xml:space="preserve"> telah digunakan untuk </w:t>
      </w:r>
      <w:r w:rsidRPr="001C4B7B">
        <w:rPr>
          <w:rStyle w:val="hps"/>
          <w:rFonts w:ascii="Times New Roman" w:hAnsi="Times New Roman"/>
          <w:sz w:val="20"/>
          <w:szCs w:val="20"/>
          <w:lang w:val="ms-MY"/>
        </w:rPr>
        <w:t>mengkaji morfologi</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zarah</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polipirola</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Berdasarkan</w:t>
      </w:r>
      <w:r w:rsidRPr="001C4B7B">
        <w:rPr>
          <w:rFonts w:ascii="Times New Roman" w:hAnsi="Times New Roman"/>
          <w:sz w:val="20"/>
          <w:szCs w:val="20"/>
          <w:lang w:val="ms-MY"/>
        </w:rPr>
        <w:t xml:space="preserve"> nisbah </w:t>
      </w:r>
      <w:r w:rsidRPr="001C4B7B">
        <w:rPr>
          <w:rFonts w:ascii="Times New Roman" w:hAnsi="Times New Roman"/>
          <w:sz w:val="20"/>
          <w:szCs w:val="20"/>
          <w:lang w:val="en-GB"/>
        </w:rPr>
        <w:t>isyarat-hingar</w:t>
      </w:r>
      <w:r w:rsidRPr="001C4B7B">
        <w:rPr>
          <w:rFonts w:ascii="Times New Roman" w:hAnsi="Times New Roman"/>
          <w:sz w:val="20"/>
          <w:szCs w:val="20"/>
          <w:lang w:val="ms-MY"/>
        </w:rPr>
        <w:t xml:space="preserve"> (S/</w:t>
      </w:r>
      <w:r w:rsidRPr="001C4B7B">
        <w:rPr>
          <w:rStyle w:val="hps"/>
          <w:rFonts w:ascii="Times New Roman" w:hAnsi="Times New Roman"/>
          <w:sz w:val="20"/>
          <w:szCs w:val="20"/>
          <w:lang w:val="ms-MY"/>
        </w:rPr>
        <w:t>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dan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hasil analisis</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varians (</w:t>
      </w:r>
      <w:r w:rsidRPr="001C4B7B">
        <w:rPr>
          <w:rFonts w:ascii="Times New Roman" w:hAnsi="Times New Roman"/>
          <w:sz w:val="20"/>
          <w:szCs w:val="20"/>
          <w:lang w:val="ms-MY"/>
        </w:rPr>
        <w:t xml:space="preserve">ANOVA), nisbah </w:t>
      </w:r>
      <w:r w:rsidRPr="001C4B7B">
        <w:rPr>
          <w:rStyle w:val="hps"/>
          <w:rFonts w:ascii="Times New Roman" w:hAnsi="Times New Roman"/>
          <w:sz w:val="20"/>
          <w:szCs w:val="20"/>
          <w:lang w:val="ms-MY"/>
        </w:rPr>
        <w:t>molar</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oksidan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pirola</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dan jenis</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oksidan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memberi kesan yang ketara kepada</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hasil dan</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kekonduksian dari</w:t>
      </w:r>
      <w:r w:rsidRPr="001C4B7B">
        <w:rPr>
          <w:rFonts w:ascii="Times New Roman" w:hAnsi="Times New Roman"/>
          <w:sz w:val="20"/>
          <w:szCs w:val="20"/>
          <w:lang w:val="ms-MY"/>
        </w:rPr>
        <w:t xml:space="preserve"> </w:t>
      </w:r>
      <w:r w:rsidRPr="001C4B7B">
        <w:rPr>
          <w:rStyle w:val="hps"/>
          <w:rFonts w:ascii="Times New Roman" w:hAnsi="Times New Roman"/>
          <w:sz w:val="20"/>
          <w:szCs w:val="20"/>
          <w:lang w:val="ms-MY"/>
        </w:rPr>
        <w:t>sintesis</w:t>
      </w:r>
      <w:r w:rsidRPr="001C4B7B">
        <w:rPr>
          <w:rFonts w:ascii="Times New Roman" w:hAnsi="Times New Roman"/>
          <w:sz w:val="20"/>
          <w:szCs w:val="20"/>
          <w:lang w:val="ms-MY"/>
        </w:rPr>
        <w:t xml:space="preserve"> polipirola</w:t>
      </w:r>
      <w:r w:rsidRPr="001C4B7B">
        <w:rPr>
          <w:rStyle w:val="hps"/>
          <w:rFonts w:ascii="Times New Roman" w:hAnsi="Times New Roman"/>
          <w:sz w:val="20"/>
          <w:szCs w:val="20"/>
          <w:lang w:val="ms-MY"/>
        </w:rPr>
        <w:t>.</w:t>
      </w:r>
    </w:p>
    <w:p w:rsidR="001C4B7B" w:rsidRPr="001C4B7B" w:rsidRDefault="001C4B7B" w:rsidP="001C4B7B">
      <w:pPr>
        <w:spacing w:after="0" w:line="240" w:lineRule="auto"/>
        <w:jc w:val="both"/>
        <w:rPr>
          <w:rFonts w:ascii="Times New Roman" w:hAnsi="Times New Roman"/>
          <w:b/>
          <w:sz w:val="20"/>
          <w:szCs w:val="20"/>
        </w:rPr>
      </w:pPr>
    </w:p>
    <w:p w:rsidR="00691F17" w:rsidRDefault="001C4B7B" w:rsidP="001C4B7B">
      <w:pPr>
        <w:spacing w:after="0" w:line="240" w:lineRule="auto"/>
        <w:jc w:val="both"/>
        <w:rPr>
          <w:rFonts w:ascii="Times New Roman" w:hAnsi="Times New Roman"/>
          <w:sz w:val="20"/>
          <w:szCs w:val="20"/>
        </w:rPr>
      </w:pPr>
      <w:r w:rsidRPr="001C4B7B">
        <w:rPr>
          <w:rFonts w:ascii="Times New Roman" w:hAnsi="Times New Roman"/>
          <w:b/>
          <w:sz w:val="20"/>
          <w:szCs w:val="20"/>
        </w:rPr>
        <w:t xml:space="preserve">Kata kunci: </w:t>
      </w:r>
      <w:r w:rsidRPr="001C4B7B">
        <w:rPr>
          <w:rFonts w:ascii="Times New Roman" w:hAnsi="Times New Roman"/>
          <w:sz w:val="20"/>
          <w:szCs w:val="20"/>
        </w:rPr>
        <w:t>reka bentuk eksperimen, polimer konduktif, jumlah hasil, saiz zarah, kekonduksian</w:t>
      </w:r>
    </w:p>
    <w:p w:rsidR="001C4B7B" w:rsidRDefault="001C4B7B" w:rsidP="001C4B7B">
      <w:pPr>
        <w:spacing w:after="0" w:line="240" w:lineRule="auto"/>
        <w:jc w:val="both"/>
        <w:rPr>
          <w:rFonts w:ascii="Times New Roman" w:hAnsi="Times New Roman"/>
          <w:sz w:val="20"/>
          <w:szCs w:val="20"/>
        </w:rPr>
      </w:pPr>
    </w:p>
    <w:p w:rsidR="001C4B7B" w:rsidRPr="00913FC0" w:rsidRDefault="001C4B7B" w:rsidP="001C4B7B">
      <w:pPr>
        <w:spacing w:after="0" w:line="240" w:lineRule="auto"/>
        <w:jc w:val="center"/>
        <w:rPr>
          <w:rFonts w:ascii="Times New Roman" w:hAnsi="Times New Roman"/>
          <w:b/>
          <w:noProof/>
          <w:sz w:val="20"/>
          <w:szCs w:val="20"/>
          <w:lang w:bidi="ar-SA"/>
        </w:rPr>
      </w:pPr>
      <w:r w:rsidRPr="00913FC0">
        <w:rPr>
          <w:rFonts w:ascii="Times New Roman" w:hAnsi="Times New Roman"/>
          <w:b/>
          <w:noProof/>
          <w:sz w:val="20"/>
          <w:szCs w:val="20"/>
          <w:lang w:bidi="ar-SA"/>
        </w:rPr>
        <w:t>References</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Shahbazian, A., Navarchian, A. H. and Pourmehr, M. (2009). Application of Taguchi method to investigate the effects of process factors on the performance of batch emulsion polymerization of vinyl chloride. </w:t>
      </w:r>
      <w:r w:rsidRPr="00913FC0">
        <w:rPr>
          <w:rFonts w:ascii="Times New Roman" w:eastAsia="Calibri" w:hAnsi="Times New Roman"/>
          <w:i/>
          <w:noProof/>
          <w:sz w:val="20"/>
          <w:szCs w:val="20"/>
        </w:rPr>
        <w:t>Journal of Applied Polymer Science</w:t>
      </w:r>
      <w:r w:rsidRPr="00913FC0">
        <w:rPr>
          <w:rFonts w:ascii="Times New Roman" w:eastAsia="Calibri" w:hAnsi="Times New Roman"/>
          <w:noProof/>
          <w:sz w:val="20"/>
          <w:szCs w:val="20"/>
        </w:rPr>
        <w:t>, 113 (5): 2739-2746.</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lastRenderedPageBreak/>
        <w:t xml:space="preserve">Al-Dulaimi, A. A., Hashim, S. and Khan, M. (2011). Corrosion protection of carbon steel using polyaniline composite with inorganic pigments. </w:t>
      </w:r>
      <w:r w:rsidRPr="00913FC0">
        <w:rPr>
          <w:rFonts w:ascii="Times New Roman" w:eastAsia="Calibri" w:hAnsi="Times New Roman"/>
          <w:i/>
          <w:noProof/>
          <w:sz w:val="20"/>
          <w:szCs w:val="20"/>
        </w:rPr>
        <w:t>Sains Malaysiana</w:t>
      </w:r>
      <w:r w:rsidRPr="00913FC0">
        <w:rPr>
          <w:rFonts w:ascii="Times New Roman" w:eastAsia="Calibri" w:hAnsi="Times New Roman"/>
          <w:noProof/>
          <w:sz w:val="20"/>
          <w:szCs w:val="20"/>
        </w:rPr>
        <w:t>, 40 (7): 757-763.</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Izzuddin, I., Jumali, M. H. H., Yahaya, M. and Salleh, M. M. (2012). New hybridization approach of titanium organometallic: PANI thin films as room temperature gas sensors. </w:t>
      </w:r>
      <w:r w:rsidRPr="00913FC0">
        <w:rPr>
          <w:rFonts w:ascii="Times New Roman" w:eastAsia="Calibri" w:hAnsi="Times New Roman"/>
          <w:i/>
          <w:noProof/>
          <w:sz w:val="20"/>
          <w:szCs w:val="20"/>
        </w:rPr>
        <w:t>Sains Malaysiana</w:t>
      </w:r>
      <w:r w:rsidRPr="00913FC0">
        <w:rPr>
          <w:rFonts w:ascii="Times New Roman" w:eastAsia="Calibri" w:hAnsi="Times New Roman"/>
          <w:noProof/>
          <w:sz w:val="20"/>
          <w:szCs w:val="20"/>
        </w:rPr>
        <w:t>, 41 (8): 1017-1021.</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Juamli, M. H. H., Ramli, N., Izzuddin, I., Salleh M. M. and Yahaya, M. (2011). Influence of PANI additions on methanol sensing properties of ZnO thin films. </w:t>
      </w:r>
      <w:r w:rsidRPr="00913FC0">
        <w:rPr>
          <w:rFonts w:ascii="Times New Roman" w:eastAsia="Calibri" w:hAnsi="Times New Roman"/>
          <w:i/>
          <w:noProof/>
          <w:sz w:val="20"/>
          <w:szCs w:val="20"/>
        </w:rPr>
        <w:t>Sains Malaysiana</w:t>
      </w:r>
      <w:r w:rsidRPr="00913FC0">
        <w:rPr>
          <w:rFonts w:ascii="Times New Roman" w:eastAsia="Calibri" w:hAnsi="Times New Roman"/>
          <w:noProof/>
          <w:sz w:val="20"/>
          <w:szCs w:val="20"/>
        </w:rPr>
        <w:t>, 40 (3): 203-208.</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Khan, A. A. and Paquiza, L. (2011). Electrical behavior of conducting polymer based ‘polymeric–inorganic’nanocomposite: Polyaniline and polypyrrole zirconium titanium phosphate. </w:t>
      </w:r>
      <w:r w:rsidRPr="00913FC0">
        <w:rPr>
          <w:rFonts w:ascii="Times New Roman" w:eastAsia="Calibri" w:hAnsi="Times New Roman"/>
          <w:i/>
          <w:noProof/>
          <w:sz w:val="20"/>
          <w:szCs w:val="20"/>
        </w:rPr>
        <w:t>Synthetic Metals</w:t>
      </w:r>
      <w:r w:rsidRPr="00913FC0">
        <w:rPr>
          <w:rFonts w:ascii="Times New Roman" w:eastAsia="Calibri" w:hAnsi="Times New Roman"/>
          <w:noProof/>
          <w:sz w:val="20"/>
          <w:szCs w:val="20"/>
        </w:rPr>
        <w:t>, 161 (9): 899-905.</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Qi, K., Qiu, Y., Chen, Z. and Guo, X. (2012). Corrosion of conductive polypyrrole: Effects of environmental factors, electrochemical stimulation, and doping anions. </w:t>
      </w:r>
      <w:r w:rsidRPr="00913FC0">
        <w:rPr>
          <w:rFonts w:ascii="Times New Roman" w:eastAsia="Calibri" w:hAnsi="Times New Roman"/>
          <w:i/>
          <w:noProof/>
          <w:sz w:val="20"/>
          <w:szCs w:val="20"/>
        </w:rPr>
        <w:t>Corrosion Science</w:t>
      </w:r>
      <w:r w:rsidRPr="00913FC0">
        <w:rPr>
          <w:rFonts w:ascii="Times New Roman" w:eastAsia="Calibri" w:hAnsi="Times New Roman"/>
          <w:noProof/>
          <w:sz w:val="20"/>
          <w:szCs w:val="20"/>
        </w:rPr>
        <w:t>, 60: 50-58.</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Ghamouss, F., Brugère, A., Anbalagan, A. C., Schmaltz, B., Luais, E. and Tran-Van, F. (2013). Novel glycerol assisted synthesis of polypyrrole nanospheres and its electrochemical properties. </w:t>
      </w:r>
      <w:r w:rsidRPr="00913FC0">
        <w:rPr>
          <w:rFonts w:ascii="Times New Roman" w:eastAsia="Calibri" w:hAnsi="Times New Roman"/>
          <w:i/>
          <w:noProof/>
          <w:sz w:val="20"/>
          <w:szCs w:val="20"/>
        </w:rPr>
        <w:t>Synthetic Metals</w:t>
      </w:r>
      <w:r w:rsidRPr="00913FC0">
        <w:rPr>
          <w:rFonts w:ascii="Times New Roman" w:eastAsia="Calibri" w:hAnsi="Times New Roman"/>
          <w:noProof/>
          <w:sz w:val="20"/>
          <w:szCs w:val="20"/>
        </w:rPr>
        <w:t>, 168: 9-15.</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Kim, D. K., Oh, K. W., Ahn, H. J. and Kim, S. H. (2008). Synthesis and characterization of polypyrrole rod doped with p</w:t>
      </w:r>
      <w:r w:rsidRPr="00913FC0">
        <w:rPr>
          <w:rFonts w:ascii="Cambria Math" w:eastAsia="Calibri" w:hAnsi="Cambria Math" w:cs="Cambria Math"/>
          <w:noProof/>
          <w:sz w:val="20"/>
          <w:szCs w:val="20"/>
        </w:rPr>
        <w:t>‐</w:t>
      </w:r>
      <w:r w:rsidRPr="00913FC0">
        <w:rPr>
          <w:rFonts w:ascii="Times New Roman" w:eastAsia="Calibri" w:hAnsi="Times New Roman"/>
          <w:noProof/>
          <w:sz w:val="20"/>
          <w:szCs w:val="20"/>
        </w:rPr>
        <w:t xml:space="preserve">toluenesulfonic acid via micelle formation. </w:t>
      </w:r>
      <w:r w:rsidRPr="00913FC0">
        <w:rPr>
          <w:rFonts w:ascii="Times New Roman" w:eastAsia="Calibri" w:hAnsi="Times New Roman"/>
          <w:i/>
          <w:noProof/>
          <w:sz w:val="20"/>
          <w:szCs w:val="20"/>
        </w:rPr>
        <w:t>Journal of Applied Polymer Science</w:t>
      </w:r>
      <w:r w:rsidRPr="00913FC0">
        <w:rPr>
          <w:rFonts w:ascii="Times New Roman" w:eastAsia="Calibri" w:hAnsi="Times New Roman"/>
          <w:noProof/>
          <w:sz w:val="20"/>
          <w:szCs w:val="20"/>
        </w:rPr>
        <w:t>, 107 (6): 3925- 3932.</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Karaca, E., Pekmez, N. Ö. and Pekmez, K. (2014). Galvanostatic deposition of polypyrrole in the presence of tartaric acid for electrochemical supercapacitor. </w:t>
      </w:r>
      <w:r w:rsidRPr="00913FC0">
        <w:rPr>
          <w:rFonts w:ascii="Times New Roman" w:eastAsia="Calibri" w:hAnsi="Times New Roman"/>
          <w:i/>
          <w:noProof/>
          <w:sz w:val="20"/>
          <w:szCs w:val="20"/>
        </w:rPr>
        <w:t>Electrochimica Acta</w:t>
      </w:r>
      <w:r w:rsidRPr="00913FC0">
        <w:rPr>
          <w:rFonts w:ascii="Times New Roman" w:eastAsia="Calibri" w:hAnsi="Times New Roman"/>
          <w:noProof/>
          <w:sz w:val="20"/>
          <w:szCs w:val="20"/>
        </w:rPr>
        <w:t>, 147: 545-556.</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Yuan, X., Ding, X.-L., Wang, C.-Y. and Ma, Z.-F. (2013). Use of polypyrrole in catalysts for low temperature fuel cells. </w:t>
      </w:r>
      <w:r w:rsidRPr="00913FC0">
        <w:rPr>
          <w:rFonts w:ascii="Times New Roman" w:eastAsia="Calibri" w:hAnsi="Times New Roman"/>
          <w:i/>
          <w:noProof/>
          <w:sz w:val="20"/>
          <w:szCs w:val="20"/>
        </w:rPr>
        <w:t>Energy &amp; Environmental Science</w:t>
      </w:r>
      <w:r w:rsidRPr="00913FC0">
        <w:rPr>
          <w:rFonts w:ascii="Times New Roman" w:eastAsia="Calibri" w:hAnsi="Times New Roman"/>
          <w:noProof/>
          <w:sz w:val="20"/>
          <w:szCs w:val="20"/>
        </w:rPr>
        <w:t>, 6 (4): 1105-1124.</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Pina, C. D., Falletta, E., Faro, M. L., Pasta, M. and Rossi, M. (2009). Gold-catalysed synthesis of polypyrrole. </w:t>
      </w:r>
      <w:r w:rsidRPr="00913FC0">
        <w:rPr>
          <w:rFonts w:ascii="Times New Roman" w:eastAsia="Calibri" w:hAnsi="Times New Roman"/>
          <w:i/>
          <w:noProof/>
          <w:sz w:val="20"/>
          <w:szCs w:val="20"/>
        </w:rPr>
        <w:t>Gold Bulletin</w:t>
      </w:r>
      <w:r w:rsidRPr="00913FC0">
        <w:rPr>
          <w:rFonts w:ascii="Times New Roman" w:eastAsia="Calibri" w:hAnsi="Times New Roman"/>
          <w:noProof/>
          <w:sz w:val="20"/>
          <w:szCs w:val="20"/>
        </w:rPr>
        <w:t>, 42 (1): 27-33.</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Hajian, M., Koohmareh, G. A. and Rastgoo, M. (2010). Investigation of factors affecting synthesis of polyvinyl butyral by Taguchi method. </w:t>
      </w:r>
      <w:r w:rsidRPr="00913FC0">
        <w:rPr>
          <w:rFonts w:ascii="Times New Roman" w:eastAsia="Calibri" w:hAnsi="Times New Roman"/>
          <w:i/>
          <w:noProof/>
          <w:sz w:val="20"/>
          <w:szCs w:val="20"/>
        </w:rPr>
        <w:t xml:space="preserve">Journal of Applied Polymer Science, </w:t>
      </w:r>
      <w:r w:rsidRPr="00913FC0">
        <w:rPr>
          <w:rFonts w:ascii="Times New Roman" w:eastAsia="Calibri" w:hAnsi="Times New Roman"/>
          <w:noProof/>
          <w:sz w:val="20"/>
          <w:szCs w:val="20"/>
        </w:rPr>
        <w:t>115 (6): 3592-3597.</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Tam, P. D. and Hieu, N. V. (2011). Conducting polymer film-based immunosensors using carbon nanotube/antibodies doped polypyrrole. </w:t>
      </w:r>
      <w:r w:rsidRPr="00913FC0">
        <w:rPr>
          <w:rFonts w:ascii="Times New Roman" w:eastAsia="Calibri" w:hAnsi="Times New Roman"/>
          <w:i/>
          <w:noProof/>
          <w:sz w:val="20"/>
          <w:szCs w:val="20"/>
        </w:rPr>
        <w:t>Applied Surface Science</w:t>
      </w:r>
      <w:r w:rsidRPr="00913FC0">
        <w:rPr>
          <w:rFonts w:ascii="Times New Roman" w:eastAsia="Calibri" w:hAnsi="Times New Roman"/>
          <w:noProof/>
          <w:sz w:val="20"/>
          <w:szCs w:val="20"/>
        </w:rPr>
        <w:t>, 257 (23): 9817-9824.</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Yang, C., Wang, X., Wang, Y. and Liu, P. (2012). Polypyrrole nanoparticles with high dispersion stability via chemical oxidative polymerization in presence of an anionic–non-ionic bifunctional polymeric surfactant. </w:t>
      </w:r>
      <w:r w:rsidRPr="00913FC0">
        <w:rPr>
          <w:rFonts w:ascii="Times New Roman" w:eastAsia="Calibri" w:hAnsi="Times New Roman"/>
          <w:i/>
          <w:noProof/>
          <w:sz w:val="20"/>
          <w:szCs w:val="20"/>
        </w:rPr>
        <w:t>Powder Technology</w:t>
      </w:r>
      <w:r w:rsidRPr="00913FC0">
        <w:rPr>
          <w:rFonts w:ascii="Times New Roman" w:eastAsia="Calibri" w:hAnsi="Times New Roman"/>
          <w:noProof/>
          <w:sz w:val="20"/>
          <w:szCs w:val="20"/>
        </w:rPr>
        <w:t>, 217: 134-139.</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Upadhyay, J. and Kumar, A. (2013). Structural, thermal and dielectric studies of polypyrrole nanotubes synthesized by reactive self degrade template method. </w:t>
      </w:r>
      <w:r w:rsidRPr="00913FC0">
        <w:rPr>
          <w:rFonts w:ascii="Times New Roman" w:eastAsia="Calibri" w:hAnsi="Times New Roman"/>
          <w:i/>
          <w:noProof/>
          <w:sz w:val="20"/>
          <w:szCs w:val="20"/>
        </w:rPr>
        <w:t>Materials Science and Engineering: B</w:t>
      </w:r>
      <w:r w:rsidRPr="00913FC0">
        <w:rPr>
          <w:rFonts w:ascii="Times New Roman" w:eastAsia="Calibri" w:hAnsi="Times New Roman"/>
          <w:noProof/>
          <w:sz w:val="20"/>
          <w:szCs w:val="20"/>
        </w:rPr>
        <w:t>, 178 (15): 982- 989.</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Hazarika, J. and Kumar, A. (2013). Controllable synthesis and characterization of polypyrrole nanoparticles in sodium dodecylsulphate (SDS) micellar solutions. </w:t>
      </w:r>
      <w:r w:rsidRPr="00913FC0">
        <w:rPr>
          <w:rFonts w:ascii="Times New Roman" w:eastAsia="Calibri" w:hAnsi="Times New Roman"/>
          <w:i/>
          <w:noProof/>
          <w:sz w:val="20"/>
          <w:szCs w:val="20"/>
        </w:rPr>
        <w:t>Synthetic Metals</w:t>
      </w:r>
      <w:r w:rsidRPr="00913FC0">
        <w:rPr>
          <w:rFonts w:ascii="Times New Roman" w:eastAsia="Calibri" w:hAnsi="Times New Roman"/>
          <w:noProof/>
          <w:sz w:val="20"/>
          <w:szCs w:val="20"/>
        </w:rPr>
        <w:t>, 175: 155-162.</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Yuan, X., Kong, H.-C., He, Y.-J., Ma, Z.-F., Yang, Y. and Li, Q. (2014). Effects of composition on electrochemical properties of a non-precious metal catalyst towards oxygen reduction reaction. International </w:t>
      </w:r>
      <w:r w:rsidRPr="00913FC0">
        <w:rPr>
          <w:rFonts w:ascii="Times New Roman" w:eastAsia="Calibri" w:hAnsi="Times New Roman"/>
          <w:i/>
          <w:noProof/>
          <w:sz w:val="20"/>
          <w:szCs w:val="20"/>
        </w:rPr>
        <w:t>Journal of Hydrogen Energy</w:t>
      </w:r>
      <w:r w:rsidRPr="00913FC0">
        <w:rPr>
          <w:rFonts w:ascii="Times New Roman" w:eastAsia="Calibri" w:hAnsi="Times New Roman"/>
          <w:noProof/>
          <w:sz w:val="20"/>
          <w:szCs w:val="20"/>
        </w:rPr>
        <w:t>, 39 (28): 16006-16014.</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Karami, H. and Nezhad, A. R. (2013). Investigation of pulse-electropolymerization of conductive polypyrrole nanostructures. </w:t>
      </w:r>
      <w:r w:rsidRPr="00913FC0">
        <w:rPr>
          <w:rFonts w:ascii="Times New Roman" w:eastAsia="Calibri" w:hAnsi="Times New Roman"/>
          <w:i/>
          <w:noProof/>
          <w:sz w:val="20"/>
          <w:szCs w:val="20"/>
        </w:rPr>
        <w:t>International Journal of Electrochemical Science</w:t>
      </w:r>
      <w:r w:rsidRPr="00913FC0">
        <w:rPr>
          <w:rFonts w:ascii="Times New Roman" w:eastAsia="Calibri" w:hAnsi="Times New Roman"/>
          <w:noProof/>
          <w:sz w:val="20"/>
          <w:szCs w:val="20"/>
        </w:rPr>
        <w:t>, 8: 8905-8921.</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Liao, Y., Wang, X., Qian, W., Li, Y., Li, X. and Yu, D.-G. (2012). Bulk synthesis, optimization, and characterization of highly dispersible polypyrrole nanoparticles toward protein separation using nanocomposite membranes. </w:t>
      </w:r>
      <w:r w:rsidRPr="00913FC0">
        <w:rPr>
          <w:rFonts w:ascii="Times New Roman" w:eastAsia="Calibri" w:hAnsi="Times New Roman"/>
          <w:i/>
          <w:noProof/>
          <w:sz w:val="20"/>
          <w:szCs w:val="20"/>
        </w:rPr>
        <w:t>Journal of Colloid and Interface Science</w:t>
      </w:r>
      <w:r w:rsidRPr="00913FC0">
        <w:rPr>
          <w:rFonts w:ascii="Times New Roman" w:eastAsia="Calibri" w:hAnsi="Times New Roman"/>
          <w:noProof/>
          <w:sz w:val="20"/>
          <w:szCs w:val="20"/>
        </w:rPr>
        <w:t>, 386 (1): 148-157.</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Paramo-García, U., Ibanez, J. &amp; Batina, N. (2013). AFM analysis of polypyrrole films synthesized in the presence of selected doping agents. </w:t>
      </w:r>
      <w:r w:rsidRPr="00913FC0">
        <w:rPr>
          <w:rFonts w:ascii="Times New Roman" w:eastAsia="Calibri" w:hAnsi="Times New Roman"/>
          <w:i/>
          <w:noProof/>
          <w:sz w:val="20"/>
          <w:szCs w:val="20"/>
        </w:rPr>
        <w:t>International Journal of Electrochemical Science</w:t>
      </w:r>
      <w:r w:rsidRPr="00913FC0">
        <w:rPr>
          <w:rFonts w:ascii="Times New Roman" w:eastAsia="Calibri" w:hAnsi="Times New Roman"/>
          <w:noProof/>
          <w:sz w:val="20"/>
          <w:szCs w:val="20"/>
        </w:rPr>
        <w:t>, 8: 2656-2669.</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Ashassi-Sorkhabi, H. and Bagheri, R. (2014). Sonoelectrochemical synthesis, optimized by Taguchi method, and corrosion behavior of polypyrrole-silicon nitride nanocomposite on St-12 steel. </w:t>
      </w:r>
      <w:r w:rsidRPr="00913FC0">
        <w:rPr>
          <w:rFonts w:ascii="Times New Roman" w:eastAsia="Calibri" w:hAnsi="Times New Roman"/>
          <w:i/>
          <w:noProof/>
          <w:sz w:val="20"/>
          <w:szCs w:val="20"/>
        </w:rPr>
        <w:t>Synthetic Metals</w:t>
      </w:r>
      <w:r w:rsidRPr="00913FC0">
        <w:rPr>
          <w:rFonts w:ascii="Times New Roman" w:eastAsia="Calibri" w:hAnsi="Times New Roman"/>
          <w:noProof/>
          <w:sz w:val="20"/>
          <w:szCs w:val="20"/>
        </w:rPr>
        <w:t>, 195: 1-8.</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Wang, Y., Yang, C. and Liu, P. (2011). Acid blue AS doped polypyrrole (PPy/AS) nanomaterials with different morphologies as electrode materials for supercapacitors. </w:t>
      </w:r>
      <w:r w:rsidRPr="00913FC0">
        <w:rPr>
          <w:rFonts w:ascii="Times New Roman" w:eastAsia="Calibri" w:hAnsi="Times New Roman"/>
          <w:i/>
          <w:noProof/>
          <w:sz w:val="20"/>
          <w:szCs w:val="20"/>
        </w:rPr>
        <w:t>Chemical Engineering Journal</w:t>
      </w:r>
      <w:r w:rsidRPr="00913FC0">
        <w:rPr>
          <w:rFonts w:ascii="Times New Roman" w:eastAsia="Calibri" w:hAnsi="Times New Roman"/>
          <w:noProof/>
          <w:sz w:val="20"/>
          <w:szCs w:val="20"/>
        </w:rPr>
        <w:t>, 172 (2-3): 1137-1144.</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Hung, S.-L., Wen, T.-C. and Gopalan, A. (2002). Application of statistical design strategies to optimize the conductivity of electrosynthesized polypyrrole. </w:t>
      </w:r>
      <w:r w:rsidRPr="00913FC0">
        <w:rPr>
          <w:rFonts w:ascii="Times New Roman" w:eastAsia="Calibri" w:hAnsi="Times New Roman"/>
          <w:i/>
          <w:noProof/>
          <w:sz w:val="20"/>
          <w:szCs w:val="20"/>
        </w:rPr>
        <w:t>Materials Letters</w:t>
      </w:r>
      <w:r w:rsidRPr="00913FC0">
        <w:rPr>
          <w:rFonts w:ascii="Times New Roman" w:eastAsia="Calibri" w:hAnsi="Times New Roman"/>
          <w:noProof/>
          <w:sz w:val="20"/>
          <w:szCs w:val="20"/>
        </w:rPr>
        <w:t>, 55 (3): 165-170.</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Taguchi, G. (1990). </w:t>
      </w:r>
      <w:r w:rsidRPr="00913FC0">
        <w:rPr>
          <w:rFonts w:ascii="Times New Roman" w:eastAsia="Calibri" w:hAnsi="Times New Roman"/>
          <w:iCs/>
          <w:noProof/>
          <w:sz w:val="20"/>
          <w:szCs w:val="20"/>
        </w:rPr>
        <w:t>Introduction to Quality Engineering: Designing Quality into Products and Processes,</w:t>
      </w:r>
      <w:r w:rsidRPr="00913FC0">
        <w:rPr>
          <w:rFonts w:ascii="Times New Roman" w:eastAsia="Calibri" w:hAnsi="Times New Roman"/>
          <w:i/>
          <w:noProof/>
          <w:sz w:val="20"/>
          <w:szCs w:val="20"/>
        </w:rPr>
        <w:t xml:space="preserve"> </w:t>
      </w:r>
      <w:r w:rsidRPr="00913FC0">
        <w:rPr>
          <w:rFonts w:ascii="Times New Roman" w:eastAsia="Calibri" w:hAnsi="Times New Roman"/>
          <w:noProof/>
          <w:sz w:val="20"/>
          <w:szCs w:val="20"/>
        </w:rPr>
        <w:t>Asian Productivity Organization, Tokyo.</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lastRenderedPageBreak/>
        <w:t xml:space="preserve">Bendell, A., Disney, J. &amp; Pridmore, W. A. (1989). </w:t>
      </w:r>
      <w:r w:rsidRPr="00913FC0">
        <w:rPr>
          <w:rFonts w:ascii="Times New Roman" w:eastAsia="Calibri" w:hAnsi="Times New Roman"/>
          <w:iCs/>
          <w:noProof/>
          <w:sz w:val="20"/>
          <w:szCs w:val="20"/>
        </w:rPr>
        <w:t>Taguchi Methods: Applications in World Industry.</w:t>
      </w:r>
      <w:r w:rsidRPr="00913FC0">
        <w:rPr>
          <w:rFonts w:ascii="Times New Roman" w:eastAsia="Calibri" w:hAnsi="Times New Roman"/>
          <w:noProof/>
          <w:sz w:val="20"/>
          <w:szCs w:val="20"/>
        </w:rPr>
        <w:t xml:space="preserve"> IFS Publications, UK.</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Taguchi, G. (1962). </w:t>
      </w:r>
      <w:r w:rsidRPr="00913FC0">
        <w:rPr>
          <w:rFonts w:ascii="Times New Roman" w:eastAsia="Calibri" w:hAnsi="Times New Roman"/>
          <w:iCs/>
          <w:noProof/>
          <w:sz w:val="20"/>
          <w:szCs w:val="20"/>
        </w:rPr>
        <w:t>Tables of orthogonal arrays and linear graphs.</w:t>
      </w:r>
      <w:r w:rsidRPr="00913FC0">
        <w:rPr>
          <w:rFonts w:ascii="Times New Roman" w:eastAsia="Calibri" w:hAnsi="Times New Roman"/>
          <w:noProof/>
          <w:sz w:val="20"/>
          <w:szCs w:val="20"/>
        </w:rPr>
        <w:t xml:space="preserve"> Maruzen, Tokyo.</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Li, X.-G., Li, A., Huang, M.-R., Liao, Y. and Lu, Y.-G. (2010). Efficient and scalable synthesis of pure polypyrrole nanoparticles applicable for advanced nanocomposites and carbon nanoparticles. The </w:t>
      </w:r>
      <w:r w:rsidRPr="00913FC0">
        <w:rPr>
          <w:rFonts w:ascii="Times New Roman" w:eastAsia="Calibri" w:hAnsi="Times New Roman"/>
          <w:i/>
          <w:noProof/>
          <w:sz w:val="20"/>
          <w:szCs w:val="20"/>
        </w:rPr>
        <w:t>Journal of Physical Chemistry C</w:t>
      </w:r>
      <w:r w:rsidRPr="00913FC0">
        <w:rPr>
          <w:rFonts w:ascii="Times New Roman" w:eastAsia="Calibri" w:hAnsi="Times New Roman"/>
          <w:noProof/>
          <w:sz w:val="20"/>
          <w:szCs w:val="20"/>
        </w:rPr>
        <w:t>, 114 (45): 19244-19255.</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Lascelles, S., McCarthy, G., Butterworth, M. and Armes, S. (1998). Effect of synthesis parameters on the particle size, composition and colloid stability of polypyrrole–silica nanocomposite particles. </w:t>
      </w:r>
      <w:r w:rsidRPr="00913FC0">
        <w:rPr>
          <w:rFonts w:ascii="Times New Roman" w:eastAsia="Calibri" w:hAnsi="Times New Roman"/>
          <w:i/>
          <w:noProof/>
          <w:sz w:val="20"/>
          <w:szCs w:val="20"/>
        </w:rPr>
        <w:t>Colloid and Polymer Science</w:t>
      </w:r>
      <w:r w:rsidRPr="00913FC0">
        <w:rPr>
          <w:rFonts w:ascii="Times New Roman" w:eastAsia="Calibri" w:hAnsi="Times New Roman"/>
          <w:noProof/>
          <w:sz w:val="20"/>
          <w:szCs w:val="20"/>
        </w:rPr>
        <w:t>, 276 (10): 893-902.</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Omastová, M., Mosnáčková, K., Fedorko, P., Trchová, M. and Stejskal, J. (2013). Polypyrrole/silver composites prepared by single-step synthesis. </w:t>
      </w:r>
      <w:r w:rsidRPr="00913FC0">
        <w:rPr>
          <w:rFonts w:ascii="Times New Roman" w:eastAsia="Calibri" w:hAnsi="Times New Roman"/>
          <w:i/>
          <w:noProof/>
          <w:sz w:val="20"/>
          <w:szCs w:val="20"/>
        </w:rPr>
        <w:t>Synthetic Metals</w:t>
      </w:r>
      <w:r w:rsidRPr="00913FC0">
        <w:rPr>
          <w:rFonts w:ascii="Times New Roman" w:eastAsia="Calibri" w:hAnsi="Times New Roman"/>
          <w:noProof/>
          <w:sz w:val="20"/>
          <w:szCs w:val="20"/>
        </w:rPr>
        <w:t>, 166: 57-62.</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Yang, C. and Liu, P. (2010). Water-dispersed polypyrrole nanoparticles via chemical oxidative polymerization in the presence of a functional polyanion. </w:t>
      </w:r>
      <w:r w:rsidRPr="00913FC0">
        <w:rPr>
          <w:rFonts w:ascii="Times New Roman" w:eastAsia="Calibri" w:hAnsi="Times New Roman"/>
          <w:i/>
          <w:noProof/>
          <w:sz w:val="20"/>
          <w:szCs w:val="20"/>
        </w:rPr>
        <w:t>Reactive and Functional Polymers,</w:t>
      </w:r>
      <w:r w:rsidRPr="00913FC0">
        <w:rPr>
          <w:rFonts w:ascii="Times New Roman" w:eastAsia="Calibri" w:hAnsi="Times New Roman"/>
          <w:noProof/>
          <w:sz w:val="20"/>
          <w:szCs w:val="20"/>
        </w:rPr>
        <w:t xml:space="preserve"> 70 (10): 726-731.</w:t>
      </w:r>
    </w:p>
    <w:p w:rsidR="001C4B7B" w:rsidRPr="00913FC0" w:rsidRDefault="001C4B7B" w:rsidP="001C4B7B">
      <w:pPr>
        <w:numPr>
          <w:ilvl w:val="0"/>
          <w:numId w:val="1"/>
        </w:numPr>
        <w:spacing w:after="0" w:line="240" w:lineRule="auto"/>
        <w:ind w:left="360"/>
        <w:jc w:val="both"/>
        <w:rPr>
          <w:rFonts w:ascii="Times New Roman" w:eastAsia="Calibri" w:hAnsi="Times New Roman"/>
          <w:noProof/>
          <w:sz w:val="20"/>
          <w:szCs w:val="20"/>
        </w:rPr>
      </w:pPr>
      <w:r w:rsidRPr="00913FC0">
        <w:rPr>
          <w:rFonts w:ascii="Times New Roman" w:eastAsia="Calibri" w:hAnsi="Times New Roman"/>
          <w:noProof/>
          <w:sz w:val="20"/>
          <w:szCs w:val="20"/>
        </w:rPr>
        <w:t xml:space="preserve">Wang, X., Yang, C., Li, H. and Liu, P. (2013). Synthesis and electrochemical performance of well-defined flake-shaped sulfonated graphene/polypyrrole composites via facile in situ doping polymerization. </w:t>
      </w:r>
      <w:r w:rsidRPr="00913FC0">
        <w:rPr>
          <w:rFonts w:ascii="Times New Roman" w:eastAsia="Calibri" w:hAnsi="Times New Roman"/>
          <w:i/>
          <w:noProof/>
          <w:sz w:val="20"/>
          <w:szCs w:val="20"/>
        </w:rPr>
        <w:t>Electrochimica Acta</w:t>
      </w:r>
      <w:r w:rsidRPr="00913FC0">
        <w:rPr>
          <w:rFonts w:ascii="Times New Roman" w:eastAsia="Calibri" w:hAnsi="Times New Roman"/>
          <w:noProof/>
          <w:sz w:val="20"/>
          <w:szCs w:val="20"/>
        </w:rPr>
        <w:t>, 111: 729-737.</w:t>
      </w:r>
    </w:p>
    <w:p w:rsidR="001C4B7B" w:rsidRPr="001C4B7B" w:rsidRDefault="001C4B7B" w:rsidP="001C4B7B">
      <w:pPr>
        <w:spacing w:after="0" w:line="240" w:lineRule="auto"/>
        <w:jc w:val="both"/>
        <w:rPr>
          <w:rFonts w:ascii="Times New Roman" w:hAnsi="Times New Roman"/>
          <w:sz w:val="20"/>
          <w:szCs w:val="20"/>
        </w:rPr>
      </w:pPr>
    </w:p>
    <w:sectPr w:rsidR="001C4B7B" w:rsidRPr="001C4B7B" w:rsidSect="001C4B7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98C"/>
    <w:multiLevelType w:val="hybridMultilevel"/>
    <w:tmpl w:val="F490E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7B"/>
    <w:rsid w:val="000602D0"/>
    <w:rsid w:val="001C4B7B"/>
    <w:rsid w:val="00691F1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7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C4B7B"/>
    <w:pPr>
      <w:spacing w:after="0" w:line="240" w:lineRule="auto"/>
    </w:pPr>
  </w:style>
  <w:style w:type="paragraph" w:styleId="ListParagraph">
    <w:name w:val="List Paragraph"/>
    <w:basedOn w:val="Normal"/>
    <w:link w:val="ListParagraphChar"/>
    <w:uiPriority w:val="34"/>
    <w:qFormat/>
    <w:rsid w:val="001C4B7B"/>
    <w:pPr>
      <w:ind w:left="720"/>
      <w:contextualSpacing/>
    </w:pPr>
  </w:style>
  <w:style w:type="character" w:customStyle="1" w:styleId="NoSpacingChar">
    <w:name w:val="No Spacing Char"/>
    <w:basedOn w:val="DefaultParagraphFont"/>
    <w:link w:val="NoSpacing"/>
    <w:uiPriority w:val="1"/>
    <w:rsid w:val="001C4B7B"/>
    <w:rPr>
      <w:rFonts w:ascii="Cambria" w:eastAsia="Times New Roman" w:hAnsi="Cambria" w:cs="Times New Roman"/>
      <w:lang w:bidi="en-US"/>
    </w:rPr>
  </w:style>
  <w:style w:type="character" w:customStyle="1" w:styleId="ShortAbstract">
    <w:name w:val="Short Abstract"/>
    <w:basedOn w:val="DefaultParagraphFont"/>
    <w:rsid w:val="001C4B7B"/>
    <w:rPr>
      <w:rFonts w:ascii="Times New Roman" w:eastAsia="Times New Roman" w:hAnsi="Times New Roman"/>
      <w:sz w:val="20"/>
    </w:rPr>
  </w:style>
  <w:style w:type="character" w:customStyle="1" w:styleId="ListParagraphChar">
    <w:name w:val="List Paragraph Char"/>
    <w:basedOn w:val="DefaultParagraphFont"/>
    <w:link w:val="ListParagraph"/>
    <w:uiPriority w:val="34"/>
    <w:rsid w:val="001C4B7B"/>
    <w:rPr>
      <w:rFonts w:ascii="Cambria" w:eastAsia="Times New Roman" w:hAnsi="Cambria" w:cs="Times New Roman"/>
      <w:lang w:bidi="en-US"/>
    </w:rPr>
  </w:style>
  <w:style w:type="character" w:customStyle="1" w:styleId="hps">
    <w:name w:val="hps"/>
    <w:basedOn w:val="DefaultParagraphFont"/>
    <w:rsid w:val="001C4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7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C4B7B"/>
    <w:pPr>
      <w:spacing w:after="0" w:line="240" w:lineRule="auto"/>
    </w:pPr>
  </w:style>
  <w:style w:type="paragraph" w:styleId="ListParagraph">
    <w:name w:val="List Paragraph"/>
    <w:basedOn w:val="Normal"/>
    <w:link w:val="ListParagraphChar"/>
    <w:uiPriority w:val="34"/>
    <w:qFormat/>
    <w:rsid w:val="001C4B7B"/>
    <w:pPr>
      <w:ind w:left="720"/>
      <w:contextualSpacing/>
    </w:pPr>
  </w:style>
  <w:style w:type="character" w:customStyle="1" w:styleId="NoSpacingChar">
    <w:name w:val="No Spacing Char"/>
    <w:basedOn w:val="DefaultParagraphFont"/>
    <w:link w:val="NoSpacing"/>
    <w:uiPriority w:val="1"/>
    <w:rsid w:val="001C4B7B"/>
    <w:rPr>
      <w:rFonts w:ascii="Cambria" w:eastAsia="Times New Roman" w:hAnsi="Cambria" w:cs="Times New Roman"/>
      <w:lang w:bidi="en-US"/>
    </w:rPr>
  </w:style>
  <w:style w:type="character" w:customStyle="1" w:styleId="ShortAbstract">
    <w:name w:val="Short Abstract"/>
    <w:basedOn w:val="DefaultParagraphFont"/>
    <w:rsid w:val="001C4B7B"/>
    <w:rPr>
      <w:rFonts w:ascii="Times New Roman" w:eastAsia="Times New Roman" w:hAnsi="Times New Roman"/>
      <w:sz w:val="20"/>
    </w:rPr>
  </w:style>
  <w:style w:type="character" w:customStyle="1" w:styleId="ListParagraphChar">
    <w:name w:val="List Paragraph Char"/>
    <w:basedOn w:val="DefaultParagraphFont"/>
    <w:link w:val="ListParagraph"/>
    <w:uiPriority w:val="34"/>
    <w:rsid w:val="001C4B7B"/>
    <w:rPr>
      <w:rFonts w:ascii="Cambria" w:eastAsia="Times New Roman" w:hAnsi="Cambria" w:cs="Times New Roman"/>
      <w:lang w:bidi="en-US"/>
    </w:rPr>
  </w:style>
  <w:style w:type="character" w:customStyle="1" w:styleId="hps">
    <w:name w:val="hps"/>
    <w:basedOn w:val="DefaultParagraphFont"/>
    <w:rsid w:val="001C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1394</Words>
  <Characters>7434</Characters>
  <Application>Microsoft Office Word</Application>
  <DocSecurity>0</DocSecurity>
  <Lines>285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2016-05-24T10:37:00Z</dcterms:created>
  <dcterms:modified xsi:type="dcterms:W3CDTF">2016-06-06T15:30:00Z</dcterms:modified>
</cp:coreProperties>
</file>