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DF" w:rsidRDefault="00CD04DF" w:rsidP="00CD04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3 (2016): 633 - 641</w:t>
      </w:r>
    </w:p>
    <w:p w:rsidR="00CD04DF" w:rsidRDefault="00CD04DF" w:rsidP="00CD0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04DF" w:rsidRDefault="00CD04DF" w:rsidP="00CD0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04DF" w:rsidRPr="00CD04DF" w:rsidRDefault="00CD04DF" w:rsidP="00CD0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04DF" w:rsidRPr="0014212B" w:rsidRDefault="00CD04DF" w:rsidP="00CD04DF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14212B">
        <w:rPr>
          <w:rFonts w:ascii="Times New Roman" w:hAnsi="Times New Roman"/>
          <w:sz w:val="28"/>
          <w:szCs w:val="28"/>
        </w:rPr>
        <w:t>CONDUCTIVITY AND THERMAL STABILITY OF SOLID ACID COMPOSITES CsH</w:t>
      </w:r>
      <w:r w:rsidRPr="0014212B">
        <w:rPr>
          <w:rFonts w:ascii="Times New Roman" w:hAnsi="Times New Roman"/>
          <w:sz w:val="28"/>
          <w:szCs w:val="28"/>
          <w:vertAlign w:val="subscript"/>
        </w:rPr>
        <w:t>2</w:t>
      </w:r>
      <w:r w:rsidRPr="0014212B">
        <w:rPr>
          <w:rFonts w:ascii="Times New Roman" w:hAnsi="Times New Roman"/>
          <w:sz w:val="28"/>
          <w:szCs w:val="28"/>
        </w:rPr>
        <w:t>PO</w:t>
      </w:r>
      <w:r w:rsidRPr="0014212B">
        <w:rPr>
          <w:rFonts w:ascii="Times New Roman" w:hAnsi="Times New Roman"/>
          <w:sz w:val="28"/>
          <w:szCs w:val="28"/>
          <w:vertAlign w:val="subscript"/>
        </w:rPr>
        <w:t>4</w:t>
      </w:r>
      <w:r w:rsidRPr="0014212B">
        <w:rPr>
          <w:rFonts w:ascii="Times New Roman" w:hAnsi="Times New Roman"/>
          <w:sz w:val="28"/>
          <w:szCs w:val="28"/>
        </w:rPr>
        <w:t>/NaH</w:t>
      </w:r>
      <w:r w:rsidRPr="0014212B">
        <w:rPr>
          <w:rFonts w:ascii="Times New Roman" w:hAnsi="Times New Roman"/>
          <w:sz w:val="28"/>
          <w:szCs w:val="28"/>
          <w:vertAlign w:val="subscript"/>
        </w:rPr>
        <w:t>2</w:t>
      </w:r>
      <w:r w:rsidRPr="0014212B">
        <w:rPr>
          <w:rFonts w:ascii="Times New Roman" w:hAnsi="Times New Roman"/>
          <w:sz w:val="28"/>
          <w:szCs w:val="28"/>
        </w:rPr>
        <w:t>PO</w:t>
      </w:r>
      <w:r w:rsidRPr="0014212B">
        <w:rPr>
          <w:rFonts w:ascii="Times New Roman" w:hAnsi="Times New Roman"/>
          <w:sz w:val="28"/>
          <w:szCs w:val="28"/>
          <w:vertAlign w:val="subscript"/>
        </w:rPr>
        <w:t>4</w:t>
      </w:r>
      <w:r w:rsidRPr="0014212B">
        <w:rPr>
          <w:rFonts w:ascii="Times New Roman" w:hAnsi="Times New Roman"/>
          <w:sz w:val="28"/>
          <w:szCs w:val="28"/>
        </w:rPr>
        <w:t>/SiO</w:t>
      </w:r>
      <w:r w:rsidRPr="0014212B">
        <w:rPr>
          <w:rFonts w:ascii="Times New Roman" w:hAnsi="Times New Roman"/>
          <w:sz w:val="28"/>
          <w:szCs w:val="28"/>
          <w:vertAlign w:val="subscript"/>
        </w:rPr>
        <w:t>2</w:t>
      </w:r>
    </w:p>
    <w:p w:rsidR="00CD04DF" w:rsidRPr="00F447A7" w:rsidRDefault="00CD04DF" w:rsidP="00CD04D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CD04DF" w:rsidRPr="0014212B" w:rsidRDefault="00CD04DF" w:rsidP="00CD04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212B">
        <w:rPr>
          <w:rFonts w:ascii="Times New Roman" w:hAnsi="Times New Roman"/>
          <w:sz w:val="24"/>
          <w:szCs w:val="24"/>
        </w:rPr>
        <w:t>(Konduktiviti dan Kestabilan Terma Asid Pepejal Komposit CsH</w:t>
      </w:r>
      <w:r w:rsidRPr="0014212B">
        <w:rPr>
          <w:rFonts w:ascii="Times New Roman" w:hAnsi="Times New Roman"/>
          <w:sz w:val="24"/>
          <w:szCs w:val="24"/>
          <w:vertAlign w:val="subscript"/>
        </w:rPr>
        <w:t>2</w:t>
      </w:r>
      <w:r w:rsidRPr="0014212B">
        <w:rPr>
          <w:rFonts w:ascii="Times New Roman" w:hAnsi="Times New Roman"/>
          <w:sz w:val="24"/>
          <w:szCs w:val="24"/>
        </w:rPr>
        <w:t>PO</w:t>
      </w:r>
      <w:r w:rsidRPr="0014212B">
        <w:rPr>
          <w:rFonts w:ascii="Times New Roman" w:hAnsi="Times New Roman"/>
          <w:sz w:val="24"/>
          <w:szCs w:val="24"/>
          <w:vertAlign w:val="subscript"/>
        </w:rPr>
        <w:t>4</w:t>
      </w:r>
      <w:r w:rsidRPr="0014212B">
        <w:rPr>
          <w:rFonts w:ascii="Times New Roman" w:hAnsi="Times New Roman"/>
          <w:sz w:val="24"/>
          <w:szCs w:val="24"/>
        </w:rPr>
        <w:t>/NaH</w:t>
      </w:r>
      <w:r w:rsidRPr="0014212B">
        <w:rPr>
          <w:rFonts w:ascii="Times New Roman" w:hAnsi="Times New Roman"/>
          <w:sz w:val="24"/>
          <w:szCs w:val="24"/>
          <w:vertAlign w:val="subscript"/>
        </w:rPr>
        <w:t>2</w:t>
      </w:r>
      <w:r w:rsidRPr="0014212B">
        <w:rPr>
          <w:rFonts w:ascii="Times New Roman" w:hAnsi="Times New Roman"/>
          <w:sz w:val="24"/>
          <w:szCs w:val="24"/>
        </w:rPr>
        <w:t>PO</w:t>
      </w:r>
      <w:r w:rsidRPr="0014212B">
        <w:rPr>
          <w:rFonts w:ascii="Times New Roman" w:hAnsi="Times New Roman"/>
          <w:sz w:val="24"/>
          <w:szCs w:val="24"/>
          <w:vertAlign w:val="subscript"/>
        </w:rPr>
        <w:t>4</w:t>
      </w:r>
      <w:r w:rsidRPr="0014212B">
        <w:rPr>
          <w:rFonts w:ascii="Times New Roman" w:hAnsi="Times New Roman"/>
          <w:sz w:val="24"/>
          <w:szCs w:val="24"/>
        </w:rPr>
        <w:t>/SiO</w:t>
      </w:r>
      <w:r w:rsidRPr="0014212B">
        <w:rPr>
          <w:rFonts w:ascii="Times New Roman" w:hAnsi="Times New Roman"/>
          <w:sz w:val="24"/>
          <w:szCs w:val="24"/>
          <w:vertAlign w:val="subscript"/>
        </w:rPr>
        <w:t>2</w:t>
      </w:r>
      <w:r w:rsidRPr="0014212B">
        <w:rPr>
          <w:rFonts w:ascii="Times New Roman" w:hAnsi="Times New Roman"/>
          <w:sz w:val="24"/>
          <w:szCs w:val="24"/>
        </w:rPr>
        <w:t>)</w:t>
      </w:r>
    </w:p>
    <w:p w:rsidR="00CD04DF" w:rsidRPr="00F447A7" w:rsidRDefault="00CD04DF" w:rsidP="00CD04D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D04DF" w:rsidRPr="0014212B" w:rsidRDefault="00CD04DF" w:rsidP="00CD04DF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14212B">
        <w:rPr>
          <w:rFonts w:ascii="Times New Roman" w:hAnsi="Times New Roman"/>
          <w:sz w:val="20"/>
          <w:szCs w:val="20"/>
        </w:rPr>
        <w:t>Norsyahida Mohammad</w:t>
      </w:r>
      <w:r w:rsidRPr="0014212B">
        <w:rPr>
          <w:rFonts w:ascii="Times New Roman" w:hAnsi="Times New Roman"/>
          <w:sz w:val="20"/>
          <w:szCs w:val="20"/>
          <w:vertAlign w:val="superscript"/>
        </w:rPr>
        <w:t>1</w:t>
      </w:r>
      <w:r w:rsidRPr="0014212B">
        <w:rPr>
          <w:rFonts w:ascii="Times New Roman" w:hAnsi="Times New Roman"/>
          <w:sz w:val="20"/>
          <w:szCs w:val="20"/>
        </w:rPr>
        <w:t>, Abu Bakar Mohamad</w:t>
      </w:r>
      <w:r w:rsidRPr="0014212B">
        <w:rPr>
          <w:rFonts w:ascii="Times New Roman" w:hAnsi="Times New Roman"/>
          <w:sz w:val="20"/>
          <w:szCs w:val="20"/>
          <w:vertAlign w:val="superscript"/>
        </w:rPr>
        <w:t>1, 2</w:t>
      </w:r>
      <w:r w:rsidRPr="0014212B">
        <w:rPr>
          <w:rFonts w:ascii="Times New Roman" w:hAnsi="Times New Roman"/>
          <w:sz w:val="20"/>
          <w:szCs w:val="20"/>
        </w:rPr>
        <w:t>, Abdul Amir Hassan Kadhum</w:t>
      </w:r>
      <w:r w:rsidRPr="0014212B">
        <w:rPr>
          <w:rFonts w:ascii="Times New Roman" w:hAnsi="Times New Roman"/>
          <w:sz w:val="20"/>
          <w:szCs w:val="20"/>
          <w:vertAlign w:val="superscript"/>
        </w:rPr>
        <w:t>2</w:t>
      </w:r>
      <w:r w:rsidRPr="0014212B">
        <w:rPr>
          <w:rFonts w:ascii="Times New Roman" w:hAnsi="Times New Roman"/>
          <w:sz w:val="20"/>
          <w:szCs w:val="20"/>
        </w:rPr>
        <w:t>, Loh Kee Shyuan</w:t>
      </w:r>
      <w:r w:rsidRPr="0014212B">
        <w:rPr>
          <w:rFonts w:ascii="Times New Roman" w:hAnsi="Times New Roman"/>
          <w:sz w:val="20"/>
          <w:szCs w:val="20"/>
          <w:vertAlign w:val="superscript"/>
        </w:rPr>
        <w:t>1*</w:t>
      </w:r>
    </w:p>
    <w:p w:rsidR="00CD04DF" w:rsidRPr="00CD04DF" w:rsidRDefault="00CD04DF" w:rsidP="00CD04D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D04DF" w:rsidRPr="00CD04DF" w:rsidRDefault="00CD04DF" w:rsidP="00CD04D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D04DF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CD04DF">
        <w:rPr>
          <w:rFonts w:ascii="Times New Roman" w:hAnsi="Times New Roman"/>
          <w:i/>
          <w:sz w:val="20"/>
          <w:szCs w:val="20"/>
        </w:rPr>
        <w:t>Fuel Cell Institute</w:t>
      </w:r>
    </w:p>
    <w:p w:rsidR="00CD04DF" w:rsidRPr="00CD04DF" w:rsidRDefault="00CD04DF" w:rsidP="00CD04D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D04DF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CD04DF">
        <w:rPr>
          <w:rFonts w:ascii="Times New Roman" w:hAnsi="Times New Roman"/>
          <w:i/>
          <w:sz w:val="20"/>
          <w:szCs w:val="20"/>
        </w:rPr>
        <w:t>Department of Chemical and Process Engineering, Faculty of Engineering and Built Environment</w:t>
      </w:r>
    </w:p>
    <w:p w:rsidR="00CD04DF" w:rsidRPr="00CD04DF" w:rsidRDefault="00CD04DF" w:rsidP="00CD04D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D04DF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:rsidR="00CD04DF" w:rsidRPr="00CD04DF" w:rsidRDefault="00CD04DF" w:rsidP="00CD04D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D04DF" w:rsidRPr="00CD04DF" w:rsidRDefault="00CD04DF" w:rsidP="00CD04DF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CD04DF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CD04DF">
        <w:rPr>
          <w:rFonts w:ascii="Times New Roman" w:hAnsi="Times New Roman"/>
          <w:i/>
          <w:sz w:val="20"/>
          <w:szCs w:val="20"/>
        </w:rPr>
        <w:t>ksloh@ukm.edu.my</w:t>
      </w:r>
    </w:p>
    <w:p w:rsidR="00CD04DF" w:rsidRPr="00CD04DF" w:rsidRDefault="00CD04DF" w:rsidP="00CD04D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D04DF" w:rsidRPr="00CD04DF" w:rsidRDefault="00CD04DF" w:rsidP="00CD04D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D04DF" w:rsidRPr="00CD04DF" w:rsidRDefault="00CD04DF" w:rsidP="00CD04D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CD04DF">
        <w:rPr>
          <w:rFonts w:ascii="Times New Roman" w:hAnsi="Times New Roman"/>
          <w:noProof/>
          <w:sz w:val="20"/>
          <w:szCs w:val="20"/>
          <w:lang w:bidi="ar-SA"/>
        </w:rPr>
        <w:t>Received: 5 February 2016; Accepted: 22 April 2016</w:t>
      </w:r>
    </w:p>
    <w:p w:rsidR="00CD04DF" w:rsidRPr="00CD04DF" w:rsidRDefault="00CD04DF" w:rsidP="00CD04D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D04DF" w:rsidRPr="00CD04DF" w:rsidRDefault="00CD04DF" w:rsidP="00CD04D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D04DF" w:rsidRPr="00CD04DF" w:rsidRDefault="00CD04DF" w:rsidP="00CD04D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CD04DF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CD04DF" w:rsidRPr="00CD04DF" w:rsidRDefault="00CD04DF" w:rsidP="00CD04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04DF">
        <w:rPr>
          <w:rFonts w:ascii="Times New Roman" w:hAnsi="Times New Roman"/>
          <w:sz w:val="20"/>
          <w:szCs w:val="20"/>
        </w:rPr>
        <w:t>Solid acid composites CsH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</w:rPr>
        <w:t>4</w:t>
      </w:r>
      <w:r w:rsidRPr="00CD04DF">
        <w:rPr>
          <w:rFonts w:ascii="Times New Roman" w:hAnsi="Times New Roman"/>
          <w:sz w:val="20"/>
          <w:szCs w:val="20"/>
        </w:rPr>
        <w:t>/NaH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</w:rPr>
        <w:t>4</w:t>
      </w:r>
      <w:r w:rsidRPr="00CD04DF">
        <w:rPr>
          <w:rFonts w:ascii="Times New Roman" w:hAnsi="Times New Roman"/>
          <w:sz w:val="20"/>
          <w:szCs w:val="20"/>
        </w:rPr>
        <w:t>/SiO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 xml:space="preserve"> with different mole ratios of CsH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</w:rPr>
        <w:t>4</w:t>
      </w:r>
      <w:r w:rsidRPr="00CD04DF">
        <w:rPr>
          <w:rFonts w:ascii="Times New Roman" w:hAnsi="Times New Roman"/>
          <w:sz w:val="20"/>
          <w:szCs w:val="20"/>
        </w:rPr>
        <w:t xml:space="preserve"> and NaH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</w:rPr>
        <w:t>4</w:t>
      </w:r>
      <w:r w:rsidRPr="00CD04DF">
        <w:rPr>
          <w:rFonts w:ascii="Times New Roman" w:hAnsi="Times New Roman"/>
          <w:sz w:val="20"/>
          <w:szCs w:val="20"/>
        </w:rPr>
        <w:t xml:space="preserve"> to SiO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 xml:space="preserve"> were synthesized and characterized. Preliminary infrared measurements of CsH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</w:rPr>
        <w:t xml:space="preserve">4 </w:t>
      </w:r>
      <w:r w:rsidRPr="00CD04DF">
        <w:rPr>
          <w:rFonts w:ascii="Times New Roman" w:hAnsi="Times New Roman"/>
          <w:sz w:val="20"/>
          <w:szCs w:val="20"/>
        </w:rPr>
        <w:t>and its composites indicated that hydrogen bonds breaking and formation were detected between 1710 to 2710 cm</w:t>
      </w:r>
      <w:r w:rsidRPr="00CD04DF">
        <w:rPr>
          <w:rFonts w:ascii="Times New Roman" w:hAnsi="Times New Roman"/>
          <w:sz w:val="20"/>
          <w:szCs w:val="20"/>
          <w:vertAlign w:val="superscript"/>
        </w:rPr>
        <w:t>-1</w:t>
      </w:r>
      <w:r w:rsidRPr="00CD04DF">
        <w:rPr>
          <w:rFonts w:ascii="Times New Roman" w:hAnsi="Times New Roman"/>
          <w:sz w:val="20"/>
          <w:szCs w:val="20"/>
        </w:rPr>
        <w:t>, while the rotation of phosphate tetrahedral anions occurred between 900 and 1200 cm</w:t>
      </w:r>
      <w:r w:rsidRPr="00CD04DF">
        <w:rPr>
          <w:rFonts w:ascii="Times New Roman" w:hAnsi="Times New Roman"/>
          <w:sz w:val="20"/>
          <w:szCs w:val="20"/>
          <w:vertAlign w:val="superscript"/>
        </w:rPr>
        <w:t>-1</w:t>
      </w:r>
      <w:r w:rsidRPr="00CD04DF">
        <w:rPr>
          <w:rFonts w:ascii="Times New Roman" w:hAnsi="Times New Roman"/>
          <w:sz w:val="20"/>
          <w:szCs w:val="20"/>
        </w:rPr>
        <w:t>.  The superprotonic transition of CsH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</w:rPr>
        <w:t>4</w:t>
      </w:r>
      <w:r w:rsidRPr="00CD04DF">
        <w:rPr>
          <w:rFonts w:ascii="Times New Roman" w:hAnsi="Times New Roman"/>
          <w:sz w:val="20"/>
          <w:szCs w:val="20"/>
        </w:rPr>
        <w:t>/NaH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</w:rPr>
        <w:t>4</w:t>
      </w:r>
      <w:r w:rsidRPr="00CD04DF">
        <w:rPr>
          <w:rFonts w:ascii="Times New Roman" w:hAnsi="Times New Roman"/>
          <w:sz w:val="20"/>
          <w:szCs w:val="20"/>
        </w:rPr>
        <w:t>/SiO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 xml:space="preserve"> composite was identified at superprotonic temperatures between 230 and 260 °C, under atmospheric pressure. This study reveals higher conductivity values for composites with higher CsH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</w:rPr>
        <w:t>4</w:t>
      </w:r>
      <w:r w:rsidRPr="00CD04DF">
        <w:rPr>
          <w:rFonts w:ascii="Times New Roman" w:hAnsi="Times New Roman"/>
          <w:sz w:val="20"/>
          <w:szCs w:val="20"/>
        </w:rPr>
        <w:t xml:space="preserve"> (CDP) content. Solid acid composite CDP 613 appeared as the composite with the highest conductivity that is 7.2 x 10</w:t>
      </w:r>
      <w:r w:rsidRPr="00CD04DF">
        <w:rPr>
          <w:rFonts w:ascii="Times New Roman" w:hAnsi="Times New Roman"/>
          <w:sz w:val="20"/>
          <w:szCs w:val="20"/>
          <w:vertAlign w:val="superscript"/>
        </w:rPr>
        <w:t>-3</w:t>
      </w:r>
      <w:r w:rsidRPr="00CD04DF">
        <w:rPr>
          <w:rFonts w:ascii="Times New Roman" w:hAnsi="Times New Roman"/>
          <w:sz w:val="20"/>
          <w:szCs w:val="20"/>
        </w:rPr>
        <w:t xml:space="preserve"> S cm</w:t>
      </w:r>
      <w:r w:rsidRPr="00CD04DF">
        <w:rPr>
          <w:rFonts w:ascii="Times New Roman" w:hAnsi="Times New Roman"/>
          <w:sz w:val="20"/>
          <w:szCs w:val="20"/>
          <w:vertAlign w:val="superscript"/>
        </w:rPr>
        <w:t>-1</w:t>
      </w:r>
      <w:r w:rsidRPr="00CD04DF">
        <w:rPr>
          <w:rFonts w:ascii="Times New Roman" w:hAnsi="Times New Roman"/>
          <w:sz w:val="20"/>
          <w:szCs w:val="20"/>
        </w:rPr>
        <w:t xml:space="preserve"> at 230 °C. Thermal stability of the solid acid composites such as temperature of dehydration, melting and decomposition were investigated. The addition of NaH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</w:rPr>
        <w:t xml:space="preserve">4 </w:t>
      </w:r>
      <w:r w:rsidRPr="00CD04DF">
        <w:rPr>
          <w:rFonts w:ascii="Times New Roman" w:hAnsi="Times New Roman"/>
          <w:sz w:val="20"/>
          <w:szCs w:val="20"/>
        </w:rPr>
        <w:t xml:space="preserve">lowers the dehydration temperature of the solid acid composites. </w:t>
      </w:r>
    </w:p>
    <w:p w:rsidR="00CD04DF" w:rsidRPr="00CD04DF" w:rsidRDefault="00CD04DF" w:rsidP="00CD04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04DF" w:rsidRPr="00CD04DF" w:rsidRDefault="00CD04DF" w:rsidP="00CD04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04DF">
        <w:rPr>
          <w:rFonts w:ascii="Times New Roman" w:hAnsi="Times New Roman"/>
          <w:b/>
          <w:sz w:val="20"/>
          <w:szCs w:val="20"/>
        </w:rPr>
        <w:t>Keywords</w:t>
      </w:r>
      <w:r w:rsidRPr="00CD04DF">
        <w:rPr>
          <w:rFonts w:ascii="Times New Roman" w:hAnsi="Times New Roman"/>
          <w:sz w:val="20"/>
          <w:szCs w:val="20"/>
        </w:rPr>
        <w:t>: solid acid, conductivity, thermal analysis, c</w:t>
      </w:r>
      <w:r w:rsidR="00774933">
        <w:rPr>
          <w:rFonts w:ascii="Times New Roman" w:hAnsi="Times New Roman"/>
          <w:sz w:val="20"/>
          <w:szCs w:val="20"/>
        </w:rPr>
        <w:t>a</w:t>
      </w:r>
      <w:r w:rsidRPr="00CD04DF">
        <w:rPr>
          <w:rFonts w:ascii="Times New Roman" w:hAnsi="Times New Roman"/>
          <w:sz w:val="20"/>
          <w:szCs w:val="20"/>
        </w:rPr>
        <w:t>esium dihydrogen phosphate, fuel cell</w:t>
      </w:r>
    </w:p>
    <w:p w:rsidR="00CD04DF" w:rsidRPr="00CD04DF" w:rsidRDefault="00CD04DF" w:rsidP="00CD04D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CD04DF" w:rsidRPr="00CD04DF" w:rsidRDefault="00CD04DF" w:rsidP="00CD04D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CD04DF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CD04DF" w:rsidRPr="00CD04DF" w:rsidRDefault="00CD04DF" w:rsidP="00CD04D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Asid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pepejal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komposit </w:t>
      </w:r>
      <w:r w:rsidRPr="00CD04DF">
        <w:rPr>
          <w:rFonts w:ascii="Times New Roman" w:hAnsi="Times New Roman"/>
          <w:sz w:val="20"/>
          <w:szCs w:val="20"/>
        </w:rPr>
        <w:t>CsH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</w:rPr>
        <w:t>4</w:t>
      </w:r>
      <w:r w:rsidRPr="00CD04DF">
        <w:rPr>
          <w:rFonts w:ascii="Times New Roman" w:hAnsi="Times New Roman"/>
          <w:sz w:val="20"/>
          <w:szCs w:val="20"/>
        </w:rPr>
        <w:t>/NaH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</w:rPr>
        <w:t>4</w:t>
      </w:r>
      <w:r w:rsidRPr="00CD04DF">
        <w:rPr>
          <w:rFonts w:ascii="Times New Roman" w:hAnsi="Times New Roman"/>
          <w:sz w:val="20"/>
          <w:szCs w:val="20"/>
        </w:rPr>
        <w:t>/SiO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dengan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nisbah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mol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CsH</w:t>
      </w:r>
      <w:r w:rsidRPr="00CD04DF">
        <w:rPr>
          <w:rStyle w:val="hps"/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PO</w:t>
      </w:r>
      <w:r w:rsidRPr="00CD04DF">
        <w:rPr>
          <w:rStyle w:val="hps"/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 xml:space="preserve"> kepada SiO</w:t>
      </w:r>
      <w:r w:rsidRPr="00CD04DF">
        <w:rPr>
          <w:rStyle w:val="hps"/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dan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NaH</w:t>
      </w:r>
      <w:r w:rsidRPr="00CD04DF">
        <w:rPr>
          <w:rStyle w:val="hps"/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PO</w:t>
      </w:r>
      <w:r w:rsidRPr="00CD04DF">
        <w:rPr>
          <w:rStyle w:val="hps"/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 xml:space="preserve"> kepada SiO</w:t>
      </w:r>
      <w:r w:rsidRPr="00CD04DF">
        <w:rPr>
          <w:rStyle w:val="hps"/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yang berbeza telah disintesis dan dicirikan dalam ujikaji ini. Pencirian awal sinar inframerah menunjukkan bahawa pemecahan dan pembentukan ikatan hidrogen dikesan antara 1710 cm</w:t>
      </w:r>
      <w:r w:rsidRPr="00CD04DF">
        <w:rPr>
          <w:rFonts w:ascii="Times New Roman" w:hAnsi="Times New Roman"/>
          <w:sz w:val="20"/>
          <w:szCs w:val="20"/>
          <w:vertAlign w:val="superscript"/>
          <w:lang w:val="ms-MY"/>
        </w:rPr>
        <w:t>-1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dan 2710 cm</w:t>
      </w:r>
      <w:r w:rsidRPr="00CD04DF">
        <w:rPr>
          <w:rFonts w:ascii="Times New Roman" w:hAnsi="Times New Roman"/>
          <w:sz w:val="20"/>
          <w:szCs w:val="20"/>
          <w:vertAlign w:val="superscript"/>
          <w:lang w:val="ms-MY"/>
        </w:rPr>
        <w:t>-1</w:t>
      </w:r>
      <w:r w:rsidRPr="00CD04DF">
        <w:rPr>
          <w:rFonts w:ascii="Times New Roman" w:hAnsi="Times New Roman"/>
          <w:sz w:val="20"/>
          <w:szCs w:val="20"/>
          <w:lang w:val="ms-MY"/>
        </w:rPr>
        <w:t>, manakala putaran anion tetrahedron fosfat berlaku diantara 900 cm</w:t>
      </w:r>
      <w:r w:rsidRPr="00CD04DF">
        <w:rPr>
          <w:rFonts w:ascii="Times New Roman" w:hAnsi="Times New Roman"/>
          <w:sz w:val="20"/>
          <w:szCs w:val="20"/>
          <w:vertAlign w:val="superscript"/>
          <w:lang w:val="ms-MY"/>
        </w:rPr>
        <w:t xml:space="preserve">-1 </w:t>
      </w:r>
      <w:r w:rsidRPr="00CD04DF">
        <w:rPr>
          <w:rFonts w:ascii="Times New Roman" w:hAnsi="Times New Roman"/>
          <w:sz w:val="20"/>
          <w:szCs w:val="20"/>
          <w:lang w:val="ms-MY"/>
        </w:rPr>
        <w:t>dan 1200 cm</w:t>
      </w:r>
      <w:r w:rsidRPr="00CD04DF">
        <w:rPr>
          <w:rFonts w:ascii="Times New Roman" w:hAnsi="Times New Roman"/>
          <w:sz w:val="20"/>
          <w:szCs w:val="20"/>
          <w:vertAlign w:val="superscript"/>
          <w:lang w:val="ms-MY"/>
        </w:rPr>
        <w:t>-1</w:t>
      </w:r>
      <w:r w:rsidRPr="00CD04DF">
        <w:rPr>
          <w:rFonts w:ascii="Times New Roman" w:hAnsi="Times New Roman"/>
          <w:sz w:val="20"/>
          <w:szCs w:val="20"/>
          <w:lang w:val="ms-MY"/>
        </w:rPr>
        <w:t>. Fasa p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eralihan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berkonduktiviti tinggi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bagi asid pepejal komposit CsH</w:t>
      </w:r>
      <w:r w:rsidRPr="00CD04DF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CD04DF">
        <w:rPr>
          <w:rFonts w:ascii="Times New Roman" w:hAnsi="Times New Roman"/>
          <w:sz w:val="20"/>
          <w:szCs w:val="20"/>
          <w:lang w:val="ms-MY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CD04DF">
        <w:rPr>
          <w:rFonts w:ascii="Times New Roman" w:hAnsi="Times New Roman"/>
          <w:sz w:val="20"/>
          <w:szCs w:val="20"/>
          <w:lang w:val="ms-MY"/>
        </w:rPr>
        <w:t>/NaH</w:t>
      </w:r>
      <w:r w:rsidRPr="00CD04DF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CD04DF">
        <w:rPr>
          <w:rFonts w:ascii="Times New Roman" w:hAnsi="Times New Roman"/>
          <w:sz w:val="20"/>
          <w:szCs w:val="20"/>
          <w:lang w:val="ms-MY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CD04DF">
        <w:rPr>
          <w:rFonts w:ascii="Times New Roman" w:hAnsi="Times New Roman"/>
          <w:sz w:val="20"/>
          <w:szCs w:val="20"/>
          <w:lang w:val="ms-MY"/>
        </w:rPr>
        <w:t>/SiO</w:t>
      </w:r>
      <w:r w:rsidRPr="00CD04DF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telah dikenal pasti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antara suhu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230 hingga 260 °C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, di bawah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tekanan atmosfera.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Nilai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kekonduksian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proton adalah lebih tinggi bagi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komposit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yang mempunyai kandungan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Fonts w:ascii="Times New Roman" w:hAnsi="Times New Roman"/>
          <w:sz w:val="20"/>
          <w:szCs w:val="20"/>
        </w:rPr>
        <w:t>CsH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</w:rPr>
        <w:t>4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 xml:space="preserve"> (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CDP) yang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lebih tinggi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.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Asid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pepejal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komposit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CDP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613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telah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muncul sebagai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komposit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dengan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kekonduksian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tertinggi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iaitu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7.2 x 10</w:t>
      </w:r>
      <w:r w:rsidRPr="00CD04DF">
        <w:rPr>
          <w:rStyle w:val="hps"/>
          <w:rFonts w:ascii="Times New Roman" w:hAnsi="Times New Roman"/>
          <w:sz w:val="20"/>
          <w:szCs w:val="20"/>
          <w:vertAlign w:val="superscript"/>
          <w:lang w:val="ms-MY"/>
        </w:rPr>
        <w:t>-3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S cm</w:t>
      </w:r>
      <w:r w:rsidRPr="00CD04DF">
        <w:rPr>
          <w:rFonts w:ascii="Times New Roman" w:hAnsi="Times New Roman"/>
          <w:sz w:val="20"/>
          <w:szCs w:val="20"/>
          <w:vertAlign w:val="superscript"/>
          <w:lang w:val="ms-MY"/>
        </w:rPr>
        <w:t>-1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 xml:space="preserve">pada suhu 230 °C. 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Kestabilan terma asid pepejal komposit seperti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suhu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dehidrasi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, takat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lebur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dan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penguraian telah dikenal pasti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melalui analisis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termogravimetri dan kalorimeter imbasan perbezaan.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Penambahan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Fonts w:ascii="Times New Roman" w:hAnsi="Times New Roman"/>
          <w:sz w:val="20"/>
          <w:szCs w:val="20"/>
        </w:rPr>
        <w:t>NaH</w:t>
      </w:r>
      <w:r w:rsidRPr="00CD04DF">
        <w:rPr>
          <w:rFonts w:ascii="Times New Roman" w:hAnsi="Times New Roman"/>
          <w:sz w:val="20"/>
          <w:szCs w:val="20"/>
          <w:vertAlign w:val="subscript"/>
        </w:rPr>
        <w:t>2</w:t>
      </w:r>
      <w:r w:rsidRPr="00CD04DF">
        <w:rPr>
          <w:rFonts w:ascii="Times New Roman" w:hAnsi="Times New Roman"/>
          <w:sz w:val="20"/>
          <w:szCs w:val="20"/>
        </w:rPr>
        <w:t>PO</w:t>
      </w:r>
      <w:r w:rsidRPr="00CD04DF">
        <w:rPr>
          <w:rFonts w:ascii="Times New Roman" w:hAnsi="Times New Roman"/>
          <w:sz w:val="20"/>
          <w:szCs w:val="20"/>
          <w:vertAlign w:val="subscript"/>
        </w:rPr>
        <w:t xml:space="preserve">4 </w:t>
      </w:r>
      <w:r w:rsidRPr="00CD04DF">
        <w:rPr>
          <w:rFonts w:ascii="Times New Roman" w:hAnsi="Times New Roman"/>
          <w:sz w:val="20"/>
          <w:szCs w:val="20"/>
        </w:rPr>
        <w:t>merendahkan suhu dehidrasi asid pepejal komposit.</w:t>
      </w:r>
    </w:p>
    <w:p w:rsidR="00CD04DF" w:rsidRPr="00CD04DF" w:rsidRDefault="00CD04DF" w:rsidP="00CD04DF">
      <w:pPr>
        <w:spacing w:after="0" w:line="240" w:lineRule="auto"/>
        <w:jc w:val="both"/>
        <w:rPr>
          <w:rStyle w:val="hps"/>
          <w:rFonts w:ascii="Times New Roman" w:hAnsi="Times New Roman"/>
          <w:i/>
          <w:sz w:val="20"/>
          <w:szCs w:val="20"/>
          <w:lang w:val="ms-MY"/>
        </w:rPr>
      </w:pPr>
    </w:p>
    <w:p w:rsidR="00C73226" w:rsidRDefault="00CD04DF" w:rsidP="00CD04DF">
      <w:pPr>
        <w:spacing w:after="0" w:line="240" w:lineRule="auto"/>
        <w:jc w:val="both"/>
        <w:rPr>
          <w:rStyle w:val="hps"/>
          <w:rFonts w:ascii="Times New Roman" w:hAnsi="Times New Roman"/>
          <w:sz w:val="20"/>
          <w:szCs w:val="20"/>
          <w:lang w:val="ms-MY"/>
        </w:rPr>
      </w:pPr>
      <w:r w:rsidRPr="00CD04DF">
        <w:rPr>
          <w:rStyle w:val="hps"/>
          <w:rFonts w:ascii="Times New Roman" w:hAnsi="Times New Roman"/>
          <w:b/>
          <w:sz w:val="20"/>
          <w:szCs w:val="20"/>
          <w:lang w:val="ms-MY"/>
        </w:rPr>
        <w:t>Kata kunci: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asid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 xml:space="preserve">pepejal, 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kekonduksian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,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analisa terma,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s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esium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dihidrogen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fosfat,</w:t>
      </w:r>
      <w:r w:rsidRPr="00CD04DF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CD04DF">
        <w:rPr>
          <w:rStyle w:val="hps"/>
          <w:rFonts w:ascii="Times New Roman" w:hAnsi="Times New Roman"/>
          <w:sz w:val="20"/>
          <w:szCs w:val="20"/>
          <w:lang w:val="ms-MY"/>
        </w:rPr>
        <w:t>sel fuel</w:t>
      </w:r>
    </w:p>
    <w:p w:rsidR="00CD04DF" w:rsidRDefault="00CD04DF" w:rsidP="00CD04DF">
      <w:pPr>
        <w:spacing w:after="0" w:line="240" w:lineRule="auto"/>
        <w:jc w:val="both"/>
        <w:rPr>
          <w:rStyle w:val="hps"/>
          <w:rFonts w:ascii="Times New Roman" w:hAnsi="Times New Roman"/>
          <w:sz w:val="20"/>
          <w:szCs w:val="20"/>
          <w:lang w:val="ms-MY"/>
        </w:rPr>
      </w:pPr>
    </w:p>
    <w:p w:rsidR="00CD04DF" w:rsidRPr="00F447A7" w:rsidRDefault="00CD04DF" w:rsidP="00CD04D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B7386E">
        <w:rPr>
          <w:sz w:val="20"/>
          <w:szCs w:val="20"/>
        </w:rPr>
        <w:fldChar w:fldCharType="begin"/>
      </w:r>
      <w:r w:rsidRPr="00B7386E">
        <w:rPr>
          <w:sz w:val="20"/>
          <w:szCs w:val="20"/>
        </w:rPr>
        <w:instrText xml:space="preserve"> ADDIN EN.REFLIST </w:instrText>
      </w:r>
      <w:r w:rsidRPr="00B7386E">
        <w:rPr>
          <w:sz w:val="20"/>
          <w:szCs w:val="20"/>
        </w:rPr>
        <w:fldChar w:fldCharType="separate"/>
      </w:r>
      <w:bookmarkStart w:id="0" w:name="_ENREF_1"/>
      <w:r w:rsidRPr="00B7386E">
        <w:rPr>
          <w:sz w:val="20"/>
          <w:szCs w:val="20"/>
        </w:rPr>
        <w:t>Dupuis, A.-C. (2011).  Proton exchange membranes for fuel cells operated at medium temperatures: Materials and experimental techniques.</w:t>
      </w:r>
      <w:r w:rsidRPr="00B7386E">
        <w:rPr>
          <w:i/>
          <w:sz w:val="20"/>
          <w:szCs w:val="20"/>
        </w:rPr>
        <w:t xml:space="preserve"> Progress in Materials Science, </w:t>
      </w:r>
      <w:r w:rsidRPr="00B7386E">
        <w:rPr>
          <w:sz w:val="20"/>
          <w:szCs w:val="20"/>
        </w:rPr>
        <w:t>56(3): 289 - 327.</w:t>
      </w:r>
      <w:bookmarkStart w:id="1" w:name="_ENREF_2"/>
      <w:bookmarkEnd w:id="0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B7386E">
        <w:rPr>
          <w:sz w:val="20"/>
          <w:szCs w:val="20"/>
        </w:rPr>
        <w:lastRenderedPageBreak/>
        <w:t xml:space="preserve">Boysen, D. A. (2004). Superprotonic solid acids: structure, properties, and applications (PhD Dissertation), California Institute of Technology. Retrieved from </w:t>
      </w:r>
      <w:r w:rsidRPr="0041065C">
        <w:rPr>
          <w:sz w:val="20"/>
          <w:szCs w:val="20"/>
        </w:rPr>
        <w:t>http://resolver.caltech.edu/CaltechETD:etd-05282004-155105</w:t>
      </w:r>
      <w:r w:rsidRPr="00B7386E">
        <w:rPr>
          <w:sz w:val="20"/>
          <w:szCs w:val="20"/>
        </w:rPr>
        <w:t xml:space="preserve">  </w:t>
      </w:r>
      <w:bookmarkStart w:id="2" w:name="_ENREF_3"/>
      <w:bookmarkEnd w:id="1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B7386E">
        <w:rPr>
          <w:sz w:val="20"/>
          <w:szCs w:val="20"/>
        </w:rPr>
        <w:t>Haile, S. M., Chisholm, C. R. I., Sasaki, K., Boysen, D. A. and Uda, T. (2006).  Solid acid proton conductors: from laboratory curiosities to fuel cell electrolytes.</w:t>
      </w:r>
      <w:r w:rsidRPr="00B7386E">
        <w:rPr>
          <w:i/>
          <w:sz w:val="20"/>
          <w:szCs w:val="20"/>
        </w:rPr>
        <w:t xml:space="preserve"> Faraday Discussions, </w:t>
      </w:r>
      <w:r w:rsidRPr="00B7386E">
        <w:rPr>
          <w:sz w:val="20"/>
          <w:szCs w:val="20"/>
        </w:rPr>
        <w:t>134: 17 - 39.</w:t>
      </w:r>
      <w:bookmarkStart w:id="3" w:name="_ENREF_4"/>
      <w:bookmarkEnd w:id="2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B7386E">
        <w:rPr>
          <w:sz w:val="20"/>
          <w:szCs w:val="20"/>
        </w:rPr>
        <w:t>Taninouchi, Y.-K., Uda, T., Awakura, Y., Ikeda, A. and Haile, S. M. (2007).  Dehydration behavior of the superprotonic conductor CsH</w:t>
      </w:r>
      <w:r w:rsidRPr="00B7386E">
        <w:rPr>
          <w:sz w:val="20"/>
          <w:szCs w:val="20"/>
          <w:vertAlign w:val="subscript"/>
        </w:rPr>
        <w:t>2</w:t>
      </w:r>
      <w:r w:rsidRPr="00B7386E">
        <w:rPr>
          <w:sz w:val="20"/>
          <w:szCs w:val="20"/>
        </w:rPr>
        <w:t>PO</w:t>
      </w:r>
      <w:r w:rsidRPr="00B7386E">
        <w:rPr>
          <w:sz w:val="20"/>
          <w:szCs w:val="20"/>
          <w:vertAlign w:val="subscript"/>
        </w:rPr>
        <w:t xml:space="preserve">4  </w:t>
      </w:r>
      <w:r w:rsidRPr="00B7386E">
        <w:rPr>
          <w:sz w:val="20"/>
          <w:szCs w:val="20"/>
        </w:rPr>
        <w:t>at moderate temperatures: 230 to 260 °C.</w:t>
      </w:r>
      <w:r w:rsidRPr="00B7386E">
        <w:rPr>
          <w:i/>
          <w:sz w:val="20"/>
          <w:szCs w:val="20"/>
        </w:rPr>
        <w:t xml:space="preserve"> Journal of Materials Chemistry, </w:t>
      </w:r>
      <w:r w:rsidRPr="00B7386E">
        <w:rPr>
          <w:sz w:val="20"/>
          <w:szCs w:val="20"/>
        </w:rPr>
        <w:t>17(30): 3182 - 3189.</w:t>
      </w:r>
      <w:bookmarkStart w:id="4" w:name="_ENREF_5"/>
      <w:bookmarkEnd w:id="3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B7386E">
        <w:rPr>
          <w:sz w:val="20"/>
          <w:szCs w:val="20"/>
        </w:rPr>
        <w:t>Alberti, G., Casciola, M., Pica, M., Tarpanelli, T. and Sganappa, M. (2005).  New preparation methods for composite membranes for medium temperature fuel cells based on precursor solutions of insoluble inorganic compounds.</w:t>
      </w:r>
      <w:r w:rsidRPr="00B7386E">
        <w:rPr>
          <w:i/>
          <w:sz w:val="20"/>
          <w:szCs w:val="20"/>
        </w:rPr>
        <w:t xml:space="preserve"> Fuel Cells, </w:t>
      </w:r>
      <w:r w:rsidRPr="00B7386E">
        <w:rPr>
          <w:sz w:val="20"/>
          <w:szCs w:val="20"/>
        </w:rPr>
        <w:t>5(3): 366 - 374.</w:t>
      </w:r>
      <w:bookmarkStart w:id="5" w:name="_ENREF_6"/>
      <w:bookmarkEnd w:id="4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B7386E">
        <w:rPr>
          <w:sz w:val="20"/>
          <w:szCs w:val="20"/>
        </w:rPr>
        <w:t>Peighambardoust, S. J., Rowshanzamir, S. and Amjadi, M. (2010).  Review of the proton exchange membranes for fuel cell applications.</w:t>
      </w:r>
      <w:r w:rsidRPr="00B7386E">
        <w:rPr>
          <w:i/>
          <w:sz w:val="20"/>
          <w:szCs w:val="20"/>
        </w:rPr>
        <w:t xml:space="preserve"> International Journal of Hydrogen Energy, </w:t>
      </w:r>
      <w:r w:rsidRPr="00B7386E">
        <w:rPr>
          <w:sz w:val="20"/>
          <w:szCs w:val="20"/>
        </w:rPr>
        <w:t>35(17): 9349 - 9384.</w:t>
      </w:r>
      <w:bookmarkStart w:id="6" w:name="_ENREF_7"/>
      <w:bookmarkEnd w:id="5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 xml:space="preserve">Jaafar, J., Ismail, A. F., Matsuura, T. and Norddin, M. N. A. M. (2013).  Stability of SPEEK-triaminopyrimide polymer electrolyte membrane for direct methanol fuel cell application. </w:t>
      </w:r>
      <w:r w:rsidRPr="0041065C">
        <w:rPr>
          <w:i/>
          <w:sz w:val="20"/>
          <w:szCs w:val="20"/>
        </w:rPr>
        <w:t xml:space="preserve">Sains Malaysiana, </w:t>
      </w:r>
      <w:r w:rsidRPr="0041065C">
        <w:rPr>
          <w:sz w:val="20"/>
          <w:szCs w:val="20"/>
        </w:rPr>
        <w:t>42(11): 1671 - 1677.</w:t>
      </w:r>
      <w:bookmarkStart w:id="7" w:name="_ENREF_8"/>
      <w:bookmarkEnd w:id="6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Hashim, N., Kamarudin, S. K. and Daud, W. R. W. (2010).  Design and development of micro direct methanol fuel cell  (μDMFC) for portable application.</w:t>
      </w:r>
      <w:r w:rsidRPr="0041065C">
        <w:rPr>
          <w:i/>
          <w:sz w:val="20"/>
          <w:szCs w:val="20"/>
        </w:rPr>
        <w:t xml:space="preserve"> Sains Malaysiana, </w:t>
      </w:r>
      <w:r w:rsidRPr="0041065C">
        <w:rPr>
          <w:sz w:val="20"/>
          <w:szCs w:val="20"/>
        </w:rPr>
        <w:t>39(6): 1015 - 1023.</w:t>
      </w:r>
      <w:bookmarkStart w:id="8" w:name="_ENREF_9"/>
      <w:bookmarkEnd w:id="7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Haile, S. M., Boysen, D. A., Chisholm, C. R. I. and Merle, R. B. (2001).  Solid acids as fuel cell electrolytes.</w:t>
      </w:r>
      <w:r w:rsidRPr="0041065C">
        <w:rPr>
          <w:i/>
          <w:sz w:val="20"/>
          <w:szCs w:val="20"/>
        </w:rPr>
        <w:t xml:space="preserve"> Nature, </w:t>
      </w:r>
      <w:r w:rsidRPr="0041065C">
        <w:rPr>
          <w:sz w:val="20"/>
          <w:szCs w:val="20"/>
        </w:rPr>
        <w:t>410: 910 - 913.</w:t>
      </w:r>
      <w:bookmarkStart w:id="9" w:name="_ENREF_10"/>
      <w:bookmarkEnd w:id="8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 xml:space="preserve">Unnikrishnan, S. (2009). Micromachined dense palladium electrodes for thin-film solid acid fuel cells. (PhD Dissertation), University of Twente, Enschede. Retrieved from http://doc.utwente.nl/68765/  </w:t>
      </w:r>
      <w:bookmarkStart w:id="10" w:name="_ENREF_11"/>
      <w:bookmarkEnd w:id="9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Haile, S. M. (2003). Materials for fuel cells, in Materials Today. Elsevier Science Ltd.</w:t>
      </w:r>
      <w:bookmarkStart w:id="11" w:name="_ENREF_12"/>
      <w:bookmarkEnd w:id="10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Merle, R. B., Chisholm, C. R. I., Boysen, D. A. and Haile, S. M. (2002).  Instability of sulfate and selenate solid acids in fuel cell environments.</w:t>
      </w:r>
      <w:r w:rsidRPr="0041065C">
        <w:rPr>
          <w:i/>
          <w:sz w:val="20"/>
          <w:szCs w:val="20"/>
        </w:rPr>
        <w:t xml:space="preserve"> Energy &amp; Fuels, </w:t>
      </w:r>
      <w:r w:rsidRPr="0041065C">
        <w:rPr>
          <w:sz w:val="20"/>
          <w:szCs w:val="20"/>
        </w:rPr>
        <w:t>17(1): 210 - 215.</w:t>
      </w:r>
      <w:bookmarkStart w:id="12" w:name="_ENREF_13"/>
      <w:bookmarkEnd w:id="11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Botez, C. E., Hermosillo, J. D., Zhang, J., Qian, J., Zhao, Y., Majzlan, J., Chianelli, R. R. and Pantea, C. (2007).  High-temperature phase transitions in CsH</w:t>
      </w:r>
      <w:r w:rsidRPr="0041065C">
        <w:rPr>
          <w:sz w:val="20"/>
          <w:szCs w:val="20"/>
          <w:vertAlign w:val="subscript"/>
        </w:rPr>
        <w:t>2</w:t>
      </w:r>
      <w:r w:rsidRPr="0041065C">
        <w:rPr>
          <w:sz w:val="20"/>
          <w:szCs w:val="20"/>
        </w:rPr>
        <w:t>PO</w:t>
      </w:r>
      <w:r w:rsidRPr="0041065C">
        <w:rPr>
          <w:sz w:val="20"/>
          <w:szCs w:val="20"/>
          <w:vertAlign w:val="subscript"/>
        </w:rPr>
        <w:t>4</w:t>
      </w:r>
      <w:r w:rsidRPr="0041065C">
        <w:rPr>
          <w:sz w:val="20"/>
          <w:szCs w:val="20"/>
        </w:rPr>
        <w:t xml:space="preserve"> under ambient and high-pressure conditions: A synchrotron x-ray diffraction study.</w:t>
      </w:r>
      <w:r w:rsidRPr="0041065C">
        <w:rPr>
          <w:i/>
          <w:sz w:val="20"/>
          <w:szCs w:val="20"/>
        </w:rPr>
        <w:t xml:space="preserve"> The Journal of Chemical Physics, </w:t>
      </w:r>
      <w:r w:rsidRPr="0041065C">
        <w:rPr>
          <w:sz w:val="20"/>
          <w:szCs w:val="20"/>
        </w:rPr>
        <w:t>127(19): 194701 -194706.</w:t>
      </w:r>
      <w:bookmarkStart w:id="13" w:name="_ENREF_14"/>
      <w:bookmarkEnd w:id="12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Baranov, A. I., Khiznichenko, V. P. and Shuvalov, L. A. (1989).  High temperature phase transitions and proton conductivity in some kdp-family crystals.</w:t>
      </w:r>
      <w:r w:rsidRPr="0041065C">
        <w:rPr>
          <w:i/>
          <w:sz w:val="20"/>
          <w:szCs w:val="20"/>
        </w:rPr>
        <w:t xml:space="preserve"> Ferroelectrics, </w:t>
      </w:r>
      <w:r w:rsidRPr="0041065C">
        <w:rPr>
          <w:sz w:val="20"/>
          <w:szCs w:val="20"/>
        </w:rPr>
        <w:t>100(1): 135 - 141.</w:t>
      </w:r>
      <w:bookmarkStart w:id="14" w:name="_ENREF_15"/>
      <w:bookmarkEnd w:id="13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Baranov, A. I., Grebenev, V. V., Khodan, A. N., Dolbinina, V. V. and Efremova, E. P. (2005).  Optimization of superprotonic acid salts for fuel cell applications.</w:t>
      </w:r>
      <w:r w:rsidRPr="0041065C">
        <w:rPr>
          <w:i/>
          <w:sz w:val="20"/>
          <w:szCs w:val="20"/>
        </w:rPr>
        <w:t xml:space="preserve"> Solid State Ionics, </w:t>
      </w:r>
      <w:r w:rsidRPr="0041065C">
        <w:rPr>
          <w:sz w:val="20"/>
          <w:szCs w:val="20"/>
        </w:rPr>
        <w:t>176(39–40): 2871 - 2874.</w:t>
      </w:r>
      <w:bookmarkStart w:id="15" w:name="_ENREF_16"/>
      <w:bookmarkEnd w:id="14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Martsinkevich, V. V. and Ponomareva, V. G. (2012).  Double salts Cs</w:t>
      </w:r>
      <w:r w:rsidRPr="0041065C">
        <w:rPr>
          <w:sz w:val="20"/>
          <w:szCs w:val="20"/>
          <w:vertAlign w:val="subscript"/>
        </w:rPr>
        <w:t>1-x</w:t>
      </w:r>
      <w:r w:rsidRPr="0041065C">
        <w:rPr>
          <w:sz w:val="20"/>
          <w:szCs w:val="20"/>
        </w:rPr>
        <w:t>M</w:t>
      </w:r>
      <w:r w:rsidRPr="0041065C">
        <w:rPr>
          <w:sz w:val="20"/>
          <w:szCs w:val="20"/>
          <w:vertAlign w:val="subscript"/>
        </w:rPr>
        <w:t>x</w:t>
      </w:r>
      <w:r w:rsidRPr="0041065C">
        <w:rPr>
          <w:sz w:val="20"/>
          <w:szCs w:val="20"/>
        </w:rPr>
        <w:t>H</w:t>
      </w:r>
      <w:r w:rsidRPr="0041065C">
        <w:rPr>
          <w:sz w:val="20"/>
          <w:szCs w:val="20"/>
          <w:vertAlign w:val="subscript"/>
        </w:rPr>
        <w:t>2</w:t>
      </w:r>
      <w:r w:rsidRPr="0041065C">
        <w:rPr>
          <w:sz w:val="20"/>
          <w:szCs w:val="20"/>
        </w:rPr>
        <w:t>PO</w:t>
      </w:r>
      <w:r w:rsidRPr="0041065C">
        <w:rPr>
          <w:sz w:val="20"/>
          <w:szCs w:val="20"/>
          <w:vertAlign w:val="subscript"/>
        </w:rPr>
        <w:t xml:space="preserve">4 </w:t>
      </w:r>
      <w:r w:rsidRPr="0041065C">
        <w:rPr>
          <w:sz w:val="20"/>
          <w:szCs w:val="20"/>
        </w:rPr>
        <w:t>(M = Na, K, Rb) as proton conductors.</w:t>
      </w:r>
      <w:r w:rsidRPr="0041065C">
        <w:rPr>
          <w:i/>
          <w:sz w:val="20"/>
          <w:szCs w:val="20"/>
        </w:rPr>
        <w:t xml:space="preserve"> Solid State Ionics, </w:t>
      </w:r>
      <w:r w:rsidRPr="0041065C">
        <w:rPr>
          <w:sz w:val="20"/>
          <w:szCs w:val="20"/>
        </w:rPr>
        <w:t>225(0): 236 - 240.</w:t>
      </w:r>
      <w:bookmarkStart w:id="16" w:name="_ENREF_17"/>
      <w:bookmarkEnd w:id="15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Otomo, J., Minagawa, N., Wen, C.-j., Eguchi, K. and Takahashi, H. (2003).  Protonic conduction of CsH</w:t>
      </w:r>
      <w:r w:rsidRPr="0041065C">
        <w:rPr>
          <w:sz w:val="20"/>
          <w:szCs w:val="20"/>
          <w:vertAlign w:val="subscript"/>
        </w:rPr>
        <w:t>2</w:t>
      </w:r>
      <w:r w:rsidRPr="0041065C">
        <w:rPr>
          <w:sz w:val="20"/>
          <w:szCs w:val="20"/>
        </w:rPr>
        <w:t>PO</w:t>
      </w:r>
      <w:r w:rsidRPr="0041065C">
        <w:rPr>
          <w:sz w:val="20"/>
          <w:szCs w:val="20"/>
          <w:vertAlign w:val="subscript"/>
        </w:rPr>
        <w:t xml:space="preserve">4 </w:t>
      </w:r>
      <w:r w:rsidRPr="0041065C">
        <w:rPr>
          <w:sz w:val="20"/>
          <w:szCs w:val="20"/>
        </w:rPr>
        <w:t>and its composite with silica in dry and humid atmospheres.</w:t>
      </w:r>
      <w:r w:rsidRPr="0041065C">
        <w:rPr>
          <w:i/>
          <w:sz w:val="20"/>
          <w:szCs w:val="20"/>
        </w:rPr>
        <w:t xml:space="preserve"> Solid State Ionics, </w:t>
      </w:r>
      <w:r w:rsidRPr="0041065C">
        <w:rPr>
          <w:sz w:val="20"/>
          <w:szCs w:val="20"/>
        </w:rPr>
        <w:t>156(3–4): 357 - 369.</w:t>
      </w:r>
      <w:bookmarkStart w:id="17" w:name="_ENREF_18"/>
      <w:bookmarkEnd w:id="16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Ponomareva, V. G. and Shutova, E. S. (2007).  High-temperature behavior of CsH</w:t>
      </w:r>
      <w:r w:rsidRPr="0041065C">
        <w:rPr>
          <w:sz w:val="20"/>
          <w:szCs w:val="20"/>
          <w:vertAlign w:val="subscript"/>
        </w:rPr>
        <w:t>2</w:t>
      </w:r>
      <w:r w:rsidRPr="0041065C">
        <w:rPr>
          <w:sz w:val="20"/>
          <w:szCs w:val="20"/>
        </w:rPr>
        <w:t>PO</w:t>
      </w:r>
      <w:r w:rsidRPr="0041065C">
        <w:rPr>
          <w:sz w:val="20"/>
          <w:szCs w:val="20"/>
          <w:vertAlign w:val="subscript"/>
        </w:rPr>
        <w:t>4</w:t>
      </w:r>
      <w:r w:rsidRPr="0041065C">
        <w:rPr>
          <w:sz w:val="20"/>
          <w:szCs w:val="20"/>
        </w:rPr>
        <w:t xml:space="preserve"> and CsH</w:t>
      </w:r>
      <w:r w:rsidRPr="0041065C">
        <w:rPr>
          <w:sz w:val="20"/>
          <w:szCs w:val="20"/>
          <w:vertAlign w:val="subscript"/>
        </w:rPr>
        <w:t>2</w:t>
      </w:r>
      <w:r w:rsidRPr="0041065C">
        <w:rPr>
          <w:sz w:val="20"/>
          <w:szCs w:val="20"/>
        </w:rPr>
        <w:t>PO</w:t>
      </w:r>
      <w:r w:rsidRPr="0041065C">
        <w:rPr>
          <w:sz w:val="20"/>
          <w:szCs w:val="20"/>
          <w:vertAlign w:val="subscript"/>
        </w:rPr>
        <w:t>4</w:t>
      </w:r>
      <w:r w:rsidRPr="0041065C">
        <w:rPr>
          <w:sz w:val="20"/>
          <w:szCs w:val="20"/>
        </w:rPr>
        <w:t>–SiO</w:t>
      </w:r>
      <w:r w:rsidRPr="0041065C">
        <w:rPr>
          <w:sz w:val="20"/>
          <w:szCs w:val="20"/>
          <w:vertAlign w:val="subscript"/>
        </w:rPr>
        <w:t xml:space="preserve">2 </w:t>
      </w:r>
      <w:r w:rsidRPr="0041065C">
        <w:rPr>
          <w:sz w:val="20"/>
          <w:szCs w:val="20"/>
        </w:rPr>
        <w:t>composites.</w:t>
      </w:r>
      <w:r w:rsidRPr="0041065C">
        <w:rPr>
          <w:i/>
          <w:sz w:val="20"/>
          <w:szCs w:val="20"/>
        </w:rPr>
        <w:t xml:space="preserve"> Solid State Ionics, </w:t>
      </w:r>
      <w:r w:rsidRPr="0041065C">
        <w:rPr>
          <w:sz w:val="20"/>
          <w:szCs w:val="20"/>
        </w:rPr>
        <w:t>178(7–10): 729 - 734.</w:t>
      </w:r>
      <w:bookmarkStart w:id="18" w:name="_ENREF_19"/>
      <w:bookmarkEnd w:id="17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Matsui, T., Kukino, T., Kikuchi, R. and Eguchi, K. (2005).  An intermediate temperature proton-conducting electrolyte based on a CsH</w:t>
      </w:r>
      <w:r w:rsidRPr="0041065C">
        <w:rPr>
          <w:sz w:val="20"/>
          <w:szCs w:val="20"/>
          <w:vertAlign w:val="subscript"/>
        </w:rPr>
        <w:t>2</w:t>
      </w:r>
      <w:r w:rsidRPr="0041065C">
        <w:rPr>
          <w:sz w:val="20"/>
          <w:szCs w:val="20"/>
        </w:rPr>
        <w:t>PO</w:t>
      </w:r>
      <w:r w:rsidRPr="0041065C">
        <w:rPr>
          <w:sz w:val="20"/>
          <w:szCs w:val="20"/>
          <w:vertAlign w:val="subscript"/>
        </w:rPr>
        <w:t>4</w:t>
      </w:r>
      <w:r w:rsidRPr="0041065C">
        <w:rPr>
          <w:sz w:val="20"/>
          <w:szCs w:val="20"/>
        </w:rPr>
        <w:t> ∕ SiP</w:t>
      </w:r>
      <w:r w:rsidRPr="0041065C">
        <w:rPr>
          <w:sz w:val="20"/>
          <w:szCs w:val="20"/>
          <w:vertAlign w:val="subscript"/>
        </w:rPr>
        <w:t>2</w:t>
      </w:r>
      <w:r w:rsidRPr="0041065C">
        <w:rPr>
          <w:sz w:val="20"/>
          <w:szCs w:val="20"/>
        </w:rPr>
        <w:t>O</w:t>
      </w:r>
      <w:r w:rsidRPr="0041065C">
        <w:rPr>
          <w:sz w:val="20"/>
          <w:szCs w:val="20"/>
          <w:vertAlign w:val="subscript"/>
        </w:rPr>
        <w:t>7</w:t>
      </w:r>
      <w:r w:rsidRPr="0041065C">
        <w:rPr>
          <w:sz w:val="20"/>
          <w:szCs w:val="20"/>
        </w:rPr>
        <w:t xml:space="preserve"> composite.</w:t>
      </w:r>
      <w:r w:rsidRPr="0041065C">
        <w:rPr>
          <w:i/>
          <w:sz w:val="20"/>
          <w:szCs w:val="20"/>
        </w:rPr>
        <w:t xml:space="preserve"> Electrochemical and Solid-State Letters, </w:t>
      </w:r>
      <w:r w:rsidRPr="0041065C">
        <w:rPr>
          <w:sz w:val="20"/>
          <w:szCs w:val="20"/>
        </w:rPr>
        <w:t>8(5): 256 - 258.</w:t>
      </w:r>
      <w:bookmarkStart w:id="19" w:name="_ENREF_20"/>
      <w:bookmarkEnd w:id="18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Otomo, J., Ishigooka, T., Kitano, T., Takahashi, H. and Nagamoto, H. (2008).  Phase transition and proton transport characteristics in CsH</w:t>
      </w:r>
      <w:r w:rsidRPr="0041065C">
        <w:rPr>
          <w:sz w:val="20"/>
          <w:szCs w:val="20"/>
          <w:vertAlign w:val="subscript"/>
        </w:rPr>
        <w:t>2</w:t>
      </w:r>
      <w:r w:rsidRPr="0041065C">
        <w:rPr>
          <w:sz w:val="20"/>
          <w:szCs w:val="20"/>
        </w:rPr>
        <w:t>PO</w:t>
      </w:r>
      <w:r w:rsidRPr="0041065C">
        <w:rPr>
          <w:sz w:val="20"/>
          <w:szCs w:val="20"/>
          <w:vertAlign w:val="subscript"/>
        </w:rPr>
        <w:t>4</w:t>
      </w:r>
      <w:r w:rsidRPr="0041065C">
        <w:rPr>
          <w:sz w:val="20"/>
          <w:szCs w:val="20"/>
        </w:rPr>
        <w:t>/SiO</w:t>
      </w:r>
      <w:r w:rsidRPr="0041065C">
        <w:rPr>
          <w:sz w:val="20"/>
          <w:szCs w:val="20"/>
          <w:vertAlign w:val="subscript"/>
        </w:rPr>
        <w:t>2</w:t>
      </w:r>
      <w:r w:rsidRPr="0041065C">
        <w:rPr>
          <w:sz w:val="20"/>
          <w:szCs w:val="20"/>
        </w:rPr>
        <w:t xml:space="preserve"> composites.</w:t>
      </w:r>
      <w:r w:rsidRPr="0041065C">
        <w:rPr>
          <w:i/>
          <w:sz w:val="20"/>
          <w:szCs w:val="20"/>
        </w:rPr>
        <w:t xml:space="preserve"> Electrochimica Acta, </w:t>
      </w:r>
      <w:r w:rsidRPr="0041065C">
        <w:rPr>
          <w:sz w:val="20"/>
          <w:szCs w:val="20"/>
        </w:rPr>
        <w:t>53(28): 8186 - 8195.</w:t>
      </w:r>
      <w:bookmarkStart w:id="20" w:name="_ENREF_21"/>
      <w:bookmarkEnd w:id="19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 xml:space="preserve">Naidoo, S. (2004). Cesium Hydrogen Sulphate and Cesium Dihydrogen Phosphate Based Solid Composite Electrolyte for Fuel Cell Application. University of the Western Cape.   </w:t>
      </w:r>
      <w:bookmarkStart w:id="21" w:name="_ENREF_22"/>
      <w:bookmarkEnd w:id="20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Panuh, D., Muchtar, A., Muhamad, N., Majlan, E.H. and Daud, W. R. W. (2014). Sm</w:t>
      </w:r>
      <w:r w:rsidRPr="0041065C">
        <w:rPr>
          <w:sz w:val="20"/>
          <w:szCs w:val="20"/>
          <w:vertAlign w:val="subscript"/>
        </w:rPr>
        <w:t>0.2</w:t>
      </w:r>
      <w:r w:rsidRPr="0041065C">
        <w:rPr>
          <w:sz w:val="20"/>
          <w:szCs w:val="20"/>
        </w:rPr>
        <w:t>Ce</w:t>
      </w:r>
      <w:r w:rsidRPr="0041065C">
        <w:rPr>
          <w:sz w:val="20"/>
          <w:szCs w:val="20"/>
          <w:vertAlign w:val="subscript"/>
        </w:rPr>
        <w:t>0.8</w:t>
      </w:r>
      <w:r w:rsidRPr="0041065C">
        <w:rPr>
          <w:sz w:val="20"/>
          <w:szCs w:val="20"/>
        </w:rPr>
        <w:t>O</w:t>
      </w:r>
      <w:r w:rsidRPr="0041065C">
        <w:rPr>
          <w:sz w:val="20"/>
          <w:szCs w:val="20"/>
          <w:vertAlign w:val="subscript"/>
        </w:rPr>
        <w:t>1.90</w:t>
      </w:r>
      <w:r w:rsidRPr="0041065C">
        <w:rPr>
          <w:sz w:val="20"/>
          <w:szCs w:val="20"/>
        </w:rPr>
        <w:t xml:space="preserve"> (SDC)/ Y</w:t>
      </w:r>
      <w:r w:rsidRPr="0041065C">
        <w:rPr>
          <w:sz w:val="20"/>
          <w:szCs w:val="20"/>
          <w:vertAlign w:val="subscript"/>
        </w:rPr>
        <w:t>0.25</w:t>
      </w:r>
      <w:r w:rsidRPr="0041065C">
        <w:rPr>
          <w:sz w:val="20"/>
          <w:szCs w:val="20"/>
        </w:rPr>
        <w:t>Bi</w:t>
      </w:r>
      <w:r w:rsidRPr="0041065C">
        <w:rPr>
          <w:sz w:val="20"/>
          <w:szCs w:val="20"/>
          <w:vertAlign w:val="subscript"/>
        </w:rPr>
        <w:t>0.75</w:t>
      </w:r>
      <w:r w:rsidRPr="0041065C">
        <w:rPr>
          <w:sz w:val="20"/>
          <w:szCs w:val="20"/>
        </w:rPr>
        <w:t>O</w:t>
      </w:r>
      <w:r w:rsidRPr="0041065C">
        <w:rPr>
          <w:sz w:val="20"/>
          <w:szCs w:val="20"/>
          <w:vertAlign w:val="subscript"/>
        </w:rPr>
        <w:t xml:space="preserve">1.5 </w:t>
      </w:r>
      <w:r w:rsidRPr="0041065C">
        <w:rPr>
          <w:sz w:val="20"/>
          <w:szCs w:val="20"/>
        </w:rPr>
        <w:t>(YSB) bilayered electrolytes for intermediate solid oxide fuel cells.</w:t>
      </w:r>
      <w:r w:rsidRPr="0041065C">
        <w:rPr>
          <w:i/>
          <w:sz w:val="20"/>
          <w:szCs w:val="20"/>
        </w:rPr>
        <w:t xml:space="preserve"> Sains Malaysiana, </w:t>
      </w:r>
      <w:r w:rsidRPr="0041065C">
        <w:rPr>
          <w:sz w:val="20"/>
          <w:szCs w:val="20"/>
        </w:rPr>
        <w:t>43(11): 1769 - 1774.</w:t>
      </w:r>
      <w:bookmarkStart w:id="22" w:name="_ENREF_23"/>
      <w:bookmarkEnd w:id="21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Hosseini, S., Wan Daud, W.R., Badiei, M., Kadhum, A. A. H. and Mohammad, A. B. (2011).  Effect of surfactants in synthesis of CsH</w:t>
      </w:r>
      <w:r w:rsidRPr="0041065C">
        <w:rPr>
          <w:sz w:val="20"/>
          <w:szCs w:val="20"/>
          <w:vertAlign w:val="subscript"/>
        </w:rPr>
        <w:t>2</w:t>
      </w:r>
      <w:r w:rsidRPr="0041065C">
        <w:rPr>
          <w:sz w:val="20"/>
          <w:szCs w:val="20"/>
        </w:rPr>
        <w:t>PO</w:t>
      </w:r>
      <w:r w:rsidRPr="0041065C">
        <w:rPr>
          <w:sz w:val="20"/>
          <w:szCs w:val="20"/>
          <w:vertAlign w:val="subscript"/>
        </w:rPr>
        <w:t>4</w:t>
      </w:r>
      <w:r w:rsidRPr="0041065C">
        <w:rPr>
          <w:sz w:val="20"/>
          <w:szCs w:val="20"/>
        </w:rPr>
        <w:t xml:space="preserve"> as protonic conductive membrane.</w:t>
      </w:r>
      <w:r w:rsidRPr="0041065C">
        <w:rPr>
          <w:i/>
          <w:sz w:val="20"/>
          <w:szCs w:val="20"/>
        </w:rPr>
        <w:t xml:space="preserve"> Bulletin of Materials Science, </w:t>
      </w:r>
      <w:r w:rsidRPr="0041065C">
        <w:rPr>
          <w:sz w:val="20"/>
          <w:szCs w:val="20"/>
        </w:rPr>
        <w:t>34(4): 759 - 765.</w:t>
      </w:r>
      <w:bookmarkStart w:id="23" w:name="_ENREF_24"/>
      <w:bookmarkEnd w:id="22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Hosseini, S., Mohamad, A., Kadhum, A. and Wan Daud, W. R. (2010).  Thermal analysis of CsH</w:t>
      </w:r>
      <w:r w:rsidRPr="0041065C">
        <w:rPr>
          <w:sz w:val="20"/>
          <w:szCs w:val="20"/>
          <w:vertAlign w:val="subscript"/>
        </w:rPr>
        <w:t>2</w:t>
      </w:r>
      <w:r w:rsidRPr="0041065C">
        <w:rPr>
          <w:sz w:val="20"/>
          <w:szCs w:val="20"/>
        </w:rPr>
        <w:t>PO</w:t>
      </w:r>
      <w:r w:rsidRPr="0041065C">
        <w:rPr>
          <w:sz w:val="20"/>
          <w:szCs w:val="20"/>
          <w:vertAlign w:val="subscript"/>
        </w:rPr>
        <w:t>4</w:t>
      </w:r>
      <w:r w:rsidRPr="0041065C">
        <w:rPr>
          <w:sz w:val="20"/>
          <w:szCs w:val="20"/>
        </w:rPr>
        <w:t xml:space="preserve"> nanoparticles using surfactants CTAB and F-68.</w:t>
      </w:r>
      <w:r w:rsidRPr="0041065C">
        <w:rPr>
          <w:i/>
          <w:sz w:val="20"/>
          <w:szCs w:val="20"/>
        </w:rPr>
        <w:t xml:space="preserve"> Journal of Thermal Analysis and Calorimetry, </w:t>
      </w:r>
      <w:r w:rsidRPr="0041065C">
        <w:rPr>
          <w:sz w:val="20"/>
          <w:szCs w:val="20"/>
        </w:rPr>
        <w:t>(1): 197 - 202.</w:t>
      </w:r>
      <w:bookmarkStart w:id="24" w:name="_ENREF_25"/>
      <w:bookmarkEnd w:id="23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Boysen, D. A., Haile, S. M., Liu, H. and Secco, R. A. (2003).  High-Temperature Behavior of CsH</w:t>
      </w:r>
      <w:r w:rsidRPr="0041065C">
        <w:rPr>
          <w:sz w:val="20"/>
          <w:szCs w:val="20"/>
          <w:vertAlign w:val="subscript"/>
        </w:rPr>
        <w:t>2</w:t>
      </w:r>
      <w:r w:rsidRPr="0041065C">
        <w:rPr>
          <w:sz w:val="20"/>
          <w:szCs w:val="20"/>
        </w:rPr>
        <w:t>PO</w:t>
      </w:r>
      <w:r w:rsidRPr="0041065C">
        <w:rPr>
          <w:sz w:val="20"/>
          <w:szCs w:val="20"/>
          <w:vertAlign w:val="subscript"/>
        </w:rPr>
        <w:t>4</w:t>
      </w:r>
      <w:r w:rsidRPr="0041065C">
        <w:rPr>
          <w:sz w:val="20"/>
          <w:szCs w:val="20"/>
        </w:rPr>
        <w:t xml:space="preserve"> under both ambient and high pressure conditions.</w:t>
      </w:r>
      <w:r w:rsidRPr="0041065C">
        <w:rPr>
          <w:i/>
          <w:sz w:val="20"/>
          <w:szCs w:val="20"/>
        </w:rPr>
        <w:t xml:space="preserve"> Chemistry of Materials, </w:t>
      </w:r>
      <w:r w:rsidRPr="0041065C">
        <w:rPr>
          <w:sz w:val="20"/>
          <w:szCs w:val="20"/>
        </w:rPr>
        <w:t>15(3): 727 - 736.</w:t>
      </w:r>
      <w:bookmarkStart w:id="25" w:name="_ENREF_26"/>
      <w:bookmarkEnd w:id="24"/>
    </w:p>
    <w:p w:rsidR="00CD04DF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lastRenderedPageBreak/>
        <w:t xml:space="preserve">Hosseini, S. (2009). Synthesis of proton conducting membrane using </w:t>
      </w:r>
      <w:bookmarkStart w:id="26" w:name="_GoBack"/>
      <w:r w:rsidRPr="0041065C">
        <w:rPr>
          <w:sz w:val="20"/>
          <w:szCs w:val="20"/>
        </w:rPr>
        <w:t>cesium</w:t>
      </w:r>
      <w:bookmarkEnd w:id="26"/>
      <w:r w:rsidRPr="0041065C">
        <w:rPr>
          <w:sz w:val="20"/>
          <w:szCs w:val="20"/>
        </w:rPr>
        <w:t xml:space="preserve"> dihydrogen phosphate nanoparticles for the fabrication of membrane electrode assembly for fuel cell. Universiti Kebangsaan Malaysia.   </w:t>
      </w:r>
      <w:bookmarkStart w:id="27" w:name="_ENREF_27"/>
      <w:bookmarkEnd w:id="25"/>
    </w:p>
    <w:p w:rsidR="00CD04DF" w:rsidRPr="0041065C" w:rsidRDefault="00CD04DF" w:rsidP="00CD04DF">
      <w:pPr>
        <w:pStyle w:val="EndNoteBibliography"/>
        <w:numPr>
          <w:ilvl w:val="0"/>
          <w:numId w:val="1"/>
        </w:numPr>
        <w:spacing w:after="0"/>
        <w:ind w:left="360"/>
        <w:contextualSpacing w:val="0"/>
        <w:rPr>
          <w:sz w:val="20"/>
          <w:szCs w:val="20"/>
        </w:rPr>
      </w:pPr>
      <w:r w:rsidRPr="0041065C">
        <w:rPr>
          <w:sz w:val="20"/>
          <w:szCs w:val="20"/>
        </w:rPr>
        <w:t>Gupta, L. C., Rao, U. R. K., Venkateswarlu, K. S. and Wani, B. R. (1980).  Thermal stability of CsH</w:t>
      </w:r>
      <w:r w:rsidRPr="0041065C">
        <w:rPr>
          <w:sz w:val="20"/>
          <w:szCs w:val="20"/>
          <w:vertAlign w:val="subscript"/>
        </w:rPr>
        <w:t>2</w:t>
      </w:r>
      <w:r w:rsidRPr="0041065C">
        <w:rPr>
          <w:sz w:val="20"/>
          <w:szCs w:val="20"/>
        </w:rPr>
        <w:t>PO</w:t>
      </w:r>
      <w:r w:rsidRPr="0041065C">
        <w:rPr>
          <w:sz w:val="20"/>
          <w:szCs w:val="20"/>
          <w:vertAlign w:val="subscript"/>
        </w:rPr>
        <w:t>4</w:t>
      </w:r>
      <w:r w:rsidRPr="0041065C">
        <w:rPr>
          <w:sz w:val="20"/>
          <w:szCs w:val="20"/>
        </w:rPr>
        <w:t>.</w:t>
      </w:r>
      <w:r w:rsidRPr="0041065C">
        <w:rPr>
          <w:i/>
          <w:sz w:val="20"/>
          <w:szCs w:val="20"/>
        </w:rPr>
        <w:t xml:space="preserve"> Thermochimica Acta, </w:t>
      </w:r>
      <w:r w:rsidRPr="0041065C">
        <w:rPr>
          <w:sz w:val="20"/>
          <w:szCs w:val="20"/>
        </w:rPr>
        <w:t>42(1): 85 - 90.</w:t>
      </w:r>
      <w:bookmarkEnd w:id="27"/>
    </w:p>
    <w:p w:rsidR="00CD04DF" w:rsidRPr="00CD04DF" w:rsidRDefault="00CD04DF" w:rsidP="00CD04DF">
      <w:pPr>
        <w:pStyle w:val="EndNoteBibliography"/>
        <w:spacing w:after="0"/>
        <w:ind w:left="720" w:hanging="720"/>
        <w:contextualSpacing w:val="0"/>
        <w:rPr>
          <w:sz w:val="22"/>
        </w:rPr>
      </w:pPr>
      <w:r w:rsidRPr="00B7386E">
        <w:rPr>
          <w:sz w:val="20"/>
          <w:szCs w:val="20"/>
        </w:rPr>
        <w:fldChar w:fldCharType="end"/>
      </w:r>
    </w:p>
    <w:sectPr w:rsidR="00CD04DF" w:rsidRPr="00CD04DF" w:rsidSect="00CD04DF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E5AD0"/>
    <w:multiLevelType w:val="hybridMultilevel"/>
    <w:tmpl w:val="52969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DF"/>
    <w:rsid w:val="00774933"/>
    <w:rsid w:val="00C73226"/>
    <w:rsid w:val="00CD04DF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DF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D04DF"/>
  </w:style>
  <w:style w:type="paragraph" w:customStyle="1" w:styleId="EndNoteBibliography">
    <w:name w:val="EndNote Bibliography"/>
    <w:basedOn w:val="Normal"/>
    <w:link w:val="EndNoteBibliographyChar"/>
    <w:rsid w:val="00CD04DF"/>
    <w:pPr>
      <w:spacing w:after="160" w:line="240" w:lineRule="auto"/>
      <w:ind w:firstLine="720"/>
      <w:contextualSpacing/>
      <w:jc w:val="both"/>
    </w:pPr>
    <w:rPr>
      <w:rFonts w:ascii="Times New Roman" w:eastAsiaTheme="minorHAnsi" w:hAnsi="Times New Roman"/>
      <w:noProof/>
      <w:sz w:val="24"/>
      <w:lang w:bidi="ar-SA"/>
    </w:rPr>
  </w:style>
  <w:style w:type="character" w:customStyle="1" w:styleId="EndNoteBibliographyChar">
    <w:name w:val="EndNote Bibliography Char"/>
    <w:basedOn w:val="DefaultParagraphFont"/>
    <w:link w:val="EndNoteBibliography"/>
    <w:rsid w:val="00CD04DF"/>
    <w:rPr>
      <w:rFonts w:ascii="Times New Roman" w:hAnsi="Times New Roman" w:cs="Times New Roman"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DF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D04DF"/>
  </w:style>
  <w:style w:type="paragraph" w:customStyle="1" w:styleId="EndNoteBibliography">
    <w:name w:val="EndNote Bibliography"/>
    <w:basedOn w:val="Normal"/>
    <w:link w:val="EndNoteBibliographyChar"/>
    <w:rsid w:val="00CD04DF"/>
    <w:pPr>
      <w:spacing w:after="160" w:line="240" w:lineRule="auto"/>
      <w:ind w:firstLine="720"/>
      <w:contextualSpacing/>
      <w:jc w:val="both"/>
    </w:pPr>
    <w:rPr>
      <w:rFonts w:ascii="Times New Roman" w:eastAsiaTheme="minorHAnsi" w:hAnsi="Times New Roman"/>
      <w:noProof/>
      <w:sz w:val="24"/>
      <w:lang w:bidi="ar-SA"/>
    </w:rPr>
  </w:style>
  <w:style w:type="character" w:customStyle="1" w:styleId="EndNoteBibliographyChar">
    <w:name w:val="EndNote Bibliography Char"/>
    <w:basedOn w:val="DefaultParagraphFont"/>
    <w:link w:val="EndNoteBibliography"/>
    <w:rsid w:val="00CD04DF"/>
    <w:rPr>
      <w:rFonts w:ascii="Times New Roman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1276</Words>
  <Characters>6891</Characters>
  <Application>Microsoft Office Word</Application>
  <DocSecurity>0</DocSecurity>
  <Lines>137</Lines>
  <Paragraphs>60</Paragraphs>
  <ScaleCrop>false</ScaleCrop>
  <Company/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2</cp:revision>
  <dcterms:created xsi:type="dcterms:W3CDTF">2016-05-23T11:24:00Z</dcterms:created>
  <dcterms:modified xsi:type="dcterms:W3CDTF">2016-05-24T11:14:00Z</dcterms:modified>
</cp:coreProperties>
</file>