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E1EFC" w:rsidRDefault="00FE1EFC" w:rsidP="00FE1EFC">
      <w:pPr>
        <w:spacing w:after="0" w:line="240" w:lineRule="auto"/>
        <w:jc w:val="center"/>
        <w:rPr>
          <w:rFonts w:ascii="Times New Roman" w:hAnsi="Times New Roman"/>
          <w:sz w:val="28"/>
          <w:szCs w:val="28"/>
        </w:rPr>
      </w:pPr>
      <w:r>
        <w:rPr>
          <w:rFonts w:ascii="Times New Roman" w:hAnsi="Times New Roman"/>
          <w:sz w:val="28"/>
          <w:szCs w:val="28"/>
        </w:rPr>
        <w:t>OPTIMIZATION OF ACTIVATED CARBON PREPARATION FROM SPENT MUSHROOM FARMING WASTE (SMFW) VIA BOX–BEHNKEN DESIGN OF RESPONSE SURFACE METHODOLOGY</w:t>
      </w:r>
    </w:p>
    <w:p w:rsidR="00FE1EFC" w:rsidRDefault="00FE1EFC" w:rsidP="00FE1EFC">
      <w:pPr>
        <w:spacing w:after="0" w:line="240" w:lineRule="auto"/>
        <w:jc w:val="center"/>
        <w:rPr>
          <w:rFonts w:ascii="Times New Roman" w:hAnsi="Times New Roman"/>
          <w:noProof/>
          <w:sz w:val="24"/>
          <w:szCs w:val="24"/>
          <w:lang w:bidi="ar-SA"/>
        </w:rPr>
      </w:pPr>
    </w:p>
    <w:p w:rsidR="00FE1EFC" w:rsidRDefault="00FE1EFC" w:rsidP="00FE1EFC">
      <w:pPr>
        <w:spacing w:after="0" w:line="240" w:lineRule="auto"/>
        <w:jc w:val="center"/>
        <w:rPr>
          <w:rFonts w:ascii="Times New Roman" w:hAnsi="Times New Roman"/>
          <w:sz w:val="24"/>
          <w:szCs w:val="24"/>
        </w:rPr>
      </w:pPr>
      <w:r>
        <w:rPr>
          <w:rFonts w:ascii="Times New Roman" w:hAnsi="Times New Roman"/>
          <w:noProof/>
          <w:sz w:val="24"/>
          <w:szCs w:val="24"/>
          <w:lang w:bidi="ar-SA"/>
        </w:rPr>
        <w:t>(</w:t>
      </w:r>
      <w:r>
        <w:rPr>
          <w:rFonts w:ascii="Times New Roman" w:hAnsi="Times New Roman"/>
          <w:sz w:val="24"/>
          <w:szCs w:val="24"/>
        </w:rPr>
        <w:t>Penyediaan Secara Optimum Arang Teraktif daripada Sisa Tanaman Cendawan Terpakai (SMFW) Melalui Reka Bentuk Box-Behnken dari Kaedah Gerak Balas Permukaan</w:t>
      </w:r>
      <w:r>
        <w:rPr>
          <w:rFonts w:ascii="Times New Roman" w:hAnsi="Times New Roman"/>
          <w:noProof/>
          <w:sz w:val="24"/>
          <w:szCs w:val="24"/>
          <w:lang w:bidi="ar-SA"/>
        </w:rPr>
        <w:t>)</w:t>
      </w:r>
    </w:p>
    <w:p w:rsidR="00FE1EFC" w:rsidRDefault="00FE1EFC" w:rsidP="00FE1EFC">
      <w:pPr>
        <w:spacing w:after="0" w:line="240" w:lineRule="auto"/>
        <w:jc w:val="center"/>
        <w:rPr>
          <w:rFonts w:ascii="Times New Roman" w:hAnsi="Times New Roman"/>
          <w:noProof/>
          <w:sz w:val="20"/>
          <w:szCs w:val="20"/>
          <w:lang w:bidi="ar-SA"/>
        </w:rPr>
      </w:pPr>
    </w:p>
    <w:p w:rsidR="00FE1EFC" w:rsidRDefault="00FE1EFC" w:rsidP="00FE1EFC">
      <w:pPr>
        <w:snapToGrid w:val="0"/>
        <w:spacing w:after="0" w:line="240" w:lineRule="auto"/>
        <w:jc w:val="center"/>
        <w:rPr>
          <w:rFonts w:ascii="Times New Roman" w:eastAsia="1UAAA?"/>
          <w:bCs/>
          <w:sz w:val="20"/>
          <w:szCs w:val="20"/>
        </w:rPr>
      </w:pPr>
      <w:r>
        <w:rPr>
          <w:rFonts w:ascii="Times New Roman" w:eastAsia="Gulim"/>
          <w:color w:val="000000"/>
          <w:sz w:val="20"/>
          <w:szCs w:val="20"/>
        </w:rPr>
        <w:t>Nurul-Shuhada Md-Desa</w:t>
      </w:r>
      <w:r w:rsidR="00B147BC">
        <w:rPr>
          <w:rFonts w:ascii="Times New Roman" w:eastAsia="Gulim"/>
          <w:color w:val="000000"/>
          <w:sz w:val="20"/>
          <w:szCs w:val="20"/>
          <w:vertAlign w:val="superscript"/>
        </w:rPr>
        <w:t>1</w:t>
      </w:r>
      <w:r>
        <w:rPr>
          <w:rFonts w:ascii="Times New Roman" w:eastAsia="Gulim"/>
          <w:color w:val="000000"/>
          <w:sz w:val="20"/>
          <w:szCs w:val="20"/>
        </w:rPr>
        <w:t xml:space="preserve">, </w:t>
      </w:r>
      <w:r>
        <w:rPr>
          <w:rFonts w:ascii="Times New Roman" w:eastAsia="Gulim"/>
          <w:color w:val="000000"/>
          <w:sz w:val="20"/>
          <w:szCs w:val="20"/>
          <w:lang w:val="en-GB"/>
        </w:rPr>
        <w:t>Zaidi Ab Ghani</w:t>
      </w:r>
      <w:r w:rsidR="00B147BC" w:rsidRPr="00B147BC">
        <w:rPr>
          <w:rFonts w:ascii="Times New Roman" w:eastAsia="Gulim"/>
          <w:color w:val="000000"/>
          <w:sz w:val="20"/>
          <w:szCs w:val="20"/>
          <w:vertAlign w:val="superscript"/>
          <w:lang w:val="en-GB"/>
        </w:rPr>
        <w:t>2</w:t>
      </w:r>
      <w:r>
        <w:rPr>
          <w:rFonts w:ascii="Times New Roman" w:eastAsia="Gulim"/>
          <w:color w:val="000000"/>
          <w:sz w:val="20"/>
          <w:szCs w:val="20"/>
          <w:lang w:val="en-GB"/>
        </w:rPr>
        <w:t>, Suhaimi Abdul-Talib</w:t>
      </w:r>
      <w:r>
        <w:rPr>
          <w:rFonts w:ascii="Times New Roman" w:eastAsia="Gulim"/>
          <w:color w:val="000000"/>
          <w:sz w:val="20"/>
          <w:szCs w:val="20"/>
          <w:vertAlign w:val="superscript"/>
          <w:lang w:val="en-GB"/>
        </w:rPr>
        <w:t>3</w:t>
      </w:r>
      <w:r>
        <w:rPr>
          <w:rFonts w:ascii="Times New Roman" w:eastAsia="Gulim"/>
          <w:color w:val="000000"/>
          <w:sz w:val="20"/>
          <w:szCs w:val="20"/>
          <w:lang w:val="en-GB"/>
        </w:rPr>
        <w:t>, Chia-Chay Tay</w:t>
      </w:r>
      <w:r w:rsidR="00B147BC">
        <w:rPr>
          <w:rFonts w:ascii="Times New Roman" w:eastAsia="Gulim"/>
          <w:color w:val="000000"/>
          <w:sz w:val="20"/>
          <w:szCs w:val="20"/>
          <w:vertAlign w:val="superscript"/>
          <w:lang w:val="en-GB"/>
        </w:rPr>
        <w:t>2</w:t>
      </w:r>
      <w:r>
        <w:rPr>
          <w:rFonts w:ascii="Times New Roman" w:eastAsia="Gulim"/>
          <w:color w:val="000000"/>
          <w:sz w:val="20"/>
          <w:szCs w:val="20"/>
          <w:lang w:val="en-GB"/>
        </w:rPr>
        <w:t>*</w:t>
      </w:r>
    </w:p>
    <w:p w:rsidR="00FE1EFC" w:rsidRDefault="00FE1EFC" w:rsidP="00FE1EFC">
      <w:pPr>
        <w:snapToGrid w:val="0"/>
        <w:spacing w:after="0" w:line="240" w:lineRule="auto"/>
        <w:jc w:val="center"/>
        <w:rPr>
          <w:rFonts w:ascii="Times New Roman"/>
          <w:iCs/>
          <w:color w:val="000000"/>
          <w:sz w:val="18"/>
          <w:szCs w:val="18"/>
        </w:rPr>
      </w:pPr>
    </w:p>
    <w:p w:rsidR="00B147BC" w:rsidRDefault="00B147BC" w:rsidP="00B147BC">
      <w:pPr>
        <w:snapToGrid w:val="0"/>
        <w:spacing w:after="0" w:line="240" w:lineRule="auto"/>
        <w:jc w:val="center"/>
        <w:rPr>
          <w:rFonts w:ascii="Times New Roman" w:eastAsia="Gulim"/>
          <w:bCs/>
          <w:i/>
          <w:color w:val="000000"/>
          <w:sz w:val="18"/>
          <w:szCs w:val="18"/>
        </w:rPr>
      </w:pPr>
      <w:r>
        <w:rPr>
          <w:rFonts w:ascii="Times New Roman" w:eastAsia="Gulim"/>
          <w:bCs/>
          <w:i/>
          <w:color w:val="000000"/>
          <w:sz w:val="18"/>
          <w:szCs w:val="18"/>
          <w:vertAlign w:val="superscript"/>
        </w:rPr>
        <w:t>1</w:t>
      </w:r>
      <w:r>
        <w:rPr>
          <w:rFonts w:ascii="Times New Roman" w:eastAsia="Gulim"/>
          <w:bCs/>
          <w:i/>
          <w:color w:val="000000"/>
          <w:sz w:val="18"/>
          <w:szCs w:val="18"/>
        </w:rPr>
        <w:t>Faculty of Applied Sciences</w:t>
      </w:r>
    </w:p>
    <w:p w:rsidR="00B147BC" w:rsidRPr="00B147BC" w:rsidRDefault="00B147BC" w:rsidP="00B147BC">
      <w:pPr>
        <w:snapToGrid w:val="0"/>
        <w:spacing w:after="0" w:line="240" w:lineRule="auto"/>
        <w:jc w:val="center"/>
        <w:rPr>
          <w:rFonts w:ascii="Times New Roman" w:eastAsia="Gulim"/>
          <w:bCs/>
          <w:i/>
          <w:color w:val="000000"/>
          <w:sz w:val="18"/>
          <w:szCs w:val="18"/>
        </w:rPr>
      </w:pPr>
      <w:r>
        <w:rPr>
          <w:rFonts w:ascii="Times New Roman" w:eastAsia="Gulim"/>
          <w:bCs/>
          <w:i/>
          <w:color w:val="000000"/>
          <w:sz w:val="18"/>
          <w:szCs w:val="18"/>
        </w:rPr>
        <w:t>Universiti Teknologi MARA, 40450 Shah Alam, Selangor, Malaysia</w:t>
      </w:r>
    </w:p>
    <w:p w:rsidR="00FE1EFC" w:rsidRDefault="00B147BC" w:rsidP="0085318C">
      <w:pPr>
        <w:snapToGrid w:val="0"/>
        <w:spacing w:after="0" w:line="240" w:lineRule="auto"/>
        <w:jc w:val="center"/>
        <w:rPr>
          <w:rFonts w:ascii="Times New Roman" w:eastAsia="Gulim"/>
          <w:bCs/>
          <w:i/>
          <w:color w:val="000000"/>
          <w:sz w:val="18"/>
          <w:szCs w:val="18"/>
        </w:rPr>
      </w:pPr>
      <w:r>
        <w:rPr>
          <w:rFonts w:ascii="Times New Roman" w:eastAsia="Gulim"/>
          <w:bCs/>
          <w:i/>
          <w:color w:val="000000"/>
          <w:sz w:val="18"/>
          <w:szCs w:val="18"/>
          <w:vertAlign w:val="superscript"/>
        </w:rPr>
        <w:t>2</w:t>
      </w:r>
      <w:r w:rsidR="00FE1EFC">
        <w:rPr>
          <w:rFonts w:ascii="Times New Roman" w:eastAsia="Gulim"/>
          <w:bCs/>
          <w:i/>
          <w:color w:val="000000"/>
          <w:sz w:val="18"/>
          <w:szCs w:val="18"/>
        </w:rPr>
        <w:t>Faculty of Applied Sciences,</w:t>
      </w:r>
    </w:p>
    <w:p w:rsidR="00FE1EFC" w:rsidRDefault="00FE1EFC" w:rsidP="0085318C">
      <w:pPr>
        <w:snapToGrid w:val="0"/>
        <w:spacing w:after="0" w:line="240" w:lineRule="auto"/>
        <w:jc w:val="center"/>
        <w:rPr>
          <w:rFonts w:ascii="Times New Roman" w:eastAsia="Gulim"/>
          <w:bCs/>
          <w:i/>
          <w:color w:val="000000"/>
          <w:sz w:val="18"/>
          <w:szCs w:val="18"/>
        </w:rPr>
      </w:pPr>
      <w:r>
        <w:rPr>
          <w:rFonts w:ascii="Times New Roman" w:eastAsia="Gulim"/>
          <w:bCs/>
          <w:i/>
          <w:color w:val="000000"/>
          <w:sz w:val="18"/>
          <w:szCs w:val="18"/>
        </w:rPr>
        <w:t>Universiti Teknologi MARA,</w:t>
      </w:r>
      <w:r w:rsidR="00B147BC">
        <w:rPr>
          <w:rFonts w:ascii="Times New Roman" w:eastAsia="Gulim"/>
          <w:bCs/>
          <w:i/>
          <w:color w:val="000000"/>
          <w:sz w:val="18"/>
          <w:szCs w:val="18"/>
        </w:rPr>
        <w:t xml:space="preserve"> </w:t>
      </w:r>
      <w:r>
        <w:rPr>
          <w:rFonts w:ascii="Times New Roman" w:eastAsia="Gulim"/>
          <w:bCs/>
          <w:i/>
          <w:color w:val="000000"/>
          <w:sz w:val="18"/>
          <w:szCs w:val="18"/>
        </w:rPr>
        <w:t xml:space="preserve">02600 Arau, Perlis Malaysia </w:t>
      </w:r>
    </w:p>
    <w:p w:rsidR="00FE1EFC" w:rsidRDefault="00FE1EFC" w:rsidP="0085318C">
      <w:pPr>
        <w:snapToGrid w:val="0"/>
        <w:spacing w:after="0" w:line="240" w:lineRule="auto"/>
        <w:jc w:val="center"/>
        <w:rPr>
          <w:rFonts w:ascii="Times New Roman" w:eastAsia="Gulim"/>
          <w:bCs/>
          <w:i/>
          <w:color w:val="000000"/>
          <w:sz w:val="18"/>
          <w:szCs w:val="18"/>
        </w:rPr>
      </w:pPr>
      <w:r>
        <w:rPr>
          <w:rFonts w:ascii="Times New Roman" w:eastAsia="Gulim"/>
          <w:bCs/>
          <w:i/>
          <w:color w:val="000000"/>
          <w:sz w:val="18"/>
          <w:szCs w:val="18"/>
          <w:vertAlign w:val="superscript"/>
        </w:rPr>
        <w:t>3</w:t>
      </w:r>
      <w:r>
        <w:rPr>
          <w:rFonts w:ascii="Times New Roman" w:eastAsia="Gulim"/>
          <w:bCs/>
          <w:i/>
          <w:color w:val="000000"/>
          <w:sz w:val="18"/>
          <w:szCs w:val="18"/>
        </w:rPr>
        <w:t xml:space="preserve">Faculty of Civil Engineering </w:t>
      </w:r>
    </w:p>
    <w:p w:rsidR="00B147BC" w:rsidRDefault="00B147BC" w:rsidP="00B147BC">
      <w:pPr>
        <w:snapToGrid w:val="0"/>
        <w:spacing w:after="0" w:line="240" w:lineRule="auto"/>
        <w:jc w:val="center"/>
        <w:rPr>
          <w:rFonts w:ascii="Times New Roman" w:eastAsia="Gulim"/>
          <w:bCs/>
          <w:i/>
          <w:color w:val="000000"/>
          <w:sz w:val="18"/>
          <w:szCs w:val="18"/>
        </w:rPr>
      </w:pPr>
      <w:r>
        <w:rPr>
          <w:rFonts w:ascii="Times New Roman" w:eastAsia="Gulim"/>
          <w:bCs/>
          <w:i/>
          <w:color w:val="000000"/>
          <w:sz w:val="18"/>
          <w:szCs w:val="18"/>
        </w:rPr>
        <w:t>Universiti Teknologi MARA, 40450 Shah Alam, Selangor, Malaysia</w:t>
      </w:r>
    </w:p>
    <w:p w:rsidR="00FE1EFC" w:rsidRDefault="00FE1EFC" w:rsidP="00B147BC">
      <w:pPr>
        <w:spacing w:after="0" w:line="240" w:lineRule="auto"/>
        <w:jc w:val="center"/>
        <w:rPr>
          <w:rFonts w:ascii="Times New Roman" w:hAnsi="Times New Roman"/>
          <w:noProof/>
          <w:sz w:val="18"/>
          <w:szCs w:val="18"/>
          <w:lang w:bidi="ar-SA"/>
        </w:rPr>
      </w:pPr>
    </w:p>
    <w:p w:rsidR="00FE1EFC" w:rsidRDefault="00FE1EFC" w:rsidP="00FE1EFC">
      <w:pPr>
        <w:spacing w:after="0" w:line="240" w:lineRule="auto"/>
        <w:jc w:val="center"/>
        <w:rPr>
          <w:rFonts w:ascii="Times New Roman" w:hAnsi="Times New Roman"/>
          <w:i/>
          <w:noProof/>
          <w:sz w:val="18"/>
          <w:szCs w:val="18"/>
          <w:lang w:bidi="ar-SA"/>
        </w:rPr>
      </w:pPr>
      <w:r>
        <w:rPr>
          <w:rFonts w:ascii="Times New Roman" w:hAnsi="Times New Roman"/>
          <w:i/>
          <w:noProof/>
          <w:sz w:val="18"/>
          <w:szCs w:val="18"/>
          <w:lang w:bidi="ar-SA"/>
        </w:rPr>
        <w:t xml:space="preserve">*Corresponding author: </w:t>
      </w:r>
      <w:r>
        <w:rPr>
          <w:rFonts w:ascii="Times New Roman" w:eastAsia="Gulim"/>
          <w:i/>
          <w:iCs/>
          <w:color w:val="000000"/>
          <w:sz w:val="18"/>
          <w:szCs w:val="18"/>
        </w:rPr>
        <w:t>taychiay@perlis.uitm.edu.my</w:t>
      </w:r>
    </w:p>
    <w:p w:rsidR="00FE1EFC" w:rsidRDefault="00FE1EFC" w:rsidP="00FE1EFC">
      <w:pPr>
        <w:spacing w:after="0" w:line="240" w:lineRule="auto"/>
        <w:jc w:val="center"/>
        <w:rPr>
          <w:rFonts w:ascii="Times New Roman" w:hAnsi="Times New Roman"/>
          <w:noProof/>
          <w:sz w:val="18"/>
          <w:szCs w:val="18"/>
          <w:lang w:bidi="ar-SA"/>
        </w:rPr>
      </w:pPr>
    </w:p>
    <w:p w:rsidR="00FE1EFC" w:rsidRDefault="00FE1EFC" w:rsidP="00FE1EFC">
      <w:pPr>
        <w:spacing w:after="0" w:line="240" w:lineRule="auto"/>
        <w:jc w:val="center"/>
        <w:rPr>
          <w:rFonts w:ascii="Times New Roman" w:hAnsi="Times New Roman"/>
          <w:noProof/>
          <w:sz w:val="18"/>
          <w:szCs w:val="18"/>
          <w:lang w:bidi="ar-SA"/>
        </w:rPr>
      </w:pPr>
    </w:p>
    <w:p w:rsidR="00FE1EFC" w:rsidRDefault="00FE1EFC" w:rsidP="00FE1EF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9 December 2014; Accepted: 22 March 2016</w:t>
      </w:r>
    </w:p>
    <w:p w:rsidR="00FE1EFC" w:rsidRDefault="00FE1EFC" w:rsidP="00FE1EFC">
      <w:pPr>
        <w:spacing w:after="0" w:line="240" w:lineRule="auto"/>
        <w:jc w:val="center"/>
        <w:rPr>
          <w:rFonts w:ascii="Times New Roman" w:hAnsi="Times New Roman"/>
          <w:noProof/>
          <w:sz w:val="18"/>
          <w:szCs w:val="18"/>
          <w:lang w:bidi="ar-SA"/>
        </w:rPr>
      </w:pPr>
    </w:p>
    <w:p w:rsidR="00FE1EFC" w:rsidRDefault="00FE1EFC" w:rsidP="00FE1EFC">
      <w:pPr>
        <w:spacing w:after="0" w:line="240" w:lineRule="auto"/>
        <w:jc w:val="center"/>
        <w:rPr>
          <w:rFonts w:ascii="Times New Roman" w:hAnsi="Times New Roman"/>
          <w:noProof/>
          <w:sz w:val="18"/>
          <w:szCs w:val="18"/>
          <w:lang w:bidi="ar-SA"/>
        </w:rPr>
      </w:pPr>
    </w:p>
    <w:p w:rsidR="00FE1EFC" w:rsidRDefault="00FE1EFC" w:rsidP="00FE1EFC">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Abstract</w:t>
      </w:r>
    </w:p>
    <w:p w:rsidR="00FE1EFC" w:rsidRPr="001F0B95" w:rsidRDefault="00FE1EFC" w:rsidP="00FE1EFC">
      <w:pPr>
        <w:spacing w:after="0" w:line="240" w:lineRule="auto"/>
        <w:jc w:val="both"/>
        <w:rPr>
          <w:rFonts w:ascii="Times New Roman" w:hAnsi="Times New Roman"/>
          <w:sz w:val="18"/>
          <w:szCs w:val="20"/>
        </w:rPr>
      </w:pPr>
      <w:r w:rsidRPr="001F0B95">
        <w:rPr>
          <w:rFonts w:ascii="Times New Roman" w:hAnsi="Times New Roman"/>
          <w:sz w:val="18"/>
          <w:szCs w:val="20"/>
        </w:rPr>
        <w:t xml:space="preserve">This study focuses on activated carbon preparation from spent mushroom farming waste (SMFW) via chemical activation using </w:t>
      </w:r>
      <w:r w:rsidRPr="001F0B95">
        <w:rPr>
          <w:rFonts w:ascii="Times New Roman" w:hAnsi="Times New Roman"/>
          <w:sz w:val="18"/>
          <w:szCs w:val="18"/>
        </w:rPr>
        <w:t>Box-Behnken design</w:t>
      </w:r>
      <w:r w:rsidRPr="001F0B95">
        <w:rPr>
          <w:rFonts w:ascii="Times New Roman" w:hAnsi="Times New Roman"/>
          <w:sz w:val="18"/>
          <w:szCs w:val="20"/>
        </w:rPr>
        <w:t xml:space="preserve"> (BBD) of Response Surface Methodology (RSM). Potassium hydroxide (KOH) functions as activating reagent and it play</w:t>
      </w:r>
      <w:r w:rsidR="008A0373">
        <w:rPr>
          <w:rFonts w:ascii="Times New Roman" w:hAnsi="Times New Roman"/>
          <w:sz w:val="18"/>
          <w:szCs w:val="20"/>
        </w:rPr>
        <w:t>s</w:t>
      </w:r>
      <w:r w:rsidRPr="001F0B95">
        <w:rPr>
          <w:rFonts w:ascii="Times New Roman" w:hAnsi="Times New Roman"/>
          <w:sz w:val="18"/>
          <w:szCs w:val="20"/>
        </w:rPr>
        <w:t xml:space="preserve"> an important role in enhancing the activated carbon porosity. Three input parameters and two responses were evaluated via this software generated experimental design. The effects of three preparation parameters of impregnation ratio, activation time and activation temperature as well as two responses of carbon yield and iodine number were investigated. The optimum conditions for preparing activated carbon from SMFW was found at SMFW: KOH impregnation ratio of 0.25, activation time of 30 min and activation temperature of 400 </w:t>
      </w:r>
      <w:r w:rsidR="001F0B95" w:rsidRPr="001F0B95">
        <w:rPr>
          <w:rFonts w:ascii="Times New Roman" w:hAnsi="Times New Roman"/>
          <w:sz w:val="18"/>
          <w:szCs w:val="20"/>
          <w:vertAlign w:val="superscript"/>
        </w:rPr>
        <w:t>o</w:t>
      </w:r>
      <w:r w:rsidRPr="001F0B95">
        <w:rPr>
          <w:rFonts w:ascii="Times New Roman" w:hAnsi="Times New Roman"/>
          <w:sz w:val="18"/>
          <w:szCs w:val="20"/>
        </w:rPr>
        <w:t xml:space="preserve">C which resulted in </w:t>
      </w:r>
      <w:r w:rsidRPr="001F0B95">
        <w:rPr>
          <w:rFonts w:ascii="Times New Roman" w:hAnsi="Times New Roman"/>
          <w:sz w:val="18"/>
          <w:szCs w:val="20"/>
          <w:lang w:val="en-GB"/>
        </w:rPr>
        <w:t xml:space="preserve">28.23 % </w:t>
      </w:r>
      <w:r w:rsidRPr="001F0B95">
        <w:rPr>
          <w:rFonts w:ascii="Times New Roman" w:hAnsi="Times New Roman"/>
          <w:sz w:val="18"/>
          <w:szCs w:val="20"/>
        </w:rPr>
        <w:t xml:space="preserve">of carbon yield and </w:t>
      </w:r>
      <w:r w:rsidRPr="001F0B95">
        <w:rPr>
          <w:rFonts w:ascii="Times New Roman" w:hAnsi="Times New Roman"/>
          <w:sz w:val="18"/>
          <w:szCs w:val="20"/>
          <w:lang w:val="en-GB"/>
        </w:rPr>
        <w:t xml:space="preserve">314.14 mg/g </w:t>
      </w:r>
      <w:r w:rsidRPr="001F0B95">
        <w:rPr>
          <w:rFonts w:ascii="Times New Roman" w:hAnsi="Times New Roman"/>
          <w:sz w:val="18"/>
          <w:szCs w:val="20"/>
        </w:rPr>
        <w:t xml:space="preserve">of iodine number </w:t>
      </w:r>
      <w:r w:rsidRPr="001F0B95">
        <w:rPr>
          <w:rFonts w:ascii="Times New Roman" w:hAnsi="Times New Roman"/>
          <w:sz w:val="18"/>
          <w:szCs w:val="20"/>
          <w:lang w:val="en-GB"/>
        </w:rPr>
        <w:t>with desirability of 0.994. The predicted results were well corresponded with experimental results. This study is important in economical large scale SMFW activated carbon preparation for application study of adsorption process for metal treatment in wastewater with minimum chemical and energy input.</w:t>
      </w:r>
    </w:p>
    <w:p w:rsidR="00FE1EFC" w:rsidRPr="0085318C" w:rsidRDefault="00FE1EFC" w:rsidP="00FE1EFC">
      <w:pPr>
        <w:spacing w:after="0" w:line="240" w:lineRule="auto"/>
        <w:jc w:val="both"/>
        <w:rPr>
          <w:rFonts w:ascii="Times New Roman" w:hAnsi="Times New Roman"/>
          <w:sz w:val="18"/>
          <w:szCs w:val="18"/>
        </w:rPr>
      </w:pPr>
    </w:p>
    <w:p w:rsidR="00FE1EFC" w:rsidRDefault="00FE1EFC" w:rsidP="00FE1EFC">
      <w:pPr>
        <w:snapToGrid w:val="0"/>
        <w:spacing w:after="0" w:line="240" w:lineRule="auto"/>
        <w:jc w:val="both"/>
        <w:rPr>
          <w:rFonts w:ascii="Times New Roman" w:hAnsi="Times New Roman"/>
          <w:sz w:val="18"/>
          <w:szCs w:val="18"/>
        </w:rPr>
      </w:pPr>
      <w:r>
        <w:rPr>
          <w:noProof/>
          <w:lang w:bidi="ar-SA"/>
        </w:rPr>
        <mc:AlternateContent>
          <mc:Choice Requires="wps">
            <w:drawing>
              <wp:anchor distT="4294967295" distB="4294967295" distL="114300" distR="114300" simplePos="0" relativeHeight="251660800" behindDoc="0" locked="0" layoutInCell="1" allowOverlap="1">
                <wp:simplePos x="0" y="0"/>
                <wp:positionH relativeFrom="column">
                  <wp:posOffset>707390</wp:posOffset>
                </wp:positionH>
                <wp:positionV relativeFrom="paragraph">
                  <wp:posOffset>8251825</wp:posOffset>
                </wp:positionV>
                <wp:extent cx="6048375" cy="0"/>
                <wp:effectExtent l="0" t="0" r="952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55.7pt;margin-top:649.75pt;width:476.2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nnJwIAAE0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" strokeweight="1pt"/>
            </w:pict>
          </mc:Fallback>
        </mc:AlternateContent>
      </w:r>
      <w:r>
        <w:rPr>
          <w:rFonts w:ascii="Times New Roman" w:hAnsi="Times New Roman"/>
          <w:b/>
          <w:sz w:val="18"/>
          <w:szCs w:val="18"/>
        </w:rPr>
        <w:t>Keywords</w:t>
      </w:r>
      <w:r>
        <w:rPr>
          <w:rFonts w:ascii="Times New Roman" w:hAnsi="Times New Roman"/>
          <w:sz w:val="18"/>
          <w:szCs w:val="18"/>
        </w:rPr>
        <w:t>: activated carbon, spent mushroom farming waste, Box-Behnken design, response surface methodology</w:t>
      </w:r>
    </w:p>
    <w:p w:rsidR="00FE1EFC" w:rsidRDefault="00FE1EFC" w:rsidP="00FE1EFC">
      <w:pPr>
        <w:spacing w:after="0" w:line="240" w:lineRule="auto"/>
        <w:jc w:val="center"/>
        <w:rPr>
          <w:rFonts w:ascii="Times New Roman" w:hAnsi="Times New Roman"/>
          <w:b/>
          <w:noProof/>
          <w:sz w:val="18"/>
          <w:szCs w:val="18"/>
          <w:lang w:bidi="ar-SA"/>
        </w:rPr>
      </w:pPr>
    </w:p>
    <w:p w:rsidR="00FE1EFC" w:rsidRDefault="00FE1EFC" w:rsidP="00FE1EFC">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FE1EFC" w:rsidRDefault="00FE1EFC" w:rsidP="00FE1EFC">
      <w:pPr>
        <w:spacing w:after="0" w:line="240" w:lineRule="auto"/>
        <w:jc w:val="both"/>
        <w:rPr>
          <w:rFonts w:ascii="Times New Roman" w:hAnsi="Times New Roman"/>
          <w:sz w:val="18"/>
          <w:szCs w:val="20"/>
        </w:rPr>
      </w:pPr>
      <w:r>
        <w:rPr>
          <w:rFonts w:ascii="Times New Roman" w:hAnsi="Times New Roman"/>
          <w:bCs/>
          <w:sz w:val="18"/>
          <w:szCs w:val="20"/>
        </w:rPr>
        <w:t>Kajian ini memfokuskan penyediaan arang teraktif daripada sisa tanaman cendawan terpakai melalui reka bentuk box-behnken (BBD) dari kaedah gerak balas permukaan (RSM)</w:t>
      </w:r>
      <w:r>
        <w:rPr>
          <w:rFonts w:ascii="Times New Roman" w:hAnsi="Times New Roman"/>
          <w:sz w:val="18"/>
          <w:szCs w:val="20"/>
        </w:rPr>
        <w:t>. Potasium hidroksida (KOH) berperanan sebagai agen pengaktifan dan penting untuk meningkatkan liang arang teraktif. T</w:t>
      </w:r>
      <w:r>
        <w:rPr>
          <w:rFonts w:ascii="Times New Roman" w:hAnsi="Times New Roman"/>
          <w:sz w:val="18"/>
          <w:szCs w:val="20"/>
          <w:lang w:val="ms-MY"/>
        </w:rPr>
        <w:t>iga parameter input dan dua respon telah dinilai oleh perisian ini yang dihasilkan oleh rekabentuk eksperimen. Kesan daripada penyediaan tiga parameter iaitu nisbah pemadatan, masa pengaktifan dan suhu pengaktifan serta dua respon iaitu hasil arang teraktif dan nilai iodin telah disiasat.</w:t>
      </w:r>
      <w:r>
        <w:rPr>
          <w:rFonts w:ascii="Times New Roman" w:hAnsi="Times New Roman"/>
          <w:sz w:val="18"/>
          <w:szCs w:val="20"/>
        </w:rPr>
        <w:t xml:space="preserve"> Keadaan optimum dalam penyediaan arang teraktif telah didapati pada nisbah SMFW: KOH iaitu 0.25, tempoh pengaktifan selama 30 min dan suhu pengaktifan 400 °C, di mana ia menghasilkan jumlah maksimum arang teraktif sebanyak 28.23 % dan nilai iodin yang boleh diterima iaitu sebanyak 314.14 mg/g dengan ketepatan 0.994. </w:t>
      </w:r>
      <w:r>
        <w:rPr>
          <w:rFonts w:ascii="Times New Roman" w:hAnsi="Times New Roman"/>
          <w:sz w:val="18"/>
          <w:szCs w:val="20"/>
          <w:lang w:val="ms-MY"/>
        </w:rPr>
        <w:t xml:space="preserve">Keputusan yang telah diramalkan adalah seiring  dengan keputusan eksperimen. Kajian ini adalah penting </w:t>
      </w:r>
      <w:r w:rsidR="008A0373" w:rsidRPr="008A0373">
        <w:rPr>
          <w:rFonts w:ascii="Times New Roman" w:eastAsia="Calibri" w:hAnsi="Times New Roman"/>
          <w:color w:val="000000"/>
          <w:sz w:val="18"/>
          <w:szCs w:val="18"/>
          <w:lang w:bidi="ar-SA"/>
        </w:rPr>
        <w:t>dalam penyediaan arang teraktif secara berskala besar dengan ekonomi daripada sisa tanaman cendawan terpakai</w:t>
      </w:r>
      <w:r w:rsidR="008A0373">
        <w:rPr>
          <w:rFonts w:ascii="Times New Roman" w:hAnsi="Times New Roman"/>
          <w:sz w:val="18"/>
          <w:szCs w:val="20"/>
          <w:lang w:val="ms-MY"/>
        </w:rPr>
        <w:t xml:space="preserve"> untuk kajian </w:t>
      </w:r>
      <w:r>
        <w:rPr>
          <w:rFonts w:ascii="Times New Roman" w:hAnsi="Times New Roman"/>
          <w:sz w:val="18"/>
          <w:szCs w:val="20"/>
          <w:lang w:val="ms-MY"/>
        </w:rPr>
        <w:t>proses penjerapan terhadap rawatan logam dalam air sisa dengan input bahan kimia dan tenaga yang minimum.</w:t>
      </w:r>
    </w:p>
    <w:p w:rsidR="00FE1EFC" w:rsidRDefault="00FE1EFC" w:rsidP="00FE1EFC">
      <w:pPr>
        <w:spacing w:after="0" w:line="240" w:lineRule="auto"/>
        <w:jc w:val="both"/>
        <w:rPr>
          <w:rFonts w:ascii="Times New Roman" w:hAnsi="Times New Roman"/>
          <w:sz w:val="18"/>
          <w:szCs w:val="20"/>
        </w:rPr>
      </w:pPr>
    </w:p>
    <w:p w:rsidR="00FE1EFC" w:rsidRDefault="00FE1EFC" w:rsidP="00FE1EFC">
      <w:pPr>
        <w:spacing w:after="0" w:line="240" w:lineRule="auto"/>
        <w:jc w:val="both"/>
        <w:rPr>
          <w:rFonts w:ascii="Times New Roman" w:hAnsi="Times New Roman"/>
          <w:sz w:val="18"/>
          <w:szCs w:val="20"/>
        </w:rPr>
      </w:pPr>
      <w:r>
        <w:rPr>
          <w:rFonts w:ascii="Times New Roman" w:hAnsi="Times New Roman"/>
          <w:b/>
          <w:sz w:val="18"/>
          <w:szCs w:val="20"/>
        </w:rPr>
        <w:lastRenderedPageBreak/>
        <w:t xml:space="preserve">Kata kunci: </w:t>
      </w:r>
      <w:r>
        <w:rPr>
          <w:rFonts w:ascii="Times New Roman" w:hAnsi="Times New Roman"/>
          <w:sz w:val="18"/>
          <w:szCs w:val="20"/>
        </w:rPr>
        <w:t>karbon teraktif, sisa tanaman cendawan terpakai, reka bentuk Box-Behnken, kaedah gerak balas permukaan</w:t>
      </w:r>
    </w:p>
    <w:p w:rsidR="00FE1EFC" w:rsidRDefault="00FE1EFC" w:rsidP="00FE1EFC">
      <w:pPr>
        <w:spacing w:after="0" w:line="240" w:lineRule="auto"/>
        <w:jc w:val="center"/>
        <w:rPr>
          <w:rFonts w:ascii="Times New Roman" w:hAnsi="Times New Roman"/>
          <w:noProof/>
          <w:sz w:val="20"/>
          <w:szCs w:val="20"/>
          <w:lang w:bidi="ar-SA"/>
        </w:rPr>
      </w:pPr>
    </w:p>
    <w:p w:rsidR="00FE1EFC" w:rsidRDefault="00FE1EFC" w:rsidP="00FE1EFC">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Introduction</w:t>
      </w:r>
    </w:p>
    <w:p w:rsidR="00FE1EFC" w:rsidRDefault="00FE1EFC" w:rsidP="00FE1EFC">
      <w:pPr>
        <w:spacing w:after="0" w:line="240" w:lineRule="auto"/>
        <w:jc w:val="both"/>
        <w:rPr>
          <w:rFonts w:ascii="Times New Roman" w:hAnsi="Times New Roman"/>
          <w:sz w:val="20"/>
          <w:szCs w:val="20"/>
          <w:lang w:val="en-GB"/>
        </w:rPr>
      </w:pPr>
      <w:r>
        <w:rPr>
          <w:rFonts w:ascii="Times New Roman" w:hAnsi="Times New Roman"/>
          <w:sz w:val="20"/>
          <w:szCs w:val="20"/>
        </w:rPr>
        <w:t xml:space="preserve">Activated carbon (AC) is a carbonaceous material with large surface area and high porosity. </w:t>
      </w:r>
      <w:r>
        <w:rPr>
          <w:rFonts w:ascii="Times New Roman" w:hAnsi="Times New Roman"/>
          <w:sz w:val="20"/>
          <w:szCs w:val="20"/>
          <w:lang w:val="en-GB"/>
        </w:rPr>
        <w:t xml:space="preserve">The surface area and pore size distribution are important factors in determination of AC performance. The macropores act as the entrance to the AC, while the mesopores and micropores responsible for adsorption process determined by iodine number. </w:t>
      </w:r>
      <w:r>
        <w:rPr>
          <w:rFonts w:ascii="Times New Roman" w:hAnsi="Times New Roman"/>
          <w:sz w:val="20"/>
          <w:szCs w:val="20"/>
        </w:rPr>
        <w:t xml:space="preserve">Iodine number is important parameter to indicate the quality of carbon porosity by measuring the amount of iodine adsorbed (in milligrams) by 1 g of carbon using standard method of ASTM D4607-94. </w:t>
      </w:r>
      <w:r>
        <w:rPr>
          <w:rFonts w:ascii="Times New Roman" w:hAnsi="Times New Roman"/>
          <w:sz w:val="20"/>
          <w:szCs w:val="20"/>
          <w:lang w:val="en-GB"/>
        </w:rPr>
        <w:t>On the other hand, the percentage yield in activated carbon preparation plays a major role in continuous supply for application.</w:t>
      </w:r>
    </w:p>
    <w:p w:rsidR="00FE1EFC" w:rsidRDefault="00FE1EFC" w:rsidP="00FE1EFC">
      <w:pPr>
        <w:spacing w:after="0" w:line="240" w:lineRule="auto"/>
        <w:jc w:val="both"/>
        <w:rPr>
          <w:rFonts w:ascii="Times New Roman" w:hAnsi="Times New Roman"/>
          <w:sz w:val="20"/>
          <w:szCs w:val="20"/>
          <w:lang w:val="en-GB"/>
        </w:rPr>
      </w:pPr>
    </w:p>
    <w:p w:rsidR="00FE1EFC" w:rsidRDefault="00FE1EFC" w:rsidP="00FE1EFC">
      <w:pPr>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Generally, optimization of AC preparation is via traditional method. However, response </w:t>
      </w:r>
      <w:r>
        <w:rPr>
          <w:rFonts w:ascii="Times New Roman" w:hAnsi="Times New Roman"/>
          <w:sz w:val="20"/>
          <w:szCs w:val="20"/>
        </w:rPr>
        <w:t>surface methodology (RSM) has been found to be a useful tool to optimize AC preparation</w:t>
      </w:r>
      <w:r>
        <w:rPr>
          <w:rFonts w:ascii="Times New Roman" w:hAnsi="Times New Roman"/>
          <w:sz w:val="20"/>
          <w:szCs w:val="20"/>
          <w:lang w:val="en-GB"/>
        </w:rPr>
        <w:t xml:space="preserve">. </w:t>
      </w:r>
      <w:r>
        <w:rPr>
          <w:rFonts w:ascii="Times New Roman" w:hAnsi="Times New Roman"/>
          <w:sz w:val="20"/>
          <w:szCs w:val="20"/>
        </w:rPr>
        <w:t>Box–Behnken design (BBD) is one of RSM method with an independent quadratic design. It does not contain an embedded factorial or fractional factorial design. In this design, the treatment combinations are at the midpoints of edges of the process space and at the center</w:t>
      </w:r>
      <w:r>
        <w:rPr>
          <w:rFonts w:ascii="Times New Roman" w:hAnsi="Times New Roman"/>
          <w:sz w:val="20"/>
          <w:szCs w:val="20"/>
          <w:lang w:val="en-GB"/>
        </w:rPr>
        <w:t xml:space="preserve">. The BBD is favourable due to its less number of experiments with variable parameter consuming less time. </w:t>
      </w:r>
    </w:p>
    <w:p w:rsidR="00FE1EFC" w:rsidRDefault="00FE1EFC" w:rsidP="00FE1EFC">
      <w:pPr>
        <w:pStyle w:val="Els-body-text"/>
        <w:spacing w:line="240" w:lineRule="auto"/>
        <w:ind w:firstLine="0"/>
      </w:pPr>
    </w:p>
    <w:p w:rsidR="00FE1EFC" w:rsidRDefault="00FE1EFC" w:rsidP="00FE1EFC">
      <w:pPr>
        <w:pStyle w:val="Els-body-text"/>
        <w:spacing w:line="240" w:lineRule="auto"/>
        <w:ind w:firstLine="0"/>
      </w:pPr>
      <w:r>
        <w:t>Most of the study had reported in multiple input parameters such as impregnation ration (IR), activation time and activation temperature. Precusors from agricultural wastes such as flamboyant (</w:t>
      </w:r>
      <w:r>
        <w:rPr>
          <w:i/>
        </w:rPr>
        <w:t>Delonix regia</w:t>
      </w:r>
      <w:r>
        <w:t xml:space="preserve">) pods [1], </w:t>
      </w:r>
      <w:r>
        <w:rPr>
          <w:i/>
        </w:rPr>
        <w:t>Prosopisafricana</w:t>
      </w:r>
      <w:r>
        <w:t xml:space="preserve"> seed hulls [2], </w:t>
      </w:r>
      <w:r>
        <w:rPr>
          <w:i/>
        </w:rPr>
        <w:t>Borassus aethiopum</w:t>
      </w:r>
      <w:r>
        <w:t xml:space="preserve"> shells [3]</w:t>
      </w:r>
      <w:r>
        <w:rPr>
          <w:vertAlign w:val="superscript"/>
        </w:rPr>
        <w:t xml:space="preserve"> </w:t>
      </w:r>
      <w:r>
        <w:t xml:space="preserve">and coconut husk [4] have been studied. </w:t>
      </w:r>
      <w:r>
        <w:rPr>
          <w:lang w:val="en-GB"/>
        </w:rPr>
        <w:t>Spent mushroom farming waste (</w:t>
      </w:r>
      <w:r>
        <w:t xml:space="preserve">SMFW) </w:t>
      </w:r>
      <w:r>
        <w:rPr>
          <w:lang w:val="en-GB"/>
        </w:rPr>
        <w:t xml:space="preserve">is a low cost agricultural based material, abundantly available and is a renewable resource. The SMFW consists of sawdust and rice husk majorly. Previous study using sawdust as AC by </w:t>
      </w:r>
      <w:r>
        <w:rPr>
          <w:lang w:val="en-GB"/>
        </w:rPr>
        <w:fldChar w:fldCharType="begin" w:fldLock="1"/>
      </w:r>
      <w:r>
        <w:rPr>
          <w:lang w:val="en-GB"/>
        </w:rPr>
        <w:instrText>ADDIN CSL_CITATION { "citationItems" : [ { "id" : "ITEM-1", "itemData" : { "DOI" : "10.1016/j.biortech.2012.01.141", "ISSN" : "1873-2976", "PMID" : "22386466", "abstract" : "Wood sawdust was converted into a high-quality activated carbon (WSAC) via microwave-induced K(2)CO(3) activation. The operational variables including chemical impregnation ratio, microwave power and irradiation time on the carbon yield and adsorption capability were identified. The surface physical characteristics of WSAC were examined by pore structural analysis, scanning electron microscopy and nitrogen adsorption isotherms. The adsorptive behavior of WSAC was quantified using methylene blue as model dye compound. The best conditions resulted in activated carbon with a monolayer adsorption capacity of 423.17 mg/g and carbon yield of 80.75%. The BET surface area, Langmuir surface area and total pore volume were corresponded to 1496.05 m(2)/g, 2245.53 m(2)/g and 0.864 cm(3)/g, respectively. The findings support the potential to prepare high surface area and mesoporous activated carbon from wood sawdust by microwave assisted chemical activation.", "author" : [ { "dropping-particle" : "", "family" : "Foo", "given" : "K Y", "non-dropping-particle" : "", "parse-names" : false, "suffix" : "" }, { "dropping-particle" : "", "family" : "Hameed", "given" : "B H", "non-dropping-particle" : "", "parse-names" : false, "suffix" : "" } ], "container-title" : "Bioresource technology", "id" : "ITEM-1", "issued" : { "date-parts" : [ [ "2012", "5" ] ] }, "page" : "425-32", "publisher" : "Elsevier Ltd", "title" : "Mesoporous activated carbon from wood sawdust by K2CO3 activation using microwave heating.", "type" : "article-journal", "volume" : "111" }, "uris" : [ "http://www.mendeley.com/documents/?uuid=180c4d7f-20ac-43de-9370-9099b3230576" ] } ], "mendeley" : { "formattedCitation" : "(Foo &amp; Hameed, 2012)", "manualFormatting" : "Foo &amp; Hameed, ", "plainTextFormattedCitation" : "(Foo &amp; Hameed, 2012)", "previouslyFormattedCitation" : "(Foo &amp; Hameed, 2012)" }, "properties" : { "noteIndex" : 0 }, "schema" : "https://github.com/citation-style-language/schema/raw/master/csl-citation.json" }</w:instrText>
      </w:r>
      <w:r>
        <w:rPr>
          <w:lang w:val="en-GB"/>
        </w:rPr>
        <w:fldChar w:fldCharType="separate"/>
      </w:r>
      <w:r>
        <w:rPr>
          <w:noProof/>
          <w:lang w:val="en-GB"/>
        </w:rPr>
        <w:t>Foo &amp; Hameed</w:t>
      </w:r>
      <w:r>
        <w:rPr>
          <w:lang w:val="en-GB"/>
        </w:rPr>
        <w:fldChar w:fldCharType="end"/>
      </w:r>
      <w:r>
        <w:rPr>
          <w:lang w:val="en-GB"/>
        </w:rPr>
        <w:t xml:space="preserve"> [5]  and </w:t>
      </w:r>
      <w:r>
        <w:rPr>
          <w:lang w:val="en-GB"/>
        </w:rPr>
        <w:fldChar w:fldCharType="begin" w:fldLock="1"/>
      </w:r>
      <w:r>
        <w:rPr>
          <w:lang w:val="en-GB"/>
        </w:rPr>
        <w:instrText>ADDIN CSL_CITATION { "citationItems" : [ { "id" : "ITEM-1", "itemData" : { "author" : [ { "dropping-particle" : "", "family" : "Moodley", "given" : "Krishnie", "non-dropping-particle" : "", "parse-names" : false, "suffix" : "" }, { "dropping-particle" : "", "family" : "Singh", "given" : "Ruella", "non-dropping-particle" : "", "parse-names" : false, "suffix" : "" }, { "dropping-particle" : "", "family" : "Musapatika", "given" : "Evans T", "non-dropping-particle" : "", "parse-names" : false, "suffix" : "" }, { "dropping-particle" : "", "family" : "Onyango", "given" : "Maurice S", "non-dropping-particle" : "", "parse-names" : false, "suffix" : "" }, { "dropping-particle" : "", "family" : "Ochieng", "given" : "Aoyi", "non-dropping-particle" : "", "parse-names" : false, "suffix" : "" } ], "id" : "ITEM-1", "issue" : "1", "issued" : { "date-parts" : [ [ "2011" ] ] }, "page" : "41-46", "title" : "Removal of nickel from wastewater using an agricultural adsorbent", "type" : "article-journal", "volume" : "37" }, "uris" : [ "http://www.mendeley.com/documents/?uuid=5255b8dc-ce1e-43f5-8933-a86e26cf8834" ] } ], "mendeley" : { "formattedCitation" : "(Moodley, Singh, Musapatika, Onyango, &amp; Ochieng, 2011)", "manualFormatting" : "Moodley et al. ", "plainTextFormattedCitation" : "(Moodley, Singh, Musapatika, Onyango, &amp; Ochieng, 2011)", "previouslyFormattedCitation" : "(Moodley, Singh, Musapatika, Onyango, &amp; Ochieng, 2011)" }, "properties" : { "noteIndex" : 0 }, "schema" : "https://github.com/citation-style-language/schema/raw/master/csl-citation.json" }</w:instrText>
      </w:r>
      <w:r>
        <w:rPr>
          <w:lang w:val="en-GB"/>
        </w:rPr>
        <w:fldChar w:fldCharType="separate"/>
      </w:r>
      <w:r>
        <w:rPr>
          <w:noProof/>
          <w:lang w:val="en-GB"/>
        </w:rPr>
        <w:t>Moodley et al.</w:t>
      </w:r>
      <w:r>
        <w:rPr>
          <w:lang w:val="en-GB"/>
        </w:rPr>
        <w:fldChar w:fldCharType="end"/>
      </w:r>
      <w:r>
        <w:rPr>
          <w:lang w:val="en-GB"/>
        </w:rPr>
        <w:t xml:space="preserve">[6] and  rice husk as AC by </w:t>
      </w:r>
      <w:r>
        <w:rPr>
          <w:lang w:val="en-GB"/>
        </w:rPr>
        <w:fldChar w:fldCharType="begin" w:fldLock="1"/>
      </w:r>
      <w:r>
        <w:rPr>
          <w:lang w:val="en-GB"/>
        </w:rPr>
        <w:instrText>ADDIN CSL_CITATION { "citationItems" : [ { "id" : "ITEM-1", "itemData" : { "author" : [ { "dropping-particle" : "", "family" : "Khan", "given" : "Nasehir", "non-dropping-particle" : "", "parse-names" : false, "suffix" : "" }, { "dropping-particle" : "", "family" : "Yahaya", "given" : "E M", "non-dropping-particle" : "", "parse-names" : false, "suffix" : "" }, { "dropping-particle" : "", "family" : "Faizal", "given" : "Muhamad", "non-dropping-particle" : "", "parse-names" : false, "suffix" : "" }, { "dropping-particle" : "", "family" : "Mohamed", "given" : "Pakir", "non-dropping-particle" : "", "parse-names" : false, "suffix" : "" }, { "dropping-particle" : "", "family" : "Abustan", "given" : "Ismail", "non-dropping-particle" : "", "parse-names" : false, "suffix" : "" }, { "dropping-particle" : "", "family" : "Azmier", "given" : "Mohd", "non-dropping-particle" : "", "parse-names" : false, "suffix" : "" } ], "id" : "ITEM-1", "issue" : "06", "issued" : { "date-parts" : [ [ "2010" ] ] }, "page" : "1-5", "title" : "Effect of Preparation Conditions of Activated Carbon Prepared from Rice Husk by ZnCl 2 Activation for Removal of Cu ( II ) from Aqueous Solution", "type" : "article-journal" }, "uris" : [ "http://www.mendeley.com/documents/?uuid=77e0afa8-56ce-4c71-966c-bea75bb8de0f" ] } ], "mendeley" : { "formattedCitation" : "(Khan et al., 2010)", "manualFormatting" : "Khan et al., ", "plainTextFormattedCitation" : "(Khan et al., 2010)", "previouslyFormattedCitation" : "(Khan et al., 2010)" }, "properties" : { "noteIndex" : 0 }, "schema" : "https://github.com/citation-style-language/schema/raw/master/csl-citation.json" }</w:instrText>
      </w:r>
      <w:r>
        <w:rPr>
          <w:lang w:val="en-GB"/>
        </w:rPr>
        <w:fldChar w:fldCharType="separate"/>
      </w:r>
      <w:r>
        <w:rPr>
          <w:noProof/>
          <w:lang w:val="en-GB"/>
        </w:rPr>
        <w:t>Khan et al.</w:t>
      </w:r>
      <w:r>
        <w:rPr>
          <w:lang w:val="en-GB"/>
        </w:rPr>
        <w:fldChar w:fldCharType="end"/>
      </w:r>
      <w:r>
        <w:rPr>
          <w:lang w:val="en-GB"/>
        </w:rPr>
        <w:t xml:space="preserve">[7], </w:t>
      </w:r>
      <w:r>
        <w:rPr>
          <w:lang w:val="en-GB"/>
        </w:rPr>
        <w:fldChar w:fldCharType="begin" w:fldLock="1"/>
      </w:r>
      <w:r>
        <w:rPr>
          <w:lang w:val="en-GB"/>
        </w:rPr>
        <w:instrText>ADDIN CSL_CITATION { "citationItems" : [ { "id" : "ITEM-1", "itemData" : { "DOI" : "10.1016/j.cis.2011.01.006", "ISSN" : "1873-3727", "PMID" : "21353192", "abstract" : "The production of functional activated carbon materials starting from cheap natural precursors using environmentally friendly processes is a highly attractive subject in material chemistry today. Recently, much attention has been focused on the use of plant biomass to produce functional carbonaceous materials, encompassing economic, environmental and social issues. Besides the classical route to produce activated carbons from fossil materials, rice husk shows clear advantages in that it can generate a variety of cheap and sustainable carbonaceous materials with attractive nanostructure and functional patterns for a wide range of applications. From a comprehensive literature review, it was found that porous carbon that derived from rice husks, in addition to having wide availability, has fast kinetics and appreciable adsorption capacities too. Porous carbon materials also play a significant role in new applications such as catalytic supports, battery electrodes, capacitors, and gas storage. In this review, an extensive list of rice husks literature has been compiled. Conclusions have been drawn from the literature reviewed, and suggestions for future research are proposed.", "author" : [ { "dropping-particle" : "", "family" : "Chen", "given" : "Yue", "non-dropping-particle" : "", "parse-names" : false, "suffix" : "" }, { "dropping-particle" : "", "family" : "Zhu", "given" : "Yanchao", "non-dropping-particle" : "", "parse-names" : false, "suffix" : "" }, { "dropping-particle" : "", "family" : "Wang", "given" : "Zichen", "non-dropping-particle" : "", "parse-names" : false, "suffix" : "" }, { "dropping-particle" : "", "family" : "Li", "given" : "Ying", "non-dropping-particle" : "", "parse-names" : false, "suffix" : "" }, { "dropping-particle" : "", "family" : "Wang", "given" : "Lili", "non-dropping-particle" : "", "parse-names" : false, "suffix" : "" }, { "dropping-particle" : "", "family" : "Ding", "given" : "Lili", "non-dropping-particle" : "", "parse-names" : false, "suffix" : "" }, { "dropping-particle" : "", "family" : "Gao", "given" : "Xiaoyan", "non-dropping-particle" : "", "parse-names" : false, "suffix" : "" }, { "dropping-particle" : "", "family" : "Ma", "given" : "Yuejia", "non-dropping-particle" : "", "parse-names" : false, "suffix" : "" }, { "dropping-particle" : "", "family" : "Guo", "given" : "Yupeng", "non-dropping-particle" : "", "parse-names" : false, "suffix" : "" } ], "container-title" : "Advances in colloid and interface science", "id" : "ITEM-1", "issue" : "1", "issued" : { "date-parts" : [ [ "2011", "3", "15" ] ] }, "page" : "39-52", "publisher" : "Elsevier B.V.", "title" : "Application studies of activated carbon derived from rice husks produced by chemical-thermal process--a review.", "type" : "article-journal", "volume" : "163" }, "uris" : [ "http://www.mendeley.com/documents/?uuid=56ac1399-7ce9-47d5-ba74-41fe15dff077" ] } ], "mendeley" : { "formattedCitation" : "(Chen et al., 2011)", "manualFormatting" : "Chen et al., ", "plainTextFormattedCitation" : "(Chen et al., 2011)", "previouslyFormattedCitation" : "(Chen et al., 2011)" }, "properties" : { "noteIndex" : 0 }, "schema" : "https://github.com/citation-style-language/schema/raw/master/csl-citation.json" }</w:instrText>
      </w:r>
      <w:r>
        <w:rPr>
          <w:lang w:val="en-GB"/>
        </w:rPr>
        <w:fldChar w:fldCharType="separate"/>
      </w:r>
      <w:r>
        <w:rPr>
          <w:noProof/>
          <w:lang w:val="en-GB"/>
        </w:rPr>
        <w:t>Chen et al.</w:t>
      </w:r>
      <w:r>
        <w:rPr>
          <w:lang w:val="en-GB"/>
        </w:rPr>
        <w:fldChar w:fldCharType="end"/>
      </w:r>
      <w:r>
        <w:rPr>
          <w:lang w:val="en-GB"/>
        </w:rPr>
        <w:t xml:space="preserve">[8], </w:t>
      </w:r>
      <w:r>
        <w:rPr>
          <w:lang w:val="en-GB"/>
        </w:rPr>
        <w:fldChar w:fldCharType="begin" w:fldLock="1"/>
      </w:r>
      <w:r>
        <w:rPr>
          <w:lang w:val="en-GB"/>
        </w:rPr>
        <w:instrText>ADDIN CSL_CITATION { "citationItems" : [ { "id" : "ITEM-1", "itemData" : { "DOI" : "10.1016/j.electacta.2013.10.060", "ISSN" : "00134686", "author" : [ { "dropping-particle" : "", "family" : "Kumagai", "given" : "Seiji", "non-dropping-particle" : "", "parse-names" : false, "suffix" : "" }, { "dropping-particle" : "", "family" : "Sato", "given" : "Masashi", "non-dropping-particle" : "", "parse-names" : false, "suffix" : "" }, { "dropping-particle" : "", "family" : "Tashima", "given" : "Daisuke", "non-dropping-particle" : "", "parse-names" : false, "suffix" : "" } ], "container-title" : "Electrochimica Acta", "id" : "ITEM-1", "issued" : { "date-parts" : [ [ "2013", "12" ] ] }, "page" : "617-626", "publisher" : "Elsevier Ltd", "title" : "Electrical double-layer capacitance of micro- and mesoporous activated carbon prepared from rice husk and beet sugar", "type" : "article-journal", "volume" : "114" }, "uris" : [ "http://www.mendeley.com/documents/?uuid=afdc262a-bd4a-4cc4-83e2-377cad48958e" ] } ], "mendeley" : { "formattedCitation" : "(Kumagai, Sato, &amp; Tashima, 2013)", "manualFormatting" : "Kumagai et al., ", "plainTextFormattedCitation" : "(Kumagai, Sato, &amp; Tashima, 2013)", "previouslyFormattedCitation" : "(Kumagai, Sato, &amp; Tashima, 2013)" }, "properties" : { "noteIndex" : 0 }, "schema" : "https://github.com/citation-style-language/schema/raw/master/csl-citation.json" }</w:instrText>
      </w:r>
      <w:r>
        <w:rPr>
          <w:lang w:val="en-GB"/>
        </w:rPr>
        <w:fldChar w:fldCharType="separate"/>
      </w:r>
      <w:r>
        <w:rPr>
          <w:noProof/>
          <w:lang w:val="en-GB"/>
        </w:rPr>
        <w:t>Kumagai et al.</w:t>
      </w:r>
      <w:r>
        <w:rPr>
          <w:lang w:val="en-GB"/>
        </w:rPr>
        <w:fldChar w:fldCharType="end"/>
      </w:r>
      <w:r>
        <w:rPr>
          <w:lang w:val="en-GB"/>
        </w:rPr>
        <w:t xml:space="preserve">[9] and </w:t>
      </w:r>
      <w:r>
        <w:rPr>
          <w:lang w:val="en-GB"/>
        </w:rPr>
        <w:fldChar w:fldCharType="begin" w:fldLock="1"/>
      </w:r>
      <w:r>
        <w:rPr>
          <w:lang w:val="en-GB"/>
        </w:rPr>
        <w:instrText>ADDIN CSL_CITATION { "citationItems" : [ { "id" : "ITEM-1", "itemData" : { "DOI" : "10.1016/j.colsurfa.2014.01.030", "ISSN" : "09277757", "author" : [ { "dropping-particle" : "", "family" : "Ding", "given" : "Lili", "non-dropping-particle" : "", "parse-names" : false, "suffix" : "" }, { "dropping-particle" : "", "family" : "Zou", "given" : "Bo", "non-dropping-particle" : "", "parse-names" : false, "suffix" : "" }, { "dropping-particle" : "", "family" : "Gao", "given" : "Wei", "non-dropping-particle" : "", "parse-names" : false, "suffix" : "" }, { "dropping-particle" : "", "family" : "Liu", "given" : "Qi", "non-dropping-particle" : "", "parse-names" : false, "suffix" : "" }, { "dropping-particle" : "", "family" : "Wang", "given" : "Zichen", "non-dropping-particle" : "", "parse-names" : false, "suffix" : "" }, { "dropping-particle" : "", "family" : "Guo", "given" : "Yupeng", "non-dropping-particle" : "", "parse-names" : false, "suffix" : "" }, { "dropping-particle" : "", "family" : "Wang", "given" : "Xiaofeng", "non-dropping-particle" : "", "parse-names" : false, "suffix" : "" }, { "dropping-particle" : "", "family" : "Liu", "given" : "Yanhua", "non-dropping-particle" : "", "parse-names" : false, "suffix" : "" } ], "container-title" : "Colloids and Surfaces A: Physicochemical and Engineering Aspects", "id" : "ITEM-1", "issued" : { "date-parts" : [ [ "2014", "4" ] ] }, "page" : "1-7", "publisher" : "Elsevier B.V.", "title" : "Adsorption of Rhodamine-B from aqueous solution using treated rice husk-based activated carbon", "type" : "article-journal", "volume" : "446" }, "uris" : [ "http://www.mendeley.com/documents/?uuid=332fdc9f-d4e8-424a-ad15-43ca165c62ca" ] } ], "mendeley" : { "formattedCitation" : "(Ding et al., 2014)", "manualFormatting" : "Ding et al. ", "plainTextFormattedCitation" : "(Ding et al., 2014)", "previouslyFormattedCitation" : "(Ding et al., 2014)" }, "properties" : { "noteIndex" : 0 }, "schema" : "https://github.com/citation-style-language/schema/raw/master/csl-citation.json" }</w:instrText>
      </w:r>
      <w:r>
        <w:rPr>
          <w:lang w:val="en-GB"/>
        </w:rPr>
        <w:fldChar w:fldCharType="separate"/>
      </w:r>
      <w:r>
        <w:rPr>
          <w:noProof/>
          <w:lang w:val="en-GB"/>
        </w:rPr>
        <w:t>Ding et al.</w:t>
      </w:r>
      <w:r>
        <w:rPr>
          <w:lang w:val="en-GB"/>
        </w:rPr>
        <w:fldChar w:fldCharType="end"/>
      </w:r>
      <w:r>
        <w:rPr>
          <w:lang w:val="en-GB"/>
        </w:rPr>
        <w:t xml:space="preserve">[10]  have generated highly </w:t>
      </w:r>
      <w:r w:rsidR="00D07FC8">
        <w:rPr>
          <w:lang w:val="en-GB"/>
        </w:rPr>
        <w:t>porous carbonaceous carbon. These</w:t>
      </w:r>
      <w:r>
        <w:rPr>
          <w:lang w:val="en-GB"/>
        </w:rPr>
        <w:t xml:space="preserve"> report</w:t>
      </w:r>
      <w:r w:rsidR="00D07FC8">
        <w:rPr>
          <w:lang w:val="en-GB"/>
        </w:rPr>
        <w:t>s</w:t>
      </w:r>
      <w:r>
        <w:rPr>
          <w:lang w:val="en-GB"/>
        </w:rPr>
        <w:t xml:space="preserve"> showed that both components of sawdust and rice husk are suitable as a potential precursor. Thus, SMFW has been selected as precursor for this study as there is lack of literature study on utilization of sawdust and rice husk combination medium of SMFW AC preparation and application. </w:t>
      </w:r>
    </w:p>
    <w:p w:rsidR="00FE1EFC" w:rsidRDefault="00FE1EFC" w:rsidP="00FE1EFC">
      <w:pPr>
        <w:pStyle w:val="Els-body-text"/>
        <w:spacing w:line="240" w:lineRule="auto"/>
        <w:ind w:firstLine="0"/>
      </w:pPr>
    </w:p>
    <w:p w:rsidR="00FE1EFC" w:rsidRDefault="00FE1EFC" w:rsidP="00FE1EFC">
      <w:pPr>
        <w:pStyle w:val="Els-body-text"/>
        <w:spacing w:line="240" w:lineRule="auto"/>
        <w:ind w:firstLine="0"/>
      </w:pPr>
      <w:r>
        <w:t xml:space="preserve">The aim of this study is to </w:t>
      </w:r>
      <w:r>
        <w:rPr>
          <w:lang w:val="ms-MY"/>
        </w:rPr>
        <w:t>optimize SMFW AC preparation parameters of impregnation ratio (IR) between KOH and SMFW, activation time and activation temperature. The analysis involve multiple responses of percentage yield and iodine number via BBD of RSM method.</w:t>
      </w:r>
    </w:p>
    <w:p w:rsidR="00FE1EFC" w:rsidRDefault="00FE1EFC" w:rsidP="00FE1EFC">
      <w:pPr>
        <w:spacing w:after="0" w:line="240" w:lineRule="auto"/>
        <w:jc w:val="center"/>
        <w:rPr>
          <w:rFonts w:ascii="Times New Roman" w:hAnsi="Times New Roman"/>
          <w:noProof/>
          <w:sz w:val="20"/>
          <w:szCs w:val="20"/>
          <w:lang w:bidi="ar-SA"/>
        </w:rPr>
      </w:pPr>
    </w:p>
    <w:p w:rsidR="00FE1EFC" w:rsidRDefault="00FE1EFC" w:rsidP="00FE1EFC">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Materials and Methods</w:t>
      </w:r>
    </w:p>
    <w:p w:rsidR="00FE1EFC" w:rsidRDefault="00FE1EFC" w:rsidP="00FE1EFC">
      <w:pPr>
        <w:pStyle w:val="Text"/>
        <w:spacing w:line="240" w:lineRule="auto"/>
        <w:ind w:firstLine="0"/>
        <w:rPr>
          <w:b/>
          <w:iCs/>
        </w:rPr>
      </w:pPr>
      <w:r>
        <w:rPr>
          <w:b/>
          <w:iCs/>
        </w:rPr>
        <w:t>Materials</w:t>
      </w:r>
    </w:p>
    <w:p w:rsidR="00FE1EFC" w:rsidRDefault="00FE1EFC" w:rsidP="00FE1EFC">
      <w:pPr>
        <w:pStyle w:val="Text"/>
        <w:spacing w:line="240" w:lineRule="auto"/>
        <w:ind w:firstLine="0"/>
      </w:pPr>
      <w:r>
        <w:t xml:space="preserve">Spent mushroom farming waste (SMFW) used for preparation of activated carbon was provided by C&amp;C Mushroom Cultivation Farm, Johor, Malaysia. </w:t>
      </w:r>
    </w:p>
    <w:p w:rsidR="00FE1EFC" w:rsidRDefault="00FE1EFC" w:rsidP="00FE1EFC">
      <w:pPr>
        <w:pStyle w:val="Text"/>
        <w:spacing w:line="240" w:lineRule="auto"/>
        <w:ind w:firstLine="0"/>
        <w:rPr>
          <w:b/>
        </w:rPr>
      </w:pPr>
    </w:p>
    <w:p w:rsidR="00FE1EFC" w:rsidRDefault="00FE1EFC" w:rsidP="00FE1EFC">
      <w:pPr>
        <w:pStyle w:val="Text"/>
        <w:spacing w:line="240" w:lineRule="auto"/>
        <w:ind w:firstLine="0"/>
        <w:rPr>
          <w:b/>
          <w:iCs/>
        </w:rPr>
      </w:pPr>
      <w:r>
        <w:rPr>
          <w:b/>
          <w:iCs/>
        </w:rPr>
        <w:t>Characterization of the activated carbon</w:t>
      </w:r>
    </w:p>
    <w:p w:rsidR="00FE1EFC" w:rsidRDefault="00FE1EFC" w:rsidP="00FE1EFC">
      <w:pPr>
        <w:pStyle w:val="Text"/>
        <w:spacing w:line="240" w:lineRule="auto"/>
        <w:ind w:firstLine="0"/>
        <w:rPr>
          <w:iCs/>
        </w:rPr>
      </w:pPr>
      <w:r>
        <w:rPr>
          <w:iCs/>
        </w:rPr>
        <w:t>The AC surface morphology was analyzed using Field Emission Scanning Electron Miscroscope (FESEM) of ZEISS Supra 40VP at voltage of 5 kV and 12000 magnifications. The Fourier Transform Infrared (FTIR) spectra were analyzed using Series 100 PerkinElmer Fourier Transform Infra-Red (FTIR) spectroscopy in the range of 400 – 4000 cm</w:t>
      </w:r>
      <w:r>
        <w:rPr>
          <w:iCs/>
          <w:vertAlign w:val="superscript"/>
        </w:rPr>
        <w:t>-1</w:t>
      </w:r>
      <w:r>
        <w:rPr>
          <w:iCs/>
        </w:rPr>
        <w:t xml:space="preserve"> for surface functional groups identification. Thermogravimetric analyzer (TGA) TA Model SDT Q600 V8.3, under nitrogen gas atmosphere with heating condition following the ASTM D2974 was conducted.</w:t>
      </w:r>
    </w:p>
    <w:p w:rsidR="00FE1EFC" w:rsidRDefault="00FE1EFC" w:rsidP="00FE1EFC">
      <w:pPr>
        <w:pStyle w:val="Text"/>
        <w:spacing w:line="240" w:lineRule="auto"/>
        <w:ind w:firstLine="0"/>
        <w:rPr>
          <w:b/>
          <w:iCs/>
        </w:rPr>
      </w:pPr>
    </w:p>
    <w:p w:rsidR="00FE1EFC" w:rsidRDefault="00FE1EFC" w:rsidP="00FE1EFC">
      <w:pPr>
        <w:pStyle w:val="Text"/>
        <w:spacing w:line="240" w:lineRule="auto"/>
        <w:ind w:firstLine="0"/>
        <w:rPr>
          <w:b/>
          <w:iCs/>
        </w:rPr>
      </w:pPr>
      <w:r>
        <w:rPr>
          <w:b/>
          <w:iCs/>
        </w:rPr>
        <w:t>Activated carbon preparation via Box-Behnken Design</w:t>
      </w:r>
    </w:p>
    <w:p w:rsidR="00FE1EFC" w:rsidRDefault="00FE1EFC" w:rsidP="00FE1EFC">
      <w:pPr>
        <w:pStyle w:val="Text"/>
        <w:spacing w:line="240" w:lineRule="auto"/>
        <w:ind w:firstLine="0"/>
      </w:pPr>
      <w:r>
        <w:rPr>
          <w:lang w:val="en-GB"/>
        </w:rPr>
        <w:t xml:space="preserve">The preparation of AC from SMFW was accomplished using sodium hydroxide (KOH) as activating agent. The SMFW was impregnated with the KOH for 24 hours respectively. The slurry was then dried at 80 </w:t>
      </w:r>
      <w:r>
        <w:rPr>
          <w:rFonts w:ascii="Cambria Math" w:hAnsi="Cambria Math" w:cs="Cambria Math"/>
          <w:lang w:val="en-GB"/>
        </w:rPr>
        <w:t>⁰</w:t>
      </w:r>
      <w:r>
        <w:rPr>
          <w:lang w:val="en-GB"/>
        </w:rPr>
        <w:t xml:space="preserve">C for 24 hours. The impregnate precursor was carbonized in furnace. The produced char was washed with hydrochloric acid and distilled water to remove residual KOH and dried at 80 </w:t>
      </w:r>
      <w:r>
        <w:rPr>
          <w:rFonts w:ascii="Cambria Math" w:hAnsi="Cambria Math" w:cs="Cambria Math"/>
          <w:lang w:val="en-GB"/>
        </w:rPr>
        <w:t>⁰</w:t>
      </w:r>
      <w:r>
        <w:rPr>
          <w:lang w:val="en-GB"/>
        </w:rPr>
        <w:t xml:space="preserve">C. </w:t>
      </w:r>
      <w:r>
        <w:t xml:space="preserve">Finally, the prepared AC was sieved to size of 150 micrometer and kept in drying cabinet prior to use. The experiments were applied using parameter set by BBD of RSM method. The variables studied were (i) </w:t>
      </w:r>
      <w:r>
        <w:rPr>
          <w:i/>
          <w:iCs/>
        </w:rPr>
        <w:t>x</w:t>
      </w:r>
      <w:r>
        <w:t xml:space="preserve">1, KOH: SMFW impregnation ratio; (ii) </w:t>
      </w:r>
      <w:r>
        <w:rPr>
          <w:i/>
          <w:iCs/>
        </w:rPr>
        <w:t>x</w:t>
      </w:r>
      <w:r>
        <w:t xml:space="preserve">2, activation time and (iii) </w:t>
      </w:r>
      <w:r>
        <w:rPr>
          <w:i/>
          <w:iCs/>
        </w:rPr>
        <w:t>x</w:t>
      </w:r>
      <w:r>
        <w:t>3, activation temperature. The experimental sequence was randomized in order to minimize the effects of the uncontrolled factors</w:t>
      </w:r>
      <w:r>
        <w:rPr>
          <w:vertAlign w:val="superscript"/>
        </w:rPr>
        <w:t xml:space="preserve"> </w:t>
      </w:r>
      <w:r>
        <w:t>[3]. The two responses were carbon yield (Y</w:t>
      </w:r>
      <w:r>
        <w:rPr>
          <w:vertAlign w:val="subscript"/>
        </w:rPr>
        <w:t>1</w:t>
      </w:r>
      <w:r>
        <w:t>) and iodine number (Y</w:t>
      </w:r>
      <w:r>
        <w:rPr>
          <w:vertAlign w:val="subscript"/>
        </w:rPr>
        <w:t>2</w:t>
      </w:r>
      <w:r>
        <w:t xml:space="preserve">). Each response was used to develop an empirical model which correlated the response to the three activated carbon preparation parameters. </w:t>
      </w:r>
      <w:r>
        <w:lastRenderedPageBreak/>
        <w:t>The percentage of activated carbon yield was calculated as equation (1).</w:t>
      </w:r>
      <w:r>
        <w:rPr>
          <w:i/>
        </w:rPr>
        <w:t xml:space="preserve"> </w:t>
      </w:r>
      <w:r>
        <w:t>Iodine test was conducted according to ASTM D4607method and calculation as shown in equation</w:t>
      </w:r>
      <w:r>
        <w:rPr>
          <w:i/>
        </w:rPr>
        <w:t xml:space="preserve"> </w:t>
      </w:r>
      <w:r>
        <w:t>(2) below:</w:t>
      </w:r>
    </w:p>
    <w:p w:rsidR="00FE1EFC" w:rsidRDefault="00FE1EFC" w:rsidP="00FE1EFC">
      <w:pPr>
        <w:spacing w:after="0" w:line="240" w:lineRule="auto"/>
        <w:jc w:val="both"/>
        <w:rPr>
          <w:rFonts w:ascii="Times New Roman" w:hAnsi="Times New Roman"/>
          <w:sz w:val="20"/>
          <w:szCs w:val="20"/>
          <w:lang w:eastAsia="en-MY"/>
        </w:rPr>
      </w:pPr>
    </w:p>
    <w:p w:rsidR="00FE1EFC" w:rsidRDefault="00FE1EFC" w:rsidP="00FE1EFC">
      <w:pPr>
        <w:spacing w:after="0" w:line="240" w:lineRule="auto"/>
        <w:jc w:val="both"/>
        <w:rPr>
          <w:rFonts w:ascii="Times New Roman" w:hAnsi="Times New Roman"/>
          <w:sz w:val="20"/>
          <w:szCs w:val="20"/>
          <w:lang w:eastAsia="en-MY"/>
        </w:rPr>
      </w:pPr>
      <m:oMath>
        <m:r>
          <m:rPr>
            <m:sty m:val="p"/>
          </m:rPr>
          <w:rPr>
            <w:rFonts w:ascii="Cambria Math" w:hAnsi="Cambria Math"/>
            <w:sz w:val="20"/>
            <w:szCs w:val="20"/>
            <w:lang w:eastAsia="en-MY"/>
          </w:rPr>
          <m:t xml:space="preserve">            Percentage yield </m:t>
        </m:r>
        <m:d>
          <m:dPr>
            <m:ctrlPr>
              <w:rPr>
                <w:rFonts w:ascii="Cambria Math" w:hAnsi="Cambria Math"/>
                <w:lang w:eastAsia="en-MY"/>
              </w:rPr>
            </m:ctrlPr>
          </m:dPr>
          <m:e>
            <m:r>
              <m:rPr>
                <m:sty m:val="p"/>
              </m:rPr>
              <w:rPr>
                <w:rFonts w:ascii="Cambria Math" w:hAnsi="Cambria Math"/>
                <w:sz w:val="20"/>
                <w:szCs w:val="20"/>
                <w:lang w:eastAsia="en-MY"/>
              </w:rPr>
              <m:t>%</m:t>
            </m:r>
          </m:e>
        </m:d>
        <m:r>
          <m:rPr>
            <m:sty m:val="p"/>
          </m:rPr>
          <w:rPr>
            <w:rFonts w:ascii="Cambria Math" w:hAnsi="Cambria Math"/>
            <w:sz w:val="20"/>
            <w:szCs w:val="20"/>
            <w:lang w:eastAsia="en-MY"/>
          </w:rPr>
          <m:t>=</m:t>
        </m:r>
        <m:f>
          <m:fPr>
            <m:ctrlPr>
              <w:rPr>
                <w:rFonts w:ascii="Cambria Math" w:hAnsi="Cambria Math"/>
                <w:lang w:eastAsia="en-MY"/>
              </w:rPr>
            </m:ctrlPr>
          </m:fPr>
          <m:num>
            <m:r>
              <m:rPr>
                <m:sty m:val="p"/>
              </m:rPr>
              <w:rPr>
                <w:rFonts w:ascii="Cambria Math" w:hAnsi="Cambria Math"/>
                <w:sz w:val="20"/>
                <w:szCs w:val="20"/>
                <w:lang w:eastAsia="en-MY"/>
              </w:rPr>
              <m:t>Weight of activated carbon</m:t>
            </m:r>
          </m:num>
          <m:den>
            <m:r>
              <m:rPr>
                <m:sty m:val="p"/>
              </m:rPr>
              <w:rPr>
                <w:rFonts w:ascii="Cambria Math" w:hAnsi="Cambria Math"/>
                <w:sz w:val="20"/>
                <w:szCs w:val="20"/>
                <w:lang w:eastAsia="en-MY"/>
              </w:rPr>
              <m:t>Weight of dried SMFW</m:t>
            </m:r>
          </m:den>
        </m:f>
        <m:r>
          <m:rPr>
            <m:sty m:val="p"/>
          </m:rPr>
          <w:rPr>
            <w:rFonts w:ascii="Cambria Math" w:hAnsi="Cambria Math"/>
            <w:sz w:val="20"/>
            <w:szCs w:val="20"/>
            <w:lang w:eastAsia="en-MY"/>
          </w:rPr>
          <m:t xml:space="preserve"> x 100</m:t>
        </m:r>
      </m:oMath>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t xml:space="preserve">         (1)</w:t>
      </w:r>
    </w:p>
    <w:p w:rsidR="00FE1EFC" w:rsidRDefault="00FE1EFC" w:rsidP="00FE1EFC">
      <w:pPr>
        <w:spacing w:after="0" w:line="240" w:lineRule="auto"/>
        <w:jc w:val="both"/>
        <w:rPr>
          <w:rFonts w:ascii="Times New Roman" w:hAnsi="Times New Roman"/>
          <w:sz w:val="20"/>
          <w:szCs w:val="20"/>
          <w:lang w:eastAsia="en-MY"/>
        </w:rPr>
      </w:pPr>
    </w:p>
    <w:p w:rsidR="00FE1EFC" w:rsidRDefault="00FE1EFC" w:rsidP="00FE1EFC">
      <w:pPr>
        <w:spacing w:after="0" w:line="240" w:lineRule="auto"/>
        <w:jc w:val="both"/>
        <w:rPr>
          <w:rFonts w:ascii="Times New Roman" w:hAnsi="Times New Roman"/>
          <w:sz w:val="20"/>
          <w:szCs w:val="20"/>
          <w:lang w:eastAsia="en-MY"/>
        </w:rPr>
      </w:pPr>
      <m:oMath>
        <m:r>
          <w:rPr>
            <w:rFonts w:ascii="Cambria Math" w:hAnsi="Cambria Math"/>
            <w:sz w:val="20"/>
            <w:szCs w:val="20"/>
            <w:lang w:eastAsia="en-MY"/>
          </w:rPr>
          <m:t xml:space="preserve">            </m:t>
        </m:r>
        <m:f>
          <m:fPr>
            <m:ctrlPr>
              <w:rPr>
                <w:rFonts w:ascii="Cambria Math" w:hAnsi="Cambria Math"/>
                <w:lang w:eastAsia="en-MY"/>
              </w:rPr>
            </m:ctrlPr>
          </m:fPr>
          <m:num>
            <m:r>
              <m:rPr>
                <m:sty m:val="p"/>
              </m:rPr>
              <w:rPr>
                <w:rFonts w:ascii="Cambria Math" w:hAnsi="Cambria Math"/>
                <w:sz w:val="20"/>
                <w:szCs w:val="20"/>
                <w:lang w:eastAsia="en-MY"/>
              </w:rPr>
              <m:t>X</m:t>
            </m:r>
          </m:num>
          <m:den>
            <m:r>
              <m:rPr>
                <m:sty m:val="p"/>
              </m:rPr>
              <w:rPr>
                <w:rFonts w:ascii="Cambria Math" w:hAnsi="Cambria Math"/>
                <w:sz w:val="20"/>
                <w:szCs w:val="20"/>
                <w:lang w:eastAsia="en-MY"/>
              </w:rPr>
              <m:t>M</m:t>
            </m:r>
          </m:den>
        </m:f>
        <m:r>
          <m:rPr>
            <m:sty m:val="p"/>
          </m:rPr>
          <w:rPr>
            <w:rFonts w:ascii="Cambria Math" w:hAnsi="Cambria Math"/>
            <w:sz w:val="20"/>
            <w:szCs w:val="20"/>
            <w:lang w:eastAsia="en-MY"/>
          </w:rPr>
          <m:t xml:space="preserve">= </m:t>
        </m:r>
        <m:f>
          <m:fPr>
            <m:ctrlPr>
              <w:rPr>
                <w:rFonts w:ascii="Cambria Math" w:hAnsi="Cambria Math"/>
                <w:lang w:eastAsia="en-MY"/>
              </w:rPr>
            </m:ctrlPr>
          </m:fPr>
          <m:num>
            <m:d>
              <m:dPr>
                <m:begChr m:val="["/>
                <m:endChr m:val="]"/>
                <m:ctrlPr>
                  <w:rPr>
                    <w:rFonts w:ascii="Cambria Math" w:hAnsi="Cambria Math"/>
                    <w:lang w:eastAsia="en-MY"/>
                  </w:rPr>
                </m:ctrlPr>
              </m:dPr>
              <m:e>
                <m:r>
                  <m:rPr>
                    <m:sty m:val="p"/>
                  </m:rPr>
                  <w:rPr>
                    <w:rFonts w:ascii="Cambria Math" w:hAnsi="Cambria Math"/>
                    <w:sz w:val="20"/>
                    <w:szCs w:val="20"/>
                    <w:lang w:eastAsia="en-MY"/>
                  </w:rPr>
                  <m:t>A-</m:t>
                </m:r>
                <m:d>
                  <m:dPr>
                    <m:ctrlPr>
                      <w:rPr>
                        <w:rFonts w:ascii="Cambria Math" w:hAnsi="Cambria Math"/>
                        <w:lang w:eastAsia="en-MY"/>
                      </w:rPr>
                    </m:ctrlPr>
                  </m:dPr>
                  <m:e>
                    <m:r>
                      <m:rPr>
                        <m:sty m:val="p"/>
                      </m:rPr>
                      <w:rPr>
                        <w:rFonts w:ascii="Cambria Math" w:hAnsi="Cambria Math"/>
                        <w:sz w:val="20"/>
                        <w:szCs w:val="20"/>
                        <w:lang w:eastAsia="en-MY"/>
                      </w:rPr>
                      <m:t>DF</m:t>
                    </m:r>
                  </m:e>
                </m:d>
                <m:d>
                  <m:dPr>
                    <m:ctrlPr>
                      <w:rPr>
                        <w:rFonts w:ascii="Cambria Math" w:hAnsi="Cambria Math"/>
                        <w:lang w:eastAsia="en-MY"/>
                      </w:rPr>
                    </m:ctrlPr>
                  </m:dPr>
                  <m:e>
                    <m:r>
                      <m:rPr>
                        <m:sty m:val="p"/>
                      </m:rPr>
                      <w:rPr>
                        <w:rFonts w:ascii="Cambria Math" w:hAnsi="Cambria Math"/>
                        <w:sz w:val="20"/>
                        <w:szCs w:val="20"/>
                        <w:lang w:eastAsia="en-MY"/>
                      </w:rPr>
                      <m:t>B</m:t>
                    </m:r>
                  </m:e>
                </m:d>
                <m:d>
                  <m:dPr>
                    <m:ctrlPr>
                      <w:rPr>
                        <w:rFonts w:ascii="Cambria Math" w:hAnsi="Cambria Math"/>
                        <w:lang w:eastAsia="en-MY"/>
                      </w:rPr>
                    </m:ctrlPr>
                  </m:dPr>
                  <m:e>
                    <m:r>
                      <m:rPr>
                        <m:sty m:val="p"/>
                      </m:rPr>
                      <w:rPr>
                        <w:rFonts w:ascii="Cambria Math" w:hAnsi="Cambria Math"/>
                        <w:sz w:val="20"/>
                        <w:szCs w:val="20"/>
                        <w:lang w:eastAsia="en-MY"/>
                      </w:rPr>
                      <m:t>S</m:t>
                    </m:r>
                  </m:e>
                </m:d>
              </m:e>
            </m:d>
          </m:num>
          <m:den>
            <m:r>
              <m:rPr>
                <m:sty m:val="p"/>
              </m:rPr>
              <w:rPr>
                <w:rFonts w:ascii="Cambria Math" w:hAnsi="Cambria Math"/>
                <w:sz w:val="20"/>
                <w:szCs w:val="20"/>
                <w:lang w:eastAsia="en-MY"/>
              </w:rPr>
              <m:t>M</m:t>
            </m:r>
          </m:den>
        </m:f>
      </m:oMath>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t xml:space="preserve">                       (2)</w:t>
      </w:r>
    </w:p>
    <w:p w:rsidR="00FE1EFC" w:rsidRDefault="00FE1EFC" w:rsidP="00FE1EFC">
      <w:pPr>
        <w:spacing w:after="0" w:line="240" w:lineRule="auto"/>
        <w:jc w:val="both"/>
        <w:rPr>
          <w:rFonts w:ascii="Times New Roman" w:hAnsi="Times New Roman"/>
          <w:sz w:val="20"/>
          <w:szCs w:val="20"/>
          <w:lang w:eastAsia="en-MY"/>
        </w:rPr>
      </w:pPr>
    </w:p>
    <w:p w:rsidR="00FE1EFC" w:rsidRDefault="00FE1EFC" w:rsidP="00FE1EFC">
      <w:pPr>
        <w:spacing w:after="0" w:line="240" w:lineRule="auto"/>
        <w:jc w:val="both"/>
        <w:rPr>
          <w:rFonts w:ascii="Times New Roman" w:hAnsi="Times New Roman"/>
          <w:sz w:val="20"/>
          <w:szCs w:val="20"/>
          <w:lang w:eastAsia="en-MY"/>
        </w:rPr>
      </w:pPr>
      <w:r>
        <w:rPr>
          <w:rFonts w:ascii="Times New Roman" w:hAnsi="Times New Roman"/>
          <w:sz w:val="20"/>
          <w:szCs w:val="20"/>
          <w:lang w:eastAsia="en-MY"/>
        </w:rPr>
        <w:t>where X/M is define</w:t>
      </w:r>
      <w:r w:rsidR="00D07FC8">
        <w:rPr>
          <w:rFonts w:ascii="Times New Roman" w:hAnsi="Times New Roman"/>
          <w:sz w:val="20"/>
          <w:szCs w:val="20"/>
          <w:lang w:eastAsia="en-MY"/>
        </w:rPr>
        <w:t>d</w:t>
      </w:r>
      <w:r>
        <w:rPr>
          <w:rFonts w:ascii="Times New Roman" w:hAnsi="Times New Roman"/>
          <w:sz w:val="20"/>
          <w:szCs w:val="20"/>
          <w:lang w:eastAsia="en-MY"/>
        </w:rPr>
        <w:t xml:space="preserve"> as iodine adsorbed per gram of carbon (mg/g), A is define</w:t>
      </w:r>
      <w:r w:rsidR="00D07FC8">
        <w:rPr>
          <w:rFonts w:ascii="Times New Roman" w:hAnsi="Times New Roman"/>
          <w:sz w:val="20"/>
          <w:szCs w:val="20"/>
          <w:lang w:eastAsia="en-MY"/>
        </w:rPr>
        <w:t>d</w:t>
      </w:r>
      <w:r>
        <w:rPr>
          <w:rFonts w:ascii="Times New Roman" w:hAnsi="Times New Roman"/>
          <w:sz w:val="20"/>
          <w:szCs w:val="20"/>
          <w:lang w:eastAsia="en-MY"/>
        </w:rPr>
        <w:t xml:space="preserve"> as normality of iodine solution × 12693, DF is define</w:t>
      </w:r>
      <w:r w:rsidR="00D07FC8">
        <w:rPr>
          <w:rFonts w:ascii="Times New Roman" w:hAnsi="Times New Roman"/>
          <w:sz w:val="20"/>
          <w:szCs w:val="20"/>
          <w:lang w:eastAsia="en-MY"/>
        </w:rPr>
        <w:t>d</w:t>
      </w:r>
      <w:r>
        <w:rPr>
          <w:rFonts w:ascii="Times New Roman" w:hAnsi="Times New Roman"/>
          <w:sz w:val="20"/>
          <w:szCs w:val="20"/>
          <w:lang w:eastAsia="en-MY"/>
        </w:rPr>
        <w:t xml:space="preserve"> as dilution factor (2.2), B is define</w:t>
      </w:r>
      <w:r w:rsidR="00D07FC8">
        <w:rPr>
          <w:rFonts w:ascii="Times New Roman" w:hAnsi="Times New Roman"/>
          <w:sz w:val="20"/>
          <w:szCs w:val="20"/>
          <w:lang w:eastAsia="en-MY"/>
        </w:rPr>
        <w:t>d</w:t>
      </w:r>
      <w:r>
        <w:rPr>
          <w:rFonts w:ascii="Times New Roman" w:hAnsi="Times New Roman"/>
          <w:sz w:val="20"/>
          <w:szCs w:val="20"/>
          <w:lang w:eastAsia="en-MY"/>
        </w:rPr>
        <w:t xml:space="preserve"> as normality of sodium thiosulfate solution × 126.93, S   is define</w:t>
      </w:r>
      <w:r w:rsidR="00D07FC8">
        <w:rPr>
          <w:rFonts w:ascii="Times New Roman" w:hAnsi="Times New Roman"/>
          <w:sz w:val="20"/>
          <w:szCs w:val="20"/>
          <w:lang w:eastAsia="en-MY"/>
        </w:rPr>
        <w:t>d</w:t>
      </w:r>
      <w:r>
        <w:rPr>
          <w:rFonts w:ascii="Times New Roman" w:hAnsi="Times New Roman"/>
          <w:sz w:val="20"/>
          <w:szCs w:val="20"/>
          <w:lang w:eastAsia="en-MY"/>
        </w:rPr>
        <w:t xml:space="preserve"> as sodium thiosulfate used for every titration (mL) and M is define</w:t>
      </w:r>
      <w:r w:rsidR="00D07FC8">
        <w:rPr>
          <w:rFonts w:ascii="Times New Roman" w:hAnsi="Times New Roman"/>
          <w:sz w:val="20"/>
          <w:szCs w:val="20"/>
          <w:lang w:eastAsia="en-MY"/>
        </w:rPr>
        <w:t>d</w:t>
      </w:r>
      <w:r>
        <w:rPr>
          <w:rFonts w:ascii="Times New Roman" w:hAnsi="Times New Roman"/>
          <w:sz w:val="20"/>
          <w:szCs w:val="20"/>
          <w:lang w:eastAsia="en-MY"/>
        </w:rPr>
        <w:t xml:space="preserve"> as weight of activated carbon used.</w:t>
      </w:r>
    </w:p>
    <w:p w:rsidR="00FE1EFC" w:rsidRDefault="00FE1EFC" w:rsidP="00FE1EFC">
      <w:pPr>
        <w:spacing w:after="0" w:line="240" w:lineRule="auto"/>
        <w:jc w:val="center"/>
        <w:rPr>
          <w:rFonts w:ascii="Times New Roman" w:hAnsi="Times New Roman"/>
          <w:noProof/>
          <w:sz w:val="20"/>
          <w:szCs w:val="20"/>
          <w:lang w:bidi="ar-SA"/>
        </w:rPr>
      </w:pPr>
    </w:p>
    <w:p w:rsidR="00FE1EFC" w:rsidRDefault="00FE1EFC" w:rsidP="00FE1EFC">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Results and Discussion</w:t>
      </w:r>
    </w:p>
    <w:p w:rsidR="00FE1EFC" w:rsidRDefault="00FE1EFC" w:rsidP="00FE1EFC">
      <w:pPr>
        <w:pStyle w:val="Text"/>
        <w:spacing w:line="240" w:lineRule="auto"/>
        <w:ind w:firstLine="0"/>
        <w:rPr>
          <w:b/>
        </w:rPr>
      </w:pPr>
      <w:r>
        <w:rPr>
          <w:b/>
        </w:rPr>
        <w:t>Characterization of the activated carbon</w:t>
      </w:r>
    </w:p>
    <w:p w:rsidR="00FE1EFC" w:rsidRDefault="00FE1EFC" w:rsidP="00FE1EFC">
      <w:pPr>
        <w:pStyle w:val="Text"/>
        <w:spacing w:line="240" w:lineRule="auto"/>
        <w:ind w:firstLine="0"/>
      </w:pPr>
      <w:r>
        <w:t>The SEM image of SMFW AC is shown in Figure 1. The SMFW AC has a rough surface with different size of pores. The large irregular structure of pores in the AC external surface indicated the macropores with linkage of mesopores and micropores rooting inside the internal structure of AC. Formation of the pores corresponded to the formation of metallic potassium (K) through activation process using KOH as activating agent. Intercalation of K in the carbon structure widened the existing pores and developed new porosity essential for adsorption process.</w:t>
      </w:r>
    </w:p>
    <w:p w:rsidR="00FE1EFC" w:rsidRDefault="00FE1EFC" w:rsidP="00FE1EFC">
      <w:pPr>
        <w:pStyle w:val="Text"/>
        <w:spacing w:line="240" w:lineRule="auto"/>
        <w:ind w:firstLine="0"/>
      </w:pPr>
    </w:p>
    <w:p w:rsidR="00FE1EFC" w:rsidRDefault="00FE1EFC" w:rsidP="00FE1EFC">
      <w:pPr>
        <w:pStyle w:val="Text"/>
        <w:spacing w:line="240" w:lineRule="auto"/>
        <w:ind w:firstLine="0"/>
      </w:pPr>
      <w:r>
        <w:rPr>
          <w:noProof/>
        </w:rPr>
        <w:drawing>
          <wp:anchor distT="0" distB="0" distL="114300" distR="114300" simplePos="0" relativeHeight="251665920" behindDoc="1" locked="0" layoutInCell="1" allowOverlap="1">
            <wp:simplePos x="0" y="0"/>
            <wp:positionH relativeFrom="column">
              <wp:posOffset>1656080</wp:posOffset>
            </wp:positionH>
            <wp:positionV relativeFrom="paragraph">
              <wp:posOffset>134620</wp:posOffset>
            </wp:positionV>
            <wp:extent cx="2820670" cy="1776730"/>
            <wp:effectExtent l="0" t="0" r="0" b="0"/>
            <wp:wrapTight wrapText="bothSides">
              <wp:wrapPolygon edited="0">
                <wp:start x="0" y="0"/>
                <wp:lineTo x="0" y="21307"/>
                <wp:lineTo x="21444" y="21307"/>
                <wp:lineTo x="21444" y="0"/>
                <wp:lineTo x="0" y="0"/>
              </wp:wrapPolygon>
            </wp:wrapTight>
            <wp:docPr id="10" name="Picture 10" descr="AC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C_0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670" cy="1776730"/>
                    </a:xfrm>
                    <a:prstGeom prst="rect">
                      <a:avLst/>
                    </a:prstGeom>
                    <a:noFill/>
                  </pic:spPr>
                </pic:pic>
              </a:graphicData>
            </a:graphic>
            <wp14:sizeRelH relativeFrom="page">
              <wp14:pctWidth>0</wp14:pctWidth>
            </wp14:sizeRelH>
            <wp14:sizeRelV relativeFrom="page">
              <wp14:pctHeight>0</wp14:pctHeight>
            </wp14:sizeRelV>
          </wp:anchor>
        </w:drawing>
      </w: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spacing w:after="0" w:line="240" w:lineRule="auto"/>
        <w:jc w:val="center"/>
        <w:rPr>
          <w:rFonts w:ascii="Times New Roman" w:hAnsi="Times New Roman"/>
          <w:sz w:val="20"/>
          <w:szCs w:val="20"/>
        </w:rPr>
      </w:pPr>
      <w:r>
        <w:rPr>
          <w:rFonts w:ascii="Times New Roman" w:hAnsi="Times New Roman"/>
          <w:sz w:val="20"/>
          <w:szCs w:val="20"/>
        </w:rPr>
        <w:t>Figure 1.  SEM image of SMFW activated carbon</w:t>
      </w: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r>
        <w:t>Figure 2 shows the FTIR image of SMFW AC to determine the AC surface chemistry of functional groups. From the spectra, the band at 3405 cm</w:t>
      </w:r>
      <w:r>
        <w:rPr>
          <w:vertAlign w:val="superscript"/>
        </w:rPr>
        <w:t>-1</w:t>
      </w:r>
      <w:r>
        <w:t xml:space="preserve"> was attributed to the hydrogen bond between –OH in the AC surface or –OH in water molecule [11]. Besides, band at 1384 cm</w:t>
      </w:r>
      <w:r>
        <w:rPr>
          <w:vertAlign w:val="superscript"/>
        </w:rPr>
        <w:t>-1</w:t>
      </w:r>
      <w:r>
        <w:t xml:space="preserve"> was attributed to stretching vibration of C-N bond [12]  and band at 1714 cm</w:t>
      </w:r>
      <w:r>
        <w:rPr>
          <w:vertAlign w:val="superscript"/>
        </w:rPr>
        <w:t>-1</w:t>
      </w:r>
      <w:r>
        <w:t xml:space="preserve"> was attributed to the C=O stretching bond of ketone [13]. The N-H stretch bond at band 3500 cm</w:t>
      </w:r>
      <w:r>
        <w:rPr>
          <w:vertAlign w:val="superscript"/>
        </w:rPr>
        <w:t>-1</w:t>
      </w:r>
      <w:r>
        <w:t xml:space="preserve"> represented amine group in the AC.</w:t>
      </w:r>
    </w:p>
    <w:p w:rsidR="00FE1EFC" w:rsidRDefault="00FE1EFC" w:rsidP="00FE1EFC">
      <w:pPr>
        <w:pStyle w:val="Text"/>
        <w:spacing w:line="240" w:lineRule="auto"/>
        <w:ind w:firstLine="0"/>
      </w:pPr>
    </w:p>
    <w:p w:rsidR="00FE1EFC" w:rsidRDefault="00FE1EFC" w:rsidP="00FE1EFC">
      <w:pPr>
        <w:pStyle w:val="Text"/>
        <w:spacing w:line="240" w:lineRule="auto"/>
        <w:ind w:firstLine="0"/>
      </w:pPr>
      <w:r>
        <w:t xml:space="preserve">Figure 3 demonstrates the TGA/DTG curve thermogravimetry (TG) of AC and its derivatives represented by green line and blue line respectively. The TGA curve showed three phases of AC weight loss. The first stage was the moisture elimination of 3.4 % below temperature of 200 </w:t>
      </w:r>
      <w:r>
        <w:rPr>
          <w:rFonts w:ascii="Cambria Math" w:hAnsi="Cambria Math" w:cs="Cambria Math"/>
        </w:rPr>
        <w:t>⁰</w:t>
      </w:r>
      <w:r>
        <w:t xml:space="preserve">C. Next, second stage weight loss of 26 % was due to the degradation of hemicelluloses, cellulose and lignin occurred at temperature 200 – 500 </w:t>
      </w:r>
      <w:r>
        <w:rPr>
          <w:rFonts w:ascii="Cambria Math" w:hAnsi="Cambria Math" w:cs="Cambria Math"/>
        </w:rPr>
        <w:t>⁰</w:t>
      </w:r>
      <w:r>
        <w:t xml:space="preserve">C [14]. According to the previous study by Yang et al. [15], hemicelluloses started to degrade at 220 </w:t>
      </w:r>
      <w:r>
        <w:rPr>
          <w:rFonts w:ascii="Cambria Math" w:hAnsi="Cambria Math" w:cs="Cambria Math"/>
        </w:rPr>
        <w:t>⁰</w:t>
      </w:r>
      <w:r>
        <w:t xml:space="preserve">C and completed at 315 </w:t>
      </w:r>
      <w:r>
        <w:rPr>
          <w:rFonts w:ascii="Cambria Math" w:hAnsi="Cambria Math" w:cs="Cambria Math"/>
        </w:rPr>
        <w:t>⁰</w:t>
      </w:r>
      <w:r>
        <w:t xml:space="preserve">C while degradation of cellulose occurred between 315 – 390 </w:t>
      </w:r>
      <w:r>
        <w:rPr>
          <w:rFonts w:ascii="Cambria Math" w:hAnsi="Cambria Math" w:cs="Cambria Math"/>
        </w:rPr>
        <w:t>⁰</w:t>
      </w:r>
      <w:r>
        <w:t xml:space="preserve">C. Stronger structure of lignin degraded in a wider temperature range than the other two components. The third stage involved weight loss according to the weight loss of 51.2 % volatile matter at temperature 500 – 900 </w:t>
      </w:r>
      <w:r>
        <w:rPr>
          <w:rFonts w:ascii="Cambria Math" w:hAnsi="Cambria Math" w:cs="Cambria Math"/>
        </w:rPr>
        <w:t>⁰</w:t>
      </w:r>
      <w:r>
        <w:t>C. The same results have been reported in literature by Gao et al. [14],</w:t>
      </w:r>
      <w:r>
        <w:rPr>
          <w:vertAlign w:val="superscript"/>
        </w:rPr>
        <w:t xml:space="preserve"> </w:t>
      </w:r>
      <w:r>
        <w:t xml:space="preserve">Zhang et al. [16] and Domingueza et al. [17]. </w:t>
      </w:r>
      <w:r w:rsidR="00D07FC8">
        <w:t>The DTG curve of Figure 4 shows</w:t>
      </w:r>
      <w:r>
        <w:t xml:space="preserve"> a significant change occurred due to the weight loss of AC starting of the degradation of hemicelluloses, cellulose and lignin. This was </w:t>
      </w:r>
      <w:r>
        <w:lastRenderedPageBreak/>
        <w:t xml:space="preserve">explained by the fact that hemicelluloses and cellulose compounds have the structure of branching chain of polysaccharides without aromatic compound, which are easily volatilized. Meanwhile, lignin consists of various –O- and C-C functional groups and aromatic structural units [18]. </w:t>
      </w:r>
    </w:p>
    <w:p w:rsidR="00FE1EFC" w:rsidRDefault="00FE1EFC" w:rsidP="00FE1EFC">
      <w:pPr>
        <w:pStyle w:val="Text"/>
        <w:spacing w:line="240" w:lineRule="auto"/>
        <w:ind w:firstLine="0"/>
        <w:rPr>
          <w:i/>
        </w:rPr>
      </w:pPr>
    </w:p>
    <w:p w:rsidR="00FE1EFC" w:rsidRDefault="00FE1EFC" w:rsidP="00FE1EFC">
      <w:pPr>
        <w:pStyle w:val="Text"/>
        <w:spacing w:line="240" w:lineRule="auto"/>
        <w:ind w:firstLine="0"/>
      </w:pPr>
    </w:p>
    <w:p w:rsidR="00FE1EFC" w:rsidRDefault="00FE1EFC" w:rsidP="00FE1EFC">
      <w:pPr>
        <w:pStyle w:val="Text"/>
        <w:spacing w:line="240" w:lineRule="auto"/>
        <w:ind w:firstLine="0"/>
      </w:pPr>
      <w:r>
        <w:rPr>
          <w:noProof/>
        </w:rPr>
        <w:drawing>
          <wp:anchor distT="0" distB="0" distL="114300" distR="114300" simplePos="0" relativeHeight="251666944" behindDoc="1" locked="0" layoutInCell="1" allowOverlap="1">
            <wp:simplePos x="0" y="0"/>
            <wp:positionH relativeFrom="column">
              <wp:posOffset>1612900</wp:posOffset>
            </wp:positionH>
            <wp:positionV relativeFrom="paragraph">
              <wp:posOffset>73025</wp:posOffset>
            </wp:positionV>
            <wp:extent cx="2863850" cy="1776730"/>
            <wp:effectExtent l="19050" t="19050" r="12700" b="13970"/>
            <wp:wrapTight wrapText="bothSides">
              <wp:wrapPolygon edited="0">
                <wp:start x="-144" y="-232"/>
                <wp:lineTo x="-144" y="21538"/>
                <wp:lineTo x="21552" y="21538"/>
                <wp:lineTo x="21552" y="-232"/>
                <wp:lineTo x="-144" y="-232"/>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3850" cy="177673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after="180" w:line="240" w:lineRule="auto"/>
        <w:ind w:firstLine="0"/>
      </w:pPr>
    </w:p>
    <w:p w:rsidR="00FE1EFC" w:rsidRDefault="00FE1EFC" w:rsidP="00FE1EFC">
      <w:pPr>
        <w:spacing w:after="0" w:line="240" w:lineRule="auto"/>
        <w:jc w:val="center"/>
        <w:rPr>
          <w:rFonts w:ascii="Times New Roman" w:hAnsi="Times New Roman"/>
          <w:sz w:val="20"/>
          <w:szCs w:val="20"/>
        </w:rPr>
      </w:pPr>
      <w:r>
        <w:rPr>
          <w:rFonts w:ascii="Times New Roman" w:hAnsi="Times New Roman"/>
          <w:sz w:val="20"/>
          <w:szCs w:val="20"/>
        </w:rPr>
        <w:t>Figure 2.  FTIR image of SMFW AC</w:t>
      </w: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pPr>
      <w:r>
        <w:rPr>
          <w:noProof/>
        </w:rPr>
        <w:drawing>
          <wp:anchor distT="0" distB="0" distL="114300" distR="114300" simplePos="0" relativeHeight="251663872" behindDoc="1" locked="0" layoutInCell="1" allowOverlap="1">
            <wp:simplePos x="0" y="0"/>
            <wp:positionH relativeFrom="column">
              <wp:posOffset>1578610</wp:posOffset>
            </wp:positionH>
            <wp:positionV relativeFrom="paragraph">
              <wp:posOffset>36830</wp:posOffset>
            </wp:positionV>
            <wp:extent cx="3018790" cy="2139315"/>
            <wp:effectExtent l="19050" t="19050" r="10160" b="13335"/>
            <wp:wrapTight wrapText="bothSides">
              <wp:wrapPolygon edited="0">
                <wp:start x="-136" y="-192"/>
                <wp:lineTo x="-136" y="21542"/>
                <wp:lineTo x="21536" y="21542"/>
                <wp:lineTo x="21536" y="-192"/>
                <wp:lineTo x="-136" y="-192"/>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8790" cy="213931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rPr>
          <w:i/>
        </w:rPr>
      </w:pPr>
    </w:p>
    <w:p w:rsidR="00FE1EFC" w:rsidRDefault="00FE1EFC" w:rsidP="00FE1EFC">
      <w:pPr>
        <w:pStyle w:val="Text"/>
        <w:spacing w:line="240" w:lineRule="auto"/>
        <w:ind w:firstLine="0"/>
      </w:pPr>
    </w:p>
    <w:p w:rsidR="00FE1EFC" w:rsidRDefault="00FE1EFC" w:rsidP="00FE1EFC">
      <w:pPr>
        <w:spacing w:after="0" w:line="240" w:lineRule="auto"/>
        <w:jc w:val="center"/>
        <w:rPr>
          <w:rFonts w:ascii="Times New Roman" w:hAnsi="Times New Roman"/>
          <w:sz w:val="20"/>
          <w:szCs w:val="20"/>
        </w:rPr>
      </w:pPr>
      <w:r>
        <w:rPr>
          <w:rFonts w:ascii="Times New Roman" w:hAnsi="Times New Roman"/>
          <w:sz w:val="20"/>
          <w:szCs w:val="20"/>
        </w:rPr>
        <w:t>Figure 3.  TGA/DTG image of SMFW AC</w:t>
      </w:r>
    </w:p>
    <w:p w:rsidR="00FE1EFC" w:rsidRDefault="00FE1EFC" w:rsidP="00FE1EFC">
      <w:pPr>
        <w:pStyle w:val="Text"/>
        <w:spacing w:line="240" w:lineRule="auto"/>
        <w:ind w:firstLine="0"/>
      </w:pPr>
    </w:p>
    <w:p w:rsidR="00FE1EFC" w:rsidRDefault="00FE1EFC" w:rsidP="00FE1EFC">
      <w:pPr>
        <w:pStyle w:val="Text"/>
        <w:spacing w:line="240" w:lineRule="auto"/>
        <w:ind w:firstLine="0"/>
      </w:pPr>
    </w:p>
    <w:p w:rsidR="00FE1EFC" w:rsidRDefault="00FE1EFC" w:rsidP="00FE1EFC">
      <w:pPr>
        <w:pStyle w:val="Text"/>
        <w:spacing w:line="240" w:lineRule="auto"/>
        <w:ind w:firstLine="0"/>
        <w:rPr>
          <w:i/>
        </w:rPr>
      </w:pPr>
      <w:r>
        <w:rPr>
          <w:b/>
        </w:rPr>
        <w:t>Optimization of parameters on carbon yield</w:t>
      </w:r>
    </w:p>
    <w:p w:rsidR="00FE1EFC" w:rsidRDefault="00FE1EFC" w:rsidP="00FE1EFC">
      <w:pPr>
        <w:pStyle w:val="Text"/>
        <w:spacing w:line="240" w:lineRule="auto"/>
        <w:ind w:firstLine="0"/>
        <w:rPr>
          <w:lang w:val="ms-MY"/>
        </w:rPr>
      </w:pPr>
      <w:r>
        <w:t xml:space="preserve">Figure 4 (a – c) </w:t>
      </w:r>
      <w:r w:rsidR="00D07FC8">
        <w:rPr>
          <w:lang w:val="ms-MY"/>
        </w:rPr>
        <w:t>illustrate</w:t>
      </w:r>
      <w:r>
        <w:rPr>
          <w:lang w:val="ms-MY"/>
        </w:rPr>
        <w:t xml:space="preserve"> the 3-D response surface plots of percentage yield on AC as a function of three process parameters of impregnation ratio, activation time and activation temperature. </w:t>
      </w:r>
    </w:p>
    <w:p w:rsidR="00FE1EFC" w:rsidRDefault="00FE1EFC" w:rsidP="00FE1EFC">
      <w:pPr>
        <w:pStyle w:val="Text"/>
        <w:spacing w:line="240" w:lineRule="auto"/>
        <w:ind w:firstLine="0"/>
      </w:pPr>
    </w:p>
    <w:p w:rsidR="00FE1EFC" w:rsidRDefault="00FE1EFC" w:rsidP="00FE1EFC">
      <w:pPr>
        <w:pStyle w:val="Text"/>
        <w:spacing w:line="240" w:lineRule="auto"/>
        <w:ind w:firstLine="0"/>
      </w:pPr>
      <w:r>
        <w:rPr>
          <w:lang w:val="ms-MY"/>
        </w:rPr>
        <w:t xml:space="preserve">Figure 4 (a) shows the effect of impregnation ratio and activation time on the percentage yield. There are </w:t>
      </w:r>
      <w:r>
        <w:t>only little effect of time on yield. However, decreasing of yield with increasing ratio was observed which was due to increase of the carbon burn-off</w:t>
      </w:r>
      <w:r>
        <w:rPr>
          <w:lang w:val="ms-MY"/>
        </w:rPr>
        <w:t xml:space="preserve">. </w:t>
      </w:r>
      <w:r>
        <w:rPr>
          <w:bCs/>
        </w:rPr>
        <w:t xml:space="preserve">Increased the impregnation ratio has resulted increased the weight loss of releasing the volatile matter from the intensifying dehydration and elimination reactions [4]. </w:t>
      </w:r>
      <w:r>
        <w:rPr>
          <w:bCs/>
          <w:lang w:val="ms-MY"/>
        </w:rPr>
        <w:t>This is supported by Muthanna et al.[19]</w:t>
      </w:r>
      <w:r>
        <w:rPr>
          <w:bCs/>
          <w:vertAlign w:val="superscript"/>
          <w:lang w:val="ms-MY"/>
        </w:rPr>
        <w:t xml:space="preserve"> </w:t>
      </w:r>
      <w:r>
        <w:rPr>
          <w:bCs/>
          <w:lang w:val="ms-MY"/>
        </w:rPr>
        <w:t xml:space="preserve">using Siris seed pods. Figure 4 (b) shows the effect of impregnation ratio and activation temperature on the percentage yield. When the ratio and temperature increased, the percentage yield </w:t>
      </w:r>
      <w:r w:rsidR="00D07FC8">
        <w:rPr>
          <w:bCs/>
          <w:lang w:val="ms-MY"/>
        </w:rPr>
        <w:t>of carbon was decreased. This was</w:t>
      </w:r>
      <w:r>
        <w:rPr>
          <w:bCs/>
          <w:lang w:val="ms-MY"/>
        </w:rPr>
        <w:t xml:space="preserve"> </w:t>
      </w:r>
      <w:r>
        <w:rPr>
          <w:bCs/>
        </w:rPr>
        <w:t xml:space="preserve">due to higher elimination of tars in the pores. </w:t>
      </w:r>
      <w:r>
        <w:t xml:space="preserve">Sentorun-Shalaby et al. [20] reported that at higher activation temperature, activation of apricot stones became more extensive and resulted in a lower solid yield with a more </w:t>
      </w:r>
      <w:r>
        <w:lastRenderedPageBreak/>
        <w:t xml:space="preserve">widened porous structure. </w:t>
      </w:r>
      <w:r>
        <w:rPr>
          <w:bCs/>
          <w:lang w:val="ms-MY"/>
        </w:rPr>
        <w:t xml:space="preserve">Figure 4 (c) </w:t>
      </w:r>
      <w:r>
        <w:rPr>
          <w:lang w:val="ms-MY"/>
        </w:rPr>
        <w:t xml:space="preserve">shows the effect of activation time and activation temperature on the percentage yield. As the temperature increased, the percentage yield of carbon was decreased. Meanwhile, activation time did not have significant effect on the percentage yield since heating duration of AC only affect it’s surface area. </w:t>
      </w:r>
      <w:r>
        <w:t>This is supported by Tan et al. [4] study on coconut husk AC.</w:t>
      </w:r>
    </w:p>
    <w:p w:rsidR="00FE1EFC" w:rsidRDefault="00FE1EFC" w:rsidP="00FE1EFC">
      <w:pPr>
        <w:pStyle w:val="Text"/>
        <w:spacing w:line="240" w:lineRule="auto"/>
        <w:ind w:firstLine="0"/>
      </w:pPr>
    </w:p>
    <w:tbl>
      <w:tblPr>
        <w:tblStyle w:val="TableGrid"/>
        <w:tblW w:w="4908" w:type="pct"/>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69"/>
      </w:tblGrid>
      <w:tr w:rsidR="00FE1EFC" w:rsidTr="00FE1EFC">
        <w:trPr>
          <w:jc w:val="center"/>
        </w:trPr>
        <w:tc>
          <w:tcPr>
            <w:tcW w:w="2509" w:type="pct"/>
          </w:tcPr>
          <w:p w:rsidR="00FE1EFC" w:rsidRDefault="00FE1EFC">
            <w:pPr>
              <w:pStyle w:val="Text"/>
              <w:spacing w:line="240" w:lineRule="auto"/>
              <w:ind w:firstLine="0"/>
            </w:pPr>
          </w:p>
          <w:p w:rsidR="00FE1EFC" w:rsidRDefault="00FE1EFC">
            <w:pPr>
              <w:pStyle w:val="Text"/>
              <w:spacing w:line="240" w:lineRule="auto"/>
              <w:ind w:firstLine="0"/>
            </w:pPr>
            <w:r>
              <w:rPr>
                <w:noProof/>
              </w:rPr>
              <w:drawing>
                <wp:anchor distT="0" distB="0" distL="114300" distR="114300" simplePos="0" relativeHeight="251661824" behindDoc="1" locked="0" layoutInCell="1" allowOverlap="1">
                  <wp:simplePos x="0" y="0"/>
                  <wp:positionH relativeFrom="margin">
                    <wp:posOffset>267335</wp:posOffset>
                  </wp:positionH>
                  <wp:positionV relativeFrom="margin">
                    <wp:posOffset>57785</wp:posOffset>
                  </wp:positionV>
                  <wp:extent cx="2130425" cy="1699260"/>
                  <wp:effectExtent l="0" t="0" r="3175" b="0"/>
                  <wp:wrapTight wrapText="bothSides">
                    <wp:wrapPolygon edited="0">
                      <wp:start x="0" y="0"/>
                      <wp:lineTo x="0" y="21309"/>
                      <wp:lineTo x="21439" y="21309"/>
                      <wp:lineTo x="214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0425" cy="1699260"/>
                          </a:xfrm>
                          <a:prstGeom prst="rect">
                            <a:avLst/>
                          </a:prstGeom>
                          <a:noFill/>
                        </pic:spPr>
                      </pic:pic>
                    </a:graphicData>
                  </a:graphic>
                  <wp14:sizeRelH relativeFrom="page">
                    <wp14:pctWidth>0</wp14:pctWidth>
                  </wp14:sizeRelH>
                  <wp14:sizeRelV relativeFrom="page">
                    <wp14:pctHeight>0</wp14:pctHeight>
                  </wp14:sizeRelV>
                </wp:anchor>
              </w:drawing>
            </w:r>
            <w:r>
              <w:t>(a)</w:t>
            </w:r>
          </w:p>
        </w:tc>
        <w:tc>
          <w:tcPr>
            <w:tcW w:w="2491" w:type="pct"/>
          </w:tcPr>
          <w:p w:rsidR="00FE1EFC" w:rsidRDefault="00FE1EFC">
            <w:pPr>
              <w:pStyle w:val="Text"/>
              <w:spacing w:line="240" w:lineRule="auto"/>
              <w:ind w:firstLine="0"/>
            </w:pPr>
          </w:p>
          <w:p w:rsidR="00FE1EFC" w:rsidRDefault="00FE1EFC">
            <w:pPr>
              <w:pStyle w:val="Text"/>
              <w:spacing w:line="240" w:lineRule="auto"/>
              <w:ind w:firstLine="0"/>
            </w:pPr>
            <w:r>
              <w:t>(b)</w:t>
            </w: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r>
              <w:rPr>
                <w:noProof/>
              </w:rPr>
              <w:drawing>
                <wp:anchor distT="0" distB="0" distL="114300" distR="114300" simplePos="0" relativeHeight="251662848" behindDoc="0" locked="0" layoutInCell="1" allowOverlap="1">
                  <wp:simplePos x="0" y="0"/>
                  <wp:positionH relativeFrom="margin">
                    <wp:posOffset>387350</wp:posOffset>
                  </wp:positionH>
                  <wp:positionV relativeFrom="margin">
                    <wp:posOffset>57785</wp:posOffset>
                  </wp:positionV>
                  <wp:extent cx="2084705" cy="17595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4705" cy="1759585"/>
                          </a:xfrm>
                          <a:prstGeom prst="rect">
                            <a:avLst/>
                          </a:prstGeom>
                          <a:noFill/>
                        </pic:spPr>
                      </pic:pic>
                    </a:graphicData>
                  </a:graphic>
                  <wp14:sizeRelH relativeFrom="page">
                    <wp14:pctWidth>0</wp14:pctWidth>
                  </wp14:sizeRelH>
                  <wp14:sizeRelV relativeFrom="page">
                    <wp14:pctHeight>0</wp14:pctHeight>
                  </wp14:sizeRelV>
                </wp:anchor>
              </w:drawing>
            </w:r>
          </w:p>
          <w:p w:rsidR="00FE1EFC" w:rsidRDefault="00FE1EFC">
            <w:pPr>
              <w:pStyle w:val="Text"/>
              <w:spacing w:line="240" w:lineRule="auto"/>
              <w:ind w:firstLine="0"/>
            </w:pPr>
          </w:p>
          <w:p w:rsidR="00FE1EFC" w:rsidRDefault="00FE1EFC">
            <w:pPr>
              <w:pStyle w:val="Text"/>
              <w:spacing w:line="240" w:lineRule="auto"/>
              <w:ind w:firstLine="0"/>
            </w:pPr>
          </w:p>
        </w:tc>
      </w:tr>
      <w:tr w:rsidR="00FE1EFC" w:rsidTr="00FE1EFC">
        <w:trPr>
          <w:jc w:val="center"/>
        </w:trPr>
        <w:tc>
          <w:tcPr>
            <w:tcW w:w="5000" w:type="pct"/>
            <w:gridSpan w:val="2"/>
          </w:tcPr>
          <w:p w:rsidR="00FE1EFC" w:rsidRDefault="00FE1EFC">
            <w:pPr>
              <w:pStyle w:val="Text"/>
              <w:spacing w:line="240" w:lineRule="auto"/>
              <w:ind w:firstLine="0"/>
            </w:pPr>
          </w:p>
          <w:p w:rsidR="00FE1EFC" w:rsidRDefault="00FE1EFC">
            <w:pPr>
              <w:pStyle w:val="Text"/>
              <w:spacing w:line="240" w:lineRule="auto"/>
              <w:ind w:firstLine="0"/>
            </w:pPr>
            <w:r>
              <w:t xml:space="preserve">                                          (c)</w:t>
            </w: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p>
          <w:p w:rsidR="00FE1EFC" w:rsidRDefault="00FE1EFC">
            <w:pPr>
              <w:pStyle w:val="Text"/>
              <w:spacing w:line="240" w:lineRule="auto"/>
              <w:ind w:firstLine="0"/>
            </w:pPr>
            <w:r>
              <w:rPr>
                <w:noProof/>
              </w:rPr>
              <w:drawing>
                <wp:anchor distT="0" distB="0" distL="114300" distR="114300" simplePos="0" relativeHeight="251667968" behindDoc="0" locked="0" layoutInCell="1" allowOverlap="1">
                  <wp:simplePos x="0" y="0"/>
                  <wp:positionH relativeFrom="margin">
                    <wp:posOffset>1802765</wp:posOffset>
                  </wp:positionH>
                  <wp:positionV relativeFrom="margin">
                    <wp:posOffset>172720</wp:posOffset>
                  </wp:positionV>
                  <wp:extent cx="2057400" cy="16821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682115"/>
                          </a:xfrm>
                          <a:prstGeom prst="rect">
                            <a:avLst/>
                          </a:prstGeom>
                          <a:noFill/>
                        </pic:spPr>
                      </pic:pic>
                    </a:graphicData>
                  </a:graphic>
                  <wp14:sizeRelH relativeFrom="page">
                    <wp14:pctWidth>0</wp14:pctWidth>
                  </wp14:sizeRelH>
                  <wp14:sizeRelV relativeFrom="page">
                    <wp14:pctHeight>0</wp14:pctHeight>
                  </wp14:sizeRelV>
                </wp:anchor>
              </w:drawing>
            </w:r>
          </w:p>
          <w:p w:rsidR="00FE1EFC" w:rsidRDefault="00FE1EFC">
            <w:pPr>
              <w:pStyle w:val="Text"/>
              <w:spacing w:line="240" w:lineRule="auto"/>
              <w:ind w:firstLine="0"/>
            </w:pPr>
          </w:p>
          <w:p w:rsidR="00FE1EFC" w:rsidRDefault="00FE1EFC">
            <w:pPr>
              <w:pStyle w:val="Text"/>
              <w:spacing w:line="240" w:lineRule="auto"/>
              <w:ind w:firstLine="0"/>
            </w:pPr>
          </w:p>
        </w:tc>
      </w:tr>
    </w:tbl>
    <w:p w:rsidR="00FE1EFC" w:rsidRDefault="00FE1EFC" w:rsidP="00FE1EFC">
      <w:pPr>
        <w:pStyle w:val="Text"/>
        <w:spacing w:line="240" w:lineRule="auto"/>
        <w:ind w:firstLine="0"/>
      </w:pPr>
      <w:r>
        <w:rPr>
          <w:noProof/>
        </w:rPr>
        <mc:AlternateContent>
          <mc:Choice Requires="wps">
            <w:drawing>
              <wp:anchor distT="0" distB="0" distL="114300" distR="114300" simplePos="0" relativeHeight="251664896" behindDoc="0" locked="0" layoutInCell="1" allowOverlap="1">
                <wp:simplePos x="0" y="0"/>
                <wp:positionH relativeFrom="column">
                  <wp:posOffset>-3163570</wp:posOffset>
                </wp:positionH>
                <wp:positionV relativeFrom="paragraph">
                  <wp:posOffset>1195705</wp:posOffset>
                </wp:positionV>
                <wp:extent cx="409575" cy="31432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14325"/>
                        </a:xfrm>
                        <a:prstGeom prst="rect">
                          <a:avLst/>
                        </a:prstGeom>
                        <a:solidFill>
                          <a:srgbClr val="FFFFFF"/>
                        </a:solidFill>
                        <a:ln w="9525">
                          <a:solidFill>
                            <a:srgbClr val="FFFFFF"/>
                          </a:solidFill>
                          <a:miter lim="800000"/>
                          <a:headEnd/>
                          <a:tailEnd/>
                        </a:ln>
                      </wps:spPr>
                      <wps:txbx>
                        <w:txbxContent>
                          <w:p w:rsidR="00FE1EFC" w:rsidRDefault="00FE1EFC" w:rsidP="00FE1EFC">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49.1pt;margin-top:94.15pt;width:32.2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" strokecolor="white">
                <v:textbox>
                  <w:txbxContent>
                    <w:p w:rsidR="00FE1EFC" w:rsidRDefault="00FE1EFC" w:rsidP="00FE1EFC">
                      <w:r>
                        <w:t>(a)</w:t>
                      </w:r>
                    </w:p>
                  </w:txbxContent>
                </v:textbox>
              </v:shape>
            </w:pict>
          </mc:Fallback>
        </mc:AlternateContent>
      </w:r>
    </w:p>
    <w:p w:rsidR="00FE1EFC" w:rsidRDefault="00FE1EFC" w:rsidP="00FE1EFC">
      <w:pPr>
        <w:spacing w:after="0" w:line="240" w:lineRule="auto"/>
        <w:ind w:left="810" w:hanging="810"/>
        <w:jc w:val="both"/>
        <w:rPr>
          <w:rFonts w:ascii="Times New Roman" w:hAnsi="Times New Roman"/>
          <w:sz w:val="20"/>
          <w:szCs w:val="20"/>
        </w:rPr>
      </w:pPr>
      <w:r>
        <w:rPr>
          <w:rFonts w:ascii="Times New Roman" w:hAnsi="Times New Roman"/>
          <w:sz w:val="20"/>
          <w:szCs w:val="20"/>
        </w:rPr>
        <w:t>Figure 4.  (a) Response for the effect of ratio KOH: SMFW and activation time on percent yield, (b) Response for the effect of ratio KOH: SMFW and activation temperature on percent yield and (c) Response for the effect of activation time and activation temperature on percent yield</w:t>
      </w:r>
    </w:p>
    <w:p w:rsidR="00FE1EFC" w:rsidRDefault="00FE1EFC" w:rsidP="00FE1EFC">
      <w:pPr>
        <w:pStyle w:val="Text"/>
        <w:spacing w:line="240" w:lineRule="auto"/>
        <w:ind w:firstLine="0"/>
        <w:rPr>
          <w:lang w:val="ms-MY"/>
        </w:rPr>
      </w:pPr>
    </w:p>
    <w:p w:rsidR="00FE1EFC" w:rsidRDefault="00FE1EFC" w:rsidP="00FE1EFC">
      <w:pPr>
        <w:pStyle w:val="Text"/>
        <w:spacing w:line="240" w:lineRule="auto"/>
        <w:ind w:firstLine="0"/>
      </w:pPr>
    </w:p>
    <w:p w:rsidR="00FE1EFC" w:rsidRDefault="00FE1EFC" w:rsidP="00FE1EFC">
      <w:pPr>
        <w:pStyle w:val="Text"/>
        <w:spacing w:line="240" w:lineRule="auto"/>
        <w:ind w:firstLine="0"/>
      </w:pPr>
      <w:r>
        <w:rPr>
          <w:b/>
        </w:rPr>
        <w:t>Optimization of parameter on iodine number</w:t>
      </w:r>
    </w:p>
    <w:p w:rsidR="00FE1EFC" w:rsidRDefault="00D07FC8" w:rsidP="00FE1EFC">
      <w:pPr>
        <w:spacing w:after="0" w:line="240" w:lineRule="auto"/>
        <w:jc w:val="both"/>
        <w:rPr>
          <w:rFonts w:ascii="Times New Roman" w:hAnsi="Times New Roman"/>
          <w:bCs/>
          <w:sz w:val="20"/>
          <w:szCs w:val="20"/>
          <w:lang w:val="ms-MY"/>
        </w:rPr>
      </w:pPr>
      <w:r>
        <w:rPr>
          <w:rFonts w:ascii="Times New Roman" w:hAnsi="Times New Roman"/>
          <w:bCs/>
          <w:sz w:val="20"/>
          <w:szCs w:val="20"/>
          <w:lang w:val="ms-MY"/>
        </w:rPr>
        <w:t>Figure 5(a – c) illustrate</w:t>
      </w:r>
      <w:r w:rsidR="00FE1EFC">
        <w:rPr>
          <w:rFonts w:ascii="Times New Roman" w:hAnsi="Times New Roman"/>
          <w:bCs/>
          <w:sz w:val="20"/>
          <w:szCs w:val="20"/>
          <w:lang w:val="ms-MY"/>
        </w:rPr>
        <w:t xml:space="preserve"> the 3-D response surface plots of iodine number for AC as a function of three process parameters of impregnation ratio, activation time and activation temperature. Figure 5(a) show</w:t>
      </w:r>
      <w:r>
        <w:rPr>
          <w:rFonts w:ascii="Times New Roman" w:hAnsi="Times New Roman"/>
          <w:bCs/>
          <w:sz w:val="20"/>
          <w:szCs w:val="20"/>
          <w:lang w:val="ms-MY"/>
        </w:rPr>
        <w:t>s</w:t>
      </w:r>
      <w:r w:rsidR="00FE1EFC">
        <w:rPr>
          <w:rFonts w:ascii="Times New Roman" w:hAnsi="Times New Roman"/>
          <w:bCs/>
          <w:sz w:val="20"/>
          <w:szCs w:val="20"/>
          <w:lang w:val="ms-MY"/>
        </w:rPr>
        <w:t xml:space="preserve"> the effect of impregnation ratio and activation time on the iodine number of the prepared AC. </w:t>
      </w:r>
      <w:r w:rsidR="00FE1EFC">
        <w:rPr>
          <w:rFonts w:ascii="Times New Roman" w:hAnsi="Times New Roman"/>
          <w:bCs/>
          <w:sz w:val="20"/>
          <w:szCs w:val="20"/>
        </w:rPr>
        <w:t xml:space="preserve">The iodine number increased with increased of the impregnation ratio. The impregnation ratio plays an important role in the formation of pores and promotes catalytic oxidation simultaneously. The KOH served to increase porosity of AC, thus    resulted the raised in iodine number. This is supported by Abechi et al. [21] using KOH-kernel shell. </w:t>
      </w:r>
      <w:r w:rsidR="00FE1EFC">
        <w:rPr>
          <w:rFonts w:ascii="Times New Roman" w:hAnsi="Times New Roman"/>
          <w:bCs/>
          <w:sz w:val="20"/>
          <w:szCs w:val="20"/>
          <w:lang w:val="ms-MY"/>
        </w:rPr>
        <w:t>Figure 5(b) show</w:t>
      </w:r>
      <w:r>
        <w:rPr>
          <w:rFonts w:ascii="Times New Roman" w:hAnsi="Times New Roman"/>
          <w:bCs/>
          <w:sz w:val="20"/>
          <w:szCs w:val="20"/>
          <w:lang w:val="ms-MY"/>
        </w:rPr>
        <w:t>s</w:t>
      </w:r>
      <w:r w:rsidR="00FE1EFC">
        <w:rPr>
          <w:rFonts w:ascii="Times New Roman" w:hAnsi="Times New Roman"/>
          <w:bCs/>
          <w:sz w:val="20"/>
          <w:szCs w:val="20"/>
          <w:lang w:val="ms-MY"/>
        </w:rPr>
        <w:t xml:space="preserve"> the effect of impregnation ratio and activation temperature on the iodine number of prepared AC. As the activation temperature and impregnation ratio increased, the value of iodine number was increased. </w:t>
      </w:r>
      <w:r>
        <w:rPr>
          <w:rFonts w:ascii="Times New Roman" w:hAnsi="Times New Roman"/>
          <w:bCs/>
          <w:sz w:val="20"/>
          <w:szCs w:val="20"/>
          <w:lang w:val="ms-MY"/>
        </w:rPr>
        <w:t xml:space="preserve">High </w:t>
      </w:r>
      <w:r>
        <w:rPr>
          <w:rFonts w:ascii="Times New Roman" w:hAnsi="Times New Roman"/>
          <w:bCs/>
          <w:sz w:val="20"/>
          <w:szCs w:val="20"/>
        </w:rPr>
        <w:t>temperature</w:t>
      </w:r>
      <w:r w:rsidR="00FE1EFC">
        <w:rPr>
          <w:rFonts w:ascii="Times New Roman" w:hAnsi="Times New Roman"/>
          <w:bCs/>
          <w:sz w:val="20"/>
          <w:szCs w:val="20"/>
        </w:rPr>
        <w:t xml:space="preserve"> would increase the C–KOH reaction rates, thus resulting in increasing devolatilization and development of the pore structure in the char. Muthanna et al. [19] reported similar observation using </w:t>
      </w:r>
      <w:r w:rsidR="00FE1EFC">
        <w:rPr>
          <w:rFonts w:ascii="Times New Roman" w:hAnsi="Times New Roman"/>
          <w:bCs/>
          <w:sz w:val="20"/>
          <w:szCs w:val="20"/>
          <w:lang w:val="ms-MY"/>
        </w:rPr>
        <w:t>AC from Siris seed pods</w:t>
      </w:r>
      <w:r w:rsidR="00FE1EFC">
        <w:rPr>
          <w:rFonts w:ascii="Times New Roman" w:hAnsi="Times New Roman"/>
          <w:bCs/>
          <w:sz w:val="20"/>
          <w:szCs w:val="20"/>
        </w:rPr>
        <w:t xml:space="preserve">. </w:t>
      </w:r>
      <w:r w:rsidR="00FE1EFC">
        <w:rPr>
          <w:rFonts w:ascii="Times New Roman" w:hAnsi="Times New Roman"/>
          <w:bCs/>
          <w:sz w:val="20"/>
          <w:szCs w:val="20"/>
          <w:lang w:val="ms-MY"/>
        </w:rPr>
        <w:t>Figure 5(c) show</w:t>
      </w:r>
      <w:r>
        <w:rPr>
          <w:rFonts w:ascii="Times New Roman" w:hAnsi="Times New Roman"/>
          <w:bCs/>
          <w:sz w:val="20"/>
          <w:szCs w:val="20"/>
          <w:lang w:val="ms-MY"/>
        </w:rPr>
        <w:t>s</w:t>
      </w:r>
      <w:r w:rsidR="00FE1EFC">
        <w:rPr>
          <w:rFonts w:ascii="Times New Roman" w:hAnsi="Times New Roman"/>
          <w:bCs/>
          <w:sz w:val="20"/>
          <w:szCs w:val="20"/>
          <w:lang w:val="ms-MY"/>
        </w:rPr>
        <w:t xml:space="preserve"> the effect of activation time and activation temperature on the iodine number of carbon. Since both the activation time and activation temperature increased, the value of iodine number was also increased</w:t>
      </w:r>
      <w:r w:rsidR="00FE1EFC">
        <w:rPr>
          <w:rFonts w:ascii="Times New Roman" w:hAnsi="Times New Roman"/>
          <w:bCs/>
          <w:color w:val="FF0000"/>
          <w:sz w:val="20"/>
          <w:szCs w:val="20"/>
          <w:lang w:val="ms-MY"/>
        </w:rPr>
        <w:t>.</w:t>
      </w:r>
      <w:r w:rsidR="00FE1EFC">
        <w:rPr>
          <w:rFonts w:ascii="Times New Roman" w:hAnsi="Times New Roman"/>
          <w:bCs/>
          <w:sz w:val="20"/>
          <w:szCs w:val="20"/>
          <w:lang w:val="ms-MY"/>
        </w:rPr>
        <w:t xml:space="preserve"> Tham et al.[</w:t>
      </w:r>
      <w:r w:rsidR="00FE1EFC">
        <w:rPr>
          <w:rFonts w:ascii="Times New Roman" w:hAnsi="Times New Roman"/>
          <w:bCs/>
          <w:sz w:val="20"/>
          <w:szCs w:val="20"/>
        </w:rPr>
        <w:t xml:space="preserve">22] reported that </w:t>
      </w:r>
      <w:r>
        <w:rPr>
          <w:rFonts w:ascii="Times New Roman" w:hAnsi="Times New Roman"/>
          <w:bCs/>
          <w:sz w:val="20"/>
          <w:szCs w:val="20"/>
        </w:rPr>
        <w:t xml:space="preserve">longer </w:t>
      </w:r>
      <w:r w:rsidR="00FE1EFC">
        <w:rPr>
          <w:rFonts w:ascii="Times New Roman" w:hAnsi="Times New Roman"/>
          <w:bCs/>
          <w:sz w:val="20"/>
          <w:szCs w:val="20"/>
        </w:rPr>
        <w:t xml:space="preserve">activation time had generated more micropores and mesopores in the AC produced from durian shell. </w:t>
      </w:r>
    </w:p>
    <w:p w:rsidR="00FE1EFC" w:rsidRDefault="00FE1EFC" w:rsidP="00FE1EFC">
      <w:pPr>
        <w:spacing w:after="0" w:line="240" w:lineRule="auto"/>
        <w:jc w:val="both"/>
        <w:rPr>
          <w:rFonts w:ascii="Times New Roman" w:hAnsi="Times New Roman"/>
          <w:bCs/>
          <w:color w:val="FF0000"/>
          <w:sz w:val="20"/>
          <w:szCs w:val="20"/>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9"/>
      </w:tblGrid>
      <w:tr w:rsidR="00FE1EFC" w:rsidTr="00FE1EFC">
        <w:tc>
          <w:tcPr>
            <w:tcW w:w="4513" w:type="dxa"/>
          </w:tcPr>
          <w:p w:rsidR="00FE1EFC" w:rsidRDefault="00FE1EFC">
            <w:pPr>
              <w:spacing w:after="0" w:line="240" w:lineRule="auto"/>
              <w:jc w:val="both"/>
              <w:rPr>
                <w:rFonts w:ascii="Times New Roman" w:hAnsi="Times New Roman"/>
                <w:bCs/>
                <w:color w:val="FF0000"/>
                <w:sz w:val="20"/>
                <w:szCs w:val="20"/>
                <w:lang w:val="ms-MY"/>
              </w:rPr>
            </w:pPr>
          </w:p>
          <w:p w:rsidR="00FE1EFC" w:rsidRDefault="00FE1EFC">
            <w:pPr>
              <w:spacing w:after="0" w:line="240" w:lineRule="auto"/>
              <w:jc w:val="both"/>
              <w:rPr>
                <w:rFonts w:ascii="Times New Roman" w:hAnsi="Times New Roman"/>
                <w:bCs/>
                <w:sz w:val="20"/>
                <w:szCs w:val="20"/>
                <w:lang w:val="ms-MY"/>
              </w:rPr>
            </w:pPr>
            <w:r>
              <w:rPr>
                <w:rFonts w:ascii="Times New Roman" w:hAnsi="Times New Roman"/>
                <w:bCs/>
                <w:sz w:val="20"/>
                <w:szCs w:val="20"/>
                <w:lang w:val="ms-MY"/>
              </w:rPr>
              <w:t>(a)</w:t>
            </w:r>
          </w:p>
          <w:p w:rsidR="00FE1EFC" w:rsidRDefault="00FE1EFC">
            <w:pPr>
              <w:tabs>
                <w:tab w:val="center" w:pos="2148"/>
              </w:tabs>
              <w:spacing w:after="0" w:line="240" w:lineRule="auto"/>
              <w:jc w:val="center"/>
              <w:rPr>
                <w:rFonts w:ascii="Times New Roman" w:hAnsi="Times New Roman"/>
                <w:bCs/>
                <w:color w:val="FF0000"/>
                <w:sz w:val="20"/>
                <w:szCs w:val="20"/>
                <w:lang w:val="ms-MY"/>
              </w:rPr>
            </w:pPr>
            <w:r>
              <w:rPr>
                <w:rFonts w:ascii="Times New Roman" w:hAnsi="Times New Roman"/>
                <w:b/>
                <w:noProof/>
                <w:sz w:val="20"/>
                <w:szCs w:val="20"/>
                <w:lang w:bidi="ar-SA"/>
              </w:rPr>
              <w:drawing>
                <wp:inline distT="0" distB="0" distL="0" distR="0">
                  <wp:extent cx="2133600" cy="1695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1695450"/>
                          </a:xfrm>
                          <a:prstGeom prst="rect">
                            <a:avLst/>
                          </a:prstGeom>
                          <a:noFill/>
                          <a:ln>
                            <a:noFill/>
                          </a:ln>
                        </pic:spPr>
                      </pic:pic>
                    </a:graphicData>
                  </a:graphic>
                </wp:inline>
              </w:drawing>
            </w:r>
          </w:p>
          <w:p w:rsidR="00FE1EFC" w:rsidRDefault="00FE1EFC">
            <w:pPr>
              <w:spacing w:after="0" w:line="240" w:lineRule="auto"/>
              <w:jc w:val="both"/>
              <w:rPr>
                <w:rFonts w:ascii="Times New Roman" w:hAnsi="Times New Roman"/>
                <w:bCs/>
                <w:color w:val="FF0000"/>
                <w:sz w:val="20"/>
                <w:szCs w:val="20"/>
                <w:lang w:val="ms-MY"/>
              </w:rPr>
            </w:pPr>
          </w:p>
        </w:tc>
        <w:tc>
          <w:tcPr>
            <w:tcW w:w="4559" w:type="dxa"/>
          </w:tcPr>
          <w:p w:rsidR="00FE1EFC" w:rsidRDefault="00FE1EFC">
            <w:pPr>
              <w:spacing w:after="0" w:line="240" w:lineRule="auto"/>
              <w:jc w:val="both"/>
              <w:rPr>
                <w:rFonts w:ascii="Times New Roman" w:hAnsi="Times New Roman"/>
                <w:bCs/>
                <w:color w:val="FF0000"/>
                <w:sz w:val="20"/>
                <w:szCs w:val="20"/>
                <w:lang w:val="ms-MY"/>
              </w:rPr>
            </w:pPr>
          </w:p>
          <w:p w:rsidR="00FE1EFC" w:rsidRDefault="00FE1EFC">
            <w:pPr>
              <w:spacing w:after="0" w:line="240" w:lineRule="auto"/>
              <w:jc w:val="both"/>
              <w:rPr>
                <w:rFonts w:ascii="Times New Roman" w:hAnsi="Times New Roman"/>
                <w:bCs/>
                <w:color w:val="FF0000"/>
                <w:sz w:val="20"/>
                <w:szCs w:val="20"/>
                <w:lang w:val="ms-MY"/>
              </w:rPr>
            </w:pPr>
            <w:r>
              <w:rPr>
                <w:noProof/>
                <w:lang w:bidi="ar-SA"/>
              </w:rPr>
              <w:drawing>
                <wp:anchor distT="0" distB="0" distL="114300" distR="114300" simplePos="0" relativeHeight="251668992" behindDoc="1" locked="0" layoutInCell="1" allowOverlap="1">
                  <wp:simplePos x="0" y="0"/>
                  <wp:positionH relativeFrom="column">
                    <wp:posOffset>240030</wp:posOffset>
                  </wp:positionH>
                  <wp:positionV relativeFrom="paragraph">
                    <wp:posOffset>161925</wp:posOffset>
                  </wp:positionV>
                  <wp:extent cx="2268220" cy="1647190"/>
                  <wp:effectExtent l="0" t="0" r="0" b="0"/>
                  <wp:wrapTight wrapText="bothSides">
                    <wp:wrapPolygon edited="0">
                      <wp:start x="0" y="0"/>
                      <wp:lineTo x="0" y="21234"/>
                      <wp:lineTo x="21406" y="21234"/>
                      <wp:lineTo x="214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8220" cy="16471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lang w:val="ms-MY"/>
              </w:rPr>
              <w:t>(b)</w:t>
            </w:r>
          </w:p>
        </w:tc>
      </w:tr>
      <w:tr w:rsidR="00FE1EFC" w:rsidTr="00FE1EFC">
        <w:tc>
          <w:tcPr>
            <w:tcW w:w="9072" w:type="dxa"/>
            <w:gridSpan w:val="2"/>
          </w:tcPr>
          <w:p w:rsidR="00FE1EFC" w:rsidRDefault="00FE1EFC">
            <w:pPr>
              <w:spacing w:after="0" w:line="240" w:lineRule="auto"/>
              <w:jc w:val="both"/>
              <w:rPr>
                <w:rFonts w:ascii="Times New Roman" w:hAnsi="Times New Roman"/>
                <w:bCs/>
                <w:color w:val="FF0000"/>
                <w:sz w:val="20"/>
                <w:szCs w:val="20"/>
                <w:lang w:val="ms-MY"/>
              </w:rPr>
            </w:pPr>
          </w:p>
          <w:p w:rsidR="00FE1EFC" w:rsidRDefault="00FE1EFC">
            <w:pPr>
              <w:spacing w:after="0" w:line="240" w:lineRule="auto"/>
              <w:jc w:val="both"/>
              <w:rPr>
                <w:rFonts w:ascii="Times New Roman" w:hAnsi="Times New Roman"/>
                <w:bCs/>
                <w:sz w:val="20"/>
                <w:szCs w:val="20"/>
                <w:lang w:val="ms-MY"/>
              </w:rPr>
            </w:pPr>
            <w:r>
              <w:rPr>
                <w:rFonts w:ascii="Times New Roman" w:hAnsi="Times New Roman"/>
                <w:bCs/>
                <w:sz w:val="20"/>
                <w:szCs w:val="20"/>
                <w:lang w:val="ms-MY"/>
              </w:rPr>
              <w:t xml:space="preserve">                                          (c) </w:t>
            </w:r>
          </w:p>
          <w:p w:rsidR="00FE1EFC" w:rsidRDefault="00FE1EFC">
            <w:pPr>
              <w:spacing w:after="0" w:line="240" w:lineRule="auto"/>
              <w:jc w:val="center"/>
              <w:rPr>
                <w:rFonts w:ascii="Times New Roman" w:hAnsi="Times New Roman"/>
                <w:bCs/>
                <w:color w:val="FF0000"/>
                <w:sz w:val="20"/>
                <w:szCs w:val="20"/>
                <w:lang w:val="ms-MY"/>
              </w:rPr>
            </w:pPr>
            <w:r>
              <w:rPr>
                <w:rFonts w:ascii="Times New Roman" w:hAnsi="Times New Roman"/>
                <w:b/>
                <w:noProof/>
                <w:sz w:val="20"/>
                <w:szCs w:val="20"/>
                <w:lang w:bidi="ar-SA"/>
              </w:rPr>
              <w:drawing>
                <wp:inline distT="0" distB="0" distL="0" distR="0">
                  <wp:extent cx="24003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300" cy="1695450"/>
                          </a:xfrm>
                          <a:prstGeom prst="rect">
                            <a:avLst/>
                          </a:prstGeom>
                          <a:noFill/>
                          <a:ln>
                            <a:noFill/>
                          </a:ln>
                        </pic:spPr>
                      </pic:pic>
                    </a:graphicData>
                  </a:graphic>
                </wp:inline>
              </w:drawing>
            </w:r>
          </w:p>
          <w:p w:rsidR="00FE1EFC" w:rsidRDefault="00FE1EFC">
            <w:pPr>
              <w:spacing w:after="0" w:line="240" w:lineRule="auto"/>
              <w:jc w:val="both"/>
              <w:rPr>
                <w:rFonts w:ascii="Times New Roman" w:hAnsi="Times New Roman"/>
                <w:bCs/>
                <w:color w:val="FF0000"/>
                <w:sz w:val="20"/>
                <w:szCs w:val="20"/>
                <w:lang w:val="ms-MY"/>
              </w:rPr>
            </w:pPr>
          </w:p>
        </w:tc>
      </w:tr>
    </w:tbl>
    <w:p w:rsidR="00FE1EFC" w:rsidRDefault="00FE1EFC" w:rsidP="00FE1EFC">
      <w:pPr>
        <w:spacing w:after="0" w:line="240" w:lineRule="auto"/>
        <w:jc w:val="both"/>
        <w:rPr>
          <w:rFonts w:ascii="Times New Roman" w:hAnsi="Times New Roman"/>
          <w:bCs/>
          <w:color w:val="FF0000"/>
          <w:sz w:val="20"/>
          <w:szCs w:val="20"/>
          <w:lang w:val="ms-MY"/>
        </w:rPr>
      </w:pPr>
    </w:p>
    <w:p w:rsidR="00FE1EFC" w:rsidRDefault="00FE1EFC" w:rsidP="00FE1EFC">
      <w:pPr>
        <w:spacing w:after="0" w:line="240" w:lineRule="auto"/>
        <w:ind w:left="810" w:hanging="810"/>
        <w:jc w:val="both"/>
        <w:rPr>
          <w:rFonts w:ascii="Times New Roman" w:hAnsi="Times New Roman"/>
          <w:b/>
          <w:bCs/>
          <w:sz w:val="20"/>
          <w:szCs w:val="20"/>
        </w:rPr>
      </w:pPr>
      <w:r>
        <w:rPr>
          <w:rFonts w:ascii="Times New Roman" w:hAnsi="Times New Roman"/>
          <w:sz w:val="20"/>
          <w:szCs w:val="20"/>
        </w:rPr>
        <w:t>Figure 5.  (a) Response for the effect of ratio KOH: SMFW and activation time on iodine number, (b) Response for the effect of ratio KOH: SMFW and activation temperature on iodine number, and (c) Response for the effect of activation time and activation temperature on iodine number.</w:t>
      </w:r>
    </w:p>
    <w:p w:rsidR="00FE1EFC" w:rsidRDefault="00FE1EFC" w:rsidP="00FE1EFC">
      <w:pPr>
        <w:spacing w:after="0" w:line="240" w:lineRule="auto"/>
        <w:jc w:val="both"/>
        <w:rPr>
          <w:rFonts w:ascii="Times New Roman" w:hAnsi="Times New Roman"/>
          <w:sz w:val="20"/>
          <w:szCs w:val="20"/>
        </w:rPr>
      </w:pPr>
    </w:p>
    <w:p w:rsidR="00FE1EFC" w:rsidRDefault="00FE1EFC" w:rsidP="00FE1EFC">
      <w:pPr>
        <w:spacing w:after="0" w:line="240" w:lineRule="auto"/>
        <w:jc w:val="both"/>
        <w:rPr>
          <w:rFonts w:ascii="Times New Roman" w:hAnsi="Times New Roman"/>
          <w:sz w:val="20"/>
          <w:szCs w:val="20"/>
        </w:rPr>
      </w:pPr>
    </w:p>
    <w:p w:rsidR="00FE1EFC" w:rsidRDefault="00FE1EFC" w:rsidP="00FE1EFC">
      <w:pPr>
        <w:pStyle w:val="Text"/>
        <w:spacing w:line="240" w:lineRule="auto"/>
        <w:ind w:firstLine="0"/>
        <w:rPr>
          <w:b/>
          <w:bCs/>
        </w:rPr>
      </w:pPr>
      <w:r>
        <w:rPr>
          <w:b/>
          <w:bCs/>
          <w:lang w:val="en-GB"/>
        </w:rPr>
        <w:t>Comparisons between experimental data and predicted data of Box-Behnken design</w:t>
      </w:r>
    </w:p>
    <w:p w:rsidR="00FE1EFC" w:rsidRDefault="00FE1EFC" w:rsidP="00FE1EFC">
      <w:pPr>
        <w:pStyle w:val="Text"/>
        <w:spacing w:line="240" w:lineRule="auto"/>
        <w:ind w:firstLine="0"/>
      </w:pPr>
      <w:r>
        <w:t>Final empirical models in terms of coded factors for carbon yield (Y</w:t>
      </w:r>
      <w:r>
        <w:rPr>
          <w:vertAlign w:val="subscript"/>
        </w:rPr>
        <w:t>1</w:t>
      </w:r>
      <w:r>
        <w:t>) and iodine number (Y</w:t>
      </w:r>
      <w:r>
        <w:rPr>
          <w:vertAlign w:val="subscript"/>
        </w:rPr>
        <w:t>2</w:t>
      </w:r>
      <w:r>
        <w:t>) are shown in equation (3) and (4), respectively.</w:t>
      </w:r>
    </w:p>
    <w:p w:rsidR="00FE1EFC" w:rsidRDefault="00FE1EFC" w:rsidP="00FE1EFC">
      <w:pPr>
        <w:pStyle w:val="Text"/>
        <w:spacing w:line="240" w:lineRule="auto"/>
        <w:ind w:firstLine="240"/>
      </w:pPr>
    </w:p>
    <w:p w:rsidR="00FE1EFC" w:rsidRDefault="00FE1EFC" w:rsidP="00FE1EFC">
      <w:pPr>
        <w:pStyle w:val="Text"/>
        <w:spacing w:line="240" w:lineRule="auto"/>
        <w:ind w:firstLine="360"/>
      </w:pPr>
      <w:r>
        <w:t>Y</w:t>
      </w:r>
      <w:r>
        <w:rPr>
          <w:vertAlign w:val="subscript"/>
        </w:rPr>
        <w:t>1</w:t>
      </w:r>
      <w:r>
        <w:t xml:space="preserve"> = 17.48 – 4.56x</w:t>
      </w:r>
      <w:r>
        <w:rPr>
          <w:i/>
        </w:rPr>
        <w:t>x</w:t>
      </w:r>
      <w:r>
        <w:t>1 – 1.13x</w:t>
      </w:r>
      <w:r>
        <w:rPr>
          <w:i/>
        </w:rPr>
        <w:t>x</w:t>
      </w:r>
      <w:r>
        <w:t>2 – 7.27x</w:t>
      </w:r>
      <w:r>
        <w:rPr>
          <w:i/>
        </w:rPr>
        <w:t>x</w:t>
      </w:r>
      <w:r>
        <w:t>3-0.045x</w:t>
      </w:r>
      <w:r>
        <w:rPr>
          <w:i/>
        </w:rPr>
        <w:t>x</w:t>
      </w:r>
      <w:r>
        <w:t>1</w:t>
      </w:r>
      <w:r>
        <w:rPr>
          <w:vertAlign w:val="superscript"/>
        </w:rPr>
        <w:t>2</w:t>
      </w:r>
      <w:r>
        <w:t xml:space="preserve"> + 0.26x</w:t>
      </w:r>
      <w:r>
        <w:rPr>
          <w:i/>
        </w:rPr>
        <w:t>x2</w:t>
      </w:r>
      <w:r>
        <w:rPr>
          <w:vertAlign w:val="superscript"/>
        </w:rPr>
        <w:t>2</w:t>
      </w:r>
      <w:r>
        <w:t xml:space="preserve"> – 2.83x</w:t>
      </w:r>
      <w:r>
        <w:rPr>
          <w:i/>
        </w:rPr>
        <w:t>x</w:t>
      </w:r>
      <w:r>
        <w:t>3</w:t>
      </w:r>
      <w:r>
        <w:rPr>
          <w:vertAlign w:val="superscript"/>
        </w:rPr>
        <w:t>2</w:t>
      </w:r>
      <w:r>
        <w:t xml:space="preserve"> – </w:t>
      </w:r>
    </w:p>
    <w:p w:rsidR="00FE1EFC" w:rsidRDefault="00FE1EFC" w:rsidP="00FE1EFC">
      <w:pPr>
        <w:pStyle w:val="Text"/>
        <w:spacing w:line="240" w:lineRule="auto"/>
        <w:ind w:firstLine="360"/>
      </w:pPr>
      <w:r>
        <w:t xml:space="preserve">        0.30x</w:t>
      </w:r>
      <w:r>
        <w:rPr>
          <w:i/>
        </w:rPr>
        <w:t>x</w:t>
      </w:r>
      <w:r>
        <w:t>1x</w:t>
      </w:r>
      <w:r>
        <w:rPr>
          <w:i/>
        </w:rPr>
        <w:t>x</w:t>
      </w:r>
      <w:r>
        <w:t>2 + 1.55x</w:t>
      </w:r>
      <w:r>
        <w:rPr>
          <w:i/>
        </w:rPr>
        <w:t>x</w:t>
      </w:r>
      <w:r>
        <w:t>1x</w:t>
      </w:r>
      <w:r>
        <w:rPr>
          <w:i/>
        </w:rPr>
        <w:t>x</w:t>
      </w:r>
      <w:r>
        <w:t>3 – 0.84 x</w:t>
      </w:r>
      <w:r>
        <w:rPr>
          <w:i/>
        </w:rPr>
        <w:t>x</w:t>
      </w:r>
      <w:r>
        <w:t>2x</w:t>
      </w:r>
      <w:r>
        <w:rPr>
          <w:i/>
        </w:rPr>
        <w:t>x</w:t>
      </w:r>
      <w:r>
        <w:t>3                                                                                                     (3)</w:t>
      </w:r>
    </w:p>
    <w:p w:rsidR="00FE1EFC" w:rsidRDefault="00FE1EFC" w:rsidP="00FE1EFC">
      <w:pPr>
        <w:pStyle w:val="Text"/>
        <w:spacing w:line="240" w:lineRule="auto"/>
        <w:ind w:firstLine="360"/>
      </w:pPr>
    </w:p>
    <w:p w:rsidR="00FE1EFC" w:rsidRDefault="00FE1EFC" w:rsidP="00FE1EFC">
      <w:pPr>
        <w:pStyle w:val="Text"/>
        <w:spacing w:line="240" w:lineRule="auto"/>
        <w:ind w:firstLine="360"/>
      </w:pPr>
      <w:r>
        <w:t>Y</w:t>
      </w:r>
      <w:r>
        <w:rPr>
          <w:vertAlign w:val="subscript"/>
        </w:rPr>
        <w:t>2</w:t>
      </w:r>
      <w:r>
        <w:t xml:space="preserve"> = 433.10 + 66.64x</w:t>
      </w:r>
      <w:r>
        <w:rPr>
          <w:i/>
        </w:rPr>
        <w:t>x</w:t>
      </w:r>
      <w:r>
        <w:t>1 + 45.65x</w:t>
      </w:r>
      <w:r>
        <w:rPr>
          <w:i/>
        </w:rPr>
        <w:t>x</w:t>
      </w:r>
      <w:r>
        <w:t>2 + 120.13x</w:t>
      </w:r>
      <w:r>
        <w:rPr>
          <w:i/>
        </w:rPr>
        <w:t>x</w:t>
      </w:r>
      <w:r>
        <w:t>3 – 26.86x</w:t>
      </w:r>
      <w:r>
        <w:rPr>
          <w:i/>
        </w:rPr>
        <w:t>x</w:t>
      </w:r>
      <w:r>
        <w:t>1</w:t>
      </w:r>
      <w:r>
        <w:rPr>
          <w:vertAlign w:val="superscript"/>
        </w:rPr>
        <w:t>2</w:t>
      </w:r>
      <w:r>
        <w:t xml:space="preserve"> – 33.10x</w:t>
      </w:r>
      <w:r>
        <w:rPr>
          <w:i/>
        </w:rPr>
        <w:t>x</w:t>
      </w:r>
      <w:r>
        <w:t>2</w:t>
      </w:r>
      <w:r>
        <w:rPr>
          <w:vertAlign w:val="superscript"/>
        </w:rPr>
        <w:t>2</w:t>
      </w:r>
      <w:r>
        <w:t xml:space="preserve"> + </w:t>
      </w:r>
    </w:p>
    <w:p w:rsidR="00FE1EFC" w:rsidRDefault="00FE1EFC" w:rsidP="00FE1EFC">
      <w:pPr>
        <w:pStyle w:val="Text"/>
        <w:spacing w:line="240" w:lineRule="auto"/>
        <w:ind w:firstLine="240"/>
      </w:pPr>
      <w:r>
        <w:t xml:space="preserve">       144.64x</w:t>
      </w:r>
      <w:r>
        <w:rPr>
          <w:i/>
        </w:rPr>
        <w:t>x</w:t>
      </w:r>
      <w:r>
        <w:t>3</w:t>
      </w:r>
      <w:r>
        <w:rPr>
          <w:vertAlign w:val="superscript"/>
        </w:rPr>
        <w:t>2</w:t>
      </w:r>
      <w:r>
        <w:t xml:space="preserve"> + 8.20x</w:t>
      </w:r>
      <w:r>
        <w:rPr>
          <w:i/>
        </w:rPr>
        <w:t>x</w:t>
      </w:r>
      <w:r>
        <w:t>1x</w:t>
      </w:r>
      <w:r>
        <w:rPr>
          <w:i/>
        </w:rPr>
        <w:t>x</w:t>
      </w:r>
      <w:r>
        <w:t>2 + 6.56x</w:t>
      </w:r>
      <w:r>
        <w:rPr>
          <w:i/>
        </w:rPr>
        <w:t>x</w:t>
      </w:r>
      <w:r>
        <w:t>1 x</w:t>
      </w:r>
      <w:r>
        <w:rPr>
          <w:i/>
        </w:rPr>
        <w:t>x</w:t>
      </w:r>
      <w:r>
        <w:t>3 + 14.11x</w:t>
      </w:r>
      <w:r>
        <w:rPr>
          <w:i/>
        </w:rPr>
        <w:t>x</w:t>
      </w:r>
      <w:r>
        <w:t>2x</w:t>
      </w:r>
      <w:r>
        <w:rPr>
          <w:i/>
        </w:rPr>
        <w:t>x</w:t>
      </w:r>
      <w:r>
        <w:t>3</w:t>
      </w:r>
      <w:r>
        <w:tab/>
      </w:r>
      <w:r>
        <w:tab/>
      </w:r>
      <w:r>
        <w:tab/>
        <w:t xml:space="preserve">                                     (4)</w:t>
      </w:r>
    </w:p>
    <w:p w:rsidR="00FE1EFC" w:rsidRDefault="00FE1EFC" w:rsidP="00FE1EFC">
      <w:pPr>
        <w:pStyle w:val="Text"/>
        <w:spacing w:line="240" w:lineRule="auto"/>
        <w:ind w:firstLine="240"/>
      </w:pPr>
    </w:p>
    <w:p w:rsidR="00FE1EFC" w:rsidRDefault="00FE1EFC" w:rsidP="00FE1EFC">
      <w:pPr>
        <w:pStyle w:val="Text"/>
        <w:spacing w:line="240" w:lineRule="auto"/>
        <w:ind w:firstLine="0"/>
        <w:rPr>
          <w:lang w:val="ms-MY"/>
        </w:rPr>
      </w:pPr>
      <w:r>
        <w:rPr>
          <w:lang w:val="ms-MY"/>
        </w:rPr>
        <w:t>Figure 6 shows the comparison between the experimental and predicted value of percentage yield and iodine number of AC. It was observed that there were good agreement between the experimental and predicted values of percentage yield and iodine number, which indicated the excellent reliability of the model with high R</w:t>
      </w:r>
      <w:r>
        <w:rPr>
          <w:vertAlign w:val="superscript"/>
          <w:lang w:val="ms-MY"/>
        </w:rPr>
        <w:t>2</w:t>
      </w:r>
      <w:r>
        <w:rPr>
          <w:lang w:val="ms-MY"/>
        </w:rPr>
        <w:t xml:space="preserve"> of 0.9804 and 0.9333 respectively. </w:t>
      </w:r>
    </w:p>
    <w:p w:rsidR="00A02124" w:rsidRDefault="00A02124" w:rsidP="00FE1EFC">
      <w:pPr>
        <w:pStyle w:val="Text"/>
        <w:spacing w:line="240" w:lineRule="auto"/>
        <w:ind w:firstLine="0"/>
        <w:rPr>
          <w:lang w:val="ms-MY"/>
        </w:rPr>
      </w:pPr>
    </w:p>
    <w:p w:rsidR="00A02124" w:rsidRDefault="00A02124" w:rsidP="00FE1EFC">
      <w:pPr>
        <w:pStyle w:val="Text"/>
        <w:spacing w:line="240" w:lineRule="auto"/>
        <w:ind w:firstLine="0"/>
        <w:rPr>
          <w:lang w:val="ms-MY"/>
        </w:rPr>
      </w:pPr>
    </w:p>
    <w:p w:rsidR="00A02124" w:rsidRDefault="00A02124" w:rsidP="00FE1EFC">
      <w:pPr>
        <w:pStyle w:val="Text"/>
        <w:spacing w:line="240" w:lineRule="auto"/>
        <w:ind w:firstLine="0"/>
        <w:rPr>
          <w:lang w:val="ms-MY"/>
        </w:rPr>
      </w:pPr>
    </w:p>
    <w:p w:rsidR="00777102" w:rsidRDefault="00777102" w:rsidP="00777102">
      <w:pPr>
        <w:pStyle w:val="Text"/>
        <w:spacing w:line="240" w:lineRule="auto"/>
        <w:ind w:firstLine="0"/>
        <w:rPr>
          <w:lang w:val="ms-MY"/>
        </w:rPr>
      </w:pPr>
    </w:p>
    <w:p w:rsidR="00777102" w:rsidRDefault="00B147BC" w:rsidP="00777102">
      <w:pPr>
        <w:pStyle w:val="Text"/>
        <w:spacing w:line="240" w:lineRule="exact"/>
        <w:ind w:firstLine="240"/>
      </w:pPr>
      <w:r>
        <w:rPr>
          <w:noProof/>
        </w:rPr>
        <w:lastRenderedPageBreak/>
        <mc:AlternateContent>
          <mc:Choice Requires="wps">
            <w:drawing>
              <wp:anchor distT="0" distB="0" distL="114300" distR="114300" simplePos="0" relativeHeight="251672064" behindDoc="0" locked="0" layoutInCell="1" allowOverlap="1" wp14:anchorId="68BA7315" wp14:editId="53DDDAFF">
                <wp:simplePos x="0" y="0"/>
                <wp:positionH relativeFrom="column">
                  <wp:posOffset>1741805</wp:posOffset>
                </wp:positionH>
                <wp:positionV relativeFrom="paragraph">
                  <wp:posOffset>45720</wp:posOffset>
                </wp:positionV>
                <wp:extent cx="350520" cy="258445"/>
                <wp:effectExtent l="0" t="0" r="0" b="8255"/>
                <wp:wrapThrough wrapText="bothSides">
                  <wp:wrapPolygon edited="0">
                    <wp:start x="2348" y="0"/>
                    <wp:lineTo x="2348" y="20698"/>
                    <wp:lineTo x="17609" y="20698"/>
                    <wp:lineTo x="17609" y="0"/>
                    <wp:lineTo x="2348"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58445"/>
                        </a:xfrm>
                        <a:prstGeom prst="rect">
                          <a:avLst/>
                        </a:prstGeom>
                        <a:noFill/>
                        <a:ln>
                          <a:noFill/>
                        </a:ln>
                      </wps:spPr>
                      <wps:txbx>
                        <w:txbxContent>
                          <w:p w:rsidR="00777102" w:rsidRDefault="00777102" w:rsidP="00777102">
                            <w:pPr>
                              <w:rPr>
                                <w:rFonts w:ascii="Times New Roman" w:hAnsi="Times New Roman"/>
                                <w:sz w:val="20"/>
                              </w:rPr>
                            </w:pPr>
                            <w:r>
                              <w:rPr>
                                <w:rFonts w:ascii="Times New Roman" w:hAnsi="Times New Roman"/>
                                <w:sz w:val="2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137.15pt;margin-top:3.6pt;width:27.6pt;height:20.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" filled="f" stroked="f">
                <v:textbox>
                  <w:txbxContent>
                    <w:p w:rsidR="00777102" w:rsidRDefault="00777102" w:rsidP="00777102">
                      <w:pPr>
                        <w:rPr>
                          <w:rFonts w:ascii="Times New Roman" w:hAnsi="Times New Roman"/>
                          <w:sz w:val="20"/>
                        </w:rPr>
                      </w:pPr>
                      <w:r>
                        <w:rPr>
                          <w:rFonts w:ascii="Times New Roman" w:hAnsi="Times New Roman"/>
                          <w:sz w:val="20"/>
                        </w:rPr>
                        <w:t>(a)</w:t>
                      </w:r>
                    </w:p>
                  </w:txbxContent>
                </v:textbox>
                <w10:wrap type="through"/>
              </v:shape>
            </w:pict>
          </mc:Fallback>
        </mc:AlternateContent>
      </w:r>
      <w:r w:rsidR="00777102">
        <w:rPr>
          <w:noProof/>
        </w:rPr>
        <w:drawing>
          <wp:anchor distT="0" distB="0" distL="114300" distR="114300" simplePos="0" relativeHeight="251671040" behindDoc="0" locked="0" layoutInCell="1" allowOverlap="1" wp14:anchorId="3A61A888" wp14:editId="4F8B2A72">
            <wp:simplePos x="0" y="0"/>
            <wp:positionH relativeFrom="column">
              <wp:posOffset>1531620</wp:posOffset>
            </wp:positionH>
            <wp:positionV relativeFrom="paragraph">
              <wp:posOffset>15359</wp:posOffset>
            </wp:positionV>
            <wp:extent cx="2879725" cy="1835785"/>
            <wp:effectExtent l="19050" t="19050" r="15875" b="120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9725" cy="183578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rsidR="00777102" w:rsidRDefault="00777102" w:rsidP="00777102">
      <w:pPr>
        <w:pStyle w:val="Text"/>
        <w:spacing w:line="240" w:lineRule="exact"/>
        <w:ind w:firstLine="240"/>
      </w:pPr>
    </w:p>
    <w:p w:rsidR="00777102" w:rsidRDefault="00777102" w:rsidP="00777102">
      <w:pPr>
        <w:pStyle w:val="Text"/>
        <w:spacing w:line="240" w:lineRule="exact"/>
        <w:ind w:firstLine="240"/>
      </w:pPr>
    </w:p>
    <w:p w:rsidR="00777102" w:rsidRDefault="00777102" w:rsidP="00777102">
      <w:pPr>
        <w:pStyle w:val="Text"/>
        <w:spacing w:line="240" w:lineRule="exact"/>
        <w:ind w:firstLine="0"/>
        <w:rPr>
          <w:i/>
        </w:rPr>
      </w:pPr>
    </w:p>
    <w:p w:rsidR="00777102" w:rsidRDefault="00777102" w:rsidP="00777102">
      <w:pPr>
        <w:pStyle w:val="Text"/>
        <w:spacing w:line="240" w:lineRule="exact"/>
        <w:ind w:firstLine="0"/>
        <w:rPr>
          <w:i/>
        </w:rPr>
      </w:pPr>
    </w:p>
    <w:p w:rsidR="00777102" w:rsidRDefault="00777102" w:rsidP="00777102">
      <w:pPr>
        <w:pStyle w:val="Text"/>
        <w:spacing w:line="240" w:lineRule="exact"/>
        <w:ind w:firstLine="0"/>
        <w:rPr>
          <w:i/>
        </w:rPr>
      </w:pPr>
    </w:p>
    <w:p w:rsidR="00777102" w:rsidRDefault="00777102" w:rsidP="00777102">
      <w:pPr>
        <w:pStyle w:val="Text"/>
        <w:spacing w:line="240" w:lineRule="exact"/>
        <w:ind w:firstLine="0"/>
        <w:rPr>
          <w:i/>
        </w:rPr>
      </w:pPr>
    </w:p>
    <w:p w:rsidR="00777102" w:rsidRDefault="00777102" w:rsidP="00777102">
      <w:pPr>
        <w:pStyle w:val="Text"/>
        <w:spacing w:line="240" w:lineRule="exact"/>
        <w:ind w:firstLine="0"/>
      </w:pPr>
      <w:r>
        <w:tab/>
      </w:r>
      <w:r>
        <w:tab/>
      </w:r>
      <w:r>
        <w:tab/>
      </w:r>
      <w:r>
        <w:tab/>
      </w: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192A82" w:rsidP="00777102">
      <w:pPr>
        <w:pStyle w:val="Text"/>
        <w:spacing w:line="240" w:lineRule="exact"/>
        <w:ind w:firstLine="0"/>
        <w:rPr>
          <w:lang w:val="ms-MY"/>
        </w:rPr>
      </w:pPr>
      <w:r>
        <w:rPr>
          <w:noProof/>
        </w:rPr>
        <w:drawing>
          <wp:anchor distT="0" distB="0" distL="114300" distR="114300" simplePos="0" relativeHeight="251673088" behindDoc="0" locked="0" layoutInCell="1" allowOverlap="1" wp14:anchorId="20435655" wp14:editId="5253BE17">
            <wp:simplePos x="0" y="0"/>
            <wp:positionH relativeFrom="column">
              <wp:posOffset>1532890</wp:posOffset>
            </wp:positionH>
            <wp:positionV relativeFrom="paragraph">
              <wp:posOffset>74295</wp:posOffset>
            </wp:positionV>
            <wp:extent cx="2889885" cy="1871980"/>
            <wp:effectExtent l="19050" t="19050" r="24765" b="139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9885" cy="187198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777102">
        <w:rPr>
          <w:noProof/>
        </w:rPr>
        <mc:AlternateContent>
          <mc:Choice Requires="wps">
            <w:drawing>
              <wp:anchor distT="0" distB="0" distL="114300" distR="114300" simplePos="0" relativeHeight="251674112" behindDoc="0" locked="0" layoutInCell="1" allowOverlap="1" wp14:anchorId="37CCD968" wp14:editId="48BD466B">
                <wp:simplePos x="0" y="0"/>
                <wp:positionH relativeFrom="column">
                  <wp:posOffset>1745615</wp:posOffset>
                </wp:positionH>
                <wp:positionV relativeFrom="paragraph">
                  <wp:posOffset>74295</wp:posOffset>
                </wp:positionV>
                <wp:extent cx="350520" cy="25273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52730"/>
                        </a:xfrm>
                        <a:prstGeom prst="rect">
                          <a:avLst/>
                        </a:prstGeom>
                        <a:noFill/>
                        <a:ln>
                          <a:noFill/>
                        </a:ln>
                      </wps:spPr>
                      <wps:txbx>
                        <w:txbxContent>
                          <w:p w:rsidR="00777102" w:rsidRDefault="00777102" w:rsidP="00777102">
                            <w:pPr>
                              <w:rPr>
                                <w:rFonts w:ascii="Times New Roman" w:hAnsi="Times New Roman"/>
                                <w:sz w:val="20"/>
                                <w:szCs w:val="20"/>
                              </w:rPr>
                            </w:pPr>
                            <w:r>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left:0;text-align:left;margin-left:137.45pt;margin-top:5.85pt;width:27.6pt;height:19.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" filled="f" stroked="f">
                <v:textbox>
                  <w:txbxContent>
                    <w:p w:rsidR="00777102" w:rsidRDefault="00777102" w:rsidP="00777102">
                      <w:pPr>
                        <w:rPr>
                          <w:rFonts w:ascii="Times New Roman" w:hAnsi="Times New Roman"/>
                          <w:sz w:val="20"/>
                          <w:szCs w:val="20"/>
                        </w:rPr>
                      </w:pPr>
                      <w:r>
                        <w:rPr>
                          <w:rFonts w:ascii="Times New Roman" w:hAnsi="Times New Roman"/>
                          <w:sz w:val="20"/>
                          <w:szCs w:val="20"/>
                        </w:rPr>
                        <w:t>(b)</w:t>
                      </w:r>
                    </w:p>
                  </w:txbxContent>
                </v:textbox>
              </v:shape>
            </w:pict>
          </mc:Fallback>
        </mc:AlternateContent>
      </w: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777102" w:rsidRDefault="00777102" w:rsidP="00777102">
      <w:pPr>
        <w:pStyle w:val="Text"/>
        <w:spacing w:line="240" w:lineRule="exact"/>
        <w:ind w:firstLine="0"/>
        <w:rPr>
          <w:lang w:val="ms-MY"/>
        </w:rPr>
      </w:pPr>
    </w:p>
    <w:p w:rsidR="00192A82" w:rsidRDefault="00777102" w:rsidP="00192A82">
      <w:pPr>
        <w:pStyle w:val="Text"/>
        <w:spacing w:line="240" w:lineRule="exact"/>
        <w:ind w:left="851" w:right="-29" w:hanging="851"/>
        <w:rPr>
          <w:lang w:val="ms-MY"/>
        </w:rPr>
      </w:pPr>
      <w:r>
        <w:rPr>
          <w:lang w:val="ms-MY"/>
        </w:rPr>
        <w:t xml:space="preserve">Figure 6. </w:t>
      </w:r>
      <w:r w:rsidR="00192A82">
        <w:rPr>
          <w:lang w:val="ms-MY"/>
        </w:rPr>
        <w:t xml:space="preserve"> </w:t>
      </w:r>
      <w:r>
        <w:rPr>
          <w:lang w:val="ms-MY"/>
        </w:rPr>
        <w:t xml:space="preserve"> (a) Relationship between actual and </w:t>
      </w:r>
      <w:r w:rsidR="00192A82">
        <w:rPr>
          <w:lang w:val="ms-MY"/>
        </w:rPr>
        <w:t xml:space="preserve">  </w:t>
      </w:r>
      <w:r>
        <w:rPr>
          <w:lang w:val="ms-MY"/>
        </w:rPr>
        <w:t xml:space="preserve">predicted value </w:t>
      </w:r>
      <w:r w:rsidR="00192A82">
        <w:rPr>
          <w:lang w:val="ms-MY"/>
        </w:rPr>
        <w:t xml:space="preserve"> </w:t>
      </w:r>
      <w:r>
        <w:rPr>
          <w:lang w:val="ms-MY"/>
        </w:rPr>
        <w:t xml:space="preserve">of </w:t>
      </w:r>
      <w:r w:rsidR="00192A82">
        <w:rPr>
          <w:lang w:val="ms-MY"/>
        </w:rPr>
        <w:t xml:space="preserve"> </w:t>
      </w:r>
      <w:r>
        <w:rPr>
          <w:lang w:val="ms-MY"/>
        </w:rPr>
        <w:t xml:space="preserve">percentage yield of activated carbon, </w:t>
      </w:r>
      <w:r w:rsidR="00192A82">
        <w:rPr>
          <w:lang w:val="ms-MY"/>
        </w:rPr>
        <w:t>and</w:t>
      </w:r>
    </w:p>
    <w:p w:rsidR="00A02124" w:rsidRDefault="00777102" w:rsidP="00597EC5">
      <w:pPr>
        <w:pStyle w:val="Text"/>
        <w:spacing w:line="240" w:lineRule="exact"/>
        <w:ind w:left="851" w:right="-29" w:firstLine="0"/>
        <w:rPr>
          <w:lang w:val="ms-MY"/>
        </w:rPr>
      </w:pPr>
      <w:r>
        <w:rPr>
          <w:lang w:val="ms-MY"/>
        </w:rPr>
        <w:t xml:space="preserve">(b) </w:t>
      </w:r>
      <w:r w:rsidR="00192A82">
        <w:rPr>
          <w:lang w:val="ms-MY"/>
        </w:rPr>
        <w:t xml:space="preserve">Relationship </w:t>
      </w:r>
      <w:r>
        <w:rPr>
          <w:lang w:val="ms-MY"/>
        </w:rPr>
        <w:t>between actual and predicted value of iodine number of activated carbon.</w:t>
      </w:r>
    </w:p>
    <w:p w:rsidR="006768E9" w:rsidRPr="00F447A7" w:rsidRDefault="006768E9" w:rsidP="00FE1EF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92A82" w:rsidRPr="00192A82" w:rsidRDefault="00192A82" w:rsidP="00192A82">
      <w:pPr>
        <w:spacing w:after="0" w:line="240" w:lineRule="auto"/>
        <w:jc w:val="both"/>
        <w:rPr>
          <w:rFonts w:ascii="Times New Roman" w:hAnsi="Times New Roman"/>
          <w:b/>
          <w:bCs/>
          <w:sz w:val="20"/>
          <w:szCs w:val="20"/>
        </w:rPr>
      </w:pPr>
      <w:r w:rsidRPr="00192A82">
        <w:rPr>
          <w:rFonts w:ascii="Times New Roman" w:hAnsi="Times New Roman"/>
          <w:bCs/>
          <w:sz w:val="20"/>
          <w:szCs w:val="20"/>
        </w:rPr>
        <w:t xml:space="preserve">Preparation of AC via Box-Behnken design of Response Surface Methodology was evaluated. The analysis of percentage yield and iodine number using this method generated optimum condition of impregnation ratio, activation time and activation temperature at 0.25, 30.04 min and 400 </w:t>
      </w:r>
      <w:r w:rsidRPr="00192A82">
        <w:rPr>
          <w:rFonts w:ascii="Cambria Math" w:hAnsi="Cambria Math" w:cs="Cambria Math"/>
          <w:bCs/>
          <w:sz w:val="20"/>
          <w:szCs w:val="20"/>
        </w:rPr>
        <w:t>⁰</w:t>
      </w:r>
      <w:r w:rsidRPr="00192A82">
        <w:rPr>
          <w:rFonts w:ascii="Times New Roman" w:hAnsi="Times New Roman"/>
          <w:bCs/>
          <w:sz w:val="20"/>
          <w:szCs w:val="20"/>
        </w:rPr>
        <w:t>C respectively. Experimental result was well fitted to predicted result with high R</w:t>
      </w:r>
      <w:r w:rsidRPr="00192A82">
        <w:rPr>
          <w:rFonts w:ascii="Times New Roman" w:hAnsi="Times New Roman"/>
          <w:bCs/>
          <w:sz w:val="20"/>
          <w:szCs w:val="20"/>
          <w:vertAlign w:val="superscript"/>
        </w:rPr>
        <w:t>2</w:t>
      </w:r>
      <w:r w:rsidRPr="00192A82">
        <w:rPr>
          <w:rFonts w:ascii="Times New Roman" w:hAnsi="Times New Roman"/>
          <w:bCs/>
          <w:sz w:val="20"/>
          <w:szCs w:val="20"/>
        </w:rPr>
        <w:t xml:space="preserve"> of </w:t>
      </w:r>
      <w:r w:rsidRPr="00192A82">
        <w:rPr>
          <w:rFonts w:ascii="Times New Roman" w:hAnsi="Times New Roman"/>
          <w:sz w:val="20"/>
          <w:szCs w:val="20"/>
          <w:lang w:val="en-GB"/>
        </w:rPr>
        <w:t xml:space="preserve">0.9804 </w:t>
      </w:r>
      <w:r w:rsidRPr="00192A82">
        <w:rPr>
          <w:rFonts w:ascii="Times New Roman" w:hAnsi="Times New Roman"/>
          <w:sz w:val="20"/>
          <w:szCs w:val="20"/>
        </w:rPr>
        <w:t>for percentage yield of AC and 0.9333 for iodine number</w:t>
      </w:r>
      <w:r w:rsidRPr="00192A82">
        <w:rPr>
          <w:rFonts w:ascii="Times New Roman" w:hAnsi="Times New Roman"/>
          <w:bCs/>
          <w:sz w:val="20"/>
          <w:szCs w:val="20"/>
        </w:rPr>
        <w:t xml:space="preserve">. This method is applicable for industrial practice in AC production which involves multiple input and responses with </w:t>
      </w:r>
      <w:r w:rsidRPr="00192A82">
        <w:rPr>
          <w:rFonts w:ascii="Times New Roman" w:hAnsi="Times New Roman"/>
          <w:sz w:val="20"/>
          <w:szCs w:val="20"/>
          <w:lang w:val="en-GB"/>
        </w:rPr>
        <w:t>minimum chemical and energy input, contribute on green technology.</w:t>
      </w:r>
      <w:r w:rsidRPr="00192A82">
        <w:rPr>
          <w:rFonts w:ascii="Times New Roman" w:hAnsi="Times New Roman"/>
          <w:bCs/>
          <w:sz w:val="20"/>
          <w:szCs w:val="20"/>
          <w:lang w:val="en-GB"/>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192A82" w:rsidP="00192A82">
      <w:pPr>
        <w:spacing w:after="0" w:line="240" w:lineRule="auto"/>
        <w:jc w:val="both"/>
        <w:rPr>
          <w:rFonts w:ascii="Times New Roman" w:hAnsi="Times New Roman"/>
          <w:sz w:val="20"/>
          <w:szCs w:val="20"/>
        </w:rPr>
      </w:pPr>
      <w:r>
        <w:rPr>
          <w:rFonts w:ascii="Times New Roman" w:hAnsi="Times New Roman"/>
          <w:sz w:val="20"/>
          <w:szCs w:val="20"/>
        </w:rPr>
        <w:t>The authors acknowledge the research grant RAGS, provided by the MOHE (RAGS/2013/UiTM/SG01/4), C&amp;C Mushroom Cultivation Farm Sdn. Bhd. and also Universiti Teknologi MARA for supporting the facility.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92A82" w:rsidRDefault="00192A82" w:rsidP="00192A82">
      <w:pPr>
        <w:pStyle w:val="ListParagraph"/>
        <w:widowControl w:val="0"/>
        <w:numPr>
          <w:ilvl w:val="3"/>
          <w:numId w:val="2"/>
        </w:numPr>
        <w:spacing w:after="0" w:line="240" w:lineRule="auto"/>
        <w:ind w:left="360"/>
        <w:contextualSpacing w:val="0"/>
        <w:jc w:val="both"/>
        <w:rPr>
          <w:rFonts w:ascii="Times New Roman" w:hAnsi="Times New Roman"/>
          <w:noProof/>
          <w:sz w:val="20"/>
          <w:szCs w:val="20"/>
        </w:rPr>
      </w:pPr>
      <w:r>
        <w:rPr>
          <w:rFonts w:ascii="Times New Roman" w:hAnsi="Times New Roman"/>
          <w:noProof/>
          <w:sz w:val="20"/>
          <w:szCs w:val="20"/>
        </w:rPr>
        <w:t>Vargas, A. M. M., Garcia, C. A., Reis, E. M., Lenzi, E., Costa, W. F. and  Almeida, V. C. (2010). NaOH-activated carbon from flamboyant (</w:t>
      </w:r>
      <w:r>
        <w:rPr>
          <w:rFonts w:ascii="Times New Roman" w:hAnsi="Times New Roman"/>
          <w:i/>
          <w:noProof/>
          <w:sz w:val="20"/>
          <w:szCs w:val="20"/>
        </w:rPr>
        <w:t>Delonix regia</w:t>
      </w:r>
      <w:r>
        <w:rPr>
          <w:rFonts w:ascii="Times New Roman" w:hAnsi="Times New Roman"/>
          <w:noProof/>
          <w:sz w:val="20"/>
          <w:szCs w:val="20"/>
        </w:rPr>
        <w:t xml:space="preserve">) pods: Optimization of preparation conditions using central composite rotatable design. </w:t>
      </w:r>
      <w:r>
        <w:rPr>
          <w:rFonts w:ascii="Times New Roman" w:hAnsi="Times New Roman"/>
          <w:i/>
          <w:iCs/>
          <w:noProof/>
          <w:sz w:val="20"/>
          <w:szCs w:val="20"/>
        </w:rPr>
        <w:t>Chemical Engineering Journal</w:t>
      </w:r>
      <w:r>
        <w:rPr>
          <w:rFonts w:ascii="Times New Roman" w:hAnsi="Times New Roman"/>
          <w:noProof/>
          <w:sz w:val="20"/>
          <w:szCs w:val="20"/>
        </w:rPr>
        <w:t xml:space="preserve">, </w:t>
      </w:r>
      <w:r>
        <w:rPr>
          <w:rFonts w:ascii="Times New Roman" w:hAnsi="Times New Roman"/>
          <w:iCs/>
          <w:noProof/>
          <w:sz w:val="20"/>
          <w:szCs w:val="20"/>
        </w:rPr>
        <w:t>162</w:t>
      </w:r>
      <w:r>
        <w:rPr>
          <w:rFonts w:ascii="Times New Roman" w:hAnsi="Times New Roman"/>
          <w:noProof/>
          <w:sz w:val="20"/>
          <w:szCs w:val="20"/>
        </w:rPr>
        <w:t xml:space="preserve"> (1): 43 – 50.</w:t>
      </w:r>
    </w:p>
    <w:p w:rsidR="00192A82" w:rsidRPr="00597EC5"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Garba, Z. N. and Rahim, A. A. (2014). Process optimization of K</w:t>
      </w:r>
      <w:r>
        <w:rPr>
          <w:rFonts w:ascii="Times New Roman" w:hAnsi="Times New Roman"/>
          <w:noProof/>
          <w:sz w:val="20"/>
          <w:szCs w:val="20"/>
          <w:vertAlign w:val="subscript"/>
        </w:rPr>
        <w:t>2</w:t>
      </w:r>
      <w:r>
        <w:rPr>
          <w:rFonts w:ascii="Times New Roman" w:hAnsi="Times New Roman"/>
          <w:noProof/>
          <w:sz w:val="20"/>
          <w:szCs w:val="20"/>
        </w:rPr>
        <w:t>C</w:t>
      </w:r>
      <w:r>
        <w:rPr>
          <w:rFonts w:ascii="Times New Roman" w:hAnsi="Times New Roman"/>
          <w:noProof/>
          <w:sz w:val="20"/>
          <w:szCs w:val="20"/>
          <w:vertAlign w:val="subscript"/>
        </w:rPr>
        <w:t>2</w:t>
      </w:r>
      <w:r>
        <w:rPr>
          <w:rFonts w:ascii="Times New Roman" w:hAnsi="Times New Roman"/>
          <w:noProof/>
          <w:sz w:val="20"/>
          <w:szCs w:val="20"/>
        </w:rPr>
        <w:t>O</w:t>
      </w:r>
      <w:r>
        <w:rPr>
          <w:rFonts w:ascii="Times New Roman" w:hAnsi="Times New Roman"/>
          <w:noProof/>
          <w:sz w:val="20"/>
          <w:szCs w:val="20"/>
          <w:vertAlign w:val="subscript"/>
        </w:rPr>
        <w:t>4</w:t>
      </w:r>
      <w:r>
        <w:rPr>
          <w:rFonts w:ascii="Times New Roman" w:hAnsi="Times New Roman"/>
          <w:noProof/>
          <w:sz w:val="20"/>
          <w:szCs w:val="20"/>
        </w:rPr>
        <w:t xml:space="preserve">-activated carbon from Prosopis africana seed hulls using response surface methodology. </w:t>
      </w:r>
      <w:r>
        <w:rPr>
          <w:rFonts w:ascii="Times New Roman" w:hAnsi="Times New Roman"/>
          <w:i/>
          <w:iCs/>
          <w:noProof/>
          <w:sz w:val="20"/>
          <w:szCs w:val="20"/>
        </w:rPr>
        <w:t>Journal of Analytical and Applied Pyrolysis</w:t>
      </w:r>
      <w:r>
        <w:rPr>
          <w:rFonts w:ascii="Times New Roman" w:hAnsi="Times New Roman"/>
          <w:noProof/>
          <w:sz w:val="20"/>
          <w:szCs w:val="20"/>
        </w:rPr>
        <w:t xml:space="preserve">, </w:t>
      </w:r>
      <w:r>
        <w:rPr>
          <w:rFonts w:ascii="Times New Roman" w:hAnsi="Times New Roman"/>
          <w:iCs/>
          <w:noProof/>
          <w:sz w:val="20"/>
          <w:szCs w:val="20"/>
        </w:rPr>
        <w:t xml:space="preserve">107: </w:t>
      </w:r>
      <w:r>
        <w:rPr>
          <w:rFonts w:ascii="Times New Roman" w:hAnsi="Times New Roman"/>
          <w:noProof/>
          <w:sz w:val="20"/>
          <w:szCs w:val="20"/>
        </w:rPr>
        <w:t>306 – 312.</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Garba, Z. N., Abdul Rahim, A. and Hamza, S. A. (2014). Potential of Borassus aethiopum shells as precursor for activated carbon preparation by physico-chemical activation; optimization, equilibrium and kinetic studies. </w:t>
      </w:r>
      <w:r>
        <w:rPr>
          <w:rFonts w:ascii="Times New Roman" w:hAnsi="Times New Roman"/>
          <w:i/>
          <w:iCs/>
          <w:noProof/>
          <w:sz w:val="20"/>
          <w:szCs w:val="20"/>
        </w:rPr>
        <w:t>Journal of Environmental Chemical Engineering</w:t>
      </w:r>
      <w:r>
        <w:rPr>
          <w:rFonts w:ascii="Times New Roman" w:hAnsi="Times New Roman"/>
          <w:noProof/>
          <w:sz w:val="20"/>
          <w:szCs w:val="20"/>
        </w:rPr>
        <w:t xml:space="preserve">, </w:t>
      </w:r>
      <w:r>
        <w:rPr>
          <w:rFonts w:ascii="Times New Roman" w:hAnsi="Times New Roman"/>
          <w:iCs/>
          <w:noProof/>
          <w:sz w:val="20"/>
          <w:szCs w:val="20"/>
        </w:rPr>
        <w:t>2</w:t>
      </w:r>
      <w:r>
        <w:rPr>
          <w:rFonts w:ascii="Times New Roman" w:hAnsi="Times New Roman"/>
          <w:noProof/>
          <w:sz w:val="20"/>
          <w:szCs w:val="20"/>
        </w:rPr>
        <w:t xml:space="preserve">(3): 1423 – 1433. </w:t>
      </w:r>
    </w:p>
    <w:p w:rsidR="00B147BC" w:rsidRDefault="00B147BC" w:rsidP="00B147BC">
      <w:pPr>
        <w:pStyle w:val="ListParagraph"/>
        <w:widowControl w:val="0"/>
        <w:spacing w:after="0" w:line="240" w:lineRule="auto"/>
        <w:ind w:left="360"/>
        <w:jc w:val="both"/>
        <w:rPr>
          <w:rFonts w:ascii="Times New Roman" w:hAnsi="Times New Roman"/>
          <w:noProof/>
          <w:sz w:val="20"/>
          <w:szCs w:val="20"/>
        </w:rPr>
      </w:pP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lastRenderedPageBreak/>
        <w:t xml:space="preserve">Tan, I. A. W., Ahmad, A. L. and Hameed, B. H. (2008). Preparation of activated carbon from coconut husk: optimization study on removal of 2,4,6-trichlorophenol using response surface methodology. </w:t>
      </w:r>
      <w:r>
        <w:rPr>
          <w:rFonts w:ascii="Times New Roman" w:hAnsi="Times New Roman"/>
          <w:i/>
          <w:iCs/>
          <w:noProof/>
          <w:sz w:val="20"/>
          <w:szCs w:val="20"/>
        </w:rPr>
        <w:t>Journal of Hazardous Materials</w:t>
      </w:r>
      <w:r>
        <w:rPr>
          <w:rFonts w:ascii="Times New Roman" w:hAnsi="Times New Roman"/>
          <w:noProof/>
          <w:sz w:val="20"/>
          <w:szCs w:val="20"/>
        </w:rPr>
        <w:t xml:space="preserve">, </w:t>
      </w:r>
      <w:r>
        <w:rPr>
          <w:rFonts w:ascii="Times New Roman" w:hAnsi="Times New Roman"/>
          <w:iCs/>
          <w:noProof/>
          <w:sz w:val="20"/>
          <w:szCs w:val="20"/>
        </w:rPr>
        <w:t>153</w:t>
      </w:r>
      <w:r>
        <w:rPr>
          <w:rFonts w:ascii="Times New Roman" w:hAnsi="Times New Roman"/>
          <w:noProof/>
          <w:sz w:val="20"/>
          <w:szCs w:val="20"/>
        </w:rPr>
        <w:t>(1-2): 709 –717.</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Foo, K. Y. and Hameed, B. H.  (2012). Mesoporous activated carbon from wood sawdust by K</w:t>
      </w:r>
      <w:r>
        <w:rPr>
          <w:rFonts w:ascii="Times New Roman" w:hAnsi="Times New Roman"/>
          <w:noProof/>
          <w:sz w:val="20"/>
          <w:szCs w:val="20"/>
          <w:vertAlign w:val="subscript"/>
        </w:rPr>
        <w:t>2</w:t>
      </w:r>
      <w:r>
        <w:rPr>
          <w:rFonts w:ascii="Times New Roman" w:hAnsi="Times New Roman"/>
          <w:noProof/>
          <w:sz w:val="20"/>
          <w:szCs w:val="20"/>
        </w:rPr>
        <w:t>CO</w:t>
      </w:r>
      <w:r>
        <w:rPr>
          <w:rFonts w:ascii="Times New Roman" w:hAnsi="Times New Roman"/>
          <w:noProof/>
          <w:sz w:val="20"/>
          <w:szCs w:val="20"/>
          <w:vertAlign w:val="subscript"/>
        </w:rPr>
        <w:t>3</w:t>
      </w:r>
      <w:r>
        <w:rPr>
          <w:rFonts w:ascii="Times New Roman" w:hAnsi="Times New Roman"/>
          <w:noProof/>
          <w:sz w:val="20"/>
          <w:szCs w:val="20"/>
        </w:rPr>
        <w:t xml:space="preserve"> activation using microwave heating. </w:t>
      </w:r>
      <w:r>
        <w:rPr>
          <w:rFonts w:ascii="Times New Roman" w:hAnsi="Times New Roman"/>
          <w:i/>
          <w:iCs/>
          <w:noProof/>
          <w:sz w:val="20"/>
          <w:szCs w:val="20"/>
        </w:rPr>
        <w:t>Bioresource Technology</w:t>
      </w:r>
      <w:r>
        <w:rPr>
          <w:rFonts w:ascii="Times New Roman" w:hAnsi="Times New Roman"/>
          <w:noProof/>
          <w:sz w:val="20"/>
          <w:szCs w:val="20"/>
        </w:rPr>
        <w:t xml:space="preserve">, </w:t>
      </w:r>
      <w:r>
        <w:rPr>
          <w:rFonts w:ascii="Times New Roman" w:hAnsi="Times New Roman"/>
          <w:iCs/>
          <w:noProof/>
          <w:sz w:val="20"/>
          <w:szCs w:val="20"/>
        </w:rPr>
        <w:t>111</w:t>
      </w:r>
      <w:r>
        <w:rPr>
          <w:rFonts w:ascii="Times New Roman" w:hAnsi="Times New Roman"/>
          <w:noProof/>
          <w:sz w:val="20"/>
          <w:szCs w:val="20"/>
        </w:rPr>
        <w:t xml:space="preserve">:  425 – 432. </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Moodley, K., Singh, R., Musapatika, E. T., Onyango, M. S. and Ochieng, A. (2011). Removal of nickel from wastewater using an agricultural adsorbent, </w:t>
      </w:r>
      <w:r>
        <w:rPr>
          <w:rFonts w:ascii="Times New Roman" w:hAnsi="Times New Roman"/>
          <w:i/>
          <w:noProof/>
          <w:sz w:val="20"/>
          <w:szCs w:val="20"/>
        </w:rPr>
        <w:t>Water SA</w:t>
      </w:r>
      <w:r>
        <w:rPr>
          <w:rFonts w:ascii="Times New Roman" w:hAnsi="Times New Roman"/>
          <w:noProof/>
          <w:sz w:val="20"/>
          <w:szCs w:val="20"/>
        </w:rPr>
        <w:t xml:space="preserve">, </w:t>
      </w:r>
      <w:r>
        <w:rPr>
          <w:rFonts w:ascii="Times New Roman" w:hAnsi="Times New Roman"/>
          <w:iCs/>
          <w:noProof/>
          <w:sz w:val="20"/>
          <w:szCs w:val="20"/>
        </w:rPr>
        <w:t>37</w:t>
      </w:r>
      <w:r>
        <w:rPr>
          <w:rFonts w:ascii="Times New Roman" w:hAnsi="Times New Roman"/>
          <w:noProof/>
          <w:sz w:val="20"/>
          <w:szCs w:val="20"/>
        </w:rPr>
        <w:t>(1): 41 – 46.</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Yahaya, E. M., Faizal, M., Mohamed, P., Abustan, I. and Azmier, M.  (2010). Effect of preparation conditions of activated carbon prepared from rice husk by ZnCl</w:t>
      </w:r>
      <w:r>
        <w:rPr>
          <w:rFonts w:ascii="Times New Roman" w:hAnsi="Times New Roman"/>
          <w:noProof/>
          <w:sz w:val="20"/>
          <w:szCs w:val="20"/>
          <w:vertAlign w:val="subscript"/>
        </w:rPr>
        <w:t>2</w:t>
      </w:r>
      <w:r>
        <w:rPr>
          <w:rFonts w:ascii="Times New Roman" w:hAnsi="Times New Roman"/>
          <w:noProof/>
          <w:sz w:val="20"/>
          <w:szCs w:val="20"/>
        </w:rPr>
        <w:t xml:space="preserve"> activation for removal of Cu (II) from aqueous solution. </w:t>
      </w:r>
      <w:r>
        <w:rPr>
          <w:rFonts w:ascii="Times New Roman" w:hAnsi="Times New Roman"/>
          <w:i/>
          <w:noProof/>
          <w:sz w:val="20"/>
          <w:szCs w:val="20"/>
        </w:rPr>
        <w:t>International Journal of Engineering Technology</w:t>
      </w:r>
      <w:r>
        <w:rPr>
          <w:rFonts w:ascii="Times New Roman" w:hAnsi="Times New Roman"/>
          <w:noProof/>
          <w:sz w:val="20"/>
          <w:szCs w:val="20"/>
        </w:rPr>
        <w:t xml:space="preserve"> 10 (6): 1– 5.</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Chen, Y., Zhu, Y., Wang, Z., Li, Y., Wang, L., Ding, L. and Guo, Y. (2011). Application studies of activated carbon derived from rice husks produced by chemical-thermal process – a review. </w:t>
      </w:r>
      <w:r>
        <w:rPr>
          <w:rFonts w:ascii="Times New Roman" w:hAnsi="Times New Roman"/>
          <w:i/>
          <w:noProof/>
          <w:sz w:val="20"/>
          <w:szCs w:val="20"/>
        </w:rPr>
        <w:t>Advances in Colloid and Interface Science</w:t>
      </w:r>
      <w:r>
        <w:rPr>
          <w:rFonts w:ascii="Times New Roman" w:hAnsi="Times New Roman"/>
          <w:noProof/>
          <w:sz w:val="20"/>
          <w:szCs w:val="20"/>
        </w:rPr>
        <w:t xml:space="preserve"> 163(1): 39 – 52.</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Kumagai, S., Sato, M. and Tashima, D. (2013). Electrical double-layer capacitance of micro- and mesoporous activated carbon prepared from rice husk and beet sugar. </w:t>
      </w:r>
      <w:r>
        <w:rPr>
          <w:rFonts w:ascii="Times New Roman" w:hAnsi="Times New Roman"/>
          <w:i/>
          <w:iCs/>
          <w:noProof/>
          <w:sz w:val="20"/>
          <w:szCs w:val="20"/>
        </w:rPr>
        <w:t>Electrochimica Acta</w:t>
      </w:r>
      <w:r>
        <w:rPr>
          <w:rFonts w:ascii="Times New Roman" w:hAnsi="Times New Roman"/>
          <w:noProof/>
          <w:sz w:val="20"/>
          <w:szCs w:val="20"/>
        </w:rPr>
        <w:t xml:space="preserve">, </w:t>
      </w:r>
      <w:r>
        <w:rPr>
          <w:rFonts w:ascii="Times New Roman" w:hAnsi="Times New Roman"/>
          <w:iCs/>
          <w:noProof/>
          <w:sz w:val="20"/>
          <w:szCs w:val="20"/>
        </w:rPr>
        <w:t>114</w:t>
      </w:r>
      <w:r>
        <w:rPr>
          <w:rFonts w:ascii="Times New Roman" w:hAnsi="Times New Roman"/>
          <w:noProof/>
          <w:sz w:val="20"/>
          <w:szCs w:val="20"/>
        </w:rPr>
        <w:t xml:space="preserve">: 617 –626. </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Ding, L., Zou, B., Gao, W., Liu, Q., Wang, Z., Guo, Y. and Liu, Y.  (2014). Adsorption of Rhodamine-B from aqueous solution using treated rice husk-based activated carbon. </w:t>
      </w:r>
      <w:r>
        <w:rPr>
          <w:rFonts w:ascii="Times New Roman" w:hAnsi="Times New Roman"/>
          <w:i/>
          <w:iCs/>
          <w:noProof/>
          <w:sz w:val="20"/>
          <w:szCs w:val="20"/>
        </w:rPr>
        <w:t>Colloids and Surfaces A: Physicochemical and Engineering Aspects</w:t>
      </w:r>
      <w:r>
        <w:rPr>
          <w:rFonts w:ascii="Times New Roman" w:hAnsi="Times New Roman"/>
          <w:noProof/>
          <w:sz w:val="20"/>
          <w:szCs w:val="20"/>
        </w:rPr>
        <w:t xml:space="preserve">, </w:t>
      </w:r>
      <w:r>
        <w:rPr>
          <w:rFonts w:ascii="Times New Roman" w:hAnsi="Times New Roman"/>
          <w:iCs/>
          <w:noProof/>
          <w:sz w:val="20"/>
          <w:szCs w:val="20"/>
        </w:rPr>
        <w:t>446</w:t>
      </w:r>
      <w:r>
        <w:rPr>
          <w:rFonts w:ascii="Times New Roman" w:hAnsi="Times New Roman"/>
          <w:noProof/>
          <w:sz w:val="20"/>
          <w:szCs w:val="20"/>
        </w:rPr>
        <w:t xml:space="preserve">: 1 – 7. </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Yao, X., Liu, J., Gong, G., Jiang, Y. and Xie, Q. (2013). Preparation and modification of activated carbon for benzene adsorption by steam activation in the presence of KOH. </w:t>
      </w:r>
      <w:r>
        <w:rPr>
          <w:rFonts w:ascii="Times New Roman" w:hAnsi="Times New Roman"/>
          <w:i/>
          <w:iCs/>
          <w:noProof/>
          <w:sz w:val="20"/>
          <w:szCs w:val="20"/>
        </w:rPr>
        <w:t>International Journal of Mining Science and Technology</w:t>
      </w:r>
      <w:r>
        <w:rPr>
          <w:rFonts w:ascii="Times New Roman" w:hAnsi="Times New Roman"/>
          <w:noProof/>
          <w:sz w:val="20"/>
          <w:szCs w:val="20"/>
        </w:rPr>
        <w:t xml:space="preserve">, </w:t>
      </w:r>
      <w:r>
        <w:rPr>
          <w:rFonts w:ascii="Times New Roman" w:hAnsi="Times New Roman"/>
          <w:iCs/>
          <w:noProof/>
          <w:sz w:val="20"/>
          <w:szCs w:val="20"/>
        </w:rPr>
        <w:t>23</w:t>
      </w:r>
      <w:r>
        <w:rPr>
          <w:rFonts w:ascii="Times New Roman" w:hAnsi="Times New Roman"/>
          <w:noProof/>
          <w:sz w:val="20"/>
          <w:szCs w:val="20"/>
        </w:rPr>
        <w:t xml:space="preserve">(3): 395 – 401. </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ElShafei, G. M. S., ElSherbiny, I. M., Darwish, A. S., and Philip, C. A. (2014). Silkworms’ feces-based activated carbons as cheap adsorbents for removal of cadmium and methylene blue from aqueous solutions. </w:t>
      </w:r>
      <w:r>
        <w:rPr>
          <w:rFonts w:ascii="Times New Roman" w:hAnsi="Times New Roman"/>
          <w:i/>
          <w:iCs/>
          <w:noProof/>
          <w:sz w:val="20"/>
          <w:szCs w:val="20"/>
        </w:rPr>
        <w:t>Chemical Engineering Research and Design</w:t>
      </w:r>
      <w:r>
        <w:rPr>
          <w:rFonts w:ascii="Times New Roman" w:hAnsi="Times New Roman"/>
          <w:noProof/>
          <w:sz w:val="20"/>
          <w:szCs w:val="20"/>
        </w:rPr>
        <w:t xml:space="preserve">, </w:t>
      </w:r>
      <w:r>
        <w:rPr>
          <w:rFonts w:ascii="Times New Roman" w:hAnsi="Times New Roman"/>
          <w:iCs/>
          <w:noProof/>
          <w:sz w:val="20"/>
          <w:szCs w:val="20"/>
        </w:rPr>
        <w:t>92</w:t>
      </w:r>
      <w:r>
        <w:rPr>
          <w:rFonts w:ascii="Times New Roman" w:hAnsi="Times New Roman"/>
          <w:noProof/>
          <w:sz w:val="20"/>
          <w:szCs w:val="20"/>
        </w:rPr>
        <w:t xml:space="preserve">(3): 461 – 470. </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Pezoti Junior, O., Cazetta, A. L., Gomes, R. C., Barizão, É. O., Souza, I. P. A. F., Martins, A. C. and Almeida, V. C. (2014). Synthesis of ZnCl</w:t>
      </w:r>
      <w:r>
        <w:rPr>
          <w:rFonts w:ascii="Times New Roman" w:hAnsi="Times New Roman"/>
          <w:noProof/>
          <w:sz w:val="20"/>
          <w:szCs w:val="20"/>
          <w:vertAlign w:val="subscript"/>
        </w:rPr>
        <w:t>2</w:t>
      </w:r>
      <w:r>
        <w:rPr>
          <w:rFonts w:ascii="Times New Roman" w:hAnsi="Times New Roman"/>
          <w:noProof/>
          <w:sz w:val="20"/>
          <w:szCs w:val="20"/>
        </w:rPr>
        <w:t xml:space="preserve">-activated carbon from macadamia nut endocarp (Macadamia integrifolia) by microwave-assisted pyrolysis: Optimization using RSM and methylene blue adsorption. </w:t>
      </w:r>
      <w:r>
        <w:rPr>
          <w:rFonts w:ascii="Times New Roman" w:hAnsi="Times New Roman"/>
          <w:i/>
          <w:iCs/>
          <w:noProof/>
          <w:sz w:val="20"/>
          <w:szCs w:val="20"/>
        </w:rPr>
        <w:t>Journal of Analytical and Applied Pyrolysis</w:t>
      </w:r>
      <w:r>
        <w:rPr>
          <w:rFonts w:ascii="Times New Roman" w:hAnsi="Times New Roman"/>
          <w:noProof/>
          <w:sz w:val="20"/>
          <w:szCs w:val="20"/>
        </w:rPr>
        <w:t xml:space="preserve">, </w:t>
      </w:r>
      <w:r>
        <w:rPr>
          <w:rFonts w:ascii="Times New Roman" w:hAnsi="Times New Roman"/>
          <w:iCs/>
          <w:noProof/>
          <w:sz w:val="20"/>
          <w:szCs w:val="20"/>
        </w:rPr>
        <w:t>105</w:t>
      </w:r>
      <w:r>
        <w:rPr>
          <w:rFonts w:ascii="Times New Roman" w:hAnsi="Times New Roman"/>
          <w:noProof/>
          <w:sz w:val="20"/>
          <w:szCs w:val="20"/>
        </w:rPr>
        <w:t xml:space="preserve">: 166 –176. </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Gao, Y., Yue, Q., Gao, B., Sun, Y., Wang, W., Li, Q. and Wang, Y. (2013). Preparation of high surface area-activated carbon from lignin of papermaking black liquor by KOH activation for Ni(II) adsorption. </w:t>
      </w:r>
      <w:r>
        <w:rPr>
          <w:rFonts w:ascii="Times New Roman" w:hAnsi="Times New Roman"/>
          <w:i/>
          <w:iCs/>
          <w:noProof/>
          <w:sz w:val="20"/>
          <w:szCs w:val="20"/>
        </w:rPr>
        <w:t>Chemical Engineering Journal</w:t>
      </w:r>
      <w:r>
        <w:rPr>
          <w:rFonts w:ascii="Times New Roman" w:hAnsi="Times New Roman"/>
          <w:noProof/>
          <w:sz w:val="20"/>
          <w:szCs w:val="20"/>
        </w:rPr>
        <w:t xml:space="preserve">, </w:t>
      </w:r>
      <w:r>
        <w:rPr>
          <w:rFonts w:ascii="Times New Roman" w:hAnsi="Times New Roman"/>
          <w:iCs/>
          <w:noProof/>
          <w:sz w:val="20"/>
          <w:szCs w:val="20"/>
        </w:rPr>
        <w:t>217</w:t>
      </w:r>
      <w:r>
        <w:rPr>
          <w:rFonts w:ascii="Times New Roman" w:hAnsi="Times New Roman"/>
          <w:noProof/>
          <w:sz w:val="20"/>
          <w:szCs w:val="20"/>
        </w:rPr>
        <w:t xml:space="preserve">: 345 – 353. </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Yang, H., Yan, R., Chen, H., Lee, D. H. and Zheng, C. (2010). Characteristic of hemicellulose, cellulose and lignin pyrolysis. </w:t>
      </w:r>
      <w:r>
        <w:rPr>
          <w:rFonts w:ascii="Times New Roman" w:hAnsi="Times New Roman"/>
          <w:i/>
          <w:noProof/>
          <w:sz w:val="20"/>
          <w:szCs w:val="20"/>
        </w:rPr>
        <w:t>Fuel</w:t>
      </w:r>
      <w:r>
        <w:rPr>
          <w:rFonts w:ascii="Times New Roman" w:hAnsi="Times New Roman"/>
          <w:noProof/>
          <w:sz w:val="20"/>
          <w:szCs w:val="20"/>
        </w:rPr>
        <w:t>, 86(12): 1781 – 1788.</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Zhang, M., Resende, F. L. P., Moutsoglou, A. and Raynie, D. E. (2012). Pyrolysis of lignin extracted from prairie cordgrass, aspen and kraft lignin by Py-GC/MS and TGA/FTIR. </w:t>
      </w:r>
      <w:r>
        <w:rPr>
          <w:rFonts w:ascii="Times New Roman" w:hAnsi="Times New Roman"/>
          <w:i/>
          <w:noProof/>
          <w:sz w:val="20"/>
          <w:szCs w:val="20"/>
        </w:rPr>
        <w:t>Journal of Analytical and Applied Pyrolysis</w:t>
      </w:r>
      <w:r>
        <w:rPr>
          <w:rFonts w:ascii="Times New Roman" w:hAnsi="Times New Roman"/>
          <w:noProof/>
          <w:sz w:val="20"/>
          <w:szCs w:val="20"/>
        </w:rPr>
        <w:t>, 98: 65 – 71.</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Dominguez, J. C., Oliet, M., Alonso, M. V., Gilarranz, M. A. and Rodriguez, F. (2008). Thermal stability and pyrolysis kinetics of organosolv lignins obtained from Eucalyptus globulus. </w:t>
      </w:r>
      <w:r>
        <w:rPr>
          <w:rFonts w:ascii="Times New Roman" w:hAnsi="Times New Roman"/>
          <w:i/>
          <w:noProof/>
          <w:sz w:val="20"/>
          <w:szCs w:val="20"/>
        </w:rPr>
        <w:t>Industrial Crops and Products,</w:t>
      </w:r>
      <w:r>
        <w:rPr>
          <w:rFonts w:ascii="Times New Roman" w:hAnsi="Times New Roman"/>
          <w:noProof/>
          <w:sz w:val="20"/>
          <w:szCs w:val="20"/>
        </w:rPr>
        <w:t xml:space="preserve"> 27(2): 150 – 156.</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Sharma, R. K., Wooten, J. B., Baliga, V. L., Lin, X.,Chan, W. G. and Hajaligol, M.R. (2004). Characterization of chars from pyrolysis of lignin. </w:t>
      </w:r>
      <w:r>
        <w:rPr>
          <w:rFonts w:ascii="Times New Roman" w:hAnsi="Times New Roman"/>
          <w:i/>
          <w:noProof/>
          <w:sz w:val="20"/>
          <w:szCs w:val="20"/>
        </w:rPr>
        <w:t>Fuels</w:t>
      </w:r>
      <w:r>
        <w:rPr>
          <w:rFonts w:ascii="Times New Roman" w:hAnsi="Times New Roman"/>
          <w:noProof/>
          <w:sz w:val="20"/>
          <w:szCs w:val="20"/>
        </w:rPr>
        <w:t>, 83(11): 1469 – 1482.</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sz w:val="20"/>
          <w:szCs w:val="20"/>
          <w:lang w:val="ms-MY" w:eastAsia="en-MY"/>
        </w:rPr>
        <w:t>Muthanna, J. A. and Samar K. T. (2013). Microporous activat</w:t>
      </w:r>
      <w:r>
        <w:rPr>
          <w:rFonts w:ascii="Times New Roman" w:hAnsi="Times New Roman"/>
          <w:sz w:val="20"/>
          <w:szCs w:val="20"/>
        </w:rPr>
        <w:t>ed carbon from Siris seed pods by</w:t>
      </w:r>
      <w:r>
        <w:rPr>
          <w:rFonts w:ascii="Times New Roman" w:hAnsi="Times New Roman"/>
          <w:sz w:val="20"/>
          <w:szCs w:val="20"/>
          <w:lang w:val="ms-MY" w:eastAsia="en-MY"/>
        </w:rPr>
        <w:t xml:space="preserve"> microwave-induced KOH activation for metronidazole adsorption. </w:t>
      </w:r>
      <w:r>
        <w:rPr>
          <w:rFonts w:ascii="Times New Roman" w:hAnsi="Times New Roman"/>
          <w:i/>
          <w:sz w:val="20"/>
          <w:szCs w:val="20"/>
          <w:lang w:val="ms-MY" w:eastAsia="en-MY"/>
        </w:rPr>
        <w:t>Journal of Analytical and Applied Pyrolysis</w:t>
      </w:r>
      <w:r>
        <w:rPr>
          <w:rFonts w:ascii="Times New Roman" w:hAnsi="Times New Roman"/>
          <w:sz w:val="20"/>
          <w:szCs w:val="20"/>
          <w:lang w:val="ms-MY" w:eastAsia="en-MY"/>
        </w:rPr>
        <w:t>, 99: 101 – 109.</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Şentorun-Shalaby, Ç., Uçak-Astarlıogˇlu, M. G., Artok, L. and Sarıcı, Ç. (2006). Preparation and characterization of activated carbons by one-step steam pyrolysis/activation from apricot stones. </w:t>
      </w:r>
      <w:r>
        <w:rPr>
          <w:rFonts w:ascii="Times New Roman" w:hAnsi="Times New Roman"/>
          <w:i/>
          <w:noProof/>
          <w:sz w:val="20"/>
          <w:szCs w:val="20"/>
        </w:rPr>
        <w:t>Microporous and Mesoporous Materials</w:t>
      </w:r>
      <w:r>
        <w:rPr>
          <w:rFonts w:ascii="Times New Roman" w:hAnsi="Times New Roman"/>
          <w:noProof/>
          <w:sz w:val="20"/>
          <w:szCs w:val="20"/>
        </w:rPr>
        <w:t xml:space="preserve">, 88(1): 126 – 134. </w:t>
      </w:r>
    </w:p>
    <w:p w:rsidR="00192A82"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Abechi, S. E., Gimba, C. E., Uzairu, A. and Dallatu, Y. A. (2013). Preparation and Characterization of Activated Carbon from Palm Kernel Shell by Chemical Activation. </w:t>
      </w:r>
      <w:r>
        <w:rPr>
          <w:rFonts w:ascii="Times New Roman" w:hAnsi="Times New Roman"/>
          <w:i/>
          <w:noProof/>
          <w:sz w:val="20"/>
          <w:szCs w:val="20"/>
        </w:rPr>
        <w:t>Research Journal of Chemical Science</w:t>
      </w:r>
      <w:r>
        <w:rPr>
          <w:rFonts w:ascii="Times New Roman" w:hAnsi="Times New Roman"/>
          <w:noProof/>
          <w:sz w:val="20"/>
          <w:szCs w:val="20"/>
        </w:rPr>
        <w:t>, 3(7): 65 – 61.</w:t>
      </w:r>
    </w:p>
    <w:p w:rsidR="00A74A7E" w:rsidRPr="00597EC5" w:rsidRDefault="00192A82" w:rsidP="00192A82">
      <w:pPr>
        <w:pStyle w:val="ListParagraph"/>
        <w:widowControl w:val="0"/>
        <w:numPr>
          <w:ilvl w:val="3"/>
          <w:numId w:val="2"/>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Tham, Y. J., Shamala, D. A., Nur Hidayah, A. L., Ahmad, M. A. and Puziah, A. L. (2010). Effect of activation temperature and heating duration on physical characteristics of activated carbon prepared from agricultural waste. </w:t>
      </w:r>
      <w:r>
        <w:rPr>
          <w:rFonts w:ascii="Times New Roman" w:hAnsi="Times New Roman"/>
          <w:i/>
          <w:noProof/>
          <w:sz w:val="20"/>
          <w:szCs w:val="20"/>
        </w:rPr>
        <w:t>Environment Asia</w:t>
      </w:r>
      <w:r>
        <w:rPr>
          <w:rFonts w:ascii="Times New Roman" w:hAnsi="Times New Roman"/>
          <w:noProof/>
          <w:sz w:val="20"/>
          <w:szCs w:val="20"/>
        </w:rPr>
        <w:t>, 3: 143 –148.</w:t>
      </w:r>
    </w:p>
    <w:sectPr w:rsidR="00A74A7E" w:rsidRPr="00597EC5" w:rsidSect="00072695">
      <w:headerReference w:type="even" r:id="rId22"/>
      <w:headerReference w:type="default" r:id="rId23"/>
      <w:footerReference w:type="even" r:id="rId24"/>
      <w:footerReference w:type="default" r:id="rId25"/>
      <w:pgSz w:w="12240" w:h="15840" w:code="1"/>
      <w:pgMar w:top="1800" w:right="1469" w:bottom="1699" w:left="1440" w:header="706" w:footer="706" w:gutter="0"/>
      <w:pgNumType w:start="4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ulim">
    <w:altName w:val="굴림"/>
    <w:panose1 w:val="020B0600000101010101"/>
    <w:charset w:val="81"/>
    <w:family w:val="roman"/>
    <w:notTrueType/>
    <w:pitch w:val="fixed"/>
    <w:sig w:usb0="00000001" w:usb1="09060000" w:usb2="00000010" w:usb3="00000000" w:csb0="00080000" w:csb1="00000000"/>
  </w:font>
  <w:font w:name="1UAAA?">
    <w:altName w:val="Batang"/>
    <w:panose1 w:val="00000000000000000000"/>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0771E1">
          <w:rPr>
            <w:rFonts w:ascii="Times New Roman" w:hAnsi="Times New Roman"/>
            <w:noProof/>
          </w:rPr>
          <w:t>468</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0771E1">
          <w:rPr>
            <w:rFonts w:ascii="Times New Roman" w:hAnsi="Times New Roman"/>
            <w:noProof/>
          </w:rPr>
          <w:t>467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1F0B95" w:rsidRDefault="001F0B95" w:rsidP="001F0B95">
    <w:pPr>
      <w:spacing w:after="0" w:line="240" w:lineRule="auto"/>
      <w:ind w:left="1800" w:hanging="1800"/>
      <w:rPr>
        <w:rFonts w:ascii="Times New Roman" w:hAnsi="Times New Roman"/>
        <w:sz w:val="20"/>
        <w:szCs w:val="20"/>
      </w:rPr>
    </w:pPr>
    <w:r>
      <w:rPr>
        <w:rFonts w:ascii="Times New Roman" w:hAnsi="Times New Roman"/>
        <w:sz w:val="20"/>
        <w:szCs w:val="20"/>
      </w:rPr>
      <w:t xml:space="preserve">Nurul-Shuhada et al:  </w:t>
    </w:r>
    <w:r>
      <w:rPr>
        <w:rFonts w:ascii="Times New Roman" w:hAnsi="Times New Roman"/>
        <w:sz w:val="20"/>
        <w:szCs w:val="20"/>
      </w:rPr>
      <w:tab/>
    </w:r>
    <w:r w:rsidRPr="001F0B95">
      <w:rPr>
        <w:rFonts w:ascii="Times New Roman" w:hAnsi="Times New Roman"/>
        <w:sz w:val="20"/>
        <w:szCs w:val="20"/>
      </w:rPr>
      <w:t>OPTIMIZATION OF ACTIVATED CARBON PREPARATION FROM SPENT MUSHROOM FARMING WASTE (SMFW) VIA BOX–BEHNKEN DESIGN OF RESPONSE SURFACE METHODOLOGY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28516A">
      <w:rPr>
        <w:rFonts w:ascii="Times New Roman" w:hAnsi="Times New Roman"/>
        <w:i/>
        <w:lang w:val="en-US"/>
      </w:rPr>
      <w:t>No 3</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072695">
      <w:rPr>
        <w:rFonts w:ascii="Times New Roman" w:hAnsi="Times New Roman"/>
        <w:i/>
        <w:lang w:val="en-US"/>
      </w:rPr>
      <w:t>461</w:t>
    </w:r>
    <w:r w:rsidR="00E444E3">
      <w:rPr>
        <w:rFonts w:ascii="Times New Roman" w:hAnsi="Times New Roman"/>
        <w:i/>
        <w:lang w:val="en-US"/>
      </w:rPr>
      <w:t xml:space="preserve"> </w:t>
    </w:r>
    <w:r w:rsidR="00893939">
      <w:rPr>
        <w:rFonts w:ascii="Times New Roman" w:hAnsi="Times New Roman"/>
        <w:i/>
        <w:lang w:val="en-US"/>
      </w:rPr>
      <w:t>-</w:t>
    </w:r>
    <w:r w:rsidR="00E444E3">
      <w:rPr>
        <w:rFonts w:ascii="Times New Roman" w:hAnsi="Times New Roman"/>
        <w:i/>
        <w:lang w:val="en-US"/>
      </w:rPr>
      <w:t xml:space="preserve"> </w:t>
    </w:r>
    <w:r w:rsidR="008A0373">
      <w:rPr>
        <w:rFonts w:ascii="Times New Roman" w:hAnsi="Times New Roman"/>
        <w:i/>
        <w:lang w:val="en-US"/>
      </w:rPr>
      <w:t>468</w:t>
    </w:r>
  </w:p>
  <w:p w:rsidR="008A0373" w:rsidRPr="006B72B0" w:rsidRDefault="008A0373" w:rsidP="008A0373">
    <w:pPr>
      <w:pStyle w:val="Header"/>
      <w:jc w:val="center"/>
    </w:pPr>
    <w:r>
      <w:rPr>
        <w:rFonts w:ascii="Times New Roman" w:hAnsi="Times New Roman"/>
        <w:i/>
        <w:lang w:val="en-US"/>
      </w:rPr>
      <w:tab/>
    </w:r>
    <w:r>
      <w:rPr>
        <w:rFonts w:ascii="Times New Roman" w:hAnsi="Times New Roman"/>
        <w:i/>
        <w:lang w:val="en-US"/>
      </w:rPr>
      <w:tab/>
      <w:t>DOI: http://dx.doi.org/10.17576/mjas-2016-2003-</w:t>
    </w:r>
    <w:r w:rsidR="00EF4DF0">
      <w:rPr>
        <w:rFonts w:ascii="Times New Roman" w:hAnsi="Times New Roman"/>
        <w:i/>
        <w:lang w:val="en-US"/>
      </w:rPr>
      <w:t>0</w:t>
    </w:r>
    <w:r>
      <w:rPr>
        <w:rFonts w:ascii="Times New Roman" w:hAnsi="Times New Roman"/>
        <w:i/>
        <w:lang w:val="en-U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4273F"/>
    <w:multiLevelType w:val="hybridMultilevel"/>
    <w:tmpl w:val="D9D0AC3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3C49"/>
    <w:rsid w:val="00016385"/>
    <w:rsid w:val="00072695"/>
    <w:rsid w:val="000771E1"/>
    <w:rsid w:val="00084936"/>
    <w:rsid w:val="000C49FF"/>
    <w:rsid w:val="000D3D2B"/>
    <w:rsid w:val="000F77DA"/>
    <w:rsid w:val="001068E8"/>
    <w:rsid w:val="00117BCD"/>
    <w:rsid w:val="00192A82"/>
    <w:rsid w:val="001D035A"/>
    <w:rsid w:val="001D3855"/>
    <w:rsid w:val="001D6F2C"/>
    <w:rsid w:val="001F0B95"/>
    <w:rsid w:val="0020151D"/>
    <w:rsid w:val="00253F77"/>
    <w:rsid w:val="00281D65"/>
    <w:rsid w:val="0028516A"/>
    <w:rsid w:val="002B188F"/>
    <w:rsid w:val="002B3BD8"/>
    <w:rsid w:val="002F3F91"/>
    <w:rsid w:val="00304767"/>
    <w:rsid w:val="00304B34"/>
    <w:rsid w:val="00331953"/>
    <w:rsid w:val="00361BAF"/>
    <w:rsid w:val="00367D1F"/>
    <w:rsid w:val="0039241A"/>
    <w:rsid w:val="003B2A0A"/>
    <w:rsid w:val="003D585B"/>
    <w:rsid w:val="003E7DA6"/>
    <w:rsid w:val="003F12FF"/>
    <w:rsid w:val="004263D5"/>
    <w:rsid w:val="00441A4A"/>
    <w:rsid w:val="004760D4"/>
    <w:rsid w:val="00494C46"/>
    <w:rsid w:val="004B43FF"/>
    <w:rsid w:val="00502641"/>
    <w:rsid w:val="005758DB"/>
    <w:rsid w:val="00583520"/>
    <w:rsid w:val="00597EC5"/>
    <w:rsid w:val="005C6768"/>
    <w:rsid w:val="005E4871"/>
    <w:rsid w:val="00634C25"/>
    <w:rsid w:val="006416AB"/>
    <w:rsid w:val="006768E9"/>
    <w:rsid w:val="00687982"/>
    <w:rsid w:val="006B3EC8"/>
    <w:rsid w:val="006B72B0"/>
    <w:rsid w:val="006D695E"/>
    <w:rsid w:val="00725A6A"/>
    <w:rsid w:val="00777102"/>
    <w:rsid w:val="007943F3"/>
    <w:rsid w:val="007A738C"/>
    <w:rsid w:val="007B1349"/>
    <w:rsid w:val="007E25BD"/>
    <w:rsid w:val="007E6F99"/>
    <w:rsid w:val="007F6E82"/>
    <w:rsid w:val="00802C35"/>
    <w:rsid w:val="0082181A"/>
    <w:rsid w:val="0085318C"/>
    <w:rsid w:val="00893939"/>
    <w:rsid w:val="008A0373"/>
    <w:rsid w:val="008B470E"/>
    <w:rsid w:val="008E1211"/>
    <w:rsid w:val="008E5BBF"/>
    <w:rsid w:val="008E6968"/>
    <w:rsid w:val="00A02124"/>
    <w:rsid w:val="00A14DB9"/>
    <w:rsid w:val="00A4762A"/>
    <w:rsid w:val="00A74A7E"/>
    <w:rsid w:val="00AD1B8A"/>
    <w:rsid w:val="00AE713F"/>
    <w:rsid w:val="00B1121C"/>
    <w:rsid w:val="00B147BC"/>
    <w:rsid w:val="00B25B65"/>
    <w:rsid w:val="00B2770A"/>
    <w:rsid w:val="00B314AD"/>
    <w:rsid w:val="00B75BF6"/>
    <w:rsid w:val="00BA1F7B"/>
    <w:rsid w:val="00BA4AA3"/>
    <w:rsid w:val="00BB58AF"/>
    <w:rsid w:val="00BE7C30"/>
    <w:rsid w:val="00C01598"/>
    <w:rsid w:val="00C055BF"/>
    <w:rsid w:val="00C2226A"/>
    <w:rsid w:val="00C94D92"/>
    <w:rsid w:val="00C97340"/>
    <w:rsid w:val="00CA513F"/>
    <w:rsid w:val="00CF05FF"/>
    <w:rsid w:val="00D07FC8"/>
    <w:rsid w:val="00D340BB"/>
    <w:rsid w:val="00D505D5"/>
    <w:rsid w:val="00D75B35"/>
    <w:rsid w:val="00D76E09"/>
    <w:rsid w:val="00D9736F"/>
    <w:rsid w:val="00D9792A"/>
    <w:rsid w:val="00DD377F"/>
    <w:rsid w:val="00E25547"/>
    <w:rsid w:val="00E3287E"/>
    <w:rsid w:val="00E444E3"/>
    <w:rsid w:val="00E604BB"/>
    <w:rsid w:val="00E66197"/>
    <w:rsid w:val="00EF4DF0"/>
    <w:rsid w:val="00F31093"/>
    <w:rsid w:val="00F412AF"/>
    <w:rsid w:val="00F43667"/>
    <w:rsid w:val="00F447A7"/>
    <w:rsid w:val="00FB4C59"/>
    <w:rsid w:val="00FE0572"/>
    <w:rsid w:val="00FE1EFC"/>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Els-body-text">
    <w:name w:val="Els-body-text"/>
    <w:rsid w:val="00FE1EFC"/>
    <w:pPr>
      <w:keepNext/>
      <w:spacing w:line="240" w:lineRule="exact"/>
      <w:ind w:firstLine="238"/>
      <w:jc w:val="both"/>
    </w:pPr>
    <w:rPr>
      <w:rFonts w:ascii="Times New Roman" w:eastAsia="SimSun" w:hAnsi="Times New Roman"/>
    </w:rPr>
  </w:style>
  <w:style w:type="paragraph" w:customStyle="1" w:styleId="Text">
    <w:name w:val="Text"/>
    <w:basedOn w:val="Normal"/>
    <w:rsid w:val="00FE1EFC"/>
    <w:pPr>
      <w:widowControl w:val="0"/>
      <w:autoSpaceDE w:val="0"/>
      <w:autoSpaceDN w:val="0"/>
      <w:spacing w:after="0" w:line="252" w:lineRule="auto"/>
      <w:ind w:firstLine="202"/>
      <w:jc w:val="both"/>
    </w:pPr>
    <w:rPr>
      <w:rFonts w:ascii="Times New Roman" w:eastAsia="SimSun" w:hAnsi="Times New Roman"/>
      <w:sz w:val="20"/>
      <w:szCs w:val="20"/>
      <w:lang w:bidi="ar-SA"/>
    </w:rPr>
  </w:style>
  <w:style w:type="table" w:styleId="TableGrid">
    <w:name w:val="Table Grid"/>
    <w:basedOn w:val="TableNormal"/>
    <w:uiPriority w:val="59"/>
    <w:rsid w:val="00FE1EFC"/>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Els-body-text">
    <w:name w:val="Els-body-text"/>
    <w:rsid w:val="00FE1EFC"/>
    <w:pPr>
      <w:keepNext/>
      <w:spacing w:line="240" w:lineRule="exact"/>
      <w:ind w:firstLine="238"/>
      <w:jc w:val="both"/>
    </w:pPr>
    <w:rPr>
      <w:rFonts w:ascii="Times New Roman" w:eastAsia="SimSun" w:hAnsi="Times New Roman"/>
    </w:rPr>
  </w:style>
  <w:style w:type="paragraph" w:customStyle="1" w:styleId="Text">
    <w:name w:val="Text"/>
    <w:basedOn w:val="Normal"/>
    <w:rsid w:val="00FE1EFC"/>
    <w:pPr>
      <w:widowControl w:val="0"/>
      <w:autoSpaceDE w:val="0"/>
      <w:autoSpaceDN w:val="0"/>
      <w:spacing w:after="0" w:line="252" w:lineRule="auto"/>
      <w:ind w:firstLine="202"/>
      <w:jc w:val="both"/>
    </w:pPr>
    <w:rPr>
      <w:rFonts w:ascii="Times New Roman" w:eastAsia="SimSun" w:hAnsi="Times New Roman"/>
      <w:sz w:val="20"/>
      <w:szCs w:val="20"/>
      <w:lang w:bidi="ar-SA"/>
    </w:rPr>
  </w:style>
  <w:style w:type="table" w:styleId="TableGrid">
    <w:name w:val="Table Grid"/>
    <w:basedOn w:val="TableNormal"/>
    <w:uiPriority w:val="59"/>
    <w:rsid w:val="00FE1EFC"/>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598">
      <w:bodyDiv w:val="1"/>
      <w:marLeft w:val="0"/>
      <w:marRight w:val="0"/>
      <w:marTop w:val="0"/>
      <w:marBottom w:val="0"/>
      <w:divBdr>
        <w:top w:val="none" w:sz="0" w:space="0" w:color="auto"/>
        <w:left w:val="none" w:sz="0" w:space="0" w:color="auto"/>
        <w:bottom w:val="none" w:sz="0" w:space="0" w:color="auto"/>
        <w:right w:val="none" w:sz="0" w:space="0" w:color="auto"/>
      </w:divBdr>
    </w:div>
    <w:div w:id="237640701">
      <w:bodyDiv w:val="1"/>
      <w:marLeft w:val="0"/>
      <w:marRight w:val="0"/>
      <w:marTop w:val="0"/>
      <w:marBottom w:val="0"/>
      <w:divBdr>
        <w:top w:val="none" w:sz="0" w:space="0" w:color="auto"/>
        <w:left w:val="none" w:sz="0" w:space="0" w:color="auto"/>
        <w:bottom w:val="none" w:sz="0" w:space="0" w:color="auto"/>
        <w:right w:val="none" w:sz="0" w:space="0" w:color="auto"/>
      </w:divBdr>
    </w:div>
    <w:div w:id="530150153">
      <w:bodyDiv w:val="1"/>
      <w:marLeft w:val="0"/>
      <w:marRight w:val="0"/>
      <w:marTop w:val="0"/>
      <w:marBottom w:val="0"/>
      <w:divBdr>
        <w:top w:val="none" w:sz="0" w:space="0" w:color="auto"/>
        <w:left w:val="none" w:sz="0" w:space="0" w:color="auto"/>
        <w:bottom w:val="none" w:sz="0" w:space="0" w:color="auto"/>
        <w:right w:val="none" w:sz="0" w:space="0" w:color="auto"/>
      </w:divBdr>
    </w:div>
    <w:div w:id="696394702">
      <w:bodyDiv w:val="1"/>
      <w:marLeft w:val="0"/>
      <w:marRight w:val="0"/>
      <w:marTop w:val="0"/>
      <w:marBottom w:val="0"/>
      <w:divBdr>
        <w:top w:val="none" w:sz="0" w:space="0" w:color="auto"/>
        <w:left w:val="none" w:sz="0" w:space="0" w:color="auto"/>
        <w:bottom w:val="none" w:sz="0" w:space="0" w:color="auto"/>
        <w:right w:val="none" w:sz="0" w:space="0" w:color="auto"/>
      </w:divBdr>
    </w:div>
    <w:div w:id="839347232">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7776-4C07-4C3B-A4CA-B023F791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3337</Words>
  <Characters>18444</Characters>
  <Application>Microsoft Office Word</Application>
  <DocSecurity>0</DocSecurity>
  <Lines>405</Lines>
  <Paragraphs>91</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23</cp:revision>
  <cp:lastPrinted>2016-06-06T04:07:00Z</cp:lastPrinted>
  <dcterms:created xsi:type="dcterms:W3CDTF">2016-04-18T09:28:00Z</dcterms:created>
  <dcterms:modified xsi:type="dcterms:W3CDTF">2016-06-06T04:07:00Z</dcterms:modified>
</cp:coreProperties>
</file>