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0065A9" w:rsidRPr="00735305" w:rsidRDefault="000065A9" w:rsidP="000065A9">
      <w:pPr>
        <w:spacing w:after="0" w:line="240" w:lineRule="auto"/>
        <w:jc w:val="center"/>
        <w:rPr>
          <w:rFonts w:ascii="Times New Roman" w:hAnsi="Times New Roman"/>
          <w:sz w:val="28"/>
          <w:szCs w:val="20"/>
        </w:rPr>
      </w:pPr>
      <w:r w:rsidRPr="00735305">
        <w:rPr>
          <w:rFonts w:ascii="Times New Roman" w:hAnsi="Times New Roman"/>
          <w:sz w:val="28"/>
          <w:szCs w:val="20"/>
        </w:rPr>
        <w:t>BITTERNESS AND PHYSICHOCHEMICAL PROPERTIES OF ANGELWING CLAM (</w:t>
      </w:r>
      <w:r w:rsidRPr="00735305">
        <w:rPr>
          <w:rFonts w:ascii="Times New Roman" w:hAnsi="Times New Roman"/>
          <w:i/>
          <w:sz w:val="28"/>
          <w:szCs w:val="20"/>
        </w:rPr>
        <w:t>Pholas orientalis</w:t>
      </w:r>
      <w:r w:rsidRPr="00735305">
        <w:rPr>
          <w:rFonts w:ascii="Times New Roman" w:hAnsi="Times New Roman"/>
          <w:sz w:val="28"/>
          <w:szCs w:val="20"/>
        </w:rPr>
        <w:t>) HYDROLYSATE</w:t>
      </w:r>
    </w:p>
    <w:p w:rsidR="006768E9" w:rsidRPr="00F447A7" w:rsidRDefault="006768E9" w:rsidP="00F447A7">
      <w:pPr>
        <w:spacing w:after="0" w:line="240" w:lineRule="auto"/>
        <w:jc w:val="center"/>
        <w:rPr>
          <w:rFonts w:ascii="Times New Roman" w:hAnsi="Times New Roman"/>
          <w:noProof/>
          <w:sz w:val="24"/>
          <w:szCs w:val="24"/>
          <w:lang w:bidi="ar-SA"/>
        </w:rPr>
      </w:pPr>
    </w:p>
    <w:p w:rsidR="000065A9" w:rsidRPr="00735305" w:rsidRDefault="000065A9" w:rsidP="000065A9">
      <w:pPr>
        <w:spacing w:after="0" w:line="240" w:lineRule="auto"/>
        <w:jc w:val="center"/>
        <w:rPr>
          <w:rFonts w:ascii="Times New Roman" w:hAnsi="Times New Roman"/>
          <w:sz w:val="24"/>
          <w:szCs w:val="20"/>
        </w:rPr>
      </w:pPr>
      <w:r>
        <w:rPr>
          <w:rFonts w:ascii="Times New Roman" w:hAnsi="Times New Roman"/>
          <w:sz w:val="24"/>
          <w:szCs w:val="20"/>
        </w:rPr>
        <w:t>(Kepahitan d</w:t>
      </w:r>
      <w:r w:rsidRPr="00735305">
        <w:rPr>
          <w:rFonts w:ascii="Times New Roman" w:hAnsi="Times New Roman"/>
          <w:sz w:val="24"/>
          <w:szCs w:val="20"/>
        </w:rPr>
        <w:t>an Ciri</w:t>
      </w:r>
      <w:r>
        <w:rPr>
          <w:rFonts w:ascii="Times New Roman" w:hAnsi="Times New Roman"/>
          <w:sz w:val="24"/>
          <w:szCs w:val="20"/>
        </w:rPr>
        <w:t xml:space="preserve"> – </w:t>
      </w:r>
      <w:r w:rsidRPr="00735305">
        <w:rPr>
          <w:rFonts w:ascii="Times New Roman" w:hAnsi="Times New Roman"/>
          <w:sz w:val="24"/>
          <w:szCs w:val="20"/>
        </w:rPr>
        <w:t>Ciri Fizikokimia Hidrolisat Mentarang (</w:t>
      </w:r>
      <w:r w:rsidRPr="00735305">
        <w:rPr>
          <w:rFonts w:ascii="Times New Roman" w:hAnsi="Times New Roman"/>
          <w:i/>
          <w:sz w:val="24"/>
          <w:szCs w:val="20"/>
        </w:rPr>
        <w:t>Pholas orientalis</w:t>
      </w:r>
      <w:r w:rsidRPr="00735305">
        <w:rPr>
          <w:rFonts w:ascii="Times New Roman" w:hAnsi="Times New Roman"/>
          <w:sz w:val="24"/>
          <w:szCs w:val="20"/>
        </w:rPr>
        <w:t>)</w:t>
      </w:r>
      <w:r>
        <w:rPr>
          <w:rFonts w:ascii="Times New Roman" w:hAnsi="Times New Roman"/>
          <w:sz w:val="24"/>
          <w:szCs w:val="20"/>
        </w:rPr>
        <w:t>)</w:t>
      </w:r>
    </w:p>
    <w:p w:rsidR="006768E9" w:rsidRPr="00F447A7" w:rsidRDefault="006768E9" w:rsidP="00F447A7">
      <w:pPr>
        <w:spacing w:after="0" w:line="240" w:lineRule="auto"/>
        <w:jc w:val="center"/>
        <w:rPr>
          <w:rFonts w:ascii="Times New Roman" w:hAnsi="Times New Roman"/>
          <w:noProof/>
          <w:sz w:val="20"/>
          <w:szCs w:val="20"/>
          <w:lang w:bidi="ar-SA"/>
        </w:rPr>
      </w:pPr>
    </w:p>
    <w:p w:rsidR="000065A9" w:rsidRPr="000065A9" w:rsidRDefault="000065A9" w:rsidP="00BE36EA">
      <w:pPr>
        <w:spacing w:after="0" w:line="240" w:lineRule="auto"/>
        <w:jc w:val="center"/>
        <w:rPr>
          <w:rFonts w:ascii="Times New Roman" w:hAnsi="Times New Roman"/>
          <w:sz w:val="20"/>
          <w:szCs w:val="20"/>
          <w:vertAlign w:val="superscript"/>
        </w:rPr>
      </w:pPr>
      <w:r w:rsidRPr="000065A9">
        <w:rPr>
          <w:rFonts w:ascii="Times New Roman" w:hAnsi="Times New Roman"/>
          <w:sz w:val="20"/>
          <w:szCs w:val="20"/>
        </w:rPr>
        <w:t>Normah Ismail*</w:t>
      </w:r>
      <w:r>
        <w:rPr>
          <w:rFonts w:ascii="Times New Roman" w:hAnsi="Times New Roman"/>
          <w:sz w:val="20"/>
          <w:szCs w:val="20"/>
        </w:rPr>
        <w:t xml:space="preserve"> </w:t>
      </w:r>
      <w:r w:rsidRPr="000065A9">
        <w:rPr>
          <w:rFonts w:ascii="Times New Roman" w:hAnsi="Times New Roman"/>
          <w:sz w:val="20"/>
          <w:szCs w:val="20"/>
        </w:rPr>
        <w:t>and Nurul Fasihah Razak</w:t>
      </w:r>
    </w:p>
    <w:p w:rsidR="006768E9" w:rsidRPr="00F447A7" w:rsidRDefault="006768E9" w:rsidP="00F447A7">
      <w:pPr>
        <w:spacing w:after="0" w:line="240" w:lineRule="auto"/>
        <w:jc w:val="center"/>
        <w:rPr>
          <w:rFonts w:ascii="Times New Roman" w:hAnsi="Times New Roman"/>
          <w:noProof/>
          <w:sz w:val="18"/>
          <w:szCs w:val="18"/>
          <w:lang w:bidi="ar-SA"/>
        </w:rPr>
      </w:pPr>
    </w:p>
    <w:p w:rsidR="000065A9" w:rsidRDefault="000065A9" w:rsidP="000065A9">
      <w:pPr>
        <w:spacing w:after="0" w:line="240" w:lineRule="auto"/>
        <w:jc w:val="center"/>
        <w:rPr>
          <w:rFonts w:ascii="Times New Roman" w:hAnsi="Times New Roman"/>
          <w:i/>
          <w:sz w:val="18"/>
          <w:szCs w:val="20"/>
        </w:rPr>
      </w:pPr>
      <w:r w:rsidRPr="00735305">
        <w:rPr>
          <w:rFonts w:ascii="Times New Roman" w:hAnsi="Times New Roman"/>
          <w:i/>
          <w:sz w:val="18"/>
          <w:szCs w:val="20"/>
        </w:rPr>
        <w:t xml:space="preserve">Department of Food Technology, Faculty of Applied Sciences, </w:t>
      </w:r>
    </w:p>
    <w:p w:rsidR="000065A9" w:rsidRPr="00735305" w:rsidRDefault="000065A9" w:rsidP="000065A9">
      <w:pPr>
        <w:spacing w:after="0" w:line="240" w:lineRule="auto"/>
        <w:jc w:val="center"/>
        <w:rPr>
          <w:rFonts w:ascii="Times New Roman" w:hAnsi="Times New Roman"/>
          <w:i/>
          <w:sz w:val="18"/>
          <w:szCs w:val="20"/>
        </w:rPr>
      </w:pPr>
      <w:r>
        <w:rPr>
          <w:rFonts w:ascii="Times New Roman" w:hAnsi="Times New Roman"/>
          <w:i/>
          <w:sz w:val="18"/>
          <w:szCs w:val="20"/>
        </w:rPr>
        <w:t>Universiti Teknologi MARA</w:t>
      </w:r>
      <w:r w:rsidRPr="00735305">
        <w:rPr>
          <w:rFonts w:ascii="Times New Roman" w:hAnsi="Times New Roman"/>
          <w:i/>
          <w:sz w:val="18"/>
          <w:szCs w:val="20"/>
        </w:rPr>
        <w:t xml:space="preserve">, </w:t>
      </w:r>
      <w:r>
        <w:rPr>
          <w:rFonts w:ascii="Times New Roman" w:hAnsi="Times New Roman"/>
          <w:i/>
          <w:sz w:val="18"/>
          <w:szCs w:val="20"/>
        </w:rPr>
        <w:t xml:space="preserve">40450 </w:t>
      </w:r>
      <w:r w:rsidRPr="00735305">
        <w:rPr>
          <w:rFonts w:ascii="Times New Roman" w:hAnsi="Times New Roman"/>
          <w:i/>
          <w:sz w:val="18"/>
          <w:szCs w:val="20"/>
        </w:rPr>
        <w:t xml:space="preserve">Shah </w:t>
      </w:r>
      <w:r>
        <w:rPr>
          <w:rFonts w:ascii="Times New Roman" w:hAnsi="Times New Roman"/>
          <w:i/>
          <w:sz w:val="18"/>
          <w:szCs w:val="20"/>
        </w:rPr>
        <w:t>Alam,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0065A9" w:rsidRDefault="006768E9" w:rsidP="000065A9">
      <w:pPr>
        <w:spacing w:after="0" w:line="240" w:lineRule="auto"/>
        <w:jc w:val="center"/>
        <w:outlineLvl w:val="0"/>
        <w:rPr>
          <w:rFonts w:ascii="Times New Roman" w:hAnsi="Times New Roman"/>
          <w:i/>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0065A9" w:rsidRPr="00735305">
        <w:rPr>
          <w:rFonts w:ascii="Times New Roman" w:hAnsi="Times New Roman"/>
          <w:bCs/>
          <w:i/>
          <w:sz w:val="18"/>
          <w:szCs w:val="18"/>
          <w:lang w:val="en-GB"/>
        </w:rPr>
        <w:t>norismel@salam.uitm.edu.my</w:t>
      </w:r>
      <w:r w:rsidR="000065A9" w:rsidRPr="00735305">
        <w:rPr>
          <w:rFonts w:ascii="Times New Roman" w:hAnsi="Times New Roman"/>
          <w:i/>
          <w:sz w:val="18"/>
        </w:rPr>
        <w:t xml:space="preserve">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065A9">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0065A9">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74D62" w:rsidRPr="00416622" w:rsidRDefault="00174D62" w:rsidP="00174D62">
      <w:pPr>
        <w:spacing w:after="0" w:line="240" w:lineRule="auto"/>
        <w:jc w:val="both"/>
        <w:rPr>
          <w:rFonts w:ascii="Times New Roman" w:hAnsi="Times New Roman"/>
          <w:sz w:val="18"/>
          <w:szCs w:val="18"/>
        </w:rPr>
      </w:pPr>
      <w:r w:rsidRPr="00416622">
        <w:rPr>
          <w:rFonts w:ascii="Times New Roman" w:hAnsi="Times New Roman"/>
          <w:sz w:val="18"/>
          <w:szCs w:val="18"/>
        </w:rPr>
        <w:t>Protein hydrolysates from angelwing clam were obtained by enzymatic hydrolysis using bromelain. The bitterness of hydrolysates was evaluated based on the degree hydrolysis (DH), sensory analysis, molecular weight distribution and functional group. By using 3</w:t>
      </w:r>
      <w:r>
        <w:rPr>
          <w:rFonts w:ascii="Times New Roman" w:hAnsi="Times New Roman"/>
          <w:sz w:val="18"/>
          <w:szCs w:val="18"/>
        </w:rPr>
        <w:t xml:space="preserve"> </w:t>
      </w:r>
      <w:r w:rsidRPr="00416622">
        <w:rPr>
          <w:rFonts w:ascii="Times New Roman" w:hAnsi="Times New Roman"/>
          <w:sz w:val="18"/>
          <w:szCs w:val="18"/>
        </w:rPr>
        <w:t>% of enzyme substrate ratio bromelain resulted in high DH value at 12.57</w:t>
      </w:r>
      <w:r>
        <w:rPr>
          <w:rFonts w:ascii="Times New Roman" w:hAnsi="Times New Roman"/>
          <w:sz w:val="18"/>
          <w:szCs w:val="18"/>
        </w:rPr>
        <w:t xml:space="preserve"> </w:t>
      </w:r>
      <w:r w:rsidRPr="00416622">
        <w:rPr>
          <w:rFonts w:ascii="Times New Roman" w:hAnsi="Times New Roman"/>
          <w:sz w:val="18"/>
          <w:szCs w:val="18"/>
        </w:rPr>
        <w:t>% when angelwing clam was hydrolysed for 2 hours. Sensory analysis showed that angelwing hydrolysate was bitter. Angelwing hydrolysate had molecular weight below 50 kDa. The lower molecular weight indicated that the protein has been degraded into smaller peptide chains which contribute to bitter taste. Moreover, the high peak of amine group in angelwing hydrolysate (3385.6 cm</w:t>
      </w:r>
      <w:r w:rsidRPr="00416622">
        <w:rPr>
          <w:rFonts w:ascii="Times New Roman" w:hAnsi="Times New Roman"/>
          <w:sz w:val="18"/>
          <w:szCs w:val="18"/>
          <w:vertAlign w:val="superscript"/>
        </w:rPr>
        <w:t>-1</w:t>
      </w:r>
      <w:r w:rsidRPr="00416622">
        <w:rPr>
          <w:rFonts w:ascii="Times New Roman" w:hAnsi="Times New Roman"/>
          <w:sz w:val="18"/>
          <w:szCs w:val="18"/>
        </w:rPr>
        <w:t>) suggested that bitterness exists.  Angelwing hydrolysate had higher protein content, lower fat content and had good water holding capacity than the flesh. This result suggested that angelwing hydrolysate could be useful as food ingredient even though bitter taste developed after the hydrolysis. Thus, debittering should be considered in order to pave the way for full utilization of angelwing clam hydrolysate as a food ingredient.</w:t>
      </w:r>
    </w:p>
    <w:p w:rsidR="00174D62" w:rsidRPr="00416622" w:rsidRDefault="00174D62" w:rsidP="00174D62">
      <w:pPr>
        <w:spacing w:after="0" w:line="240" w:lineRule="auto"/>
        <w:jc w:val="both"/>
        <w:rPr>
          <w:rFonts w:ascii="Times New Roman" w:hAnsi="Times New Roman"/>
          <w:sz w:val="18"/>
          <w:szCs w:val="18"/>
        </w:rPr>
      </w:pPr>
    </w:p>
    <w:p w:rsidR="00174D62" w:rsidRPr="00416622" w:rsidRDefault="00174D62" w:rsidP="00174D62">
      <w:pPr>
        <w:spacing w:after="0" w:line="240" w:lineRule="auto"/>
        <w:jc w:val="both"/>
        <w:outlineLvl w:val="0"/>
        <w:rPr>
          <w:rFonts w:ascii="Times New Roman" w:eastAsia="Calibri" w:hAnsi="Times New Roman"/>
          <w:sz w:val="18"/>
          <w:szCs w:val="18"/>
        </w:rPr>
      </w:pPr>
      <w:r w:rsidRPr="00416622">
        <w:rPr>
          <w:rFonts w:ascii="Times New Roman" w:hAnsi="Times New Roman"/>
          <w:b/>
          <w:sz w:val="18"/>
          <w:szCs w:val="18"/>
        </w:rPr>
        <w:t>Keyword</w:t>
      </w:r>
      <w:r>
        <w:rPr>
          <w:rFonts w:ascii="Times New Roman" w:hAnsi="Times New Roman"/>
          <w:b/>
          <w:sz w:val="18"/>
          <w:szCs w:val="18"/>
        </w:rPr>
        <w:t>s</w:t>
      </w:r>
      <w:r w:rsidRPr="00416622">
        <w:rPr>
          <w:rFonts w:ascii="Times New Roman" w:hAnsi="Times New Roman"/>
          <w:sz w:val="18"/>
          <w:szCs w:val="18"/>
        </w:rPr>
        <w:t xml:space="preserve">: </w:t>
      </w:r>
      <w:r>
        <w:rPr>
          <w:rFonts w:ascii="Times New Roman" w:eastAsia="Calibri" w:hAnsi="Times New Roman"/>
          <w:sz w:val="18"/>
          <w:szCs w:val="18"/>
        </w:rPr>
        <w:t>a</w:t>
      </w:r>
      <w:r w:rsidRPr="00416622">
        <w:rPr>
          <w:rFonts w:ascii="Times New Roman" w:eastAsia="Calibri" w:hAnsi="Times New Roman"/>
          <w:sz w:val="18"/>
          <w:szCs w:val="18"/>
        </w:rPr>
        <w:t>ngelwing clam, sensory</w:t>
      </w:r>
      <w:r w:rsidRPr="00416622">
        <w:rPr>
          <w:rFonts w:ascii="Times New Roman" w:eastAsia="Calibri" w:hAnsi="Times New Roman"/>
          <w:i/>
          <w:sz w:val="18"/>
          <w:szCs w:val="18"/>
        </w:rPr>
        <w:t xml:space="preserve">, </w:t>
      </w:r>
      <w:r w:rsidRPr="00416622">
        <w:rPr>
          <w:rFonts w:ascii="Times New Roman" w:eastAsia="Calibri" w:hAnsi="Times New Roman"/>
          <w:sz w:val="18"/>
          <w:szCs w:val="18"/>
        </w:rPr>
        <w:t>hydrolysate, bromelain, bittern</w:t>
      </w:r>
      <w:r>
        <w:rPr>
          <w:rFonts w:ascii="Times New Roman" w:eastAsia="Calibri" w:hAnsi="Times New Roman"/>
          <w:sz w:val="18"/>
          <w:szCs w:val="18"/>
        </w:rPr>
        <w:t>ess, physicochemical properties</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174D62" w:rsidRDefault="00174D62" w:rsidP="00174D62">
      <w:pPr>
        <w:spacing w:after="0" w:line="240" w:lineRule="auto"/>
        <w:jc w:val="both"/>
        <w:rPr>
          <w:rFonts w:ascii="Times New Roman" w:eastAsia="Calibri" w:hAnsi="Times New Roman"/>
          <w:sz w:val="18"/>
          <w:szCs w:val="20"/>
          <w:lang w:val="ms-MY"/>
        </w:rPr>
      </w:pPr>
      <w:r w:rsidRPr="0050062E">
        <w:rPr>
          <w:rFonts w:ascii="Times New Roman" w:eastAsia="Calibri" w:hAnsi="Times New Roman"/>
          <w:sz w:val="18"/>
          <w:szCs w:val="20"/>
          <w:lang w:val="ms-MY"/>
        </w:rPr>
        <w:t>Hidrolisat protein daripada kerang mentarang diperolehi daripada hidrolisis proses menggunakan enzim bromelain. Kepahitan hidrolisat dinilai berdasarkan tahap hidrolisis (DH), analisis deria, pengedaran berat molekul dan kumpulan berfungsi. Dengan menggunakan 3</w:t>
      </w:r>
      <w:r>
        <w:rPr>
          <w:rFonts w:ascii="Times New Roman" w:eastAsia="Calibri" w:hAnsi="Times New Roman"/>
          <w:sz w:val="18"/>
          <w:szCs w:val="20"/>
          <w:lang w:val="ms-MY"/>
        </w:rPr>
        <w:t xml:space="preserve"> </w:t>
      </w:r>
      <w:r w:rsidRPr="0050062E">
        <w:rPr>
          <w:rFonts w:ascii="Times New Roman" w:eastAsia="Calibri" w:hAnsi="Times New Roman"/>
          <w:sz w:val="18"/>
          <w:szCs w:val="20"/>
          <w:lang w:val="ms-MY"/>
        </w:rPr>
        <w:t>% daripada nisbah substrat enzim bromelain menyebabkan nilai DH tinggi pada 12.57</w:t>
      </w:r>
      <w:r>
        <w:rPr>
          <w:rFonts w:ascii="Times New Roman" w:eastAsia="Calibri" w:hAnsi="Times New Roman"/>
          <w:sz w:val="18"/>
          <w:szCs w:val="20"/>
          <w:lang w:val="ms-MY"/>
        </w:rPr>
        <w:t xml:space="preserve"> </w:t>
      </w:r>
      <w:r w:rsidRPr="0050062E">
        <w:rPr>
          <w:rFonts w:ascii="Times New Roman" w:eastAsia="Calibri" w:hAnsi="Times New Roman"/>
          <w:sz w:val="18"/>
          <w:szCs w:val="20"/>
          <w:lang w:val="ms-MY"/>
        </w:rPr>
        <w:t>% apabila kerang mentarang telah dihidrolisiskan selama 2 jam. Analisis deria menunjukkan kerang mentarang hidrolisat adalah pahit. Hidrolisat kerang mentarang mempunyai berat molekul di bawah 50 kDa. Berat molekul yang rendah menunjukkan bahawa protein yang telah dipecahkan kepada rantaian peptida yang lebih kecil menyumbang kepada rasa pahit. Selain itu, kumpulan amina yang mempunyai puncak yang tinggi d</w:t>
      </w:r>
      <w:r>
        <w:rPr>
          <w:rFonts w:ascii="Times New Roman" w:eastAsia="Calibri" w:hAnsi="Times New Roman"/>
          <w:sz w:val="18"/>
          <w:szCs w:val="20"/>
          <w:lang w:val="ms-MY"/>
        </w:rPr>
        <w:t>alam mentarang hidrolisat (3385.</w:t>
      </w:r>
      <w:r w:rsidRPr="0050062E">
        <w:rPr>
          <w:rFonts w:ascii="Times New Roman" w:eastAsia="Calibri" w:hAnsi="Times New Roman"/>
          <w:sz w:val="18"/>
          <w:szCs w:val="20"/>
          <w:lang w:val="ms-MY"/>
        </w:rPr>
        <w:t>6 cm</w:t>
      </w:r>
      <w:r w:rsidRPr="00416622">
        <w:rPr>
          <w:rFonts w:ascii="Times New Roman" w:eastAsia="Calibri" w:hAnsi="Times New Roman"/>
          <w:sz w:val="18"/>
          <w:szCs w:val="20"/>
          <w:vertAlign w:val="superscript"/>
          <w:lang w:val="ms-MY"/>
        </w:rPr>
        <w:t>-1</w:t>
      </w:r>
      <w:r w:rsidRPr="0050062E">
        <w:rPr>
          <w:rFonts w:ascii="Times New Roman" w:eastAsia="Calibri" w:hAnsi="Times New Roman"/>
          <w:sz w:val="18"/>
          <w:szCs w:val="20"/>
          <w:lang w:val="ms-MY"/>
        </w:rPr>
        <w:t>) menunjukkan bahawa kepahitan wujud.  Hidrolisat kerang mentarang mempunyai kandungan protein yang lebih tinggi, kandungan lemak yang lebih rendah dan mempunyai keupayaan pegangan air yang lebih baik daripada daging.  Hasil keputusan ini menunjukkan bahawa kerang mentarang hidrolisat boleh dimanfaatkan  sebagai</w:t>
      </w:r>
      <w:r>
        <w:rPr>
          <w:rFonts w:ascii="Times New Roman" w:eastAsia="Calibri" w:hAnsi="Times New Roman"/>
          <w:sz w:val="18"/>
          <w:szCs w:val="20"/>
          <w:lang w:val="ms-MY"/>
        </w:rPr>
        <w:t xml:space="preserve"> bahan </w:t>
      </w:r>
      <w:r w:rsidRPr="0050062E">
        <w:rPr>
          <w:rFonts w:ascii="Times New Roman" w:eastAsia="Calibri" w:hAnsi="Times New Roman"/>
          <w:sz w:val="18"/>
          <w:szCs w:val="20"/>
          <w:lang w:val="ms-MY"/>
        </w:rPr>
        <w:t xml:space="preserve">makanan walaupun rasa pahit hadir selepas hidrolisis. Oleh itu, penyah-pahitan perlu dipertimbangkan untuk membuka jalan kepada penggunaan penuh kerang mentarang hidrolisat sebagai </w:t>
      </w:r>
      <w:r>
        <w:rPr>
          <w:rFonts w:ascii="Times New Roman" w:eastAsia="Calibri" w:hAnsi="Times New Roman"/>
          <w:sz w:val="18"/>
          <w:szCs w:val="20"/>
          <w:lang w:val="ms-MY"/>
        </w:rPr>
        <w:t>bahan</w:t>
      </w:r>
      <w:r w:rsidRPr="0050062E">
        <w:rPr>
          <w:rFonts w:ascii="Times New Roman" w:eastAsia="Calibri" w:hAnsi="Times New Roman"/>
          <w:sz w:val="18"/>
          <w:szCs w:val="20"/>
          <w:lang w:val="ms-MY"/>
        </w:rPr>
        <w:t xml:space="preserve"> makanan.</w:t>
      </w:r>
    </w:p>
    <w:p w:rsidR="00174D62" w:rsidRPr="0023438F" w:rsidRDefault="00174D62" w:rsidP="00174D62">
      <w:pPr>
        <w:spacing w:after="0" w:line="240" w:lineRule="auto"/>
        <w:jc w:val="both"/>
        <w:rPr>
          <w:rFonts w:ascii="Times New Roman" w:eastAsia="Calibri" w:hAnsi="Times New Roman"/>
          <w:szCs w:val="20"/>
        </w:rPr>
      </w:pPr>
    </w:p>
    <w:p w:rsidR="00174D62" w:rsidRPr="0050062E" w:rsidRDefault="00174D62" w:rsidP="00174D62">
      <w:pPr>
        <w:spacing w:after="0" w:line="240" w:lineRule="auto"/>
        <w:jc w:val="both"/>
        <w:rPr>
          <w:rFonts w:ascii="Times New Roman" w:eastAsia="Calibri" w:hAnsi="Times New Roman"/>
          <w:sz w:val="18"/>
          <w:szCs w:val="20"/>
        </w:rPr>
      </w:pPr>
      <w:r w:rsidRPr="0050062E">
        <w:rPr>
          <w:rFonts w:ascii="Times New Roman" w:hAnsi="Times New Roman"/>
          <w:b/>
          <w:sz w:val="18"/>
        </w:rPr>
        <w:t xml:space="preserve">Kata kunci: </w:t>
      </w:r>
      <w:r>
        <w:rPr>
          <w:rFonts w:ascii="Times New Roman" w:hAnsi="Times New Roman"/>
          <w:b/>
          <w:sz w:val="18"/>
        </w:rPr>
        <w:t xml:space="preserve"> </w:t>
      </w:r>
      <w:r>
        <w:rPr>
          <w:rFonts w:ascii="Times New Roman" w:eastAsia="Calibri" w:hAnsi="Times New Roman"/>
          <w:sz w:val="18"/>
          <w:szCs w:val="20"/>
        </w:rPr>
        <w:t>m</w:t>
      </w:r>
      <w:r w:rsidRPr="0050062E">
        <w:rPr>
          <w:rFonts w:ascii="Times New Roman" w:eastAsia="Calibri" w:hAnsi="Times New Roman"/>
          <w:sz w:val="18"/>
          <w:szCs w:val="20"/>
        </w:rPr>
        <w:t xml:space="preserve">entarang, </w:t>
      </w:r>
      <w:r w:rsidRPr="0050062E">
        <w:rPr>
          <w:rFonts w:ascii="Times New Roman" w:eastAsia="Calibri" w:hAnsi="Times New Roman"/>
          <w:i/>
          <w:sz w:val="18"/>
          <w:szCs w:val="20"/>
        </w:rPr>
        <w:t xml:space="preserve">Pholas orientalis, </w:t>
      </w:r>
      <w:r w:rsidRPr="0050062E">
        <w:rPr>
          <w:rFonts w:ascii="Times New Roman" w:eastAsia="Calibri" w:hAnsi="Times New Roman"/>
          <w:sz w:val="18"/>
          <w:szCs w:val="20"/>
        </w:rPr>
        <w:t>hidrolisat, bromelain, kepah</w:t>
      </w:r>
      <w:r>
        <w:rPr>
          <w:rFonts w:ascii="Times New Roman" w:eastAsia="Calibri" w:hAnsi="Times New Roman"/>
          <w:sz w:val="18"/>
          <w:szCs w:val="20"/>
        </w:rPr>
        <w:t>itan, ciri-ciri fizikokimia</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174D62" w:rsidRDefault="006768E9" w:rsidP="00D14FDD">
      <w:pPr>
        <w:spacing w:after="0" w:line="240" w:lineRule="auto"/>
        <w:jc w:val="center"/>
        <w:rPr>
          <w:rFonts w:ascii="Times New Roman" w:hAnsi="Times New Roman"/>
          <w:b/>
          <w:noProof/>
          <w:sz w:val="20"/>
          <w:szCs w:val="20"/>
          <w:lang w:bidi="ar-SA"/>
        </w:rPr>
      </w:pPr>
      <w:r w:rsidRPr="00174D62">
        <w:rPr>
          <w:rFonts w:ascii="Times New Roman" w:hAnsi="Times New Roman"/>
          <w:b/>
          <w:noProof/>
          <w:sz w:val="20"/>
          <w:szCs w:val="20"/>
          <w:lang w:bidi="ar-SA"/>
        </w:rPr>
        <w:t>Introduction</w:t>
      </w:r>
    </w:p>
    <w:p w:rsidR="00174D62" w:rsidRPr="00174D62" w:rsidRDefault="00174D62" w:rsidP="00174D62">
      <w:pPr>
        <w:spacing w:after="0" w:line="240" w:lineRule="auto"/>
        <w:jc w:val="both"/>
        <w:rPr>
          <w:rFonts w:ascii="Times New Roman" w:hAnsi="Times New Roman"/>
          <w:sz w:val="20"/>
          <w:szCs w:val="20"/>
        </w:rPr>
      </w:pPr>
      <w:r w:rsidRPr="00174D62">
        <w:rPr>
          <w:rFonts w:ascii="Times New Roman" w:hAnsi="Times New Roman"/>
          <w:sz w:val="20"/>
          <w:szCs w:val="20"/>
        </w:rPr>
        <w:t>Angelwing clam (</w:t>
      </w:r>
      <w:r w:rsidRPr="00174D62">
        <w:rPr>
          <w:rFonts w:ascii="Times New Roman" w:hAnsi="Times New Roman"/>
          <w:i/>
          <w:sz w:val="20"/>
          <w:szCs w:val="20"/>
        </w:rPr>
        <w:t>Pholas orientalis)</w:t>
      </w:r>
      <w:r w:rsidRPr="00174D62">
        <w:rPr>
          <w:rFonts w:ascii="Times New Roman" w:hAnsi="Times New Roman"/>
          <w:sz w:val="20"/>
          <w:szCs w:val="20"/>
        </w:rPr>
        <w:t xml:space="preserve"> is a marine bivalve found worldwide in countries such as France, Canada, Mexico, Japan, Australia, India, Papua New Guinea, Malaysia and Philippine [1]. In Malaysia, angelwing clam is </w:t>
      </w:r>
      <w:r w:rsidRPr="00174D62">
        <w:rPr>
          <w:rFonts w:ascii="Times New Roman" w:hAnsi="Times New Roman"/>
          <w:sz w:val="20"/>
          <w:szCs w:val="20"/>
        </w:rPr>
        <w:lastRenderedPageBreak/>
        <w:t xml:space="preserve">abundantly found in Perlis, Kuala Kedah, Kuala Limau, Yan, Penaga, Telok Ayer Tawar and Kuala Selangor [2]. Protein hydrolysate is well-known protein rich by product that can be utilized as functional ingredients in food systems [3]. According to Jin et al. [4] marine bivalves protein hydrolysate has good functionalities such as high in solubility, water holding capacity, oil holding capacity and surface hydrophobicity. Besides, these marine bivalves protein hydrolysate has high nutritive value such as all essential amino acids that make it suitable to be multifunctional food ingredients.  Zhou et al. [5] studies showed that bivalve mollusks such as scallop and abalone protein hydrolysate possessed a significant antioxidant ability that can replace the synthetic antioxidant. </w:t>
      </w:r>
    </w:p>
    <w:p w:rsidR="00174D62" w:rsidRPr="00174D62" w:rsidRDefault="00174D62" w:rsidP="00174D62">
      <w:pPr>
        <w:spacing w:after="0" w:line="240" w:lineRule="auto"/>
        <w:jc w:val="both"/>
        <w:rPr>
          <w:rFonts w:ascii="Times New Roman" w:hAnsi="Times New Roman"/>
          <w:sz w:val="20"/>
          <w:szCs w:val="20"/>
        </w:rPr>
      </w:pPr>
    </w:p>
    <w:p w:rsidR="00174D62" w:rsidRPr="00174D62" w:rsidRDefault="00174D62" w:rsidP="00174D62">
      <w:pPr>
        <w:spacing w:after="0" w:line="240" w:lineRule="auto"/>
        <w:jc w:val="both"/>
        <w:rPr>
          <w:rFonts w:ascii="Times New Roman" w:hAnsi="Times New Roman"/>
          <w:sz w:val="20"/>
          <w:szCs w:val="20"/>
        </w:rPr>
      </w:pPr>
      <w:r w:rsidRPr="00174D62">
        <w:rPr>
          <w:rFonts w:ascii="Times New Roman" w:hAnsi="Times New Roman"/>
          <w:sz w:val="20"/>
          <w:szCs w:val="20"/>
        </w:rPr>
        <w:t>The degree of bitterness that developed during hydrolysis are associated with the level of hydrophobic amino acids and the release of bitter taste peptides [6, 7]. The size of peptide and lower molecular weight peptides are considered crucial to the sensation of bitterness [8].Therefore, the aim of this study was to investigate the development of bitter flavour in angelwing hydrolysate produced by bromelain.</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174D62" w:rsidRPr="00174D62" w:rsidRDefault="00174D62" w:rsidP="00174D62">
      <w:pPr>
        <w:spacing w:after="0" w:line="240" w:lineRule="auto"/>
        <w:jc w:val="both"/>
        <w:rPr>
          <w:rFonts w:ascii="Times New Roman" w:hAnsi="Times New Roman"/>
          <w:b/>
          <w:sz w:val="20"/>
          <w:szCs w:val="20"/>
        </w:rPr>
      </w:pPr>
      <w:r w:rsidRPr="00174D62">
        <w:rPr>
          <w:rFonts w:ascii="Times New Roman" w:hAnsi="Times New Roman"/>
          <w:b/>
          <w:sz w:val="20"/>
          <w:szCs w:val="20"/>
        </w:rPr>
        <w:t>Raw materials</w:t>
      </w:r>
    </w:p>
    <w:p w:rsidR="00174D62" w:rsidRPr="00174D62" w:rsidRDefault="00174D62" w:rsidP="00174D62">
      <w:pPr>
        <w:spacing w:after="0" w:line="240" w:lineRule="auto"/>
        <w:jc w:val="both"/>
        <w:rPr>
          <w:rFonts w:ascii="Times New Roman" w:hAnsi="Times New Roman"/>
          <w:sz w:val="20"/>
          <w:szCs w:val="20"/>
        </w:rPr>
      </w:pPr>
      <w:r w:rsidRPr="00174D62">
        <w:rPr>
          <w:rFonts w:ascii="Times New Roman" w:hAnsi="Times New Roman"/>
          <w:sz w:val="20"/>
          <w:szCs w:val="20"/>
        </w:rPr>
        <w:t xml:space="preserve">Angelwing clam was purchased from Pantai Remis, Selangor, Malaysia. The clam was placed in ice and transported to the laboratory. Upon arrival the flesh was separated manually, washed and then stored at -20 </w:t>
      </w:r>
      <w:r w:rsidRPr="00174D62">
        <w:rPr>
          <w:rFonts w:ascii="Cambria Math" w:hAnsi="Cambria Math" w:cs="Cambria Math"/>
          <w:sz w:val="20"/>
          <w:szCs w:val="20"/>
        </w:rPr>
        <w:t>⁰</w:t>
      </w:r>
      <w:r w:rsidRPr="00174D62">
        <w:rPr>
          <w:rFonts w:ascii="Times New Roman" w:hAnsi="Times New Roman"/>
          <w:sz w:val="20"/>
          <w:szCs w:val="20"/>
        </w:rPr>
        <w:t>C. Bromelain (1.5 AU/g) was obtained from Novozymes.</w:t>
      </w:r>
    </w:p>
    <w:p w:rsidR="00174D62" w:rsidRPr="00174D62" w:rsidRDefault="00174D62" w:rsidP="00174D62">
      <w:pPr>
        <w:spacing w:after="0" w:line="240" w:lineRule="auto"/>
        <w:jc w:val="both"/>
        <w:rPr>
          <w:rFonts w:ascii="Times New Roman" w:hAnsi="Times New Roman"/>
          <w:sz w:val="20"/>
          <w:szCs w:val="20"/>
        </w:rPr>
      </w:pPr>
    </w:p>
    <w:p w:rsidR="00174D62" w:rsidRPr="00174D62" w:rsidRDefault="00174D62" w:rsidP="00174D62">
      <w:pPr>
        <w:spacing w:after="0" w:line="240" w:lineRule="auto"/>
        <w:jc w:val="both"/>
        <w:rPr>
          <w:rFonts w:ascii="Times New Roman" w:hAnsi="Times New Roman"/>
          <w:sz w:val="20"/>
          <w:szCs w:val="20"/>
        </w:rPr>
      </w:pPr>
      <w:r w:rsidRPr="00174D62">
        <w:rPr>
          <w:rFonts w:ascii="Times New Roman" w:hAnsi="Times New Roman"/>
          <w:b/>
          <w:sz w:val="20"/>
          <w:szCs w:val="20"/>
        </w:rPr>
        <w:t>Preparation of angelwing clam protein hydrolysates</w:t>
      </w:r>
    </w:p>
    <w:p w:rsidR="00174D62" w:rsidRPr="00174D62" w:rsidRDefault="00174D62" w:rsidP="00174D62">
      <w:pPr>
        <w:spacing w:after="0" w:line="240" w:lineRule="auto"/>
        <w:jc w:val="both"/>
        <w:rPr>
          <w:rFonts w:ascii="Times New Roman" w:hAnsi="Times New Roman"/>
          <w:sz w:val="20"/>
          <w:szCs w:val="20"/>
        </w:rPr>
      </w:pPr>
      <w:r w:rsidRPr="00174D62">
        <w:rPr>
          <w:rFonts w:ascii="Times New Roman" w:hAnsi="Times New Roman"/>
          <w:sz w:val="20"/>
          <w:szCs w:val="20"/>
        </w:rPr>
        <w:t>Angelwing hydrolysate was prepared according to the methods by Normah and Fazlika [9] with some modification. An amount of 500 g angelwing clam flesh was mixed with 531.33 mL of distilled water and then minced. The mixture was transferred into 1 L beaker which was then placed in a water bath. The water bath was set at 45 ºC and the pH of the mixture was adjusted to 6. Once the temperature and pH were constant, bromelain was added at 3 % enzyme substrate ratio and the hydrolysis was performed for two hours. The mixture was continuously stirred at 200 rpm. The pH was kept constant throughout the hydrolysis by the addition of 1 N NaOH. At the end of the two hour hydrolysis, the reaction was terminated by heating at 90 ˚C for 15 minutes in a water bath. The mixture was then centrifuged (Hettich ZENTRIFUGEN, UNIVERSAL 320R) at 10000 rpm at 4˚C for 20 minutes. The supernatant was collected and freeze dried using SANYO-Biomedical freeze dryer.</w:t>
      </w:r>
    </w:p>
    <w:p w:rsidR="00174D62" w:rsidRPr="00174D62" w:rsidRDefault="00174D62" w:rsidP="00174D62">
      <w:pPr>
        <w:spacing w:after="0" w:line="240" w:lineRule="auto"/>
        <w:jc w:val="both"/>
        <w:rPr>
          <w:rFonts w:ascii="Times New Roman" w:hAnsi="Times New Roman"/>
          <w:sz w:val="20"/>
          <w:szCs w:val="20"/>
        </w:rPr>
      </w:pPr>
    </w:p>
    <w:p w:rsidR="00174D62" w:rsidRPr="00174D62" w:rsidRDefault="00174D62" w:rsidP="00174D62">
      <w:pPr>
        <w:spacing w:after="0" w:line="240" w:lineRule="auto"/>
        <w:jc w:val="both"/>
        <w:rPr>
          <w:rFonts w:ascii="Times New Roman" w:hAnsi="Times New Roman"/>
          <w:sz w:val="20"/>
          <w:szCs w:val="20"/>
        </w:rPr>
      </w:pPr>
      <w:r w:rsidRPr="00174D62">
        <w:rPr>
          <w:rFonts w:ascii="Times New Roman" w:hAnsi="Times New Roman"/>
          <w:b/>
          <w:sz w:val="20"/>
          <w:szCs w:val="20"/>
        </w:rPr>
        <w:t>Degree of hydrolysis</w:t>
      </w:r>
    </w:p>
    <w:p w:rsidR="00174D62" w:rsidRPr="00174D62" w:rsidRDefault="00174D62" w:rsidP="00174D62">
      <w:pPr>
        <w:spacing w:after="0" w:line="240" w:lineRule="auto"/>
        <w:jc w:val="both"/>
        <w:rPr>
          <w:rFonts w:ascii="Times New Roman" w:hAnsi="Times New Roman"/>
          <w:sz w:val="20"/>
          <w:szCs w:val="20"/>
        </w:rPr>
      </w:pPr>
      <w:r w:rsidRPr="00174D62">
        <w:rPr>
          <w:rFonts w:ascii="Times New Roman" w:hAnsi="Times New Roman"/>
          <w:sz w:val="20"/>
          <w:szCs w:val="20"/>
        </w:rPr>
        <w:t xml:space="preserve">The percentage of solubilized protein in 10 g trichloroacetic acid (TCA), in relation to the total protein content of the sample was measured by the method of Silvestre et al. [10] with modification. After hydrolysis, 20 mL of protein hydrolysate was added to 20 mL of 20 % (w/v) TCA to produced 10 % TCA soluble material. The mixtures were left to stand for 30 minutes to allow precipitation followed by centrifugation at 7800 g for 15 minutes (Hettich ZENTRIFUGEN, UNIVERSAL 320R). Soluble protein content in 10 % TCA and total protein content was detected by Lowry method. The DH is calculated as formula equation 1: </w:t>
      </w:r>
    </w:p>
    <w:p w:rsidR="00174D62" w:rsidRPr="00174D62" w:rsidRDefault="00174D62" w:rsidP="00174D62">
      <w:pPr>
        <w:spacing w:after="0" w:line="240" w:lineRule="auto"/>
        <w:jc w:val="both"/>
        <w:rPr>
          <w:rFonts w:ascii="Times New Roman" w:eastAsia="Calibri" w:hAnsi="Times New Roman"/>
          <w:sz w:val="20"/>
          <w:szCs w:val="20"/>
        </w:rPr>
      </w:pPr>
    </w:p>
    <w:p w:rsidR="00174D62" w:rsidRPr="00174D62" w:rsidRDefault="00174D62" w:rsidP="00174D62">
      <w:pPr>
        <w:spacing w:after="0" w:line="240" w:lineRule="auto"/>
        <w:ind w:firstLine="720"/>
        <w:jc w:val="both"/>
        <w:rPr>
          <w:rFonts w:ascii="Times New Roman" w:eastAsia="Calibri" w:hAnsi="Times New Roman"/>
          <w:iCs/>
          <w:sz w:val="20"/>
          <w:szCs w:val="20"/>
        </w:rPr>
      </w:pPr>
      <m:oMath>
        <m:r>
          <m:rPr>
            <m:sty m:val="p"/>
          </m:rPr>
          <w:rPr>
            <w:rFonts w:ascii="Cambria Math" w:eastAsia="Calibri" w:hAnsi="Cambria Math"/>
            <w:sz w:val="20"/>
            <w:szCs w:val="20"/>
          </w:rPr>
          <m:t xml:space="preserve">   DH=</m:t>
        </m:r>
        <m:f>
          <m:fPr>
            <m:ctrlPr>
              <w:rPr>
                <w:rFonts w:ascii="Cambria Math" w:eastAsia="Calibri" w:hAnsi="Cambria Math"/>
                <w:sz w:val="20"/>
                <w:szCs w:val="20"/>
              </w:rPr>
            </m:ctrlPr>
          </m:fPr>
          <m:num>
            <m:r>
              <m:rPr>
                <m:sty m:val="p"/>
              </m:rPr>
              <w:rPr>
                <w:rFonts w:ascii="Cambria Math" w:eastAsia="Calibri" w:hAnsi="Cambria Math"/>
                <w:sz w:val="20"/>
                <w:szCs w:val="20"/>
              </w:rPr>
              <m:t>soluble protein content in 10 g TCA (mg)</m:t>
            </m:r>
          </m:num>
          <m:den>
            <m:r>
              <m:rPr>
                <m:sty m:val="p"/>
              </m:rPr>
              <w:rPr>
                <w:rFonts w:ascii="Cambria Math" w:eastAsia="Calibri" w:hAnsi="Cambria Math"/>
                <w:sz w:val="20"/>
                <w:szCs w:val="20"/>
              </w:rPr>
              <m:t>Total protein content (mg)</m:t>
            </m:r>
          </m:den>
        </m:f>
        <m:r>
          <m:rPr>
            <m:sty m:val="p"/>
          </m:rPr>
          <w:rPr>
            <w:rFonts w:ascii="Cambria Math" w:eastAsia="Calibri" w:hAnsi="Cambria Math"/>
            <w:sz w:val="20"/>
            <w:szCs w:val="20"/>
          </w:rPr>
          <m:t xml:space="preserve"> x 100</m:t>
        </m:r>
      </m:oMath>
      <w:r w:rsidRPr="00174D62">
        <w:rPr>
          <w:rFonts w:ascii="Times New Roman" w:eastAsia="Calibri" w:hAnsi="Times New Roman"/>
          <w:sz w:val="20"/>
          <w:szCs w:val="20"/>
        </w:rPr>
        <w:tab/>
      </w:r>
      <w:r w:rsidRPr="00174D62">
        <w:rPr>
          <w:rFonts w:ascii="Times New Roman" w:eastAsia="Calibri" w:hAnsi="Times New Roman"/>
          <w:sz w:val="20"/>
          <w:szCs w:val="20"/>
        </w:rPr>
        <w:tab/>
      </w:r>
      <w:r w:rsidRPr="00174D62">
        <w:rPr>
          <w:rFonts w:ascii="Times New Roman" w:eastAsia="Calibri" w:hAnsi="Times New Roman"/>
          <w:sz w:val="20"/>
          <w:szCs w:val="20"/>
        </w:rPr>
        <w:tab/>
      </w:r>
      <w:r w:rsidRPr="00174D62">
        <w:rPr>
          <w:rFonts w:ascii="Times New Roman" w:eastAsia="Calibri" w:hAnsi="Times New Roman"/>
          <w:sz w:val="20"/>
          <w:szCs w:val="20"/>
        </w:rPr>
        <w:tab/>
      </w:r>
      <w:r w:rsidRPr="00174D62">
        <w:rPr>
          <w:rFonts w:ascii="Times New Roman" w:eastAsia="Calibri" w:hAnsi="Times New Roman"/>
          <w:sz w:val="20"/>
          <w:szCs w:val="20"/>
        </w:rPr>
        <w:tab/>
        <w:t xml:space="preserve">                </w:t>
      </w:r>
      <w:r>
        <w:rPr>
          <w:rFonts w:ascii="Times New Roman" w:eastAsia="Calibri" w:hAnsi="Times New Roman"/>
          <w:sz w:val="20"/>
          <w:szCs w:val="20"/>
        </w:rPr>
        <w:t xml:space="preserve">      </w:t>
      </w:r>
      <w:r w:rsidRPr="00174D62">
        <w:rPr>
          <w:rFonts w:ascii="Times New Roman" w:eastAsia="Calibri" w:hAnsi="Times New Roman"/>
          <w:sz w:val="20"/>
          <w:szCs w:val="20"/>
        </w:rPr>
        <w:t xml:space="preserve"> (1)</w:t>
      </w:r>
    </w:p>
    <w:p w:rsidR="00174D62" w:rsidRPr="00174D62" w:rsidRDefault="00174D62" w:rsidP="00174D62">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ab/>
      </w:r>
    </w:p>
    <w:p w:rsidR="00174D62" w:rsidRPr="00174D62" w:rsidRDefault="00174D62" w:rsidP="00174D62">
      <w:pPr>
        <w:spacing w:after="0" w:line="240" w:lineRule="auto"/>
        <w:jc w:val="both"/>
        <w:rPr>
          <w:rFonts w:ascii="Times New Roman" w:eastAsia="Calibri" w:hAnsi="Times New Roman"/>
          <w:b/>
          <w:sz w:val="20"/>
          <w:szCs w:val="20"/>
        </w:rPr>
      </w:pPr>
      <w:r w:rsidRPr="00174D62">
        <w:rPr>
          <w:rFonts w:ascii="Times New Roman" w:eastAsia="Calibri" w:hAnsi="Times New Roman"/>
          <w:b/>
          <w:sz w:val="20"/>
          <w:szCs w:val="20"/>
        </w:rPr>
        <w:t>Evaluation of bitter taste</w:t>
      </w:r>
    </w:p>
    <w:p w:rsidR="00174D62" w:rsidRPr="00174D62" w:rsidRDefault="00174D62" w:rsidP="00174D62">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The intensity of the bitter taste was conducted according to methods Nilsang et al. [7]. Samples were evaluated by 10 trained panelists who have been trained for three weeks using caffeine solution. Different concentrations of caffeine solutions at 0 to 1500 ppm were prepared and presented to panelists. Panelists were instructed to rate the bitterness by marking a point on a 15 cm line scale. After each tasting, they were asked to rinse their mouth with 10% v/w citrus water and twice with warm water.</w:t>
      </w:r>
    </w:p>
    <w:p w:rsidR="00174D62" w:rsidRPr="00174D62" w:rsidRDefault="00174D62" w:rsidP="00174D62">
      <w:pPr>
        <w:spacing w:after="0" w:line="240" w:lineRule="auto"/>
        <w:jc w:val="both"/>
        <w:rPr>
          <w:rFonts w:ascii="Times New Roman" w:eastAsia="Calibri" w:hAnsi="Times New Roman"/>
          <w:b/>
          <w:sz w:val="20"/>
          <w:szCs w:val="20"/>
        </w:rPr>
      </w:pPr>
    </w:p>
    <w:p w:rsidR="00174D62" w:rsidRPr="00174D62" w:rsidRDefault="00174D62" w:rsidP="00174D62">
      <w:pPr>
        <w:spacing w:after="0" w:line="240" w:lineRule="auto"/>
        <w:jc w:val="both"/>
        <w:rPr>
          <w:rFonts w:ascii="Times New Roman" w:eastAsia="Calibri" w:hAnsi="Times New Roman"/>
          <w:b/>
          <w:sz w:val="20"/>
          <w:szCs w:val="20"/>
        </w:rPr>
      </w:pPr>
      <w:r w:rsidRPr="00174D62">
        <w:rPr>
          <w:rFonts w:ascii="Times New Roman" w:eastAsia="Calibri" w:hAnsi="Times New Roman"/>
          <w:b/>
          <w:sz w:val="20"/>
          <w:szCs w:val="20"/>
        </w:rPr>
        <w:t>Determination of molecular weight distribution by Sodium Dodecyl Sulfate Polyacrylamide Gel Electrophoresis (SDS-PAGE)</w:t>
      </w:r>
    </w:p>
    <w:p w:rsidR="00174D62" w:rsidRDefault="00174D62" w:rsidP="00174D62">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 xml:space="preserve">An approximately 1 g of samples was mixed with 10 mL deionized water and then filtered using membrane filter with pore size 0.45µm. An amount 6.5 µL of the solution was mixed with 2.5 µL NuPAGE®LDS sample Buffer (4X) and 1µL NuPAGE® Reducing Agent (10X). The mixture was heated at 70 ºC for 10 minutes. 15µL sample was loaded into each well of the SDS-PAGE system comprising of 12 % resolving gel and 5 % stacking gel. </w:t>
      </w:r>
      <w:r w:rsidRPr="00174D62">
        <w:rPr>
          <w:rFonts w:ascii="Times New Roman" w:eastAsia="Calibri" w:hAnsi="Times New Roman"/>
          <w:sz w:val="20"/>
          <w:szCs w:val="20"/>
        </w:rPr>
        <w:lastRenderedPageBreak/>
        <w:t xml:space="preserve">Benchmark™ protein ladder with the range of 220 to 4.6 kDa was used as a marker. Electrophoresis was performed using the XCell Surelock electrophoresis cell (Bio-Rad laboratories, Hercules, CA, USA). Electrophoresis was run for 50 minutes at 100-125 mA/gel. After the running process, the gels were washed with 100 mL of ultrapure water. Then, the gel was stained using Coomassie Brilliant Blue dye and heated in a microwave oven at 180 °C for one minute. The gel was shaken again in the orbital shaker for about 2 minutes. The process was repeated twice. The gels were destained using ultrapure water and shaken with orbital shaker for another 30 minutes. </w:t>
      </w:r>
    </w:p>
    <w:p w:rsidR="00174D62" w:rsidRPr="00174D62" w:rsidRDefault="00174D62" w:rsidP="00174D62">
      <w:pPr>
        <w:spacing w:after="0" w:line="240" w:lineRule="auto"/>
        <w:jc w:val="both"/>
        <w:rPr>
          <w:rFonts w:ascii="Times New Roman" w:eastAsia="Calibri" w:hAnsi="Times New Roman"/>
          <w:b/>
          <w:sz w:val="20"/>
          <w:szCs w:val="20"/>
        </w:rPr>
      </w:pPr>
    </w:p>
    <w:p w:rsidR="00174D62" w:rsidRPr="00174D62" w:rsidRDefault="00174D62" w:rsidP="00174D62">
      <w:pPr>
        <w:spacing w:after="0" w:line="240" w:lineRule="auto"/>
        <w:jc w:val="both"/>
        <w:rPr>
          <w:rFonts w:ascii="Times New Roman" w:eastAsia="Calibri" w:hAnsi="Times New Roman"/>
          <w:b/>
          <w:sz w:val="20"/>
          <w:szCs w:val="20"/>
        </w:rPr>
      </w:pPr>
      <w:r w:rsidRPr="00174D62">
        <w:rPr>
          <w:rFonts w:ascii="Times New Roman" w:eastAsia="Calibri" w:hAnsi="Times New Roman"/>
          <w:b/>
          <w:sz w:val="20"/>
          <w:szCs w:val="20"/>
        </w:rPr>
        <w:t>Functional group analysis</w:t>
      </w:r>
    </w:p>
    <w:p w:rsidR="00174D62" w:rsidRPr="00174D62" w:rsidRDefault="00174D62" w:rsidP="00174D62">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The functional group analysis in samples was performed using Thermo Nicolet, Avatar 370a Fourier Transform Infer-Red Spectrophotometer (FTIR). This analysis was determined according to Normah et al. [6] with slight modification.  The angelwing sample was ground using agate mortar until the particle size became so small (approximately 2.5 micron) that the surface of the solid appears shiny. An amount 0.08 g of powdered potassium bromide (KBr) was added and the mixture was ground for about 30 seconds. The mixture was scraped into the middle and ground for another 15 seconds. The sample and KBr should be finely ground to avoid the mixture from scattering the infrared radiation excessively. The mixture was then placed in an evacuable mold and subjected to a pressure of 10 to 20MPa. Perkin Elmer Spectrum Software was used to control the spectrometer and data were collected over a wavenumber range of 4000 – 400 cm</w:t>
      </w:r>
      <w:r w:rsidRPr="00174D62">
        <w:rPr>
          <w:rFonts w:ascii="Times New Roman" w:eastAsia="Calibri" w:hAnsi="Times New Roman"/>
          <w:sz w:val="20"/>
          <w:szCs w:val="20"/>
          <w:vertAlign w:val="superscript"/>
        </w:rPr>
        <w:t>-1</w:t>
      </w:r>
      <w:r w:rsidRPr="00174D62">
        <w:rPr>
          <w:rFonts w:ascii="Times New Roman" w:eastAsia="Calibri" w:hAnsi="Times New Roman"/>
          <w:sz w:val="20"/>
          <w:szCs w:val="20"/>
        </w:rPr>
        <w:t xml:space="preserve"> with resolution of 4 cm</w:t>
      </w:r>
      <w:r w:rsidRPr="00174D62">
        <w:rPr>
          <w:rFonts w:ascii="Times New Roman" w:eastAsia="Calibri" w:hAnsi="Times New Roman"/>
          <w:sz w:val="20"/>
          <w:szCs w:val="20"/>
          <w:vertAlign w:val="superscript"/>
        </w:rPr>
        <w:t>-1</w:t>
      </w:r>
      <w:r w:rsidRPr="00174D62">
        <w:rPr>
          <w:rFonts w:ascii="Times New Roman" w:eastAsia="Calibri" w:hAnsi="Times New Roman"/>
          <w:sz w:val="20"/>
          <w:szCs w:val="20"/>
        </w:rPr>
        <w:t xml:space="preserve"> and collection spectra of 16.</w:t>
      </w:r>
    </w:p>
    <w:p w:rsidR="00174D62" w:rsidRPr="00174D62" w:rsidRDefault="00174D62" w:rsidP="00174D62">
      <w:pPr>
        <w:spacing w:after="0" w:line="240" w:lineRule="auto"/>
        <w:jc w:val="both"/>
        <w:rPr>
          <w:rFonts w:ascii="Times New Roman" w:eastAsia="Calibri" w:hAnsi="Times New Roman"/>
          <w:i/>
          <w:sz w:val="20"/>
          <w:szCs w:val="20"/>
          <w:u w:val="single"/>
        </w:rPr>
      </w:pPr>
    </w:p>
    <w:p w:rsidR="00174D62" w:rsidRPr="00174D62" w:rsidRDefault="00174D62" w:rsidP="00174D62">
      <w:pPr>
        <w:spacing w:after="0" w:line="240" w:lineRule="auto"/>
        <w:jc w:val="both"/>
        <w:rPr>
          <w:rFonts w:ascii="Times New Roman" w:eastAsia="Calibri" w:hAnsi="Times New Roman"/>
          <w:b/>
          <w:bCs/>
          <w:sz w:val="20"/>
          <w:szCs w:val="20"/>
        </w:rPr>
      </w:pPr>
      <w:r w:rsidRPr="00174D62">
        <w:rPr>
          <w:rFonts w:ascii="Times New Roman" w:eastAsia="Calibri" w:hAnsi="Times New Roman"/>
          <w:b/>
          <w:bCs/>
          <w:sz w:val="20"/>
          <w:szCs w:val="20"/>
        </w:rPr>
        <w:t>Determination of fat content</w:t>
      </w:r>
    </w:p>
    <w:p w:rsidR="00174D62" w:rsidRPr="00174D62" w:rsidRDefault="00174D62" w:rsidP="00174D62">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 xml:space="preserve">The extraction and determination of the fat content from the minced muscle or the hydrolysate sample were performed using the Soxhlet extraction method [11]. </w:t>
      </w:r>
    </w:p>
    <w:p w:rsidR="00174D62" w:rsidRPr="00174D62" w:rsidRDefault="00174D62" w:rsidP="00174D62">
      <w:pPr>
        <w:spacing w:after="0" w:line="240" w:lineRule="auto"/>
        <w:jc w:val="both"/>
        <w:rPr>
          <w:rFonts w:ascii="Times New Roman" w:eastAsia="Calibri" w:hAnsi="Times New Roman"/>
          <w:sz w:val="20"/>
          <w:szCs w:val="20"/>
        </w:rPr>
      </w:pPr>
    </w:p>
    <w:p w:rsidR="00174D62" w:rsidRPr="00174D62" w:rsidRDefault="00174D62" w:rsidP="00174D62">
      <w:pPr>
        <w:spacing w:after="0" w:line="240" w:lineRule="auto"/>
        <w:jc w:val="both"/>
        <w:rPr>
          <w:rFonts w:ascii="Times New Roman" w:eastAsia="Calibri" w:hAnsi="Times New Roman"/>
          <w:b/>
          <w:bCs/>
          <w:sz w:val="20"/>
          <w:szCs w:val="20"/>
        </w:rPr>
      </w:pPr>
      <w:r w:rsidRPr="00174D62">
        <w:rPr>
          <w:rFonts w:ascii="Times New Roman" w:eastAsia="Calibri" w:hAnsi="Times New Roman"/>
          <w:b/>
          <w:bCs/>
          <w:sz w:val="20"/>
          <w:szCs w:val="20"/>
        </w:rPr>
        <w:t>Protein concentration</w:t>
      </w:r>
    </w:p>
    <w:p w:rsidR="00174D62" w:rsidRPr="00174D62" w:rsidRDefault="00174D62" w:rsidP="00174D62">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Protein concentration was determined using the Lowry method based on the modified procedure of Hartree [12].</w:t>
      </w:r>
    </w:p>
    <w:p w:rsidR="00174D62" w:rsidRPr="00174D62" w:rsidRDefault="00174D62" w:rsidP="00174D62">
      <w:pPr>
        <w:spacing w:after="0" w:line="240" w:lineRule="auto"/>
        <w:jc w:val="both"/>
        <w:rPr>
          <w:rFonts w:ascii="Times New Roman" w:eastAsia="Calibri" w:hAnsi="Times New Roman"/>
          <w:sz w:val="20"/>
          <w:szCs w:val="20"/>
        </w:rPr>
      </w:pPr>
    </w:p>
    <w:p w:rsidR="00174D62" w:rsidRPr="00174D62" w:rsidRDefault="00174D62" w:rsidP="00174D62">
      <w:pPr>
        <w:spacing w:after="0" w:line="240" w:lineRule="auto"/>
        <w:jc w:val="both"/>
        <w:rPr>
          <w:rFonts w:ascii="Times New Roman" w:eastAsia="Calibri" w:hAnsi="Times New Roman"/>
          <w:b/>
          <w:bCs/>
          <w:sz w:val="20"/>
          <w:szCs w:val="20"/>
        </w:rPr>
      </w:pPr>
      <w:r w:rsidRPr="00174D62">
        <w:rPr>
          <w:rFonts w:ascii="Times New Roman" w:eastAsia="Calibri" w:hAnsi="Times New Roman"/>
          <w:b/>
          <w:bCs/>
          <w:sz w:val="20"/>
          <w:szCs w:val="20"/>
        </w:rPr>
        <w:t>Water holding capacity</w:t>
      </w:r>
    </w:p>
    <w:p w:rsidR="00174D62" w:rsidRPr="00174D62" w:rsidRDefault="00174D62" w:rsidP="00174D62">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Water holding capacity (WHC) was determined using the centrifugation method according to Diniz and Martin [13].The samples (0.5 g) of hydrolysate was dissolved in 20 mL water in centrifuge tubes and dispersed with a vortex mixer for 30s. The dispersion was allowed to stand at room temperature for 6 hours, and subsequently centrifuged at 2800 g for 30 min. The supernatant was filtered through Whatman filter paper No. 1 and the volume recovered was accurately measured. The difference between the initial volume of distilled water added to the protein sample and the volume of the supernatant were determined. The results were reported as mL of water absorbed per gram of protein sample (Equation 2).</w:t>
      </w:r>
    </w:p>
    <w:p w:rsidR="00174D62" w:rsidRPr="00174D62" w:rsidRDefault="00174D62" w:rsidP="00174D62">
      <w:pPr>
        <w:spacing w:after="0" w:line="240" w:lineRule="auto"/>
        <w:jc w:val="both"/>
        <w:rPr>
          <w:rFonts w:ascii="Times New Roman" w:eastAsia="Calibri" w:hAnsi="Times New Roman"/>
          <w:sz w:val="20"/>
          <w:szCs w:val="20"/>
        </w:rPr>
      </w:pPr>
    </w:p>
    <w:p w:rsidR="00174D62" w:rsidRPr="00174D62" w:rsidRDefault="00174D62" w:rsidP="00174D62">
      <w:pPr>
        <w:spacing w:after="0" w:line="240" w:lineRule="auto"/>
        <w:jc w:val="both"/>
        <w:rPr>
          <w:rFonts w:ascii="Times New Roman" w:hAnsi="Times New Roman"/>
          <w:iCs/>
          <w:noProof/>
          <w:sz w:val="20"/>
          <w:szCs w:val="20"/>
        </w:rPr>
      </w:pPr>
      <m:oMath>
        <m:r>
          <w:rPr>
            <w:rFonts w:ascii="Cambria Math" w:eastAsia="Calibri" w:hAnsi="Cambria Math"/>
            <w:sz w:val="20"/>
            <w:szCs w:val="20"/>
          </w:rPr>
          <m:t xml:space="preserve">                 </m:t>
        </m:r>
        <m:r>
          <m:rPr>
            <m:sty m:val="p"/>
          </m:rPr>
          <w:rPr>
            <w:rFonts w:ascii="Cambria Math" w:eastAsia="Calibri" w:hAnsi="Cambria Math"/>
            <w:sz w:val="20"/>
            <w:szCs w:val="20"/>
          </w:rPr>
          <m:t xml:space="preserve">WHC </m:t>
        </m:r>
        <m:d>
          <m:dPr>
            <m:ctrlPr>
              <w:rPr>
                <w:rFonts w:ascii="Cambria Math" w:eastAsia="Calibri" w:hAnsi="Cambria Math"/>
                <w:iCs/>
                <w:sz w:val="20"/>
                <w:szCs w:val="20"/>
              </w:rPr>
            </m:ctrlPr>
          </m:dPr>
          <m:e>
            <m:f>
              <m:fPr>
                <m:ctrlPr>
                  <w:rPr>
                    <w:rFonts w:ascii="Cambria Math" w:eastAsia="Calibri" w:hAnsi="Cambria Math"/>
                    <w:iCs/>
                    <w:sz w:val="20"/>
                    <w:szCs w:val="20"/>
                  </w:rPr>
                </m:ctrlPr>
              </m:fPr>
              <m:num>
                <m:r>
                  <m:rPr>
                    <m:sty m:val="p"/>
                  </m:rPr>
                  <w:rPr>
                    <w:rFonts w:ascii="Cambria Math" w:eastAsia="Calibri" w:hAnsi="Cambria Math"/>
                    <w:sz w:val="20"/>
                    <w:szCs w:val="20"/>
                  </w:rPr>
                  <m:t>ml</m:t>
                </m:r>
              </m:num>
              <m:den>
                <m:r>
                  <m:rPr>
                    <m:sty m:val="p"/>
                  </m:rPr>
                  <w:rPr>
                    <w:rFonts w:ascii="Cambria Math" w:eastAsia="Calibri" w:hAnsi="Cambria Math"/>
                    <w:sz w:val="20"/>
                    <w:szCs w:val="20"/>
                  </w:rPr>
                  <m:t>g</m:t>
                </m:r>
              </m:den>
            </m:f>
          </m:e>
        </m:d>
        <m:r>
          <m:rPr>
            <m:sty m:val="p"/>
          </m:rPr>
          <w:rPr>
            <w:rFonts w:ascii="Cambria Math" w:eastAsia="Calibri" w:hAnsi="Cambria Math"/>
            <w:sz w:val="20"/>
            <w:szCs w:val="20"/>
          </w:rPr>
          <m:t>=</m:t>
        </m:r>
        <m:f>
          <m:fPr>
            <m:ctrlPr>
              <w:rPr>
                <w:rFonts w:ascii="Cambria Math" w:eastAsia="Calibri" w:hAnsi="Cambria Math"/>
                <w:iCs/>
                <w:sz w:val="20"/>
                <w:szCs w:val="20"/>
              </w:rPr>
            </m:ctrlPr>
          </m:fPr>
          <m:num>
            <m:r>
              <m:rPr>
                <m:sty m:val="p"/>
              </m:rPr>
              <w:rPr>
                <w:rFonts w:ascii="Cambria Math" w:eastAsia="Calibri" w:hAnsi="Cambria Math"/>
                <w:sz w:val="20"/>
                <w:szCs w:val="20"/>
              </w:rPr>
              <m:t>Initial Volume of Distilled Water-Volume of supernatant (ml)</m:t>
            </m:r>
          </m:num>
          <m:den>
            <m:r>
              <m:rPr>
                <m:sty m:val="p"/>
              </m:rPr>
              <w:rPr>
                <w:rFonts w:ascii="Cambria Math" w:eastAsia="Calibri" w:hAnsi="Cambria Math"/>
                <w:sz w:val="20"/>
                <w:szCs w:val="20"/>
              </w:rPr>
              <m:t>Weight of Hydrolysate (g)</m:t>
            </m:r>
          </m:den>
        </m:f>
      </m:oMath>
      <w:r w:rsidRPr="00174D62">
        <w:rPr>
          <w:rFonts w:ascii="Times New Roman" w:hAnsi="Times New Roman"/>
          <w:iCs/>
          <w:noProof/>
          <w:sz w:val="20"/>
          <w:szCs w:val="20"/>
        </w:rPr>
        <w:t xml:space="preserve">                                    </w:t>
      </w:r>
      <w:r>
        <w:rPr>
          <w:rFonts w:ascii="Times New Roman" w:hAnsi="Times New Roman"/>
          <w:iCs/>
          <w:noProof/>
          <w:sz w:val="20"/>
          <w:szCs w:val="20"/>
        </w:rPr>
        <w:t xml:space="preserve">      </w:t>
      </w:r>
      <w:r w:rsidRPr="00174D62">
        <w:rPr>
          <w:rFonts w:ascii="Times New Roman" w:hAnsi="Times New Roman"/>
          <w:iCs/>
          <w:noProof/>
          <w:sz w:val="20"/>
          <w:szCs w:val="20"/>
        </w:rPr>
        <w:t xml:space="preserve">                   (2)</w:t>
      </w:r>
    </w:p>
    <w:p w:rsidR="00174D62" w:rsidRPr="00174D62" w:rsidRDefault="00174D62" w:rsidP="00174D62">
      <w:pPr>
        <w:spacing w:after="0" w:line="240" w:lineRule="auto"/>
        <w:jc w:val="center"/>
        <w:rPr>
          <w:rFonts w:ascii="Times New Roman" w:eastAsia="Calibri" w:hAnsi="Times New Roman"/>
          <w:iCs/>
          <w:sz w:val="20"/>
          <w:szCs w:val="20"/>
        </w:rPr>
      </w:pP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174D62" w:rsidRPr="00174D62" w:rsidRDefault="00174D62" w:rsidP="00174D62">
      <w:pPr>
        <w:spacing w:after="0" w:line="240" w:lineRule="auto"/>
        <w:jc w:val="both"/>
        <w:rPr>
          <w:rFonts w:ascii="Times New Roman" w:eastAsia="Calibri" w:hAnsi="Times New Roman"/>
          <w:b/>
          <w:sz w:val="20"/>
          <w:szCs w:val="20"/>
        </w:rPr>
      </w:pPr>
      <w:r w:rsidRPr="00174D62">
        <w:rPr>
          <w:rFonts w:ascii="Times New Roman" w:eastAsia="Calibri" w:hAnsi="Times New Roman"/>
          <w:b/>
          <w:sz w:val="20"/>
          <w:szCs w:val="20"/>
        </w:rPr>
        <w:t>Degree of hydrolysis (DH)</w:t>
      </w:r>
    </w:p>
    <w:p w:rsidR="00174D62" w:rsidRPr="00174D62" w:rsidRDefault="00174D62" w:rsidP="00174D62">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 xml:space="preserve">Hydrolysis at pH 6, E/S 3% and at the duration of 2 hours produced 12.57 % degree of hydrolysis by using bromelain. DH has been shown to be affected by the percent and type of enzyme used during the hydrolysis.  Increasing the enzyme substrate ratio increased the DH as reported by Haslaniza et al. [14]. By increasing the enzyme concentration, the released peptides were further hydrolysed into amino acid and smaller peptide. According to Bhaskar et al. </w:t>
      </w:r>
      <w:r w:rsidRPr="00174D62">
        <w:rPr>
          <w:rFonts w:ascii="Times New Roman" w:eastAsia="Calibri" w:hAnsi="Times New Roman"/>
          <w:iCs/>
          <w:sz w:val="20"/>
          <w:szCs w:val="20"/>
        </w:rPr>
        <w:t xml:space="preserve">[15] </w:t>
      </w:r>
      <w:r w:rsidRPr="00174D62">
        <w:rPr>
          <w:rFonts w:ascii="Times New Roman" w:eastAsia="Calibri" w:hAnsi="Times New Roman"/>
          <w:sz w:val="20"/>
          <w:szCs w:val="20"/>
        </w:rPr>
        <w:t>degree of hydrolysis was higher at elevated temperatures as the degree of hydrolysis increased at increasing hydrolysis time and temperature.  Besides, enzyme at given pH also affect the DH percentage as the optimum pH for higher rate of hydrolysis by using bromelain was at pH 6 to 7 [16].</w:t>
      </w:r>
    </w:p>
    <w:p w:rsidR="00174D62" w:rsidRPr="00174D62" w:rsidRDefault="00174D62" w:rsidP="00174D62">
      <w:pPr>
        <w:spacing w:after="0" w:line="240" w:lineRule="auto"/>
        <w:jc w:val="both"/>
        <w:rPr>
          <w:rFonts w:ascii="Times New Roman" w:eastAsia="Calibri" w:hAnsi="Times New Roman"/>
          <w:b/>
          <w:sz w:val="20"/>
          <w:szCs w:val="20"/>
        </w:rPr>
      </w:pPr>
    </w:p>
    <w:p w:rsidR="00174D62" w:rsidRPr="00174D62" w:rsidRDefault="00174D62" w:rsidP="00174D62">
      <w:pPr>
        <w:spacing w:after="0" w:line="240" w:lineRule="auto"/>
        <w:jc w:val="both"/>
        <w:rPr>
          <w:rFonts w:ascii="Times New Roman" w:eastAsia="Calibri" w:hAnsi="Times New Roman"/>
          <w:b/>
          <w:sz w:val="20"/>
          <w:szCs w:val="20"/>
        </w:rPr>
      </w:pPr>
      <w:r w:rsidRPr="00174D62">
        <w:rPr>
          <w:rFonts w:ascii="Times New Roman" w:eastAsia="Calibri" w:hAnsi="Times New Roman"/>
          <w:b/>
          <w:sz w:val="20"/>
          <w:szCs w:val="20"/>
        </w:rPr>
        <w:t>Evaluation of bitter taste</w:t>
      </w:r>
    </w:p>
    <w:p w:rsidR="00174D62" w:rsidRPr="00174D62" w:rsidRDefault="00174D62" w:rsidP="00174D62">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 xml:space="preserve">Quantitative descriptive analysis (QDA) was carried out by ten trained panelists and the result is presented in Figure1a. The scores of bitterness using a 15-cm QDA line scale was 0.47 for the flesh, 9.49 for angelwing hydrolysate and 8.37 for caffeine reference solution. Angelwing hydrolysate was significantly (p&lt; 0.05) bitter compared to the reference solution. The angelwing hydrolysate taste mildly bitter when produced using bromelain. </w:t>
      </w:r>
      <w:r w:rsidRPr="00174D62">
        <w:rPr>
          <w:rFonts w:ascii="Times New Roman" w:eastAsia="Calibri" w:hAnsi="Times New Roman"/>
          <w:sz w:val="20"/>
          <w:szCs w:val="20"/>
        </w:rPr>
        <w:lastRenderedPageBreak/>
        <w:t>The bitter taste perceived in angelwing hydrolysate was due to the high amount of enzyme (E/S %) used that contribute to the increased of DH [7]. This result was also supported by Seo et al. [17] where the small amount of S/E% at 0.5 % bromelain used could gave a bitter taste to soy protein hydrolysate. According to Imelda [18] samples showed hydrolysis with different proteases had varying level of bitterness, where alcalase and protamex showed high level of bitterness within 1500 to 2000 ppm caffeine.</w:t>
      </w:r>
    </w:p>
    <w:p w:rsidR="00174D62" w:rsidRDefault="00174D62" w:rsidP="00174D62">
      <w:pPr>
        <w:spacing w:after="0" w:line="240" w:lineRule="auto"/>
        <w:jc w:val="both"/>
        <w:rPr>
          <w:rFonts w:ascii="Times New Roman" w:eastAsia="Calibri" w:hAnsi="Times New Roman"/>
          <w:sz w:val="20"/>
          <w:szCs w:val="20"/>
        </w:rPr>
      </w:pPr>
    </w:p>
    <w:p w:rsidR="00174D62" w:rsidRPr="00174D62" w:rsidRDefault="00174D62" w:rsidP="00174D62">
      <w:pPr>
        <w:spacing w:after="0" w:line="240" w:lineRule="auto"/>
        <w:jc w:val="both"/>
        <w:rPr>
          <w:rFonts w:ascii="Times New Roman" w:eastAsia="Calibri" w:hAnsi="Times New Roman"/>
          <w:sz w:val="20"/>
          <w:szCs w:val="20"/>
        </w:rPr>
      </w:pPr>
    </w:p>
    <w:p w:rsidR="00174D62" w:rsidRPr="00174D62" w:rsidRDefault="00174D62" w:rsidP="00174D62">
      <w:pPr>
        <w:spacing w:after="0" w:line="240" w:lineRule="auto"/>
        <w:jc w:val="center"/>
        <w:rPr>
          <w:rFonts w:ascii="Times New Roman" w:eastAsia="Calibri" w:hAnsi="Times New Roman"/>
          <w:sz w:val="20"/>
          <w:szCs w:val="20"/>
        </w:rPr>
      </w:pPr>
      <w:r w:rsidRPr="00174D62">
        <w:rPr>
          <w:rFonts w:ascii="Times New Roman" w:eastAsia="Calibri" w:hAnsi="Times New Roman"/>
          <w:noProof/>
          <w:sz w:val="20"/>
          <w:szCs w:val="20"/>
          <w:lang w:bidi="ar-SA"/>
        </w:rPr>
        <w:drawing>
          <wp:inline distT="0" distB="0" distL="0" distR="0" wp14:anchorId="6E3FD722" wp14:editId="222D21CC">
            <wp:extent cx="5424805" cy="2593975"/>
            <wp:effectExtent l="19050" t="19050" r="23495" b="15875"/>
            <wp:docPr id="1" name="Picture 1" descr="Description: correction sens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rrection sensory"/>
                    <pic:cNvPicPr>
                      <a:picLocks noChangeAspect="1" noChangeArrowheads="1"/>
                    </pic:cNvPicPr>
                  </pic:nvPicPr>
                  <pic:blipFill>
                    <a:blip r:embed="rId11" cstate="print"/>
                    <a:srcRect b="17392"/>
                    <a:stretch>
                      <a:fillRect/>
                    </a:stretch>
                  </pic:blipFill>
                  <pic:spPr bwMode="auto">
                    <a:xfrm>
                      <a:off x="0" y="0"/>
                      <a:ext cx="5424805" cy="2593975"/>
                    </a:xfrm>
                    <a:prstGeom prst="rect">
                      <a:avLst/>
                    </a:prstGeom>
                    <a:noFill/>
                    <a:ln w="9525">
                      <a:solidFill>
                        <a:schemeClr val="tx1"/>
                      </a:solidFill>
                      <a:miter lim="800000"/>
                      <a:headEnd/>
                      <a:tailEnd/>
                    </a:ln>
                  </pic:spPr>
                </pic:pic>
              </a:graphicData>
            </a:graphic>
          </wp:inline>
        </w:drawing>
      </w:r>
    </w:p>
    <w:p w:rsidR="00174D62" w:rsidRPr="00174D62" w:rsidRDefault="00174D62" w:rsidP="00174D62">
      <w:pPr>
        <w:spacing w:after="0" w:line="240" w:lineRule="auto"/>
        <w:jc w:val="both"/>
        <w:rPr>
          <w:rFonts w:ascii="Times New Roman" w:eastAsia="Calibri" w:hAnsi="Times New Roman"/>
          <w:b/>
          <w:sz w:val="20"/>
          <w:szCs w:val="20"/>
        </w:rPr>
      </w:pPr>
    </w:p>
    <w:p w:rsidR="00174D62" w:rsidRPr="00174D62" w:rsidRDefault="00174D62" w:rsidP="00174D62">
      <w:pPr>
        <w:spacing w:after="0" w:line="240" w:lineRule="auto"/>
        <w:ind w:left="900" w:hanging="900"/>
        <w:jc w:val="both"/>
        <w:rPr>
          <w:rFonts w:ascii="Times New Roman" w:eastAsia="Calibri" w:hAnsi="Times New Roman"/>
          <w:sz w:val="20"/>
          <w:szCs w:val="20"/>
        </w:rPr>
      </w:pPr>
      <w:r w:rsidRPr="00174D62">
        <w:rPr>
          <w:rFonts w:ascii="Times New Roman" w:eastAsia="Calibri" w:hAnsi="Times New Roman"/>
          <w:sz w:val="20"/>
          <w:szCs w:val="20"/>
        </w:rPr>
        <w:t xml:space="preserve">Figure 1. </w:t>
      </w:r>
      <w:r>
        <w:rPr>
          <w:rFonts w:ascii="Times New Roman" w:eastAsia="Calibri" w:hAnsi="Times New Roman"/>
          <w:sz w:val="20"/>
          <w:szCs w:val="20"/>
        </w:rPr>
        <w:tab/>
      </w:r>
      <w:r w:rsidRPr="00174D62">
        <w:rPr>
          <w:rFonts w:ascii="Times New Roman" w:eastAsia="Calibri" w:hAnsi="Times New Roman"/>
          <w:sz w:val="20"/>
          <w:szCs w:val="20"/>
        </w:rPr>
        <w:t>a) Degree of bitterness in caffeine solution, angelwing clam fl</w:t>
      </w:r>
      <w:r>
        <w:rPr>
          <w:rFonts w:ascii="Times New Roman" w:eastAsia="Calibri" w:hAnsi="Times New Roman"/>
          <w:sz w:val="20"/>
          <w:szCs w:val="20"/>
        </w:rPr>
        <w:t xml:space="preserve">esh and hydrolysate obtained by </w:t>
      </w:r>
      <w:r w:rsidRPr="00174D62">
        <w:rPr>
          <w:rFonts w:ascii="Times New Roman" w:eastAsia="Calibri" w:hAnsi="Times New Roman"/>
          <w:sz w:val="20"/>
          <w:szCs w:val="20"/>
        </w:rPr>
        <w:t>Quantitative Descriptive Analysis (QDA) where a, b, c (superscript) are significantly different (p &lt; 0.05) and b) Electrophoresis patterns of angelwing clam flesh and hydrolysates produced at pH 6, 45◦C for 2 hours by using bromelain.</w:t>
      </w:r>
    </w:p>
    <w:p w:rsidR="00174D62" w:rsidRDefault="00174D62" w:rsidP="00174D62">
      <w:pPr>
        <w:spacing w:after="0" w:line="240" w:lineRule="auto"/>
        <w:jc w:val="both"/>
        <w:rPr>
          <w:rFonts w:ascii="Times New Roman" w:eastAsia="Calibri" w:hAnsi="Times New Roman"/>
          <w:sz w:val="20"/>
          <w:szCs w:val="20"/>
        </w:rPr>
      </w:pPr>
    </w:p>
    <w:p w:rsidR="00174D62" w:rsidRPr="00174D62" w:rsidRDefault="00174D62" w:rsidP="00174D62">
      <w:pPr>
        <w:spacing w:after="0" w:line="240" w:lineRule="auto"/>
        <w:jc w:val="both"/>
        <w:rPr>
          <w:rFonts w:ascii="Times New Roman" w:eastAsia="Calibri" w:hAnsi="Times New Roman"/>
          <w:sz w:val="20"/>
          <w:szCs w:val="20"/>
        </w:rPr>
      </w:pPr>
    </w:p>
    <w:p w:rsidR="00174D62" w:rsidRPr="00174D62" w:rsidRDefault="00174D62" w:rsidP="00174D62">
      <w:pPr>
        <w:spacing w:after="0" w:line="240" w:lineRule="auto"/>
        <w:jc w:val="both"/>
        <w:rPr>
          <w:rFonts w:ascii="Times New Roman" w:eastAsia="Calibri" w:hAnsi="Times New Roman"/>
          <w:b/>
          <w:sz w:val="20"/>
          <w:szCs w:val="20"/>
        </w:rPr>
      </w:pPr>
      <w:r w:rsidRPr="00174D62">
        <w:rPr>
          <w:rFonts w:ascii="Times New Roman" w:eastAsia="Calibri" w:hAnsi="Times New Roman"/>
          <w:b/>
          <w:sz w:val="20"/>
          <w:szCs w:val="20"/>
        </w:rPr>
        <w:t>Molecular weight distribution of angelwing flesh and hydrolysate</w:t>
      </w:r>
    </w:p>
    <w:p w:rsidR="00174D62" w:rsidRPr="00174D62" w:rsidRDefault="00174D62" w:rsidP="00174D62">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The electrophoresis patterns of angelwing flesh and hydrolysate are shown in Figure 1b. The flesh consists of many clear bands ranging from 9 to 220 kDa compared to angelwing hydrolysate where clear bands were found very distinctly below 50 kDa. The absence of high molecular weight bands above 50 kDa and the fade bands were at 90, 80 and 60 kDa showed that bromelain is capable of degrading most of the larger protein.  According to Jefferey et al. [19] the smaller the peptide, the bitter is the hydrolysate. As shown in Figure 2, angelwing hydrolysate had thick bands at 4.6 kDa and below compared to the flesh. This suggested that the bitterness was perceived after the hydrolysis. This result was in line with sensory analysis. According to Kristinsson and Rasco [20], molecular weight with protein below 10 kDa contributed to the bitterness of hydrolysate. While Jeffery et al. [19] stated that bitterness develops when small to medium-sized of hydrophobic peptides &lt;18 kDa were produced after hydrolysis process. This was also supported in previous study by Normal et al. [6], where green muscle hydrolysate produced using alcalase had molecular weight of &lt;3 kDa were bitter. In this study, angelwing hydrolysate had bands below 15kDa that indicated the hydrolysate has smaller peptide compared to the flesh that contribute to bitterness.</w:t>
      </w:r>
    </w:p>
    <w:p w:rsidR="00174D62" w:rsidRPr="00174D62" w:rsidRDefault="00174D62" w:rsidP="00174D62">
      <w:pPr>
        <w:spacing w:after="0" w:line="240" w:lineRule="auto"/>
        <w:jc w:val="both"/>
        <w:rPr>
          <w:rFonts w:ascii="Times New Roman" w:eastAsia="Calibri" w:hAnsi="Times New Roman"/>
          <w:sz w:val="20"/>
          <w:szCs w:val="20"/>
        </w:rPr>
      </w:pPr>
    </w:p>
    <w:p w:rsidR="00174D62" w:rsidRPr="00174D62" w:rsidRDefault="00174D62" w:rsidP="00174D62">
      <w:pPr>
        <w:spacing w:after="0" w:line="240" w:lineRule="auto"/>
        <w:jc w:val="both"/>
        <w:rPr>
          <w:rFonts w:ascii="Times New Roman" w:eastAsia="Calibri" w:hAnsi="Times New Roman"/>
          <w:b/>
          <w:sz w:val="20"/>
          <w:szCs w:val="20"/>
        </w:rPr>
      </w:pPr>
      <w:r w:rsidRPr="00174D62">
        <w:rPr>
          <w:rFonts w:ascii="Times New Roman" w:eastAsia="Calibri" w:hAnsi="Times New Roman"/>
          <w:b/>
          <w:sz w:val="20"/>
          <w:szCs w:val="20"/>
        </w:rPr>
        <w:t>Functional group analysis</w:t>
      </w:r>
    </w:p>
    <w:p w:rsidR="00174D62" w:rsidRDefault="00174D62" w:rsidP="00174D62">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The peak ranges between 3500 – 3200 cm</w:t>
      </w:r>
      <w:r w:rsidRPr="00174D62">
        <w:rPr>
          <w:rFonts w:ascii="Times New Roman" w:eastAsia="Calibri" w:hAnsi="Times New Roman"/>
          <w:sz w:val="20"/>
          <w:szCs w:val="20"/>
          <w:vertAlign w:val="superscript"/>
        </w:rPr>
        <w:t>-1</w:t>
      </w:r>
      <w:r w:rsidRPr="00174D62">
        <w:rPr>
          <w:rFonts w:ascii="Times New Roman" w:eastAsia="Calibri" w:hAnsi="Times New Roman"/>
          <w:sz w:val="20"/>
          <w:szCs w:val="20"/>
        </w:rPr>
        <w:t xml:space="preserve"> in Figures 2 represent the N-H of amine group. The functional group of angelwing hydrolysate showed high peak at 3385.6 cm</w:t>
      </w:r>
      <w:r w:rsidRPr="00174D62">
        <w:rPr>
          <w:rFonts w:ascii="Times New Roman" w:eastAsia="Calibri" w:hAnsi="Times New Roman"/>
          <w:sz w:val="20"/>
          <w:szCs w:val="20"/>
          <w:vertAlign w:val="superscript"/>
        </w:rPr>
        <w:t xml:space="preserve">-1 </w:t>
      </w:r>
      <w:r w:rsidRPr="00174D62">
        <w:rPr>
          <w:rFonts w:ascii="Times New Roman" w:eastAsia="Calibri" w:hAnsi="Times New Roman"/>
          <w:sz w:val="20"/>
          <w:szCs w:val="20"/>
        </w:rPr>
        <w:t>while the flesh showed a peak at 3305.65cm</w:t>
      </w:r>
      <w:r w:rsidRPr="00174D62">
        <w:rPr>
          <w:rFonts w:ascii="Times New Roman" w:eastAsia="Calibri" w:hAnsi="Times New Roman"/>
          <w:sz w:val="20"/>
          <w:szCs w:val="20"/>
          <w:vertAlign w:val="superscript"/>
        </w:rPr>
        <w:t>-1</w:t>
      </w:r>
      <w:r w:rsidRPr="00174D62">
        <w:rPr>
          <w:rFonts w:ascii="Times New Roman" w:eastAsia="Calibri" w:hAnsi="Times New Roman"/>
          <w:sz w:val="20"/>
          <w:szCs w:val="20"/>
        </w:rPr>
        <w:t>. According to Agrawal and Chiddarwar [21] the functional groups that are usually present in the bitter drugs were amine group. Therefore, this result is in accordance with the sensory analysis which showed that angelwing hydrolysate was bitter due to the presence of the high peak of N-H groups.  Besides, Figure 2 showed angelwing hydrolysate has peak bands at 1640 cm</w:t>
      </w:r>
      <w:r w:rsidRPr="00174D62">
        <w:rPr>
          <w:rFonts w:ascii="Times New Roman" w:eastAsia="Calibri" w:hAnsi="Times New Roman"/>
          <w:sz w:val="20"/>
          <w:szCs w:val="20"/>
          <w:vertAlign w:val="superscript"/>
        </w:rPr>
        <w:t xml:space="preserve">-1 </w:t>
      </w:r>
      <w:r w:rsidRPr="00174D62">
        <w:rPr>
          <w:rFonts w:ascii="Times New Roman" w:eastAsia="Calibri" w:hAnsi="Times New Roman"/>
          <w:sz w:val="20"/>
          <w:szCs w:val="20"/>
        </w:rPr>
        <w:t>while the flesh has a peak bands at 1654 cm</w:t>
      </w:r>
      <w:r w:rsidRPr="00174D62">
        <w:rPr>
          <w:rFonts w:ascii="Times New Roman" w:eastAsia="Calibri" w:hAnsi="Times New Roman"/>
          <w:sz w:val="20"/>
          <w:szCs w:val="20"/>
          <w:vertAlign w:val="superscript"/>
        </w:rPr>
        <w:t>-1</w:t>
      </w:r>
      <w:r w:rsidRPr="00174D62">
        <w:rPr>
          <w:rFonts w:ascii="Times New Roman" w:eastAsia="Calibri" w:hAnsi="Times New Roman"/>
          <w:sz w:val="20"/>
          <w:szCs w:val="20"/>
        </w:rPr>
        <w:t xml:space="preserve"> which attributed  to the carbonyl (C=0) stretch </w:t>
      </w:r>
      <w:r w:rsidRPr="00174D62">
        <w:rPr>
          <w:rFonts w:ascii="Times New Roman" w:eastAsia="Calibri" w:hAnsi="Times New Roman"/>
          <w:sz w:val="20"/>
          <w:szCs w:val="20"/>
        </w:rPr>
        <w:lastRenderedPageBreak/>
        <w:t>vibration centered approximately between 1650 cm</w:t>
      </w:r>
      <w:r w:rsidRPr="00174D62">
        <w:rPr>
          <w:rFonts w:ascii="Times New Roman" w:eastAsia="Calibri" w:hAnsi="Times New Roman"/>
          <w:sz w:val="20"/>
          <w:szCs w:val="20"/>
          <w:vertAlign w:val="superscript"/>
        </w:rPr>
        <w:t>-1</w:t>
      </w:r>
      <w:r w:rsidRPr="00174D62">
        <w:rPr>
          <w:rFonts w:ascii="Times New Roman" w:eastAsia="Calibri" w:hAnsi="Times New Roman"/>
          <w:sz w:val="20"/>
          <w:szCs w:val="20"/>
        </w:rPr>
        <w:t xml:space="preserve"> – 1540 cm</w:t>
      </w:r>
      <w:r w:rsidRPr="00174D62">
        <w:rPr>
          <w:rFonts w:ascii="Times New Roman" w:eastAsia="Calibri" w:hAnsi="Times New Roman"/>
          <w:sz w:val="20"/>
          <w:szCs w:val="20"/>
          <w:vertAlign w:val="superscript"/>
        </w:rPr>
        <w:t>-1</w:t>
      </w:r>
      <w:r w:rsidRPr="00174D62">
        <w:rPr>
          <w:rFonts w:ascii="Times New Roman" w:eastAsia="Calibri" w:hAnsi="Times New Roman"/>
          <w:sz w:val="20"/>
          <w:szCs w:val="20"/>
        </w:rPr>
        <w:t>[22]. These bands indicated the presence of functional compounds strong amide I and II in protein amide group (-CONH</w:t>
      </w:r>
      <w:r w:rsidRPr="00174D62">
        <w:rPr>
          <w:rFonts w:ascii="Times New Roman" w:eastAsia="Calibri" w:hAnsi="Times New Roman"/>
          <w:sz w:val="20"/>
          <w:szCs w:val="20"/>
          <w:vertAlign w:val="subscript"/>
        </w:rPr>
        <w:t>2</w:t>
      </w:r>
      <w:r w:rsidRPr="00174D62">
        <w:rPr>
          <w:rFonts w:ascii="Times New Roman" w:eastAsia="Calibri" w:hAnsi="Times New Roman"/>
          <w:sz w:val="20"/>
          <w:szCs w:val="20"/>
        </w:rPr>
        <w:t>) which this amides of carboxylic acid (RCONH</w:t>
      </w:r>
      <w:r w:rsidRPr="00174D62">
        <w:rPr>
          <w:rFonts w:ascii="Times New Roman" w:eastAsia="Calibri" w:hAnsi="Times New Roman"/>
          <w:sz w:val="20"/>
          <w:szCs w:val="20"/>
          <w:vertAlign w:val="subscript"/>
        </w:rPr>
        <w:t>2</w:t>
      </w:r>
      <w:r w:rsidRPr="00174D62">
        <w:rPr>
          <w:rFonts w:ascii="Times New Roman" w:eastAsia="Calibri" w:hAnsi="Times New Roman"/>
          <w:sz w:val="20"/>
          <w:szCs w:val="20"/>
        </w:rPr>
        <w:t>) were bitter [23].</w:t>
      </w:r>
    </w:p>
    <w:p w:rsidR="00174D62" w:rsidRDefault="00174D62" w:rsidP="00174D62">
      <w:pPr>
        <w:spacing w:after="0" w:line="240" w:lineRule="auto"/>
        <w:jc w:val="both"/>
        <w:rPr>
          <w:rFonts w:ascii="Times New Roman" w:eastAsia="Calibri" w:hAnsi="Times New Roman"/>
          <w:sz w:val="20"/>
          <w:szCs w:val="20"/>
        </w:rPr>
      </w:pPr>
    </w:p>
    <w:p w:rsidR="00174D62" w:rsidRPr="00174D62" w:rsidRDefault="00174D62" w:rsidP="00174D62">
      <w:pPr>
        <w:spacing w:after="0" w:line="240" w:lineRule="auto"/>
        <w:jc w:val="both"/>
        <w:rPr>
          <w:rFonts w:ascii="Times New Roman" w:eastAsia="Calibri" w:hAnsi="Times New Roman"/>
          <w:sz w:val="20"/>
          <w:szCs w:val="20"/>
        </w:rPr>
      </w:pPr>
    </w:p>
    <w:p w:rsidR="00174D62" w:rsidRPr="00174D62" w:rsidRDefault="00174D62" w:rsidP="00174D62">
      <w:pPr>
        <w:spacing w:after="0" w:line="240" w:lineRule="auto"/>
        <w:jc w:val="center"/>
        <w:rPr>
          <w:rFonts w:ascii="Times New Roman" w:eastAsia="Calibri" w:hAnsi="Times New Roman"/>
          <w:i/>
          <w:sz w:val="20"/>
          <w:szCs w:val="20"/>
        </w:rPr>
      </w:pPr>
      <w:r w:rsidRPr="00174D62">
        <w:rPr>
          <w:rFonts w:ascii="Times New Roman" w:eastAsia="Calibri" w:hAnsi="Times New Roman"/>
          <w:noProof/>
          <w:sz w:val="20"/>
          <w:szCs w:val="20"/>
          <w:lang w:bidi="ar-SA"/>
        </w:rPr>
        <w:drawing>
          <wp:inline distT="0" distB="0" distL="0" distR="0" wp14:anchorId="38765EE9" wp14:editId="3023D548">
            <wp:extent cx="5328285" cy="2461895"/>
            <wp:effectExtent l="19050" t="19050" r="24765"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lum contrast="60000"/>
                    </a:blip>
                    <a:srcRect l="8595" t="19415" r="23166" b="10429"/>
                    <a:stretch>
                      <a:fillRect/>
                    </a:stretch>
                  </pic:blipFill>
                  <pic:spPr bwMode="auto">
                    <a:xfrm>
                      <a:off x="0" y="0"/>
                      <a:ext cx="5328285" cy="2461895"/>
                    </a:xfrm>
                    <a:prstGeom prst="rect">
                      <a:avLst/>
                    </a:prstGeom>
                    <a:noFill/>
                    <a:ln w="9525">
                      <a:solidFill>
                        <a:schemeClr val="tx1"/>
                      </a:solidFill>
                      <a:miter lim="800000"/>
                      <a:headEnd/>
                      <a:tailEnd/>
                    </a:ln>
                  </pic:spPr>
                </pic:pic>
              </a:graphicData>
            </a:graphic>
          </wp:inline>
        </w:drawing>
      </w:r>
    </w:p>
    <w:p w:rsidR="00174D62" w:rsidRPr="00174D62" w:rsidRDefault="00174D62" w:rsidP="00174D62">
      <w:pPr>
        <w:spacing w:after="0" w:line="240" w:lineRule="auto"/>
        <w:jc w:val="both"/>
        <w:rPr>
          <w:rFonts w:ascii="Times New Roman" w:eastAsia="Calibri" w:hAnsi="Times New Roman"/>
          <w:i/>
          <w:sz w:val="20"/>
          <w:szCs w:val="20"/>
        </w:rPr>
      </w:pPr>
    </w:p>
    <w:p w:rsidR="00174D62" w:rsidRPr="00174D62" w:rsidRDefault="00174D62" w:rsidP="00174D62">
      <w:pPr>
        <w:spacing w:after="0" w:line="240" w:lineRule="auto"/>
        <w:ind w:left="810" w:hanging="810"/>
        <w:jc w:val="both"/>
        <w:rPr>
          <w:rFonts w:ascii="Times New Roman" w:eastAsia="Calibri" w:hAnsi="Times New Roman"/>
          <w:sz w:val="20"/>
          <w:szCs w:val="20"/>
        </w:rPr>
      </w:pPr>
      <w:r w:rsidRPr="00174D62">
        <w:rPr>
          <w:rFonts w:ascii="Times New Roman" w:eastAsia="Calibri" w:hAnsi="Times New Roman"/>
          <w:sz w:val="20"/>
          <w:szCs w:val="20"/>
        </w:rPr>
        <w:t xml:space="preserve">Figure 2. </w:t>
      </w:r>
      <w:r>
        <w:rPr>
          <w:rFonts w:ascii="Times New Roman" w:eastAsia="Calibri" w:hAnsi="Times New Roman"/>
          <w:sz w:val="20"/>
          <w:szCs w:val="20"/>
        </w:rPr>
        <w:tab/>
      </w:r>
      <w:r w:rsidRPr="00174D62">
        <w:rPr>
          <w:rFonts w:ascii="Times New Roman" w:eastAsia="Calibri" w:hAnsi="Times New Roman"/>
          <w:sz w:val="20"/>
          <w:szCs w:val="20"/>
        </w:rPr>
        <w:t>FTIR spectrums of angelwing clam flesh and hydrolysate (AH) produced at pH 6, 45 °C for 2 hours by using bromelain</w:t>
      </w:r>
    </w:p>
    <w:p w:rsidR="00174D62" w:rsidRDefault="00174D62" w:rsidP="00174D62">
      <w:pPr>
        <w:spacing w:after="0" w:line="240" w:lineRule="auto"/>
        <w:jc w:val="both"/>
        <w:rPr>
          <w:rFonts w:ascii="Times New Roman" w:eastAsia="Calibri" w:hAnsi="Times New Roman"/>
          <w:sz w:val="20"/>
          <w:szCs w:val="20"/>
        </w:rPr>
      </w:pPr>
    </w:p>
    <w:p w:rsidR="00174D62" w:rsidRPr="00174D62" w:rsidRDefault="00174D62" w:rsidP="00174D62">
      <w:pPr>
        <w:spacing w:after="0" w:line="240" w:lineRule="auto"/>
        <w:jc w:val="both"/>
        <w:rPr>
          <w:rFonts w:ascii="Times New Roman" w:eastAsia="Calibri" w:hAnsi="Times New Roman"/>
          <w:sz w:val="20"/>
          <w:szCs w:val="20"/>
        </w:rPr>
      </w:pPr>
    </w:p>
    <w:p w:rsidR="00174D62" w:rsidRPr="00174D62" w:rsidRDefault="00174D62" w:rsidP="00174D62">
      <w:pPr>
        <w:spacing w:after="0" w:line="240" w:lineRule="auto"/>
        <w:jc w:val="both"/>
        <w:rPr>
          <w:rFonts w:ascii="Times New Roman" w:eastAsia="Calibri" w:hAnsi="Times New Roman"/>
          <w:b/>
          <w:sz w:val="20"/>
          <w:szCs w:val="20"/>
        </w:rPr>
      </w:pPr>
      <w:r w:rsidRPr="00174D62">
        <w:rPr>
          <w:rFonts w:ascii="Times New Roman" w:eastAsia="Calibri" w:hAnsi="Times New Roman"/>
          <w:b/>
          <w:sz w:val="20"/>
          <w:szCs w:val="20"/>
        </w:rPr>
        <w:t>Protein, fat and water holding capacity</w:t>
      </w:r>
    </w:p>
    <w:p w:rsidR="00174D62" w:rsidRPr="00174D62" w:rsidRDefault="00174D62" w:rsidP="00174D62">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 xml:space="preserve">Hydrolysis of angelwing clam increased the protein concentration in hydrolysate. Table 1, showed the hydrolysate contain 74.41% protein, which increased the protein content to 48.28 % more than the flesh. These results were in line with DH where angelwing hydrolysate had high DH (12.10 %).Previous study stated that the higher DH gave higher protein content [24]. This is because protein that solubilized during hydrolysis contained in the layer of supernatant compared to its precipitate. </w:t>
      </w:r>
    </w:p>
    <w:p w:rsidR="00174D62" w:rsidRDefault="00174D62" w:rsidP="00174D62">
      <w:pPr>
        <w:spacing w:after="0" w:line="240" w:lineRule="auto"/>
        <w:jc w:val="both"/>
        <w:rPr>
          <w:rFonts w:ascii="Times New Roman" w:eastAsia="Calibri" w:hAnsi="Times New Roman"/>
          <w:sz w:val="20"/>
          <w:szCs w:val="20"/>
        </w:rPr>
      </w:pPr>
    </w:p>
    <w:p w:rsidR="00174D62" w:rsidRPr="00174D62" w:rsidRDefault="00174D62" w:rsidP="00174D62">
      <w:pPr>
        <w:spacing w:after="0" w:line="240" w:lineRule="auto"/>
        <w:jc w:val="both"/>
        <w:rPr>
          <w:rFonts w:ascii="Times New Roman" w:eastAsia="Calibri" w:hAnsi="Times New Roman"/>
          <w:sz w:val="20"/>
          <w:szCs w:val="20"/>
        </w:rPr>
      </w:pPr>
    </w:p>
    <w:p w:rsidR="00174D62" w:rsidRDefault="00174D62" w:rsidP="00174D62">
      <w:pPr>
        <w:spacing w:after="0" w:line="240" w:lineRule="auto"/>
        <w:ind w:left="720" w:hanging="720"/>
        <w:jc w:val="center"/>
        <w:rPr>
          <w:rFonts w:ascii="Times New Roman" w:eastAsia="Calibri" w:hAnsi="Times New Roman"/>
          <w:sz w:val="20"/>
          <w:szCs w:val="20"/>
        </w:rPr>
      </w:pPr>
      <w:r w:rsidRPr="00174D62">
        <w:rPr>
          <w:rFonts w:ascii="Times New Roman" w:eastAsia="Calibri" w:hAnsi="Times New Roman"/>
          <w:sz w:val="20"/>
          <w:szCs w:val="20"/>
        </w:rPr>
        <w:t xml:space="preserve">Table 1. </w:t>
      </w:r>
      <w:r>
        <w:rPr>
          <w:rFonts w:ascii="Times New Roman" w:eastAsia="Calibri" w:hAnsi="Times New Roman"/>
          <w:sz w:val="20"/>
          <w:szCs w:val="20"/>
        </w:rPr>
        <w:t xml:space="preserve"> </w:t>
      </w:r>
      <w:r w:rsidRPr="00174D62">
        <w:rPr>
          <w:rFonts w:ascii="Times New Roman" w:eastAsia="Calibri" w:hAnsi="Times New Roman"/>
          <w:sz w:val="20"/>
          <w:szCs w:val="20"/>
        </w:rPr>
        <w:t xml:space="preserve">The properties of angelwing clam flesh and hydrolysate produced at pH 6, 45◦C for 2 hours </w:t>
      </w:r>
    </w:p>
    <w:p w:rsidR="00174D62" w:rsidRPr="00174D62" w:rsidRDefault="00174D62" w:rsidP="00174D62">
      <w:pPr>
        <w:spacing w:after="120" w:line="240" w:lineRule="auto"/>
        <w:ind w:left="720" w:hanging="720"/>
        <w:jc w:val="center"/>
        <w:rPr>
          <w:rFonts w:ascii="Times New Roman" w:eastAsia="Calibri" w:hAnsi="Times New Roman"/>
          <w:sz w:val="20"/>
          <w:szCs w:val="20"/>
        </w:rPr>
      </w:pPr>
      <w:r w:rsidRPr="00174D62">
        <w:rPr>
          <w:rFonts w:ascii="Times New Roman" w:eastAsia="Calibri" w:hAnsi="Times New Roman"/>
          <w:sz w:val="20"/>
          <w:szCs w:val="20"/>
        </w:rPr>
        <w:t>by using bromelain</w:t>
      </w:r>
    </w:p>
    <w:tbl>
      <w:tblPr>
        <w:tblW w:w="6876" w:type="dxa"/>
        <w:jc w:val="center"/>
        <w:tblLook w:val="04A0" w:firstRow="1" w:lastRow="0" w:firstColumn="1" w:lastColumn="0" w:noHBand="0" w:noVBand="1"/>
      </w:tblPr>
      <w:tblGrid>
        <w:gridCol w:w="3042"/>
        <w:gridCol w:w="1427"/>
        <w:gridCol w:w="2407"/>
      </w:tblGrid>
      <w:tr w:rsidR="00174D62" w:rsidRPr="00174D62" w:rsidTr="00174D62">
        <w:trPr>
          <w:trHeight w:val="221"/>
          <w:jc w:val="center"/>
        </w:trPr>
        <w:tc>
          <w:tcPr>
            <w:tcW w:w="3042" w:type="dxa"/>
            <w:tcBorders>
              <w:top w:val="single" w:sz="4" w:space="0" w:color="auto"/>
              <w:bottom w:val="single" w:sz="4" w:space="0" w:color="auto"/>
            </w:tcBorders>
            <w:shd w:val="clear" w:color="auto" w:fill="auto"/>
            <w:vAlign w:val="center"/>
          </w:tcPr>
          <w:p w:rsidR="00174D62" w:rsidRPr="00174D62" w:rsidRDefault="00174D62" w:rsidP="00174D62">
            <w:pPr>
              <w:spacing w:before="60" w:after="60" w:line="240" w:lineRule="auto"/>
              <w:rPr>
                <w:rFonts w:ascii="Times New Roman" w:eastAsia="Calibri" w:hAnsi="Times New Roman"/>
                <w:b/>
                <w:bCs/>
                <w:sz w:val="20"/>
                <w:szCs w:val="20"/>
              </w:rPr>
            </w:pPr>
            <w:r w:rsidRPr="00174D62">
              <w:rPr>
                <w:rFonts w:ascii="Times New Roman" w:eastAsia="Calibri" w:hAnsi="Times New Roman"/>
                <w:b/>
                <w:bCs/>
                <w:sz w:val="20"/>
                <w:szCs w:val="20"/>
              </w:rPr>
              <w:t>The properties of sample</w:t>
            </w:r>
            <w:r w:rsidRPr="00174D62">
              <w:rPr>
                <w:rFonts w:ascii="Times New Roman" w:eastAsia="Calibri" w:hAnsi="Times New Roman"/>
                <w:b/>
                <w:bCs/>
                <w:sz w:val="20"/>
                <w:szCs w:val="20"/>
                <w:vertAlign w:val="superscript"/>
              </w:rPr>
              <w:t xml:space="preserve"> a</w:t>
            </w:r>
          </w:p>
        </w:tc>
        <w:tc>
          <w:tcPr>
            <w:tcW w:w="1427" w:type="dxa"/>
            <w:tcBorders>
              <w:top w:val="single" w:sz="4" w:space="0" w:color="auto"/>
              <w:bottom w:val="single" w:sz="4" w:space="0" w:color="auto"/>
            </w:tcBorders>
            <w:shd w:val="clear" w:color="auto" w:fill="auto"/>
            <w:vAlign w:val="center"/>
          </w:tcPr>
          <w:p w:rsidR="00174D62" w:rsidRPr="00174D62" w:rsidRDefault="00174D62" w:rsidP="00174D62">
            <w:pPr>
              <w:spacing w:before="60" w:after="60" w:line="240" w:lineRule="auto"/>
              <w:jc w:val="center"/>
              <w:rPr>
                <w:rFonts w:ascii="Times New Roman" w:eastAsia="Calibri" w:hAnsi="Times New Roman"/>
                <w:b/>
                <w:bCs/>
                <w:sz w:val="20"/>
                <w:szCs w:val="20"/>
              </w:rPr>
            </w:pPr>
            <w:r w:rsidRPr="00174D62">
              <w:rPr>
                <w:rFonts w:ascii="Times New Roman" w:eastAsia="Calibri" w:hAnsi="Times New Roman"/>
                <w:b/>
                <w:bCs/>
                <w:sz w:val="20"/>
                <w:szCs w:val="20"/>
              </w:rPr>
              <w:t>Flesh</w:t>
            </w:r>
          </w:p>
        </w:tc>
        <w:tc>
          <w:tcPr>
            <w:tcW w:w="2407" w:type="dxa"/>
            <w:tcBorders>
              <w:top w:val="single" w:sz="4" w:space="0" w:color="auto"/>
              <w:bottom w:val="single" w:sz="4" w:space="0" w:color="auto"/>
            </w:tcBorders>
            <w:shd w:val="clear" w:color="auto" w:fill="auto"/>
            <w:vAlign w:val="center"/>
          </w:tcPr>
          <w:p w:rsidR="00174D62" w:rsidRPr="00174D62" w:rsidRDefault="00174D62" w:rsidP="00174D62">
            <w:pPr>
              <w:spacing w:before="60" w:after="60" w:line="240" w:lineRule="auto"/>
              <w:jc w:val="center"/>
              <w:rPr>
                <w:rFonts w:ascii="Times New Roman" w:eastAsia="Calibri" w:hAnsi="Times New Roman"/>
                <w:b/>
                <w:bCs/>
                <w:sz w:val="20"/>
                <w:szCs w:val="20"/>
              </w:rPr>
            </w:pPr>
            <w:r w:rsidRPr="00174D62">
              <w:rPr>
                <w:rFonts w:ascii="Times New Roman" w:eastAsia="Calibri" w:hAnsi="Times New Roman"/>
                <w:b/>
                <w:bCs/>
                <w:sz w:val="20"/>
                <w:szCs w:val="20"/>
              </w:rPr>
              <w:t>Angelwing hydrolysate</w:t>
            </w:r>
          </w:p>
        </w:tc>
      </w:tr>
      <w:tr w:rsidR="00174D62" w:rsidRPr="00174D62" w:rsidTr="00174D62">
        <w:trPr>
          <w:trHeight w:val="221"/>
          <w:jc w:val="center"/>
        </w:trPr>
        <w:tc>
          <w:tcPr>
            <w:tcW w:w="3042" w:type="dxa"/>
            <w:tcBorders>
              <w:top w:val="single" w:sz="4" w:space="0" w:color="auto"/>
            </w:tcBorders>
            <w:shd w:val="clear" w:color="auto" w:fill="auto"/>
            <w:vAlign w:val="center"/>
          </w:tcPr>
          <w:p w:rsidR="00174D62" w:rsidRPr="00174D62" w:rsidRDefault="00174D62" w:rsidP="00174D62">
            <w:pPr>
              <w:spacing w:before="60" w:after="0" w:line="240" w:lineRule="auto"/>
              <w:rPr>
                <w:rFonts w:ascii="Times New Roman" w:eastAsia="Calibri" w:hAnsi="Times New Roman"/>
                <w:sz w:val="20"/>
                <w:szCs w:val="20"/>
              </w:rPr>
            </w:pPr>
            <w:r w:rsidRPr="00174D62">
              <w:rPr>
                <w:rFonts w:ascii="Times New Roman" w:eastAsia="Calibri" w:hAnsi="Times New Roman"/>
                <w:sz w:val="20"/>
                <w:szCs w:val="20"/>
              </w:rPr>
              <w:t>Protein content (%)</w:t>
            </w:r>
          </w:p>
        </w:tc>
        <w:tc>
          <w:tcPr>
            <w:tcW w:w="1427" w:type="dxa"/>
            <w:tcBorders>
              <w:top w:val="single" w:sz="4" w:space="0" w:color="auto"/>
            </w:tcBorders>
            <w:shd w:val="clear" w:color="auto" w:fill="auto"/>
            <w:vAlign w:val="center"/>
          </w:tcPr>
          <w:p w:rsidR="00174D62" w:rsidRPr="00174D62" w:rsidRDefault="00174D62" w:rsidP="00174D62">
            <w:pPr>
              <w:spacing w:before="60" w:after="0" w:line="240" w:lineRule="auto"/>
              <w:jc w:val="center"/>
              <w:rPr>
                <w:rFonts w:ascii="Times New Roman" w:eastAsia="Calibri" w:hAnsi="Times New Roman"/>
                <w:sz w:val="20"/>
                <w:szCs w:val="20"/>
              </w:rPr>
            </w:pPr>
            <w:r w:rsidRPr="00174D62">
              <w:rPr>
                <w:rFonts w:ascii="Times New Roman" w:eastAsia="Calibri" w:hAnsi="Times New Roman"/>
                <w:sz w:val="20"/>
                <w:szCs w:val="20"/>
              </w:rPr>
              <w:t>25.91±0.19</w:t>
            </w:r>
          </w:p>
        </w:tc>
        <w:tc>
          <w:tcPr>
            <w:tcW w:w="2407" w:type="dxa"/>
            <w:tcBorders>
              <w:top w:val="single" w:sz="4" w:space="0" w:color="auto"/>
            </w:tcBorders>
            <w:shd w:val="clear" w:color="auto" w:fill="auto"/>
            <w:vAlign w:val="center"/>
          </w:tcPr>
          <w:p w:rsidR="00174D62" w:rsidRPr="00174D62" w:rsidRDefault="00174D62" w:rsidP="00174D62">
            <w:pPr>
              <w:spacing w:before="60" w:after="0" w:line="240" w:lineRule="auto"/>
              <w:jc w:val="center"/>
              <w:rPr>
                <w:rFonts w:ascii="Times New Roman" w:eastAsia="Calibri" w:hAnsi="Times New Roman"/>
                <w:sz w:val="20"/>
                <w:szCs w:val="20"/>
              </w:rPr>
            </w:pPr>
            <w:r w:rsidRPr="00174D62">
              <w:rPr>
                <w:rFonts w:ascii="Times New Roman" w:eastAsia="Calibri" w:hAnsi="Times New Roman"/>
                <w:sz w:val="20"/>
                <w:szCs w:val="20"/>
              </w:rPr>
              <w:t>74.41±0.35</w:t>
            </w:r>
          </w:p>
        </w:tc>
      </w:tr>
      <w:tr w:rsidR="00174D62" w:rsidRPr="00174D62" w:rsidTr="00174D62">
        <w:trPr>
          <w:trHeight w:val="221"/>
          <w:jc w:val="center"/>
        </w:trPr>
        <w:tc>
          <w:tcPr>
            <w:tcW w:w="3042" w:type="dxa"/>
            <w:shd w:val="clear" w:color="auto" w:fill="auto"/>
            <w:vAlign w:val="center"/>
          </w:tcPr>
          <w:p w:rsidR="00174D62" w:rsidRPr="00174D62" w:rsidRDefault="00174D62" w:rsidP="00174D62">
            <w:pPr>
              <w:spacing w:before="60" w:after="0" w:line="240" w:lineRule="auto"/>
              <w:rPr>
                <w:rFonts w:ascii="Times New Roman" w:eastAsia="Calibri" w:hAnsi="Times New Roman"/>
                <w:sz w:val="20"/>
                <w:szCs w:val="20"/>
              </w:rPr>
            </w:pPr>
            <w:r w:rsidRPr="00174D62">
              <w:rPr>
                <w:rFonts w:ascii="Times New Roman" w:eastAsia="Calibri" w:hAnsi="Times New Roman"/>
                <w:sz w:val="20"/>
                <w:szCs w:val="20"/>
              </w:rPr>
              <w:t>Fat content (%)</w:t>
            </w:r>
          </w:p>
        </w:tc>
        <w:tc>
          <w:tcPr>
            <w:tcW w:w="1427" w:type="dxa"/>
            <w:shd w:val="clear" w:color="auto" w:fill="auto"/>
            <w:vAlign w:val="center"/>
          </w:tcPr>
          <w:p w:rsidR="00174D62" w:rsidRPr="00174D62" w:rsidRDefault="00174D62" w:rsidP="00174D62">
            <w:pPr>
              <w:spacing w:before="60" w:after="0" w:line="240" w:lineRule="auto"/>
              <w:jc w:val="center"/>
              <w:rPr>
                <w:rFonts w:ascii="Times New Roman" w:eastAsia="Calibri" w:hAnsi="Times New Roman"/>
                <w:sz w:val="20"/>
                <w:szCs w:val="20"/>
              </w:rPr>
            </w:pPr>
            <w:r w:rsidRPr="00174D62">
              <w:rPr>
                <w:rFonts w:ascii="Times New Roman" w:eastAsia="Calibri" w:hAnsi="Times New Roman"/>
                <w:sz w:val="20"/>
                <w:szCs w:val="20"/>
              </w:rPr>
              <w:t>6.43±0.09</w:t>
            </w:r>
          </w:p>
        </w:tc>
        <w:tc>
          <w:tcPr>
            <w:tcW w:w="2407" w:type="dxa"/>
            <w:shd w:val="clear" w:color="auto" w:fill="auto"/>
            <w:vAlign w:val="center"/>
          </w:tcPr>
          <w:p w:rsidR="00174D62" w:rsidRPr="00174D62" w:rsidRDefault="00174D62" w:rsidP="00174D62">
            <w:pPr>
              <w:spacing w:before="60" w:after="0" w:line="240" w:lineRule="auto"/>
              <w:jc w:val="center"/>
              <w:rPr>
                <w:rFonts w:ascii="Times New Roman" w:eastAsia="Calibri" w:hAnsi="Times New Roman"/>
                <w:sz w:val="20"/>
                <w:szCs w:val="20"/>
              </w:rPr>
            </w:pPr>
            <w:r w:rsidRPr="00174D62">
              <w:rPr>
                <w:rFonts w:ascii="Times New Roman" w:eastAsia="Calibri" w:hAnsi="Times New Roman"/>
                <w:sz w:val="20"/>
                <w:szCs w:val="20"/>
              </w:rPr>
              <w:t>3.43±0.11</w:t>
            </w:r>
          </w:p>
        </w:tc>
      </w:tr>
      <w:tr w:rsidR="00174D62" w:rsidRPr="00174D62" w:rsidTr="00174D62">
        <w:trPr>
          <w:trHeight w:val="61"/>
          <w:jc w:val="center"/>
        </w:trPr>
        <w:tc>
          <w:tcPr>
            <w:tcW w:w="3042" w:type="dxa"/>
            <w:tcBorders>
              <w:bottom w:val="single" w:sz="4" w:space="0" w:color="auto"/>
            </w:tcBorders>
            <w:shd w:val="clear" w:color="auto" w:fill="auto"/>
            <w:vAlign w:val="center"/>
          </w:tcPr>
          <w:p w:rsidR="00174D62" w:rsidRPr="00174D62" w:rsidRDefault="00174D62" w:rsidP="00174D62">
            <w:pPr>
              <w:spacing w:before="60" w:after="0" w:line="240" w:lineRule="auto"/>
              <w:rPr>
                <w:rFonts w:ascii="Times New Roman" w:eastAsia="Calibri" w:hAnsi="Times New Roman"/>
                <w:sz w:val="20"/>
                <w:szCs w:val="20"/>
              </w:rPr>
            </w:pPr>
            <w:r w:rsidRPr="00174D62">
              <w:rPr>
                <w:rFonts w:ascii="Times New Roman" w:eastAsia="Calibri" w:hAnsi="Times New Roman"/>
                <w:sz w:val="20"/>
                <w:szCs w:val="20"/>
              </w:rPr>
              <w:t>Water holding capacity (ml/g)</w:t>
            </w:r>
          </w:p>
        </w:tc>
        <w:tc>
          <w:tcPr>
            <w:tcW w:w="1427" w:type="dxa"/>
            <w:tcBorders>
              <w:bottom w:val="single" w:sz="4" w:space="0" w:color="auto"/>
            </w:tcBorders>
            <w:shd w:val="clear" w:color="auto" w:fill="auto"/>
            <w:vAlign w:val="center"/>
          </w:tcPr>
          <w:p w:rsidR="00174D62" w:rsidRPr="00174D62" w:rsidRDefault="00174D62" w:rsidP="00174D62">
            <w:pPr>
              <w:spacing w:before="60" w:after="0" w:line="240" w:lineRule="auto"/>
              <w:jc w:val="center"/>
              <w:rPr>
                <w:rFonts w:ascii="Times New Roman" w:eastAsia="Calibri" w:hAnsi="Times New Roman"/>
                <w:sz w:val="20"/>
                <w:szCs w:val="20"/>
              </w:rPr>
            </w:pPr>
            <w:r w:rsidRPr="00174D62">
              <w:rPr>
                <w:rFonts w:ascii="Times New Roman" w:eastAsia="Calibri" w:hAnsi="Times New Roman"/>
                <w:sz w:val="20"/>
                <w:szCs w:val="20"/>
              </w:rPr>
              <w:t>-</w:t>
            </w:r>
          </w:p>
        </w:tc>
        <w:tc>
          <w:tcPr>
            <w:tcW w:w="2407" w:type="dxa"/>
            <w:tcBorders>
              <w:bottom w:val="single" w:sz="4" w:space="0" w:color="auto"/>
            </w:tcBorders>
            <w:shd w:val="clear" w:color="auto" w:fill="auto"/>
            <w:vAlign w:val="center"/>
          </w:tcPr>
          <w:p w:rsidR="00174D62" w:rsidRPr="00174D62" w:rsidRDefault="00174D62" w:rsidP="00174D62">
            <w:pPr>
              <w:spacing w:before="60" w:after="60" w:line="240" w:lineRule="auto"/>
              <w:jc w:val="center"/>
              <w:rPr>
                <w:rFonts w:ascii="Times New Roman" w:eastAsia="Calibri" w:hAnsi="Times New Roman"/>
                <w:sz w:val="20"/>
                <w:szCs w:val="20"/>
              </w:rPr>
            </w:pPr>
            <w:r w:rsidRPr="00174D62">
              <w:rPr>
                <w:rFonts w:ascii="Times New Roman" w:eastAsia="Calibri" w:hAnsi="Times New Roman"/>
                <w:sz w:val="20"/>
                <w:szCs w:val="20"/>
              </w:rPr>
              <w:t>4.60±0.25</w:t>
            </w:r>
          </w:p>
        </w:tc>
      </w:tr>
    </w:tbl>
    <w:p w:rsidR="00174D62" w:rsidRPr="00174D62" w:rsidRDefault="00174D62" w:rsidP="00174D62">
      <w:pPr>
        <w:spacing w:before="60" w:after="0" w:line="240" w:lineRule="auto"/>
        <w:jc w:val="both"/>
        <w:rPr>
          <w:rFonts w:ascii="Times New Roman" w:eastAsia="Calibri" w:hAnsi="Times New Roman"/>
          <w:sz w:val="18"/>
          <w:szCs w:val="18"/>
        </w:rPr>
      </w:pPr>
      <w:r w:rsidRPr="00174D62">
        <w:rPr>
          <w:rFonts w:ascii="Times New Roman" w:eastAsia="Calibri" w:hAnsi="Times New Roman"/>
          <w:sz w:val="20"/>
          <w:szCs w:val="20"/>
          <w:vertAlign w:val="superscript"/>
        </w:rPr>
        <w:t xml:space="preserve">                                       </w:t>
      </w:r>
      <w:r w:rsidRPr="00174D62">
        <w:rPr>
          <w:rFonts w:ascii="Times New Roman" w:eastAsia="Calibri" w:hAnsi="Times New Roman"/>
          <w:sz w:val="18"/>
          <w:szCs w:val="18"/>
          <w:vertAlign w:val="superscript"/>
        </w:rPr>
        <w:t>a</w:t>
      </w:r>
      <w:r w:rsidRPr="00174D62">
        <w:rPr>
          <w:rFonts w:ascii="Times New Roman" w:eastAsia="Calibri" w:hAnsi="Times New Roman"/>
          <w:sz w:val="18"/>
          <w:szCs w:val="18"/>
        </w:rPr>
        <w:t>Mean ± SD from triplicate determination.</w:t>
      </w:r>
    </w:p>
    <w:p w:rsidR="00174D62" w:rsidRDefault="00174D62" w:rsidP="00174D62">
      <w:pPr>
        <w:spacing w:after="0" w:line="240" w:lineRule="auto"/>
        <w:jc w:val="both"/>
        <w:rPr>
          <w:rFonts w:ascii="Times New Roman" w:eastAsia="Calibri" w:hAnsi="Times New Roman"/>
          <w:sz w:val="20"/>
          <w:szCs w:val="20"/>
        </w:rPr>
      </w:pPr>
    </w:p>
    <w:p w:rsidR="00174D62" w:rsidRPr="00174D62" w:rsidRDefault="00174D62" w:rsidP="00174D62">
      <w:pPr>
        <w:spacing w:after="0" w:line="240" w:lineRule="auto"/>
        <w:jc w:val="both"/>
        <w:rPr>
          <w:rFonts w:ascii="Times New Roman" w:eastAsia="Calibri" w:hAnsi="Times New Roman"/>
          <w:sz w:val="20"/>
          <w:szCs w:val="20"/>
        </w:rPr>
      </w:pPr>
    </w:p>
    <w:p w:rsidR="00174D62" w:rsidRPr="00174D62" w:rsidRDefault="00174D62" w:rsidP="00174D62">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Fat content in the angelwing flesh (6.43 %) was higher compared to the hydrolysate (3.43 %). As the hydrolysis proceeds, the muscle cell membranes tended to roundup and form insoluble vesicles leading to the removal of membrane structured lipid [25]. The insoluble fraction (vesicles) was separated from the soluble hydrolysate in the form of pellet by centrifugation and removed prior to spray-drying [26]. Thus higher DH lead to higher fat removal.</w:t>
      </w:r>
    </w:p>
    <w:p w:rsidR="00174D62" w:rsidRPr="00174D62" w:rsidRDefault="00174D62" w:rsidP="00174D62">
      <w:pPr>
        <w:spacing w:after="0" w:line="240" w:lineRule="auto"/>
        <w:jc w:val="both"/>
        <w:rPr>
          <w:rFonts w:ascii="Times New Roman" w:eastAsia="Calibri" w:hAnsi="Times New Roman"/>
          <w:sz w:val="20"/>
          <w:szCs w:val="20"/>
        </w:rPr>
      </w:pPr>
    </w:p>
    <w:p w:rsidR="00174D62" w:rsidRPr="00174D62" w:rsidRDefault="00174D62" w:rsidP="00174D62">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The water-protein interaction is important factor for functional properties of proteins in food systems [27]</w:t>
      </w:r>
      <w:r w:rsidRPr="00174D62">
        <w:rPr>
          <w:rFonts w:ascii="Times New Roman" w:eastAsia="Calibri" w:hAnsi="Times New Roman"/>
          <w:bCs/>
          <w:sz w:val="20"/>
          <w:szCs w:val="20"/>
        </w:rPr>
        <w:t xml:space="preserve">. In this studies water holding capacity on powdered angelwing hydrolysate was 4.60 ml/g (Table 1). According to </w:t>
      </w:r>
      <w:r w:rsidRPr="00174D62">
        <w:rPr>
          <w:rFonts w:ascii="Times New Roman" w:eastAsia="Calibri" w:hAnsi="Times New Roman"/>
          <w:sz w:val="20"/>
          <w:szCs w:val="20"/>
        </w:rPr>
        <w:t xml:space="preserve">Amiza et </w:t>
      </w:r>
      <w:r w:rsidRPr="00174D62">
        <w:rPr>
          <w:rFonts w:ascii="Times New Roman" w:eastAsia="Calibri" w:hAnsi="Times New Roman"/>
          <w:sz w:val="20"/>
          <w:szCs w:val="20"/>
        </w:rPr>
        <w:lastRenderedPageBreak/>
        <w:t>al. [25] water holding capacity increased with an increased in degree of hydrolysis. Besides, at higher hydrolysis, polar groups such as COOH and NH</w:t>
      </w:r>
      <w:r w:rsidRPr="00174D62">
        <w:rPr>
          <w:rFonts w:ascii="Times New Roman" w:eastAsia="Calibri" w:hAnsi="Times New Roman"/>
          <w:sz w:val="20"/>
          <w:szCs w:val="20"/>
          <w:vertAlign w:val="subscript"/>
        </w:rPr>
        <w:t>2</w:t>
      </w:r>
      <w:r w:rsidRPr="00174D62">
        <w:rPr>
          <w:rFonts w:ascii="Times New Roman" w:eastAsia="Calibri" w:hAnsi="Times New Roman"/>
          <w:sz w:val="20"/>
          <w:szCs w:val="20"/>
        </w:rPr>
        <w:t xml:space="preserve"> increased thus gave significant effects on water absorption and tend to exert better water-holding capacity [22]. In this study the functional group analysis showed that NH group peak was higher in angelwing hydrolysate compared to the flesh thus support the finding by Kristinsson and Rasco [28]. Water holding capacity of partly unfolded and hydrolysed proteins is greater than that of the native proteins due to an increase in surface area to mass ratio with an exposure of some previously buried hydrophobic groups [29, 26]. Low-molecular weight peptides from high extent of enzymatic hydrolysis also appeared to be more effective in water-holding capacity than larger size peptides as smaller fragments of peptides are possibly more hydrophilic [30].</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220EF" w:rsidRPr="005220EF" w:rsidRDefault="005220EF" w:rsidP="005220EF">
      <w:pPr>
        <w:spacing w:after="0" w:line="240" w:lineRule="auto"/>
        <w:jc w:val="both"/>
        <w:rPr>
          <w:rFonts w:ascii="Times New Roman" w:hAnsi="Times New Roman"/>
          <w:sz w:val="20"/>
          <w:szCs w:val="20"/>
        </w:rPr>
      </w:pPr>
      <w:r w:rsidRPr="005220EF">
        <w:rPr>
          <w:rFonts w:ascii="Times New Roman" w:hAnsi="Times New Roman"/>
          <w:sz w:val="20"/>
          <w:szCs w:val="20"/>
        </w:rPr>
        <w:t>Angelwing hydrolysate has a potential to be good source of food ingredient. However the uses of bromelain in the preparation of angelwing hydrolysate resulted in bitter taste. Thus, further studies may need to be carried out using simple technique of debittering which can enhance the application of angelwing hydrolysate in the food industry.</w:t>
      </w:r>
    </w:p>
    <w:p w:rsidR="006768E9" w:rsidRPr="005220EF" w:rsidRDefault="006768E9" w:rsidP="005220EF">
      <w:pPr>
        <w:spacing w:after="0" w:line="240" w:lineRule="auto"/>
        <w:jc w:val="center"/>
        <w:rPr>
          <w:rFonts w:ascii="Times New Roman" w:hAnsi="Times New Roman"/>
          <w:noProof/>
          <w:sz w:val="20"/>
          <w:szCs w:val="20"/>
          <w:lang w:bidi="ar-SA"/>
        </w:rPr>
      </w:pPr>
    </w:p>
    <w:p w:rsidR="006768E9" w:rsidRPr="005220EF" w:rsidRDefault="002B3BD8" w:rsidP="005220EF">
      <w:pPr>
        <w:spacing w:after="0" w:line="240" w:lineRule="auto"/>
        <w:jc w:val="center"/>
        <w:rPr>
          <w:rFonts w:ascii="Times New Roman" w:hAnsi="Times New Roman"/>
          <w:b/>
          <w:noProof/>
          <w:sz w:val="20"/>
          <w:szCs w:val="20"/>
          <w:lang w:bidi="ar-SA"/>
        </w:rPr>
      </w:pPr>
      <w:r w:rsidRPr="005220EF">
        <w:rPr>
          <w:rFonts w:ascii="Times New Roman" w:hAnsi="Times New Roman"/>
          <w:b/>
          <w:noProof/>
          <w:sz w:val="20"/>
          <w:szCs w:val="20"/>
          <w:lang w:bidi="ar-SA"/>
        </w:rPr>
        <w:t>Acknowledgement</w:t>
      </w:r>
    </w:p>
    <w:p w:rsidR="006768E9" w:rsidRPr="005220EF" w:rsidRDefault="005220EF" w:rsidP="005220EF">
      <w:pPr>
        <w:spacing w:after="0" w:line="240" w:lineRule="auto"/>
        <w:jc w:val="both"/>
        <w:rPr>
          <w:rFonts w:ascii="Times New Roman" w:hAnsi="Times New Roman"/>
          <w:sz w:val="20"/>
          <w:szCs w:val="20"/>
        </w:rPr>
      </w:pPr>
      <w:r w:rsidRPr="005220EF">
        <w:rPr>
          <w:rFonts w:ascii="Times New Roman" w:hAnsi="Times New Roman"/>
          <w:sz w:val="20"/>
          <w:szCs w:val="20"/>
        </w:rPr>
        <w:t>The authors would like to thank for all the laboratory staff of Food Technology Department and facilities provided from Faculty of Applied Science, Universiti Teknologi Mara (UiTM), Shah Alam Campus.</w:t>
      </w:r>
    </w:p>
    <w:p w:rsidR="006768E9" w:rsidRPr="005220EF" w:rsidRDefault="006768E9" w:rsidP="005220E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Berthou, P., Poutiers, J. M., Goulletquer, P. and Dao, J.C. (2009).</w:t>
      </w:r>
      <w:r w:rsidRPr="005220EF">
        <w:rPr>
          <w:rFonts w:ascii="Times New Roman" w:hAnsi="Times New Roman"/>
          <w:sz w:val="20"/>
          <w:szCs w:val="20"/>
        </w:rPr>
        <w:t xml:space="preserve"> Shelled molluscs, in fisheries and agricultural from encyclopedia of life support systems (EOLSS), </w:t>
      </w:r>
      <w:r w:rsidRPr="005220EF">
        <w:rPr>
          <w:rFonts w:ascii="Times New Roman" w:eastAsia="Calibri" w:hAnsi="Times New Roman"/>
          <w:sz w:val="20"/>
          <w:szCs w:val="20"/>
        </w:rPr>
        <w:t>Developed under the Auspices of the UNESCO, Eolss Publishers, Oxford, UK, 1-19.</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Bee Wah, N. (2009). </w:t>
      </w:r>
      <w:r w:rsidRPr="005220EF">
        <w:rPr>
          <w:rFonts w:ascii="Times New Roman" w:hAnsi="Times New Roman"/>
          <w:sz w:val="20"/>
          <w:szCs w:val="20"/>
        </w:rPr>
        <w:t xml:space="preserve">Biological aspect and development of larvae and juvenile of the angelwing clam </w:t>
      </w:r>
      <w:r w:rsidRPr="005220EF">
        <w:rPr>
          <w:rFonts w:ascii="Times New Roman" w:hAnsi="Times New Roman"/>
          <w:i/>
          <w:sz w:val="20"/>
          <w:szCs w:val="20"/>
        </w:rPr>
        <w:t xml:space="preserve">Pholas orientalis </w:t>
      </w:r>
      <w:r w:rsidRPr="005220EF">
        <w:rPr>
          <w:rFonts w:ascii="Times New Roman" w:hAnsi="Times New Roman"/>
          <w:sz w:val="20"/>
          <w:szCs w:val="20"/>
        </w:rPr>
        <w:t xml:space="preserve">(Gmeline, 1971). </w:t>
      </w:r>
      <w:r w:rsidRPr="005220EF">
        <w:rPr>
          <w:rFonts w:ascii="Times New Roman" w:eastAsia="Calibri" w:hAnsi="Times New Roman"/>
          <w:sz w:val="20"/>
          <w:szCs w:val="20"/>
        </w:rPr>
        <w:t>Georgetown, Penang: Universiti Sains Malaysia, MSc Thesis, 1-24.</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Herpandi, N., Huda, A., Rosma, A. and Wan Nadiah, W. A. </w:t>
      </w:r>
      <w:r w:rsidRPr="005220EF">
        <w:rPr>
          <w:rFonts w:ascii="Times New Roman" w:hAnsi="Times New Roman"/>
          <w:sz w:val="20"/>
          <w:szCs w:val="20"/>
        </w:rPr>
        <w:t>(2012). Degree of hydrolysis and free tryptophan content of skipjack tuna (</w:t>
      </w:r>
      <w:r w:rsidRPr="005220EF">
        <w:rPr>
          <w:rFonts w:ascii="Times New Roman" w:hAnsi="Times New Roman"/>
          <w:i/>
          <w:sz w:val="20"/>
          <w:szCs w:val="20"/>
        </w:rPr>
        <w:t>Katsuwonus pelamis</w:t>
      </w:r>
      <w:r w:rsidRPr="005220EF">
        <w:rPr>
          <w:rFonts w:ascii="Times New Roman" w:hAnsi="Times New Roman"/>
          <w:sz w:val="20"/>
          <w:szCs w:val="20"/>
        </w:rPr>
        <w:t xml:space="preserve">) protein hydrolysates produced with different type of industrial proteases. </w:t>
      </w:r>
      <w:r w:rsidRPr="005220EF">
        <w:rPr>
          <w:rFonts w:ascii="Times New Roman" w:eastAsia="Calibri" w:hAnsi="Times New Roman"/>
          <w:sz w:val="20"/>
          <w:szCs w:val="20"/>
        </w:rPr>
        <w:t xml:space="preserve"> </w:t>
      </w:r>
      <w:r w:rsidRPr="005220EF">
        <w:rPr>
          <w:rFonts w:ascii="Times New Roman" w:eastAsia="Calibri" w:hAnsi="Times New Roman"/>
          <w:i/>
          <w:sz w:val="20"/>
          <w:szCs w:val="20"/>
        </w:rPr>
        <w:t>International Food Research Journal</w:t>
      </w:r>
      <w:r w:rsidRPr="005220EF">
        <w:rPr>
          <w:rFonts w:ascii="Times New Roman" w:eastAsia="Calibri" w:hAnsi="Times New Roman"/>
          <w:sz w:val="20"/>
          <w:szCs w:val="20"/>
        </w:rPr>
        <w:t>, 19(3): 863 – 867.</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Jin, W-G., Wu, H-T., Zhu, B-W. and Ran</w:t>
      </w:r>
      <w:r w:rsidRPr="005220EF">
        <w:rPr>
          <w:rFonts w:ascii="Times New Roman" w:hAnsi="Times New Roman"/>
          <w:sz w:val="20"/>
          <w:szCs w:val="20"/>
        </w:rPr>
        <w:t>,</w:t>
      </w:r>
      <w:r w:rsidRPr="005220EF">
        <w:rPr>
          <w:rFonts w:ascii="Times New Roman" w:eastAsia="Calibri" w:hAnsi="Times New Roman"/>
          <w:sz w:val="20"/>
          <w:szCs w:val="20"/>
        </w:rPr>
        <w:t xml:space="preserve"> X-Q. (2012).</w:t>
      </w:r>
      <w:r w:rsidRPr="005220EF">
        <w:rPr>
          <w:rFonts w:ascii="Times New Roman" w:hAnsi="Times New Roman"/>
          <w:sz w:val="20"/>
          <w:szCs w:val="20"/>
        </w:rPr>
        <w:t xml:space="preserve"> Functional properties of gelation-like protein hydrolysates from scallop (</w:t>
      </w:r>
      <w:r w:rsidRPr="005220EF">
        <w:rPr>
          <w:rFonts w:ascii="Times New Roman" w:hAnsi="Times New Roman"/>
          <w:i/>
          <w:sz w:val="20"/>
          <w:szCs w:val="20"/>
        </w:rPr>
        <w:t>Patinopecten yessoensis</w:t>
      </w:r>
      <w:r w:rsidRPr="005220EF">
        <w:rPr>
          <w:rFonts w:ascii="Times New Roman" w:hAnsi="Times New Roman"/>
          <w:sz w:val="20"/>
          <w:szCs w:val="20"/>
        </w:rPr>
        <w:t>) male gonad</w:t>
      </w:r>
      <w:r w:rsidRPr="005220EF">
        <w:rPr>
          <w:rFonts w:ascii="Times New Roman" w:eastAsia="Calibri" w:hAnsi="Times New Roman"/>
          <w:sz w:val="20"/>
          <w:szCs w:val="20"/>
        </w:rPr>
        <w:t xml:space="preserve">. </w:t>
      </w:r>
      <w:r w:rsidRPr="005220EF">
        <w:rPr>
          <w:rFonts w:ascii="Times New Roman" w:eastAsia="Calibri" w:hAnsi="Times New Roman"/>
          <w:i/>
          <w:sz w:val="20"/>
          <w:szCs w:val="20"/>
        </w:rPr>
        <w:t>European Food Research and Technology</w:t>
      </w:r>
      <w:r w:rsidRPr="005220EF">
        <w:rPr>
          <w:rFonts w:ascii="Times New Roman" w:eastAsia="Calibri" w:hAnsi="Times New Roman"/>
          <w:sz w:val="20"/>
          <w:szCs w:val="20"/>
        </w:rPr>
        <w:t>, 234(5): 863 – 872.</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Zhou, D-Y., Zhua, B-W., Qiao, L., Wua, H-T., Lia, D-M., Yanga, J-F. and Murata, Y. (2012).  </w:t>
      </w:r>
      <w:r w:rsidRPr="005220EF">
        <w:rPr>
          <w:rFonts w:ascii="Times New Roman" w:hAnsi="Times New Roman"/>
          <w:sz w:val="20"/>
          <w:szCs w:val="20"/>
        </w:rPr>
        <w:t>In vitro antioxidant activity of enzymatic hydrolysates prepared from abalone (</w:t>
      </w:r>
      <w:r w:rsidRPr="005220EF">
        <w:rPr>
          <w:rFonts w:ascii="Times New Roman" w:hAnsi="Times New Roman"/>
          <w:i/>
          <w:sz w:val="20"/>
          <w:szCs w:val="20"/>
        </w:rPr>
        <w:t>Haliotis discus hannai Ino</w:t>
      </w:r>
      <w:r w:rsidRPr="005220EF">
        <w:rPr>
          <w:rFonts w:ascii="Times New Roman" w:hAnsi="Times New Roman"/>
          <w:sz w:val="20"/>
          <w:szCs w:val="20"/>
        </w:rPr>
        <w:t xml:space="preserve">) viscera. </w:t>
      </w:r>
      <w:r w:rsidRPr="005220EF">
        <w:rPr>
          <w:rFonts w:ascii="Times New Roman" w:eastAsia="Calibri" w:hAnsi="Times New Roman"/>
          <w:i/>
          <w:sz w:val="20"/>
          <w:szCs w:val="20"/>
        </w:rPr>
        <w:t>Food and Bioproducts Processing</w:t>
      </w:r>
      <w:r w:rsidRPr="005220EF">
        <w:rPr>
          <w:rFonts w:ascii="Times New Roman" w:eastAsia="Calibri" w:hAnsi="Times New Roman"/>
          <w:sz w:val="20"/>
          <w:szCs w:val="20"/>
        </w:rPr>
        <w:t>, 90: 148 – 154.</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Normah, I., Siti Hafsah, M. S. and Nurul Izzaira, A. (2013). </w:t>
      </w:r>
      <w:r w:rsidRPr="005220EF">
        <w:rPr>
          <w:rFonts w:ascii="Times New Roman" w:hAnsi="Times New Roman"/>
          <w:sz w:val="20"/>
          <w:szCs w:val="20"/>
        </w:rPr>
        <w:t>Bitterness of green mussel (</w:t>
      </w:r>
      <w:r w:rsidRPr="005220EF">
        <w:rPr>
          <w:rFonts w:ascii="Times New Roman" w:hAnsi="Times New Roman"/>
          <w:i/>
          <w:sz w:val="20"/>
          <w:szCs w:val="20"/>
        </w:rPr>
        <w:t>Perna viridis</w:t>
      </w:r>
      <w:r w:rsidRPr="005220EF">
        <w:rPr>
          <w:rFonts w:ascii="Times New Roman" w:hAnsi="Times New Roman"/>
          <w:sz w:val="20"/>
          <w:szCs w:val="20"/>
        </w:rPr>
        <w:t>) hydrolysate as influenced by the degree of hydrolysis</w:t>
      </w:r>
      <w:r w:rsidRPr="005220EF">
        <w:rPr>
          <w:rFonts w:ascii="Times New Roman" w:eastAsia="Calibri" w:hAnsi="Times New Roman"/>
          <w:sz w:val="20"/>
          <w:szCs w:val="20"/>
        </w:rPr>
        <w:t xml:space="preserve">. </w:t>
      </w:r>
      <w:r w:rsidRPr="005220EF">
        <w:rPr>
          <w:rFonts w:ascii="Times New Roman" w:eastAsia="Calibri" w:hAnsi="Times New Roman"/>
          <w:i/>
          <w:sz w:val="20"/>
          <w:szCs w:val="20"/>
        </w:rPr>
        <w:t>Food Research International Journal</w:t>
      </w:r>
      <w:r w:rsidRPr="005220EF">
        <w:rPr>
          <w:rFonts w:ascii="Times New Roman" w:eastAsia="Calibri" w:hAnsi="Times New Roman"/>
          <w:sz w:val="20"/>
          <w:szCs w:val="20"/>
        </w:rPr>
        <w:t>, 20(5): 2261 – 2268.</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Nilsang, S., Lertsiri, S., Suphantharika, M. and Assavanig, A. (2005). </w:t>
      </w:r>
      <w:r w:rsidRPr="005220EF">
        <w:rPr>
          <w:rFonts w:ascii="Times New Roman" w:hAnsi="Times New Roman"/>
          <w:sz w:val="20"/>
          <w:szCs w:val="20"/>
        </w:rPr>
        <w:t xml:space="preserve">Optimization of enzymatic hydrolysis of fish soluble concentrate by commercial proteases. </w:t>
      </w:r>
      <w:r w:rsidRPr="005220EF">
        <w:rPr>
          <w:rFonts w:ascii="Times New Roman" w:eastAsia="Calibri" w:hAnsi="Times New Roman"/>
          <w:i/>
          <w:sz w:val="20"/>
          <w:szCs w:val="20"/>
        </w:rPr>
        <w:t>Journal Food Engineering</w:t>
      </w:r>
      <w:r w:rsidRPr="005220EF">
        <w:rPr>
          <w:rFonts w:ascii="Times New Roman" w:eastAsia="Calibri" w:hAnsi="Times New Roman"/>
          <w:sz w:val="20"/>
          <w:szCs w:val="20"/>
        </w:rPr>
        <w:t>, 70(4): 571 – 578.</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Ramos de Armas, R., Diaz, H. G., Molina, R., Gonzalez, M. P. and Uriarte, E.  (2004).</w:t>
      </w:r>
      <w:r w:rsidRPr="005220EF">
        <w:rPr>
          <w:rFonts w:ascii="Times New Roman" w:hAnsi="Times New Roman"/>
          <w:sz w:val="20"/>
          <w:szCs w:val="20"/>
        </w:rPr>
        <w:t xml:space="preserve"> Stochastic based descriptors studying peptides biological properties: modelling the bitter tasting threshold of peptides.</w:t>
      </w:r>
      <w:r w:rsidRPr="005220EF">
        <w:rPr>
          <w:rFonts w:ascii="Times New Roman" w:eastAsia="Calibri" w:hAnsi="Times New Roman"/>
          <w:sz w:val="20"/>
          <w:szCs w:val="20"/>
        </w:rPr>
        <w:t xml:space="preserve"> </w:t>
      </w:r>
      <w:r w:rsidRPr="005220EF">
        <w:rPr>
          <w:rFonts w:ascii="Times New Roman" w:eastAsia="Calibri" w:hAnsi="Times New Roman"/>
          <w:i/>
          <w:sz w:val="20"/>
          <w:szCs w:val="20"/>
        </w:rPr>
        <w:t>Biorganic and Medicinal Chemistry</w:t>
      </w:r>
      <w:r w:rsidRPr="005220EF">
        <w:rPr>
          <w:rFonts w:ascii="Times New Roman" w:eastAsia="Calibri" w:hAnsi="Times New Roman"/>
          <w:sz w:val="20"/>
          <w:szCs w:val="20"/>
        </w:rPr>
        <w:t>, 12: 4815 – 4822.</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Normah, I. and Nurfazlika Nashrah M. P.  (2013). Evaluation</w:t>
      </w:r>
      <w:r w:rsidRPr="005220EF">
        <w:rPr>
          <w:rFonts w:ascii="Times New Roman" w:hAnsi="Times New Roman"/>
          <w:sz w:val="20"/>
          <w:szCs w:val="20"/>
        </w:rPr>
        <w:t xml:space="preserve"> on the properties of mentarang (</w:t>
      </w:r>
      <w:r w:rsidRPr="005220EF">
        <w:rPr>
          <w:rFonts w:ascii="Times New Roman" w:hAnsi="Times New Roman"/>
          <w:i/>
          <w:sz w:val="20"/>
          <w:szCs w:val="20"/>
        </w:rPr>
        <w:t>Pholas orientalis</w:t>
      </w:r>
      <w:r w:rsidRPr="005220EF">
        <w:rPr>
          <w:rFonts w:ascii="Times New Roman" w:hAnsi="Times New Roman"/>
          <w:sz w:val="20"/>
          <w:szCs w:val="20"/>
        </w:rPr>
        <w:t xml:space="preserve">) protein hydrolysate. </w:t>
      </w:r>
      <w:r w:rsidRPr="005220EF">
        <w:rPr>
          <w:rFonts w:ascii="Times New Roman" w:eastAsia="Calibri" w:hAnsi="Times New Roman"/>
          <w:sz w:val="20"/>
          <w:szCs w:val="20"/>
        </w:rPr>
        <w:t xml:space="preserve"> </w:t>
      </w:r>
      <w:r w:rsidRPr="005220EF">
        <w:rPr>
          <w:rFonts w:ascii="Times New Roman" w:eastAsia="Calibri" w:hAnsi="Times New Roman"/>
          <w:i/>
          <w:sz w:val="20"/>
          <w:szCs w:val="20"/>
        </w:rPr>
        <w:t>Journal of Tropical Agricultural Science</w:t>
      </w:r>
      <w:r w:rsidRPr="005220EF">
        <w:rPr>
          <w:rFonts w:ascii="Times New Roman" w:eastAsia="Calibri" w:hAnsi="Times New Roman"/>
          <w:sz w:val="20"/>
          <w:szCs w:val="20"/>
        </w:rPr>
        <w:t>, 36 (2): 199 – 210.</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bCs/>
          <w:sz w:val="20"/>
          <w:szCs w:val="20"/>
        </w:rPr>
        <w:t xml:space="preserve">Silvestre, M. P. C., Morais, H. A., Silva, V. D. M. and Silva, M. R. (2013).  Degree of hydrolysis and peptide profile of whey proteins using pancreatin. </w:t>
      </w:r>
      <w:r w:rsidRPr="005220EF">
        <w:rPr>
          <w:rFonts w:ascii="Times New Roman" w:eastAsia="Calibri" w:hAnsi="Times New Roman"/>
          <w:i/>
          <w:sz w:val="20"/>
          <w:szCs w:val="20"/>
        </w:rPr>
        <w:t>Journal of the Brazilian Society for Food and Nutrition</w:t>
      </w:r>
      <w:r w:rsidRPr="005220EF">
        <w:rPr>
          <w:rFonts w:ascii="Times New Roman" w:eastAsia="Calibri" w:hAnsi="Times New Roman"/>
          <w:sz w:val="20"/>
          <w:szCs w:val="20"/>
        </w:rPr>
        <w:t xml:space="preserve">, </w:t>
      </w:r>
      <w:r w:rsidRPr="005220EF">
        <w:rPr>
          <w:rFonts w:ascii="Times New Roman" w:eastAsia="Calibri" w:hAnsi="Times New Roman"/>
          <w:bCs/>
          <w:sz w:val="20"/>
          <w:szCs w:val="20"/>
        </w:rPr>
        <w:t>38(3):278 – 290.</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AOAC. (2005). Official methods of analysis of international (16th ed.). Washington, DC: Association of Official Analytical Chemist.</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Hartree, E. F.  (1972). Determination of proteins: A modification of the lowry method that give a linear photometric response. </w:t>
      </w:r>
      <w:r w:rsidRPr="005220EF">
        <w:rPr>
          <w:rFonts w:ascii="Times New Roman" w:eastAsia="Calibri" w:hAnsi="Times New Roman"/>
          <w:i/>
          <w:sz w:val="20"/>
          <w:szCs w:val="20"/>
        </w:rPr>
        <w:t>Analytical Biochemistry</w:t>
      </w:r>
      <w:r w:rsidRPr="005220EF">
        <w:rPr>
          <w:rFonts w:ascii="Times New Roman" w:eastAsia="Calibri" w:hAnsi="Times New Roman"/>
          <w:sz w:val="20"/>
          <w:szCs w:val="20"/>
        </w:rPr>
        <w:t>, 48: 422 – 427.</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lang w:val="en-MY"/>
        </w:rPr>
        <w:t xml:space="preserve">Diniz, F. M. and Martin, A. M. </w:t>
      </w:r>
      <w:r w:rsidRPr="005220EF">
        <w:rPr>
          <w:rFonts w:ascii="Times New Roman" w:eastAsia="Calibri" w:hAnsi="Times New Roman"/>
          <w:sz w:val="20"/>
          <w:szCs w:val="20"/>
        </w:rPr>
        <w:t xml:space="preserve">(1997). Effects of the extent of enzymatic hydrolysis on functional properties of shark protein hydrolysate. </w:t>
      </w:r>
      <w:r w:rsidRPr="005220EF">
        <w:rPr>
          <w:rFonts w:ascii="Times New Roman" w:eastAsia="Calibri" w:hAnsi="Times New Roman"/>
          <w:i/>
          <w:sz w:val="20"/>
          <w:szCs w:val="20"/>
          <w:lang w:val="en-MY"/>
        </w:rPr>
        <w:t>Lebensmittel Wissenschaft and Technologies</w:t>
      </w:r>
      <w:r w:rsidRPr="005220EF">
        <w:rPr>
          <w:rFonts w:ascii="Times New Roman" w:eastAsia="Calibri" w:hAnsi="Times New Roman"/>
          <w:sz w:val="20"/>
          <w:szCs w:val="20"/>
          <w:lang w:val="en-MY"/>
        </w:rPr>
        <w:t>, 30: 266 – 272.</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lastRenderedPageBreak/>
        <w:t xml:space="preserve">Haslaniza, H., Maskat, M. Y.   and Wan Aida, W. M. </w:t>
      </w:r>
      <w:r w:rsidRPr="005220EF">
        <w:rPr>
          <w:rFonts w:ascii="Times New Roman" w:eastAsia="Calibri" w:hAnsi="Times New Roman"/>
          <w:bCs/>
          <w:sz w:val="20"/>
          <w:szCs w:val="20"/>
        </w:rPr>
        <w:t xml:space="preserve">(2010). </w:t>
      </w:r>
      <w:r w:rsidRPr="005220EF">
        <w:rPr>
          <w:rFonts w:ascii="Times New Roman" w:hAnsi="Times New Roman"/>
          <w:sz w:val="20"/>
          <w:szCs w:val="20"/>
        </w:rPr>
        <w:t>The effects of enzyme concentration, temperature and incubation time on nitrogen content and degree of hydrolysis of protein precipitate from cockle (</w:t>
      </w:r>
      <w:r w:rsidRPr="005220EF">
        <w:rPr>
          <w:rFonts w:ascii="Times New Roman" w:hAnsi="Times New Roman"/>
          <w:i/>
          <w:iCs/>
          <w:sz w:val="20"/>
          <w:szCs w:val="20"/>
        </w:rPr>
        <w:t>Anadara granosa</w:t>
      </w:r>
      <w:r w:rsidRPr="005220EF">
        <w:rPr>
          <w:rFonts w:ascii="Times New Roman" w:hAnsi="Times New Roman"/>
          <w:sz w:val="20"/>
          <w:szCs w:val="20"/>
        </w:rPr>
        <w:t xml:space="preserve">) meat wash water. </w:t>
      </w:r>
      <w:r w:rsidRPr="005220EF">
        <w:rPr>
          <w:rFonts w:ascii="Times New Roman" w:hAnsi="Times New Roman"/>
          <w:i/>
          <w:iCs/>
          <w:sz w:val="20"/>
          <w:szCs w:val="20"/>
        </w:rPr>
        <w:t xml:space="preserve">International Food Research Journal </w:t>
      </w:r>
      <w:r w:rsidRPr="005220EF">
        <w:rPr>
          <w:rFonts w:ascii="Times New Roman" w:hAnsi="Times New Roman"/>
          <w:bCs/>
          <w:sz w:val="20"/>
          <w:szCs w:val="20"/>
        </w:rPr>
        <w:t>17</w:t>
      </w:r>
      <w:r w:rsidRPr="005220EF">
        <w:rPr>
          <w:rFonts w:ascii="Times New Roman" w:hAnsi="Times New Roman"/>
          <w:sz w:val="20"/>
          <w:szCs w:val="20"/>
        </w:rPr>
        <w:t>: 147 – 152.</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Bhaskar, N., Benila, T., Radha, C. and Lalitha, R. G. (2008). </w:t>
      </w:r>
      <w:hyperlink r:id="rId13" w:history="1">
        <w:r w:rsidRPr="005220EF">
          <w:rPr>
            <w:rFonts w:ascii="Times New Roman" w:hAnsi="Times New Roman"/>
            <w:sz w:val="20"/>
            <w:szCs w:val="20"/>
            <w:shd w:val="clear" w:color="auto" w:fill="FFFFFF"/>
          </w:rPr>
          <w:t>Protein hydrolysate from visceral waste proteins of catla (</w:t>
        </w:r>
        <w:r w:rsidRPr="005220EF">
          <w:rPr>
            <w:rFonts w:ascii="Times New Roman" w:hAnsi="Times New Roman"/>
            <w:i/>
            <w:sz w:val="20"/>
            <w:szCs w:val="20"/>
            <w:shd w:val="clear" w:color="auto" w:fill="FFFFFF"/>
          </w:rPr>
          <w:t>Catla catla</w:t>
        </w:r>
        <w:r w:rsidRPr="005220EF">
          <w:rPr>
            <w:rFonts w:ascii="Times New Roman" w:hAnsi="Times New Roman"/>
            <w:sz w:val="20"/>
            <w:szCs w:val="20"/>
            <w:shd w:val="clear" w:color="auto" w:fill="FFFFFF"/>
          </w:rPr>
          <w:t>): Optimization of hydrolysis conditions for a commercial neutral protease</w:t>
        </w:r>
      </w:hyperlink>
      <w:r w:rsidRPr="005220EF">
        <w:rPr>
          <w:rFonts w:ascii="Times New Roman" w:hAnsi="Times New Roman"/>
          <w:sz w:val="20"/>
          <w:szCs w:val="20"/>
          <w:shd w:val="clear" w:color="auto" w:fill="FFFFFF"/>
        </w:rPr>
        <w:t xml:space="preserve">. </w:t>
      </w:r>
      <w:r w:rsidRPr="005220EF">
        <w:rPr>
          <w:rFonts w:ascii="Times New Roman" w:eastAsia="Calibri" w:hAnsi="Times New Roman"/>
          <w:i/>
          <w:iCs/>
          <w:sz w:val="20"/>
          <w:szCs w:val="20"/>
        </w:rPr>
        <w:t>Bioresource Technology</w:t>
      </w:r>
      <w:r w:rsidRPr="005220EF">
        <w:rPr>
          <w:rFonts w:ascii="Times New Roman" w:eastAsia="Calibri" w:hAnsi="Times New Roman"/>
          <w:iCs/>
          <w:sz w:val="20"/>
          <w:szCs w:val="20"/>
        </w:rPr>
        <w:t>, 99</w:t>
      </w:r>
      <w:r w:rsidRPr="005220EF">
        <w:rPr>
          <w:rFonts w:ascii="Times New Roman" w:eastAsia="Calibri" w:hAnsi="Times New Roman"/>
          <w:sz w:val="20"/>
          <w:szCs w:val="20"/>
        </w:rPr>
        <w:t xml:space="preserve"> (10): 4105 – 4111.</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bCs/>
          <w:sz w:val="20"/>
          <w:szCs w:val="20"/>
        </w:rPr>
        <w:t>Himonides, A. T.</w:t>
      </w:r>
      <w:r w:rsidRPr="005220EF">
        <w:rPr>
          <w:rFonts w:ascii="Times New Roman" w:eastAsia="Calibri" w:hAnsi="Times New Roman"/>
          <w:b/>
          <w:bCs/>
          <w:sz w:val="20"/>
          <w:szCs w:val="20"/>
        </w:rPr>
        <w:t xml:space="preserve">, </w:t>
      </w:r>
      <w:r w:rsidRPr="005220EF">
        <w:rPr>
          <w:rFonts w:ascii="Times New Roman" w:eastAsia="Calibri" w:hAnsi="Times New Roman"/>
          <w:bCs/>
          <w:sz w:val="20"/>
          <w:szCs w:val="20"/>
        </w:rPr>
        <w:t xml:space="preserve">Taylor, A. K. D. and Morris, A. J.  (2011). A study of Enzymatic Hydrolysis of Fish Frames Using Model System. </w:t>
      </w:r>
      <w:r w:rsidRPr="005220EF">
        <w:rPr>
          <w:rFonts w:ascii="Times New Roman" w:eastAsia="Calibri" w:hAnsi="Times New Roman"/>
          <w:bCs/>
          <w:iCs/>
          <w:sz w:val="20"/>
          <w:szCs w:val="20"/>
        </w:rPr>
        <w:t xml:space="preserve"> </w:t>
      </w:r>
      <w:r w:rsidRPr="005220EF">
        <w:rPr>
          <w:rFonts w:ascii="Times New Roman" w:eastAsia="Calibri" w:hAnsi="Times New Roman"/>
          <w:bCs/>
          <w:i/>
          <w:iCs/>
          <w:sz w:val="20"/>
          <w:szCs w:val="20"/>
        </w:rPr>
        <w:t>Food and Nutrition Sciences</w:t>
      </w:r>
      <w:r w:rsidRPr="005220EF">
        <w:rPr>
          <w:rFonts w:ascii="Times New Roman" w:eastAsia="Calibri" w:hAnsi="Times New Roman"/>
          <w:bCs/>
          <w:sz w:val="20"/>
          <w:szCs w:val="20"/>
        </w:rPr>
        <w:t>, 2: 575 – 585.</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bCs/>
          <w:sz w:val="20"/>
          <w:szCs w:val="20"/>
        </w:rPr>
        <w:t xml:space="preserve">Seo, W. W. H., Lee, H. G. and Baek, H. H. (2008). Evaluation of bitterness in enzymatic hydrolysates of soy protein isolate by taste dilution analysis.  </w:t>
      </w:r>
      <w:r w:rsidRPr="005220EF">
        <w:rPr>
          <w:rFonts w:ascii="Times New Roman" w:eastAsia="Calibri" w:hAnsi="Times New Roman"/>
          <w:bCs/>
          <w:i/>
          <w:sz w:val="20"/>
          <w:szCs w:val="20"/>
        </w:rPr>
        <w:t>Journal of Food Science</w:t>
      </w:r>
      <w:r w:rsidRPr="005220EF">
        <w:rPr>
          <w:rFonts w:ascii="Times New Roman" w:eastAsia="Calibri" w:hAnsi="Times New Roman"/>
          <w:bCs/>
          <w:sz w:val="20"/>
          <w:szCs w:val="20"/>
        </w:rPr>
        <w:t>, 73: 41 – 46.</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Imelda, W.Y.C. (2007)</w:t>
      </w:r>
      <w:r w:rsidRPr="005220EF">
        <w:rPr>
          <w:rFonts w:ascii="Times New Roman" w:hAnsi="Times New Roman"/>
          <w:sz w:val="20"/>
          <w:szCs w:val="20"/>
        </w:rPr>
        <w:t>. Bitterness in enzymatically-produced hydrolysates of commercial shrimp (</w:t>
      </w:r>
      <w:r w:rsidRPr="005220EF">
        <w:rPr>
          <w:rFonts w:ascii="Times New Roman" w:hAnsi="Times New Roman"/>
          <w:i/>
          <w:sz w:val="20"/>
          <w:szCs w:val="20"/>
        </w:rPr>
        <w:t>Pandalopsis dispar</w:t>
      </w:r>
      <w:r w:rsidRPr="005220EF">
        <w:rPr>
          <w:rFonts w:ascii="Times New Roman" w:hAnsi="Times New Roman"/>
          <w:sz w:val="20"/>
          <w:szCs w:val="20"/>
        </w:rPr>
        <w:t>) processing waste.</w:t>
      </w:r>
      <w:r w:rsidRPr="005220EF">
        <w:rPr>
          <w:rFonts w:ascii="Times New Roman" w:eastAsia="Calibri" w:hAnsi="Times New Roman"/>
          <w:sz w:val="20"/>
          <w:szCs w:val="20"/>
        </w:rPr>
        <w:t xml:space="preserve"> Kelowna, Canada: University of British Columbia, MSc thesis, 15 –185.</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Jeffery, R. B., Mary, B., Charlotte, B., Marie, S., Kristen, H., Mark, E. J. and James, L. S. (2002). Contribution of </w:t>
      </w:r>
      <w:r w:rsidRPr="005220EF">
        <w:rPr>
          <w:rFonts w:ascii="Times New Roman" w:eastAsia="Calibri" w:hAnsi="Times New Roman"/>
          <w:i/>
          <w:sz w:val="20"/>
          <w:szCs w:val="20"/>
        </w:rPr>
        <w:t>Lactococcus lactis</w:t>
      </w:r>
      <w:r w:rsidRPr="005220EF">
        <w:rPr>
          <w:rFonts w:ascii="Times New Roman" w:eastAsia="Calibri" w:hAnsi="Times New Roman"/>
          <w:sz w:val="20"/>
          <w:szCs w:val="20"/>
        </w:rPr>
        <w:t xml:space="preserve"> cell envelope proteinase specificity to peptide accumulation and bitterness in reduced-fat cheddar cheese. </w:t>
      </w:r>
      <w:r w:rsidRPr="005220EF">
        <w:rPr>
          <w:rFonts w:ascii="Times New Roman" w:eastAsia="Calibri" w:hAnsi="Times New Roman"/>
          <w:i/>
          <w:sz w:val="20"/>
          <w:szCs w:val="20"/>
        </w:rPr>
        <w:t>Applied and Environmental Microbiology</w:t>
      </w:r>
      <w:r w:rsidRPr="005220EF">
        <w:rPr>
          <w:rFonts w:ascii="Times New Roman" w:eastAsia="Calibri" w:hAnsi="Times New Roman"/>
          <w:sz w:val="20"/>
          <w:szCs w:val="20"/>
        </w:rPr>
        <w:t>, 68(4): 1778 – 1785.</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Kristinsson, H. G. and Rasco, B. A. (2000). Fish protein hydrolysates: Production, biochemical and functional properties</w:t>
      </w:r>
      <w:r w:rsidRPr="005220EF">
        <w:rPr>
          <w:rFonts w:ascii="Times New Roman" w:eastAsia="Calibri" w:hAnsi="Times New Roman"/>
          <w:i/>
          <w:sz w:val="20"/>
          <w:szCs w:val="20"/>
        </w:rPr>
        <w:t>. Critical Reviews in Food Science and Nutrition</w:t>
      </w:r>
      <w:r w:rsidRPr="005220EF">
        <w:rPr>
          <w:rFonts w:ascii="Times New Roman" w:eastAsia="Calibri" w:hAnsi="Times New Roman"/>
          <w:sz w:val="20"/>
          <w:szCs w:val="20"/>
        </w:rPr>
        <w:t>, 40: 43 – 81.</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Agrawal, V. A. and Chiddarwar, A. P.  (2010). Taste abatement techniques to improve palatability of oral pharmaceuticals: A Review. </w:t>
      </w:r>
      <w:r w:rsidRPr="005220EF">
        <w:rPr>
          <w:rFonts w:ascii="Times New Roman" w:eastAsia="Calibri" w:hAnsi="Times New Roman"/>
          <w:i/>
          <w:sz w:val="20"/>
          <w:szCs w:val="20"/>
        </w:rPr>
        <w:t>International Journal of Pharmaceutical Research Development</w:t>
      </w:r>
      <w:r w:rsidRPr="005220EF">
        <w:rPr>
          <w:rFonts w:ascii="Times New Roman" w:eastAsia="Calibri" w:hAnsi="Times New Roman"/>
          <w:sz w:val="20"/>
          <w:szCs w:val="20"/>
        </w:rPr>
        <w:t>, 2: 1 – 10.</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Oliver, C. M., Kher, A., McNaughton, D. and Augustin, M. A.  (2009). Use of FTIR and mass spectrometry for characterization of glycated caseins.  </w:t>
      </w:r>
      <w:r w:rsidRPr="005220EF">
        <w:rPr>
          <w:rFonts w:ascii="Times New Roman" w:eastAsia="Calibri" w:hAnsi="Times New Roman"/>
          <w:i/>
          <w:sz w:val="20"/>
          <w:szCs w:val="20"/>
        </w:rPr>
        <w:t>Journal Dairy Research</w:t>
      </w:r>
      <w:r w:rsidRPr="005220EF">
        <w:rPr>
          <w:rFonts w:ascii="Times New Roman" w:eastAsia="Calibri" w:hAnsi="Times New Roman"/>
          <w:sz w:val="20"/>
          <w:szCs w:val="20"/>
        </w:rPr>
        <w:t>, 76: 105 – 110.</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Charalambous, G. and Inglett, G. (2012). Instrumental analysis of food, Recent progress Vol 1. Academic Press. Inc., Fifth Avenue, New York, 315 – 316.</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Dalgleish, D. G. and Hunt J. A.  (1995). Protein-protein interactions in Food Materials, in Gaonkar, A.G. editor. Ingredient interactions effect on food quality. Marcel Dekker, Inc, 199 – 205.</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Amiza, M. A., Ow, Y. W. and Faazaz A. L. (2013).</w:t>
      </w:r>
      <w:r w:rsidRPr="005220EF">
        <w:rPr>
          <w:rFonts w:ascii="Times New Roman" w:hAnsi="Times New Roman"/>
          <w:sz w:val="20"/>
          <w:szCs w:val="20"/>
        </w:rPr>
        <w:t xml:space="preserve"> Physicochemical properties of silver catfish (</w:t>
      </w:r>
      <w:r w:rsidRPr="005220EF">
        <w:rPr>
          <w:rFonts w:ascii="Times New Roman" w:hAnsi="Times New Roman"/>
          <w:i/>
          <w:sz w:val="20"/>
          <w:szCs w:val="20"/>
        </w:rPr>
        <w:t xml:space="preserve">Pangasius </w:t>
      </w:r>
      <w:r w:rsidRPr="005220EF">
        <w:rPr>
          <w:rFonts w:ascii="Times New Roman" w:hAnsi="Times New Roman"/>
          <w:sz w:val="20"/>
          <w:szCs w:val="20"/>
        </w:rPr>
        <w:t xml:space="preserve">sp.) frame hydrolysate. </w:t>
      </w:r>
      <w:r w:rsidRPr="005220EF">
        <w:rPr>
          <w:rFonts w:ascii="Times New Roman" w:hAnsi="Times New Roman"/>
          <w:i/>
          <w:sz w:val="20"/>
          <w:szCs w:val="20"/>
        </w:rPr>
        <w:t>International Food Research Journal</w:t>
      </w:r>
      <w:r w:rsidRPr="005220EF">
        <w:rPr>
          <w:rFonts w:ascii="Times New Roman" w:hAnsi="Times New Roman"/>
          <w:sz w:val="20"/>
          <w:szCs w:val="20"/>
        </w:rPr>
        <w:t xml:space="preserve">, </w:t>
      </w:r>
      <w:r w:rsidRPr="005220EF">
        <w:rPr>
          <w:rFonts w:ascii="Times New Roman" w:eastAsia="Calibri" w:hAnsi="Times New Roman"/>
          <w:sz w:val="20"/>
          <w:szCs w:val="20"/>
        </w:rPr>
        <w:t>20(3):1255 – 1262.</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bCs/>
          <w:sz w:val="20"/>
          <w:szCs w:val="20"/>
        </w:rPr>
        <w:t xml:space="preserve">Shahidi, F., Han, X. Q. and Synowiecki, J. (1995). Production and characteristics of protein hydrolysates from capelin. </w:t>
      </w:r>
      <w:r w:rsidRPr="005220EF">
        <w:rPr>
          <w:rFonts w:ascii="Times New Roman" w:eastAsia="Calibri" w:hAnsi="Times New Roman"/>
          <w:bCs/>
          <w:i/>
          <w:sz w:val="20"/>
          <w:szCs w:val="20"/>
        </w:rPr>
        <w:t>Food Chemistry</w:t>
      </w:r>
      <w:r w:rsidRPr="005220EF">
        <w:rPr>
          <w:rFonts w:ascii="Times New Roman" w:eastAsia="Calibri" w:hAnsi="Times New Roman"/>
          <w:bCs/>
          <w:sz w:val="20"/>
          <w:szCs w:val="20"/>
        </w:rPr>
        <w:t>, 53: 285 – 293.</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bCs/>
          <w:sz w:val="20"/>
          <w:szCs w:val="20"/>
        </w:rPr>
        <w:t>Kelfala Foh, M. B., Amodou, I., Mabel Foh, B., Kamara, M. T. and Xia, W.  (2010).</w:t>
      </w:r>
      <w:r w:rsidRPr="005220EF">
        <w:rPr>
          <w:rFonts w:ascii="Times New Roman" w:hAnsi="Times New Roman"/>
          <w:kern w:val="36"/>
          <w:sz w:val="20"/>
          <w:szCs w:val="20"/>
        </w:rPr>
        <w:t xml:space="preserve"> </w:t>
      </w:r>
      <w:r w:rsidRPr="005220EF">
        <w:rPr>
          <w:rFonts w:ascii="Times New Roman" w:eastAsia="Calibri" w:hAnsi="Times New Roman"/>
          <w:bCs/>
          <w:sz w:val="20"/>
          <w:szCs w:val="20"/>
        </w:rPr>
        <w:t>Functionality and antioxidant properties of tilapia (</w:t>
      </w:r>
      <w:r w:rsidRPr="005220EF">
        <w:rPr>
          <w:rFonts w:ascii="Times New Roman" w:eastAsia="Calibri" w:hAnsi="Times New Roman"/>
          <w:bCs/>
          <w:i/>
          <w:iCs/>
          <w:sz w:val="20"/>
          <w:szCs w:val="20"/>
        </w:rPr>
        <w:t>Oreochromis niloticus</w:t>
      </w:r>
      <w:r w:rsidRPr="005220EF">
        <w:rPr>
          <w:rFonts w:ascii="Times New Roman" w:eastAsia="Calibri" w:hAnsi="Times New Roman"/>
          <w:bCs/>
          <w:sz w:val="20"/>
          <w:szCs w:val="20"/>
        </w:rPr>
        <w:t xml:space="preserve">) as influenced by the degree of hydrolysis. </w:t>
      </w:r>
      <w:r w:rsidRPr="005220EF">
        <w:rPr>
          <w:rFonts w:ascii="Times New Roman" w:eastAsia="Calibri" w:hAnsi="Times New Roman"/>
          <w:bCs/>
          <w:i/>
          <w:sz w:val="20"/>
          <w:szCs w:val="20"/>
        </w:rPr>
        <w:t>International Journal of Molecular Science</w:t>
      </w:r>
      <w:r w:rsidRPr="005220EF">
        <w:rPr>
          <w:rFonts w:ascii="Times New Roman" w:eastAsia="Calibri" w:hAnsi="Times New Roman"/>
          <w:bCs/>
          <w:sz w:val="20"/>
          <w:szCs w:val="20"/>
        </w:rPr>
        <w:t xml:space="preserve">, </w:t>
      </w:r>
      <w:r w:rsidRPr="005220EF">
        <w:rPr>
          <w:rFonts w:ascii="Times New Roman" w:eastAsia="Calibri" w:hAnsi="Times New Roman"/>
          <w:iCs/>
          <w:sz w:val="20"/>
          <w:szCs w:val="20"/>
        </w:rPr>
        <w:t xml:space="preserve">11 </w:t>
      </w:r>
      <w:r w:rsidRPr="005220EF">
        <w:rPr>
          <w:rFonts w:ascii="Times New Roman" w:eastAsia="Calibri" w:hAnsi="Times New Roman"/>
          <w:sz w:val="20"/>
          <w:szCs w:val="20"/>
        </w:rPr>
        <w:t>(4): 1851 – 1869.</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Kristinsson, H. G. and Rasco, B. A.  (2000). </w:t>
      </w:r>
      <w:hyperlink r:id="rId14" w:history="1">
        <w:r w:rsidRPr="005220EF">
          <w:rPr>
            <w:rFonts w:ascii="Times New Roman" w:hAnsi="Times New Roman"/>
            <w:sz w:val="20"/>
            <w:szCs w:val="20"/>
            <w:shd w:val="clear" w:color="auto" w:fill="FFFFFF"/>
          </w:rPr>
          <w:t>Biochemical and functional properties of Atlantic salmon (</w:t>
        </w:r>
        <w:r w:rsidRPr="005220EF">
          <w:rPr>
            <w:rFonts w:ascii="Times New Roman" w:hAnsi="Times New Roman"/>
            <w:i/>
            <w:sz w:val="20"/>
            <w:szCs w:val="20"/>
            <w:shd w:val="clear" w:color="auto" w:fill="FFFFFF"/>
          </w:rPr>
          <w:t>Salmo salar</w:t>
        </w:r>
        <w:r w:rsidRPr="005220EF">
          <w:rPr>
            <w:rFonts w:ascii="Times New Roman" w:hAnsi="Times New Roman"/>
            <w:sz w:val="20"/>
            <w:szCs w:val="20"/>
            <w:shd w:val="clear" w:color="auto" w:fill="FFFFFF"/>
          </w:rPr>
          <w:t>) muscle proteins hydrolyzed with various alkaline proteases</w:t>
        </w:r>
      </w:hyperlink>
      <w:r w:rsidRPr="005220EF">
        <w:rPr>
          <w:rFonts w:ascii="Times New Roman" w:hAnsi="Times New Roman"/>
          <w:sz w:val="20"/>
          <w:szCs w:val="20"/>
        </w:rPr>
        <w:t xml:space="preserve">. </w:t>
      </w:r>
      <w:r w:rsidRPr="005220EF">
        <w:rPr>
          <w:rFonts w:ascii="Times New Roman" w:eastAsia="Calibri" w:hAnsi="Times New Roman"/>
          <w:i/>
          <w:iCs/>
          <w:sz w:val="20"/>
          <w:szCs w:val="20"/>
        </w:rPr>
        <w:t>Journal of Agricultural &amp; Food Chemistry</w:t>
      </w:r>
      <w:r w:rsidRPr="005220EF">
        <w:rPr>
          <w:rFonts w:ascii="Times New Roman" w:eastAsia="Calibri" w:hAnsi="Times New Roman"/>
          <w:iCs/>
          <w:sz w:val="20"/>
          <w:szCs w:val="20"/>
        </w:rPr>
        <w:t>, 48(3)</w:t>
      </w:r>
      <w:r w:rsidRPr="005220EF">
        <w:rPr>
          <w:rFonts w:ascii="Times New Roman" w:eastAsia="Calibri" w:hAnsi="Times New Roman"/>
          <w:sz w:val="20"/>
          <w:szCs w:val="20"/>
        </w:rPr>
        <w:t>: 657 – 666.</w:t>
      </w:r>
    </w:p>
    <w:p w:rsidR="005220EF" w:rsidRPr="007B5426" w:rsidRDefault="005220EF" w:rsidP="005220EF">
      <w:pPr>
        <w:pStyle w:val="ListParagraph"/>
        <w:numPr>
          <w:ilvl w:val="0"/>
          <w:numId w:val="2"/>
        </w:numPr>
        <w:spacing w:after="0" w:line="240" w:lineRule="auto"/>
        <w:ind w:left="360"/>
        <w:contextualSpacing w:val="0"/>
        <w:jc w:val="both"/>
        <w:rPr>
          <w:rFonts w:ascii="Times New Roman" w:eastAsia="Calibri" w:hAnsi="Times New Roman"/>
          <w:szCs w:val="20"/>
        </w:rPr>
      </w:pPr>
      <w:r w:rsidRPr="005220EF">
        <w:rPr>
          <w:rFonts w:ascii="Times New Roman" w:eastAsia="Calibri" w:hAnsi="Times New Roman"/>
          <w:sz w:val="20"/>
          <w:szCs w:val="20"/>
        </w:rPr>
        <w:t>Damodaran,S., Parkin, K. L. and Fennema, O. R. (2007). Fennema’s food chemistry in amino acids, peptides and proteins. (4</w:t>
      </w:r>
      <w:r w:rsidRPr="005220EF">
        <w:rPr>
          <w:rFonts w:ascii="Times New Roman" w:eastAsia="Calibri" w:hAnsi="Times New Roman"/>
          <w:sz w:val="20"/>
          <w:szCs w:val="20"/>
          <w:vertAlign w:val="superscript"/>
        </w:rPr>
        <w:t>th</w:t>
      </w:r>
      <w:r w:rsidRPr="005220EF">
        <w:rPr>
          <w:rFonts w:ascii="Times New Roman" w:eastAsia="Calibri" w:hAnsi="Times New Roman"/>
          <w:sz w:val="20"/>
          <w:szCs w:val="20"/>
        </w:rPr>
        <w:t xml:space="preserve"> edition). CRC Press Taylor and Francis Group, Boca Raton, 321 – 43</w:t>
      </w:r>
      <w:r w:rsidRPr="007B5426">
        <w:rPr>
          <w:rFonts w:ascii="Times New Roman" w:eastAsia="Calibri" w:hAnsi="Times New Roman"/>
          <w:szCs w:val="20"/>
        </w:rPr>
        <w:t>0.</w:t>
      </w:r>
    </w:p>
    <w:p w:rsidR="005220EF" w:rsidRPr="005220EF" w:rsidRDefault="005220EF" w:rsidP="005220EF">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Cumby, N., Zhong, Y., Naczk, M. and Shahidi, F. (2007). Antioxidant activity and water-holding capacity of canola protein hydrolysates. </w:t>
      </w:r>
      <w:r w:rsidRPr="005220EF">
        <w:rPr>
          <w:rFonts w:ascii="Times New Roman" w:eastAsia="Calibri" w:hAnsi="Times New Roman"/>
          <w:i/>
          <w:sz w:val="20"/>
          <w:szCs w:val="20"/>
        </w:rPr>
        <w:t>Journal of Food Chemistry</w:t>
      </w:r>
      <w:r w:rsidRPr="005220EF">
        <w:rPr>
          <w:rFonts w:ascii="Times New Roman" w:eastAsia="Calibri" w:hAnsi="Times New Roman"/>
          <w:sz w:val="20"/>
          <w:szCs w:val="20"/>
        </w:rPr>
        <w:t>, 109: 144 – 148.</w:t>
      </w:r>
    </w:p>
    <w:p w:rsidR="00A74A7E" w:rsidRPr="005220EF" w:rsidRDefault="00A74A7E" w:rsidP="005220EF">
      <w:pPr>
        <w:spacing w:after="0" w:line="240" w:lineRule="auto"/>
        <w:jc w:val="both"/>
        <w:rPr>
          <w:rFonts w:ascii="Times New Roman" w:hAnsi="Times New Roman"/>
          <w:noProof/>
          <w:sz w:val="20"/>
          <w:szCs w:val="20"/>
          <w:lang w:bidi="ar-SA"/>
        </w:rPr>
      </w:pPr>
    </w:p>
    <w:sectPr w:rsidR="00A74A7E" w:rsidRPr="005220EF" w:rsidSect="00DE312A">
      <w:headerReference w:type="even" r:id="rId15"/>
      <w:headerReference w:type="default" r:id="rId16"/>
      <w:footerReference w:type="even" r:id="rId17"/>
      <w:footerReference w:type="default" r:id="rId18"/>
      <w:pgSz w:w="12240" w:h="15840" w:code="1"/>
      <w:pgMar w:top="1800" w:right="1469" w:bottom="1699" w:left="1440" w:header="706" w:footer="706" w:gutter="0"/>
      <w:pgNumType w:start="59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8514F2">
          <w:rPr>
            <w:rFonts w:ascii="Times New Roman" w:hAnsi="Times New Roman"/>
            <w:noProof/>
          </w:rPr>
          <w:t>598</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8514F2">
          <w:rPr>
            <w:rFonts w:ascii="Times New Roman" w:hAnsi="Times New Roman"/>
            <w:noProof/>
          </w:rPr>
          <w:t>593</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D62" w:rsidRPr="00174D62" w:rsidRDefault="00174D62" w:rsidP="00174D62">
    <w:pPr>
      <w:spacing w:after="0" w:line="240" w:lineRule="auto"/>
      <w:ind w:left="2250" w:hanging="2250"/>
      <w:rPr>
        <w:rFonts w:ascii="Times New Roman" w:hAnsi="Times New Roman"/>
        <w:sz w:val="20"/>
        <w:szCs w:val="20"/>
      </w:rPr>
    </w:pPr>
    <w:r w:rsidRPr="00174D62">
      <w:rPr>
        <w:rFonts w:ascii="Times New Roman" w:hAnsi="Times New Roman"/>
        <w:sz w:val="20"/>
        <w:szCs w:val="20"/>
      </w:rPr>
      <w:t>Normah &amp; Nurul Fasihah</w:t>
    </w:r>
    <w:r w:rsidR="006B72B0" w:rsidRPr="00174D62">
      <w:rPr>
        <w:rFonts w:ascii="Times New Roman" w:hAnsi="Times New Roman"/>
        <w:sz w:val="20"/>
        <w:szCs w:val="20"/>
      </w:rPr>
      <w:t xml:space="preserve">: </w:t>
    </w:r>
    <w:r w:rsidRPr="00174D62">
      <w:rPr>
        <w:rFonts w:ascii="Times New Roman" w:hAnsi="Times New Roman"/>
        <w:sz w:val="20"/>
        <w:szCs w:val="20"/>
      </w:rPr>
      <w:t xml:space="preserve">  BITTERNESS AND PHYSICHOCHEMICAL PROPERTIES OF ANGELWING CLAM (</w:t>
    </w:r>
    <w:r w:rsidRPr="00174D62">
      <w:rPr>
        <w:rFonts w:ascii="Times New Roman" w:hAnsi="Times New Roman"/>
        <w:i/>
        <w:sz w:val="20"/>
        <w:szCs w:val="20"/>
      </w:rPr>
      <w:t>Pholas orientalis</w:t>
    </w:r>
    <w:r w:rsidRPr="00174D62">
      <w:rPr>
        <w:rFonts w:ascii="Times New Roman" w:hAnsi="Times New Roman"/>
        <w:sz w:val="20"/>
        <w:szCs w:val="20"/>
      </w:rPr>
      <w:t>) HYDROLYSATE</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28516A">
      <w:rPr>
        <w:rFonts w:ascii="Times New Roman" w:hAnsi="Times New Roman"/>
        <w:i/>
        <w:lang w:val="en-US"/>
      </w:rPr>
      <w:t>No 3</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DE312A">
      <w:rPr>
        <w:rFonts w:ascii="Times New Roman" w:hAnsi="Times New Roman"/>
        <w:i/>
        <w:lang w:val="en-US"/>
      </w:rPr>
      <w:t>593</w:t>
    </w:r>
    <w:r>
      <w:rPr>
        <w:rFonts w:ascii="Times New Roman" w:hAnsi="Times New Roman"/>
        <w:i/>
        <w:lang w:val="en-US"/>
      </w:rPr>
      <w:t xml:space="preserve"> </w:t>
    </w:r>
    <w:r w:rsidR="00584A9B">
      <w:rPr>
        <w:rFonts w:ascii="Times New Roman" w:hAnsi="Times New Roman"/>
        <w:i/>
        <w:lang w:val="en-US"/>
      </w:rPr>
      <w:t>–</w:t>
    </w:r>
    <w:r w:rsidR="008566D6">
      <w:rPr>
        <w:rFonts w:ascii="Times New Roman" w:hAnsi="Times New Roman"/>
        <w:i/>
        <w:lang w:val="en-US"/>
      </w:rPr>
      <w:t xml:space="preserve"> </w:t>
    </w:r>
    <w:r w:rsidR="00DE312A">
      <w:rPr>
        <w:rFonts w:ascii="Times New Roman" w:hAnsi="Times New Roman"/>
        <w:i/>
        <w:lang w:val="en-US"/>
      </w:rPr>
      <w:t>599</w:t>
    </w:r>
  </w:p>
  <w:p w:rsidR="00584A9B" w:rsidRPr="00433D4D" w:rsidRDefault="00433D4D" w:rsidP="00584A9B">
    <w:pPr>
      <w:pStyle w:val="Header"/>
      <w:jc w:val="right"/>
      <w:rPr>
        <w:rFonts w:ascii="Times New Roman" w:hAnsi="Times New Roman"/>
        <w:i/>
        <w:lang w:val="en-US"/>
      </w:rPr>
    </w:pPr>
    <w:r>
      <w:rPr>
        <w:rFonts w:ascii="Times New Roman" w:hAnsi="Times New Roman"/>
        <w:i/>
      </w:rPr>
      <w:t>DOI:  http://dx.doi.org/10.17576/mjas-2016-2003-1</w:t>
    </w:r>
    <w:r>
      <w:rPr>
        <w:rFonts w:ascii="Times New Roman" w:hAnsi="Times New Roman"/>
        <w:i/>
        <w:lang w:val="en-US"/>
      </w:rPr>
      <w:t>9</w:t>
    </w:r>
  </w:p>
  <w:p w:rsidR="00584A9B" w:rsidRPr="00584A9B" w:rsidRDefault="00584A9B" w:rsidP="00584A9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15A75BE"/>
    <w:multiLevelType w:val="hybridMultilevel"/>
    <w:tmpl w:val="7654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5A9"/>
    <w:rsid w:val="00016385"/>
    <w:rsid w:val="00084936"/>
    <w:rsid w:val="000C49FF"/>
    <w:rsid w:val="000F77DA"/>
    <w:rsid w:val="001068E8"/>
    <w:rsid w:val="00106E7E"/>
    <w:rsid w:val="00117BCD"/>
    <w:rsid w:val="00147CD5"/>
    <w:rsid w:val="00174D62"/>
    <w:rsid w:val="001D035A"/>
    <w:rsid w:val="001D3855"/>
    <w:rsid w:val="001D6F2C"/>
    <w:rsid w:val="00253F77"/>
    <w:rsid w:val="00281D65"/>
    <w:rsid w:val="0028516A"/>
    <w:rsid w:val="002B188F"/>
    <w:rsid w:val="002B3BD8"/>
    <w:rsid w:val="002F3F91"/>
    <w:rsid w:val="00304767"/>
    <w:rsid w:val="00304B34"/>
    <w:rsid w:val="00331953"/>
    <w:rsid w:val="00361BAF"/>
    <w:rsid w:val="00367D1F"/>
    <w:rsid w:val="0039241A"/>
    <w:rsid w:val="003972AD"/>
    <w:rsid w:val="003D585B"/>
    <w:rsid w:val="003E0220"/>
    <w:rsid w:val="003E0260"/>
    <w:rsid w:val="003E7DA6"/>
    <w:rsid w:val="003F12FF"/>
    <w:rsid w:val="00433D4D"/>
    <w:rsid w:val="004760D4"/>
    <w:rsid w:val="00494C46"/>
    <w:rsid w:val="004B43FF"/>
    <w:rsid w:val="00502641"/>
    <w:rsid w:val="005220EF"/>
    <w:rsid w:val="00583520"/>
    <w:rsid w:val="00584A9B"/>
    <w:rsid w:val="005C6768"/>
    <w:rsid w:val="005E4871"/>
    <w:rsid w:val="0063266C"/>
    <w:rsid w:val="00634C25"/>
    <w:rsid w:val="006416AB"/>
    <w:rsid w:val="006768E9"/>
    <w:rsid w:val="0068778F"/>
    <w:rsid w:val="00687982"/>
    <w:rsid w:val="006B3EC8"/>
    <w:rsid w:val="006B72B0"/>
    <w:rsid w:val="006D695E"/>
    <w:rsid w:val="00725A6A"/>
    <w:rsid w:val="007943F3"/>
    <w:rsid w:val="007A738C"/>
    <w:rsid w:val="007B1349"/>
    <w:rsid w:val="007E25BD"/>
    <w:rsid w:val="00802C35"/>
    <w:rsid w:val="0082181A"/>
    <w:rsid w:val="00846BA2"/>
    <w:rsid w:val="008514F2"/>
    <w:rsid w:val="008566D6"/>
    <w:rsid w:val="008B470E"/>
    <w:rsid w:val="008E1211"/>
    <w:rsid w:val="008E5BBF"/>
    <w:rsid w:val="008E6968"/>
    <w:rsid w:val="00A14DB9"/>
    <w:rsid w:val="00A27C6F"/>
    <w:rsid w:val="00A4762A"/>
    <w:rsid w:val="00A74A7E"/>
    <w:rsid w:val="00AD1B8A"/>
    <w:rsid w:val="00AE713F"/>
    <w:rsid w:val="00B1121C"/>
    <w:rsid w:val="00B25B65"/>
    <w:rsid w:val="00B2770A"/>
    <w:rsid w:val="00B314AD"/>
    <w:rsid w:val="00B75BF6"/>
    <w:rsid w:val="00BA1F7B"/>
    <w:rsid w:val="00BB58AF"/>
    <w:rsid w:val="00BB65A5"/>
    <w:rsid w:val="00BE36EA"/>
    <w:rsid w:val="00BE7C30"/>
    <w:rsid w:val="00C01598"/>
    <w:rsid w:val="00C055BF"/>
    <w:rsid w:val="00C2226A"/>
    <w:rsid w:val="00C34F52"/>
    <w:rsid w:val="00C94D92"/>
    <w:rsid w:val="00C97340"/>
    <w:rsid w:val="00CA513F"/>
    <w:rsid w:val="00CF05FF"/>
    <w:rsid w:val="00D14FDD"/>
    <w:rsid w:val="00D340BB"/>
    <w:rsid w:val="00D505D5"/>
    <w:rsid w:val="00D75B35"/>
    <w:rsid w:val="00D76E09"/>
    <w:rsid w:val="00D9736F"/>
    <w:rsid w:val="00D9792A"/>
    <w:rsid w:val="00DD377F"/>
    <w:rsid w:val="00DE312A"/>
    <w:rsid w:val="00E25547"/>
    <w:rsid w:val="00E3287E"/>
    <w:rsid w:val="00E604BB"/>
    <w:rsid w:val="00E66197"/>
    <w:rsid w:val="00F31093"/>
    <w:rsid w:val="00F412AF"/>
    <w:rsid w:val="00F43667"/>
    <w:rsid w:val="00F447A7"/>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857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holar.google.co.in/citations?view_op=view_citation&amp;hl=en&amp;user=AcUPPzMAAAAJ&amp;citation_for_view=AcUPPzMAAAAJ:IWHjjKOFINEC"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cholar.google.com/citations?view_op=view_citation&amp;hl=en&amp;user=MfooPjAAAAAJ&amp;citation_for_view=MfooPjAAAAAJ:u-x6o8ySG0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31C08-28F5-44B2-AC4E-148BD41E6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3737</Words>
  <Characters>21305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24993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3 (2016)</dc:title>
  <dc:creator>Harun Hj Hamzah</dc:creator>
  <cp:lastModifiedBy>ANALIS</cp:lastModifiedBy>
  <cp:revision>2</cp:revision>
  <cp:lastPrinted>2016-05-17T09:46:00Z</cp:lastPrinted>
  <dcterms:created xsi:type="dcterms:W3CDTF">2016-05-26T16:07:00Z</dcterms:created>
  <dcterms:modified xsi:type="dcterms:W3CDTF">2016-05-26T16:07:00Z</dcterms:modified>
</cp:coreProperties>
</file>