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860" w:rsidRDefault="00CC0860" w:rsidP="00CC0860">
      <w:pPr>
        <w:widowControl w:val="0"/>
        <w:overflowPunct w:val="0"/>
        <w:autoSpaceDE w:val="0"/>
        <w:autoSpaceDN w:val="0"/>
        <w:adjustRightInd w:val="0"/>
        <w:spacing w:after="0" w:line="257" w:lineRule="auto"/>
        <w:ind w:right="380"/>
        <w:rPr>
          <w:rFonts w:ascii="Times New Roman" w:hAnsi="Times New Roman"/>
          <w:bCs/>
          <w:color w:val="000000"/>
          <w:sz w:val="24"/>
          <w:szCs w:val="24"/>
        </w:rPr>
      </w:pPr>
      <w:r>
        <w:rPr>
          <w:rFonts w:ascii="Times New Roman" w:hAnsi="Times New Roman"/>
          <w:bCs/>
          <w:color w:val="000000"/>
          <w:sz w:val="24"/>
          <w:szCs w:val="24"/>
        </w:rPr>
        <w:t>Malaysian Journal of Analytical Sciences Vol 20 No 2 (2016): 247 - 257</w:t>
      </w:r>
    </w:p>
    <w:p w:rsidR="00CC0860" w:rsidRDefault="00CC0860" w:rsidP="00CC0860">
      <w:pPr>
        <w:widowControl w:val="0"/>
        <w:overflowPunct w:val="0"/>
        <w:autoSpaceDE w:val="0"/>
        <w:autoSpaceDN w:val="0"/>
        <w:adjustRightInd w:val="0"/>
        <w:spacing w:after="0" w:line="257" w:lineRule="auto"/>
        <w:ind w:right="380"/>
        <w:rPr>
          <w:rFonts w:ascii="Times New Roman" w:hAnsi="Times New Roman"/>
          <w:bCs/>
          <w:color w:val="000000"/>
          <w:sz w:val="24"/>
          <w:szCs w:val="24"/>
        </w:rPr>
      </w:pPr>
    </w:p>
    <w:p w:rsidR="00CC0860" w:rsidRDefault="00CC0860" w:rsidP="00CC0860">
      <w:pPr>
        <w:widowControl w:val="0"/>
        <w:overflowPunct w:val="0"/>
        <w:autoSpaceDE w:val="0"/>
        <w:autoSpaceDN w:val="0"/>
        <w:adjustRightInd w:val="0"/>
        <w:spacing w:after="0" w:line="257" w:lineRule="auto"/>
        <w:ind w:right="380"/>
        <w:rPr>
          <w:rFonts w:ascii="Times New Roman" w:hAnsi="Times New Roman"/>
          <w:bCs/>
          <w:color w:val="000000"/>
          <w:sz w:val="24"/>
          <w:szCs w:val="24"/>
        </w:rPr>
      </w:pPr>
    </w:p>
    <w:p w:rsidR="00CC0860" w:rsidRPr="00CC0860" w:rsidRDefault="00CC0860" w:rsidP="00CC0860">
      <w:pPr>
        <w:widowControl w:val="0"/>
        <w:overflowPunct w:val="0"/>
        <w:autoSpaceDE w:val="0"/>
        <w:autoSpaceDN w:val="0"/>
        <w:adjustRightInd w:val="0"/>
        <w:spacing w:after="0" w:line="257" w:lineRule="auto"/>
        <w:ind w:right="380"/>
        <w:rPr>
          <w:rFonts w:ascii="Times New Roman" w:hAnsi="Times New Roman"/>
          <w:bCs/>
          <w:color w:val="000000"/>
          <w:sz w:val="24"/>
          <w:szCs w:val="24"/>
        </w:rPr>
      </w:pPr>
    </w:p>
    <w:p w:rsidR="00CC0860" w:rsidRPr="00D20817" w:rsidRDefault="00CC0860" w:rsidP="00CC0860">
      <w:pPr>
        <w:widowControl w:val="0"/>
        <w:overflowPunct w:val="0"/>
        <w:autoSpaceDE w:val="0"/>
        <w:autoSpaceDN w:val="0"/>
        <w:adjustRightInd w:val="0"/>
        <w:spacing w:after="0" w:line="257" w:lineRule="auto"/>
        <w:ind w:right="380"/>
        <w:jc w:val="center"/>
        <w:rPr>
          <w:rFonts w:ascii="Times New Roman" w:hAnsi="Times New Roman"/>
          <w:bCs/>
          <w:color w:val="000000"/>
          <w:sz w:val="28"/>
          <w:szCs w:val="28"/>
        </w:rPr>
      </w:pPr>
      <w:r w:rsidRPr="008744B8">
        <w:rPr>
          <w:rFonts w:ascii="Times New Roman" w:hAnsi="Times New Roman"/>
          <w:bCs/>
          <w:color w:val="000000"/>
          <w:sz w:val="28"/>
          <w:szCs w:val="28"/>
        </w:rPr>
        <w:t xml:space="preserve">STABILITY INDICATING RP-HPLC METHOD FOR SIMULTANEOUS DETERMINATION OF </w:t>
      </w:r>
      <w:r w:rsidRPr="008744B8">
        <w:rPr>
          <w:rFonts w:ascii="Times New Roman" w:hAnsi="Times New Roman"/>
          <w:bCs/>
          <w:sz w:val="28"/>
          <w:szCs w:val="28"/>
        </w:rPr>
        <w:t xml:space="preserve">ASPIRIN AND CLOPIDOGREL </w:t>
      </w:r>
      <w:r w:rsidRPr="008744B8">
        <w:rPr>
          <w:rFonts w:ascii="Times New Roman" w:hAnsi="Times New Roman"/>
          <w:bCs/>
          <w:color w:val="000000"/>
          <w:sz w:val="28"/>
          <w:szCs w:val="28"/>
        </w:rPr>
        <w:t>IN DOSAGE FORM</w:t>
      </w:r>
    </w:p>
    <w:p w:rsidR="00CC0860" w:rsidRDefault="00CC0860" w:rsidP="00CC0860">
      <w:pPr>
        <w:spacing w:after="0" w:line="240" w:lineRule="auto"/>
        <w:jc w:val="center"/>
        <w:rPr>
          <w:rFonts w:ascii="Times New Roman" w:hAnsi="Times New Roman"/>
          <w:noProof/>
          <w:sz w:val="24"/>
          <w:szCs w:val="24"/>
          <w:lang w:bidi="ar-SA"/>
        </w:rPr>
      </w:pPr>
    </w:p>
    <w:p w:rsidR="00CC0860" w:rsidRPr="00F447A7" w:rsidRDefault="00CC0860" w:rsidP="00CC0860">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009137D4" w:rsidRPr="00EA4D24">
        <w:rPr>
          <w:rFonts w:ascii="Times New Roman" w:hAnsi="Times New Roman"/>
          <w:bCs/>
          <w:sz w:val="24"/>
          <w:szCs w:val="24"/>
        </w:rPr>
        <w:t xml:space="preserve">Kestabilan </w:t>
      </w:r>
      <w:r w:rsidR="009137D4">
        <w:rPr>
          <w:rFonts w:ascii="Times New Roman" w:hAnsi="Times New Roman"/>
          <w:bCs/>
          <w:sz w:val="24"/>
          <w:szCs w:val="24"/>
        </w:rPr>
        <w:t xml:space="preserve">Kaedah </w:t>
      </w:r>
      <w:r w:rsidRPr="00EA4D24">
        <w:rPr>
          <w:rFonts w:ascii="Times New Roman" w:hAnsi="Times New Roman"/>
          <w:bCs/>
          <w:sz w:val="24"/>
          <w:szCs w:val="24"/>
        </w:rPr>
        <w:t>K</w:t>
      </w:r>
      <w:r w:rsidR="009137D4">
        <w:rPr>
          <w:rFonts w:ascii="Times New Roman" w:hAnsi="Times New Roman"/>
          <w:bCs/>
          <w:sz w:val="24"/>
          <w:szCs w:val="24"/>
        </w:rPr>
        <w:t>CPT-Indikator</w:t>
      </w:r>
      <w:r w:rsidRPr="00EA4D24">
        <w:rPr>
          <w:rFonts w:ascii="Times New Roman" w:hAnsi="Times New Roman"/>
          <w:bCs/>
          <w:sz w:val="24"/>
          <w:szCs w:val="24"/>
        </w:rPr>
        <w:t xml:space="preserve"> bagi Penentuan Ser</w:t>
      </w:r>
      <w:r>
        <w:rPr>
          <w:rFonts w:ascii="Times New Roman" w:hAnsi="Times New Roman"/>
          <w:bCs/>
          <w:sz w:val="24"/>
          <w:szCs w:val="24"/>
        </w:rPr>
        <w:t>entak Asprin dan Clopidogrel Dalam B</w:t>
      </w:r>
      <w:r w:rsidRPr="00EA4D24">
        <w:rPr>
          <w:rFonts w:ascii="Times New Roman" w:hAnsi="Times New Roman"/>
          <w:bCs/>
          <w:sz w:val="24"/>
          <w:szCs w:val="24"/>
        </w:rPr>
        <w:t>entuk Dos</w:t>
      </w:r>
      <w:r w:rsidRPr="00F447A7">
        <w:rPr>
          <w:rFonts w:ascii="Times New Roman" w:hAnsi="Times New Roman"/>
          <w:noProof/>
          <w:sz w:val="24"/>
          <w:szCs w:val="24"/>
          <w:lang w:bidi="ar-SA"/>
        </w:rPr>
        <w:t>)</w:t>
      </w:r>
    </w:p>
    <w:p w:rsidR="00CC0860" w:rsidRPr="00F447A7" w:rsidRDefault="00CC0860" w:rsidP="00CC0860">
      <w:pPr>
        <w:spacing w:after="0" w:line="240" w:lineRule="auto"/>
        <w:jc w:val="center"/>
        <w:rPr>
          <w:rFonts w:ascii="Times New Roman" w:hAnsi="Times New Roman"/>
          <w:noProof/>
          <w:sz w:val="20"/>
          <w:szCs w:val="20"/>
          <w:lang w:bidi="ar-SA"/>
        </w:rPr>
      </w:pPr>
    </w:p>
    <w:p w:rsidR="00CC0860" w:rsidRDefault="00CC0860" w:rsidP="00CC0860">
      <w:pPr>
        <w:widowControl w:val="0"/>
        <w:tabs>
          <w:tab w:val="num" w:pos="842"/>
        </w:tabs>
        <w:overflowPunct w:val="0"/>
        <w:autoSpaceDE w:val="0"/>
        <w:autoSpaceDN w:val="0"/>
        <w:adjustRightInd w:val="0"/>
        <w:spacing w:after="0" w:line="240" w:lineRule="auto"/>
        <w:jc w:val="center"/>
        <w:rPr>
          <w:rFonts w:ascii="Times New Roman" w:hAnsi="Times New Roman"/>
          <w:color w:val="000000"/>
          <w:sz w:val="20"/>
          <w:szCs w:val="20"/>
          <w:vertAlign w:val="superscript"/>
        </w:rPr>
      </w:pPr>
      <w:r w:rsidRPr="008744B8">
        <w:rPr>
          <w:rFonts w:ascii="Times New Roman" w:hAnsi="Times New Roman"/>
          <w:bCs/>
          <w:sz w:val="20"/>
          <w:szCs w:val="20"/>
        </w:rPr>
        <w:t>Md. Gousuddin</w:t>
      </w:r>
      <w:r>
        <w:rPr>
          <w:rFonts w:ascii="Times New Roman" w:hAnsi="Times New Roman"/>
          <w:bCs/>
          <w:sz w:val="20"/>
          <w:szCs w:val="20"/>
        </w:rPr>
        <w:t>*</w:t>
      </w:r>
      <w:r w:rsidRPr="008744B8">
        <w:rPr>
          <w:rFonts w:ascii="Times New Roman" w:hAnsi="Times New Roman"/>
          <w:bCs/>
          <w:sz w:val="20"/>
          <w:szCs w:val="20"/>
        </w:rPr>
        <w:t xml:space="preserve">, </w:t>
      </w:r>
      <w:r w:rsidRPr="008744B8">
        <w:rPr>
          <w:rFonts w:ascii="Times New Roman" w:hAnsi="Times New Roman"/>
          <w:sz w:val="20"/>
          <w:szCs w:val="20"/>
        </w:rPr>
        <w:t xml:space="preserve">Pinaki Sengupta, </w:t>
      </w:r>
      <w:r w:rsidRPr="008744B8">
        <w:rPr>
          <w:rStyle w:val="per"/>
          <w:color w:val="000000"/>
          <w:sz w:val="20"/>
          <w:szCs w:val="20"/>
        </w:rPr>
        <w:t xml:space="preserve">Vijaya Datt </w:t>
      </w:r>
      <w:r>
        <w:rPr>
          <w:rFonts w:ascii="Times New Roman" w:hAnsi="Times New Roman"/>
          <w:color w:val="000000"/>
          <w:sz w:val="20"/>
          <w:szCs w:val="20"/>
        </w:rPr>
        <w:t>Tripathi</w:t>
      </w:r>
      <w:r w:rsidRPr="008744B8">
        <w:rPr>
          <w:rFonts w:ascii="Times New Roman" w:hAnsi="Times New Roman"/>
          <w:color w:val="000000"/>
          <w:sz w:val="20"/>
          <w:szCs w:val="20"/>
        </w:rPr>
        <w:t>, Arindam Das</w:t>
      </w:r>
    </w:p>
    <w:p w:rsidR="00CC0860" w:rsidRPr="00CC0860" w:rsidRDefault="00CC0860" w:rsidP="00CC0860">
      <w:pPr>
        <w:spacing w:after="0" w:line="240" w:lineRule="auto"/>
        <w:jc w:val="center"/>
        <w:rPr>
          <w:rFonts w:ascii="Times New Roman" w:hAnsi="Times New Roman"/>
          <w:noProof/>
          <w:sz w:val="20"/>
          <w:szCs w:val="20"/>
          <w:lang w:bidi="ar-SA"/>
        </w:rPr>
      </w:pPr>
    </w:p>
    <w:p w:rsidR="00CC0860" w:rsidRPr="00CC0860" w:rsidRDefault="00CC0860" w:rsidP="00CC0860">
      <w:pPr>
        <w:widowControl w:val="0"/>
        <w:tabs>
          <w:tab w:val="num" w:pos="842"/>
        </w:tabs>
        <w:overflowPunct w:val="0"/>
        <w:autoSpaceDE w:val="0"/>
        <w:autoSpaceDN w:val="0"/>
        <w:adjustRightInd w:val="0"/>
        <w:spacing w:after="0" w:line="240" w:lineRule="auto"/>
        <w:jc w:val="center"/>
        <w:rPr>
          <w:rFonts w:ascii="Times New Roman" w:hAnsi="Times New Roman"/>
          <w:i/>
          <w:color w:val="000000"/>
          <w:sz w:val="20"/>
          <w:szCs w:val="20"/>
        </w:rPr>
      </w:pPr>
      <w:r w:rsidRPr="00CC0860">
        <w:rPr>
          <w:rFonts w:ascii="Times New Roman" w:hAnsi="Times New Roman"/>
          <w:i/>
          <w:color w:val="000000"/>
          <w:sz w:val="20"/>
          <w:szCs w:val="20"/>
        </w:rPr>
        <w:t>Faculty of Pharmacy,</w:t>
      </w:r>
    </w:p>
    <w:p w:rsidR="00CC0860" w:rsidRPr="00CC0860" w:rsidRDefault="00CC0860" w:rsidP="00CC0860">
      <w:pPr>
        <w:widowControl w:val="0"/>
        <w:tabs>
          <w:tab w:val="num" w:pos="842"/>
        </w:tabs>
        <w:overflowPunct w:val="0"/>
        <w:autoSpaceDE w:val="0"/>
        <w:autoSpaceDN w:val="0"/>
        <w:adjustRightInd w:val="0"/>
        <w:spacing w:after="0" w:line="240" w:lineRule="auto"/>
        <w:jc w:val="center"/>
        <w:rPr>
          <w:rFonts w:ascii="Times New Roman" w:hAnsi="Times New Roman"/>
          <w:i/>
          <w:color w:val="000000"/>
          <w:sz w:val="20"/>
          <w:szCs w:val="20"/>
        </w:rPr>
      </w:pPr>
      <w:r w:rsidRPr="00CC0860">
        <w:rPr>
          <w:rFonts w:ascii="Times New Roman" w:hAnsi="Times New Roman"/>
          <w:i/>
          <w:color w:val="000000"/>
          <w:sz w:val="20"/>
          <w:szCs w:val="20"/>
        </w:rPr>
        <w:t>Lincoln University College, 47301 Petaling Jaya, Selangor, Malaysia    </w:t>
      </w:r>
    </w:p>
    <w:p w:rsidR="00CC0860" w:rsidRPr="00CC0860" w:rsidRDefault="00CC0860" w:rsidP="00CC0860">
      <w:pPr>
        <w:spacing w:after="0" w:line="240" w:lineRule="auto"/>
        <w:jc w:val="center"/>
        <w:rPr>
          <w:rFonts w:ascii="Times New Roman" w:hAnsi="Times New Roman"/>
          <w:noProof/>
          <w:sz w:val="20"/>
          <w:szCs w:val="20"/>
          <w:lang w:bidi="ar-SA"/>
        </w:rPr>
      </w:pPr>
    </w:p>
    <w:p w:rsidR="00CC0860" w:rsidRPr="00CC0860" w:rsidRDefault="00CC0860" w:rsidP="00CC0860">
      <w:pPr>
        <w:spacing w:after="0" w:line="240" w:lineRule="auto"/>
        <w:jc w:val="center"/>
        <w:rPr>
          <w:rFonts w:ascii="Times New Roman" w:hAnsi="Times New Roman"/>
          <w:i/>
          <w:noProof/>
          <w:sz w:val="20"/>
          <w:szCs w:val="20"/>
          <w:lang w:bidi="ar-SA"/>
        </w:rPr>
      </w:pPr>
      <w:r w:rsidRPr="00CC0860">
        <w:rPr>
          <w:rFonts w:ascii="Times New Roman" w:hAnsi="Times New Roman"/>
          <w:i/>
          <w:noProof/>
          <w:sz w:val="20"/>
          <w:szCs w:val="20"/>
          <w:lang w:bidi="ar-SA"/>
        </w:rPr>
        <w:t xml:space="preserve">*Corresponding author: </w:t>
      </w:r>
      <w:r w:rsidRPr="00CC0860">
        <w:rPr>
          <w:rFonts w:ascii="Times New Roman" w:hAnsi="Times New Roman"/>
          <w:bCs/>
          <w:i/>
          <w:sz w:val="20"/>
          <w:szCs w:val="20"/>
        </w:rPr>
        <w:t>Inamdarirfan09@gmail.com</w:t>
      </w:r>
    </w:p>
    <w:p w:rsidR="00CC0860" w:rsidRPr="00CC0860" w:rsidRDefault="00CC0860" w:rsidP="00CC0860">
      <w:pPr>
        <w:spacing w:after="0" w:line="240" w:lineRule="auto"/>
        <w:jc w:val="center"/>
        <w:rPr>
          <w:rFonts w:ascii="Times New Roman" w:hAnsi="Times New Roman"/>
          <w:noProof/>
          <w:sz w:val="20"/>
          <w:szCs w:val="20"/>
          <w:lang w:bidi="ar-SA"/>
        </w:rPr>
      </w:pPr>
    </w:p>
    <w:p w:rsidR="00CC0860" w:rsidRPr="00CC0860" w:rsidRDefault="00CC0860" w:rsidP="00CC0860">
      <w:pPr>
        <w:spacing w:after="0" w:line="240" w:lineRule="auto"/>
        <w:jc w:val="center"/>
        <w:rPr>
          <w:rFonts w:ascii="Times New Roman" w:hAnsi="Times New Roman"/>
          <w:noProof/>
          <w:sz w:val="20"/>
          <w:szCs w:val="20"/>
          <w:lang w:bidi="ar-SA"/>
        </w:rPr>
      </w:pPr>
    </w:p>
    <w:p w:rsidR="00CC0860" w:rsidRPr="00CC0860" w:rsidRDefault="00CC0860" w:rsidP="00CC0860">
      <w:pPr>
        <w:spacing w:after="0" w:line="240" w:lineRule="auto"/>
        <w:jc w:val="center"/>
        <w:rPr>
          <w:rFonts w:ascii="Times New Roman" w:hAnsi="Times New Roman"/>
          <w:noProof/>
          <w:sz w:val="20"/>
          <w:szCs w:val="20"/>
          <w:lang w:bidi="ar-SA"/>
        </w:rPr>
      </w:pPr>
      <w:r w:rsidRPr="00CC0860">
        <w:rPr>
          <w:rFonts w:ascii="Times New Roman" w:hAnsi="Times New Roman"/>
          <w:noProof/>
          <w:sz w:val="20"/>
          <w:szCs w:val="20"/>
          <w:lang w:bidi="ar-SA"/>
        </w:rPr>
        <w:t>Received: 13 June 2015; Accepted: 1 February 2016</w:t>
      </w:r>
    </w:p>
    <w:p w:rsidR="00CC0860" w:rsidRPr="00CC0860" w:rsidRDefault="00CC0860" w:rsidP="00CC0860">
      <w:pPr>
        <w:spacing w:after="0" w:line="240" w:lineRule="auto"/>
        <w:jc w:val="center"/>
        <w:rPr>
          <w:rFonts w:ascii="Times New Roman" w:hAnsi="Times New Roman"/>
          <w:noProof/>
          <w:sz w:val="20"/>
          <w:szCs w:val="20"/>
          <w:lang w:bidi="ar-SA"/>
        </w:rPr>
      </w:pPr>
    </w:p>
    <w:p w:rsidR="00CC0860" w:rsidRPr="00CC0860" w:rsidRDefault="00CC0860" w:rsidP="00CC0860">
      <w:pPr>
        <w:spacing w:after="0" w:line="240" w:lineRule="auto"/>
        <w:jc w:val="center"/>
        <w:rPr>
          <w:rFonts w:ascii="Times New Roman" w:hAnsi="Times New Roman"/>
          <w:noProof/>
          <w:sz w:val="20"/>
          <w:szCs w:val="20"/>
          <w:lang w:bidi="ar-SA"/>
        </w:rPr>
      </w:pPr>
    </w:p>
    <w:p w:rsidR="00CC0860" w:rsidRPr="00CC0860" w:rsidRDefault="00CC0860" w:rsidP="00CC0860">
      <w:pPr>
        <w:spacing w:after="0" w:line="240" w:lineRule="auto"/>
        <w:jc w:val="center"/>
        <w:rPr>
          <w:rFonts w:ascii="Times New Roman" w:hAnsi="Times New Roman"/>
          <w:b/>
          <w:noProof/>
          <w:sz w:val="20"/>
          <w:szCs w:val="20"/>
          <w:lang w:bidi="ar-SA"/>
        </w:rPr>
      </w:pPr>
      <w:r w:rsidRPr="00CC0860">
        <w:rPr>
          <w:rFonts w:ascii="Times New Roman" w:hAnsi="Times New Roman"/>
          <w:b/>
          <w:noProof/>
          <w:sz w:val="20"/>
          <w:szCs w:val="20"/>
          <w:lang w:bidi="ar-SA"/>
        </w:rPr>
        <w:t>Abstract</w:t>
      </w:r>
    </w:p>
    <w:p w:rsidR="00CC0860" w:rsidRPr="00CC0860" w:rsidRDefault="00CC0860" w:rsidP="00CC0860">
      <w:pPr>
        <w:widowControl w:val="0"/>
        <w:overflowPunct w:val="0"/>
        <w:autoSpaceDE w:val="0"/>
        <w:autoSpaceDN w:val="0"/>
        <w:adjustRightInd w:val="0"/>
        <w:spacing w:after="0" w:line="240" w:lineRule="auto"/>
        <w:jc w:val="both"/>
        <w:rPr>
          <w:rFonts w:ascii="Times New Roman" w:hAnsi="Times New Roman"/>
          <w:sz w:val="20"/>
          <w:szCs w:val="20"/>
        </w:rPr>
      </w:pPr>
      <w:r w:rsidRPr="00CC0860">
        <w:rPr>
          <w:rFonts w:ascii="Times New Roman" w:hAnsi="Times New Roman"/>
          <w:iCs/>
          <w:color w:val="000000"/>
          <w:sz w:val="20"/>
          <w:szCs w:val="20"/>
        </w:rPr>
        <w:t xml:space="preserve">Stability-indicating High Performance Liquid Chromatographic (HPLC) method was developed for simultaneous </w:t>
      </w:r>
      <w:r w:rsidRPr="00CC0860">
        <w:rPr>
          <w:rFonts w:ascii="Times New Roman" w:hAnsi="Times New Roman"/>
          <w:sz w:val="20"/>
          <w:szCs w:val="20"/>
        </w:rPr>
        <w:t xml:space="preserve">Aspirin and Clopidogrel, A Phenomenex Gemini C-18, 5 µm column having 250mm x 4.6 mm i.d. in isocratic mode, with mobile phase containing buffer  solution 0.3% orthophosphoric acid : </w:t>
      </w:r>
      <w:r w:rsidRPr="00CC0860">
        <w:rPr>
          <w:rFonts w:ascii="Times New Roman" w:hAnsi="Times New Roman"/>
          <w:spacing w:val="11"/>
          <w:sz w:val="20"/>
          <w:szCs w:val="20"/>
        </w:rPr>
        <w:t>acetonitril</w:t>
      </w:r>
      <w:r w:rsidRPr="00CC0860">
        <w:rPr>
          <w:rFonts w:ascii="Times New Roman" w:hAnsi="Times New Roman"/>
          <w:sz w:val="20"/>
          <w:szCs w:val="20"/>
        </w:rPr>
        <w:t>e (65: 35, v/v). The flow rate was 1 ml/min and effluents were monitored at 266 nm. For linearity seven points calibration curve were obtained in a</w:t>
      </w:r>
      <w:r w:rsidRPr="00CC0860">
        <w:rPr>
          <w:rFonts w:ascii="Times New Roman" w:hAnsi="Times New Roman"/>
          <w:b/>
          <w:bCs/>
          <w:i/>
          <w:iCs/>
          <w:sz w:val="20"/>
          <w:szCs w:val="20"/>
        </w:rPr>
        <w:t xml:space="preserve"> </w:t>
      </w:r>
      <w:r w:rsidRPr="00CC0860">
        <w:rPr>
          <w:rFonts w:ascii="Times New Roman" w:hAnsi="Times New Roman"/>
          <w:sz w:val="20"/>
          <w:szCs w:val="20"/>
        </w:rPr>
        <w:t>concentration range from 0.030 –0.120 mg/ml for aspirin and 0.015 – 0.060 mg/ml for clopidogrel with correlation coefficient 0.9999. In the present study stability indicating HPLC method for the combination was tested by degrading the drugs together under various stress conditions like acid hydrolysis, base hydrolysis, oxidation, thermal and photolytic stress which is recommended by ICH guideline.</w:t>
      </w:r>
    </w:p>
    <w:p w:rsidR="00CC0860" w:rsidRPr="00CC0860" w:rsidRDefault="00CC0860" w:rsidP="00CC0860">
      <w:pPr>
        <w:widowControl w:val="0"/>
        <w:overflowPunct w:val="0"/>
        <w:autoSpaceDE w:val="0"/>
        <w:autoSpaceDN w:val="0"/>
        <w:adjustRightInd w:val="0"/>
        <w:spacing w:after="0" w:line="240" w:lineRule="auto"/>
        <w:ind w:right="20"/>
        <w:jc w:val="both"/>
        <w:rPr>
          <w:rFonts w:ascii="Times New Roman" w:hAnsi="Times New Roman"/>
          <w:b/>
          <w:bCs/>
          <w:i/>
          <w:iCs/>
          <w:color w:val="000000"/>
          <w:sz w:val="20"/>
          <w:szCs w:val="20"/>
        </w:rPr>
      </w:pPr>
    </w:p>
    <w:p w:rsidR="00CC0860" w:rsidRPr="00CC0860" w:rsidRDefault="00CC0860" w:rsidP="00CC0860">
      <w:pPr>
        <w:widowControl w:val="0"/>
        <w:overflowPunct w:val="0"/>
        <w:autoSpaceDE w:val="0"/>
        <w:autoSpaceDN w:val="0"/>
        <w:adjustRightInd w:val="0"/>
        <w:spacing w:after="0" w:line="240" w:lineRule="auto"/>
        <w:ind w:right="20"/>
        <w:jc w:val="both"/>
        <w:rPr>
          <w:rFonts w:ascii="Times New Roman" w:hAnsi="Times New Roman"/>
          <w:sz w:val="20"/>
          <w:szCs w:val="20"/>
        </w:rPr>
      </w:pPr>
      <w:r w:rsidRPr="00CC0860">
        <w:rPr>
          <w:rFonts w:ascii="Times New Roman" w:hAnsi="Times New Roman"/>
          <w:b/>
          <w:bCs/>
          <w:iCs/>
          <w:color w:val="000000"/>
          <w:sz w:val="20"/>
          <w:szCs w:val="20"/>
        </w:rPr>
        <w:t>Keywords</w:t>
      </w:r>
      <w:r w:rsidRPr="00CC0860">
        <w:rPr>
          <w:rFonts w:ascii="Times New Roman" w:hAnsi="Times New Roman"/>
          <w:i/>
          <w:iCs/>
          <w:color w:val="000000"/>
          <w:sz w:val="20"/>
          <w:szCs w:val="20"/>
        </w:rPr>
        <w:t>:</w:t>
      </w:r>
      <w:r w:rsidRPr="00CC0860">
        <w:rPr>
          <w:rFonts w:ascii="Times New Roman" w:hAnsi="Times New Roman"/>
          <w:b/>
          <w:bCs/>
          <w:i/>
          <w:iCs/>
          <w:color w:val="000000"/>
          <w:sz w:val="20"/>
          <w:szCs w:val="20"/>
        </w:rPr>
        <w:t xml:space="preserve"> </w:t>
      </w:r>
      <w:r w:rsidRPr="00CC0860">
        <w:rPr>
          <w:rFonts w:ascii="Times New Roman" w:hAnsi="Times New Roman"/>
          <w:color w:val="000000"/>
          <w:sz w:val="20"/>
          <w:szCs w:val="20"/>
        </w:rPr>
        <w:t>rever</w:t>
      </w:r>
      <w:r w:rsidR="00C27FA2">
        <w:rPr>
          <w:rFonts w:ascii="Times New Roman" w:hAnsi="Times New Roman"/>
          <w:color w:val="000000"/>
          <w:sz w:val="20"/>
          <w:szCs w:val="20"/>
        </w:rPr>
        <w:t>s</w:t>
      </w:r>
      <w:bookmarkStart w:id="0" w:name="_GoBack"/>
      <w:bookmarkEnd w:id="0"/>
      <w:r w:rsidRPr="00CC0860">
        <w:rPr>
          <w:rFonts w:ascii="Times New Roman" w:hAnsi="Times New Roman"/>
          <w:color w:val="000000"/>
          <w:sz w:val="20"/>
          <w:szCs w:val="20"/>
        </w:rPr>
        <w:t xml:space="preserve">e phase high performance liquid chromatography, stability indicating method, </w:t>
      </w:r>
      <w:r w:rsidRPr="00CC0860">
        <w:rPr>
          <w:rFonts w:ascii="Times New Roman" w:hAnsi="Times New Roman"/>
          <w:sz w:val="20"/>
          <w:szCs w:val="20"/>
        </w:rPr>
        <w:t>aspirin, clopidogrel</w:t>
      </w:r>
    </w:p>
    <w:p w:rsidR="00CC0860" w:rsidRPr="00CC0860" w:rsidRDefault="00CC0860" w:rsidP="00CC0860">
      <w:pPr>
        <w:spacing w:after="0" w:line="240" w:lineRule="auto"/>
        <w:jc w:val="center"/>
        <w:rPr>
          <w:rFonts w:ascii="Times New Roman" w:hAnsi="Times New Roman"/>
          <w:b/>
          <w:noProof/>
          <w:sz w:val="20"/>
          <w:szCs w:val="20"/>
          <w:lang w:bidi="ar-SA"/>
        </w:rPr>
      </w:pPr>
    </w:p>
    <w:p w:rsidR="00CC0860" w:rsidRPr="00CC0860" w:rsidRDefault="00CC0860" w:rsidP="00CC0860">
      <w:pPr>
        <w:spacing w:after="0" w:line="240" w:lineRule="auto"/>
        <w:jc w:val="center"/>
        <w:rPr>
          <w:rFonts w:ascii="Times New Roman" w:hAnsi="Times New Roman"/>
          <w:b/>
          <w:noProof/>
          <w:sz w:val="20"/>
          <w:szCs w:val="20"/>
          <w:lang w:bidi="ar-SA"/>
        </w:rPr>
      </w:pPr>
      <w:r w:rsidRPr="00CC0860">
        <w:rPr>
          <w:rFonts w:ascii="Times New Roman" w:hAnsi="Times New Roman"/>
          <w:b/>
          <w:noProof/>
          <w:sz w:val="20"/>
          <w:szCs w:val="20"/>
          <w:lang w:bidi="ar-SA"/>
        </w:rPr>
        <w:t>Abstrak</w:t>
      </w:r>
    </w:p>
    <w:p w:rsidR="00CC0860" w:rsidRPr="00CC0860" w:rsidRDefault="009137D4" w:rsidP="00CC0860">
      <w:pPr>
        <w:widowControl w:val="0"/>
        <w:tabs>
          <w:tab w:val="num" w:pos="842"/>
        </w:tabs>
        <w:overflowPunct w:val="0"/>
        <w:autoSpaceDE w:val="0"/>
        <w:autoSpaceDN w:val="0"/>
        <w:adjustRightInd w:val="0"/>
        <w:spacing w:after="0" w:line="240" w:lineRule="auto"/>
        <w:ind w:right="-29"/>
        <w:jc w:val="both"/>
        <w:rPr>
          <w:rFonts w:ascii="Times New Roman" w:hAnsi="Times New Roman"/>
          <w:sz w:val="20"/>
          <w:szCs w:val="20"/>
        </w:rPr>
      </w:pPr>
      <w:r w:rsidRPr="009137D4">
        <w:rPr>
          <w:rFonts w:ascii="Times New Roman" w:hAnsi="Times New Roman"/>
          <w:bCs/>
          <w:sz w:val="20"/>
          <w:szCs w:val="20"/>
        </w:rPr>
        <w:t>Kestabilan</w:t>
      </w:r>
      <w:r w:rsidRPr="00CC0860">
        <w:rPr>
          <w:rFonts w:ascii="Times New Roman" w:hAnsi="Times New Roman"/>
          <w:bCs/>
          <w:sz w:val="20"/>
          <w:szCs w:val="20"/>
        </w:rPr>
        <w:t xml:space="preserve"> </w:t>
      </w:r>
      <w:r w:rsidR="00CC0860" w:rsidRPr="00CC0860">
        <w:rPr>
          <w:rFonts w:ascii="Times New Roman" w:hAnsi="Times New Roman"/>
          <w:bCs/>
          <w:sz w:val="20"/>
          <w:szCs w:val="20"/>
        </w:rPr>
        <w:t>Kaedah Kromatografi Cecair Prestasi Tin</w:t>
      </w:r>
      <w:r>
        <w:rPr>
          <w:rFonts w:ascii="Times New Roman" w:hAnsi="Times New Roman"/>
          <w:bCs/>
          <w:sz w:val="20"/>
          <w:szCs w:val="20"/>
        </w:rPr>
        <w:t>ggi (KCPT) – indikator</w:t>
      </w:r>
      <w:r w:rsidR="00CC0860" w:rsidRPr="00CC0860">
        <w:rPr>
          <w:rFonts w:ascii="Times New Roman" w:hAnsi="Times New Roman"/>
          <w:bCs/>
          <w:sz w:val="20"/>
          <w:szCs w:val="20"/>
        </w:rPr>
        <w:t xml:space="preserve"> telah dibangunkan bagi penentuan serentak Aspirin dan Clopidogrel. Turus Phenomenex Gemini C-18, </w:t>
      </w:r>
      <w:r w:rsidR="00CC0860" w:rsidRPr="00CC0860">
        <w:rPr>
          <w:rFonts w:ascii="Times New Roman" w:hAnsi="Times New Roman"/>
          <w:sz w:val="20"/>
          <w:szCs w:val="20"/>
        </w:rPr>
        <w:t xml:space="preserve">250mm x 4.6 mm i.d. diguna dalam mod isokratik, bersama fasa bergerak yang mengandungi larutan penimbal iaitu 0.3% asid orthofosforik : acetonitril. Kadar aliran adalah 1ml/min dan effluent dipantau pada panjang gelombang 266 nm. Tujuh titik lengkung kalibrasi dipilih bagi ujian kelinearan yang diperolehi dari julat 0.030 – 0.120 mg/ml dan 0.015 – 0.060 masing – masing bagi aspirin dan clopidogrel dengan nilai pekali korelasi adalah 0.9999. Dalam kajian ini, </w:t>
      </w:r>
      <w:r>
        <w:rPr>
          <w:rFonts w:ascii="Times New Roman" w:hAnsi="Times New Roman"/>
          <w:sz w:val="20"/>
          <w:szCs w:val="20"/>
        </w:rPr>
        <w:t xml:space="preserve">kestabilan kaedah KCPT- indikator </w:t>
      </w:r>
      <w:r w:rsidR="00CC0860" w:rsidRPr="00CC0860">
        <w:rPr>
          <w:rFonts w:ascii="Times New Roman" w:hAnsi="Times New Roman"/>
          <w:sz w:val="20"/>
          <w:szCs w:val="20"/>
        </w:rPr>
        <w:t xml:space="preserve">bagi gabungan analit diuji di bawah pelbagai tekanan seperti hidrolisis asid, hidrolisis bes, pengoksidaan, termal dan tekanan fotolitik seperti yang dicadangkan oleh garis panduan ICH.  </w:t>
      </w:r>
    </w:p>
    <w:p w:rsidR="00CC0860" w:rsidRPr="00CC0860" w:rsidRDefault="00CC0860" w:rsidP="00CC0860">
      <w:pPr>
        <w:widowControl w:val="0"/>
        <w:tabs>
          <w:tab w:val="num" w:pos="842"/>
        </w:tabs>
        <w:overflowPunct w:val="0"/>
        <w:autoSpaceDE w:val="0"/>
        <w:autoSpaceDN w:val="0"/>
        <w:adjustRightInd w:val="0"/>
        <w:spacing w:after="0" w:line="240" w:lineRule="auto"/>
        <w:ind w:right="180"/>
        <w:jc w:val="both"/>
        <w:rPr>
          <w:rFonts w:ascii="Times New Roman" w:hAnsi="Times New Roman"/>
          <w:sz w:val="20"/>
          <w:szCs w:val="20"/>
        </w:rPr>
      </w:pPr>
    </w:p>
    <w:p w:rsidR="00320216" w:rsidRDefault="00CC0860" w:rsidP="00CC0860">
      <w:pPr>
        <w:widowControl w:val="0"/>
        <w:overflowPunct w:val="0"/>
        <w:autoSpaceDE w:val="0"/>
        <w:autoSpaceDN w:val="0"/>
        <w:adjustRightInd w:val="0"/>
        <w:spacing w:after="0" w:line="240" w:lineRule="auto"/>
        <w:ind w:right="20"/>
        <w:jc w:val="both"/>
        <w:rPr>
          <w:rFonts w:ascii="Times New Roman" w:hAnsi="Times New Roman"/>
          <w:sz w:val="20"/>
          <w:szCs w:val="20"/>
        </w:rPr>
      </w:pPr>
      <w:r w:rsidRPr="00CC0860">
        <w:rPr>
          <w:rFonts w:ascii="Times New Roman" w:hAnsi="Times New Roman"/>
          <w:b/>
          <w:bCs/>
          <w:iCs/>
          <w:color w:val="000000"/>
          <w:sz w:val="20"/>
          <w:szCs w:val="20"/>
        </w:rPr>
        <w:t>Kata kunci</w:t>
      </w:r>
      <w:r w:rsidRPr="00CC0860">
        <w:rPr>
          <w:rFonts w:ascii="Times New Roman" w:hAnsi="Times New Roman"/>
          <w:i/>
          <w:iCs/>
          <w:color w:val="000000"/>
          <w:sz w:val="20"/>
          <w:szCs w:val="20"/>
        </w:rPr>
        <w:t>:</w:t>
      </w:r>
      <w:r w:rsidRPr="00CC0860">
        <w:rPr>
          <w:rFonts w:ascii="Times New Roman" w:hAnsi="Times New Roman"/>
          <w:iCs/>
          <w:color w:val="000000"/>
          <w:sz w:val="20"/>
          <w:szCs w:val="20"/>
        </w:rPr>
        <w:t xml:space="preserve"> kromatografi cecair prestasi tinggi fasa terbalik</w:t>
      </w:r>
      <w:r w:rsidRPr="00CC0860">
        <w:rPr>
          <w:rFonts w:ascii="Times New Roman" w:hAnsi="Times New Roman"/>
          <w:color w:val="000000"/>
          <w:sz w:val="20"/>
          <w:szCs w:val="20"/>
        </w:rPr>
        <w:t xml:space="preserve">, </w:t>
      </w:r>
      <w:r w:rsidR="009137D4" w:rsidRPr="00CC0860">
        <w:rPr>
          <w:rFonts w:ascii="Times New Roman" w:hAnsi="Times New Roman"/>
          <w:color w:val="000000"/>
          <w:sz w:val="20"/>
          <w:szCs w:val="20"/>
        </w:rPr>
        <w:t xml:space="preserve">kestabilan </w:t>
      </w:r>
      <w:r w:rsidR="009137D4">
        <w:rPr>
          <w:rFonts w:ascii="Times New Roman" w:hAnsi="Times New Roman"/>
          <w:color w:val="000000"/>
          <w:sz w:val="20"/>
          <w:szCs w:val="20"/>
        </w:rPr>
        <w:t>kaedah indikator</w:t>
      </w:r>
      <w:r w:rsidRPr="00CC0860">
        <w:rPr>
          <w:rFonts w:ascii="Times New Roman" w:hAnsi="Times New Roman"/>
          <w:color w:val="000000"/>
          <w:sz w:val="20"/>
          <w:szCs w:val="20"/>
        </w:rPr>
        <w:t xml:space="preserve">, </w:t>
      </w:r>
      <w:r w:rsidRPr="00CC0860">
        <w:rPr>
          <w:rFonts w:ascii="Times New Roman" w:hAnsi="Times New Roman"/>
          <w:sz w:val="20"/>
          <w:szCs w:val="20"/>
        </w:rPr>
        <w:t>aspirin, clopidogrel</w:t>
      </w:r>
    </w:p>
    <w:p w:rsidR="00CC0860" w:rsidRDefault="00CC0860" w:rsidP="00CC0860">
      <w:pPr>
        <w:widowControl w:val="0"/>
        <w:overflowPunct w:val="0"/>
        <w:autoSpaceDE w:val="0"/>
        <w:autoSpaceDN w:val="0"/>
        <w:adjustRightInd w:val="0"/>
        <w:spacing w:after="0" w:line="240" w:lineRule="auto"/>
        <w:ind w:right="20"/>
        <w:jc w:val="both"/>
        <w:rPr>
          <w:rFonts w:ascii="Times New Roman" w:hAnsi="Times New Roman"/>
          <w:sz w:val="20"/>
          <w:szCs w:val="20"/>
        </w:rPr>
      </w:pPr>
    </w:p>
    <w:p w:rsidR="00CC0860" w:rsidRPr="00F447A7" w:rsidRDefault="00CC0860" w:rsidP="00CC0860">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C0860" w:rsidRPr="003A3BDC" w:rsidRDefault="00CC0860" w:rsidP="00CC0860">
      <w:pPr>
        <w:pStyle w:val="ListParagraph"/>
        <w:numPr>
          <w:ilvl w:val="0"/>
          <w:numId w:val="1"/>
        </w:numPr>
        <w:spacing w:after="0" w:line="240" w:lineRule="auto"/>
        <w:ind w:left="360" w:right="130"/>
        <w:contextualSpacing w:val="0"/>
        <w:jc w:val="both"/>
        <w:rPr>
          <w:rFonts w:ascii="Times New Roman" w:hAnsi="Times New Roman"/>
          <w:color w:val="000000"/>
          <w:spacing w:val="3"/>
          <w:sz w:val="20"/>
          <w:szCs w:val="18"/>
          <w:lang w:val="it-IT"/>
        </w:rPr>
      </w:pPr>
      <w:r w:rsidRPr="003A3BDC">
        <w:rPr>
          <w:rFonts w:ascii="Times New Roman" w:hAnsi="Times New Roman"/>
          <w:color w:val="000000"/>
          <w:sz w:val="20"/>
          <w:szCs w:val="18"/>
          <w:shd w:val="clear" w:color="auto" w:fill="FFFFFF"/>
        </w:rPr>
        <w:t>Trialists’Collaboration, A. (2002). Collaborative meta-analysis of randomised trials of antiplatelet therapy for prevention of death, myocardial infarction, and stroke in high risk patients.</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B</w:t>
      </w:r>
      <w:r>
        <w:rPr>
          <w:rFonts w:ascii="Times New Roman" w:hAnsi="Times New Roman"/>
          <w:i/>
          <w:iCs/>
          <w:color w:val="000000"/>
          <w:sz w:val="20"/>
          <w:szCs w:val="18"/>
          <w:shd w:val="clear" w:color="auto" w:fill="FFFFFF"/>
        </w:rPr>
        <w:t xml:space="preserve">ritish </w:t>
      </w:r>
      <w:r w:rsidRPr="003A3BDC">
        <w:rPr>
          <w:rFonts w:ascii="Times New Roman" w:hAnsi="Times New Roman"/>
          <w:i/>
          <w:iCs/>
          <w:color w:val="000000"/>
          <w:sz w:val="20"/>
          <w:szCs w:val="18"/>
          <w:shd w:val="clear" w:color="auto" w:fill="FFFFFF"/>
        </w:rPr>
        <w:t>M</w:t>
      </w:r>
      <w:r>
        <w:rPr>
          <w:rFonts w:ascii="Times New Roman" w:hAnsi="Times New Roman"/>
          <w:i/>
          <w:iCs/>
          <w:color w:val="000000"/>
          <w:sz w:val="20"/>
          <w:szCs w:val="18"/>
          <w:shd w:val="clear" w:color="auto" w:fill="FFFFFF"/>
        </w:rPr>
        <w:t xml:space="preserve">edical </w:t>
      </w:r>
      <w:r w:rsidRPr="003A3BDC">
        <w:rPr>
          <w:rFonts w:ascii="Times New Roman" w:hAnsi="Times New Roman"/>
          <w:i/>
          <w:iCs/>
          <w:color w:val="000000"/>
          <w:sz w:val="20"/>
          <w:szCs w:val="18"/>
          <w:shd w:val="clear" w:color="auto" w:fill="FFFFFF"/>
        </w:rPr>
        <w:t>J</w:t>
      </w:r>
      <w:r>
        <w:rPr>
          <w:rFonts w:ascii="Times New Roman" w:hAnsi="Times New Roman"/>
          <w:i/>
          <w:iCs/>
          <w:color w:val="000000"/>
          <w:sz w:val="20"/>
          <w:szCs w:val="18"/>
          <w:shd w:val="clear" w:color="auto" w:fill="FFFFFF"/>
        </w:rPr>
        <w:t>ournal</w:t>
      </w:r>
      <w:r w:rsidRPr="003A3BDC">
        <w:rPr>
          <w:rFonts w:ascii="Times New Roman" w:hAnsi="Times New Roman"/>
          <w:color w:val="000000"/>
          <w:sz w:val="20"/>
          <w:szCs w:val="18"/>
          <w:shd w:val="clear" w:color="auto" w:fill="FFFFFF"/>
        </w:rPr>
        <w:t>,</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Cs/>
          <w:color w:val="000000"/>
          <w:sz w:val="20"/>
          <w:szCs w:val="18"/>
          <w:shd w:val="clear" w:color="auto" w:fill="FFFFFF"/>
        </w:rPr>
        <w:t>324</w:t>
      </w:r>
      <w:r w:rsidRPr="003A3BDC">
        <w:rPr>
          <w:rFonts w:ascii="Times New Roman" w:hAnsi="Times New Roman"/>
          <w:color w:val="000000"/>
          <w:sz w:val="20"/>
          <w:szCs w:val="18"/>
          <w:shd w:val="clear" w:color="auto" w:fill="FFFFFF"/>
        </w:rPr>
        <w:t>(7329): 71 – 86.</w:t>
      </w:r>
      <w:r w:rsidRPr="003A3BDC">
        <w:rPr>
          <w:rFonts w:ascii="Times New Roman" w:hAnsi="Times New Roman"/>
          <w:color w:val="000000"/>
          <w:sz w:val="20"/>
          <w:szCs w:val="18"/>
        </w:rPr>
        <w:t xml:space="preserve"> </w:t>
      </w:r>
    </w:p>
    <w:p w:rsidR="00CC0860" w:rsidRPr="003A3BDC" w:rsidRDefault="00CC0860" w:rsidP="00CC0860">
      <w:pPr>
        <w:pStyle w:val="ListParagraph"/>
        <w:numPr>
          <w:ilvl w:val="0"/>
          <w:numId w:val="1"/>
        </w:numPr>
        <w:spacing w:after="0" w:line="240" w:lineRule="auto"/>
        <w:ind w:left="360" w:right="130"/>
        <w:contextualSpacing w:val="0"/>
        <w:jc w:val="both"/>
        <w:rPr>
          <w:rFonts w:ascii="Times New Roman" w:hAnsi="Times New Roman"/>
          <w:color w:val="000000"/>
          <w:spacing w:val="3"/>
          <w:sz w:val="20"/>
          <w:szCs w:val="18"/>
          <w:lang w:val="it-IT"/>
        </w:rPr>
      </w:pPr>
      <w:r w:rsidRPr="003A3BDC">
        <w:rPr>
          <w:rFonts w:ascii="Times New Roman" w:hAnsi="Times New Roman"/>
          <w:color w:val="000000"/>
          <w:sz w:val="20"/>
          <w:szCs w:val="18"/>
          <w:shd w:val="clear" w:color="auto" w:fill="FFFFFF"/>
        </w:rPr>
        <w:lastRenderedPageBreak/>
        <w:t>Kong, D. F., Califf, R. M., Miller, D. P., Moliterno, D. J., White, H. D., Harrington, R. A. and Topol, E. J. (1998). Clinical outcomes of therapeutic agents that block the platelet glycoprotein IIb/IIIa integrin in ischemic heart disease.</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Circulation</w:t>
      </w:r>
      <w:r w:rsidRPr="003A3BDC">
        <w:rPr>
          <w:rFonts w:ascii="Times New Roman" w:hAnsi="Times New Roman"/>
          <w:color w:val="000000"/>
          <w:sz w:val="20"/>
          <w:szCs w:val="18"/>
          <w:shd w:val="clear" w:color="auto" w:fill="FFFFFF"/>
        </w:rPr>
        <w:t>,</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Cs/>
          <w:color w:val="000000"/>
          <w:sz w:val="20"/>
          <w:szCs w:val="18"/>
          <w:shd w:val="clear" w:color="auto" w:fill="FFFFFF"/>
        </w:rPr>
        <w:t>98</w:t>
      </w:r>
      <w:r>
        <w:rPr>
          <w:rFonts w:ascii="Times New Roman" w:hAnsi="Times New Roman"/>
          <w:color w:val="000000"/>
          <w:sz w:val="20"/>
          <w:szCs w:val="18"/>
          <w:shd w:val="clear" w:color="auto" w:fill="FFFFFF"/>
        </w:rPr>
        <w:t xml:space="preserve">(25): </w:t>
      </w:r>
      <w:r w:rsidRPr="003A3BDC">
        <w:rPr>
          <w:rFonts w:ascii="Times New Roman" w:hAnsi="Times New Roman"/>
          <w:color w:val="000000"/>
          <w:sz w:val="20"/>
          <w:szCs w:val="18"/>
          <w:shd w:val="clear" w:color="auto" w:fill="FFFFFF"/>
        </w:rPr>
        <w:t>2829 – 2835.</w:t>
      </w:r>
    </w:p>
    <w:p w:rsidR="00CC0860" w:rsidRPr="003A3BDC" w:rsidRDefault="00CC0860" w:rsidP="00CC0860">
      <w:pPr>
        <w:pStyle w:val="ListParagraph"/>
        <w:numPr>
          <w:ilvl w:val="0"/>
          <w:numId w:val="1"/>
        </w:numPr>
        <w:spacing w:after="0" w:line="240" w:lineRule="auto"/>
        <w:ind w:left="360" w:right="130"/>
        <w:contextualSpacing w:val="0"/>
        <w:jc w:val="both"/>
        <w:rPr>
          <w:rFonts w:ascii="Times New Roman" w:hAnsi="Times New Roman"/>
          <w:color w:val="000000"/>
          <w:spacing w:val="3"/>
          <w:sz w:val="20"/>
          <w:szCs w:val="18"/>
          <w:lang w:val="it-IT"/>
        </w:rPr>
      </w:pPr>
      <w:r w:rsidRPr="003A3BDC">
        <w:rPr>
          <w:rFonts w:ascii="Times New Roman" w:hAnsi="Times New Roman"/>
          <w:color w:val="000000"/>
          <w:sz w:val="20"/>
          <w:szCs w:val="18"/>
          <w:shd w:val="clear" w:color="auto" w:fill="FFFFFF"/>
        </w:rPr>
        <w:t>Boersma, E., Harrington, R. A., Moliterno, D. J., White, H., Théroux, P., Van de Werf, F. &amp; Simoons, M. L. (2002). Platelet glycoprotein IIb/IIIa inhibitors in acute coronary syndromes: a meta-analysis of all major randomised clinical trials.</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The Lancet</w:t>
      </w:r>
      <w:r w:rsidRPr="003A3BDC">
        <w:rPr>
          <w:rFonts w:ascii="Times New Roman" w:hAnsi="Times New Roman"/>
          <w:color w:val="000000"/>
          <w:sz w:val="20"/>
          <w:szCs w:val="18"/>
          <w:shd w:val="clear" w:color="auto" w:fill="FFFFFF"/>
        </w:rPr>
        <w:t>,</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 xml:space="preserve">359 </w:t>
      </w:r>
      <w:r w:rsidRPr="003A3BDC">
        <w:rPr>
          <w:rFonts w:ascii="Times New Roman" w:hAnsi="Times New Roman"/>
          <w:color w:val="000000"/>
          <w:sz w:val="20"/>
          <w:szCs w:val="18"/>
          <w:shd w:val="clear" w:color="auto" w:fill="FFFFFF"/>
        </w:rPr>
        <w:t>(9302): 189 –198.</w:t>
      </w:r>
    </w:p>
    <w:p w:rsidR="00CC0860" w:rsidRPr="003A3BDC" w:rsidRDefault="00CC0860" w:rsidP="00CC0860">
      <w:pPr>
        <w:pStyle w:val="ListParagraph"/>
        <w:numPr>
          <w:ilvl w:val="0"/>
          <w:numId w:val="1"/>
        </w:numPr>
        <w:spacing w:after="0" w:line="240" w:lineRule="auto"/>
        <w:ind w:left="360" w:right="130"/>
        <w:contextualSpacing w:val="0"/>
        <w:jc w:val="both"/>
        <w:rPr>
          <w:rFonts w:ascii="Times New Roman" w:hAnsi="Times New Roman"/>
          <w:color w:val="000000"/>
          <w:spacing w:val="3"/>
          <w:sz w:val="20"/>
          <w:szCs w:val="18"/>
          <w:lang w:val="it-IT"/>
        </w:rPr>
      </w:pPr>
      <w:r w:rsidRPr="003A3BDC">
        <w:rPr>
          <w:rFonts w:ascii="Times New Roman" w:hAnsi="Times New Roman"/>
          <w:color w:val="000000"/>
          <w:sz w:val="20"/>
          <w:szCs w:val="18"/>
          <w:shd w:val="clear" w:color="auto" w:fill="FFFFFF"/>
        </w:rPr>
        <w:t>Yusuf, S., Zhao, F., Mehta, S. R., Chrolavicius, S., Tognoni, G. and Fox, K. K. (2001). Clopidogrel in Unstable Angina to Prevent Recurrent Events Trial Investigators. Effects of clopidogrel in addition to aspirin in patients with acute coronary syndromes without ST-segment elevation.</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New England Journal Medicine</w:t>
      </w:r>
      <w:r w:rsidRPr="003A3BDC">
        <w:rPr>
          <w:rFonts w:ascii="Times New Roman" w:hAnsi="Times New Roman"/>
          <w:color w:val="000000"/>
          <w:sz w:val="20"/>
          <w:szCs w:val="18"/>
          <w:shd w:val="clear" w:color="auto" w:fill="FFFFFF"/>
        </w:rPr>
        <w:t>,</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345</w:t>
      </w:r>
      <w:r w:rsidRPr="003A3BDC">
        <w:rPr>
          <w:rFonts w:ascii="Times New Roman" w:hAnsi="Times New Roman"/>
          <w:color w:val="000000"/>
          <w:sz w:val="20"/>
          <w:szCs w:val="18"/>
          <w:shd w:val="clear" w:color="auto" w:fill="FFFFFF"/>
        </w:rPr>
        <w:t>(7):  494 –502.</w:t>
      </w:r>
    </w:p>
    <w:p w:rsidR="00CC0860" w:rsidRPr="003A3BDC" w:rsidRDefault="00CC0860" w:rsidP="00CC0860">
      <w:pPr>
        <w:pStyle w:val="ListParagraph"/>
        <w:numPr>
          <w:ilvl w:val="0"/>
          <w:numId w:val="1"/>
        </w:numPr>
        <w:spacing w:after="0" w:line="240" w:lineRule="auto"/>
        <w:ind w:left="360" w:right="130"/>
        <w:contextualSpacing w:val="0"/>
        <w:jc w:val="both"/>
        <w:rPr>
          <w:rFonts w:ascii="Times New Roman" w:hAnsi="Times New Roman"/>
          <w:color w:val="000000"/>
          <w:spacing w:val="3"/>
          <w:sz w:val="20"/>
          <w:szCs w:val="18"/>
          <w:lang w:val="it-IT"/>
        </w:rPr>
      </w:pPr>
      <w:r w:rsidRPr="003A3BDC">
        <w:rPr>
          <w:rFonts w:ascii="Times New Roman" w:hAnsi="Times New Roman"/>
          <w:color w:val="000000"/>
          <w:sz w:val="20"/>
          <w:szCs w:val="18"/>
          <w:shd w:val="clear" w:color="auto" w:fill="FFFFFF"/>
        </w:rPr>
        <w:t>Mehta, S. R., Yusuf, S., Peters, R. J., Bertrand, M. E., Lewis, B. S. and Natarajan, M. K. (2001). Clopidogrel in Unstable Angina to Prevent Recurrent Events Trial (CURE) Investigators. Effects of pretreatment with clopidogrel and aspirin followed by long-term therapy in patients undergoing percutaneous coronary intervention: the PCI-CURE study.</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The Lancet</w:t>
      </w:r>
      <w:r w:rsidRPr="003A3BDC">
        <w:rPr>
          <w:rFonts w:ascii="Times New Roman" w:hAnsi="Times New Roman"/>
          <w:color w:val="000000"/>
          <w:sz w:val="20"/>
          <w:szCs w:val="18"/>
          <w:shd w:val="clear" w:color="auto" w:fill="FFFFFF"/>
        </w:rPr>
        <w:t>,</w:t>
      </w:r>
      <w:r w:rsidRPr="003A3BDC">
        <w:rPr>
          <w:rFonts w:ascii="Times New Roman" w:hAnsi="Times New Roman"/>
          <w:i/>
          <w:iCs/>
          <w:color w:val="000000"/>
          <w:sz w:val="20"/>
          <w:szCs w:val="18"/>
          <w:shd w:val="clear" w:color="auto" w:fill="FFFFFF"/>
        </w:rPr>
        <w:t xml:space="preserve"> 358 </w:t>
      </w:r>
      <w:r w:rsidRPr="003A3BDC">
        <w:rPr>
          <w:rFonts w:ascii="Times New Roman" w:hAnsi="Times New Roman"/>
          <w:color w:val="000000"/>
          <w:sz w:val="20"/>
          <w:szCs w:val="18"/>
          <w:shd w:val="clear" w:color="auto" w:fill="FFFFFF"/>
        </w:rPr>
        <w:t>(9281): 527 – 533.</w:t>
      </w:r>
    </w:p>
    <w:p w:rsidR="00CC0860" w:rsidRPr="003A3BDC" w:rsidRDefault="00CC0860" w:rsidP="00CC0860">
      <w:pPr>
        <w:pStyle w:val="ListParagraph"/>
        <w:numPr>
          <w:ilvl w:val="0"/>
          <w:numId w:val="1"/>
        </w:numPr>
        <w:spacing w:after="0" w:line="240" w:lineRule="auto"/>
        <w:ind w:left="360" w:right="130"/>
        <w:contextualSpacing w:val="0"/>
        <w:jc w:val="both"/>
        <w:rPr>
          <w:rFonts w:ascii="Times New Roman" w:hAnsi="Times New Roman"/>
          <w:color w:val="000000"/>
          <w:spacing w:val="3"/>
          <w:sz w:val="20"/>
          <w:szCs w:val="18"/>
          <w:lang w:val="it-IT"/>
        </w:rPr>
      </w:pPr>
      <w:r w:rsidRPr="003A3BDC">
        <w:rPr>
          <w:rFonts w:ascii="Times New Roman" w:hAnsi="Times New Roman"/>
          <w:color w:val="000000"/>
          <w:sz w:val="20"/>
          <w:szCs w:val="18"/>
          <w:shd w:val="clear" w:color="auto" w:fill="FFFFFF"/>
        </w:rPr>
        <w:t>PURSUIT Trial Investigators. (1998). Inhibition of platelet glucoprotein IIb/IIIa with eptifibatide in patients with acute coronary syndromes. Platelet glycoprotein IIb/IIIa in unstable angina. Receptor suppression using integrilin therapy.</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New England Journal Medicine</w:t>
      </w:r>
      <w:r w:rsidRPr="003A3BDC">
        <w:rPr>
          <w:rFonts w:ascii="Times New Roman" w:hAnsi="Times New Roman"/>
          <w:color w:val="000000"/>
          <w:sz w:val="20"/>
          <w:szCs w:val="18"/>
          <w:shd w:val="clear" w:color="auto" w:fill="FFFFFF"/>
        </w:rPr>
        <w:t>,</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Cs/>
          <w:color w:val="000000"/>
          <w:sz w:val="20"/>
          <w:szCs w:val="18"/>
          <w:shd w:val="clear" w:color="auto" w:fill="FFFFFF"/>
        </w:rPr>
        <w:t>339</w:t>
      </w:r>
      <w:r w:rsidRPr="003A3BDC">
        <w:rPr>
          <w:rFonts w:ascii="Times New Roman" w:hAnsi="Times New Roman"/>
          <w:color w:val="000000"/>
          <w:sz w:val="20"/>
          <w:szCs w:val="18"/>
          <w:shd w:val="clear" w:color="auto" w:fill="FFFFFF"/>
        </w:rPr>
        <w:t>: 436 – 443.</w:t>
      </w:r>
    </w:p>
    <w:p w:rsidR="00CC0860" w:rsidRPr="003A3BDC" w:rsidRDefault="00CC0860" w:rsidP="00CC0860">
      <w:pPr>
        <w:pStyle w:val="ListParagraph"/>
        <w:numPr>
          <w:ilvl w:val="0"/>
          <w:numId w:val="1"/>
        </w:numPr>
        <w:spacing w:after="0" w:line="240" w:lineRule="auto"/>
        <w:ind w:left="360" w:right="130"/>
        <w:contextualSpacing w:val="0"/>
        <w:jc w:val="both"/>
        <w:rPr>
          <w:rFonts w:ascii="Times New Roman" w:hAnsi="Times New Roman"/>
          <w:color w:val="000000"/>
          <w:spacing w:val="3"/>
          <w:sz w:val="20"/>
          <w:szCs w:val="18"/>
          <w:lang w:val="it-IT"/>
        </w:rPr>
      </w:pPr>
      <w:r w:rsidRPr="003A3BDC">
        <w:rPr>
          <w:rFonts w:ascii="Times New Roman" w:hAnsi="Times New Roman"/>
          <w:color w:val="000000"/>
          <w:sz w:val="20"/>
          <w:szCs w:val="18"/>
          <w:shd w:val="clear" w:color="auto" w:fill="FFFFFF"/>
        </w:rPr>
        <w:t>PRISM Study Investigators. (1998). A comparison of aspirin plus tirofiban with aspirin plus heparin for unstable angina.</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New England Journal Medicine</w:t>
      </w:r>
      <w:r w:rsidRPr="003A3BDC">
        <w:rPr>
          <w:rFonts w:ascii="Times New Roman" w:hAnsi="Times New Roman"/>
          <w:color w:val="000000"/>
          <w:sz w:val="20"/>
          <w:szCs w:val="18"/>
          <w:shd w:val="clear" w:color="auto" w:fill="FFFFFF"/>
        </w:rPr>
        <w:t>,</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Cs/>
          <w:color w:val="000000"/>
          <w:sz w:val="20"/>
          <w:szCs w:val="18"/>
          <w:shd w:val="clear" w:color="auto" w:fill="FFFFFF"/>
        </w:rPr>
        <w:t xml:space="preserve">338 </w:t>
      </w:r>
      <w:r w:rsidRPr="003A3BDC">
        <w:rPr>
          <w:rFonts w:ascii="Times New Roman" w:hAnsi="Times New Roman"/>
          <w:color w:val="000000"/>
          <w:sz w:val="20"/>
          <w:szCs w:val="18"/>
          <w:shd w:val="clear" w:color="auto" w:fill="FFFFFF"/>
        </w:rPr>
        <w:t>(21): 1498 – 505.</w:t>
      </w:r>
    </w:p>
    <w:p w:rsidR="00CC0860" w:rsidRPr="003A3BDC" w:rsidRDefault="00CC0860" w:rsidP="00CC0860">
      <w:pPr>
        <w:pStyle w:val="ListParagraph"/>
        <w:numPr>
          <w:ilvl w:val="0"/>
          <w:numId w:val="1"/>
        </w:numPr>
        <w:spacing w:after="0" w:line="240" w:lineRule="auto"/>
        <w:ind w:left="360" w:right="130"/>
        <w:contextualSpacing w:val="0"/>
        <w:jc w:val="both"/>
        <w:rPr>
          <w:rFonts w:ascii="Times New Roman" w:hAnsi="Times New Roman"/>
          <w:color w:val="000000"/>
          <w:spacing w:val="3"/>
          <w:sz w:val="20"/>
          <w:szCs w:val="18"/>
          <w:lang w:val="it-IT"/>
        </w:rPr>
      </w:pPr>
      <w:r w:rsidRPr="003A3BDC">
        <w:rPr>
          <w:rFonts w:ascii="Times New Roman" w:hAnsi="Times New Roman"/>
          <w:color w:val="000000"/>
          <w:sz w:val="20"/>
          <w:szCs w:val="18"/>
          <w:shd w:val="clear" w:color="auto" w:fill="FFFFFF"/>
        </w:rPr>
        <w:t xml:space="preserve">GUSTO IV-ACS Investigators. (2001). Effect of glycoprotein IIb/IIIa receptor blocker abciximab on outcome in patients with acute coronary syndromes without early coronary revascularisation: the GUSTO IV-ACS randomised trial. </w:t>
      </w:r>
      <w:r w:rsidRPr="003A3BDC">
        <w:rPr>
          <w:rFonts w:ascii="Times New Roman" w:hAnsi="Times New Roman"/>
          <w:i/>
          <w:iCs/>
          <w:color w:val="000000"/>
          <w:sz w:val="20"/>
          <w:szCs w:val="18"/>
          <w:shd w:val="clear" w:color="auto" w:fill="FFFFFF"/>
        </w:rPr>
        <w:t>The Lancet</w:t>
      </w:r>
      <w:r w:rsidRPr="003A3BDC">
        <w:rPr>
          <w:rFonts w:ascii="Times New Roman" w:hAnsi="Times New Roman"/>
          <w:color w:val="000000"/>
          <w:sz w:val="20"/>
          <w:szCs w:val="18"/>
          <w:shd w:val="clear" w:color="auto" w:fill="FFFFFF"/>
        </w:rPr>
        <w:t>,</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Cs/>
          <w:color w:val="000000"/>
          <w:sz w:val="20"/>
          <w:szCs w:val="18"/>
          <w:shd w:val="clear" w:color="auto" w:fill="FFFFFF"/>
        </w:rPr>
        <w:t>357</w:t>
      </w:r>
      <w:r w:rsidRPr="003A3BDC">
        <w:rPr>
          <w:rFonts w:ascii="Times New Roman" w:hAnsi="Times New Roman"/>
          <w:color w:val="000000"/>
          <w:sz w:val="20"/>
          <w:szCs w:val="18"/>
          <w:shd w:val="clear" w:color="auto" w:fill="FFFFFF"/>
        </w:rPr>
        <w:t>(9272): 1915 –1924.</w:t>
      </w:r>
    </w:p>
    <w:p w:rsidR="00CC0860" w:rsidRPr="003A3BDC" w:rsidRDefault="00CC0860" w:rsidP="00CC0860">
      <w:pPr>
        <w:pStyle w:val="ListParagraph"/>
        <w:numPr>
          <w:ilvl w:val="0"/>
          <w:numId w:val="1"/>
        </w:numPr>
        <w:spacing w:after="0" w:line="240" w:lineRule="auto"/>
        <w:ind w:left="360" w:right="130"/>
        <w:contextualSpacing w:val="0"/>
        <w:jc w:val="both"/>
        <w:rPr>
          <w:rFonts w:ascii="Times New Roman" w:hAnsi="Times New Roman"/>
          <w:color w:val="000000"/>
          <w:spacing w:val="3"/>
          <w:sz w:val="20"/>
          <w:szCs w:val="18"/>
          <w:lang w:val="it-IT"/>
        </w:rPr>
      </w:pPr>
      <w:r w:rsidRPr="003A3BDC">
        <w:rPr>
          <w:rFonts w:ascii="Times New Roman" w:hAnsi="Times New Roman"/>
          <w:color w:val="000000"/>
          <w:sz w:val="20"/>
          <w:szCs w:val="18"/>
          <w:shd w:val="clear" w:color="auto" w:fill="FFFFFF"/>
        </w:rPr>
        <w:t>Ragmin, F. (1999). Fast Revascularisation during InStability in Coronary artery disease (FRISC II) Investigators. Invasive compared with non-invasive treatment in unstable coronary-artery disease: FRISC II prospective randomised multicentre study.</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The Lancet</w:t>
      </w:r>
      <w:r w:rsidRPr="003A3BDC">
        <w:rPr>
          <w:rFonts w:ascii="Times New Roman" w:hAnsi="Times New Roman"/>
          <w:color w:val="000000"/>
          <w:sz w:val="20"/>
          <w:szCs w:val="18"/>
          <w:shd w:val="clear" w:color="auto" w:fill="FFFFFF"/>
        </w:rPr>
        <w:t>,</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Cs/>
          <w:color w:val="000000"/>
          <w:sz w:val="20"/>
          <w:szCs w:val="18"/>
          <w:shd w:val="clear" w:color="auto" w:fill="FFFFFF"/>
        </w:rPr>
        <w:t>354</w:t>
      </w:r>
      <w:r w:rsidRPr="003A3BDC">
        <w:rPr>
          <w:rFonts w:ascii="Times New Roman" w:hAnsi="Times New Roman"/>
          <w:color w:val="000000"/>
          <w:sz w:val="20"/>
          <w:szCs w:val="18"/>
          <w:shd w:val="clear" w:color="auto" w:fill="FFFFFF"/>
        </w:rPr>
        <w:t>(9180):  708 – 715.</w:t>
      </w:r>
    </w:p>
    <w:p w:rsidR="00CC0860" w:rsidRPr="003A3BDC" w:rsidRDefault="00CC0860" w:rsidP="00CC0860">
      <w:pPr>
        <w:pStyle w:val="ListParagraph"/>
        <w:numPr>
          <w:ilvl w:val="0"/>
          <w:numId w:val="1"/>
        </w:numPr>
        <w:spacing w:after="0" w:line="240" w:lineRule="auto"/>
        <w:ind w:left="360" w:right="130"/>
        <w:contextualSpacing w:val="0"/>
        <w:jc w:val="both"/>
        <w:rPr>
          <w:rFonts w:ascii="Times New Roman" w:hAnsi="Times New Roman"/>
          <w:color w:val="000000"/>
          <w:spacing w:val="3"/>
          <w:sz w:val="20"/>
          <w:szCs w:val="18"/>
          <w:lang w:val="it-IT"/>
        </w:rPr>
      </w:pPr>
      <w:r w:rsidRPr="003A3BDC">
        <w:rPr>
          <w:rFonts w:ascii="Times New Roman" w:hAnsi="Times New Roman"/>
          <w:color w:val="000000"/>
          <w:sz w:val="20"/>
          <w:szCs w:val="18"/>
          <w:shd w:val="clear" w:color="auto" w:fill="FFFFFF"/>
        </w:rPr>
        <w:t>Wallentin, L., Lagerqvist, B., Husted, S., Kontny, F., Ståhle, E. and Swahn, E. (2000). Outcome at 1 year after an invasive compared with a non-invasive strategy in unstable coronary-artery disease: the FRISC II invasive randomised trial.</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The Lancet</w:t>
      </w:r>
      <w:r w:rsidRPr="003A3BDC">
        <w:rPr>
          <w:rFonts w:ascii="Times New Roman" w:hAnsi="Times New Roman"/>
          <w:color w:val="000000"/>
          <w:sz w:val="20"/>
          <w:szCs w:val="18"/>
          <w:shd w:val="clear" w:color="auto" w:fill="FFFFFF"/>
        </w:rPr>
        <w:t>,</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356</w:t>
      </w:r>
      <w:r w:rsidRPr="003A3BDC">
        <w:rPr>
          <w:rFonts w:ascii="Times New Roman" w:hAnsi="Times New Roman"/>
          <w:color w:val="000000"/>
          <w:sz w:val="20"/>
          <w:szCs w:val="18"/>
          <w:shd w:val="clear" w:color="auto" w:fill="FFFFFF"/>
        </w:rPr>
        <w:t>(9223):  9 –16.</w:t>
      </w:r>
    </w:p>
    <w:p w:rsidR="00CC0860" w:rsidRPr="003A3BDC" w:rsidRDefault="00CC0860" w:rsidP="00CC0860">
      <w:pPr>
        <w:pStyle w:val="ListParagraph"/>
        <w:numPr>
          <w:ilvl w:val="0"/>
          <w:numId w:val="1"/>
        </w:numPr>
        <w:spacing w:after="0" w:line="240" w:lineRule="auto"/>
        <w:ind w:left="360" w:right="130"/>
        <w:contextualSpacing w:val="0"/>
        <w:jc w:val="both"/>
        <w:rPr>
          <w:rFonts w:ascii="Times New Roman" w:hAnsi="Times New Roman"/>
          <w:color w:val="000000"/>
          <w:spacing w:val="3"/>
          <w:sz w:val="20"/>
          <w:szCs w:val="18"/>
          <w:lang w:val="it-IT"/>
        </w:rPr>
      </w:pPr>
      <w:r w:rsidRPr="003A3BDC">
        <w:rPr>
          <w:rFonts w:ascii="Times New Roman" w:hAnsi="Times New Roman"/>
          <w:color w:val="000000"/>
          <w:sz w:val="20"/>
          <w:szCs w:val="18"/>
          <w:shd w:val="clear" w:color="auto" w:fill="FFFFFF"/>
        </w:rPr>
        <w:t>Cannon, C. P., Weintraub, W. S., Demopoulos, L. A., Vicari, R., Frey, M. J., Lakkis, N. and Braunwald, E. (2001). Comparison of early invasive and conservative strategies in patients with unstable coronary syndromes treated with the glycoprotein IIb/IIIa inhibitor tirofiban.</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New England Journal of Medicine</w:t>
      </w:r>
      <w:r w:rsidRPr="003A3BDC">
        <w:rPr>
          <w:rFonts w:ascii="Times New Roman" w:hAnsi="Times New Roman"/>
          <w:color w:val="000000"/>
          <w:sz w:val="20"/>
          <w:szCs w:val="18"/>
          <w:shd w:val="clear" w:color="auto" w:fill="FFFFFF"/>
        </w:rPr>
        <w:t>,</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344 (</w:t>
      </w:r>
      <w:r w:rsidRPr="003A3BDC">
        <w:rPr>
          <w:rFonts w:ascii="Times New Roman" w:hAnsi="Times New Roman"/>
          <w:color w:val="000000"/>
          <w:sz w:val="20"/>
          <w:szCs w:val="18"/>
          <w:shd w:val="clear" w:color="auto" w:fill="FFFFFF"/>
        </w:rPr>
        <w:t>25): 1879 –1887.</w:t>
      </w:r>
    </w:p>
    <w:p w:rsidR="00CC0860" w:rsidRPr="003A3BDC" w:rsidRDefault="00CC0860" w:rsidP="00CC0860">
      <w:pPr>
        <w:pStyle w:val="ListParagraph"/>
        <w:numPr>
          <w:ilvl w:val="0"/>
          <w:numId w:val="1"/>
        </w:numPr>
        <w:spacing w:after="0" w:line="240" w:lineRule="auto"/>
        <w:ind w:left="360" w:right="130"/>
        <w:contextualSpacing w:val="0"/>
        <w:jc w:val="both"/>
        <w:rPr>
          <w:rFonts w:ascii="Times New Roman" w:hAnsi="Times New Roman"/>
          <w:color w:val="000000"/>
          <w:spacing w:val="3"/>
          <w:sz w:val="20"/>
          <w:szCs w:val="18"/>
          <w:lang w:val="it-IT"/>
        </w:rPr>
      </w:pPr>
      <w:r w:rsidRPr="003A3BDC">
        <w:rPr>
          <w:rFonts w:ascii="Times New Roman" w:hAnsi="Times New Roman"/>
          <w:color w:val="000000"/>
          <w:sz w:val="20"/>
          <w:szCs w:val="18"/>
          <w:shd w:val="clear" w:color="auto" w:fill="FFFFFF"/>
        </w:rPr>
        <w:t>Berkowitz, S. D., Granger, C. B., Pieper, K. S., Lee, K. L., Gore, J. M., Simoons, M. and  Califf, R. M. (1997). Incidence and predictors of bleeding after contemporary thrombolytic therapy for myocardial infarction.</w:t>
      </w:r>
      <w:r w:rsidRPr="003A3BDC">
        <w:rPr>
          <w:rStyle w:val="apple-converted-space"/>
          <w:rFonts w:ascii="Times New Roman" w:hAnsi="Times New Roman"/>
          <w:color w:val="000000"/>
          <w:sz w:val="20"/>
          <w:szCs w:val="18"/>
          <w:shd w:val="clear" w:color="auto" w:fill="FFFFFF"/>
        </w:rPr>
        <w:t> </w:t>
      </w:r>
      <w:r w:rsidRPr="003A3BDC">
        <w:rPr>
          <w:rFonts w:ascii="Times New Roman" w:hAnsi="Times New Roman"/>
          <w:i/>
          <w:iCs/>
          <w:color w:val="000000"/>
          <w:sz w:val="20"/>
          <w:szCs w:val="18"/>
          <w:shd w:val="clear" w:color="auto" w:fill="FFFFFF"/>
        </w:rPr>
        <w:t>Circulation</w:t>
      </w:r>
      <w:r w:rsidRPr="003A3BDC">
        <w:rPr>
          <w:rFonts w:ascii="Times New Roman" w:hAnsi="Times New Roman"/>
          <w:color w:val="000000"/>
          <w:sz w:val="20"/>
          <w:szCs w:val="18"/>
          <w:shd w:val="clear" w:color="auto" w:fill="FFFFFF"/>
        </w:rPr>
        <w:t xml:space="preserve">, </w:t>
      </w:r>
      <w:r w:rsidRPr="003A3BDC">
        <w:rPr>
          <w:rFonts w:ascii="Times New Roman" w:hAnsi="Times New Roman"/>
          <w:i/>
          <w:iCs/>
          <w:color w:val="000000"/>
          <w:sz w:val="20"/>
          <w:szCs w:val="18"/>
          <w:shd w:val="clear" w:color="auto" w:fill="FFFFFF"/>
        </w:rPr>
        <w:t xml:space="preserve">95 </w:t>
      </w:r>
      <w:r w:rsidRPr="003A3BDC">
        <w:rPr>
          <w:rFonts w:ascii="Times New Roman" w:hAnsi="Times New Roman"/>
          <w:color w:val="000000"/>
          <w:sz w:val="20"/>
          <w:szCs w:val="18"/>
          <w:shd w:val="clear" w:color="auto" w:fill="FFFFFF"/>
        </w:rPr>
        <w:t>(11):  2508 – 25</w:t>
      </w:r>
      <w:r w:rsidRPr="003A3BDC">
        <w:rPr>
          <w:rFonts w:ascii="Times New Roman" w:hAnsi="Times New Roman"/>
          <w:color w:val="222222"/>
          <w:sz w:val="20"/>
          <w:szCs w:val="18"/>
          <w:shd w:val="clear" w:color="auto" w:fill="FFFFFF"/>
        </w:rPr>
        <w:t>16.</w:t>
      </w:r>
    </w:p>
    <w:p w:rsidR="00CC0860" w:rsidRPr="00CC0860" w:rsidRDefault="00CC0860" w:rsidP="00CC0860">
      <w:pPr>
        <w:widowControl w:val="0"/>
        <w:overflowPunct w:val="0"/>
        <w:autoSpaceDE w:val="0"/>
        <w:autoSpaceDN w:val="0"/>
        <w:adjustRightInd w:val="0"/>
        <w:spacing w:after="0" w:line="240" w:lineRule="auto"/>
        <w:ind w:right="20"/>
        <w:jc w:val="both"/>
        <w:rPr>
          <w:rFonts w:ascii="Times New Roman" w:hAnsi="Times New Roman"/>
          <w:sz w:val="20"/>
          <w:szCs w:val="20"/>
        </w:rPr>
      </w:pPr>
    </w:p>
    <w:sectPr w:rsidR="00CC0860" w:rsidRPr="00CC0860" w:rsidSect="00CC0860">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37134"/>
    <w:multiLevelType w:val="hybridMultilevel"/>
    <w:tmpl w:val="32D47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860"/>
    <w:rsid w:val="00320216"/>
    <w:rsid w:val="009137D4"/>
    <w:rsid w:val="00C27FA2"/>
    <w:rsid w:val="00CC0860"/>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86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
    <w:name w:val="_pe_r"/>
    <w:basedOn w:val="DefaultParagraphFont"/>
    <w:rsid w:val="00CC0860"/>
  </w:style>
  <w:style w:type="paragraph" w:styleId="ListParagraph">
    <w:name w:val="List Paragraph"/>
    <w:basedOn w:val="Normal"/>
    <w:uiPriority w:val="34"/>
    <w:qFormat/>
    <w:rsid w:val="00CC0860"/>
    <w:pPr>
      <w:ind w:left="720"/>
      <w:contextualSpacing/>
    </w:pPr>
  </w:style>
  <w:style w:type="character" w:customStyle="1" w:styleId="apple-converted-space">
    <w:name w:val="apple-converted-space"/>
    <w:basedOn w:val="DefaultParagraphFont"/>
    <w:rsid w:val="00CC08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86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
    <w:name w:val="_pe_r"/>
    <w:basedOn w:val="DefaultParagraphFont"/>
    <w:rsid w:val="00CC0860"/>
  </w:style>
  <w:style w:type="paragraph" w:styleId="ListParagraph">
    <w:name w:val="List Paragraph"/>
    <w:basedOn w:val="Normal"/>
    <w:uiPriority w:val="34"/>
    <w:qFormat/>
    <w:rsid w:val="00CC0860"/>
    <w:pPr>
      <w:ind w:left="720"/>
      <w:contextualSpacing/>
    </w:pPr>
  </w:style>
  <w:style w:type="character" w:customStyle="1" w:styleId="apple-converted-space">
    <w:name w:val="apple-converted-space"/>
    <w:basedOn w:val="DefaultParagraphFont"/>
    <w:rsid w:val="00CC0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2016-03-21T07:39:00Z</dcterms:created>
  <dcterms:modified xsi:type="dcterms:W3CDTF">2016-04-14T11:59:00Z</dcterms:modified>
</cp:coreProperties>
</file>