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923" w:rsidRDefault="00237923" w:rsidP="00237923">
      <w:pPr>
        <w:spacing w:after="0" w:line="240" w:lineRule="auto"/>
        <w:outlineLvl w:val="0"/>
        <w:rPr>
          <w:rFonts w:ascii="Times New Roman" w:eastAsia="Malgun Gothic" w:hAnsi="Times New Roman"/>
          <w:sz w:val="24"/>
          <w:szCs w:val="24"/>
        </w:rPr>
      </w:pPr>
      <w:r>
        <w:rPr>
          <w:rFonts w:ascii="Times New Roman" w:eastAsia="Malgun Gothic" w:hAnsi="Times New Roman"/>
          <w:sz w:val="24"/>
          <w:szCs w:val="24"/>
        </w:rPr>
        <w:t>Malaysian Journal of Analytical Sciences Vol 20 No 2 (2016): 365 - 372</w:t>
      </w:r>
    </w:p>
    <w:p w:rsidR="00237923" w:rsidRDefault="00237923" w:rsidP="00237923">
      <w:pPr>
        <w:spacing w:after="0" w:line="240" w:lineRule="auto"/>
        <w:outlineLvl w:val="0"/>
        <w:rPr>
          <w:rFonts w:ascii="Times New Roman" w:eastAsia="Malgun Gothic" w:hAnsi="Times New Roman"/>
          <w:sz w:val="24"/>
          <w:szCs w:val="24"/>
        </w:rPr>
      </w:pPr>
    </w:p>
    <w:p w:rsidR="00237923" w:rsidRDefault="00237923" w:rsidP="00237923">
      <w:pPr>
        <w:spacing w:after="0" w:line="240" w:lineRule="auto"/>
        <w:outlineLvl w:val="0"/>
        <w:rPr>
          <w:rFonts w:ascii="Times New Roman" w:eastAsia="Malgun Gothic" w:hAnsi="Times New Roman"/>
          <w:sz w:val="24"/>
          <w:szCs w:val="24"/>
        </w:rPr>
      </w:pPr>
    </w:p>
    <w:p w:rsidR="00237923" w:rsidRPr="00237923" w:rsidRDefault="00237923" w:rsidP="00237923">
      <w:pPr>
        <w:spacing w:after="0" w:line="240" w:lineRule="auto"/>
        <w:outlineLvl w:val="0"/>
        <w:rPr>
          <w:rFonts w:ascii="Times New Roman" w:eastAsia="Malgun Gothic" w:hAnsi="Times New Roman"/>
          <w:sz w:val="24"/>
          <w:szCs w:val="24"/>
        </w:rPr>
      </w:pPr>
    </w:p>
    <w:p w:rsidR="00237923" w:rsidRDefault="00237923" w:rsidP="00237923">
      <w:pPr>
        <w:spacing w:after="0" w:line="240" w:lineRule="auto"/>
        <w:jc w:val="center"/>
        <w:outlineLvl w:val="0"/>
        <w:rPr>
          <w:rFonts w:ascii="Times New Roman" w:eastAsia="Malgun Gothic" w:hAnsi="Times New Roman"/>
          <w:sz w:val="28"/>
        </w:rPr>
      </w:pPr>
      <w:r w:rsidRPr="002A1FE4">
        <w:rPr>
          <w:rFonts w:ascii="Times New Roman" w:eastAsia="Malgun Gothic" w:hAnsi="Times New Roman"/>
          <w:sz w:val="28"/>
        </w:rPr>
        <w:t xml:space="preserve">IDENTIFICATION OF HAZARDOUS EVENTS FOR DRINKING WATER PRODUCTION PROCESS USING MANAGED AQUIFER RECHARGE </w:t>
      </w:r>
    </w:p>
    <w:p w:rsidR="00237923" w:rsidRDefault="00237923" w:rsidP="00237923">
      <w:pPr>
        <w:spacing w:after="0" w:line="240" w:lineRule="auto"/>
        <w:jc w:val="center"/>
        <w:outlineLvl w:val="0"/>
        <w:rPr>
          <w:rFonts w:ascii="Times New Roman" w:eastAsia="Malgun Gothic" w:hAnsi="Times New Roman"/>
          <w:sz w:val="28"/>
        </w:rPr>
      </w:pPr>
      <w:r w:rsidRPr="002A1FE4">
        <w:rPr>
          <w:rFonts w:ascii="Times New Roman" w:eastAsia="Malgun Gothic" w:hAnsi="Times New Roman"/>
          <w:sz w:val="28"/>
        </w:rPr>
        <w:t>IN THE NAKDONG RIVER DELTA, KOREA</w:t>
      </w:r>
    </w:p>
    <w:p w:rsidR="00237923" w:rsidRPr="00F447A7" w:rsidRDefault="00237923" w:rsidP="00237923">
      <w:pPr>
        <w:spacing w:after="0" w:line="240" w:lineRule="auto"/>
        <w:jc w:val="center"/>
        <w:rPr>
          <w:rFonts w:ascii="Times New Roman" w:hAnsi="Times New Roman"/>
          <w:noProof/>
          <w:sz w:val="24"/>
          <w:szCs w:val="24"/>
          <w:lang w:bidi="ar-SA"/>
        </w:rPr>
      </w:pPr>
    </w:p>
    <w:p w:rsidR="00237923" w:rsidRPr="00F21D2E" w:rsidRDefault="00237923" w:rsidP="00237923">
      <w:pPr>
        <w:spacing w:after="0" w:line="240" w:lineRule="auto"/>
        <w:jc w:val="center"/>
        <w:outlineLvl w:val="0"/>
        <w:rPr>
          <w:rFonts w:ascii="Times New Roman" w:eastAsia="Malgun Gothic" w:hAnsi="Times New Roman"/>
          <w:sz w:val="24"/>
          <w:szCs w:val="24"/>
        </w:rPr>
      </w:pPr>
      <w:r>
        <w:rPr>
          <w:rFonts w:ascii="Times New Roman" w:hAnsi="Times New Roman"/>
          <w:noProof/>
          <w:sz w:val="24"/>
          <w:szCs w:val="24"/>
          <w:lang w:bidi="ar-SA"/>
        </w:rPr>
        <w:t>(</w:t>
      </w:r>
      <w:r w:rsidRPr="001310D4">
        <w:rPr>
          <w:rFonts w:ascii="Times New Roman" w:eastAsia="Malgun Gothic" w:hAnsi="Times New Roman"/>
          <w:sz w:val="24"/>
          <w:szCs w:val="24"/>
        </w:rPr>
        <w:t>Pengenalpastian Kejadian Berbahaya bagi Proses Pengeluaran Air Minuman Menggunakan Akuifer Terkawal Cas Semula dalam Delta Sungai Nakdong, Korea</w:t>
      </w:r>
      <w:r w:rsidRPr="00F447A7">
        <w:rPr>
          <w:rFonts w:ascii="Times New Roman" w:hAnsi="Times New Roman"/>
          <w:noProof/>
          <w:sz w:val="24"/>
          <w:szCs w:val="24"/>
          <w:lang w:bidi="ar-SA"/>
        </w:rPr>
        <w:t>)</w:t>
      </w:r>
    </w:p>
    <w:p w:rsidR="00237923" w:rsidRPr="00F447A7" w:rsidRDefault="00237923" w:rsidP="00237923">
      <w:pPr>
        <w:spacing w:after="0" w:line="240" w:lineRule="auto"/>
        <w:jc w:val="center"/>
        <w:rPr>
          <w:rFonts w:ascii="Times New Roman" w:hAnsi="Times New Roman"/>
          <w:noProof/>
          <w:sz w:val="20"/>
          <w:szCs w:val="20"/>
          <w:lang w:bidi="ar-SA"/>
        </w:rPr>
      </w:pPr>
    </w:p>
    <w:p w:rsidR="00237923" w:rsidRPr="00F21D2E" w:rsidRDefault="00237923" w:rsidP="00237923">
      <w:pPr>
        <w:spacing w:after="0" w:line="240" w:lineRule="auto"/>
        <w:jc w:val="center"/>
        <w:outlineLvl w:val="0"/>
        <w:rPr>
          <w:rFonts w:ascii="Times New Roman" w:eastAsia="Malgun Gothic" w:hAnsi="Times New Roman" w:hint="eastAsia"/>
          <w:sz w:val="20"/>
          <w:szCs w:val="20"/>
        </w:rPr>
      </w:pPr>
      <w:r w:rsidRPr="00F21D2E">
        <w:rPr>
          <w:rFonts w:ascii="Times New Roman" w:eastAsia="Malgun Gothic" w:hAnsi="Times New Roman" w:hint="eastAsia"/>
          <w:sz w:val="20"/>
          <w:szCs w:val="20"/>
        </w:rPr>
        <w:t>Sang-Il Lee</w:t>
      </w:r>
      <w:r w:rsidRPr="00F21D2E">
        <w:rPr>
          <w:rFonts w:ascii="Times New Roman" w:eastAsia="Malgun Gothic" w:hAnsi="Times New Roman"/>
          <w:sz w:val="20"/>
          <w:szCs w:val="20"/>
        </w:rPr>
        <w:t xml:space="preserve"> and </w:t>
      </w:r>
      <w:r w:rsidRPr="00F21D2E">
        <w:rPr>
          <w:rFonts w:ascii="Times New Roman" w:eastAsia="Malgun Gothic" w:hAnsi="Times New Roman" w:hint="eastAsia"/>
          <w:sz w:val="20"/>
          <w:szCs w:val="20"/>
        </w:rPr>
        <w:t>Hyon Wook Ji</w:t>
      </w:r>
      <w:r w:rsidRPr="00F21D2E">
        <w:rPr>
          <w:rFonts w:ascii="Times New Roman" w:hAnsi="Times New Roman"/>
          <w:sz w:val="20"/>
          <w:szCs w:val="20"/>
        </w:rPr>
        <w:t>*</w:t>
      </w:r>
    </w:p>
    <w:p w:rsidR="00237923" w:rsidRPr="00237923" w:rsidRDefault="00237923" w:rsidP="00237923">
      <w:pPr>
        <w:spacing w:after="0" w:line="240" w:lineRule="auto"/>
        <w:jc w:val="center"/>
        <w:rPr>
          <w:rFonts w:ascii="Times New Roman" w:hAnsi="Times New Roman"/>
          <w:noProof/>
          <w:sz w:val="20"/>
          <w:szCs w:val="20"/>
          <w:lang w:bidi="ar-SA"/>
        </w:rPr>
      </w:pPr>
    </w:p>
    <w:p w:rsidR="00237923" w:rsidRPr="00237923" w:rsidRDefault="00237923" w:rsidP="00237923">
      <w:pPr>
        <w:spacing w:after="0" w:line="240" w:lineRule="auto"/>
        <w:jc w:val="center"/>
        <w:outlineLvl w:val="0"/>
        <w:rPr>
          <w:rFonts w:ascii="Times New Roman" w:hAnsi="Times New Roman"/>
          <w:i/>
          <w:sz w:val="20"/>
          <w:szCs w:val="20"/>
        </w:rPr>
      </w:pPr>
      <w:r w:rsidRPr="00237923">
        <w:rPr>
          <w:rFonts w:ascii="Times New Roman" w:hAnsi="Times New Roman"/>
          <w:i/>
          <w:sz w:val="20"/>
          <w:szCs w:val="20"/>
        </w:rPr>
        <w:t xml:space="preserve">Department of Civil and Environmental Engineering, </w:t>
      </w:r>
    </w:p>
    <w:p w:rsidR="00237923" w:rsidRPr="00237923" w:rsidRDefault="00237923" w:rsidP="00237923">
      <w:pPr>
        <w:spacing w:after="0" w:line="240" w:lineRule="auto"/>
        <w:jc w:val="center"/>
        <w:outlineLvl w:val="0"/>
        <w:rPr>
          <w:rFonts w:ascii="Times New Roman" w:hAnsi="Times New Roman"/>
          <w:i/>
          <w:sz w:val="20"/>
          <w:szCs w:val="20"/>
        </w:rPr>
      </w:pPr>
      <w:r w:rsidRPr="00237923">
        <w:rPr>
          <w:rFonts w:ascii="Times New Roman" w:hAnsi="Times New Roman"/>
          <w:i/>
          <w:sz w:val="20"/>
          <w:szCs w:val="20"/>
        </w:rPr>
        <w:t>Dongguk University, 30, Pildong-ro 1-gil, Jung-gu, Seoul, Korea</w:t>
      </w:r>
    </w:p>
    <w:p w:rsidR="00237923" w:rsidRPr="00237923" w:rsidRDefault="00237923" w:rsidP="00237923">
      <w:pPr>
        <w:spacing w:after="0" w:line="240" w:lineRule="auto"/>
        <w:jc w:val="center"/>
        <w:rPr>
          <w:rFonts w:ascii="Times New Roman" w:hAnsi="Times New Roman"/>
          <w:noProof/>
          <w:sz w:val="20"/>
          <w:szCs w:val="20"/>
          <w:lang w:bidi="ar-SA"/>
        </w:rPr>
      </w:pPr>
    </w:p>
    <w:p w:rsidR="00237923" w:rsidRPr="00237923" w:rsidRDefault="00237923" w:rsidP="00237923">
      <w:pPr>
        <w:spacing w:after="0" w:line="240" w:lineRule="auto"/>
        <w:jc w:val="center"/>
        <w:outlineLvl w:val="0"/>
        <w:rPr>
          <w:rFonts w:ascii="Times New Roman" w:eastAsia="Malgun Gothic" w:hAnsi="Times New Roman"/>
          <w:i/>
          <w:color w:val="548DD4"/>
          <w:sz w:val="20"/>
          <w:szCs w:val="20"/>
        </w:rPr>
      </w:pPr>
      <w:r w:rsidRPr="00237923">
        <w:rPr>
          <w:rFonts w:ascii="Times New Roman" w:hAnsi="Times New Roman"/>
          <w:i/>
          <w:noProof/>
          <w:sz w:val="20"/>
          <w:szCs w:val="20"/>
          <w:lang w:bidi="ar-SA"/>
        </w:rPr>
        <w:t xml:space="preserve">*Corresponding author: </w:t>
      </w:r>
      <w:r w:rsidRPr="00237923">
        <w:rPr>
          <w:rFonts w:ascii="Times New Roman" w:eastAsia="Malgun Gothic" w:hAnsi="Times New Roman" w:hint="eastAsia"/>
          <w:i/>
          <w:sz w:val="20"/>
          <w:szCs w:val="20"/>
        </w:rPr>
        <w:t>mousehw@naver.com</w:t>
      </w:r>
    </w:p>
    <w:p w:rsidR="00237923" w:rsidRPr="00237923" w:rsidRDefault="00237923" w:rsidP="00237923">
      <w:pPr>
        <w:spacing w:after="0" w:line="240" w:lineRule="auto"/>
        <w:jc w:val="center"/>
        <w:rPr>
          <w:rFonts w:ascii="Times New Roman" w:hAnsi="Times New Roman"/>
          <w:noProof/>
          <w:sz w:val="20"/>
          <w:szCs w:val="20"/>
          <w:lang w:bidi="ar-SA"/>
        </w:rPr>
      </w:pPr>
    </w:p>
    <w:p w:rsidR="00237923" w:rsidRPr="00237923" w:rsidRDefault="00237923" w:rsidP="00237923">
      <w:pPr>
        <w:spacing w:after="0" w:line="240" w:lineRule="auto"/>
        <w:jc w:val="center"/>
        <w:rPr>
          <w:rFonts w:ascii="Times New Roman" w:hAnsi="Times New Roman"/>
          <w:noProof/>
          <w:sz w:val="20"/>
          <w:szCs w:val="20"/>
          <w:lang w:bidi="ar-SA"/>
        </w:rPr>
      </w:pPr>
    </w:p>
    <w:p w:rsidR="00237923" w:rsidRPr="00237923" w:rsidRDefault="00237923" w:rsidP="00237923">
      <w:pPr>
        <w:spacing w:after="0" w:line="240" w:lineRule="auto"/>
        <w:jc w:val="center"/>
        <w:rPr>
          <w:rFonts w:ascii="Times New Roman" w:hAnsi="Times New Roman"/>
          <w:noProof/>
          <w:sz w:val="20"/>
          <w:szCs w:val="20"/>
          <w:lang w:bidi="ar-SA"/>
        </w:rPr>
      </w:pPr>
      <w:r w:rsidRPr="00237923">
        <w:rPr>
          <w:rFonts w:ascii="Times New Roman" w:hAnsi="Times New Roman"/>
          <w:noProof/>
          <w:sz w:val="20"/>
          <w:szCs w:val="20"/>
          <w:lang w:bidi="ar-SA"/>
        </w:rPr>
        <w:t>Received: 24 February 2015; Accepted: 27 October 2015</w:t>
      </w:r>
    </w:p>
    <w:p w:rsidR="00237923" w:rsidRPr="00237923" w:rsidRDefault="00237923" w:rsidP="00237923">
      <w:pPr>
        <w:spacing w:after="0" w:line="240" w:lineRule="auto"/>
        <w:jc w:val="center"/>
        <w:rPr>
          <w:rFonts w:ascii="Times New Roman" w:hAnsi="Times New Roman"/>
          <w:noProof/>
          <w:sz w:val="20"/>
          <w:szCs w:val="20"/>
          <w:lang w:bidi="ar-SA"/>
        </w:rPr>
      </w:pPr>
    </w:p>
    <w:p w:rsidR="00237923" w:rsidRPr="00237923" w:rsidRDefault="00237923" w:rsidP="00237923">
      <w:pPr>
        <w:spacing w:after="0" w:line="240" w:lineRule="auto"/>
        <w:jc w:val="center"/>
        <w:rPr>
          <w:rFonts w:ascii="Times New Roman" w:hAnsi="Times New Roman"/>
          <w:noProof/>
          <w:sz w:val="20"/>
          <w:szCs w:val="20"/>
          <w:lang w:bidi="ar-SA"/>
        </w:rPr>
      </w:pPr>
    </w:p>
    <w:p w:rsidR="00237923" w:rsidRPr="00237923" w:rsidRDefault="00237923" w:rsidP="00237923">
      <w:pPr>
        <w:spacing w:after="0" w:line="240" w:lineRule="auto"/>
        <w:jc w:val="center"/>
        <w:rPr>
          <w:rFonts w:ascii="Times New Roman" w:hAnsi="Times New Roman"/>
          <w:b/>
          <w:noProof/>
          <w:sz w:val="20"/>
          <w:szCs w:val="20"/>
          <w:lang w:bidi="ar-SA"/>
        </w:rPr>
      </w:pPr>
      <w:r w:rsidRPr="00237923">
        <w:rPr>
          <w:rFonts w:ascii="Times New Roman" w:hAnsi="Times New Roman"/>
          <w:b/>
          <w:noProof/>
          <w:sz w:val="20"/>
          <w:szCs w:val="20"/>
          <w:lang w:bidi="ar-SA"/>
        </w:rPr>
        <w:t>Abstract</w:t>
      </w:r>
    </w:p>
    <w:p w:rsidR="00237923" w:rsidRPr="00237923" w:rsidRDefault="00237923" w:rsidP="00237923">
      <w:pPr>
        <w:spacing w:after="0" w:line="240" w:lineRule="auto"/>
        <w:jc w:val="both"/>
        <w:rPr>
          <w:rFonts w:ascii="Times New Roman" w:hAnsi="Times New Roman"/>
          <w:sz w:val="20"/>
          <w:szCs w:val="20"/>
        </w:rPr>
      </w:pPr>
      <w:r w:rsidRPr="00237923">
        <w:rPr>
          <w:rFonts w:ascii="Times New Roman" w:eastAsia="Malgun Gothic" w:hAnsi="Times New Roman"/>
          <w:sz w:val="20"/>
          <w:szCs w:val="20"/>
        </w:rPr>
        <w:t>Various hazardous events can cause chemical, microbial or physical hazards to a water supply system. The World Health Organization (WHO) and some countries have introduced the hazardous event analysis for identifying potential events which may be harmful to the safety of drinking water. This study extends the application of the hazardous event analysis into drinking water production using managed aquifer recharge (MAR). MAR is a way of using an aquifer to secure water resources by storing freshwater for future use and pumping it whenever necessary. The entire drinking water production process is subjected to the analysis from the catchment area to the consumer. Hazardous event analysis incorporates site-specific data as well as common issues occurring in the process of drinking water production. The hazardous events are classified based on chemical, microbial or physical characteristics. Likelihood and severity values are assigned, resulting in quantitative risk by multiplying them. The study site is located at a coastal area in the delta of the Nakdong River, South Korea. The site has suffered from salt water intrusion and surface water pollution from the water upstream. Nine major hazardous events were identified out of total 114 events from 10 drinking water production processes. These major hazardous events will provide useful information on what to be done to secure the water quality produced by a new water supply method.</w:t>
      </w:r>
      <w:r w:rsidRPr="00237923">
        <w:rPr>
          <w:rFonts w:ascii="Times New Roman" w:hAnsi="Times New Roman"/>
          <w:sz w:val="20"/>
          <w:szCs w:val="20"/>
        </w:rPr>
        <w:t xml:space="preserve"> </w:t>
      </w:r>
    </w:p>
    <w:p w:rsidR="00237923" w:rsidRPr="00237923" w:rsidRDefault="00237923" w:rsidP="00237923">
      <w:pPr>
        <w:spacing w:after="0" w:line="240" w:lineRule="auto"/>
        <w:jc w:val="both"/>
        <w:rPr>
          <w:rFonts w:ascii="Times New Roman" w:hAnsi="Times New Roman"/>
          <w:sz w:val="20"/>
          <w:szCs w:val="20"/>
        </w:rPr>
      </w:pPr>
    </w:p>
    <w:p w:rsidR="00237923" w:rsidRPr="00237923" w:rsidRDefault="00237923" w:rsidP="00237923">
      <w:pPr>
        <w:spacing w:after="0" w:line="240" w:lineRule="auto"/>
        <w:jc w:val="both"/>
        <w:rPr>
          <w:rFonts w:ascii="Times New Roman" w:hAnsi="Times New Roman"/>
          <w:sz w:val="20"/>
          <w:szCs w:val="20"/>
        </w:rPr>
      </w:pPr>
      <w:r w:rsidRPr="00237923">
        <w:rPr>
          <w:rFonts w:ascii="Times New Roman" w:hAnsi="Times New Roman"/>
          <w:b/>
          <w:sz w:val="20"/>
          <w:szCs w:val="20"/>
        </w:rPr>
        <w:t>Keywords</w:t>
      </w:r>
      <w:r w:rsidRPr="00237923">
        <w:rPr>
          <w:rFonts w:ascii="Times New Roman" w:hAnsi="Times New Roman"/>
          <w:sz w:val="20"/>
          <w:szCs w:val="20"/>
        </w:rPr>
        <w:t xml:space="preserve">: </w:t>
      </w:r>
      <w:r w:rsidRPr="00237923">
        <w:rPr>
          <w:rFonts w:ascii="Times New Roman" w:eastAsia="Malgun Gothic" w:hAnsi="Times New Roman"/>
          <w:sz w:val="20"/>
          <w:szCs w:val="20"/>
        </w:rPr>
        <w:t>m</w:t>
      </w:r>
      <w:r w:rsidRPr="00237923">
        <w:rPr>
          <w:rFonts w:ascii="Times New Roman" w:hAnsi="Times New Roman"/>
          <w:sz w:val="20"/>
          <w:szCs w:val="20"/>
        </w:rPr>
        <w:t>anaged aquifer recharge, hazardous event analysis, drinking water, coastal area</w:t>
      </w:r>
    </w:p>
    <w:p w:rsidR="00237923" w:rsidRPr="00237923" w:rsidRDefault="00237923" w:rsidP="00237923">
      <w:pPr>
        <w:spacing w:after="0" w:line="240" w:lineRule="auto"/>
        <w:jc w:val="center"/>
        <w:rPr>
          <w:rFonts w:ascii="Times New Roman" w:hAnsi="Times New Roman"/>
          <w:b/>
          <w:noProof/>
          <w:sz w:val="20"/>
          <w:szCs w:val="20"/>
          <w:lang w:bidi="ar-SA"/>
        </w:rPr>
      </w:pPr>
    </w:p>
    <w:p w:rsidR="00237923" w:rsidRPr="00237923" w:rsidRDefault="00237923" w:rsidP="00237923">
      <w:pPr>
        <w:spacing w:after="0" w:line="240" w:lineRule="auto"/>
        <w:jc w:val="center"/>
        <w:rPr>
          <w:rFonts w:ascii="Times New Roman" w:hAnsi="Times New Roman"/>
          <w:b/>
          <w:noProof/>
          <w:sz w:val="20"/>
          <w:szCs w:val="20"/>
          <w:lang w:bidi="ar-SA"/>
        </w:rPr>
      </w:pPr>
      <w:r w:rsidRPr="00237923">
        <w:rPr>
          <w:rFonts w:ascii="Times New Roman" w:hAnsi="Times New Roman"/>
          <w:b/>
          <w:noProof/>
          <w:sz w:val="20"/>
          <w:szCs w:val="20"/>
          <w:lang w:bidi="ar-SA"/>
        </w:rPr>
        <w:t>Abstrak</w:t>
      </w:r>
    </w:p>
    <w:p w:rsidR="00237923" w:rsidRPr="00237923" w:rsidRDefault="00237923" w:rsidP="00237923">
      <w:pPr>
        <w:spacing w:after="0" w:line="240" w:lineRule="auto"/>
        <w:jc w:val="both"/>
        <w:rPr>
          <w:rFonts w:ascii="Times New Roman" w:hAnsi="Times New Roman"/>
          <w:sz w:val="20"/>
          <w:szCs w:val="20"/>
        </w:rPr>
      </w:pPr>
      <w:r w:rsidRPr="00237923">
        <w:rPr>
          <w:rFonts w:ascii="Times New Roman" w:hAnsi="Times New Roman"/>
          <w:sz w:val="20"/>
          <w:szCs w:val="20"/>
        </w:rPr>
        <w:t xml:space="preserve">Pelbagai kejadian berbahaya boleh menyebabkan pencemaran kimia, mikrob atau fizikal kepada sistem bekalan air. Pertubuhan Kesihatan Sedunia (WHO) dan beberapa buah negara telah memperkenalkan analisa berbahaya untuk mengenalpasti kejadian yang berpotensi membahayakan keselamatan air minuman. Kajian ini meliputi penggunaan analisa berbahaya dalam pengeluaran air minuman menggunakan akuifer terkawal cas semula (MAR). MAR adalah satu cara menggunakan akuifer untuk mendapatkan sumber air dengan menyimpan air tawar untuk kegunaan masa depan dan mengepam bila-bila masa yang diperlukan. Keseluruhan proses pengeluaran air minuman adalah tertakluk kepada analisa dari kawasan tadahan kepada pengguna. Analisa berbahaya membekalkan maklumat khusus tempat serta isu – isu yang biasa berlaku dalam proses pengeluaran air minuman. Perkara – perkara berbahaya dikelaskan berdasarkan kimia, mikrob atau ciri – ciri fizikal. Kemungkinan dan nilai – nilai ekstrim yang diberikan, menyebabkan risiko kuantitatif dengan mendarabkan mereka. </w:t>
      </w:r>
      <w:r w:rsidRPr="00237923">
        <w:rPr>
          <w:rFonts w:ascii="Times New Roman" w:eastAsia="Malgun Gothic" w:hAnsi="Times New Roman"/>
          <w:sz w:val="20"/>
          <w:szCs w:val="20"/>
        </w:rPr>
        <w:t xml:space="preserve">Tapak kajian terletak di kawasan pantai iaitu di delta Sungai Nakdong, Korea Selatan. Tapak tersebut terdedah kepada air masin dan pencemaran air </w:t>
      </w:r>
      <w:r w:rsidRPr="00237923">
        <w:rPr>
          <w:rFonts w:ascii="Times New Roman" w:eastAsia="Malgun Gothic" w:hAnsi="Times New Roman"/>
          <w:sz w:val="20"/>
          <w:szCs w:val="20"/>
        </w:rPr>
        <w:lastRenderedPageBreak/>
        <w:t>permukaan dari hulu sungai.</w:t>
      </w:r>
      <w:r w:rsidRPr="00237923">
        <w:rPr>
          <w:rFonts w:ascii="Times New Roman" w:hAnsi="Times New Roman"/>
          <w:sz w:val="20"/>
          <w:szCs w:val="20"/>
        </w:rPr>
        <w:t xml:space="preserve"> Sembilan kejadian berbahaya dikenalpasti daripada jumlah 114 yang berlaku dalam 10 proses pengeluaran air minuman. Kejadian berbahaya utama ini akan memberikan maklumat yang berguna mengenai apa yang perlu dilakukan untuk menjamin kualiti air yang dihasilkan dengan kaedah baru bekalan air.</w:t>
      </w:r>
    </w:p>
    <w:p w:rsidR="00237923" w:rsidRPr="00237923" w:rsidRDefault="00237923" w:rsidP="00237923">
      <w:pPr>
        <w:spacing w:after="0" w:line="240" w:lineRule="auto"/>
        <w:jc w:val="both"/>
        <w:rPr>
          <w:rFonts w:ascii="Times New Roman" w:hAnsi="Times New Roman"/>
          <w:sz w:val="20"/>
          <w:szCs w:val="20"/>
        </w:rPr>
      </w:pPr>
    </w:p>
    <w:p w:rsidR="00AA0FD2" w:rsidRDefault="00237923" w:rsidP="00237923">
      <w:pPr>
        <w:spacing w:after="0" w:line="240" w:lineRule="auto"/>
        <w:jc w:val="both"/>
        <w:outlineLvl w:val="0"/>
        <w:rPr>
          <w:rFonts w:ascii="Times New Roman" w:hAnsi="Times New Roman"/>
          <w:sz w:val="20"/>
          <w:szCs w:val="20"/>
        </w:rPr>
      </w:pPr>
      <w:r w:rsidRPr="00237923">
        <w:rPr>
          <w:rFonts w:ascii="Times New Roman" w:hAnsi="Times New Roman"/>
          <w:b/>
          <w:sz w:val="20"/>
          <w:szCs w:val="20"/>
        </w:rPr>
        <w:t>Kata kunci</w:t>
      </w:r>
      <w:r w:rsidRPr="00237923">
        <w:rPr>
          <w:rFonts w:ascii="Times New Roman" w:hAnsi="Times New Roman"/>
          <w:sz w:val="20"/>
          <w:szCs w:val="20"/>
        </w:rPr>
        <w:t>: akuifer caj semula, analisas kejadian berbahaya, air minuman, kawasan pantai</w:t>
      </w:r>
    </w:p>
    <w:p w:rsidR="00237923" w:rsidRDefault="00237923" w:rsidP="00237923">
      <w:pPr>
        <w:spacing w:after="0" w:line="240" w:lineRule="auto"/>
        <w:jc w:val="both"/>
        <w:outlineLvl w:val="0"/>
        <w:rPr>
          <w:rFonts w:ascii="Times New Roman" w:hAnsi="Times New Roman"/>
          <w:sz w:val="20"/>
          <w:szCs w:val="20"/>
        </w:rPr>
      </w:pPr>
    </w:p>
    <w:p w:rsidR="00237923" w:rsidRPr="00F447A7" w:rsidRDefault="00237923" w:rsidP="0023792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 xml:space="preserve">Dillon P. J. </w:t>
      </w:r>
      <w:r w:rsidRPr="005D57F3">
        <w:rPr>
          <w:rFonts w:ascii="Times New Roman" w:eastAsia="Malgun Gothic" w:hAnsi="Times New Roman" w:hint="eastAsia"/>
          <w:sz w:val="20"/>
          <w:szCs w:val="20"/>
        </w:rPr>
        <w:t>(2005)</w:t>
      </w:r>
      <w:r w:rsidRPr="005D57F3">
        <w:rPr>
          <w:rFonts w:ascii="Times New Roman" w:eastAsia="Malgun Gothic" w:hAnsi="Times New Roman"/>
          <w:sz w:val="20"/>
          <w:szCs w:val="20"/>
        </w:rPr>
        <w:t xml:space="preserve">. Future management of aquifer recharge. </w:t>
      </w:r>
      <w:r w:rsidRPr="005D57F3">
        <w:rPr>
          <w:rFonts w:ascii="Times New Roman" w:eastAsia="Malgun Gothic" w:hAnsi="Times New Roman"/>
          <w:i/>
          <w:sz w:val="20"/>
          <w:szCs w:val="20"/>
        </w:rPr>
        <w:t>Hydrogeology Journal</w:t>
      </w:r>
      <w:r w:rsidRPr="005D57F3">
        <w:rPr>
          <w:rFonts w:ascii="Times New Roman" w:eastAsia="Malgun Gothic" w:hAnsi="Times New Roman"/>
          <w:sz w:val="20"/>
          <w:szCs w:val="20"/>
        </w:rPr>
        <w:t>, 13 (1)</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313 – 316.</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 xml:space="preserve">Cederstrom, D. J. </w:t>
      </w:r>
      <w:r w:rsidRPr="005D57F3">
        <w:rPr>
          <w:rFonts w:ascii="Times New Roman" w:eastAsia="Malgun Gothic" w:hAnsi="Times New Roman" w:hint="eastAsia"/>
          <w:sz w:val="20"/>
          <w:szCs w:val="20"/>
        </w:rPr>
        <w:t xml:space="preserve">(1957) </w:t>
      </w:r>
      <w:r w:rsidRPr="005D57F3">
        <w:rPr>
          <w:rFonts w:ascii="Times New Roman" w:eastAsia="Malgun Gothic" w:hAnsi="Times New Roman"/>
          <w:sz w:val="20"/>
          <w:szCs w:val="20"/>
        </w:rPr>
        <w:t>Geology and ground-water resources of the York-James Peninsula. Virginia, US Geological Survey</w:t>
      </w:r>
      <w:r w:rsidRPr="005D57F3">
        <w:rPr>
          <w:rFonts w:ascii="Times New Roman" w:eastAsia="Malgun Gothic" w:hAnsi="Times New Roman" w:hint="eastAsia"/>
          <w:sz w:val="20"/>
          <w:szCs w:val="20"/>
        </w:rPr>
        <w:t xml:space="preserve">: </w:t>
      </w:r>
      <w:r w:rsidRPr="005D57F3">
        <w:rPr>
          <w:rFonts w:ascii="Times New Roman" w:eastAsia="Malgun Gothic" w:hAnsi="Times New Roman"/>
          <w:sz w:val="20"/>
          <w:szCs w:val="20"/>
        </w:rPr>
        <w:t>pp 237.</w:t>
      </w:r>
    </w:p>
    <w:p w:rsidR="00237923" w:rsidRPr="0023792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 xml:space="preserve">Bakker, M. </w:t>
      </w:r>
      <w:r w:rsidRPr="005D57F3">
        <w:rPr>
          <w:rFonts w:ascii="Times New Roman" w:eastAsia="Malgun Gothic" w:hAnsi="Times New Roman" w:hint="eastAsia"/>
          <w:sz w:val="20"/>
          <w:szCs w:val="20"/>
        </w:rPr>
        <w:t>(2010)</w:t>
      </w:r>
      <w:r w:rsidRPr="005D57F3">
        <w:rPr>
          <w:rFonts w:ascii="Times New Roman" w:eastAsia="Malgun Gothic" w:hAnsi="Times New Roman"/>
          <w:sz w:val="20"/>
          <w:szCs w:val="20"/>
        </w:rPr>
        <w:t xml:space="preserve">. Radial Dupuit interface flow to assess the aquifer storage and recovery potential of saltwater aquifers. </w:t>
      </w:r>
      <w:r w:rsidRPr="005D57F3">
        <w:rPr>
          <w:rFonts w:ascii="Times New Roman" w:eastAsia="Malgun Gothic" w:hAnsi="Times New Roman"/>
          <w:i/>
          <w:sz w:val="20"/>
          <w:szCs w:val="20"/>
        </w:rPr>
        <w:t>Hydrogeology Journal</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18</w:t>
      </w:r>
      <w:r w:rsidRPr="005D57F3">
        <w:rPr>
          <w:rFonts w:ascii="Times New Roman" w:eastAsia="Malgun Gothic" w:hAnsi="Times New Roman" w:hint="eastAsia"/>
          <w:sz w:val="20"/>
          <w:szCs w:val="20"/>
        </w:rPr>
        <w:t xml:space="preserve"> </w:t>
      </w:r>
      <w:r w:rsidRPr="005D57F3">
        <w:rPr>
          <w:rFonts w:ascii="Times New Roman" w:eastAsia="Malgun Gothic" w:hAnsi="Times New Roman"/>
          <w:sz w:val="20"/>
          <w:szCs w:val="20"/>
        </w:rPr>
        <w:t>(1)</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107 – 115.</w:t>
      </w:r>
      <w:bookmarkStart w:id="0" w:name="_GoBack"/>
      <w:bookmarkEnd w:id="0"/>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 xml:space="preserve">Zuurbier, K.G., Zaadnoordijk, W. J. and Stuyfzand, P. J. </w:t>
      </w:r>
      <w:r w:rsidRPr="005D57F3">
        <w:rPr>
          <w:rFonts w:ascii="Times New Roman" w:eastAsia="Malgun Gothic" w:hAnsi="Times New Roman" w:hint="eastAsia"/>
          <w:sz w:val="20"/>
          <w:szCs w:val="20"/>
        </w:rPr>
        <w:t>(2014)</w:t>
      </w:r>
      <w:r w:rsidRPr="005D57F3">
        <w:rPr>
          <w:rFonts w:ascii="Times New Roman" w:eastAsia="Malgun Gothic" w:hAnsi="Times New Roman"/>
          <w:sz w:val="20"/>
          <w:szCs w:val="20"/>
        </w:rPr>
        <w:t xml:space="preserve">. How multiple partially penetrating wells improve the freshwater recovery of coastal aquifer storage and recovery (ASR) systems: A field and modeling study. </w:t>
      </w:r>
      <w:r w:rsidRPr="005D57F3">
        <w:rPr>
          <w:rFonts w:ascii="Times New Roman" w:eastAsia="Malgun Gothic" w:hAnsi="Times New Roman"/>
          <w:i/>
          <w:sz w:val="20"/>
          <w:szCs w:val="20"/>
        </w:rPr>
        <w:t>Journal of Hydrology</w:t>
      </w:r>
      <w:r w:rsidRPr="005D57F3">
        <w:rPr>
          <w:rFonts w:ascii="Times New Roman" w:eastAsia="Malgun Gothic" w:hAnsi="Times New Roman"/>
          <w:sz w:val="20"/>
          <w:szCs w:val="20"/>
        </w:rPr>
        <w:t xml:space="preserve"> 509</w:t>
      </w:r>
      <w:r w:rsidRPr="005D57F3">
        <w:rPr>
          <w:rFonts w:ascii="Times New Roman" w:eastAsia="Malgun Gothic" w:hAnsi="Times New Roman" w:hint="eastAsia"/>
          <w:sz w:val="20"/>
          <w:szCs w:val="20"/>
        </w:rPr>
        <w:t xml:space="preserve"> </w:t>
      </w:r>
      <w:r w:rsidRPr="005D57F3">
        <w:rPr>
          <w:rFonts w:ascii="Times New Roman" w:eastAsia="Malgun Gothic" w:hAnsi="Times New Roman"/>
          <w:sz w:val="20"/>
          <w:szCs w:val="20"/>
        </w:rPr>
        <w:t>(13)</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430 – 441.</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 xml:space="preserve">Bartram J., Corrales L., Davison A., Deere D., Drury D., Gordon B., Howard G., Rinehold A. and Stevens M. </w:t>
      </w:r>
      <w:r w:rsidRPr="005D57F3">
        <w:rPr>
          <w:rFonts w:ascii="Times New Roman" w:eastAsia="Malgun Gothic" w:hAnsi="Times New Roman" w:hint="eastAsia"/>
          <w:sz w:val="20"/>
          <w:szCs w:val="20"/>
        </w:rPr>
        <w:t>(2009)</w:t>
      </w:r>
      <w:r w:rsidRPr="005D57F3">
        <w:rPr>
          <w:rFonts w:ascii="Times New Roman" w:eastAsia="Malgun Gothic" w:hAnsi="Times New Roman"/>
          <w:sz w:val="20"/>
          <w:szCs w:val="20"/>
        </w:rPr>
        <w:t>. Water Safety Plan Manual: step-by-step risk management for drinking-water suppliers. World Health Organization, Geneva.</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 xml:space="preserve">Codex Alimentarius Commission. </w:t>
      </w:r>
      <w:r w:rsidRPr="005D57F3">
        <w:rPr>
          <w:rFonts w:ascii="Times New Roman" w:eastAsia="Malgun Gothic" w:hAnsi="Times New Roman" w:hint="eastAsia"/>
          <w:sz w:val="20"/>
          <w:szCs w:val="20"/>
        </w:rPr>
        <w:t>(1997)</w:t>
      </w:r>
      <w:r w:rsidRPr="005D57F3">
        <w:rPr>
          <w:rFonts w:ascii="Times New Roman" w:eastAsia="Malgun Gothic" w:hAnsi="Times New Roman"/>
          <w:sz w:val="20"/>
          <w:szCs w:val="20"/>
        </w:rPr>
        <w:t>. Hazard Analysis and Critical Control Point (HACCP) System and Guidelines for its Application. Annex to the Recommended International Code of Practice – General Principle of Food Hygiene, CAC/RCP 1-1969, Rev. 3.</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 xml:space="preserve">Havelaar A.H. </w:t>
      </w:r>
      <w:r w:rsidRPr="005D57F3">
        <w:rPr>
          <w:rFonts w:ascii="Times New Roman" w:eastAsia="Malgun Gothic" w:hAnsi="Times New Roman" w:hint="eastAsia"/>
          <w:sz w:val="20"/>
          <w:szCs w:val="20"/>
        </w:rPr>
        <w:t>(1994)</w:t>
      </w:r>
      <w:r w:rsidRPr="005D57F3">
        <w:rPr>
          <w:rFonts w:ascii="Times New Roman" w:eastAsia="Malgun Gothic" w:hAnsi="Times New Roman"/>
          <w:sz w:val="20"/>
          <w:szCs w:val="20"/>
        </w:rPr>
        <w:t>. Application of HACCP to drinking water su</w:t>
      </w:r>
      <w:r w:rsidRPr="005D57F3">
        <w:rPr>
          <w:rFonts w:ascii="Times New Roman" w:eastAsia="Malgun Gothic" w:hAnsi="Times New Roman" w:hint="eastAsia"/>
          <w:sz w:val="20"/>
          <w:szCs w:val="20"/>
        </w:rPr>
        <w:t>p</w:t>
      </w:r>
      <w:r w:rsidRPr="005D57F3">
        <w:rPr>
          <w:rFonts w:ascii="Times New Roman" w:eastAsia="Malgun Gothic" w:hAnsi="Times New Roman"/>
          <w:sz w:val="20"/>
          <w:szCs w:val="20"/>
        </w:rPr>
        <w:t xml:space="preserve">ply. </w:t>
      </w:r>
      <w:r w:rsidRPr="005D57F3">
        <w:rPr>
          <w:rFonts w:ascii="Times New Roman" w:eastAsia="Malgun Gothic" w:hAnsi="Times New Roman"/>
          <w:i/>
          <w:sz w:val="20"/>
          <w:szCs w:val="20"/>
        </w:rPr>
        <w:t>Food Control</w:t>
      </w:r>
      <w:r w:rsidRPr="005D57F3">
        <w:rPr>
          <w:rFonts w:ascii="Times New Roman" w:eastAsia="Malgun Gothic" w:hAnsi="Times New Roman"/>
          <w:sz w:val="20"/>
          <w:szCs w:val="20"/>
        </w:rPr>
        <w:t>,</w:t>
      </w:r>
      <w:r w:rsidRPr="005D57F3">
        <w:rPr>
          <w:rFonts w:ascii="Times New Roman" w:eastAsia="Malgun Gothic" w:hAnsi="Times New Roman" w:hint="eastAsia"/>
          <w:sz w:val="20"/>
          <w:szCs w:val="20"/>
        </w:rPr>
        <w:t xml:space="preserve"> </w:t>
      </w:r>
      <w:r w:rsidRPr="005D57F3">
        <w:rPr>
          <w:rFonts w:ascii="Times New Roman" w:eastAsia="Malgun Gothic" w:hAnsi="Times New Roman"/>
          <w:sz w:val="20"/>
          <w:szCs w:val="20"/>
        </w:rPr>
        <w:t>5 (3)</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145 – 152.</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 xml:space="preserve">Khaniki G. R. J., Mahdavi M. and Mohebbi M. R. </w:t>
      </w:r>
      <w:r w:rsidRPr="005D57F3">
        <w:rPr>
          <w:rFonts w:ascii="Times New Roman" w:eastAsia="Malgun Gothic" w:hAnsi="Times New Roman" w:hint="eastAsia"/>
          <w:sz w:val="20"/>
          <w:szCs w:val="20"/>
        </w:rPr>
        <w:t>(2009)</w:t>
      </w:r>
      <w:r w:rsidRPr="005D57F3">
        <w:rPr>
          <w:rFonts w:ascii="Times New Roman" w:eastAsia="Malgun Gothic" w:hAnsi="Times New Roman"/>
          <w:sz w:val="20"/>
          <w:szCs w:val="20"/>
        </w:rPr>
        <w:t xml:space="preserve">. HACCP application for treatment of drinking water for Germi in Iran. </w:t>
      </w:r>
      <w:r w:rsidRPr="005D57F3">
        <w:rPr>
          <w:rFonts w:ascii="Times New Roman" w:eastAsia="Malgun Gothic" w:hAnsi="Times New Roman"/>
          <w:i/>
          <w:sz w:val="20"/>
          <w:szCs w:val="20"/>
        </w:rPr>
        <w:t>Journal of Food Agriculture and Environment</w:t>
      </w:r>
      <w:r w:rsidRPr="005D57F3">
        <w:rPr>
          <w:rFonts w:ascii="Times New Roman" w:eastAsia="Malgun Gothic" w:hAnsi="Times New Roman"/>
          <w:sz w:val="20"/>
          <w:szCs w:val="20"/>
        </w:rPr>
        <w:t>, 7 (2)</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709 – 712.</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Tavasolifar A., Bina B., Amin M. M., Ebrahimi A. and Jalali M.</w:t>
      </w:r>
      <w:r w:rsidRPr="005D57F3">
        <w:rPr>
          <w:rFonts w:ascii="Times New Roman" w:eastAsia="Malgun Gothic" w:hAnsi="Times New Roman" w:hint="eastAsia"/>
          <w:sz w:val="20"/>
          <w:szCs w:val="20"/>
        </w:rPr>
        <w:t xml:space="preserve"> (2013)</w:t>
      </w:r>
      <w:r w:rsidRPr="005D57F3">
        <w:rPr>
          <w:rFonts w:ascii="Times New Roman" w:eastAsia="Malgun Gothic" w:hAnsi="Times New Roman"/>
          <w:sz w:val="20"/>
          <w:szCs w:val="20"/>
        </w:rPr>
        <w:t xml:space="preserve">. Implementation of hazard analysis and critical control points in the drinking water supply system. </w:t>
      </w:r>
      <w:r w:rsidRPr="005D57F3">
        <w:rPr>
          <w:rFonts w:ascii="Times New Roman" w:eastAsia="Malgun Gothic" w:hAnsi="Times New Roman"/>
          <w:i/>
          <w:sz w:val="20"/>
          <w:szCs w:val="20"/>
        </w:rPr>
        <w:t>International Journal of Environmental</w:t>
      </w:r>
      <w:r w:rsidRPr="005D57F3">
        <w:rPr>
          <w:rFonts w:ascii="Times New Roman" w:eastAsia="Malgun Gothic" w:hAnsi="Times New Roman"/>
          <w:sz w:val="20"/>
          <w:szCs w:val="20"/>
        </w:rPr>
        <w:t xml:space="preserve"> </w:t>
      </w:r>
      <w:r w:rsidRPr="005D57F3">
        <w:rPr>
          <w:rFonts w:ascii="Times New Roman" w:eastAsia="Malgun Gothic" w:hAnsi="Times New Roman"/>
          <w:i/>
          <w:sz w:val="20"/>
          <w:szCs w:val="20"/>
        </w:rPr>
        <w:t>Health Eng</w:t>
      </w:r>
      <w:r w:rsidRPr="005D57F3">
        <w:rPr>
          <w:rFonts w:ascii="Times New Roman" w:eastAsia="Malgun Gothic" w:hAnsi="Times New Roman"/>
          <w:sz w:val="20"/>
          <w:szCs w:val="20"/>
        </w:rPr>
        <w:t>ineering, 1 (3)</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1 – 7.</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National Health and Medical Research Council</w:t>
      </w:r>
      <w:r w:rsidRPr="005D57F3">
        <w:rPr>
          <w:rFonts w:ascii="Times New Roman" w:eastAsia="Malgun Gothic" w:hAnsi="Times New Roman" w:hint="eastAsia"/>
          <w:sz w:val="20"/>
          <w:szCs w:val="20"/>
        </w:rPr>
        <w:t xml:space="preserve"> </w:t>
      </w:r>
      <w:r w:rsidRPr="005D57F3">
        <w:rPr>
          <w:rFonts w:ascii="Times New Roman" w:eastAsia="Malgun Gothic" w:hAnsi="Times New Roman"/>
          <w:sz w:val="20"/>
          <w:szCs w:val="20"/>
        </w:rPr>
        <w:t xml:space="preserve">– Natural Resource Management Ministerial Council, NHMRC – NRMMC </w:t>
      </w:r>
      <w:r w:rsidRPr="005D57F3">
        <w:rPr>
          <w:rFonts w:ascii="Times New Roman" w:eastAsia="Malgun Gothic" w:hAnsi="Times New Roman" w:hint="eastAsia"/>
          <w:sz w:val="20"/>
          <w:szCs w:val="20"/>
        </w:rPr>
        <w:t>(2011)</w:t>
      </w:r>
      <w:r w:rsidRPr="005D57F3">
        <w:rPr>
          <w:rFonts w:ascii="Times New Roman" w:eastAsia="Malgun Gothic" w:hAnsi="Times New Roman"/>
          <w:sz w:val="20"/>
          <w:szCs w:val="20"/>
        </w:rPr>
        <w:t xml:space="preserve">. Australian </w:t>
      </w:r>
      <w:r w:rsidRPr="005D57F3">
        <w:rPr>
          <w:rFonts w:ascii="Times New Roman" w:eastAsia="Malgun Gothic" w:hAnsi="Times New Roman" w:hint="eastAsia"/>
          <w:sz w:val="20"/>
          <w:szCs w:val="20"/>
        </w:rPr>
        <w:t>d</w:t>
      </w:r>
      <w:r w:rsidRPr="005D57F3">
        <w:rPr>
          <w:rFonts w:ascii="Times New Roman" w:eastAsia="Malgun Gothic" w:hAnsi="Times New Roman"/>
          <w:sz w:val="20"/>
          <w:szCs w:val="20"/>
        </w:rPr>
        <w:t xml:space="preserve">rinking </w:t>
      </w:r>
      <w:r w:rsidRPr="005D57F3">
        <w:rPr>
          <w:rFonts w:ascii="Times New Roman" w:eastAsia="Malgun Gothic" w:hAnsi="Times New Roman" w:hint="eastAsia"/>
          <w:sz w:val="20"/>
          <w:szCs w:val="20"/>
        </w:rPr>
        <w:t>w</w:t>
      </w:r>
      <w:r w:rsidRPr="005D57F3">
        <w:rPr>
          <w:rFonts w:ascii="Times New Roman" w:eastAsia="Malgun Gothic" w:hAnsi="Times New Roman"/>
          <w:sz w:val="20"/>
          <w:szCs w:val="20"/>
        </w:rPr>
        <w:t xml:space="preserve">ater </w:t>
      </w:r>
      <w:r w:rsidRPr="005D57F3">
        <w:rPr>
          <w:rFonts w:ascii="Times New Roman" w:eastAsia="Malgun Gothic" w:hAnsi="Times New Roman" w:hint="eastAsia"/>
          <w:sz w:val="20"/>
          <w:szCs w:val="20"/>
        </w:rPr>
        <w:t>g</w:t>
      </w:r>
      <w:r w:rsidRPr="005D57F3">
        <w:rPr>
          <w:rFonts w:ascii="Times New Roman" w:eastAsia="Malgun Gothic" w:hAnsi="Times New Roman"/>
          <w:sz w:val="20"/>
          <w:szCs w:val="20"/>
        </w:rPr>
        <w:t>uidelines</w:t>
      </w:r>
      <w:r w:rsidRPr="005D57F3">
        <w:rPr>
          <w:rFonts w:ascii="Times New Roman" w:eastAsia="Malgun Gothic" w:hAnsi="Times New Roman" w:hint="eastAsia"/>
          <w:sz w:val="20"/>
          <w:szCs w:val="20"/>
        </w:rPr>
        <w:t>. EH52</w:t>
      </w:r>
      <w:r w:rsidRPr="005D57F3">
        <w:rPr>
          <w:rFonts w:ascii="Times New Roman" w:eastAsia="Malgun Gothic" w:hAnsi="Times New Roman"/>
          <w:sz w:val="20"/>
          <w:szCs w:val="20"/>
        </w:rPr>
        <w:t>, Canberra.</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 xml:space="preserve">World Health Organization, WHO. </w:t>
      </w:r>
      <w:r w:rsidRPr="005D57F3">
        <w:rPr>
          <w:rFonts w:ascii="Times New Roman" w:eastAsia="Malgun Gothic" w:hAnsi="Times New Roman" w:hint="eastAsia"/>
          <w:sz w:val="20"/>
          <w:szCs w:val="20"/>
        </w:rPr>
        <w:t>(2012)</w:t>
      </w:r>
      <w:r w:rsidRPr="005D57F3">
        <w:rPr>
          <w:rFonts w:ascii="Times New Roman" w:eastAsia="Malgun Gothic" w:hAnsi="Times New Roman"/>
          <w:sz w:val="20"/>
          <w:szCs w:val="20"/>
        </w:rPr>
        <w:t>. Water safety planning for small community water supplies. World Health Organization.</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 xml:space="preserve">Deere D., Stevens M., Davison A., Helm G. and Dufour A. </w:t>
      </w:r>
      <w:r w:rsidRPr="005D57F3">
        <w:rPr>
          <w:rFonts w:ascii="Times New Roman" w:eastAsia="Malgun Gothic" w:hAnsi="Times New Roman" w:hint="eastAsia"/>
          <w:sz w:val="20"/>
          <w:szCs w:val="20"/>
        </w:rPr>
        <w:t>(2001)</w:t>
      </w:r>
      <w:r w:rsidRPr="005D57F3">
        <w:rPr>
          <w:rFonts w:ascii="Times New Roman" w:eastAsia="Malgun Gothic" w:hAnsi="Times New Roman"/>
          <w:sz w:val="20"/>
          <w:szCs w:val="20"/>
        </w:rPr>
        <w:t xml:space="preserve">. Water quality: guidelines, standards and health – assessment of risk and risk management for water-related infectious disease. London, World Health Organization, </w:t>
      </w:r>
      <w:r w:rsidRPr="005D57F3">
        <w:rPr>
          <w:rFonts w:ascii="Times New Roman" w:eastAsia="Malgun Gothic" w:hAnsi="Times New Roman"/>
          <w:i/>
          <w:sz w:val="20"/>
          <w:szCs w:val="20"/>
        </w:rPr>
        <w:t>IWA Publishing</w:t>
      </w:r>
      <w:r w:rsidRPr="005D57F3">
        <w:rPr>
          <w:rFonts w:ascii="Times New Roman" w:eastAsia="Malgun Gothic" w:hAnsi="Times New Roman"/>
          <w:sz w:val="20"/>
          <w:szCs w:val="20"/>
        </w:rPr>
        <w:t>: pp 257 – 288.</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Ji H</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W., Lee S</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I. and Lee S</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J. </w:t>
      </w:r>
      <w:r w:rsidRPr="005D57F3">
        <w:rPr>
          <w:rFonts w:ascii="Times New Roman" w:eastAsia="Malgun Gothic" w:hAnsi="Times New Roman" w:hint="eastAsia"/>
          <w:sz w:val="20"/>
          <w:szCs w:val="20"/>
        </w:rPr>
        <w:t>(2014)</w:t>
      </w:r>
      <w:r w:rsidRPr="005D57F3">
        <w:rPr>
          <w:rFonts w:ascii="Times New Roman" w:eastAsia="Malgun Gothic" w:hAnsi="Times New Roman"/>
          <w:sz w:val="20"/>
          <w:szCs w:val="20"/>
        </w:rPr>
        <w:t>. Hazardous event analysis for drinking water production by managed aquifer recharge. Proceedings of the 19th IAHR-APD Congress 2014, Hanoi, Vietnam</w:t>
      </w:r>
      <w:r w:rsidRPr="005D57F3">
        <w:rPr>
          <w:rFonts w:ascii="Times New Roman" w:eastAsia="Malgun Gothic" w:hAnsi="Times New Roman" w:hint="eastAsia"/>
          <w:sz w:val="20"/>
          <w:szCs w:val="20"/>
        </w:rPr>
        <w:t>.</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Natural Resource Management Ministerial Council – Environment Protection and Heritage Council- National Health and Medical Research Council, NRMMC</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EPHC</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NHMRC </w:t>
      </w:r>
      <w:r w:rsidRPr="005D57F3">
        <w:rPr>
          <w:rFonts w:ascii="Times New Roman" w:eastAsia="Malgun Gothic" w:hAnsi="Times New Roman" w:hint="eastAsia"/>
          <w:sz w:val="20"/>
          <w:szCs w:val="20"/>
        </w:rPr>
        <w:t>(2009)</w:t>
      </w:r>
      <w:r w:rsidRPr="005D57F3">
        <w:rPr>
          <w:rFonts w:ascii="Times New Roman" w:eastAsia="Malgun Gothic" w:hAnsi="Times New Roman"/>
          <w:sz w:val="20"/>
          <w:szCs w:val="20"/>
        </w:rPr>
        <w:t xml:space="preserve">. Australian guidelines for water recycling: </w:t>
      </w:r>
      <w:r w:rsidRPr="005D57F3">
        <w:rPr>
          <w:rFonts w:ascii="Times New Roman" w:eastAsia="Malgun Gothic" w:hAnsi="Times New Roman" w:hint="eastAsia"/>
          <w:sz w:val="20"/>
          <w:szCs w:val="20"/>
        </w:rPr>
        <w:t>managing health and environmental risks. Phase 2C: M</w:t>
      </w:r>
      <w:r w:rsidRPr="005D57F3">
        <w:rPr>
          <w:rFonts w:ascii="Times New Roman" w:eastAsia="Malgun Gothic" w:hAnsi="Times New Roman"/>
          <w:sz w:val="20"/>
          <w:szCs w:val="20"/>
        </w:rPr>
        <w:t xml:space="preserve">anaged </w:t>
      </w:r>
      <w:r w:rsidRPr="005D57F3">
        <w:rPr>
          <w:rFonts w:ascii="Times New Roman" w:eastAsia="Malgun Gothic" w:hAnsi="Times New Roman" w:hint="eastAsia"/>
          <w:sz w:val="20"/>
          <w:szCs w:val="20"/>
        </w:rPr>
        <w:t>A</w:t>
      </w:r>
      <w:r w:rsidRPr="005D57F3">
        <w:rPr>
          <w:rFonts w:ascii="Times New Roman" w:eastAsia="Malgun Gothic" w:hAnsi="Times New Roman"/>
          <w:sz w:val="20"/>
          <w:szCs w:val="20"/>
        </w:rPr>
        <w:t xml:space="preserve">quifer </w:t>
      </w:r>
      <w:r w:rsidRPr="005D57F3">
        <w:rPr>
          <w:rFonts w:ascii="Times New Roman" w:eastAsia="Malgun Gothic" w:hAnsi="Times New Roman" w:hint="eastAsia"/>
          <w:sz w:val="20"/>
          <w:szCs w:val="20"/>
        </w:rPr>
        <w:t>R</w:t>
      </w:r>
      <w:r w:rsidRPr="005D57F3">
        <w:rPr>
          <w:rFonts w:ascii="Times New Roman" w:eastAsia="Malgun Gothic" w:hAnsi="Times New Roman"/>
          <w:sz w:val="20"/>
          <w:szCs w:val="20"/>
        </w:rPr>
        <w:t>echarge.</w:t>
      </w:r>
      <w:r w:rsidRPr="005D57F3">
        <w:rPr>
          <w:rFonts w:ascii="Times New Roman" w:eastAsia="Malgun Gothic" w:hAnsi="Times New Roman" w:hint="eastAsia"/>
          <w:sz w:val="20"/>
          <w:szCs w:val="20"/>
        </w:rPr>
        <w:t xml:space="preserve"> Biotext, Canberra:</w:t>
      </w:r>
      <w:r w:rsidRPr="005D57F3">
        <w:rPr>
          <w:rFonts w:ascii="Times New Roman" w:eastAsia="Malgun Gothic" w:hAnsi="Times New Roman"/>
          <w:sz w:val="20"/>
          <w:szCs w:val="20"/>
        </w:rPr>
        <w:t xml:space="preserve"> pp 45 – 51.</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 xml:space="preserve">Canadian Water and Wastewater Association, CWWA. </w:t>
      </w:r>
      <w:r w:rsidRPr="005D57F3">
        <w:rPr>
          <w:rFonts w:ascii="Times New Roman" w:eastAsia="Malgun Gothic" w:hAnsi="Times New Roman" w:hint="eastAsia"/>
          <w:sz w:val="20"/>
          <w:szCs w:val="20"/>
        </w:rPr>
        <w:t>(2005)</w:t>
      </w:r>
      <w:r w:rsidRPr="005D57F3">
        <w:rPr>
          <w:rFonts w:ascii="Times New Roman" w:eastAsia="Malgun Gothic" w:hAnsi="Times New Roman"/>
          <w:sz w:val="20"/>
          <w:szCs w:val="20"/>
        </w:rPr>
        <w:t xml:space="preserve">. Canadian Guidance Document for Managing Drinking Water Systems. </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sz w:val="20"/>
          <w:szCs w:val="20"/>
        </w:rPr>
      </w:pPr>
      <w:r w:rsidRPr="005D57F3">
        <w:rPr>
          <w:rFonts w:ascii="Times New Roman" w:eastAsia="Malgun Gothic" w:hAnsi="Times New Roman"/>
          <w:sz w:val="20"/>
          <w:szCs w:val="20"/>
        </w:rPr>
        <w:t>Lee J</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K., Kim T</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O. and Jung Y</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J. </w:t>
      </w:r>
      <w:r w:rsidRPr="005D57F3">
        <w:rPr>
          <w:rFonts w:ascii="Times New Roman" w:eastAsia="Malgun Gothic" w:hAnsi="Times New Roman" w:hint="eastAsia"/>
          <w:sz w:val="20"/>
          <w:szCs w:val="20"/>
        </w:rPr>
        <w:t>(2013)</w:t>
      </w:r>
      <w:r w:rsidRPr="005D57F3">
        <w:rPr>
          <w:rFonts w:ascii="Times New Roman" w:eastAsia="Malgun Gothic" w:hAnsi="Times New Roman"/>
          <w:sz w:val="20"/>
          <w:szCs w:val="20"/>
        </w:rPr>
        <w:t xml:space="preserve">. Analysis of domestic water pollution accident and response management (in Korean). </w:t>
      </w:r>
      <w:r w:rsidRPr="005D57F3">
        <w:rPr>
          <w:rFonts w:ascii="Times New Roman" w:eastAsia="Malgun Gothic" w:hAnsi="Times New Roman"/>
          <w:i/>
          <w:sz w:val="20"/>
          <w:szCs w:val="20"/>
        </w:rPr>
        <w:t>Journal of Wetland Research</w:t>
      </w:r>
      <w:r w:rsidRPr="005D57F3">
        <w:rPr>
          <w:rFonts w:ascii="Times New Roman" w:eastAsia="Malgun Gothic" w:hAnsi="Times New Roman"/>
          <w:sz w:val="20"/>
          <w:szCs w:val="20"/>
        </w:rPr>
        <w:t>, 15 (4)</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529 –534.</w:t>
      </w:r>
    </w:p>
    <w:p w:rsidR="00237923" w:rsidRPr="005D57F3" w:rsidRDefault="00237923" w:rsidP="00237923">
      <w:pPr>
        <w:widowControl w:val="0"/>
        <w:numPr>
          <w:ilvl w:val="0"/>
          <w:numId w:val="1"/>
        </w:numPr>
        <w:autoSpaceDE w:val="0"/>
        <w:autoSpaceDN w:val="0"/>
        <w:spacing w:after="0" w:line="240" w:lineRule="auto"/>
        <w:ind w:left="360"/>
        <w:jc w:val="both"/>
        <w:outlineLvl w:val="0"/>
        <w:rPr>
          <w:rFonts w:ascii="Times New Roman" w:eastAsia="Malgun Gothic" w:hAnsi="Times New Roman" w:hint="eastAsia"/>
          <w:sz w:val="20"/>
          <w:szCs w:val="20"/>
        </w:rPr>
      </w:pPr>
      <w:r w:rsidRPr="005D57F3">
        <w:rPr>
          <w:rFonts w:ascii="Times New Roman" w:eastAsia="Malgun Gothic" w:hAnsi="Times New Roman"/>
          <w:sz w:val="20"/>
          <w:szCs w:val="20"/>
        </w:rPr>
        <w:t>Son H</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J. </w:t>
      </w:r>
      <w:r w:rsidRPr="005D57F3">
        <w:rPr>
          <w:rFonts w:ascii="Times New Roman" w:eastAsia="Malgun Gothic" w:hAnsi="Times New Roman" w:hint="eastAsia"/>
          <w:sz w:val="20"/>
          <w:szCs w:val="20"/>
        </w:rPr>
        <w:t xml:space="preserve">(2013) </w:t>
      </w:r>
      <w:r w:rsidRPr="005D57F3">
        <w:rPr>
          <w:rFonts w:ascii="Times New Roman" w:eastAsia="Malgun Gothic" w:hAnsi="Times New Roman"/>
          <w:sz w:val="20"/>
          <w:szCs w:val="20"/>
        </w:rPr>
        <w:t xml:space="preserve">Long-term variations of phytoplankton biomass and water quality in the downstream of Nakdong River (in Korean). </w:t>
      </w:r>
      <w:r w:rsidRPr="005D57F3">
        <w:rPr>
          <w:rFonts w:ascii="Times New Roman" w:eastAsia="Malgun Gothic" w:hAnsi="Times New Roman"/>
          <w:i/>
          <w:sz w:val="20"/>
          <w:szCs w:val="20"/>
        </w:rPr>
        <w:t>Journal of Korea Society Environment Engineers</w:t>
      </w:r>
      <w:r w:rsidRPr="005D57F3">
        <w:rPr>
          <w:rFonts w:ascii="Times New Roman" w:eastAsia="Malgun Gothic" w:hAnsi="Times New Roman"/>
          <w:sz w:val="20"/>
          <w:szCs w:val="20"/>
        </w:rPr>
        <w:t>, 35 (4)</w:t>
      </w:r>
      <w:r w:rsidRPr="005D57F3">
        <w:rPr>
          <w:rFonts w:ascii="Times New Roman" w:eastAsia="Malgun Gothic" w:hAnsi="Times New Roman" w:hint="eastAsia"/>
          <w:sz w:val="20"/>
          <w:szCs w:val="20"/>
        </w:rPr>
        <w:t>:</w:t>
      </w:r>
      <w:r w:rsidRPr="005D57F3">
        <w:rPr>
          <w:rFonts w:ascii="Times New Roman" w:eastAsia="Malgun Gothic" w:hAnsi="Times New Roman"/>
          <w:sz w:val="20"/>
          <w:szCs w:val="20"/>
        </w:rPr>
        <w:t xml:space="preserve"> 263 – 267.</w:t>
      </w:r>
    </w:p>
    <w:p w:rsidR="00237923" w:rsidRPr="005D57F3" w:rsidRDefault="00237923" w:rsidP="00237923">
      <w:pPr>
        <w:spacing w:after="0" w:line="240" w:lineRule="auto"/>
        <w:ind w:left="360" w:hanging="360"/>
        <w:jc w:val="both"/>
        <w:rPr>
          <w:rFonts w:ascii="Times New Roman" w:hAnsi="Times New Roman"/>
          <w:noProof/>
          <w:sz w:val="20"/>
          <w:szCs w:val="20"/>
          <w:lang w:bidi="ar-SA"/>
        </w:rPr>
      </w:pPr>
    </w:p>
    <w:p w:rsidR="00237923" w:rsidRPr="00237923" w:rsidRDefault="00237923" w:rsidP="00237923">
      <w:pPr>
        <w:spacing w:after="0" w:line="240" w:lineRule="auto"/>
        <w:jc w:val="both"/>
        <w:outlineLvl w:val="0"/>
        <w:rPr>
          <w:rFonts w:ascii="Times New Roman" w:hAnsi="Times New Roman"/>
          <w:sz w:val="20"/>
          <w:szCs w:val="20"/>
        </w:rPr>
      </w:pPr>
    </w:p>
    <w:sectPr w:rsidR="00237923" w:rsidRPr="00237923" w:rsidSect="0023792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67786"/>
    <w:multiLevelType w:val="hybridMultilevel"/>
    <w:tmpl w:val="2F6ED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23"/>
    <w:rsid w:val="00237923"/>
    <w:rsid w:val="00AA0FD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2016-03-25T01:45:00Z</dcterms:created>
  <dcterms:modified xsi:type="dcterms:W3CDTF">2016-03-25T01:47:00Z</dcterms:modified>
</cp:coreProperties>
</file>