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55" w:rsidRDefault="00543555" w:rsidP="0054355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2 (2016): 324 - 328</w:t>
      </w:r>
    </w:p>
    <w:p w:rsidR="00543555" w:rsidRDefault="00543555" w:rsidP="00543555">
      <w:pPr>
        <w:spacing w:after="0" w:line="240" w:lineRule="auto"/>
        <w:outlineLvl w:val="0"/>
        <w:rPr>
          <w:rFonts w:ascii="Times New Roman" w:hAnsi="Times New Roman"/>
          <w:sz w:val="24"/>
          <w:szCs w:val="24"/>
        </w:rPr>
      </w:pPr>
    </w:p>
    <w:p w:rsidR="00543555" w:rsidRDefault="00543555" w:rsidP="00543555">
      <w:pPr>
        <w:spacing w:after="0" w:line="240" w:lineRule="auto"/>
        <w:outlineLvl w:val="0"/>
        <w:rPr>
          <w:rFonts w:ascii="Times New Roman" w:hAnsi="Times New Roman"/>
          <w:sz w:val="24"/>
          <w:szCs w:val="24"/>
        </w:rPr>
      </w:pPr>
    </w:p>
    <w:p w:rsidR="00543555" w:rsidRPr="00543555" w:rsidRDefault="00543555" w:rsidP="00543555">
      <w:pPr>
        <w:spacing w:after="0" w:line="240" w:lineRule="auto"/>
        <w:outlineLvl w:val="0"/>
        <w:rPr>
          <w:rFonts w:ascii="Times New Roman" w:hAnsi="Times New Roman"/>
          <w:sz w:val="24"/>
          <w:szCs w:val="24"/>
        </w:rPr>
      </w:pPr>
    </w:p>
    <w:p w:rsidR="00543555" w:rsidRPr="00597198" w:rsidRDefault="00543555" w:rsidP="00543555">
      <w:pPr>
        <w:spacing w:after="0" w:line="240" w:lineRule="auto"/>
        <w:jc w:val="center"/>
        <w:outlineLvl w:val="0"/>
        <w:rPr>
          <w:rFonts w:ascii="Times New Roman" w:hAnsi="Times New Roman"/>
          <w:sz w:val="28"/>
        </w:rPr>
      </w:pPr>
      <w:r>
        <w:rPr>
          <w:rFonts w:ascii="Times New Roman" w:hAnsi="Times New Roman"/>
          <w:sz w:val="28"/>
        </w:rPr>
        <w:t>EFFECT OF PALM OIL FIBER-TiO</w:t>
      </w:r>
      <w:r>
        <w:rPr>
          <w:rFonts w:ascii="Times New Roman" w:hAnsi="Times New Roman"/>
          <w:sz w:val="28"/>
          <w:vertAlign w:val="subscript"/>
        </w:rPr>
        <w:t>2</w:t>
      </w:r>
      <w:r>
        <w:rPr>
          <w:rFonts w:ascii="Times New Roman" w:hAnsi="Times New Roman"/>
          <w:sz w:val="28"/>
        </w:rPr>
        <w:t xml:space="preserve"> RATIO IN THE COMPOSITE ON THE REDUCTION OF BTX AND FORMALDEHYDE IN THE AIR</w:t>
      </w:r>
    </w:p>
    <w:p w:rsidR="00543555" w:rsidRPr="00F447A7" w:rsidRDefault="00543555" w:rsidP="00543555">
      <w:pPr>
        <w:spacing w:after="0" w:line="240" w:lineRule="auto"/>
        <w:jc w:val="center"/>
        <w:rPr>
          <w:rFonts w:ascii="Times New Roman" w:hAnsi="Times New Roman"/>
          <w:noProof/>
          <w:sz w:val="24"/>
          <w:szCs w:val="24"/>
          <w:lang w:bidi="ar-SA"/>
        </w:rPr>
      </w:pPr>
    </w:p>
    <w:p w:rsidR="00543555" w:rsidRPr="00F447A7" w:rsidRDefault="00543555" w:rsidP="00543555">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E1785D">
        <w:rPr>
          <w:rFonts w:ascii="Times New Roman" w:hAnsi="Times New Roman"/>
          <w:sz w:val="24"/>
          <w:szCs w:val="24"/>
        </w:rPr>
        <w:t>Kesan Nisbah Serat Kelapa Sawit-TiO</w:t>
      </w:r>
      <w:r w:rsidRPr="00E1785D">
        <w:rPr>
          <w:rFonts w:ascii="Times New Roman" w:hAnsi="Times New Roman"/>
          <w:sz w:val="24"/>
          <w:szCs w:val="24"/>
          <w:vertAlign w:val="subscript"/>
        </w:rPr>
        <w:t>2</w:t>
      </w:r>
      <w:r w:rsidRPr="00E1785D">
        <w:rPr>
          <w:rFonts w:ascii="Times New Roman" w:hAnsi="Times New Roman"/>
          <w:sz w:val="24"/>
          <w:szCs w:val="24"/>
        </w:rPr>
        <w:t xml:space="preserve"> dalam Komposit bagi Pengurangan Kandungan BTX dan Formaldehid di Udara</w:t>
      </w:r>
      <w:r w:rsidRPr="00F447A7">
        <w:rPr>
          <w:rFonts w:ascii="Times New Roman" w:hAnsi="Times New Roman"/>
          <w:noProof/>
          <w:sz w:val="24"/>
          <w:szCs w:val="24"/>
          <w:lang w:bidi="ar-SA"/>
        </w:rPr>
        <w:t>)</w:t>
      </w:r>
    </w:p>
    <w:p w:rsidR="00543555" w:rsidRPr="00F447A7" w:rsidRDefault="00543555" w:rsidP="00543555">
      <w:pPr>
        <w:spacing w:after="0" w:line="240" w:lineRule="auto"/>
        <w:jc w:val="center"/>
        <w:rPr>
          <w:rFonts w:ascii="Times New Roman" w:hAnsi="Times New Roman"/>
          <w:noProof/>
          <w:sz w:val="20"/>
          <w:szCs w:val="20"/>
          <w:lang w:bidi="ar-SA"/>
        </w:rPr>
      </w:pPr>
    </w:p>
    <w:p w:rsidR="00543555" w:rsidRPr="00FF6DE0" w:rsidRDefault="00543555" w:rsidP="00543555">
      <w:pPr>
        <w:spacing w:after="0" w:line="240" w:lineRule="auto"/>
        <w:jc w:val="center"/>
        <w:outlineLvl w:val="0"/>
        <w:rPr>
          <w:rFonts w:ascii="Times New Roman" w:hAnsi="Times New Roman"/>
          <w:sz w:val="20"/>
          <w:szCs w:val="20"/>
        </w:rPr>
      </w:pPr>
      <w:r w:rsidRPr="00FF6DE0">
        <w:rPr>
          <w:rFonts w:ascii="Times New Roman" w:hAnsi="Times New Roman"/>
          <w:sz w:val="20"/>
          <w:szCs w:val="20"/>
        </w:rPr>
        <w:t>Nor Rahafza Abdul Manap</w:t>
      </w:r>
      <w:r w:rsidRPr="00FF6DE0">
        <w:rPr>
          <w:rFonts w:ascii="Times New Roman" w:hAnsi="Times New Roman"/>
          <w:sz w:val="20"/>
          <w:szCs w:val="20"/>
          <w:vertAlign w:val="superscript"/>
        </w:rPr>
        <w:t>1</w:t>
      </w:r>
      <w:r w:rsidRPr="00FF6DE0">
        <w:rPr>
          <w:rFonts w:ascii="Times New Roman" w:hAnsi="Times New Roman"/>
          <w:sz w:val="20"/>
          <w:szCs w:val="20"/>
        </w:rPr>
        <w:t>, Roslinda Shamsudin</w:t>
      </w:r>
      <w:r w:rsidRPr="00FF6DE0">
        <w:rPr>
          <w:rFonts w:ascii="Times New Roman" w:hAnsi="Times New Roman"/>
          <w:sz w:val="20"/>
          <w:szCs w:val="20"/>
          <w:vertAlign w:val="superscript"/>
        </w:rPr>
        <w:t>1</w:t>
      </w:r>
      <w:r w:rsidRPr="00FF6DE0">
        <w:rPr>
          <w:rFonts w:ascii="Times New Roman" w:hAnsi="Times New Roman"/>
          <w:sz w:val="20"/>
          <w:szCs w:val="20"/>
        </w:rPr>
        <w:t>*, Mohd Norhafsam Maghpor</w:t>
      </w:r>
      <w:r w:rsidRPr="00FF6DE0">
        <w:rPr>
          <w:rFonts w:ascii="Times New Roman" w:hAnsi="Times New Roman"/>
          <w:sz w:val="20"/>
          <w:szCs w:val="20"/>
          <w:vertAlign w:val="superscript"/>
        </w:rPr>
        <w:t>2</w:t>
      </w:r>
      <w:r w:rsidRPr="00FF6DE0">
        <w:rPr>
          <w:rFonts w:ascii="Times New Roman" w:hAnsi="Times New Roman"/>
          <w:sz w:val="20"/>
          <w:szCs w:val="20"/>
        </w:rPr>
        <w:t xml:space="preserve">, </w:t>
      </w:r>
    </w:p>
    <w:p w:rsidR="00543555" w:rsidRPr="00FF6DE0" w:rsidRDefault="00543555" w:rsidP="00543555">
      <w:pPr>
        <w:spacing w:after="0" w:line="240" w:lineRule="auto"/>
        <w:jc w:val="center"/>
        <w:outlineLvl w:val="0"/>
        <w:rPr>
          <w:rFonts w:ascii="Times New Roman" w:hAnsi="Times New Roman"/>
          <w:sz w:val="20"/>
          <w:szCs w:val="20"/>
          <w:vertAlign w:val="superscript"/>
        </w:rPr>
      </w:pPr>
      <w:r w:rsidRPr="00FF6DE0">
        <w:rPr>
          <w:rFonts w:ascii="Times New Roman" w:hAnsi="Times New Roman"/>
          <w:sz w:val="20"/>
          <w:szCs w:val="20"/>
        </w:rPr>
        <w:t>Muhammad Azmi Abdul Hamid</w:t>
      </w:r>
      <w:r w:rsidRPr="00FF6DE0">
        <w:rPr>
          <w:rFonts w:ascii="Times New Roman" w:hAnsi="Times New Roman"/>
          <w:sz w:val="20"/>
          <w:szCs w:val="20"/>
          <w:vertAlign w:val="superscript"/>
        </w:rPr>
        <w:t>1</w:t>
      </w:r>
      <w:r w:rsidRPr="00FF6DE0">
        <w:rPr>
          <w:rFonts w:ascii="Times New Roman" w:hAnsi="Times New Roman"/>
          <w:sz w:val="20"/>
          <w:szCs w:val="20"/>
        </w:rPr>
        <w:t>, Azman Jalar</w:t>
      </w:r>
      <w:r w:rsidRPr="00FF6DE0">
        <w:rPr>
          <w:rFonts w:ascii="Times New Roman" w:hAnsi="Times New Roman"/>
          <w:sz w:val="20"/>
          <w:szCs w:val="20"/>
          <w:vertAlign w:val="superscript"/>
        </w:rPr>
        <w:t>1</w:t>
      </w:r>
    </w:p>
    <w:p w:rsidR="00543555" w:rsidRPr="00543555" w:rsidRDefault="00543555" w:rsidP="00543555">
      <w:pPr>
        <w:spacing w:after="0" w:line="240" w:lineRule="auto"/>
        <w:jc w:val="center"/>
        <w:outlineLvl w:val="0"/>
        <w:rPr>
          <w:rFonts w:ascii="Times New Roman" w:hAnsi="Times New Roman"/>
          <w:b/>
          <w:color w:val="FF0000"/>
          <w:sz w:val="20"/>
          <w:szCs w:val="20"/>
        </w:rPr>
      </w:pPr>
    </w:p>
    <w:p w:rsidR="00543555" w:rsidRPr="00543555" w:rsidRDefault="00543555" w:rsidP="00543555">
      <w:pPr>
        <w:spacing w:after="0" w:line="240" w:lineRule="auto"/>
        <w:jc w:val="center"/>
        <w:outlineLvl w:val="0"/>
        <w:rPr>
          <w:rFonts w:ascii="Times New Roman" w:hAnsi="Times New Roman"/>
          <w:i/>
          <w:sz w:val="20"/>
          <w:szCs w:val="20"/>
        </w:rPr>
      </w:pPr>
      <w:r w:rsidRPr="00543555">
        <w:rPr>
          <w:rFonts w:ascii="Times New Roman" w:hAnsi="Times New Roman"/>
          <w:i/>
          <w:sz w:val="20"/>
          <w:szCs w:val="20"/>
          <w:vertAlign w:val="superscript"/>
        </w:rPr>
        <w:t>1</w:t>
      </w:r>
      <w:r w:rsidRPr="00543555">
        <w:rPr>
          <w:rFonts w:ascii="Times New Roman" w:hAnsi="Times New Roman"/>
          <w:i/>
          <w:sz w:val="20"/>
          <w:szCs w:val="20"/>
        </w:rPr>
        <w:t>School of Applied Physics, Faculty of Science and Technology</w:t>
      </w:r>
    </w:p>
    <w:p w:rsidR="00543555" w:rsidRPr="00543555" w:rsidRDefault="00543555" w:rsidP="00543555">
      <w:pPr>
        <w:spacing w:after="0" w:line="240" w:lineRule="auto"/>
        <w:jc w:val="center"/>
        <w:outlineLvl w:val="0"/>
        <w:rPr>
          <w:rFonts w:ascii="Times New Roman" w:hAnsi="Times New Roman"/>
          <w:i/>
          <w:sz w:val="20"/>
          <w:szCs w:val="20"/>
        </w:rPr>
      </w:pPr>
      <w:r w:rsidRPr="00543555">
        <w:rPr>
          <w:rFonts w:ascii="Times New Roman" w:hAnsi="Times New Roman"/>
          <w:i/>
          <w:sz w:val="20"/>
          <w:szCs w:val="20"/>
        </w:rPr>
        <w:t>Universiti Kebangsaan Malaysia, 43600 UKM Bangi, Selangor, Malaysia</w:t>
      </w:r>
    </w:p>
    <w:p w:rsidR="00543555" w:rsidRPr="00543555" w:rsidRDefault="00543555" w:rsidP="00543555">
      <w:pPr>
        <w:spacing w:after="0" w:line="240" w:lineRule="auto"/>
        <w:jc w:val="center"/>
        <w:outlineLvl w:val="0"/>
        <w:rPr>
          <w:rFonts w:ascii="Times New Roman" w:hAnsi="Times New Roman"/>
          <w:i/>
          <w:sz w:val="20"/>
          <w:szCs w:val="20"/>
        </w:rPr>
      </w:pPr>
      <w:r w:rsidRPr="00543555">
        <w:rPr>
          <w:rFonts w:ascii="Times New Roman" w:hAnsi="Times New Roman"/>
          <w:i/>
          <w:sz w:val="20"/>
          <w:szCs w:val="20"/>
          <w:vertAlign w:val="superscript"/>
        </w:rPr>
        <w:t>2</w:t>
      </w:r>
      <w:r w:rsidRPr="00543555">
        <w:rPr>
          <w:rFonts w:ascii="Times New Roman" w:hAnsi="Times New Roman"/>
          <w:i/>
          <w:sz w:val="20"/>
          <w:szCs w:val="20"/>
        </w:rPr>
        <w:t>National Institute of Occupational Safety and Health</w:t>
      </w:r>
    </w:p>
    <w:p w:rsidR="00543555" w:rsidRPr="00543555" w:rsidRDefault="00543555" w:rsidP="00543555">
      <w:pPr>
        <w:spacing w:after="0" w:line="240" w:lineRule="auto"/>
        <w:jc w:val="center"/>
        <w:outlineLvl w:val="0"/>
        <w:rPr>
          <w:rFonts w:ascii="Times New Roman" w:hAnsi="Times New Roman"/>
          <w:i/>
          <w:sz w:val="20"/>
          <w:szCs w:val="20"/>
        </w:rPr>
      </w:pPr>
      <w:r w:rsidRPr="00543555">
        <w:rPr>
          <w:rFonts w:ascii="Times New Roman" w:hAnsi="Times New Roman"/>
          <w:i/>
          <w:sz w:val="20"/>
          <w:szCs w:val="20"/>
        </w:rPr>
        <w:t xml:space="preserve"> Lot 1, Jalan 15/1, Seksyen 15, 46500 Bandar Baru Bangi, Selangor, Malaysia</w:t>
      </w:r>
    </w:p>
    <w:p w:rsidR="00543555" w:rsidRPr="00543555" w:rsidRDefault="00543555" w:rsidP="00543555">
      <w:pPr>
        <w:spacing w:after="0" w:line="240" w:lineRule="auto"/>
        <w:jc w:val="center"/>
        <w:rPr>
          <w:rFonts w:ascii="Times New Roman" w:hAnsi="Times New Roman"/>
          <w:noProof/>
          <w:sz w:val="20"/>
          <w:szCs w:val="20"/>
          <w:lang w:bidi="ar-SA"/>
        </w:rPr>
      </w:pPr>
    </w:p>
    <w:p w:rsidR="00543555" w:rsidRPr="00543555" w:rsidRDefault="00543555" w:rsidP="00543555">
      <w:pPr>
        <w:spacing w:after="0" w:line="240" w:lineRule="auto"/>
        <w:jc w:val="center"/>
        <w:outlineLvl w:val="0"/>
        <w:rPr>
          <w:rFonts w:ascii="Times New Roman" w:hAnsi="Times New Roman"/>
          <w:b/>
          <w:i/>
          <w:color w:val="548DD4"/>
          <w:sz w:val="20"/>
          <w:szCs w:val="20"/>
        </w:rPr>
      </w:pPr>
      <w:r w:rsidRPr="00543555">
        <w:rPr>
          <w:rFonts w:ascii="Times New Roman" w:hAnsi="Times New Roman"/>
          <w:i/>
          <w:noProof/>
          <w:sz w:val="20"/>
          <w:szCs w:val="20"/>
          <w:lang w:bidi="ar-SA"/>
        </w:rPr>
        <w:t xml:space="preserve">*Corresponding author: </w:t>
      </w:r>
      <w:r w:rsidRPr="00543555">
        <w:rPr>
          <w:rFonts w:ascii="Times New Roman" w:hAnsi="Times New Roman"/>
          <w:bCs/>
          <w:i/>
          <w:sz w:val="20"/>
          <w:szCs w:val="20"/>
        </w:rPr>
        <w:t>linda@ukm.edu.my</w:t>
      </w:r>
    </w:p>
    <w:p w:rsidR="00543555" w:rsidRPr="00543555" w:rsidRDefault="00543555" w:rsidP="00543555">
      <w:pPr>
        <w:spacing w:after="0" w:line="240" w:lineRule="auto"/>
        <w:jc w:val="center"/>
        <w:rPr>
          <w:rFonts w:ascii="Times New Roman" w:hAnsi="Times New Roman"/>
          <w:noProof/>
          <w:sz w:val="20"/>
          <w:szCs w:val="20"/>
          <w:lang w:bidi="ar-SA"/>
        </w:rPr>
      </w:pPr>
    </w:p>
    <w:p w:rsidR="00543555" w:rsidRPr="00543555" w:rsidRDefault="00543555" w:rsidP="00543555">
      <w:pPr>
        <w:spacing w:after="0" w:line="240" w:lineRule="auto"/>
        <w:jc w:val="center"/>
        <w:rPr>
          <w:rFonts w:ascii="Times New Roman" w:hAnsi="Times New Roman"/>
          <w:noProof/>
          <w:sz w:val="20"/>
          <w:szCs w:val="20"/>
          <w:lang w:bidi="ar-SA"/>
        </w:rPr>
      </w:pPr>
    </w:p>
    <w:p w:rsidR="00543555" w:rsidRPr="00543555" w:rsidRDefault="00543555" w:rsidP="00543555">
      <w:pPr>
        <w:spacing w:after="0" w:line="240" w:lineRule="auto"/>
        <w:jc w:val="center"/>
        <w:rPr>
          <w:rFonts w:ascii="Times New Roman" w:hAnsi="Times New Roman"/>
          <w:noProof/>
          <w:sz w:val="20"/>
          <w:szCs w:val="20"/>
          <w:lang w:bidi="ar-SA"/>
        </w:rPr>
      </w:pPr>
      <w:r w:rsidRPr="00543555">
        <w:rPr>
          <w:rFonts w:ascii="Times New Roman" w:hAnsi="Times New Roman"/>
          <w:noProof/>
          <w:sz w:val="20"/>
          <w:szCs w:val="20"/>
          <w:lang w:bidi="ar-SA"/>
        </w:rPr>
        <w:t>Received: 24 February 2015; Accepted: 27 October 2015</w:t>
      </w:r>
    </w:p>
    <w:p w:rsidR="00543555" w:rsidRPr="00543555" w:rsidRDefault="00543555" w:rsidP="00543555">
      <w:pPr>
        <w:spacing w:after="0" w:line="240" w:lineRule="auto"/>
        <w:jc w:val="center"/>
        <w:rPr>
          <w:rFonts w:ascii="Times New Roman" w:hAnsi="Times New Roman"/>
          <w:noProof/>
          <w:sz w:val="20"/>
          <w:szCs w:val="20"/>
          <w:lang w:bidi="ar-SA"/>
        </w:rPr>
      </w:pPr>
    </w:p>
    <w:p w:rsidR="00543555" w:rsidRPr="00543555" w:rsidRDefault="00543555" w:rsidP="00543555">
      <w:pPr>
        <w:spacing w:after="0" w:line="240" w:lineRule="auto"/>
        <w:jc w:val="center"/>
        <w:rPr>
          <w:rFonts w:ascii="Times New Roman" w:hAnsi="Times New Roman"/>
          <w:noProof/>
          <w:sz w:val="20"/>
          <w:szCs w:val="20"/>
          <w:lang w:bidi="ar-SA"/>
        </w:rPr>
      </w:pPr>
    </w:p>
    <w:p w:rsidR="00543555" w:rsidRPr="00543555" w:rsidRDefault="00543555" w:rsidP="00543555">
      <w:pPr>
        <w:spacing w:after="0" w:line="240" w:lineRule="auto"/>
        <w:jc w:val="center"/>
        <w:rPr>
          <w:rFonts w:ascii="Times New Roman" w:hAnsi="Times New Roman"/>
          <w:b/>
          <w:noProof/>
          <w:sz w:val="20"/>
          <w:szCs w:val="20"/>
          <w:lang w:bidi="ar-SA"/>
        </w:rPr>
      </w:pPr>
      <w:r w:rsidRPr="00543555">
        <w:rPr>
          <w:rFonts w:ascii="Times New Roman" w:hAnsi="Times New Roman"/>
          <w:b/>
          <w:noProof/>
          <w:sz w:val="20"/>
          <w:szCs w:val="20"/>
          <w:lang w:bidi="ar-SA"/>
        </w:rPr>
        <w:t>Abstract</w:t>
      </w:r>
    </w:p>
    <w:p w:rsidR="00543555" w:rsidRPr="00543555" w:rsidRDefault="00543555" w:rsidP="00543555">
      <w:pPr>
        <w:pStyle w:val="Abstract"/>
        <w:rPr>
          <w:rFonts w:ascii="Times New Roman" w:hAnsi="Times New Roman"/>
          <w:b w:val="0"/>
          <w:sz w:val="20"/>
          <w:szCs w:val="20"/>
        </w:rPr>
      </w:pPr>
      <w:r w:rsidRPr="00543555">
        <w:rPr>
          <w:rFonts w:ascii="Times New Roman" w:hAnsi="Times New Roman"/>
          <w:b w:val="0"/>
          <w:sz w:val="20"/>
          <w:szCs w:val="20"/>
        </w:rPr>
        <w:t>The effect of palm oil fiber-TiO</w:t>
      </w:r>
      <w:r w:rsidRPr="00543555">
        <w:rPr>
          <w:rFonts w:ascii="Times New Roman" w:hAnsi="Times New Roman"/>
          <w:b w:val="0"/>
          <w:sz w:val="20"/>
          <w:szCs w:val="20"/>
          <w:vertAlign w:val="subscript"/>
        </w:rPr>
        <w:t>2</w:t>
      </w:r>
      <w:r w:rsidRPr="00543555">
        <w:rPr>
          <w:rFonts w:ascii="Times New Roman" w:hAnsi="Times New Roman"/>
          <w:b w:val="0"/>
          <w:sz w:val="20"/>
          <w:szCs w:val="20"/>
        </w:rPr>
        <w:t xml:space="preserve"> ratio in the composite on the reduction of benzene, toluene, xylene and formaldehyde in the air is studied. The ratio was set at 1:0, 1:9 and 5:5. The combination of adsorption process by palm oil fiber and photooxidation of volatile organic compounds by titanium dioxide was revealed. The composite were prepared by using mechanical milling technique. The performance of the composite was characterized in terms of percentage of recovery of benzene, toluene and xylene (</w:t>
      </w:r>
      <w:smartTag w:uri="urn:schemas-microsoft-com:office:smarttags" w:element="stockticker">
        <w:r w:rsidRPr="00543555">
          <w:rPr>
            <w:rFonts w:ascii="Times New Roman" w:hAnsi="Times New Roman"/>
            <w:b w:val="0"/>
            <w:sz w:val="20"/>
            <w:szCs w:val="20"/>
          </w:rPr>
          <w:t>BTX</w:t>
        </w:r>
      </w:smartTag>
      <w:r w:rsidRPr="00543555">
        <w:rPr>
          <w:rFonts w:ascii="Times New Roman" w:hAnsi="Times New Roman"/>
          <w:b w:val="0"/>
          <w:sz w:val="20"/>
          <w:szCs w:val="20"/>
        </w:rPr>
        <w:t xml:space="preserve">) using GC/FID and formaldehyde concentration reduction using formaldehyde meter. The results of recovery of the BTX by palm oil fiber/titanium dioxide composite were more than 90%. The palm oil fiber/titanium dioxide composite has successfully reduced the concentration of formaldehyde by up to 66.7%.  Therefore, the palm oil mesocarp fiber/titanium dioxide composite produced is able to reduce the concentration of volatile organic compounds. </w:t>
      </w:r>
    </w:p>
    <w:p w:rsidR="00543555" w:rsidRPr="00543555" w:rsidRDefault="00543555" w:rsidP="00543555">
      <w:pPr>
        <w:spacing w:after="0" w:line="240" w:lineRule="auto"/>
        <w:jc w:val="both"/>
        <w:outlineLvl w:val="0"/>
        <w:rPr>
          <w:rFonts w:ascii="Times New Roman" w:hAnsi="Times New Roman"/>
          <w:sz w:val="20"/>
          <w:szCs w:val="20"/>
        </w:rPr>
      </w:pPr>
    </w:p>
    <w:p w:rsidR="00543555" w:rsidRPr="00543555" w:rsidRDefault="00543555" w:rsidP="00543555">
      <w:pPr>
        <w:spacing w:after="0" w:line="240" w:lineRule="auto"/>
        <w:ind w:left="1080" w:hanging="1080"/>
        <w:jc w:val="both"/>
        <w:rPr>
          <w:rFonts w:ascii="Times New Roman" w:hAnsi="Times New Roman"/>
          <w:iCs/>
          <w:sz w:val="20"/>
          <w:szCs w:val="20"/>
        </w:rPr>
      </w:pPr>
      <w:r w:rsidRPr="00543555">
        <w:rPr>
          <w:rFonts w:ascii="Times New Roman" w:hAnsi="Times New Roman"/>
          <w:b/>
          <w:sz w:val="20"/>
          <w:szCs w:val="20"/>
        </w:rPr>
        <w:t>Keywords</w:t>
      </w:r>
      <w:r w:rsidRPr="00543555">
        <w:rPr>
          <w:rFonts w:ascii="Times New Roman" w:hAnsi="Times New Roman"/>
          <w:sz w:val="20"/>
          <w:szCs w:val="20"/>
        </w:rPr>
        <w:t xml:space="preserve">: </w:t>
      </w:r>
      <w:r>
        <w:rPr>
          <w:rFonts w:ascii="Times New Roman" w:hAnsi="Times New Roman"/>
          <w:sz w:val="20"/>
          <w:szCs w:val="20"/>
        </w:rPr>
        <w:tab/>
      </w:r>
      <w:r w:rsidRPr="00543555">
        <w:rPr>
          <w:rFonts w:ascii="Times New Roman" w:hAnsi="Times New Roman"/>
          <w:iCs/>
          <w:sz w:val="20"/>
          <w:szCs w:val="20"/>
        </w:rPr>
        <w:t>mesocarp fiber, palm oil fiber, titanium dioxide, photocatalyst, photo oxidation, volatile organic compunds</w:t>
      </w:r>
    </w:p>
    <w:p w:rsidR="00543555" w:rsidRPr="00543555" w:rsidRDefault="00543555" w:rsidP="00543555">
      <w:pPr>
        <w:spacing w:after="0" w:line="240" w:lineRule="auto"/>
        <w:jc w:val="center"/>
        <w:rPr>
          <w:rFonts w:ascii="Times New Roman" w:hAnsi="Times New Roman"/>
          <w:b/>
          <w:noProof/>
          <w:sz w:val="20"/>
          <w:szCs w:val="20"/>
          <w:lang w:bidi="ar-SA"/>
        </w:rPr>
      </w:pPr>
    </w:p>
    <w:p w:rsidR="00543555" w:rsidRPr="00543555" w:rsidRDefault="00543555" w:rsidP="00543555">
      <w:pPr>
        <w:spacing w:after="0" w:line="240" w:lineRule="auto"/>
        <w:jc w:val="center"/>
        <w:rPr>
          <w:rFonts w:ascii="Times New Roman" w:hAnsi="Times New Roman"/>
          <w:b/>
          <w:noProof/>
          <w:sz w:val="20"/>
          <w:szCs w:val="20"/>
          <w:lang w:bidi="ar-SA"/>
        </w:rPr>
      </w:pPr>
      <w:r w:rsidRPr="00543555">
        <w:rPr>
          <w:rFonts w:ascii="Times New Roman" w:hAnsi="Times New Roman"/>
          <w:b/>
          <w:noProof/>
          <w:sz w:val="20"/>
          <w:szCs w:val="20"/>
          <w:lang w:bidi="ar-SA"/>
        </w:rPr>
        <w:t>Abstrak</w:t>
      </w:r>
    </w:p>
    <w:p w:rsidR="00543555" w:rsidRPr="00543555" w:rsidRDefault="00543555" w:rsidP="00543555">
      <w:pPr>
        <w:spacing w:after="0" w:line="240" w:lineRule="auto"/>
        <w:jc w:val="both"/>
        <w:outlineLvl w:val="0"/>
        <w:rPr>
          <w:rFonts w:ascii="Times New Roman" w:hAnsi="Times New Roman"/>
          <w:sz w:val="20"/>
          <w:szCs w:val="20"/>
        </w:rPr>
      </w:pPr>
      <w:r w:rsidRPr="00543555">
        <w:rPr>
          <w:rFonts w:ascii="Times New Roman" w:hAnsi="Times New Roman"/>
          <w:sz w:val="20"/>
          <w:szCs w:val="20"/>
        </w:rPr>
        <w:t>Kesan nisbah serat kelapa sawit-titanium dioksida dalam komposit bagi pengurangan kandungan BTX dan formaldihid dalam udara telah dikaji. Nisbah telah ditetapkan sebagai 1:0, 1:9 dan 5:5. Kombinasi proses penjerapan oleh serat kelapa sawit dan proses oksidasi cahaya sebatian organik meruap oleh titanium dioksida telah dijelaskan. Serbuk komposit serat kelapa sawit-titanium dioksida telah disediakan menggunakan kaedah kisaran mekanikal untuk mendapatkan serbuk komposit. Prestasi komposit telah diuji dari segi nilai peratusan ujian pemulihan benzena, toluena dan xilena (BTX) menggunakan kromatografi gas dengan pengesan pengionan api (GC/FID) dan peratusan pengurangan kepekatan formaldehid menggunakan meter formaldehid. Nilai peratusan ujian pemulihan BTX yang diberikan oleh serbuk komposit melebihi 90%. Serbuk komposit dari serat kelapa sawit dan titanium dioksida telah berjaya mengurangkan kepekatan formaldehid sebanyak 66.7%. Oleh itu, komposit yang dihasilkan dari serat kelapa sawit dan TiO</w:t>
      </w:r>
      <w:r w:rsidRPr="00543555">
        <w:rPr>
          <w:rFonts w:ascii="Times New Roman" w:hAnsi="Times New Roman"/>
          <w:sz w:val="20"/>
          <w:szCs w:val="20"/>
          <w:vertAlign w:val="subscript"/>
        </w:rPr>
        <w:t>2</w:t>
      </w:r>
      <w:r w:rsidRPr="00543555">
        <w:rPr>
          <w:rFonts w:ascii="Times New Roman" w:hAnsi="Times New Roman"/>
          <w:sz w:val="20"/>
          <w:szCs w:val="20"/>
        </w:rPr>
        <w:t xml:space="preserve"> boleh mengurangkan  kepekatan sebatian organic meruap dalam udara.</w:t>
      </w:r>
    </w:p>
    <w:p w:rsidR="00543555" w:rsidRPr="00543555" w:rsidRDefault="00543555" w:rsidP="00543555">
      <w:pPr>
        <w:spacing w:after="0" w:line="240" w:lineRule="auto"/>
        <w:jc w:val="both"/>
        <w:outlineLvl w:val="0"/>
        <w:rPr>
          <w:rFonts w:ascii="Times New Roman" w:hAnsi="Times New Roman"/>
          <w:sz w:val="20"/>
          <w:szCs w:val="20"/>
        </w:rPr>
      </w:pPr>
    </w:p>
    <w:p w:rsidR="007D2368" w:rsidRDefault="00543555" w:rsidP="00543555">
      <w:pPr>
        <w:spacing w:after="0" w:line="240" w:lineRule="auto"/>
        <w:ind w:left="1170" w:hanging="1170"/>
        <w:jc w:val="both"/>
        <w:outlineLvl w:val="0"/>
        <w:rPr>
          <w:rFonts w:ascii="Times New Roman" w:hAnsi="Times New Roman"/>
          <w:sz w:val="20"/>
          <w:szCs w:val="20"/>
        </w:rPr>
      </w:pPr>
      <w:r w:rsidRPr="00543555">
        <w:rPr>
          <w:rFonts w:ascii="Times New Roman" w:hAnsi="Times New Roman"/>
          <w:b/>
          <w:sz w:val="20"/>
          <w:szCs w:val="20"/>
        </w:rPr>
        <w:lastRenderedPageBreak/>
        <w:t xml:space="preserve">Kata kunci: </w:t>
      </w:r>
      <w:r>
        <w:rPr>
          <w:rFonts w:ascii="Times New Roman" w:hAnsi="Times New Roman"/>
          <w:b/>
          <w:sz w:val="20"/>
          <w:szCs w:val="20"/>
        </w:rPr>
        <w:t xml:space="preserve"> </w:t>
      </w:r>
      <w:r>
        <w:rPr>
          <w:rFonts w:ascii="Times New Roman" w:hAnsi="Times New Roman"/>
          <w:b/>
          <w:sz w:val="20"/>
          <w:szCs w:val="20"/>
        </w:rPr>
        <w:tab/>
      </w:r>
      <w:r w:rsidRPr="00543555">
        <w:rPr>
          <w:rFonts w:ascii="Times New Roman" w:hAnsi="Times New Roman"/>
          <w:sz w:val="20"/>
          <w:szCs w:val="20"/>
        </w:rPr>
        <w:t>serat mesokap kelapa sawit, serat kelapa sawit, titanium dioksida, pemangkin cahaya, sebatian organik meruap</w:t>
      </w:r>
    </w:p>
    <w:p w:rsidR="00543555" w:rsidRDefault="00543555" w:rsidP="00543555">
      <w:pPr>
        <w:spacing w:after="0" w:line="240" w:lineRule="auto"/>
        <w:ind w:left="1170" w:hanging="1170"/>
        <w:jc w:val="both"/>
        <w:outlineLvl w:val="0"/>
        <w:rPr>
          <w:rFonts w:ascii="Times New Roman" w:hAnsi="Times New Roman"/>
          <w:sz w:val="20"/>
          <w:szCs w:val="20"/>
        </w:rPr>
      </w:pPr>
      <w:bookmarkStart w:id="0" w:name="_GoBack"/>
      <w:bookmarkEnd w:id="0"/>
    </w:p>
    <w:p w:rsidR="00543555" w:rsidRPr="00F447A7" w:rsidRDefault="00543555" w:rsidP="0054355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b/>
          <w:sz w:val="20"/>
          <w:szCs w:val="20"/>
        </w:rPr>
        <w:fldChar w:fldCharType="begin" w:fldLock="1"/>
      </w:r>
      <w:r w:rsidRPr="003C74D2">
        <w:rPr>
          <w:b/>
          <w:sz w:val="20"/>
          <w:szCs w:val="20"/>
        </w:rPr>
        <w:instrText xml:space="preserve">ADDIN Mendeley Bibliography CSL_BIBLIOGRAPHY </w:instrText>
      </w:r>
      <w:r w:rsidRPr="003C74D2">
        <w:rPr>
          <w:b/>
          <w:sz w:val="20"/>
          <w:szCs w:val="20"/>
        </w:rPr>
        <w:fldChar w:fldCharType="separate"/>
      </w:r>
      <w:r w:rsidRPr="003C74D2">
        <w:rPr>
          <w:noProof/>
          <w:sz w:val="20"/>
          <w:szCs w:val="20"/>
        </w:rPr>
        <w:t>Katsoyiannis, A., Leva, P. and Kotzias, D., (2008). VOC and carbonyl emissions from carpets : A comparative study using four types of environmental chambers.</w:t>
      </w:r>
      <w:r w:rsidRPr="003C74D2">
        <w:rPr>
          <w:i/>
          <w:iCs/>
          <w:noProof/>
          <w:sz w:val="20"/>
          <w:szCs w:val="20"/>
        </w:rPr>
        <w:t xml:space="preserve"> Journal of Hazardous Materials</w:t>
      </w:r>
      <w:r w:rsidRPr="003C74D2">
        <w:rPr>
          <w:noProof/>
          <w:sz w:val="20"/>
          <w:szCs w:val="20"/>
        </w:rPr>
        <w:t xml:space="preserve">, 152: 669–676. </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Chang, C.T. and Chen, B.Y. (2008). Toxicity assessment of volatile organic compounds and polycyclic aromatic hydrocarbons in motorcycle exhaust. </w:t>
      </w:r>
      <w:r w:rsidRPr="003C74D2">
        <w:rPr>
          <w:i/>
          <w:iCs/>
          <w:noProof/>
          <w:sz w:val="20"/>
          <w:szCs w:val="20"/>
        </w:rPr>
        <w:t>Journal of Hazardous Materials</w:t>
      </w:r>
      <w:r w:rsidRPr="003C74D2">
        <w:rPr>
          <w:noProof/>
          <w:sz w:val="20"/>
          <w:szCs w:val="20"/>
        </w:rPr>
        <w:t>, 153: 1262–1269.</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Wolkoff, P. and Nielsen, G. D. (2010). Non-cancer effects of formaldehyde and relevance for setting an indoor air guideline. </w:t>
      </w:r>
      <w:r w:rsidRPr="003C74D2">
        <w:rPr>
          <w:i/>
          <w:iCs/>
          <w:noProof/>
          <w:sz w:val="20"/>
          <w:szCs w:val="20"/>
        </w:rPr>
        <w:t>Environmental International</w:t>
      </w:r>
      <w:r w:rsidRPr="003C74D2">
        <w:rPr>
          <w:noProof/>
          <w:sz w:val="20"/>
          <w:szCs w:val="20"/>
        </w:rPr>
        <w:t>, 36 (7): 788–799.</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Pala, M., Ugolini, D., Ceppi, M., Rizzo, F., Maiorana, L., Bolognesi, C., Schilirò, T., Gilli, G., Bigatti, P., Bono, R. and Vecchio, D. (2008). Occupational exposure to formaldehyde and biological monitoring of Research Institute workers. </w:t>
      </w:r>
      <w:r w:rsidRPr="003C74D2">
        <w:rPr>
          <w:i/>
          <w:iCs/>
          <w:noProof/>
          <w:sz w:val="20"/>
          <w:szCs w:val="20"/>
        </w:rPr>
        <w:t>Cancer Detection and Prevention</w:t>
      </w:r>
      <w:r w:rsidRPr="003C74D2">
        <w:rPr>
          <w:noProof/>
          <w:sz w:val="20"/>
          <w:szCs w:val="20"/>
        </w:rPr>
        <w:t>, 32 (2): 121– 126.</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Chen, J. and Poon, C. (2009). Photocatalytic construction and building materials: From fundamentals to applications. </w:t>
      </w:r>
      <w:r w:rsidRPr="003C74D2">
        <w:rPr>
          <w:i/>
          <w:iCs/>
          <w:noProof/>
          <w:sz w:val="20"/>
          <w:szCs w:val="20"/>
        </w:rPr>
        <w:t>Building and Environment</w:t>
      </w:r>
      <w:r w:rsidRPr="003C74D2">
        <w:rPr>
          <w:noProof/>
          <w:sz w:val="20"/>
          <w:szCs w:val="20"/>
        </w:rPr>
        <w:t>, 44 (9): 1899 – 1906.</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Sanjuán-herráez, D., De Osa, S., Pastor, A. and De Guardia, M. (2014). Air monitoring of selected volatile organic compounds in wineries using passive sampling and headspace-gas chromatography – mass spectrometry. </w:t>
      </w:r>
      <w:r w:rsidRPr="003C74D2">
        <w:rPr>
          <w:i/>
          <w:iCs/>
          <w:noProof/>
          <w:sz w:val="20"/>
          <w:szCs w:val="20"/>
        </w:rPr>
        <w:t>Microchemical Journal</w:t>
      </w:r>
      <w:r w:rsidRPr="003C74D2">
        <w:rPr>
          <w:noProof/>
          <w:sz w:val="20"/>
          <w:szCs w:val="20"/>
        </w:rPr>
        <w:t>, 114: 42–47.</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Zaitan, H., Korrir, A., Chafik, T. and Bianchi, D. (2013). Evaluation of the potential of volatile organic compound (di-methyl benzene) removal using adsorption on natural minerals compared to commercial oxides. </w:t>
      </w:r>
      <w:r w:rsidRPr="003C74D2">
        <w:rPr>
          <w:i/>
          <w:iCs/>
          <w:noProof/>
          <w:sz w:val="20"/>
          <w:szCs w:val="20"/>
        </w:rPr>
        <w:t>Journal of Hazardous Materials</w:t>
      </w:r>
      <w:r w:rsidRPr="003C74D2">
        <w:rPr>
          <w:noProof/>
          <w:sz w:val="20"/>
          <w:szCs w:val="20"/>
        </w:rPr>
        <w:t>, 262: 365–376.</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Ewlad-Ahmed, A. M., Morris, M. A., Patwardhan, S. V. and Gibson, L. T. (2012). Removal of formaldehyde from air using functionalized silica supports.</w:t>
      </w:r>
      <w:r w:rsidRPr="003C74D2">
        <w:rPr>
          <w:i/>
          <w:iCs/>
          <w:noProof/>
          <w:sz w:val="20"/>
          <w:szCs w:val="20"/>
        </w:rPr>
        <w:t xml:space="preserve"> Environmental Science and Technology</w:t>
      </w:r>
      <w:r w:rsidRPr="003C74D2">
        <w:rPr>
          <w:noProof/>
          <w:sz w:val="20"/>
          <w:szCs w:val="20"/>
        </w:rPr>
        <w:t xml:space="preserve">, 46: 13354 – 13360. </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Yu, Q. L. and Brouwers, H. J. H. (2009). Indoor air purification using heterogeneous photocatalytic oxidation. Part I: Experimental study.  </w:t>
      </w:r>
      <w:r w:rsidRPr="003C74D2">
        <w:rPr>
          <w:i/>
          <w:iCs/>
          <w:noProof/>
          <w:sz w:val="20"/>
          <w:szCs w:val="20"/>
        </w:rPr>
        <w:t>Applied Catalysis B: Environmental</w:t>
      </w:r>
      <w:r w:rsidRPr="003C74D2">
        <w:rPr>
          <w:noProof/>
          <w:sz w:val="20"/>
          <w:szCs w:val="20"/>
        </w:rPr>
        <w:t>, 92(3–4):  454 – 461.</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Zhao, J. and Yang, X. (2003). Photocatalytic oxidation for indoor air purification: A literature review. </w:t>
      </w:r>
      <w:r w:rsidRPr="003C74D2">
        <w:rPr>
          <w:i/>
          <w:iCs/>
          <w:noProof/>
          <w:sz w:val="20"/>
          <w:szCs w:val="20"/>
        </w:rPr>
        <w:t>Building and Environment</w:t>
      </w:r>
      <w:r w:rsidRPr="003C74D2">
        <w:rPr>
          <w:noProof/>
          <w:sz w:val="20"/>
          <w:szCs w:val="20"/>
        </w:rPr>
        <w:t>, 38 (5): 645 – 654.</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Maira, A. J., Yeung, K. L., Lee, C. Y., Yue, P. L. and Chan, C. K. (2000). Size effects in gas-phase photo-oxidation of trichloroethylene using nanometer-sized TiO</w:t>
      </w:r>
      <w:r w:rsidRPr="003C74D2">
        <w:rPr>
          <w:noProof/>
          <w:sz w:val="20"/>
          <w:szCs w:val="20"/>
          <w:vertAlign w:val="subscript"/>
        </w:rPr>
        <w:t>2</w:t>
      </w:r>
      <w:r w:rsidRPr="003C74D2">
        <w:rPr>
          <w:noProof/>
          <w:sz w:val="20"/>
          <w:szCs w:val="20"/>
        </w:rPr>
        <w:t xml:space="preserve"> catalysts. </w:t>
      </w:r>
      <w:r w:rsidRPr="003C74D2">
        <w:rPr>
          <w:i/>
          <w:iCs/>
          <w:noProof/>
          <w:sz w:val="20"/>
          <w:szCs w:val="20"/>
        </w:rPr>
        <w:t>Journal of Catalysis</w:t>
      </w:r>
      <w:r w:rsidRPr="003C74D2">
        <w:rPr>
          <w:noProof/>
          <w:sz w:val="20"/>
          <w:szCs w:val="20"/>
        </w:rPr>
        <w:t>, 192 (1): 185 – 196.</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Tseng, J. Y., Chang, C. Y., Chang, C. F., Chen, Y. H., Chang, C. C., Ji, D. R., Chiu, C. Y. and Chiang, P. C. (2009). Kinetics and equilibrium of desorption removal of copper from magnetic polymer adsorbent. </w:t>
      </w:r>
      <w:r w:rsidRPr="003C74D2">
        <w:rPr>
          <w:i/>
          <w:iCs/>
          <w:noProof/>
          <w:sz w:val="20"/>
          <w:szCs w:val="20"/>
        </w:rPr>
        <w:t>Journal of Hazardous Materials</w:t>
      </w:r>
      <w:r w:rsidRPr="003C74D2">
        <w:rPr>
          <w:noProof/>
          <w:sz w:val="20"/>
          <w:szCs w:val="20"/>
        </w:rPr>
        <w:t>, 171 (1–3): 370 – 377.</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Thammakhet, C. and Muneesawang, V. (2006). Cost effective passive sampling device for volatile organic compounds monitoring. </w:t>
      </w:r>
      <w:r w:rsidRPr="003C74D2">
        <w:rPr>
          <w:i/>
          <w:noProof/>
          <w:sz w:val="20"/>
          <w:szCs w:val="20"/>
        </w:rPr>
        <w:t xml:space="preserve">Atmospheric Environment </w:t>
      </w:r>
      <w:r w:rsidRPr="003C74D2">
        <w:rPr>
          <w:noProof/>
          <w:sz w:val="20"/>
          <w:szCs w:val="20"/>
        </w:rPr>
        <w:t>40: 4589 – 4596.</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Ciabini, L., Santoro, M., Gorelli, F. A., Bini, R., Schettino, V. and Raugei, S. (2007). Triggering dynamics of the high-pressure benzene amorphization. </w:t>
      </w:r>
      <w:r w:rsidRPr="003C74D2">
        <w:rPr>
          <w:i/>
          <w:iCs/>
          <w:noProof/>
          <w:sz w:val="20"/>
          <w:szCs w:val="20"/>
        </w:rPr>
        <w:t>Nature Materials</w:t>
      </w:r>
      <w:r w:rsidRPr="003C74D2">
        <w:rPr>
          <w:noProof/>
          <w:sz w:val="20"/>
          <w:szCs w:val="20"/>
        </w:rPr>
        <w:t xml:space="preserve">, 6: 39 – 43. </w:t>
      </w:r>
    </w:p>
    <w:p w:rsidR="00543555"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 xml:space="preserve">Quiroz Torres, J., Royer, S.,  Bellat, J. P., Giraudon, J. M. and Lamonier, J.-F. (2013). Formaldehyde: catalytic oxidation as a promising soft way of elimination. </w:t>
      </w:r>
      <w:r w:rsidRPr="003C74D2">
        <w:rPr>
          <w:i/>
          <w:iCs/>
          <w:noProof/>
          <w:sz w:val="20"/>
          <w:szCs w:val="20"/>
        </w:rPr>
        <w:t>ChemSusChem</w:t>
      </w:r>
      <w:r w:rsidRPr="003C74D2">
        <w:rPr>
          <w:noProof/>
          <w:sz w:val="20"/>
          <w:szCs w:val="20"/>
        </w:rPr>
        <w:t>, 6 (4): 578 – 592.</w:t>
      </w:r>
    </w:p>
    <w:p w:rsidR="00543555" w:rsidRPr="003C74D2" w:rsidRDefault="00543555" w:rsidP="00543555">
      <w:pPr>
        <w:pStyle w:val="NormalWeb"/>
        <w:numPr>
          <w:ilvl w:val="0"/>
          <w:numId w:val="1"/>
        </w:numPr>
        <w:spacing w:before="0" w:beforeAutospacing="0" w:after="0" w:afterAutospacing="0"/>
        <w:ind w:left="360"/>
        <w:jc w:val="both"/>
        <w:rPr>
          <w:noProof/>
          <w:sz w:val="20"/>
          <w:szCs w:val="20"/>
        </w:rPr>
      </w:pPr>
      <w:r w:rsidRPr="003C74D2">
        <w:rPr>
          <w:noProof/>
          <w:sz w:val="20"/>
          <w:szCs w:val="20"/>
        </w:rPr>
        <w:t>Li, F. B., Li, X. Z., Ao, C. H., Lee, S. C. and Hou, M. F. (2005). Enhanced photocatalytic degradation of VOCs using Ln</w:t>
      </w:r>
      <w:r w:rsidRPr="003C74D2">
        <w:rPr>
          <w:noProof/>
          <w:sz w:val="20"/>
          <w:szCs w:val="20"/>
          <w:vertAlign w:val="superscript"/>
        </w:rPr>
        <w:t>3+</w:t>
      </w:r>
      <w:r w:rsidRPr="003C74D2">
        <w:rPr>
          <w:noProof/>
          <w:sz w:val="20"/>
          <w:szCs w:val="20"/>
        </w:rPr>
        <w:t>-TiO</w:t>
      </w:r>
      <w:r w:rsidRPr="003C74D2">
        <w:rPr>
          <w:noProof/>
          <w:sz w:val="20"/>
          <w:szCs w:val="20"/>
          <w:vertAlign w:val="subscript"/>
        </w:rPr>
        <w:t>2</w:t>
      </w:r>
      <w:r w:rsidRPr="003C74D2">
        <w:rPr>
          <w:noProof/>
          <w:sz w:val="20"/>
          <w:szCs w:val="20"/>
        </w:rPr>
        <w:t xml:space="preserve"> catalysts for indoor air purification. </w:t>
      </w:r>
      <w:r w:rsidRPr="003C74D2">
        <w:rPr>
          <w:i/>
          <w:iCs/>
          <w:noProof/>
          <w:sz w:val="20"/>
          <w:szCs w:val="20"/>
        </w:rPr>
        <w:t>Chemosphere</w:t>
      </w:r>
      <w:r w:rsidRPr="003C74D2">
        <w:rPr>
          <w:noProof/>
          <w:sz w:val="20"/>
          <w:szCs w:val="20"/>
        </w:rPr>
        <w:t>, 59 (6): 787 – 800.</w:t>
      </w:r>
    </w:p>
    <w:p w:rsidR="00543555" w:rsidRPr="00543555" w:rsidRDefault="00543555" w:rsidP="00543555">
      <w:pPr>
        <w:spacing w:after="0" w:line="240" w:lineRule="auto"/>
        <w:jc w:val="both"/>
        <w:outlineLvl w:val="0"/>
        <w:rPr>
          <w:rFonts w:ascii="Times New Roman" w:hAnsi="Times New Roman"/>
          <w:b/>
          <w:color w:val="548DD4"/>
          <w:sz w:val="20"/>
          <w:szCs w:val="20"/>
        </w:rPr>
      </w:pPr>
      <w:r w:rsidRPr="003C74D2">
        <w:rPr>
          <w:b/>
          <w:sz w:val="20"/>
          <w:szCs w:val="20"/>
        </w:rPr>
        <w:fldChar w:fldCharType="end"/>
      </w:r>
    </w:p>
    <w:sectPr w:rsidR="00543555" w:rsidRPr="00543555" w:rsidSect="0054355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B722F"/>
    <w:multiLevelType w:val="hybridMultilevel"/>
    <w:tmpl w:val="1428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55"/>
    <w:rsid w:val="00543555"/>
    <w:rsid w:val="007D236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5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543555"/>
    <w:pPr>
      <w:spacing w:after="0" w:line="240" w:lineRule="auto"/>
      <w:jc w:val="both"/>
    </w:pPr>
    <w:rPr>
      <w:rFonts w:ascii="Calibri" w:hAnsi="Calibri"/>
      <w:b/>
      <w:lang w:val="en-GB" w:bidi="ar-SA"/>
    </w:rPr>
  </w:style>
  <w:style w:type="paragraph" w:styleId="NormalWeb">
    <w:name w:val="Normal (Web)"/>
    <w:basedOn w:val="Normal"/>
    <w:uiPriority w:val="99"/>
    <w:unhideWhenUsed/>
    <w:rsid w:val="00543555"/>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5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543555"/>
    <w:pPr>
      <w:spacing w:after="0" w:line="240" w:lineRule="auto"/>
      <w:jc w:val="both"/>
    </w:pPr>
    <w:rPr>
      <w:rFonts w:ascii="Calibri" w:hAnsi="Calibri"/>
      <w:b/>
      <w:lang w:val="en-GB" w:bidi="ar-SA"/>
    </w:rPr>
  </w:style>
  <w:style w:type="paragraph" w:styleId="NormalWeb">
    <w:name w:val="Normal (Web)"/>
    <w:basedOn w:val="Normal"/>
    <w:uiPriority w:val="99"/>
    <w:unhideWhenUsed/>
    <w:rsid w:val="00543555"/>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2016-03-24T00:16:00Z</dcterms:created>
  <dcterms:modified xsi:type="dcterms:W3CDTF">2016-03-24T00:19:00Z</dcterms:modified>
</cp:coreProperties>
</file>