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87AD7" w:rsidRPr="00BD3B7A" w:rsidRDefault="00C87AD7" w:rsidP="00C87AD7">
      <w:pPr>
        <w:spacing w:after="0" w:line="240" w:lineRule="auto"/>
        <w:jc w:val="center"/>
        <w:outlineLvl w:val="0"/>
        <w:rPr>
          <w:rFonts w:ascii="Times New Roman" w:hAnsi="Times New Roman"/>
          <w:sz w:val="28"/>
          <w:lang w:val="en-GB"/>
        </w:rPr>
      </w:pPr>
      <w:r w:rsidRPr="00BD3B7A">
        <w:rPr>
          <w:rFonts w:ascii="Times New Roman" w:hAnsi="Times New Roman"/>
          <w:sz w:val="28"/>
          <w:lang w:val="en-GB"/>
        </w:rPr>
        <w:t>THE POTENTIAL OF COCONUT SHELL POWDER (CSP) AND COCONUT SHELL ACTIVATED CARBON (CSAC)</w:t>
      </w:r>
      <w:r>
        <w:rPr>
          <w:rFonts w:ascii="Times New Roman" w:hAnsi="Times New Roman"/>
          <w:sz w:val="28"/>
          <w:lang w:val="en-GB"/>
        </w:rPr>
        <w:t xml:space="preserve"> COMPOSITES AS </w:t>
      </w:r>
      <w:r w:rsidRPr="00BD3B7A">
        <w:rPr>
          <w:rFonts w:ascii="Times New Roman" w:hAnsi="Times New Roman"/>
          <w:sz w:val="28"/>
          <w:lang w:val="en-GB"/>
        </w:rPr>
        <w:t>ELECTROMAGNETIC INTERFERENCE (EMI) ABSORBING MATERIAL</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C87AD7">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C87AD7" w:rsidRPr="00BD3B7A">
        <w:rPr>
          <w:rFonts w:ascii="Times New Roman" w:hAnsi="Times New Roman"/>
          <w:sz w:val="24"/>
          <w:lang w:val="en-GB"/>
        </w:rPr>
        <w:t>Potensi Serbuk Tempurung Kelapa (C</w:t>
      </w:r>
      <w:r w:rsidR="00C87AD7">
        <w:rPr>
          <w:rFonts w:ascii="Times New Roman" w:hAnsi="Times New Roman"/>
          <w:sz w:val="24"/>
          <w:lang w:val="en-GB"/>
        </w:rPr>
        <w:t xml:space="preserve">SP) dan Karbon Teraktif </w:t>
      </w:r>
      <w:r w:rsidR="00C87AD7" w:rsidRPr="00BD3B7A">
        <w:rPr>
          <w:rFonts w:ascii="Times New Roman" w:hAnsi="Times New Roman"/>
          <w:sz w:val="24"/>
          <w:lang w:val="en-GB"/>
        </w:rPr>
        <w:t>Tempurung Kelapa (CSAC)</w:t>
      </w:r>
      <w:r w:rsidR="00C87AD7">
        <w:rPr>
          <w:rFonts w:ascii="Times New Roman" w:hAnsi="Times New Roman"/>
          <w:sz w:val="24"/>
          <w:lang w:val="en-GB"/>
        </w:rPr>
        <w:t xml:space="preserve"> </w:t>
      </w:r>
      <w:r w:rsidR="00C87AD7" w:rsidRPr="00BD3B7A">
        <w:rPr>
          <w:rFonts w:ascii="Times New Roman" w:hAnsi="Times New Roman"/>
          <w:sz w:val="24"/>
          <w:lang w:val="en-GB"/>
        </w:rPr>
        <w:t>Sebagai Bahan Penyerap Gangguan Elektromagnatik</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87AD7" w:rsidRPr="00C87AD7" w:rsidRDefault="00C87AD7" w:rsidP="00C87AD7">
      <w:pPr>
        <w:spacing w:after="0" w:line="240" w:lineRule="auto"/>
        <w:jc w:val="center"/>
        <w:outlineLvl w:val="0"/>
        <w:rPr>
          <w:rFonts w:ascii="Times New Roman" w:hAnsi="Times New Roman"/>
          <w:sz w:val="20"/>
          <w:szCs w:val="20"/>
          <w:vertAlign w:val="superscript"/>
          <w:lang w:val="en-GB"/>
        </w:rPr>
      </w:pPr>
      <w:r w:rsidRPr="00C87AD7">
        <w:rPr>
          <w:rFonts w:ascii="Times New Roman" w:hAnsi="Times New Roman"/>
          <w:sz w:val="20"/>
          <w:szCs w:val="20"/>
          <w:lang w:val="en-GB"/>
        </w:rPr>
        <w:t>Siti Nurbazilah Ab. Jabal</w:t>
      </w:r>
      <w:r w:rsidRPr="00C87AD7">
        <w:rPr>
          <w:rFonts w:ascii="Times New Roman" w:hAnsi="Times New Roman"/>
          <w:sz w:val="20"/>
          <w:szCs w:val="20"/>
          <w:vertAlign w:val="superscript"/>
          <w:lang w:val="en-GB"/>
        </w:rPr>
        <w:t>1</w:t>
      </w:r>
      <w:r w:rsidRPr="00C87AD7">
        <w:rPr>
          <w:rFonts w:ascii="Times New Roman" w:hAnsi="Times New Roman"/>
          <w:sz w:val="20"/>
          <w:szCs w:val="20"/>
          <w:lang w:val="en-GB"/>
        </w:rPr>
        <w:t>, Yew Been Seok</w:t>
      </w:r>
      <w:r w:rsidRPr="00C87AD7">
        <w:rPr>
          <w:rFonts w:ascii="Times New Roman" w:hAnsi="Times New Roman"/>
          <w:sz w:val="20"/>
          <w:szCs w:val="20"/>
          <w:vertAlign w:val="superscript"/>
          <w:lang w:val="en-GB"/>
        </w:rPr>
        <w:t>1</w:t>
      </w:r>
      <w:r w:rsidRPr="00C87AD7">
        <w:rPr>
          <w:rFonts w:ascii="Times New Roman" w:hAnsi="Times New Roman"/>
          <w:sz w:val="20"/>
          <w:szCs w:val="20"/>
          <w:lang w:val="en-GB"/>
        </w:rPr>
        <w:t>*, Wee Fwen Hoon</w:t>
      </w:r>
      <w:r w:rsidRPr="00C87AD7">
        <w:rPr>
          <w:rFonts w:ascii="Times New Roman" w:hAnsi="Times New Roman"/>
          <w:sz w:val="20"/>
          <w:szCs w:val="20"/>
          <w:vertAlign w:val="superscript"/>
          <w:lang w:val="en-GB"/>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C87AD7" w:rsidRDefault="00C87AD7" w:rsidP="00C87AD7">
      <w:pPr>
        <w:spacing w:after="0" w:line="240" w:lineRule="auto"/>
        <w:jc w:val="center"/>
        <w:outlineLvl w:val="0"/>
        <w:rPr>
          <w:rFonts w:ascii="Times New Roman" w:hAnsi="Times New Roman"/>
          <w:i/>
          <w:sz w:val="18"/>
          <w:szCs w:val="18"/>
          <w:lang w:val="en-GB"/>
        </w:rPr>
      </w:pPr>
      <w:r w:rsidRPr="00BD3B7A">
        <w:rPr>
          <w:rFonts w:ascii="Times New Roman" w:hAnsi="Times New Roman"/>
          <w:i/>
          <w:sz w:val="18"/>
          <w:szCs w:val="18"/>
          <w:vertAlign w:val="superscript"/>
          <w:lang w:val="en-GB"/>
        </w:rPr>
        <w:t>1</w:t>
      </w:r>
      <w:r w:rsidRPr="00BD3B7A">
        <w:rPr>
          <w:rFonts w:ascii="Times New Roman" w:hAnsi="Times New Roman"/>
          <w:i/>
          <w:sz w:val="18"/>
          <w:szCs w:val="18"/>
          <w:lang w:val="en-GB"/>
        </w:rPr>
        <w:t>Faculty of Innovative Design and Technology,</w:t>
      </w:r>
    </w:p>
    <w:p w:rsidR="00C87AD7" w:rsidRPr="00BD3B7A" w:rsidRDefault="00C87AD7" w:rsidP="00C87AD7">
      <w:pPr>
        <w:spacing w:after="0" w:line="240" w:lineRule="auto"/>
        <w:jc w:val="center"/>
        <w:outlineLvl w:val="0"/>
        <w:rPr>
          <w:rFonts w:ascii="Times New Roman" w:hAnsi="Times New Roman"/>
          <w:i/>
          <w:sz w:val="18"/>
          <w:szCs w:val="18"/>
          <w:lang w:val="en-GB"/>
        </w:rPr>
      </w:pPr>
      <w:r w:rsidRPr="00BD3B7A">
        <w:rPr>
          <w:rFonts w:ascii="Times New Roman" w:hAnsi="Times New Roman"/>
          <w:i/>
          <w:sz w:val="18"/>
          <w:szCs w:val="18"/>
          <w:lang w:val="en-GB"/>
        </w:rPr>
        <w:t xml:space="preserve"> Universiti Sultan Zainal</w:t>
      </w:r>
      <w:r>
        <w:rPr>
          <w:rFonts w:ascii="Times New Roman" w:hAnsi="Times New Roman"/>
          <w:i/>
          <w:sz w:val="18"/>
          <w:szCs w:val="18"/>
          <w:lang w:val="en-GB"/>
        </w:rPr>
        <w:t xml:space="preserve"> </w:t>
      </w:r>
      <w:r w:rsidRPr="00BD3B7A">
        <w:rPr>
          <w:rFonts w:ascii="Times New Roman" w:hAnsi="Times New Roman"/>
          <w:i/>
          <w:sz w:val="18"/>
          <w:szCs w:val="18"/>
          <w:lang w:val="en-GB"/>
        </w:rPr>
        <w:t>Abidin, Kampus Gong Badak, 21300 Kuala T</w:t>
      </w:r>
      <w:r>
        <w:rPr>
          <w:rFonts w:ascii="Times New Roman" w:hAnsi="Times New Roman"/>
          <w:i/>
          <w:sz w:val="18"/>
          <w:szCs w:val="18"/>
          <w:lang w:val="en-GB"/>
        </w:rPr>
        <w:t>erengganu, Terengganu, Malaysia</w:t>
      </w:r>
    </w:p>
    <w:p w:rsidR="00C87AD7" w:rsidRDefault="00C87AD7" w:rsidP="00C87AD7">
      <w:pPr>
        <w:spacing w:after="0" w:line="240" w:lineRule="auto"/>
        <w:jc w:val="center"/>
        <w:outlineLvl w:val="0"/>
        <w:rPr>
          <w:rFonts w:ascii="Times New Roman" w:hAnsi="Times New Roman"/>
          <w:i/>
          <w:sz w:val="18"/>
          <w:szCs w:val="18"/>
          <w:lang w:val="en-GB"/>
        </w:rPr>
      </w:pPr>
      <w:r w:rsidRPr="00BD3B7A">
        <w:rPr>
          <w:rFonts w:ascii="Times New Roman" w:hAnsi="Times New Roman"/>
          <w:i/>
          <w:sz w:val="18"/>
          <w:szCs w:val="18"/>
          <w:vertAlign w:val="superscript"/>
          <w:lang w:val="en-GB"/>
        </w:rPr>
        <w:t>2</w:t>
      </w:r>
      <w:r w:rsidRPr="00BD3B7A">
        <w:rPr>
          <w:rFonts w:ascii="Times New Roman" w:hAnsi="Times New Roman"/>
          <w:i/>
          <w:sz w:val="18"/>
          <w:szCs w:val="18"/>
          <w:lang w:val="en-GB"/>
        </w:rPr>
        <w:t xml:space="preserve">Embedded Computing Research Cluster, School of Computer and Communication Engineering, </w:t>
      </w:r>
    </w:p>
    <w:p w:rsidR="00C87AD7" w:rsidRPr="00BD3B7A" w:rsidRDefault="00C87AD7" w:rsidP="00C87AD7">
      <w:pPr>
        <w:spacing w:after="0" w:line="240" w:lineRule="auto"/>
        <w:jc w:val="center"/>
        <w:outlineLvl w:val="0"/>
        <w:rPr>
          <w:rFonts w:ascii="Times New Roman" w:hAnsi="Times New Roman"/>
          <w:i/>
          <w:sz w:val="18"/>
          <w:szCs w:val="18"/>
          <w:lang w:val="en-GB"/>
        </w:rPr>
      </w:pPr>
      <w:r w:rsidRPr="00BD3B7A">
        <w:rPr>
          <w:rFonts w:ascii="Times New Roman" w:hAnsi="Times New Roman"/>
          <w:i/>
          <w:sz w:val="18"/>
          <w:szCs w:val="18"/>
          <w:lang w:val="en-GB"/>
        </w:rPr>
        <w:t>Un</w:t>
      </w:r>
      <w:r>
        <w:rPr>
          <w:rFonts w:ascii="Times New Roman" w:hAnsi="Times New Roman"/>
          <w:i/>
          <w:sz w:val="18"/>
          <w:szCs w:val="18"/>
          <w:lang w:val="en-GB"/>
        </w:rPr>
        <w:t>iversiti Malaysia Perlis</w:t>
      </w:r>
      <w:r w:rsidRPr="00BD3B7A">
        <w:rPr>
          <w:rFonts w:ascii="Times New Roman" w:hAnsi="Times New Roman"/>
          <w:i/>
          <w:sz w:val="18"/>
          <w:szCs w:val="18"/>
          <w:lang w:val="en-GB"/>
        </w:rPr>
        <w:t>, Jalan</w:t>
      </w:r>
      <w:r>
        <w:rPr>
          <w:rFonts w:ascii="Times New Roman" w:hAnsi="Times New Roman"/>
          <w:i/>
          <w:sz w:val="18"/>
          <w:szCs w:val="18"/>
          <w:lang w:val="en-GB"/>
        </w:rPr>
        <w:t xml:space="preserve"> </w:t>
      </w:r>
      <w:r w:rsidRPr="00BD3B7A">
        <w:rPr>
          <w:rFonts w:ascii="Times New Roman" w:hAnsi="Times New Roman"/>
          <w:i/>
          <w:sz w:val="18"/>
          <w:szCs w:val="18"/>
          <w:lang w:val="en-GB"/>
        </w:rPr>
        <w:t>Kangar-Alor Star, Taman Pertiwi Indah Seriab, 01000 Kangar, Perlis,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C87AD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87AD7" w:rsidRPr="009C6658">
        <w:rPr>
          <w:rFonts w:ascii="Times New Roman" w:hAnsi="Times New Roman"/>
          <w:i/>
          <w:sz w:val="18"/>
          <w:lang w:val="en-GB"/>
        </w:rPr>
        <w:t>bseokyew@unisza.edu.my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87AD7">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C87AD7">
        <w:rPr>
          <w:rFonts w:ascii="Times New Roman" w:hAnsi="Times New Roman"/>
          <w:noProof/>
          <w:sz w:val="18"/>
          <w:szCs w:val="18"/>
          <w:lang w:bidi="ar-SA"/>
        </w:rPr>
        <w:t>30 November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87AD7" w:rsidRPr="009C6658" w:rsidRDefault="00C87AD7" w:rsidP="00C87AD7">
      <w:pPr>
        <w:spacing w:after="0" w:line="240" w:lineRule="auto"/>
        <w:jc w:val="both"/>
        <w:outlineLvl w:val="0"/>
        <w:rPr>
          <w:rFonts w:ascii="Times New Roman" w:hAnsi="Times New Roman"/>
          <w:sz w:val="18"/>
          <w:szCs w:val="18"/>
          <w:lang w:val="en-GB"/>
        </w:rPr>
      </w:pPr>
      <w:r w:rsidRPr="009C6658">
        <w:rPr>
          <w:rFonts w:ascii="Times New Roman" w:hAnsi="Times New Roman"/>
          <w:sz w:val="18"/>
          <w:szCs w:val="18"/>
          <w:lang w:val="en-GB"/>
        </w:rPr>
        <w:t>Agriculture waste is potentially useful as an alternative m</w:t>
      </w:r>
      <w:r w:rsidR="00A70C5C">
        <w:rPr>
          <w:rFonts w:ascii="Times New Roman" w:hAnsi="Times New Roman"/>
          <w:sz w:val="18"/>
          <w:szCs w:val="18"/>
          <w:lang w:val="en-GB"/>
        </w:rPr>
        <w:t>aterial to absorb and attenuate</w:t>
      </w:r>
      <w:r w:rsidRPr="009C6658">
        <w:rPr>
          <w:rFonts w:ascii="Times New Roman" w:hAnsi="Times New Roman"/>
          <w:sz w:val="18"/>
          <w:szCs w:val="18"/>
          <w:lang w:val="en-GB"/>
        </w:rPr>
        <w:t xml:space="preserve"> electromagnetic interference (EMI). This research highlights the use of coconut shell powder (CSP) and coconut shell activated carbon (CSAC) as raw materials with epoxy resin and amine hardener composite to absorb microwave signals over frequency of 1 – 8 GHz. In order to investigate the suitability of these raw materials as EMI absorbing material, carbon composition of the raw materials is determined through CHNS Elemental Analysis. The surface morphology of the raw materials in term of porosity is investigated by using TM3000 Scanning Electron Microscope (SEM). The complex permittivity of the composites is determined by using high temperature dielectric probe in conjunction with Network Analyzer. From the result, the Carbon% of CSP and CSAC is 46.70% and 84.28% respectively. In term of surface morphology, the surface porosity of CS</w:t>
      </w:r>
      <w:r>
        <w:rPr>
          <w:rFonts w:ascii="Times New Roman" w:hAnsi="Times New Roman"/>
          <w:sz w:val="18"/>
          <w:szCs w:val="18"/>
          <w:lang w:val="en-GB"/>
        </w:rPr>
        <w:t>P and CSAC is in the range of 2 µm and 1µ</w:t>
      </w:r>
      <w:r w:rsidRPr="009C6658">
        <w:rPr>
          <w:rFonts w:ascii="Times New Roman" w:hAnsi="Times New Roman"/>
          <w:sz w:val="18"/>
          <w:szCs w:val="18"/>
          <w:lang w:val="en-GB"/>
        </w:rPr>
        <w:t>m respectively. For the dielectric properties, the dielectric constant and the dielectric loss factor for CSP and CSAC is 4.5767 and 64.8307and 1.2144</w:t>
      </w:r>
      <w:r>
        <w:rPr>
          <w:rFonts w:ascii="Times New Roman" w:hAnsi="Times New Roman"/>
          <w:sz w:val="18"/>
          <w:szCs w:val="18"/>
          <w:lang w:val="en-GB"/>
        </w:rPr>
        <w:t xml:space="preserve"> </w:t>
      </w:r>
      <w:r w:rsidRPr="009C6658">
        <w:rPr>
          <w:rFonts w:ascii="Times New Roman" w:hAnsi="Times New Roman"/>
          <w:sz w:val="18"/>
          <w:szCs w:val="18"/>
          <w:lang w:val="en-GB"/>
        </w:rPr>
        <w:t>and 13.8296</w:t>
      </w:r>
      <w:r>
        <w:rPr>
          <w:rFonts w:ascii="Times New Roman" w:hAnsi="Times New Roman"/>
          <w:sz w:val="18"/>
          <w:szCs w:val="18"/>
          <w:lang w:val="en-GB"/>
        </w:rPr>
        <w:t xml:space="preserve"> </w:t>
      </w:r>
      <w:r w:rsidRPr="009C6658">
        <w:rPr>
          <w:rFonts w:ascii="Times New Roman" w:hAnsi="Times New Roman"/>
          <w:sz w:val="18"/>
          <w:szCs w:val="18"/>
          <w:lang w:val="en-GB"/>
        </w:rPr>
        <w:t>respectively. The materials more potentially useful as substitute materials for electromagnetic interference (EMI) absorbing are discussed.</w:t>
      </w:r>
    </w:p>
    <w:p w:rsidR="00C87AD7" w:rsidRPr="009C6658" w:rsidRDefault="00C87AD7" w:rsidP="00C87AD7">
      <w:pPr>
        <w:spacing w:after="0" w:line="240" w:lineRule="auto"/>
        <w:jc w:val="both"/>
        <w:outlineLvl w:val="0"/>
        <w:rPr>
          <w:rFonts w:ascii="Times New Roman" w:hAnsi="Times New Roman"/>
          <w:sz w:val="18"/>
          <w:szCs w:val="18"/>
          <w:lang w:val="en-GB"/>
        </w:rPr>
      </w:pPr>
    </w:p>
    <w:p w:rsidR="00C87AD7" w:rsidRPr="009C6658" w:rsidRDefault="00C87AD7" w:rsidP="00C87AD7">
      <w:pPr>
        <w:spacing w:after="0" w:line="240" w:lineRule="auto"/>
        <w:jc w:val="both"/>
        <w:outlineLvl w:val="0"/>
        <w:rPr>
          <w:rFonts w:ascii="Times New Roman" w:hAnsi="Times New Roman"/>
          <w:color w:val="548DD4" w:themeColor="text2" w:themeTint="99"/>
          <w:sz w:val="18"/>
          <w:szCs w:val="18"/>
          <w:lang w:val="en-GB"/>
        </w:rPr>
      </w:pPr>
      <w:r w:rsidRPr="009C6658">
        <w:rPr>
          <w:rFonts w:ascii="Times New Roman" w:hAnsi="Times New Roman"/>
          <w:b/>
          <w:sz w:val="18"/>
          <w:szCs w:val="18"/>
          <w:lang w:val="en-GB"/>
        </w:rPr>
        <w:t>Keywords</w:t>
      </w:r>
      <w:r w:rsidRPr="009C6658">
        <w:rPr>
          <w:rFonts w:ascii="Times New Roman" w:hAnsi="Times New Roman"/>
          <w:sz w:val="18"/>
          <w:szCs w:val="18"/>
          <w:lang w:val="en-GB"/>
        </w:rPr>
        <w:t>: agricultural wastes, dielectric properties, carbon composition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87AD7" w:rsidRPr="0026584E" w:rsidRDefault="00C87AD7" w:rsidP="00C87AD7">
      <w:pPr>
        <w:spacing w:after="0" w:line="240" w:lineRule="auto"/>
        <w:jc w:val="both"/>
        <w:outlineLvl w:val="0"/>
        <w:rPr>
          <w:rFonts w:ascii="Times New Roman" w:hAnsi="Times New Roman"/>
          <w:sz w:val="18"/>
          <w:szCs w:val="18"/>
          <w:lang w:val="en-GB"/>
        </w:rPr>
      </w:pPr>
      <w:r w:rsidRPr="0026584E">
        <w:rPr>
          <w:rFonts w:ascii="Times New Roman" w:hAnsi="Times New Roman"/>
          <w:sz w:val="18"/>
          <w:szCs w:val="18"/>
          <w:lang w:val="en-GB"/>
        </w:rPr>
        <w:t>Sisa pertanian mempunyai potensi untuk digunakan sebagai bahan alternatif untuk menyerap atau melemahkan gangguan elektromagnatik (EMI). Kajian ini menekankan kepada penggunaan serbuk tempurung kelapa (CSP) dan karbon teraktif tempurung kelapa(CSAC) sebagai bahan mentah dengan campuran resin epoksi dan komposit penguat amina untuk menyerap gelombang mikro dalam frekuensi 1 – 8 GHz. Bagi mengkaji  kesesuaian bahan mentah sebagai bahan penyerap gelombang mikro, komposisi karbon dalam bahan mentah ditentukan mengunakan analisis unser CHNS. Liang permukaan bahan mentah pula dikaji mengunakan mikroskop pengimbas elektron TM3000 (SEM</w:t>
      </w:r>
      <w:r w:rsidRPr="0026584E">
        <w:rPr>
          <w:rFonts w:ascii="Times New Roman" w:hAnsi="Times New Roman"/>
          <w:i/>
          <w:sz w:val="18"/>
          <w:szCs w:val="18"/>
          <w:lang w:val="en-GB"/>
        </w:rPr>
        <w:t>)</w:t>
      </w:r>
      <w:r w:rsidRPr="0026584E">
        <w:rPr>
          <w:rFonts w:ascii="Times New Roman" w:hAnsi="Times New Roman"/>
          <w:sz w:val="18"/>
          <w:szCs w:val="18"/>
          <w:lang w:val="en-GB"/>
        </w:rPr>
        <w:t>. Ketelusan kompleks bagi bahan campuran diukur menggunakan prob dielektrik suhu tinggi dan alat analisis rangkaian. Daripada keputusan yang diperolehi, peratusan karbon dalam CSP dan CSAC adalah sebanyak 46.70 % dan 84.28 %. Manakala dari segi liang permukaan pula, keliangan CSP dan CSAC masing – masing berada dalam lingkungan 2um dan 1um.Bagi sifat dielektrik, pemalar dielektrik untuk CSP dan CSAC masing – masing adalah 4.5767 dan 64.8307. Bagi pembelauan dielektrik, nilai untuk CSP dan CSAC masing – masing adalah 1.2144 dan 13.8296. Isu bahan yang lebih berpotensi untuk digunakan  sebagai bahan penyerap gangguan elektromagnatik (EMI) dibincangkan.</w:t>
      </w:r>
    </w:p>
    <w:p w:rsidR="00C87AD7" w:rsidRPr="0026584E" w:rsidRDefault="00C87AD7" w:rsidP="00C87AD7">
      <w:pPr>
        <w:spacing w:after="0" w:line="240" w:lineRule="auto"/>
        <w:jc w:val="both"/>
        <w:outlineLvl w:val="0"/>
        <w:rPr>
          <w:rFonts w:ascii="Times New Roman" w:hAnsi="Times New Roman"/>
          <w:sz w:val="18"/>
          <w:szCs w:val="18"/>
          <w:lang w:val="en-GB"/>
        </w:rPr>
      </w:pPr>
    </w:p>
    <w:p w:rsidR="00C87AD7" w:rsidRPr="0026584E" w:rsidRDefault="00C87AD7" w:rsidP="00C87AD7">
      <w:pPr>
        <w:spacing w:after="0" w:line="240" w:lineRule="auto"/>
        <w:jc w:val="both"/>
        <w:outlineLvl w:val="0"/>
        <w:rPr>
          <w:rFonts w:ascii="Times New Roman" w:hAnsi="Times New Roman"/>
          <w:sz w:val="18"/>
          <w:szCs w:val="20"/>
          <w:lang w:val="en-GB"/>
        </w:rPr>
      </w:pPr>
      <w:r w:rsidRPr="0026584E">
        <w:rPr>
          <w:rFonts w:ascii="Times New Roman" w:hAnsi="Times New Roman"/>
          <w:b/>
          <w:sz w:val="18"/>
          <w:szCs w:val="20"/>
          <w:lang w:val="en-GB"/>
        </w:rPr>
        <w:lastRenderedPageBreak/>
        <w:t xml:space="preserve">Kata kunci: </w:t>
      </w:r>
      <w:r w:rsidRPr="0026584E">
        <w:rPr>
          <w:rFonts w:ascii="Times New Roman" w:hAnsi="Times New Roman"/>
          <w:sz w:val="18"/>
          <w:szCs w:val="20"/>
          <w:lang w:val="en-GB"/>
        </w:rPr>
        <w:t>sisa pertanian, sifat dielektrik, komposisi karbon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87AD7" w:rsidRPr="00C87AD7" w:rsidRDefault="00C87AD7" w:rsidP="00C87AD7">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Recently, researchers have focused to identify the agricultural wastes (organic materials)</w:t>
      </w:r>
      <w:r w:rsidR="00A70C5C">
        <w:rPr>
          <w:rFonts w:ascii="Times New Roman" w:hAnsi="Times New Roman"/>
          <w:sz w:val="20"/>
          <w:szCs w:val="20"/>
          <w:lang w:val="en-GB"/>
        </w:rPr>
        <w:t xml:space="preserve"> as a new </w:t>
      </w:r>
      <w:r w:rsidRPr="00C87AD7">
        <w:rPr>
          <w:rFonts w:ascii="Times New Roman" w:hAnsi="Times New Roman"/>
          <w:sz w:val="20"/>
          <w:szCs w:val="20"/>
          <w:lang w:val="en-GB"/>
        </w:rPr>
        <w:t>absorbing material. Agricultural waste is made up of organic compounds from living plant like oil palm shell, rice husk, and coconut shell. Many natural substances (agricultural wastes) are used as base materials to make activated carbon. The most common being used in absorbing material are sugarcane, rice husk, ground nut shell, oil palm shell, coconut shell, corncobs, durian shell, soybean oil cake [1-6]. At present, coconut wastes are used in horticultural and agricultural applications [7]. Carbon is the main element to absorb unwanted electromagnetic signals [8-12].</w:t>
      </w:r>
    </w:p>
    <w:p w:rsidR="00C87AD7" w:rsidRPr="00C87AD7" w:rsidRDefault="00C87AD7" w:rsidP="00C87AD7">
      <w:pPr>
        <w:spacing w:after="0" w:line="240" w:lineRule="auto"/>
        <w:jc w:val="both"/>
        <w:outlineLvl w:val="0"/>
        <w:rPr>
          <w:rFonts w:ascii="Times New Roman" w:hAnsi="Times New Roman"/>
          <w:sz w:val="20"/>
          <w:szCs w:val="20"/>
          <w:lang w:val="en-GB"/>
        </w:rPr>
      </w:pPr>
    </w:p>
    <w:p w:rsidR="00C87AD7" w:rsidRPr="00C87AD7" w:rsidRDefault="00C87AD7" w:rsidP="00C87AD7">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The French chemist Antoine-Alexandre-Brutus Bussy who in a 1822 is the first publication suggested that porosity was important to the adsorptive properties of activated carbons. Optical microscopy and scanning electron microscopy (SEM) have demonstrated enormous potential for use in the study and characterization of activated carbons because of their ability to directly view the micro-structure of activated carbons [13,14]</w:t>
      </w:r>
    </w:p>
    <w:p w:rsidR="00C87AD7" w:rsidRPr="00C87AD7" w:rsidRDefault="00C87AD7" w:rsidP="00C87AD7">
      <w:pPr>
        <w:spacing w:after="0" w:line="240" w:lineRule="auto"/>
        <w:jc w:val="both"/>
        <w:outlineLvl w:val="0"/>
        <w:rPr>
          <w:rFonts w:ascii="Times New Roman" w:hAnsi="Times New Roman"/>
          <w:sz w:val="20"/>
          <w:szCs w:val="20"/>
          <w:lang w:val="en-GB"/>
        </w:rPr>
      </w:pPr>
    </w:p>
    <w:p w:rsidR="00C87AD7" w:rsidRPr="00C87AD7" w:rsidRDefault="00C87AD7" w:rsidP="00C87AD7">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Dielectric properties are the main characteristic that determines a material to absorb energy. The dielectric properties (</w:t>
      </w:r>
      <w:r w:rsidRPr="00A70C5C">
        <w:rPr>
          <w:rFonts w:ascii="Times New Roman" w:hAnsi="Times New Roman"/>
          <w:i/>
          <w:sz w:val="20"/>
          <w:szCs w:val="20"/>
          <w:lang w:val="en-GB"/>
        </w:rPr>
        <w:t>ε</w:t>
      </w:r>
      <w:r w:rsidRPr="00C87AD7">
        <w:rPr>
          <w:rFonts w:ascii="Times New Roman" w:hAnsi="Times New Roman"/>
          <w:sz w:val="20"/>
          <w:szCs w:val="20"/>
          <w:lang w:val="en-GB"/>
        </w:rPr>
        <w:t>) are derived from transmission line theory [15-17] and are expressed as complex permittivity, shown in Equation 1:</w:t>
      </w:r>
    </w:p>
    <w:p w:rsidR="00C87AD7" w:rsidRPr="00C87AD7" w:rsidRDefault="00C87AD7" w:rsidP="00C87AD7">
      <w:pPr>
        <w:spacing w:after="0" w:line="240" w:lineRule="auto"/>
        <w:jc w:val="both"/>
        <w:outlineLvl w:val="0"/>
        <w:rPr>
          <w:rFonts w:ascii="Times New Roman" w:hAnsi="Times New Roman"/>
          <w:sz w:val="20"/>
          <w:szCs w:val="20"/>
          <w:lang w:val="en-GB"/>
        </w:rPr>
      </w:pPr>
    </w:p>
    <w:p w:rsidR="00C87AD7" w:rsidRPr="00C87AD7" w:rsidRDefault="000853A4" w:rsidP="00C87AD7">
      <w:pPr>
        <w:tabs>
          <w:tab w:val="left" w:pos="1134"/>
        </w:tabs>
        <w:spacing w:after="0" w:line="240" w:lineRule="auto"/>
        <w:ind w:right="-46"/>
        <w:jc w:val="both"/>
        <w:rPr>
          <w:rFonts w:ascii="Times New Roman" w:hAnsi="Times New Roman"/>
          <w:position w:val="-10"/>
          <w:sz w:val="20"/>
          <w:szCs w:val="20"/>
          <w:lang w:val="en-GB"/>
        </w:rPr>
      </w:pPr>
      <w:r>
        <w:rPr>
          <w:rFonts w:ascii="Times New Roman" w:hAnsi="Times New Roman"/>
          <w:noProof/>
          <w:position w:val="-10"/>
          <w:sz w:val="20"/>
          <w:szCs w:val="20"/>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7pt;margin-top:-.15pt;width:54pt;height:16pt;z-index:251660800">
            <v:imagedata r:id="rId11" o:title=""/>
            <w10:wrap type="square" side="right"/>
          </v:shape>
          <o:OLEObject Type="Embed" ProgID="Equation.3" ShapeID="_x0000_s1026" DrawAspect="Content" ObjectID="_1521445919" r:id="rId12"/>
        </w:pict>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r>
      <w:r w:rsidR="00C87AD7" w:rsidRPr="00C87AD7">
        <w:rPr>
          <w:rFonts w:ascii="Times New Roman" w:hAnsi="Times New Roman"/>
          <w:position w:val="-10"/>
          <w:sz w:val="20"/>
          <w:szCs w:val="20"/>
          <w:lang w:val="en-GB"/>
        </w:rPr>
        <w:tab/>
        <w:t xml:space="preserve">             </w:t>
      </w:r>
      <w:r w:rsidR="00C87AD7">
        <w:rPr>
          <w:rFonts w:ascii="Times New Roman" w:hAnsi="Times New Roman"/>
          <w:position w:val="-10"/>
          <w:sz w:val="20"/>
          <w:szCs w:val="20"/>
          <w:lang w:val="en-GB"/>
        </w:rPr>
        <w:t xml:space="preserve">     </w:t>
      </w:r>
      <w:r w:rsidR="00C87AD7" w:rsidRPr="00C87AD7">
        <w:rPr>
          <w:rFonts w:ascii="Times New Roman" w:hAnsi="Times New Roman"/>
          <w:position w:val="-10"/>
          <w:sz w:val="20"/>
          <w:szCs w:val="20"/>
          <w:lang w:val="en-GB"/>
        </w:rPr>
        <w:t>(1)</w:t>
      </w:r>
    </w:p>
    <w:p w:rsidR="00C87AD7" w:rsidRPr="00C87AD7" w:rsidRDefault="00C87AD7" w:rsidP="00C87AD7">
      <w:pPr>
        <w:tabs>
          <w:tab w:val="left" w:pos="1134"/>
        </w:tabs>
        <w:spacing w:after="0" w:line="240" w:lineRule="auto"/>
        <w:ind w:right="-46"/>
        <w:jc w:val="both"/>
        <w:rPr>
          <w:rFonts w:ascii="Times New Roman" w:hAnsi="Times New Roman"/>
          <w:position w:val="-10"/>
          <w:sz w:val="20"/>
          <w:szCs w:val="20"/>
          <w:lang w:val="en-GB"/>
        </w:rPr>
      </w:pPr>
    </w:p>
    <w:p w:rsidR="00C87AD7" w:rsidRPr="00C87AD7" w:rsidRDefault="00C87AD7" w:rsidP="00C87AD7">
      <w:pPr>
        <w:tabs>
          <w:tab w:val="left" w:pos="1134"/>
        </w:tabs>
        <w:spacing w:after="0" w:line="240" w:lineRule="auto"/>
        <w:ind w:right="-46"/>
        <w:jc w:val="both"/>
        <w:rPr>
          <w:rStyle w:val="apple-converted-space"/>
          <w:rFonts w:ascii="Times New Roman" w:hAnsi="Times New Roman"/>
          <w:sz w:val="20"/>
          <w:szCs w:val="20"/>
          <w:shd w:val="clear" w:color="auto" w:fill="FFFFFF"/>
        </w:rPr>
      </w:pPr>
      <w:r>
        <w:rPr>
          <w:rStyle w:val="apple-converted-space"/>
          <w:rFonts w:ascii="Times New Roman" w:hAnsi="Times New Roman"/>
          <w:sz w:val="20"/>
          <w:szCs w:val="20"/>
          <w:shd w:val="clear" w:color="auto" w:fill="FFFFFF"/>
        </w:rPr>
        <w:t>w</w:t>
      </w:r>
      <w:r w:rsidRPr="00C87AD7">
        <w:rPr>
          <w:rStyle w:val="apple-converted-space"/>
          <w:rFonts w:ascii="Times New Roman" w:hAnsi="Times New Roman"/>
          <w:sz w:val="20"/>
          <w:szCs w:val="20"/>
          <w:shd w:val="clear" w:color="auto" w:fill="FFFFFF"/>
        </w:rPr>
        <w:t xml:space="preserve">here </w:t>
      </w:r>
      <w:r w:rsidRPr="00A70C5C">
        <w:rPr>
          <w:rStyle w:val="apple-converted-space"/>
          <w:rFonts w:ascii="Times New Roman" w:hAnsi="Times New Roman"/>
          <w:i/>
          <w:sz w:val="20"/>
          <w:szCs w:val="20"/>
          <w:shd w:val="clear" w:color="auto" w:fill="FFFFFF"/>
        </w:rPr>
        <w:t xml:space="preserve">ε </w:t>
      </w:r>
      <w:r w:rsidRPr="00C87AD7">
        <w:rPr>
          <w:rStyle w:val="apple-converted-space"/>
          <w:rFonts w:ascii="Times New Roman" w:hAnsi="Times New Roman"/>
          <w:sz w:val="20"/>
          <w:szCs w:val="20"/>
          <w:shd w:val="clear" w:color="auto" w:fill="FFFFFF"/>
        </w:rPr>
        <w:t xml:space="preserve">is define as dieletric properties, </w:t>
      </w:r>
      <w:r w:rsidRPr="00A70C5C">
        <w:rPr>
          <w:rStyle w:val="apple-converted-space"/>
          <w:rFonts w:ascii="Times New Roman" w:hAnsi="Times New Roman"/>
          <w:i/>
          <w:sz w:val="20"/>
          <w:szCs w:val="20"/>
          <w:shd w:val="clear" w:color="auto" w:fill="FFFFFF"/>
        </w:rPr>
        <w:t>ε’</w:t>
      </w:r>
      <w:r w:rsidRPr="00C87AD7">
        <w:rPr>
          <w:rStyle w:val="apple-converted-space"/>
          <w:rFonts w:ascii="Times New Roman" w:hAnsi="Times New Roman"/>
          <w:sz w:val="20"/>
          <w:szCs w:val="20"/>
          <w:shd w:val="clear" w:color="auto" w:fill="FFFFFF"/>
        </w:rPr>
        <w:t xml:space="preserve"> is define dieletric constant and </w:t>
      </w:r>
      <w:r w:rsidRPr="00A70C5C">
        <w:rPr>
          <w:rStyle w:val="apple-converted-space"/>
          <w:rFonts w:ascii="Times New Roman" w:hAnsi="Times New Roman"/>
          <w:i/>
          <w:sz w:val="20"/>
          <w:szCs w:val="20"/>
          <w:shd w:val="clear" w:color="auto" w:fill="FFFFFF"/>
        </w:rPr>
        <w:t>ε’’</w:t>
      </w:r>
      <w:r w:rsidRPr="00C87AD7">
        <w:rPr>
          <w:rStyle w:val="apple-converted-space"/>
          <w:rFonts w:ascii="Times New Roman" w:hAnsi="Times New Roman"/>
          <w:sz w:val="20"/>
          <w:szCs w:val="20"/>
          <w:shd w:val="clear" w:color="auto" w:fill="FFFFFF"/>
        </w:rPr>
        <w:t xml:space="preserve"> define as dieletric loss factor. </w:t>
      </w:r>
    </w:p>
    <w:p w:rsidR="00C87AD7" w:rsidRPr="00C87AD7" w:rsidRDefault="00C87AD7" w:rsidP="00C87AD7">
      <w:pPr>
        <w:tabs>
          <w:tab w:val="left" w:pos="1134"/>
        </w:tabs>
        <w:spacing w:after="0" w:line="240" w:lineRule="auto"/>
        <w:ind w:right="-46"/>
        <w:jc w:val="both"/>
        <w:rPr>
          <w:rStyle w:val="apple-converted-space"/>
          <w:rFonts w:ascii="Times New Roman" w:hAnsi="Times New Roman"/>
          <w:sz w:val="20"/>
          <w:szCs w:val="20"/>
          <w:shd w:val="clear" w:color="auto" w:fill="FFFFFF"/>
        </w:rPr>
      </w:pPr>
    </w:p>
    <w:p w:rsidR="00C87AD7" w:rsidRPr="00C87AD7" w:rsidRDefault="00C87AD7" w:rsidP="00C87AD7">
      <w:pPr>
        <w:tabs>
          <w:tab w:val="left" w:pos="1134"/>
        </w:tabs>
        <w:spacing w:after="0" w:line="240" w:lineRule="auto"/>
        <w:ind w:right="-46"/>
        <w:jc w:val="both"/>
        <w:rPr>
          <w:rFonts w:ascii="Times New Roman" w:hAnsi="Times New Roman"/>
          <w:sz w:val="20"/>
          <w:szCs w:val="20"/>
          <w:shd w:val="clear" w:color="auto" w:fill="FFFFFF"/>
        </w:rPr>
      </w:pPr>
      <w:r w:rsidRPr="00C87AD7">
        <w:rPr>
          <w:rFonts w:ascii="Times New Roman" w:hAnsi="Times New Roman"/>
          <w:sz w:val="20"/>
          <w:szCs w:val="20"/>
          <w:lang w:val="en-GB"/>
        </w:rPr>
        <w:t>Dielectric constant (</w:t>
      </w:r>
      <w:r w:rsidRPr="00C87AD7">
        <w:rPr>
          <w:rFonts w:ascii="Times New Roman" w:hAnsi="Times New Roman"/>
          <w:i/>
          <w:noProof/>
          <w:sz w:val="20"/>
          <w:szCs w:val="20"/>
          <w:lang w:val="en-GB" w:eastAsia="ms-MY"/>
        </w:rPr>
        <w:t>ε</w:t>
      </w:r>
      <w:r w:rsidRPr="00C87AD7">
        <w:rPr>
          <w:rFonts w:ascii="Times New Roman" w:hAnsi="Times New Roman"/>
          <w:i/>
          <w:noProof/>
          <w:sz w:val="20"/>
          <w:szCs w:val="20"/>
          <w:vertAlign w:val="superscript"/>
          <w:lang w:val="en-GB" w:eastAsia="ms-MY"/>
        </w:rPr>
        <w:t>’</w:t>
      </w:r>
      <w:r w:rsidRPr="00C87AD7">
        <w:rPr>
          <w:rFonts w:ascii="Times New Roman" w:hAnsi="Times New Roman"/>
          <w:sz w:val="20"/>
          <w:szCs w:val="20"/>
          <w:lang w:val="en-GB"/>
        </w:rPr>
        <w:t>) is the real part of the complex permittivity whereas the imaginary part of the complex permittivity is called the dielectric loss factor (</w:t>
      </w:r>
      <w:r w:rsidRPr="00C87AD7">
        <w:rPr>
          <w:rFonts w:ascii="Times New Roman" w:hAnsi="Times New Roman"/>
          <w:i/>
          <w:noProof/>
          <w:sz w:val="20"/>
          <w:szCs w:val="20"/>
          <w:lang w:val="en-GB" w:eastAsia="ms-MY"/>
        </w:rPr>
        <w:t>ε</w:t>
      </w:r>
      <w:r w:rsidRPr="00C87AD7">
        <w:rPr>
          <w:rFonts w:ascii="Times New Roman" w:hAnsi="Times New Roman"/>
          <w:i/>
          <w:noProof/>
          <w:sz w:val="20"/>
          <w:szCs w:val="20"/>
          <w:vertAlign w:val="superscript"/>
          <w:lang w:val="en-GB" w:eastAsia="ms-MY"/>
        </w:rPr>
        <w:t>”</w:t>
      </w:r>
      <w:r w:rsidRPr="00C87AD7">
        <w:rPr>
          <w:rFonts w:ascii="Times New Roman" w:hAnsi="Times New Roman"/>
          <w:sz w:val="20"/>
          <w:szCs w:val="20"/>
          <w:lang w:val="en-GB"/>
        </w:rPr>
        <w:t>).The dielectric constant and dielectric loss factor effect the ability of a material to act as microwave absorber. The dielectric constant defines the ability of a material to store the microwave energy while the dielectric loss factor defines the ability of a material to convert and dissipate the stored microwave energy to heat. In other words, microwave absorber prefers materials that possess higher thermal conductivity because when the thermal conductivity increases, the ability of these materials to dissipate heat also increase.</w:t>
      </w:r>
    </w:p>
    <w:p w:rsidR="00C87AD7" w:rsidRPr="00C87AD7" w:rsidRDefault="00C87AD7" w:rsidP="00C87AD7">
      <w:pPr>
        <w:tabs>
          <w:tab w:val="left" w:pos="1134"/>
        </w:tabs>
        <w:spacing w:after="0" w:line="240" w:lineRule="auto"/>
        <w:ind w:right="-46"/>
        <w:jc w:val="both"/>
        <w:rPr>
          <w:rFonts w:ascii="Times New Roman" w:hAnsi="Times New Roman"/>
          <w:sz w:val="20"/>
          <w:szCs w:val="20"/>
          <w:shd w:val="clear" w:color="auto" w:fill="FFFFFF"/>
        </w:rPr>
      </w:pPr>
    </w:p>
    <w:p w:rsidR="00C87AD7" w:rsidRPr="00C87AD7" w:rsidRDefault="00C87AD7" w:rsidP="00C87AD7">
      <w:pPr>
        <w:tabs>
          <w:tab w:val="left" w:pos="1134"/>
        </w:tabs>
        <w:spacing w:after="0" w:line="240" w:lineRule="auto"/>
        <w:ind w:right="-46"/>
        <w:jc w:val="both"/>
        <w:rPr>
          <w:rFonts w:ascii="Times New Roman" w:hAnsi="Times New Roman"/>
          <w:sz w:val="20"/>
          <w:szCs w:val="20"/>
          <w:shd w:val="clear" w:color="auto" w:fill="FFFFFF"/>
        </w:rPr>
      </w:pPr>
      <w:r w:rsidRPr="00C87AD7">
        <w:rPr>
          <w:rFonts w:ascii="Times New Roman" w:hAnsi="Times New Roman"/>
          <w:sz w:val="20"/>
          <w:szCs w:val="20"/>
          <w:lang w:val="en-GB"/>
        </w:rPr>
        <w:t>In this paper, the potential of CSP and CSAC with epoxy resin and amine hardener composite will be investigated.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Material preparation</w:t>
      </w:r>
    </w:p>
    <w:p w:rsidR="00C87AD7" w:rsidRPr="00C87AD7" w:rsidRDefault="00C87AD7" w:rsidP="00C87AD7">
      <w:pPr>
        <w:spacing w:after="0" w:line="240" w:lineRule="auto"/>
        <w:jc w:val="both"/>
        <w:rPr>
          <w:rFonts w:ascii="Times New Roman" w:hAnsi="Times New Roman"/>
          <w:sz w:val="20"/>
          <w:szCs w:val="20"/>
          <w:lang w:val="en-GB"/>
        </w:rPr>
      </w:pPr>
      <w:r w:rsidRPr="00C87AD7">
        <w:rPr>
          <w:rFonts w:ascii="Times New Roman" w:hAnsi="Times New Roman"/>
          <w:sz w:val="20"/>
          <w:szCs w:val="20"/>
          <w:lang w:val="en-GB"/>
        </w:rPr>
        <w:t xml:space="preserve">For the coconut shell source, it was economically important to use a readily available agricultural waste by product. To manufacture coconut shell powder, the shells of fully matured nuts are first cleaned of the adhering pithy matter. The matured coconut shells were taken from Kuala Ibai, Terengganu, Malaysia. The coconut shell is sanded using sanding machine in order to get the coconut shell powder. The readymade CSAC powder </w:t>
      </w:r>
      <w:r w:rsidR="00A70C5C">
        <w:rPr>
          <w:rFonts w:ascii="Times New Roman" w:hAnsi="Times New Roman"/>
          <w:sz w:val="20"/>
          <w:szCs w:val="20"/>
          <w:lang w:val="en-GB"/>
        </w:rPr>
        <w:t xml:space="preserve">was </w:t>
      </w:r>
      <w:r w:rsidRPr="00C87AD7">
        <w:rPr>
          <w:rFonts w:ascii="Times New Roman" w:hAnsi="Times New Roman"/>
          <w:sz w:val="20"/>
          <w:szCs w:val="20"/>
          <w:lang w:val="en-GB"/>
        </w:rPr>
        <w:t>bought from Tan Meng Keong Sdn. Bhd company, Perak Darul Ridzuan, Malaysia.</w:t>
      </w: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Material characterisation</w:t>
      </w: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sz w:val="20"/>
          <w:szCs w:val="20"/>
          <w:lang w:val="en-GB"/>
        </w:rPr>
        <w:t>The carbon composition of the CSP and CSAC is determined by using ultimate analyses through CHNS Elemental Analysis. The CHNS elemental analysers provide a means for rapid determination of carbon, hydrogen, nitrogen and sulphur in organic matrices [18,19]. In order to investigate the surface morphology of CSP and SCAC materials in term of porosity, sample was investigated by using TM3000 Scanning Electron Microscope. For SEM measurements, the samples were prepared by coated with a thin layer of platinum [5-20].</w:t>
      </w: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 xml:space="preserve">Composite preparation </w:t>
      </w:r>
    </w:p>
    <w:p w:rsidR="00C87AD7" w:rsidRDefault="00C87AD7" w:rsidP="00C87AD7">
      <w:pPr>
        <w:spacing w:after="0" w:line="240" w:lineRule="auto"/>
        <w:jc w:val="both"/>
        <w:rPr>
          <w:rFonts w:ascii="Times New Roman" w:hAnsi="Times New Roman"/>
          <w:sz w:val="20"/>
          <w:szCs w:val="20"/>
          <w:lang w:val="en-GB"/>
        </w:rPr>
      </w:pPr>
      <w:r w:rsidRPr="00C87AD7">
        <w:rPr>
          <w:rFonts w:ascii="Times New Roman" w:hAnsi="Times New Roman"/>
          <w:sz w:val="20"/>
          <w:szCs w:val="20"/>
          <w:lang w:val="en-GB"/>
        </w:rPr>
        <w:t xml:space="preserve">The raw material was mix with epoxy resin matrix </w:t>
      </w:r>
      <w:r w:rsidR="00A70C5C">
        <w:rPr>
          <w:rFonts w:ascii="Times New Roman" w:hAnsi="Times New Roman"/>
          <w:sz w:val="20"/>
          <w:szCs w:val="20"/>
          <w:lang w:val="en-GB"/>
        </w:rPr>
        <w:t xml:space="preserve">and the </w:t>
      </w:r>
      <w:r w:rsidRPr="00C87AD7">
        <w:rPr>
          <w:rFonts w:ascii="Times New Roman" w:hAnsi="Times New Roman"/>
          <w:sz w:val="20"/>
          <w:szCs w:val="20"/>
          <w:lang w:val="en-GB"/>
        </w:rPr>
        <w:t>composites were prepared in weight ratio 80: 20 (80 % for raw material, 20 % of epoxy resin). Sample 1, the CSP composites were stirred by</w:t>
      </w:r>
      <w:r w:rsidR="00A70C5C">
        <w:rPr>
          <w:rFonts w:ascii="Times New Roman" w:hAnsi="Times New Roman"/>
          <w:sz w:val="20"/>
          <w:szCs w:val="20"/>
          <w:lang w:val="en-GB"/>
        </w:rPr>
        <w:t xml:space="preserve"> using</w:t>
      </w:r>
      <w:r w:rsidRPr="00C87AD7">
        <w:rPr>
          <w:rFonts w:ascii="Times New Roman" w:hAnsi="Times New Roman"/>
          <w:sz w:val="20"/>
          <w:szCs w:val="20"/>
          <w:lang w:val="en-GB"/>
        </w:rPr>
        <w:t xml:space="preserve"> IKA RW20 Digital Stare for 1 hour. Sample 2 was prepared in similar manner but using CSAC. The mixture was poured in 30mm x </w:t>
      </w:r>
      <w:r w:rsidRPr="00C87AD7">
        <w:rPr>
          <w:rFonts w:ascii="Times New Roman" w:hAnsi="Times New Roman"/>
          <w:sz w:val="20"/>
          <w:szCs w:val="20"/>
          <w:lang w:val="en-GB"/>
        </w:rPr>
        <w:lastRenderedPageBreak/>
        <w:t>30mm x 5 mm rectangular planner moulds. Fabrication of sample 1 can be done through the steps summarized in Figure</w:t>
      </w:r>
      <w:r>
        <w:rPr>
          <w:rFonts w:ascii="Times New Roman" w:hAnsi="Times New Roman"/>
          <w:sz w:val="20"/>
          <w:szCs w:val="20"/>
          <w:lang w:val="en-GB"/>
        </w:rPr>
        <w:t xml:space="preserve"> 1 below.</w:t>
      </w:r>
    </w:p>
    <w:p w:rsid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sz w:val="20"/>
          <w:szCs w:val="20"/>
          <w:lang w:val="en-GB"/>
        </w:rPr>
      </w:pPr>
    </w:p>
    <w:tbl>
      <w:tblPr>
        <w:tblStyle w:val="LightShading"/>
        <w:tblW w:w="8461" w:type="dxa"/>
        <w:jc w:val="center"/>
        <w:tblLook w:val="04A0" w:firstRow="1" w:lastRow="0" w:firstColumn="1" w:lastColumn="0" w:noHBand="0" w:noVBand="1"/>
      </w:tblPr>
      <w:tblGrid>
        <w:gridCol w:w="831"/>
        <w:gridCol w:w="1837"/>
        <w:gridCol w:w="5793"/>
      </w:tblGrid>
      <w:tr w:rsidR="00C87AD7" w:rsidRPr="00C87AD7" w:rsidTr="00CB3B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tcBorders>
              <w:bottom w:val="nil"/>
            </w:tcBorders>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Step 1</w:t>
            </w:r>
          </w:p>
        </w:tc>
        <w:tc>
          <w:tcPr>
            <w:tcW w:w="1837" w:type="dxa"/>
            <w:tcBorders>
              <w:bottom w:val="nil"/>
            </w:tcBorders>
            <w:shd w:val="clear" w:color="auto" w:fill="auto"/>
            <w:vAlign w:val="center"/>
          </w:tcPr>
          <w:p w:rsidR="00C87AD7" w:rsidRPr="00C87AD7" w:rsidRDefault="00C87AD7" w:rsidP="00C87AD7">
            <w:pPr>
              <w:spacing w:before="12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noProof/>
                <w:sz w:val="20"/>
                <w:szCs w:val="20"/>
                <w:lang w:bidi="ar-SA"/>
              </w:rPr>
              <w:drawing>
                <wp:inline distT="0" distB="0" distL="0" distR="0" wp14:anchorId="0AF9E187" wp14:editId="2F4DAE11">
                  <wp:extent cx="904875" cy="904875"/>
                  <wp:effectExtent l="0" t="0" r="9525" b="9525"/>
                  <wp:docPr id="7" name="Picture 7" descr="D:\MASTER\keje-keje\MJAS\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MASTER\keje-keje\MJAS\step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bottom w:val="nil"/>
            </w:tcBorders>
            <w:shd w:val="clear" w:color="auto" w:fill="auto"/>
            <w:vAlign w:val="center"/>
          </w:tcPr>
          <w:p w:rsidR="00C87AD7" w:rsidRPr="00C87AD7" w:rsidRDefault="00C87AD7" w:rsidP="00C87AD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Sanding process of matured and cleaned coconut shell</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tcBorders>
              <w:top w:val="nil"/>
              <w:bottom w:val="nil"/>
            </w:tcBorders>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Step 2</w:t>
            </w:r>
          </w:p>
        </w:tc>
        <w:tc>
          <w:tcPr>
            <w:tcW w:w="1837" w:type="dxa"/>
            <w:tcBorders>
              <w:top w:val="nil"/>
              <w:bottom w:val="nil"/>
            </w:tcBorders>
            <w:shd w:val="clear" w:color="auto" w:fill="auto"/>
            <w:vAlign w:val="center"/>
          </w:tcPr>
          <w:p w:rsidR="00C87AD7" w:rsidRPr="00C87AD7" w:rsidRDefault="00C87AD7" w:rsidP="00C87A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noProof/>
                <w:sz w:val="20"/>
                <w:szCs w:val="20"/>
                <w:lang w:bidi="ar-SA"/>
              </w:rPr>
              <w:drawing>
                <wp:inline distT="0" distB="0" distL="0" distR="0" wp14:anchorId="521B9A97" wp14:editId="08067996">
                  <wp:extent cx="904875" cy="904875"/>
                  <wp:effectExtent l="0" t="0" r="9525" b="9525"/>
                  <wp:docPr id="9" name="Picture 9" descr="D:\MASTER\keje-keje\MJAS\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MASTER\keje-keje\MJAS\step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top w:val="nil"/>
              <w:bottom w:val="nil"/>
            </w:tcBorders>
            <w:shd w:val="clear" w:color="auto" w:fill="auto"/>
            <w:vAlign w:val="center"/>
          </w:tcPr>
          <w:p w:rsidR="00C87AD7" w:rsidRPr="00C87AD7" w:rsidRDefault="00C87AD7" w:rsidP="00C87A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eastAsia="Calibri" w:hAnsi="Times New Roman" w:cs="Times New Roman"/>
                <w:noProof/>
                <w:sz w:val="20"/>
                <w:szCs w:val="20"/>
                <w:lang w:val="en-GB" w:eastAsia="ms-MY"/>
              </w:rPr>
              <w:t>Collection of coconut shell powder</w:t>
            </w:r>
          </w:p>
        </w:tc>
      </w:tr>
      <w:tr w:rsidR="00C87AD7" w:rsidRPr="00C87AD7" w:rsidTr="00CB3BDD">
        <w:trPr>
          <w:jc w:val="center"/>
        </w:trPr>
        <w:tc>
          <w:tcPr>
            <w:cnfStyle w:val="001000000000" w:firstRow="0" w:lastRow="0" w:firstColumn="1" w:lastColumn="0" w:oddVBand="0" w:evenVBand="0" w:oddHBand="0" w:evenHBand="0" w:firstRowFirstColumn="0" w:firstRowLastColumn="0" w:lastRowFirstColumn="0" w:lastRowLastColumn="0"/>
            <w:tcW w:w="831" w:type="dxa"/>
            <w:tcBorders>
              <w:top w:val="nil"/>
            </w:tcBorders>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Step 3</w:t>
            </w:r>
          </w:p>
        </w:tc>
        <w:tc>
          <w:tcPr>
            <w:tcW w:w="1837" w:type="dxa"/>
            <w:tcBorders>
              <w:top w:val="nil"/>
            </w:tcBorders>
            <w:shd w:val="clear" w:color="auto" w:fill="auto"/>
            <w:vAlign w:val="center"/>
          </w:tcPr>
          <w:p w:rsidR="00C87AD7" w:rsidRPr="00C87AD7" w:rsidRDefault="00C87AD7" w:rsidP="00C87A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noProof/>
                <w:sz w:val="20"/>
                <w:szCs w:val="20"/>
                <w:lang w:bidi="ar-SA"/>
              </w:rPr>
              <w:drawing>
                <wp:inline distT="0" distB="0" distL="0" distR="0" wp14:anchorId="7B732417" wp14:editId="0B3C73D4">
                  <wp:extent cx="904875" cy="904875"/>
                  <wp:effectExtent l="0" t="0" r="9525" b="9525"/>
                  <wp:docPr id="2" name="Picture 2" descr="D:\MASTER\keje-keje\MJAS\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MASTER\keje-keje\MJAS\step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top w:val="nil"/>
            </w:tcBorders>
            <w:shd w:val="clear" w:color="auto" w:fill="auto"/>
            <w:vAlign w:val="center"/>
          </w:tcPr>
          <w:p w:rsidR="00C87AD7" w:rsidRPr="00C87AD7" w:rsidRDefault="00C87AD7" w:rsidP="00C87A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eastAsia="Calibri" w:hAnsi="Times New Roman" w:cs="Times New Roman"/>
                <w:sz w:val="20"/>
                <w:szCs w:val="20"/>
                <w:lang w:val="en-GB"/>
              </w:rPr>
              <w:t>T</w:t>
            </w:r>
            <w:r w:rsidRPr="00C87AD7">
              <w:rPr>
                <w:rFonts w:ascii="Times New Roman" w:eastAsia="Calibri" w:hAnsi="Times New Roman" w:cs="Times New Roman"/>
                <w:noProof/>
                <w:sz w:val="20"/>
                <w:szCs w:val="20"/>
                <w:lang w:val="en-GB" w:eastAsia="ms-MY"/>
              </w:rPr>
              <w:t xml:space="preserve">he coconut shell powder </w:t>
            </w:r>
            <w:r w:rsidRPr="00C87AD7">
              <w:rPr>
                <w:rFonts w:ascii="Times New Roman" w:eastAsia="Calibri" w:hAnsi="Times New Roman" w:cs="Times New Roman"/>
                <w:sz w:val="20"/>
                <w:szCs w:val="20"/>
                <w:lang w:val="en-GB"/>
              </w:rPr>
              <w:t>mixing  with resin and hardener in weight ratio 80:20</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Step 4</w:t>
            </w:r>
          </w:p>
        </w:tc>
        <w:tc>
          <w:tcPr>
            <w:tcW w:w="1837" w:type="dxa"/>
            <w:shd w:val="clear" w:color="auto" w:fill="auto"/>
            <w:vAlign w:val="center"/>
          </w:tcPr>
          <w:p w:rsidR="00C87AD7" w:rsidRPr="00C87AD7" w:rsidRDefault="00C87AD7" w:rsidP="00C87A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noProof/>
                <w:sz w:val="20"/>
                <w:szCs w:val="20"/>
                <w:lang w:bidi="ar-SA"/>
              </w:rPr>
              <w:drawing>
                <wp:inline distT="0" distB="0" distL="0" distR="0" wp14:anchorId="29344E07" wp14:editId="56A23D5B">
                  <wp:extent cx="904875" cy="904875"/>
                  <wp:effectExtent l="0" t="0" r="9525" b="9525"/>
                  <wp:docPr id="13" name="Picture 13" descr="D:\MASTER\keje-keje\MJAS\st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MASTER\keje-keje\MJAS\step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shd w:val="clear" w:color="auto" w:fill="auto"/>
            <w:vAlign w:val="center"/>
          </w:tcPr>
          <w:p w:rsidR="00C87AD7" w:rsidRPr="00C87AD7" w:rsidRDefault="00C87AD7" w:rsidP="00C87A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eastAsia="Calibri" w:hAnsi="Times New Roman" w:cs="Times New Roman"/>
                <w:sz w:val="20"/>
                <w:szCs w:val="20"/>
                <w:lang w:val="en-GB"/>
              </w:rPr>
              <w:t>T</w:t>
            </w:r>
            <w:r w:rsidRPr="00C87AD7">
              <w:rPr>
                <w:rFonts w:ascii="Times New Roman" w:eastAsia="Calibri" w:hAnsi="Times New Roman" w:cs="Times New Roman"/>
                <w:noProof/>
                <w:sz w:val="20"/>
                <w:szCs w:val="20"/>
                <w:lang w:val="en-GB" w:eastAsia="ms-MY"/>
              </w:rPr>
              <w:t>he coconut shell powder composites were stirred by using IKA RW20 Digital Stirer for 1hour</w:t>
            </w:r>
          </w:p>
        </w:tc>
      </w:tr>
      <w:tr w:rsidR="00C87AD7" w:rsidRPr="00C87AD7" w:rsidTr="00CB3BDD">
        <w:trPr>
          <w:jc w:val="center"/>
        </w:trPr>
        <w:tc>
          <w:tcPr>
            <w:cnfStyle w:val="001000000000" w:firstRow="0" w:lastRow="0" w:firstColumn="1" w:lastColumn="0" w:oddVBand="0" w:evenVBand="0" w:oddHBand="0" w:evenHBand="0" w:firstRowFirstColumn="0" w:firstRowLastColumn="0" w:lastRowFirstColumn="0" w:lastRowLastColumn="0"/>
            <w:tcW w:w="831" w:type="dxa"/>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Step 5</w:t>
            </w:r>
          </w:p>
        </w:tc>
        <w:tc>
          <w:tcPr>
            <w:tcW w:w="1837" w:type="dxa"/>
            <w:shd w:val="clear" w:color="auto" w:fill="auto"/>
            <w:vAlign w:val="center"/>
          </w:tcPr>
          <w:p w:rsidR="00C87AD7" w:rsidRPr="00C87AD7" w:rsidRDefault="00C87AD7" w:rsidP="00C87AD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noProof/>
                <w:sz w:val="20"/>
                <w:szCs w:val="20"/>
                <w:lang w:bidi="ar-SA"/>
              </w:rPr>
              <w:drawing>
                <wp:inline distT="0" distB="0" distL="0" distR="0" wp14:anchorId="2918AB98" wp14:editId="327BB066">
                  <wp:extent cx="904875" cy="904875"/>
                  <wp:effectExtent l="0" t="0" r="9525" b="9525"/>
                  <wp:docPr id="15" name="Picture 15" descr="D:\MASTER\keje-keje\MJAS\ste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MASTER\keje-keje\MJAS\step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shd w:val="clear" w:color="auto" w:fill="auto"/>
            <w:vAlign w:val="center"/>
          </w:tcPr>
          <w:p w:rsidR="00C87AD7" w:rsidRPr="00C87AD7" w:rsidRDefault="00C87AD7" w:rsidP="00C87A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The composite were filled and fabricate using mould.</w:t>
            </w:r>
          </w:p>
        </w:tc>
      </w:tr>
    </w:tbl>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pStyle w:val="Caption"/>
        <w:wordWrap/>
        <w:spacing w:after="0"/>
        <w:jc w:val="center"/>
        <w:rPr>
          <w:rFonts w:ascii="Times New Roman" w:hAnsi="Times New Roman" w:cs="Times New Roman"/>
          <w:b w:val="0"/>
          <w:color w:val="auto"/>
          <w:sz w:val="20"/>
          <w:szCs w:val="20"/>
          <w:lang w:val="en-GB"/>
        </w:rPr>
      </w:pPr>
      <w:r w:rsidRPr="00C87AD7">
        <w:rPr>
          <w:rFonts w:ascii="Times New Roman" w:hAnsi="Times New Roman" w:cs="Times New Roman"/>
          <w:b w:val="0"/>
          <w:color w:val="auto"/>
          <w:sz w:val="20"/>
          <w:szCs w:val="20"/>
          <w:lang w:val="en-GB"/>
        </w:rPr>
        <w:t xml:space="preserve">Figure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Figure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1</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 xml:space="preserve">. </w:t>
      </w:r>
      <w:r>
        <w:rPr>
          <w:rFonts w:ascii="Times New Roman" w:hAnsi="Times New Roman" w:cs="Times New Roman"/>
          <w:b w:val="0"/>
          <w:color w:val="auto"/>
          <w:sz w:val="20"/>
          <w:szCs w:val="20"/>
          <w:lang w:val="en-GB"/>
        </w:rPr>
        <w:t xml:space="preserve"> </w:t>
      </w:r>
      <w:r w:rsidRPr="00C87AD7">
        <w:rPr>
          <w:rFonts w:ascii="Times New Roman" w:hAnsi="Times New Roman" w:cs="Times New Roman"/>
          <w:b w:val="0"/>
          <w:color w:val="auto"/>
          <w:sz w:val="20"/>
          <w:szCs w:val="20"/>
          <w:lang w:val="en-GB"/>
        </w:rPr>
        <w:t>Fabrication of composite sample</w:t>
      </w:r>
    </w:p>
    <w:p w:rsid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Dielectric Properties Measurement</w:t>
      </w:r>
    </w:p>
    <w:p w:rsidR="00C87AD7" w:rsidRPr="00C87AD7" w:rsidRDefault="00C87AD7" w:rsidP="00C87AD7">
      <w:pPr>
        <w:spacing w:after="0" w:line="240" w:lineRule="auto"/>
        <w:jc w:val="both"/>
        <w:rPr>
          <w:rFonts w:ascii="Times New Roman" w:hAnsi="Times New Roman"/>
          <w:sz w:val="20"/>
          <w:szCs w:val="20"/>
          <w:lang w:val="en-GB"/>
        </w:rPr>
      </w:pPr>
      <w:r w:rsidRPr="00C87AD7">
        <w:rPr>
          <w:rFonts w:ascii="Times New Roman" w:hAnsi="Times New Roman"/>
          <w:sz w:val="20"/>
          <w:szCs w:val="20"/>
          <w:lang w:val="en-GB"/>
        </w:rPr>
        <w:t xml:space="preserve">Several popular measurement techniques are the transmission line techniques (waveguide, coaxial and free-space), impedance, dielectric probe and cavity methods [21]. Amongst these techniques, high temperature dielectric probe techniques are chosen to determine of the complex permittivity of the coconut shell powder and coconut shell activated carbon </w:t>
      </w:r>
      <w:r w:rsidR="00A70C5C">
        <w:rPr>
          <w:rFonts w:ascii="Times New Roman" w:hAnsi="Times New Roman"/>
          <w:sz w:val="20"/>
          <w:szCs w:val="20"/>
          <w:lang w:val="en-GB"/>
        </w:rPr>
        <w:t xml:space="preserve">polymer composite </w:t>
      </w:r>
      <w:r w:rsidRPr="00C87AD7">
        <w:rPr>
          <w:rFonts w:ascii="Times New Roman" w:hAnsi="Times New Roman"/>
          <w:sz w:val="20"/>
          <w:szCs w:val="20"/>
          <w:lang w:val="en-GB"/>
        </w:rPr>
        <w:t>dielectric properties measurement. The high temperature dielectric probe is performed by contacting the probe into the samples. The high temperature probe measurement procedure, which is done by contacting the probe to a flat surface of a sample, is shown in Figure 2. The fields at the probe end “fringe” into the material and change as they come into contact with the MUT.</w:t>
      </w: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center"/>
        <w:outlineLvl w:val="0"/>
        <w:rPr>
          <w:rFonts w:ascii="Times New Roman" w:hAnsi="Times New Roman"/>
          <w:b/>
          <w:sz w:val="20"/>
          <w:szCs w:val="20"/>
          <w:lang w:val="en-GB"/>
        </w:rPr>
      </w:pPr>
      <w:r w:rsidRPr="00C87AD7">
        <w:rPr>
          <w:rFonts w:ascii="Times New Roman" w:hAnsi="Times New Roman"/>
          <w:noProof/>
          <w:sz w:val="20"/>
          <w:szCs w:val="20"/>
          <w:lang w:bidi="ar-SA"/>
        </w:rPr>
        <w:lastRenderedPageBreak/>
        <w:drawing>
          <wp:inline distT="0" distB="0" distL="0" distR="0" wp14:anchorId="4E2B0C26" wp14:editId="647DF880">
            <wp:extent cx="2408830" cy="1659156"/>
            <wp:effectExtent l="19050" t="0" r="0" b="0"/>
            <wp:docPr id="16" name="Picture 16" descr="D:\MASTER\keje-keje\MJAS\MJ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MASTER\keje-keje\MJAS\MJAS 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8614" cy="1659007"/>
                    </a:xfrm>
                    <a:prstGeom prst="rect">
                      <a:avLst/>
                    </a:prstGeom>
                    <a:noFill/>
                    <a:ln>
                      <a:noFill/>
                    </a:ln>
                  </pic:spPr>
                </pic:pic>
              </a:graphicData>
            </a:graphic>
          </wp:inline>
        </w:drawing>
      </w:r>
    </w:p>
    <w:p w:rsidR="00C87AD7" w:rsidRPr="00C87AD7" w:rsidRDefault="00C87AD7" w:rsidP="00C87AD7">
      <w:pPr>
        <w:spacing w:after="0" w:line="240" w:lineRule="auto"/>
        <w:jc w:val="both"/>
        <w:outlineLvl w:val="0"/>
        <w:rPr>
          <w:rFonts w:ascii="Times New Roman" w:hAnsi="Times New Roman"/>
          <w:b/>
          <w:sz w:val="20"/>
          <w:szCs w:val="20"/>
          <w:lang w:val="en-GB"/>
        </w:rPr>
      </w:pPr>
    </w:p>
    <w:p w:rsidR="006768E9" w:rsidRPr="00C87AD7" w:rsidRDefault="00C87AD7" w:rsidP="00C87AD7">
      <w:pPr>
        <w:spacing w:after="0" w:line="240" w:lineRule="auto"/>
        <w:jc w:val="center"/>
        <w:rPr>
          <w:rFonts w:ascii="Times New Roman" w:hAnsi="Times New Roman"/>
          <w:noProof/>
          <w:sz w:val="20"/>
          <w:szCs w:val="20"/>
          <w:lang w:bidi="ar-SA"/>
        </w:rPr>
      </w:pPr>
      <w:r w:rsidRPr="00C87AD7">
        <w:rPr>
          <w:rFonts w:ascii="Times New Roman" w:hAnsi="Times New Roman"/>
          <w:sz w:val="20"/>
          <w:szCs w:val="20"/>
          <w:lang w:val="en-GB"/>
        </w:rPr>
        <w:t xml:space="preserve">Figure </w:t>
      </w:r>
      <w:r w:rsidRPr="00C87AD7">
        <w:rPr>
          <w:rFonts w:ascii="Times New Roman" w:hAnsi="Times New Roman"/>
          <w:sz w:val="20"/>
          <w:szCs w:val="20"/>
          <w:lang w:val="en-GB"/>
        </w:rPr>
        <w:fldChar w:fldCharType="begin"/>
      </w:r>
      <w:r w:rsidRPr="00C87AD7">
        <w:rPr>
          <w:rFonts w:ascii="Times New Roman" w:hAnsi="Times New Roman"/>
          <w:sz w:val="20"/>
          <w:szCs w:val="20"/>
          <w:lang w:val="en-GB"/>
        </w:rPr>
        <w:instrText xml:space="preserve"> SEQ Figure \* ARABIC </w:instrText>
      </w:r>
      <w:r w:rsidRPr="00C87AD7">
        <w:rPr>
          <w:rFonts w:ascii="Times New Roman" w:hAnsi="Times New Roman"/>
          <w:sz w:val="20"/>
          <w:szCs w:val="20"/>
          <w:lang w:val="en-GB"/>
        </w:rPr>
        <w:fldChar w:fldCharType="separate"/>
      </w:r>
      <w:r w:rsidR="000853A4">
        <w:rPr>
          <w:rFonts w:ascii="Times New Roman" w:hAnsi="Times New Roman"/>
          <w:noProof/>
          <w:sz w:val="20"/>
          <w:szCs w:val="20"/>
          <w:lang w:val="en-GB"/>
        </w:rPr>
        <w:t>2</w:t>
      </w:r>
      <w:r w:rsidRPr="00C87AD7">
        <w:rPr>
          <w:rFonts w:ascii="Times New Roman" w:hAnsi="Times New Roman"/>
          <w:sz w:val="20"/>
          <w:szCs w:val="20"/>
          <w:lang w:val="en-GB"/>
        </w:rPr>
        <w:fldChar w:fldCharType="end"/>
      </w:r>
      <w:r w:rsidRPr="00C87AD7">
        <w:rPr>
          <w:rFonts w:ascii="Times New Roman" w:hAnsi="Times New Roman"/>
          <w:sz w:val="20"/>
          <w:szCs w:val="20"/>
          <w:lang w:val="en-GB"/>
        </w:rPr>
        <w:t xml:space="preserve">. </w:t>
      </w:r>
      <w:r>
        <w:rPr>
          <w:rFonts w:ascii="Times New Roman" w:hAnsi="Times New Roman"/>
          <w:sz w:val="20"/>
          <w:szCs w:val="20"/>
          <w:lang w:val="en-GB"/>
        </w:rPr>
        <w:t xml:space="preserve"> </w:t>
      </w:r>
      <w:r w:rsidRPr="00C87AD7">
        <w:rPr>
          <w:rFonts w:ascii="Times New Roman" w:hAnsi="Times New Roman"/>
          <w:sz w:val="20"/>
          <w:szCs w:val="20"/>
          <w:lang w:val="en-GB"/>
        </w:rPr>
        <w:t>Measurement techniques for CSP and CSAC</w:t>
      </w:r>
      <w:r w:rsidR="00A70C5C">
        <w:rPr>
          <w:rFonts w:ascii="Times New Roman" w:hAnsi="Times New Roman"/>
          <w:sz w:val="20"/>
          <w:szCs w:val="20"/>
          <w:lang w:val="en-GB"/>
        </w:rPr>
        <w:t xml:space="preserve"> composites</w:t>
      </w:r>
      <w:r w:rsidRPr="00C87AD7">
        <w:rPr>
          <w:rFonts w:ascii="Times New Roman" w:hAnsi="Times New Roman"/>
          <w:sz w:val="20"/>
          <w:szCs w:val="20"/>
          <w:lang w:val="en-GB"/>
        </w:rPr>
        <w:t>: High Temperature Dielectric Probe Technique</w:t>
      </w:r>
    </w:p>
    <w:p w:rsidR="00C87AD7" w:rsidRDefault="00C87AD7" w:rsidP="00F447A7">
      <w:pPr>
        <w:spacing w:after="0" w:line="240" w:lineRule="auto"/>
        <w:jc w:val="center"/>
        <w:rPr>
          <w:rFonts w:ascii="Times New Roman" w:hAnsi="Times New Roman"/>
          <w:b/>
          <w:noProof/>
          <w:sz w:val="20"/>
          <w:szCs w:val="20"/>
          <w:lang w:bidi="ar-SA"/>
        </w:rPr>
      </w:pPr>
    </w:p>
    <w:p w:rsidR="00C87AD7" w:rsidRDefault="00C87AD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Carbon composition</w:t>
      </w:r>
    </w:p>
    <w:p w:rsidR="00C87AD7" w:rsidRPr="00C87AD7" w:rsidRDefault="00A70C5C" w:rsidP="00C87AD7">
      <w:pPr>
        <w:spacing w:after="0" w:line="240" w:lineRule="auto"/>
        <w:jc w:val="both"/>
        <w:rPr>
          <w:rFonts w:ascii="Times New Roman" w:hAnsi="Times New Roman"/>
          <w:sz w:val="20"/>
          <w:szCs w:val="20"/>
          <w:lang w:val="en-GB"/>
        </w:rPr>
      </w:pPr>
      <w:r>
        <w:rPr>
          <w:rFonts w:ascii="Times New Roman" w:hAnsi="Times New Roman"/>
          <w:sz w:val="20"/>
          <w:szCs w:val="20"/>
          <w:lang w:val="en-GB"/>
        </w:rPr>
        <w:t>T</w:t>
      </w:r>
      <w:r w:rsidR="00C87AD7" w:rsidRPr="00C87AD7">
        <w:rPr>
          <w:rFonts w:ascii="Times New Roman" w:hAnsi="Times New Roman"/>
          <w:sz w:val="20"/>
          <w:szCs w:val="20"/>
          <w:lang w:val="en-GB"/>
        </w:rPr>
        <w:t>he carbon composition of the CSP and CSAC is determined through CHNS Elemental Analysis. The CHNS Elemental Analysis determines the percentages of Carbon, Hydrogen, Nitrogen and Sulphur [22]. The result of elemental analysis of CSP and CSAC is presented in Table 1.</w:t>
      </w:r>
    </w:p>
    <w:p w:rsidR="00C87AD7" w:rsidRDefault="00C87AD7" w:rsidP="00C87AD7">
      <w:pPr>
        <w:spacing w:after="0" w:line="240" w:lineRule="auto"/>
        <w:jc w:val="both"/>
        <w:rPr>
          <w:rFonts w:ascii="Times New Roman" w:hAnsi="Times New Roman"/>
          <w:b/>
          <w:sz w:val="20"/>
          <w:szCs w:val="20"/>
          <w:lang w:val="en-GB"/>
        </w:rPr>
      </w:pPr>
    </w:p>
    <w:p w:rsidR="00C87AD7" w:rsidRPr="00C87AD7" w:rsidRDefault="00C87AD7" w:rsidP="00C87AD7">
      <w:pPr>
        <w:spacing w:after="0" w:line="240" w:lineRule="auto"/>
        <w:jc w:val="both"/>
        <w:rPr>
          <w:rFonts w:ascii="Times New Roman" w:hAnsi="Times New Roman"/>
          <w:b/>
          <w:sz w:val="20"/>
          <w:szCs w:val="20"/>
          <w:lang w:val="en-GB"/>
        </w:rPr>
      </w:pPr>
    </w:p>
    <w:p w:rsidR="00C87AD7" w:rsidRPr="00C87AD7" w:rsidRDefault="00C87AD7" w:rsidP="00C87AD7">
      <w:pPr>
        <w:pStyle w:val="Caption"/>
        <w:wordWrap/>
        <w:spacing w:after="120"/>
        <w:jc w:val="center"/>
        <w:rPr>
          <w:rFonts w:ascii="Times New Roman" w:hAnsi="Times New Roman" w:cs="Times New Roman"/>
          <w:b w:val="0"/>
          <w:color w:val="auto"/>
          <w:sz w:val="20"/>
          <w:szCs w:val="20"/>
          <w:lang w:val="en-GB"/>
        </w:rPr>
      </w:pPr>
      <w:r w:rsidRPr="00C87AD7">
        <w:rPr>
          <w:rFonts w:ascii="Times New Roman" w:hAnsi="Times New Roman" w:cs="Times New Roman"/>
          <w:b w:val="0"/>
          <w:color w:val="auto"/>
          <w:sz w:val="20"/>
          <w:szCs w:val="20"/>
          <w:lang w:val="en-GB"/>
        </w:rPr>
        <w:t xml:space="preserve">Table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Table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1</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w:t>
      </w:r>
      <w:r>
        <w:rPr>
          <w:rFonts w:ascii="Times New Roman" w:hAnsi="Times New Roman" w:cs="Times New Roman"/>
          <w:b w:val="0"/>
          <w:color w:val="auto"/>
          <w:sz w:val="20"/>
          <w:szCs w:val="20"/>
          <w:lang w:val="en-GB"/>
        </w:rPr>
        <w:t xml:space="preserve"> </w:t>
      </w:r>
      <w:r w:rsidRPr="00C87AD7">
        <w:rPr>
          <w:rFonts w:ascii="Times New Roman" w:hAnsi="Times New Roman" w:cs="Times New Roman"/>
          <w:b w:val="0"/>
          <w:color w:val="auto"/>
          <w:sz w:val="20"/>
          <w:szCs w:val="20"/>
          <w:lang w:val="en-GB"/>
        </w:rPr>
        <w:t xml:space="preserve"> The CHNS Elemental Analysis of CSP and CSAC</w:t>
      </w:r>
    </w:p>
    <w:tbl>
      <w:tblPr>
        <w:tblStyle w:val="LightShading"/>
        <w:tblW w:w="9356" w:type="dxa"/>
        <w:jc w:val="center"/>
        <w:tblLayout w:type="fixed"/>
        <w:tblLook w:val="04A0" w:firstRow="1" w:lastRow="0" w:firstColumn="1" w:lastColumn="0" w:noHBand="0" w:noVBand="1"/>
      </w:tblPr>
      <w:tblGrid>
        <w:gridCol w:w="993"/>
        <w:gridCol w:w="779"/>
        <w:gridCol w:w="780"/>
        <w:gridCol w:w="758"/>
        <w:gridCol w:w="802"/>
        <w:gridCol w:w="850"/>
        <w:gridCol w:w="851"/>
        <w:gridCol w:w="850"/>
        <w:gridCol w:w="851"/>
        <w:gridCol w:w="850"/>
        <w:gridCol w:w="992"/>
      </w:tblGrid>
      <w:tr w:rsidR="00C87AD7" w:rsidRPr="00C87AD7" w:rsidTr="00CB3BDD">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590FFF">
            <w:pPr>
              <w:spacing w:after="0" w:line="240" w:lineRule="auto"/>
              <w:rPr>
                <w:rFonts w:ascii="Times New Roman" w:hAnsi="Times New Roman" w:cs="Times New Roman"/>
                <w:sz w:val="20"/>
                <w:szCs w:val="20"/>
                <w:lang w:val="en-GB"/>
              </w:rPr>
            </w:pPr>
            <w:r w:rsidRPr="00C87AD7">
              <w:rPr>
                <w:rFonts w:ascii="Times New Roman" w:hAnsi="Times New Roman" w:cs="Times New Roman"/>
                <w:sz w:val="20"/>
                <w:szCs w:val="20"/>
                <w:lang w:val="en-GB"/>
              </w:rPr>
              <w:t>Material</w:t>
            </w:r>
          </w:p>
        </w:tc>
        <w:tc>
          <w:tcPr>
            <w:tcW w:w="779" w:type="dxa"/>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590FFF">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Total Mass</w:t>
            </w:r>
          </w:p>
        </w:tc>
        <w:tc>
          <w:tcPr>
            <w:tcW w:w="1538" w:type="dxa"/>
            <w:gridSpan w:val="2"/>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590FF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Carbon</w:t>
            </w:r>
          </w:p>
        </w:tc>
        <w:tc>
          <w:tcPr>
            <w:tcW w:w="16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C87A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Hydrogen</w:t>
            </w:r>
          </w:p>
        </w:tc>
        <w:tc>
          <w:tcPr>
            <w:tcW w:w="1701" w:type="dxa"/>
            <w:gridSpan w:val="2"/>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C87A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Nitrogen</w:t>
            </w:r>
          </w:p>
        </w:tc>
        <w:tc>
          <w:tcPr>
            <w:tcW w:w="1701" w:type="dxa"/>
            <w:gridSpan w:val="2"/>
            <w:tcBorders>
              <w:top w:val="none" w:sz="0" w:space="0" w:color="auto"/>
              <w:left w:val="none" w:sz="0" w:space="0" w:color="auto"/>
              <w:bottom w:val="none" w:sz="0" w:space="0" w:color="auto"/>
              <w:right w:val="none" w:sz="0" w:space="0" w:color="auto"/>
            </w:tcBorders>
            <w:shd w:val="clear" w:color="auto" w:fill="auto"/>
            <w:vAlign w:val="center"/>
          </w:tcPr>
          <w:p w:rsidR="00C87AD7" w:rsidRPr="00C87AD7" w:rsidRDefault="00C87AD7" w:rsidP="00C87A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Sulphur</w:t>
            </w:r>
          </w:p>
        </w:tc>
        <w:tc>
          <w:tcPr>
            <w:tcW w:w="992" w:type="dxa"/>
            <w:tcBorders>
              <w:top w:val="none" w:sz="0" w:space="0" w:color="auto"/>
              <w:left w:val="none" w:sz="0" w:space="0" w:color="auto"/>
              <w:bottom w:val="single" w:sz="4" w:space="0" w:color="auto"/>
              <w:right w:val="none" w:sz="0" w:space="0" w:color="auto"/>
            </w:tcBorders>
            <w:shd w:val="clear" w:color="auto" w:fill="auto"/>
            <w:vAlign w:val="center"/>
          </w:tcPr>
          <w:p w:rsidR="00C87AD7" w:rsidRPr="00C87AD7" w:rsidRDefault="00C87AD7" w:rsidP="00C87A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Oxygen</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tcBorders>
            <w:shd w:val="clear" w:color="auto" w:fill="auto"/>
            <w:vAlign w:val="center"/>
          </w:tcPr>
          <w:p w:rsidR="00C87AD7" w:rsidRPr="00C87AD7" w:rsidRDefault="00C87AD7" w:rsidP="00590FFF">
            <w:pPr>
              <w:spacing w:after="0" w:line="240" w:lineRule="auto"/>
              <w:rPr>
                <w:rFonts w:ascii="Times New Roman" w:hAnsi="Times New Roman" w:cs="Times New Roman"/>
                <w:sz w:val="20"/>
                <w:szCs w:val="20"/>
                <w:lang w:val="en-GB"/>
              </w:rPr>
            </w:pPr>
          </w:p>
        </w:tc>
        <w:tc>
          <w:tcPr>
            <w:tcW w:w="779" w:type="dxa"/>
            <w:tcBorders>
              <w:bottom w:val="single" w:sz="4" w:space="0" w:color="auto"/>
            </w:tcBorders>
            <w:shd w:val="clear" w:color="auto" w:fill="auto"/>
            <w:vAlign w:val="center"/>
          </w:tcPr>
          <w:p w:rsidR="00C87AD7" w:rsidRPr="00C87AD7" w:rsidRDefault="00C87AD7" w:rsidP="00590FF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(mg)</w:t>
            </w:r>
          </w:p>
        </w:tc>
        <w:tc>
          <w:tcPr>
            <w:tcW w:w="780" w:type="dxa"/>
            <w:tcBorders>
              <w:top w:val="single" w:sz="4" w:space="0" w:color="auto"/>
              <w:bottom w:val="single" w:sz="4" w:space="0" w:color="auto"/>
            </w:tcBorders>
            <w:shd w:val="clear" w:color="auto" w:fill="auto"/>
            <w:vAlign w:val="center"/>
          </w:tcPr>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p>
        </w:tc>
        <w:tc>
          <w:tcPr>
            <w:tcW w:w="758" w:type="dxa"/>
            <w:tcBorders>
              <w:top w:val="single" w:sz="4" w:space="0" w:color="auto"/>
              <w:bottom w:val="single" w:sz="4" w:space="0" w:color="auto"/>
            </w:tcBorders>
            <w:shd w:val="clear" w:color="auto" w:fill="auto"/>
            <w:vAlign w:val="center"/>
          </w:tcPr>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mg</w:t>
            </w:r>
          </w:p>
        </w:tc>
        <w:tc>
          <w:tcPr>
            <w:tcW w:w="802" w:type="dxa"/>
            <w:tcBorders>
              <w:top w:val="single" w:sz="4" w:space="0" w:color="auto"/>
              <w:bottom w:val="single" w:sz="4" w:space="0" w:color="auto"/>
            </w:tcBorders>
            <w:shd w:val="clear" w:color="auto" w:fill="auto"/>
            <w:vAlign w:val="center"/>
          </w:tcPr>
          <w:p w:rsidR="00C87AD7" w:rsidRPr="00C87AD7" w:rsidRDefault="00C87AD7" w:rsidP="00C87A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p>
        </w:tc>
        <w:tc>
          <w:tcPr>
            <w:tcW w:w="850" w:type="dxa"/>
            <w:tcBorders>
              <w:top w:val="single" w:sz="4" w:space="0" w:color="auto"/>
              <w:bottom w:val="single" w:sz="4" w:space="0" w:color="auto"/>
            </w:tcBorders>
            <w:shd w:val="clear" w:color="auto" w:fill="auto"/>
            <w:vAlign w:val="center"/>
          </w:tcPr>
          <w:p w:rsidR="00C87AD7" w:rsidRPr="00C87AD7" w:rsidRDefault="00C87AD7" w:rsidP="00C87A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mg</w:t>
            </w:r>
          </w:p>
        </w:tc>
        <w:tc>
          <w:tcPr>
            <w:tcW w:w="851" w:type="dxa"/>
            <w:tcBorders>
              <w:top w:val="single" w:sz="4" w:space="0" w:color="auto"/>
              <w:bottom w:val="single" w:sz="4" w:space="0" w:color="auto"/>
            </w:tcBorders>
            <w:shd w:val="clear" w:color="auto" w:fill="auto"/>
            <w:vAlign w:val="center"/>
          </w:tcPr>
          <w:p w:rsidR="00C87AD7" w:rsidRPr="00C87AD7" w:rsidRDefault="00C87AD7" w:rsidP="00C87A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p>
        </w:tc>
        <w:tc>
          <w:tcPr>
            <w:tcW w:w="850" w:type="dxa"/>
            <w:tcBorders>
              <w:top w:val="single" w:sz="4" w:space="0" w:color="auto"/>
              <w:bottom w:val="single" w:sz="4" w:space="0" w:color="auto"/>
            </w:tcBorders>
            <w:shd w:val="clear" w:color="auto" w:fill="auto"/>
            <w:vAlign w:val="center"/>
          </w:tcPr>
          <w:p w:rsidR="00C87AD7" w:rsidRPr="00C87AD7" w:rsidRDefault="00C87AD7" w:rsidP="00C87AD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mg</w:t>
            </w:r>
          </w:p>
        </w:tc>
        <w:tc>
          <w:tcPr>
            <w:tcW w:w="851" w:type="dxa"/>
            <w:tcBorders>
              <w:top w:val="single" w:sz="4" w:space="0" w:color="auto"/>
              <w:bottom w:val="single" w:sz="4" w:space="0" w:color="auto"/>
            </w:tcBorders>
            <w:shd w:val="clear" w:color="auto" w:fill="auto"/>
            <w:vAlign w:val="center"/>
          </w:tcPr>
          <w:p w:rsidR="00C87AD7" w:rsidRPr="00C87AD7" w:rsidRDefault="00C87AD7" w:rsidP="00C87AD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p>
        </w:tc>
        <w:tc>
          <w:tcPr>
            <w:tcW w:w="850" w:type="dxa"/>
            <w:tcBorders>
              <w:top w:val="single" w:sz="4" w:space="0" w:color="auto"/>
              <w:bottom w:val="single" w:sz="4" w:space="0" w:color="auto"/>
            </w:tcBorders>
            <w:shd w:val="clear" w:color="auto" w:fill="auto"/>
            <w:vAlign w:val="center"/>
          </w:tcPr>
          <w:p w:rsidR="00C87AD7" w:rsidRPr="00C87AD7" w:rsidRDefault="00C87AD7" w:rsidP="00C87AD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mg</w:t>
            </w:r>
          </w:p>
        </w:tc>
        <w:tc>
          <w:tcPr>
            <w:tcW w:w="992" w:type="dxa"/>
            <w:tcBorders>
              <w:top w:val="single" w:sz="4" w:space="0" w:color="auto"/>
              <w:bottom w:val="single" w:sz="4" w:space="0" w:color="auto"/>
            </w:tcBorders>
            <w:shd w:val="clear" w:color="auto" w:fill="auto"/>
            <w:vAlign w:val="center"/>
          </w:tcPr>
          <w:p w:rsidR="00C87AD7" w:rsidRPr="00C87AD7" w:rsidRDefault="00C87AD7" w:rsidP="00C87AD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(by diff)</w:t>
            </w:r>
          </w:p>
        </w:tc>
      </w:tr>
      <w:tr w:rsidR="00C87AD7" w:rsidRPr="00C87AD7" w:rsidTr="00CB3BDD">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shd w:val="clear" w:color="auto" w:fill="auto"/>
            <w:vAlign w:val="center"/>
          </w:tcPr>
          <w:p w:rsidR="00C87AD7" w:rsidRPr="00C87AD7" w:rsidRDefault="00C87AD7" w:rsidP="00590FFF">
            <w:pPr>
              <w:spacing w:before="60"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CSP</w:t>
            </w:r>
          </w:p>
        </w:tc>
        <w:tc>
          <w:tcPr>
            <w:tcW w:w="779" w:type="dxa"/>
            <w:tcBorders>
              <w:top w:val="single" w:sz="4" w:space="0" w:color="auto"/>
            </w:tcBorders>
            <w:shd w:val="clear" w:color="auto" w:fill="auto"/>
            <w:vAlign w:val="center"/>
          </w:tcPr>
          <w:p w:rsidR="00C87AD7" w:rsidRPr="00C87AD7" w:rsidRDefault="00C87AD7" w:rsidP="00590FF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2.0120</w:t>
            </w:r>
          </w:p>
        </w:tc>
        <w:tc>
          <w:tcPr>
            <w:tcW w:w="780" w:type="dxa"/>
            <w:tcBorders>
              <w:top w:val="single" w:sz="4" w:space="0" w:color="auto"/>
            </w:tcBorders>
            <w:shd w:val="clear" w:color="auto" w:fill="auto"/>
            <w:vAlign w:val="center"/>
          </w:tcPr>
          <w:p w:rsidR="00C87AD7" w:rsidRPr="00C87AD7" w:rsidRDefault="00C87AD7" w:rsidP="00590FF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46.70</w:t>
            </w:r>
          </w:p>
        </w:tc>
        <w:tc>
          <w:tcPr>
            <w:tcW w:w="758" w:type="dxa"/>
            <w:tcBorders>
              <w:top w:val="single" w:sz="4" w:space="0" w:color="auto"/>
            </w:tcBorders>
            <w:shd w:val="clear" w:color="auto" w:fill="auto"/>
            <w:vAlign w:val="center"/>
          </w:tcPr>
          <w:p w:rsidR="00C87AD7" w:rsidRPr="00C87AD7" w:rsidRDefault="00C87AD7" w:rsidP="00590FF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0.94</w:t>
            </w:r>
          </w:p>
        </w:tc>
        <w:tc>
          <w:tcPr>
            <w:tcW w:w="802" w:type="dxa"/>
            <w:tcBorders>
              <w:top w:val="single" w:sz="4" w:space="0" w:color="auto"/>
            </w:tcBorders>
            <w:shd w:val="clear" w:color="auto" w:fill="auto"/>
            <w:vAlign w:val="center"/>
          </w:tcPr>
          <w:p w:rsidR="00C87AD7" w:rsidRPr="00C87AD7" w:rsidRDefault="00C87AD7" w:rsidP="00590FF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3.174</w:t>
            </w:r>
          </w:p>
        </w:tc>
        <w:tc>
          <w:tcPr>
            <w:tcW w:w="850" w:type="dxa"/>
            <w:tcBorders>
              <w:top w:val="single" w:sz="4" w:space="0" w:color="auto"/>
            </w:tcBorders>
            <w:shd w:val="clear" w:color="auto" w:fill="auto"/>
            <w:vAlign w:val="center"/>
          </w:tcPr>
          <w:p w:rsidR="00C87AD7" w:rsidRPr="00C87AD7" w:rsidRDefault="00C87AD7" w:rsidP="00590FF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0.064</w:t>
            </w:r>
          </w:p>
        </w:tc>
        <w:tc>
          <w:tcPr>
            <w:tcW w:w="851" w:type="dxa"/>
            <w:tcBorders>
              <w:top w:val="single" w:sz="4" w:space="0" w:color="auto"/>
            </w:tcBorders>
            <w:shd w:val="clear" w:color="auto" w:fill="auto"/>
            <w:vAlign w:val="center"/>
          </w:tcPr>
          <w:p w:rsidR="00C87AD7" w:rsidRPr="00C87AD7" w:rsidRDefault="00C87AD7" w:rsidP="00C87AD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0.171</w:t>
            </w:r>
          </w:p>
        </w:tc>
        <w:tc>
          <w:tcPr>
            <w:tcW w:w="850" w:type="dxa"/>
            <w:tcBorders>
              <w:top w:val="single" w:sz="4" w:space="0" w:color="auto"/>
            </w:tcBorders>
            <w:shd w:val="clear" w:color="auto" w:fill="auto"/>
            <w:vAlign w:val="center"/>
          </w:tcPr>
          <w:p w:rsidR="00C87AD7" w:rsidRPr="00C87AD7" w:rsidRDefault="00C87AD7" w:rsidP="00C87AD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0.003</w:t>
            </w:r>
          </w:p>
        </w:tc>
        <w:tc>
          <w:tcPr>
            <w:tcW w:w="851" w:type="dxa"/>
            <w:tcBorders>
              <w:top w:val="single" w:sz="4" w:space="0" w:color="auto"/>
            </w:tcBorders>
            <w:shd w:val="clear" w:color="auto" w:fill="auto"/>
            <w:vAlign w:val="center"/>
          </w:tcPr>
          <w:p w:rsidR="00C87AD7" w:rsidRPr="00C87AD7" w:rsidRDefault="00C87AD7" w:rsidP="00C87AD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1.036</w:t>
            </w:r>
          </w:p>
        </w:tc>
        <w:tc>
          <w:tcPr>
            <w:tcW w:w="850" w:type="dxa"/>
            <w:tcBorders>
              <w:top w:val="single" w:sz="4" w:space="0" w:color="auto"/>
            </w:tcBorders>
            <w:shd w:val="clear" w:color="auto" w:fill="auto"/>
            <w:vAlign w:val="center"/>
          </w:tcPr>
          <w:p w:rsidR="00C87AD7" w:rsidRPr="00C87AD7" w:rsidRDefault="00C87AD7" w:rsidP="00C87AD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0.021</w:t>
            </w:r>
          </w:p>
        </w:tc>
        <w:tc>
          <w:tcPr>
            <w:tcW w:w="992" w:type="dxa"/>
            <w:tcBorders>
              <w:top w:val="single" w:sz="4" w:space="0" w:color="auto"/>
            </w:tcBorders>
            <w:shd w:val="clear" w:color="auto" w:fill="auto"/>
            <w:vAlign w:val="center"/>
          </w:tcPr>
          <w:p w:rsidR="00C87AD7" w:rsidRPr="00C87AD7" w:rsidRDefault="00C87AD7" w:rsidP="00C87AD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48.92</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rsidR="00C87AD7" w:rsidRPr="00C87AD7" w:rsidRDefault="00C87AD7" w:rsidP="00590FFF">
            <w:pPr>
              <w:spacing w:before="60" w:after="6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CSAC</w:t>
            </w:r>
          </w:p>
        </w:tc>
        <w:tc>
          <w:tcPr>
            <w:tcW w:w="779" w:type="dxa"/>
            <w:shd w:val="clear" w:color="auto" w:fill="auto"/>
            <w:vAlign w:val="center"/>
          </w:tcPr>
          <w:p w:rsidR="00C87AD7" w:rsidRPr="00C87AD7" w:rsidRDefault="00C87AD7" w:rsidP="00590FF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2.0140</w:t>
            </w:r>
          </w:p>
        </w:tc>
        <w:tc>
          <w:tcPr>
            <w:tcW w:w="780" w:type="dxa"/>
            <w:shd w:val="clear" w:color="auto" w:fill="auto"/>
            <w:vAlign w:val="center"/>
          </w:tcPr>
          <w:p w:rsidR="00C87AD7" w:rsidRPr="00C87AD7" w:rsidRDefault="00C87AD7" w:rsidP="00590FF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84.28</w:t>
            </w:r>
          </w:p>
        </w:tc>
        <w:tc>
          <w:tcPr>
            <w:tcW w:w="758" w:type="dxa"/>
            <w:shd w:val="clear" w:color="auto" w:fill="auto"/>
            <w:vAlign w:val="center"/>
          </w:tcPr>
          <w:p w:rsidR="00C87AD7" w:rsidRPr="00C87AD7" w:rsidRDefault="00C87AD7" w:rsidP="00590FF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1.697</w:t>
            </w:r>
          </w:p>
        </w:tc>
        <w:tc>
          <w:tcPr>
            <w:tcW w:w="802" w:type="dxa"/>
            <w:shd w:val="clear" w:color="auto" w:fill="auto"/>
            <w:vAlign w:val="center"/>
          </w:tcPr>
          <w:p w:rsidR="00C87AD7" w:rsidRPr="00C87AD7" w:rsidRDefault="00C87AD7" w:rsidP="00590FF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0.478</w:t>
            </w:r>
          </w:p>
        </w:tc>
        <w:tc>
          <w:tcPr>
            <w:tcW w:w="850" w:type="dxa"/>
            <w:shd w:val="clear" w:color="auto" w:fill="auto"/>
            <w:vAlign w:val="center"/>
          </w:tcPr>
          <w:p w:rsidR="00C87AD7" w:rsidRPr="00C87AD7" w:rsidRDefault="00C87AD7" w:rsidP="00590FF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0.010</w:t>
            </w:r>
          </w:p>
        </w:tc>
        <w:tc>
          <w:tcPr>
            <w:tcW w:w="851" w:type="dxa"/>
            <w:shd w:val="clear" w:color="auto" w:fill="auto"/>
            <w:vAlign w:val="center"/>
          </w:tcPr>
          <w:p w:rsidR="00C87AD7" w:rsidRPr="00C87AD7" w:rsidRDefault="00C87AD7" w:rsidP="00C87AD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0.222</w:t>
            </w:r>
          </w:p>
        </w:tc>
        <w:tc>
          <w:tcPr>
            <w:tcW w:w="850" w:type="dxa"/>
            <w:shd w:val="clear" w:color="auto" w:fill="auto"/>
            <w:vAlign w:val="center"/>
          </w:tcPr>
          <w:p w:rsidR="00C87AD7" w:rsidRPr="00C87AD7" w:rsidRDefault="00C87AD7" w:rsidP="00C87AD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0.005</w:t>
            </w:r>
          </w:p>
        </w:tc>
        <w:tc>
          <w:tcPr>
            <w:tcW w:w="851" w:type="dxa"/>
            <w:shd w:val="clear" w:color="auto" w:fill="auto"/>
            <w:vAlign w:val="center"/>
          </w:tcPr>
          <w:p w:rsidR="00C87AD7" w:rsidRPr="00C87AD7" w:rsidRDefault="00C87AD7" w:rsidP="00C87AD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1.084</w:t>
            </w:r>
          </w:p>
        </w:tc>
        <w:tc>
          <w:tcPr>
            <w:tcW w:w="850" w:type="dxa"/>
            <w:shd w:val="clear" w:color="auto" w:fill="auto"/>
            <w:vAlign w:val="center"/>
          </w:tcPr>
          <w:p w:rsidR="00C87AD7" w:rsidRPr="00C87AD7" w:rsidRDefault="00C87AD7" w:rsidP="00C87AD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0.022</w:t>
            </w:r>
          </w:p>
        </w:tc>
        <w:tc>
          <w:tcPr>
            <w:tcW w:w="992" w:type="dxa"/>
            <w:shd w:val="clear" w:color="auto" w:fill="auto"/>
            <w:vAlign w:val="center"/>
          </w:tcPr>
          <w:p w:rsidR="00C87AD7" w:rsidRPr="00C87AD7" w:rsidRDefault="00C87AD7" w:rsidP="00C87AD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13.94</w:t>
            </w:r>
          </w:p>
        </w:tc>
      </w:tr>
    </w:tbl>
    <w:p w:rsidR="00C87AD7" w:rsidRDefault="00C87AD7" w:rsidP="00C87AD7">
      <w:pPr>
        <w:spacing w:after="0" w:line="240" w:lineRule="auto"/>
        <w:jc w:val="both"/>
        <w:rPr>
          <w:rFonts w:ascii="Times New Roman" w:hAnsi="Times New Roman"/>
          <w:sz w:val="20"/>
          <w:szCs w:val="20"/>
          <w:lang w:val="en-GB"/>
        </w:rPr>
      </w:pPr>
    </w:p>
    <w:p w:rsidR="00590FFF" w:rsidRPr="00C87AD7" w:rsidRDefault="00590FFF"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sz w:val="20"/>
          <w:szCs w:val="20"/>
          <w:lang w:val="en-GB"/>
        </w:rPr>
      </w:pPr>
      <w:r w:rsidRPr="00C87AD7">
        <w:rPr>
          <w:rFonts w:ascii="Times New Roman" w:hAnsi="Times New Roman"/>
          <w:sz w:val="20"/>
          <w:szCs w:val="20"/>
          <w:lang w:val="en-GB"/>
        </w:rPr>
        <w:t>As presented in Table 1, the carbon % of CSP and CSAC is 46.70 % and 84.28 % respectively. The CSP has lower</w:t>
      </w:r>
      <w:r w:rsidR="00A70C5C">
        <w:rPr>
          <w:rFonts w:ascii="Times New Roman" w:hAnsi="Times New Roman"/>
          <w:sz w:val="20"/>
          <w:szCs w:val="20"/>
          <w:lang w:val="en-GB"/>
        </w:rPr>
        <w:t xml:space="preserve"> carbon content compare to CSAC.</w:t>
      </w:r>
      <w:r w:rsidRPr="00C87AD7">
        <w:rPr>
          <w:rFonts w:ascii="Times New Roman" w:hAnsi="Times New Roman"/>
          <w:sz w:val="20"/>
          <w:szCs w:val="20"/>
          <w:lang w:val="en-GB"/>
        </w:rPr>
        <w:t xml:space="preserve"> The high composition of carbon in the coconut shell as presented from the elemental analysis indicates a good precursor material for porous carbon [23].</w:t>
      </w: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sz w:val="20"/>
          <w:szCs w:val="20"/>
          <w:lang w:val="en-GB"/>
        </w:rPr>
      </w:pPr>
      <w:r w:rsidRPr="00C87AD7">
        <w:rPr>
          <w:rFonts w:ascii="Times New Roman" w:hAnsi="Times New Roman"/>
          <w:sz w:val="20"/>
          <w:szCs w:val="20"/>
          <w:lang w:val="en-GB"/>
        </w:rPr>
        <w:t>CSAC have higher carbon content compared to CSP because to produce activated carbon from coconut shells, the overall process utilizes the pyrolysis of coconut shells into char, followed by steam activation in a fluidized bed reactor (FBR). The resulting activated carbon is 97% pure.</w:t>
      </w:r>
    </w:p>
    <w:p w:rsidR="00C87AD7" w:rsidRPr="00C87AD7" w:rsidRDefault="00C87AD7" w:rsidP="00C87AD7">
      <w:pPr>
        <w:spacing w:after="0" w:line="240" w:lineRule="auto"/>
        <w:jc w:val="both"/>
        <w:rPr>
          <w:rFonts w:ascii="Times New Roman" w:hAnsi="Times New Roman"/>
          <w:sz w:val="20"/>
          <w:szCs w:val="20"/>
          <w:lang w:val="en-GB"/>
        </w:rPr>
      </w:pPr>
    </w:p>
    <w:p w:rsidR="00C87AD7" w:rsidRPr="00C87AD7" w:rsidRDefault="00C87AD7" w:rsidP="00C87AD7">
      <w:pPr>
        <w:spacing w:after="0" w:line="240" w:lineRule="auto"/>
        <w:jc w:val="both"/>
        <w:rPr>
          <w:rFonts w:ascii="Times New Roman" w:hAnsi="Times New Roman"/>
          <w:b/>
          <w:sz w:val="20"/>
          <w:szCs w:val="20"/>
          <w:lang w:val="en-GB"/>
        </w:rPr>
      </w:pPr>
      <w:r w:rsidRPr="00C87AD7">
        <w:rPr>
          <w:rFonts w:ascii="Times New Roman" w:hAnsi="Times New Roman"/>
          <w:b/>
          <w:sz w:val="20"/>
          <w:szCs w:val="20"/>
          <w:lang w:val="en-GB"/>
        </w:rPr>
        <w:t>Surface Morphology</w:t>
      </w:r>
    </w:p>
    <w:p w:rsidR="00C87AD7" w:rsidRPr="00C87AD7" w:rsidRDefault="003B4EC7" w:rsidP="00C87AD7">
      <w:pPr>
        <w:spacing w:after="0" w:line="240" w:lineRule="auto"/>
        <w:jc w:val="both"/>
        <w:rPr>
          <w:rFonts w:ascii="Times New Roman" w:hAnsi="Times New Roman"/>
          <w:sz w:val="20"/>
          <w:szCs w:val="20"/>
          <w:lang w:val="en-GB"/>
        </w:rPr>
      </w:pPr>
      <w:r>
        <w:rPr>
          <w:rFonts w:ascii="Times New Roman" w:hAnsi="Times New Roman"/>
          <w:sz w:val="20"/>
          <w:szCs w:val="20"/>
          <w:lang w:val="en-GB"/>
        </w:rPr>
        <w:t>SEM morphologies</w:t>
      </w:r>
      <w:r w:rsidR="00C87AD7" w:rsidRPr="00C87AD7">
        <w:rPr>
          <w:rFonts w:ascii="Times New Roman" w:hAnsi="Times New Roman"/>
          <w:sz w:val="20"/>
          <w:szCs w:val="20"/>
          <w:lang w:val="en-GB"/>
        </w:rPr>
        <w:t xml:space="preserve"> in Figure 3 and Figure 4 shown reveal details of activated porosity development of CSP and CSAC.</w:t>
      </w:r>
    </w:p>
    <w:p w:rsidR="00C87AD7" w:rsidRPr="00590FFF" w:rsidRDefault="00C87AD7" w:rsidP="00C87AD7">
      <w:pPr>
        <w:spacing w:after="0" w:line="240" w:lineRule="auto"/>
        <w:jc w:val="both"/>
        <w:rPr>
          <w:rFonts w:ascii="Times New Roman" w:hAnsi="Times New Roman"/>
          <w:sz w:val="20"/>
          <w:szCs w:val="20"/>
          <w:lang w:val="en-GB"/>
        </w:rPr>
      </w:pPr>
    </w:p>
    <w:p w:rsidR="00590FFF" w:rsidRPr="00C87AD7" w:rsidRDefault="00590FFF" w:rsidP="00590FFF">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The most important property of the activated carbon is its adsorptive capacity, which in general is proportional to the surface area [24, 25]. Carbon's highly porous nature provides a large surface area for absorption. The application of activated carbon in absorption processes mainly depends on the surface chemistry and pore structure of porous carbon [26]. While, Li et al. said that activated carbon having porous structure and high surface area where the pore structure is importance for optimal performance for absorbing material [27]. CSAC is an excellent quality high surface area material [28].</w:t>
      </w:r>
    </w:p>
    <w:p w:rsidR="00590FFF" w:rsidRPr="00C87AD7" w:rsidRDefault="00590FFF" w:rsidP="00590FFF">
      <w:pPr>
        <w:spacing w:after="0" w:line="240" w:lineRule="auto"/>
        <w:jc w:val="both"/>
        <w:outlineLvl w:val="0"/>
        <w:rPr>
          <w:rFonts w:ascii="Times New Roman" w:hAnsi="Times New Roman"/>
          <w:sz w:val="20"/>
          <w:szCs w:val="20"/>
          <w:lang w:val="en-GB"/>
        </w:rPr>
      </w:pPr>
    </w:p>
    <w:p w:rsidR="00590FFF" w:rsidRPr="00C87AD7" w:rsidRDefault="00590FFF" w:rsidP="00590FFF">
      <w:pPr>
        <w:spacing w:after="0" w:line="240" w:lineRule="auto"/>
        <w:jc w:val="both"/>
        <w:rPr>
          <w:rFonts w:ascii="Times New Roman" w:hAnsi="Times New Roman"/>
          <w:b/>
          <w:sz w:val="20"/>
          <w:szCs w:val="20"/>
          <w:lang w:val="en-GB"/>
        </w:rPr>
      </w:pPr>
    </w:p>
    <w:p w:rsidR="00C87AD7" w:rsidRPr="00C87AD7" w:rsidRDefault="00C87AD7" w:rsidP="00590FFF">
      <w:pPr>
        <w:keepNext/>
        <w:spacing w:after="0" w:line="240" w:lineRule="auto"/>
        <w:jc w:val="center"/>
        <w:rPr>
          <w:rFonts w:ascii="Times New Roman" w:hAnsi="Times New Roman"/>
          <w:noProof/>
          <w:sz w:val="20"/>
          <w:szCs w:val="20"/>
          <w:lang w:val="en-GB" w:eastAsia="ms-MY"/>
        </w:rPr>
      </w:pPr>
      <w:r w:rsidRPr="00C87AD7">
        <w:rPr>
          <w:rFonts w:ascii="Times New Roman" w:hAnsi="Times New Roman"/>
          <w:noProof/>
          <w:sz w:val="20"/>
          <w:szCs w:val="20"/>
          <w:lang w:val="en-GB" w:eastAsia="ms-MY"/>
        </w:rPr>
        <w:lastRenderedPageBreak/>
        <w:t>`</w:t>
      </w:r>
      <w:r w:rsidRPr="00C87AD7">
        <w:rPr>
          <w:rFonts w:ascii="Times New Roman" w:hAnsi="Times New Roman"/>
          <w:noProof/>
          <w:sz w:val="20"/>
          <w:szCs w:val="20"/>
          <w:lang w:bidi="ar-SA"/>
        </w:rPr>
        <w:drawing>
          <wp:inline distT="0" distB="0" distL="0" distR="0" wp14:anchorId="107AED17" wp14:editId="56E64BA5">
            <wp:extent cx="2855343" cy="21307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STER\keje-keje\Result 1\sem\comparison_csp_csac_powder\cs_csac.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861408" cy="2135251"/>
                    </a:xfrm>
                    <a:prstGeom prst="rect">
                      <a:avLst/>
                    </a:prstGeom>
                    <a:noFill/>
                    <a:ln>
                      <a:noFill/>
                    </a:ln>
                  </pic:spPr>
                </pic:pic>
              </a:graphicData>
            </a:graphic>
          </wp:inline>
        </w:drawing>
      </w:r>
    </w:p>
    <w:p w:rsidR="00C87AD7" w:rsidRPr="00C87AD7" w:rsidRDefault="00C87AD7" w:rsidP="00590FFF">
      <w:pPr>
        <w:pStyle w:val="Caption"/>
        <w:wordWrap/>
        <w:spacing w:before="120" w:after="0"/>
        <w:jc w:val="center"/>
        <w:rPr>
          <w:rFonts w:ascii="Times New Roman" w:hAnsi="Times New Roman" w:cs="Times New Roman"/>
          <w:b w:val="0"/>
          <w:color w:val="auto"/>
          <w:sz w:val="20"/>
          <w:szCs w:val="20"/>
          <w:lang w:val="en-GB"/>
        </w:rPr>
      </w:pPr>
      <w:r w:rsidRPr="00C87AD7">
        <w:rPr>
          <w:rFonts w:ascii="Times New Roman" w:hAnsi="Times New Roman" w:cs="Times New Roman"/>
          <w:b w:val="0"/>
          <w:color w:val="auto"/>
          <w:sz w:val="20"/>
          <w:szCs w:val="20"/>
          <w:lang w:val="en-GB"/>
        </w:rPr>
        <w:t xml:space="preserve">Figure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Figure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3</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 xml:space="preserve">. </w:t>
      </w:r>
      <w:r w:rsidR="00590FFF">
        <w:rPr>
          <w:rFonts w:ascii="Times New Roman" w:hAnsi="Times New Roman" w:cs="Times New Roman"/>
          <w:b w:val="0"/>
          <w:color w:val="auto"/>
          <w:sz w:val="20"/>
          <w:szCs w:val="20"/>
          <w:lang w:val="en-GB"/>
        </w:rPr>
        <w:t xml:space="preserve">  </w:t>
      </w:r>
      <w:r w:rsidR="003B4EC7">
        <w:rPr>
          <w:rFonts w:ascii="Times New Roman" w:hAnsi="Times New Roman" w:cs="Times New Roman"/>
          <w:b w:val="0"/>
          <w:color w:val="auto"/>
          <w:sz w:val="20"/>
          <w:szCs w:val="20"/>
          <w:lang w:val="en-GB"/>
        </w:rPr>
        <w:t xml:space="preserve">SEM morphology on composite surface </w:t>
      </w:r>
      <w:r w:rsidRPr="00C87AD7">
        <w:rPr>
          <w:rFonts w:ascii="Times New Roman" w:hAnsi="Times New Roman" w:cs="Times New Roman"/>
          <w:b w:val="0"/>
          <w:color w:val="auto"/>
          <w:sz w:val="20"/>
          <w:szCs w:val="20"/>
          <w:lang w:val="en-GB"/>
        </w:rPr>
        <w:t>(a) CSP; (b) CSAC</w:t>
      </w:r>
    </w:p>
    <w:p w:rsidR="00C87AD7" w:rsidRDefault="00C87AD7" w:rsidP="00C87AD7">
      <w:pPr>
        <w:spacing w:after="0" w:line="240" w:lineRule="auto"/>
        <w:jc w:val="both"/>
        <w:rPr>
          <w:rFonts w:ascii="Times New Roman" w:hAnsi="Times New Roman"/>
          <w:sz w:val="20"/>
          <w:szCs w:val="20"/>
          <w:lang w:val="en-GB"/>
        </w:rPr>
      </w:pPr>
    </w:p>
    <w:p w:rsidR="00590FFF" w:rsidRDefault="00590FFF" w:rsidP="00C87AD7">
      <w:pPr>
        <w:spacing w:after="0" w:line="240" w:lineRule="auto"/>
        <w:jc w:val="both"/>
        <w:rPr>
          <w:rFonts w:ascii="Times New Roman" w:hAnsi="Times New Roman"/>
          <w:sz w:val="20"/>
          <w:szCs w:val="20"/>
          <w:lang w:val="en-GB"/>
        </w:rPr>
      </w:pPr>
    </w:p>
    <w:p w:rsidR="00590FFF" w:rsidRPr="00C87AD7" w:rsidRDefault="00590FFF" w:rsidP="00C87AD7">
      <w:pPr>
        <w:spacing w:after="0" w:line="240" w:lineRule="auto"/>
        <w:jc w:val="both"/>
        <w:rPr>
          <w:rFonts w:ascii="Times New Roman" w:hAnsi="Times New Roman"/>
          <w:sz w:val="20"/>
          <w:szCs w:val="20"/>
          <w:lang w:val="en-GB"/>
        </w:rPr>
      </w:pPr>
    </w:p>
    <w:p w:rsidR="00C87AD7" w:rsidRPr="00C87AD7" w:rsidRDefault="00C87AD7" w:rsidP="00590FFF">
      <w:pPr>
        <w:spacing w:after="0" w:line="240" w:lineRule="auto"/>
        <w:jc w:val="center"/>
        <w:rPr>
          <w:rFonts w:ascii="Times New Roman" w:hAnsi="Times New Roman"/>
          <w:b/>
          <w:sz w:val="20"/>
          <w:szCs w:val="20"/>
          <w:lang w:val="en-GB"/>
        </w:rPr>
      </w:pPr>
      <w:r w:rsidRPr="00C87AD7">
        <w:rPr>
          <w:rFonts w:ascii="Times New Roman" w:hAnsi="Times New Roman"/>
          <w:noProof/>
          <w:sz w:val="20"/>
          <w:szCs w:val="20"/>
          <w:lang w:bidi="ar-SA"/>
        </w:rPr>
        <w:drawing>
          <wp:inline distT="0" distB="0" distL="0" distR="0" wp14:anchorId="075EB4E5" wp14:editId="574E7B53">
            <wp:extent cx="1980000" cy="1608751"/>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STER\keje-keje\sem\csac_powder\500.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80000" cy="1608751"/>
                    </a:xfrm>
                    <a:prstGeom prst="rect">
                      <a:avLst/>
                    </a:prstGeom>
                    <a:noFill/>
                    <a:ln>
                      <a:noFill/>
                    </a:ln>
                  </pic:spPr>
                </pic:pic>
              </a:graphicData>
            </a:graphic>
          </wp:inline>
        </w:drawing>
      </w:r>
      <w:r w:rsidRPr="00C87AD7">
        <w:rPr>
          <w:rFonts w:ascii="Times New Roman" w:hAnsi="Times New Roman"/>
          <w:noProof/>
          <w:sz w:val="20"/>
          <w:szCs w:val="20"/>
          <w:lang w:bidi="ar-SA"/>
        </w:rPr>
        <w:drawing>
          <wp:inline distT="0" distB="0" distL="0" distR="0" wp14:anchorId="4F7BB340" wp14:editId="57987863">
            <wp:extent cx="1980000" cy="160874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STER\keje-keje\sem\csac_powder\10k.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80000" cy="1608749"/>
                    </a:xfrm>
                    <a:prstGeom prst="rect">
                      <a:avLst/>
                    </a:prstGeom>
                    <a:noFill/>
                    <a:ln>
                      <a:noFill/>
                    </a:ln>
                  </pic:spPr>
                </pic:pic>
              </a:graphicData>
            </a:graphic>
          </wp:inline>
        </w:drawing>
      </w:r>
    </w:p>
    <w:p w:rsidR="00C87AD7" w:rsidRPr="00590FFF" w:rsidRDefault="00590FFF" w:rsidP="00590FFF">
      <w:pPr>
        <w:pStyle w:val="ListParagraph"/>
        <w:numPr>
          <w:ilvl w:val="0"/>
          <w:numId w:val="3"/>
        </w:numPr>
        <w:spacing w:after="0" w:line="240" w:lineRule="auto"/>
        <w:rPr>
          <w:rFonts w:ascii="Times New Roman" w:hAnsi="Times New Roman"/>
          <w:sz w:val="20"/>
          <w:szCs w:val="20"/>
          <w:lang w:val="en-GB"/>
        </w:rPr>
      </w:pPr>
      <w:r>
        <w:rPr>
          <w:rFonts w:ascii="Times New Roman" w:hAnsi="Times New Roman"/>
          <w:sz w:val="20"/>
          <w:szCs w:val="20"/>
          <w:lang w:val="en-GB"/>
        </w:rPr>
        <w:t xml:space="preserve">                                                     </w:t>
      </w:r>
      <w:r w:rsidR="00C87AD7" w:rsidRPr="00590FFF">
        <w:rPr>
          <w:rFonts w:ascii="Times New Roman" w:hAnsi="Times New Roman"/>
          <w:sz w:val="20"/>
          <w:szCs w:val="20"/>
          <w:lang w:val="en-GB"/>
        </w:rPr>
        <w:t>(b)</w:t>
      </w:r>
    </w:p>
    <w:p w:rsidR="00590FFF" w:rsidRDefault="00590FFF" w:rsidP="00C87AD7">
      <w:pPr>
        <w:pStyle w:val="Caption"/>
        <w:wordWrap/>
        <w:spacing w:after="0"/>
        <w:rPr>
          <w:rFonts w:ascii="Times New Roman" w:hAnsi="Times New Roman" w:cs="Times New Roman"/>
          <w:b w:val="0"/>
          <w:color w:val="auto"/>
          <w:sz w:val="20"/>
          <w:szCs w:val="20"/>
          <w:lang w:val="en-GB"/>
        </w:rPr>
      </w:pPr>
    </w:p>
    <w:p w:rsidR="00C87AD7" w:rsidRPr="00C87AD7" w:rsidRDefault="00C87AD7" w:rsidP="00590FFF">
      <w:pPr>
        <w:pStyle w:val="Caption"/>
        <w:wordWrap/>
        <w:spacing w:after="0"/>
        <w:jc w:val="center"/>
        <w:rPr>
          <w:rFonts w:ascii="Times New Roman" w:hAnsi="Times New Roman" w:cs="Times New Roman"/>
          <w:b w:val="0"/>
          <w:sz w:val="20"/>
          <w:szCs w:val="20"/>
          <w:lang w:val="en-GB"/>
        </w:rPr>
      </w:pPr>
      <w:r w:rsidRPr="00C87AD7">
        <w:rPr>
          <w:rFonts w:ascii="Times New Roman" w:hAnsi="Times New Roman" w:cs="Times New Roman"/>
          <w:b w:val="0"/>
          <w:color w:val="auto"/>
          <w:sz w:val="20"/>
          <w:szCs w:val="20"/>
          <w:lang w:val="en-GB"/>
        </w:rPr>
        <w:t xml:space="preserve">Figure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Figure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4</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 xml:space="preserve">. </w:t>
      </w:r>
      <w:r w:rsidR="003B4EC7">
        <w:rPr>
          <w:rFonts w:ascii="Times New Roman" w:hAnsi="Times New Roman" w:cs="Times New Roman"/>
          <w:b w:val="0"/>
          <w:color w:val="auto"/>
          <w:sz w:val="20"/>
          <w:szCs w:val="20"/>
          <w:lang w:val="en-GB"/>
        </w:rPr>
        <w:t xml:space="preserve">SEM morphology on particle porosity </w:t>
      </w:r>
      <w:r w:rsidRPr="00C87AD7">
        <w:rPr>
          <w:rFonts w:ascii="Times New Roman" w:hAnsi="Times New Roman" w:cs="Times New Roman"/>
          <w:b w:val="0"/>
          <w:color w:val="auto"/>
          <w:sz w:val="20"/>
          <w:szCs w:val="20"/>
          <w:lang w:val="en-GB"/>
        </w:rPr>
        <w:t>(a) CSP; (b) CSAC</w:t>
      </w:r>
    </w:p>
    <w:p w:rsidR="00590FFF" w:rsidRDefault="00590FFF" w:rsidP="00C87AD7">
      <w:pPr>
        <w:spacing w:after="0" w:line="240" w:lineRule="auto"/>
        <w:jc w:val="both"/>
        <w:outlineLvl w:val="0"/>
        <w:rPr>
          <w:rFonts w:ascii="Times New Roman" w:hAnsi="Times New Roman"/>
          <w:sz w:val="20"/>
          <w:szCs w:val="20"/>
          <w:lang w:val="en-GB"/>
        </w:rPr>
      </w:pPr>
    </w:p>
    <w:p w:rsidR="00590FFF" w:rsidRDefault="00590FFF" w:rsidP="00590FFF">
      <w:pPr>
        <w:spacing w:after="0" w:line="240" w:lineRule="auto"/>
        <w:jc w:val="both"/>
        <w:outlineLvl w:val="0"/>
        <w:rPr>
          <w:rFonts w:ascii="Times New Roman" w:hAnsi="Times New Roman"/>
          <w:sz w:val="20"/>
          <w:szCs w:val="20"/>
          <w:lang w:val="en-GB"/>
        </w:rPr>
      </w:pPr>
    </w:p>
    <w:p w:rsidR="00C87AD7" w:rsidRDefault="003B4EC7" w:rsidP="00C87AD7">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I</w:t>
      </w:r>
      <w:r w:rsidR="00C87AD7" w:rsidRPr="00C87AD7">
        <w:rPr>
          <w:rFonts w:ascii="Times New Roman" w:hAnsi="Times New Roman"/>
          <w:sz w:val="20"/>
          <w:szCs w:val="20"/>
          <w:lang w:val="en-GB"/>
        </w:rPr>
        <w:t>n Figure 4</w:t>
      </w:r>
      <w:r>
        <w:rPr>
          <w:rFonts w:ascii="Times New Roman" w:hAnsi="Times New Roman"/>
          <w:sz w:val="20"/>
          <w:szCs w:val="20"/>
          <w:lang w:val="en-GB"/>
        </w:rPr>
        <w:t>,</w:t>
      </w:r>
      <w:r w:rsidR="00C87AD7" w:rsidRPr="00C87AD7">
        <w:rPr>
          <w:rFonts w:ascii="Times New Roman" w:hAnsi="Times New Roman"/>
          <w:sz w:val="20"/>
          <w:szCs w:val="20"/>
          <w:lang w:val="en-GB"/>
        </w:rPr>
        <w:t xml:space="preserve"> presence of mesopores is detected in CSP and CSAC where </w:t>
      </w:r>
      <w:r>
        <w:rPr>
          <w:rFonts w:ascii="Times New Roman" w:hAnsi="Times New Roman"/>
          <w:sz w:val="20"/>
          <w:szCs w:val="20"/>
          <w:lang w:val="en-GB"/>
        </w:rPr>
        <w:t xml:space="preserve">the porosity </w:t>
      </w:r>
      <w:r w:rsidR="00C87AD7" w:rsidRPr="00C87AD7">
        <w:rPr>
          <w:rFonts w:ascii="Times New Roman" w:hAnsi="Times New Roman"/>
          <w:sz w:val="20"/>
          <w:szCs w:val="20"/>
          <w:lang w:val="en-GB"/>
        </w:rPr>
        <w:t xml:space="preserve">is in the range of 2um and 1um respectively. </w:t>
      </w:r>
    </w:p>
    <w:p w:rsidR="003B4EC7" w:rsidRPr="00C87AD7" w:rsidRDefault="003B4EC7" w:rsidP="00C87AD7">
      <w:pPr>
        <w:spacing w:after="0" w:line="240" w:lineRule="auto"/>
        <w:jc w:val="both"/>
        <w:outlineLvl w:val="0"/>
        <w:rPr>
          <w:rFonts w:ascii="Times New Roman" w:hAnsi="Times New Roman"/>
          <w:b/>
          <w:sz w:val="20"/>
          <w:szCs w:val="20"/>
          <w:lang w:val="en-GB"/>
        </w:rPr>
      </w:pPr>
    </w:p>
    <w:p w:rsidR="00C87AD7" w:rsidRPr="00C87AD7" w:rsidRDefault="00C87AD7" w:rsidP="00C87AD7">
      <w:pPr>
        <w:spacing w:after="0" w:line="240" w:lineRule="auto"/>
        <w:jc w:val="both"/>
        <w:outlineLvl w:val="0"/>
        <w:rPr>
          <w:rFonts w:ascii="Times New Roman" w:hAnsi="Times New Roman"/>
          <w:b/>
          <w:sz w:val="20"/>
          <w:szCs w:val="20"/>
          <w:lang w:val="en-GB"/>
        </w:rPr>
      </w:pPr>
      <w:r w:rsidRPr="00C87AD7">
        <w:rPr>
          <w:rFonts w:ascii="Times New Roman" w:hAnsi="Times New Roman"/>
          <w:b/>
          <w:sz w:val="20"/>
          <w:szCs w:val="20"/>
          <w:lang w:val="en-GB"/>
        </w:rPr>
        <w:t>Dielectric Properties</w:t>
      </w:r>
    </w:p>
    <w:p w:rsidR="00C87AD7" w:rsidRPr="00C87AD7" w:rsidRDefault="00C87AD7" w:rsidP="00C87AD7">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The result of dielectric properties of CSP and CSAC over frequency of 1-8 GHz is presented in Table 2.</w:t>
      </w:r>
    </w:p>
    <w:p w:rsidR="00C87AD7" w:rsidRDefault="00C87AD7" w:rsidP="00C87AD7">
      <w:pPr>
        <w:spacing w:after="0" w:line="240" w:lineRule="auto"/>
        <w:jc w:val="both"/>
        <w:outlineLvl w:val="0"/>
        <w:rPr>
          <w:rFonts w:ascii="Times New Roman" w:hAnsi="Times New Roman"/>
          <w:sz w:val="20"/>
          <w:szCs w:val="20"/>
          <w:lang w:val="en-GB"/>
        </w:rPr>
      </w:pPr>
    </w:p>
    <w:p w:rsidR="003B4EC7" w:rsidRPr="00C87AD7" w:rsidRDefault="003B4EC7" w:rsidP="003B4EC7">
      <w:pPr>
        <w:spacing w:after="0" w:line="240" w:lineRule="auto"/>
        <w:jc w:val="both"/>
        <w:rPr>
          <w:rFonts w:ascii="Times New Roman" w:hAnsi="Times New Roman"/>
          <w:noProof/>
          <w:sz w:val="20"/>
          <w:szCs w:val="20"/>
          <w:lang w:bidi="ar-SA"/>
        </w:rPr>
      </w:pPr>
      <w:r w:rsidRPr="00C87AD7">
        <w:rPr>
          <w:rFonts w:ascii="Times New Roman" w:hAnsi="Times New Roman"/>
          <w:sz w:val="20"/>
          <w:szCs w:val="20"/>
          <w:lang w:val="en-GB"/>
        </w:rPr>
        <w:t xml:space="preserve">Figure 5 (a) and (b) show </w:t>
      </w:r>
      <w:r w:rsidR="00235833">
        <w:rPr>
          <w:rFonts w:ascii="Times New Roman" w:hAnsi="Times New Roman"/>
          <w:sz w:val="20"/>
          <w:szCs w:val="20"/>
          <w:lang w:val="en-GB"/>
        </w:rPr>
        <w:t>the dielectric properties that we</w:t>
      </w:r>
      <w:r w:rsidRPr="00C87AD7">
        <w:rPr>
          <w:rFonts w:ascii="Times New Roman" w:hAnsi="Times New Roman"/>
          <w:sz w:val="20"/>
          <w:szCs w:val="20"/>
          <w:lang w:val="en-GB"/>
        </w:rPr>
        <w:t>re measured from CSP and CSAC composites. The dielectric constant and dielectric loss factor vary when the frequency increased from 1GHz to 8GHz. It can be observed that the dielectric properties of the CSAC composite are higher compared to the CSP composite. This is due to the high carbon composition in the CSAC compared to the raw CSP.</w:t>
      </w:r>
    </w:p>
    <w:p w:rsidR="003B4EC7" w:rsidRDefault="003B4EC7" w:rsidP="003B4EC7">
      <w:pPr>
        <w:spacing w:after="0" w:line="240" w:lineRule="auto"/>
        <w:jc w:val="both"/>
        <w:outlineLvl w:val="0"/>
        <w:rPr>
          <w:rFonts w:ascii="Times New Roman" w:hAnsi="Times New Roman"/>
          <w:sz w:val="20"/>
          <w:szCs w:val="20"/>
          <w:lang w:val="en-GB"/>
        </w:rPr>
      </w:pPr>
    </w:p>
    <w:p w:rsidR="00D67E4C" w:rsidRDefault="00D67E4C" w:rsidP="00C87AD7">
      <w:pPr>
        <w:spacing w:after="0" w:line="240" w:lineRule="auto"/>
        <w:jc w:val="both"/>
        <w:outlineLvl w:val="0"/>
        <w:rPr>
          <w:rFonts w:ascii="Times New Roman" w:hAnsi="Times New Roman"/>
          <w:sz w:val="20"/>
          <w:szCs w:val="20"/>
          <w:lang w:val="en-GB"/>
        </w:rPr>
      </w:pPr>
    </w:p>
    <w:p w:rsidR="003B4EC7" w:rsidRDefault="003B4EC7" w:rsidP="00C87AD7">
      <w:pPr>
        <w:spacing w:after="0" w:line="240" w:lineRule="auto"/>
        <w:jc w:val="both"/>
        <w:outlineLvl w:val="0"/>
        <w:rPr>
          <w:rFonts w:ascii="Times New Roman" w:hAnsi="Times New Roman"/>
          <w:sz w:val="20"/>
          <w:szCs w:val="20"/>
          <w:lang w:val="en-GB"/>
        </w:rPr>
      </w:pPr>
    </w:p>
    <w:p w:rsidR="00D67E4C" w:rsidRDefault="00D67E4C" w:rsidP="00C87AD7">
      <w:pPr>
        <w:spacing w:after="0" w:line="240" w:lineRule="auto"/>
        <w:jc w:val="both"/>
        <w:outlineLvl w:val="0"/>
        <w:rPr>
          <w:rFonts w:ascii="Times New Roman" w:hAnsi="Times New Roman"/>
          <w:sz w:val="20"/>
          <w:szCs w:val="20"/>
          <w:lang w:val="en-GB"/>
        </w:rPr>
      </w:pPr>
    </w:p>
    <w:p w:rsidR="00D67E4C" w:rsidRDefault="00D67E4C" w:rsidP="00C87AD7">
      <w:pPr>
        <w:spacing w:after="0" w:line="240" w:lineRule="auto"/>
        <w:jc w:val="both"/>
        <w:outlineLvl w:val="0"/>
        <w:rPr>
          <w:rFonts w:ascii="Times New Roman" w:hAnsi="Times New Roman"/>
          <w:sz w:val="20"/>
          <w:szCs w:val="20"/>
          <w:lang w:val="en-GB"/>
        </w:rPr>
      </w:pPr>
    </w:p>
    <w:p w:rsidR="00D67E4C" w:rsidRDefault="00D67E4C" w:rsidP="00C87AD7">
      <w:pPr>
        <w:spacing w:after="0" w:line="240" w:lineRule="auto"/>
        <w:jc w:val="both"/>
        <w:outlineLvl w:val="0"/>
        <w:rPr>
          <w:rFonts w:ascii="Times New Roman" w:hAnsi="Times New Roman"/>
          <w:sz w:val="20"/>
          <w:szCs w:val="20"/>
          <w:lang w:val="en-GB"/>
        </w:rPr>
      </w:pPr>
    </w:p>
    <w:p w:rsidR="00D67E4C" w:rsidRDefault="00D67E4C" w:rsidP="00C87AD7">
      <w:pPr>
        <w:spacing w:after="0" w:line="240" w:lineRule="auto"/>
        <w:jc w:val="both"/>
        <w:outlineLvl w:val="0"/>
        <w:rPr>
          <w:rFonts w:ascii="Times New Roman" w:hAnsi="Times New Roman"/>
          <w:sz w:val="20"/>
          <w:szCs w:val="20"/>
          <w:lang w:val="en-GB"/>
        </w:rPr>
      </w:pPr>
    </w:p>
    <w:p w:rsidR="00590FFF" w:rsidRPr="00C87AD7" w:rsidRDefault="00590FFF" w:rsidP="00C87AD7">
      <w:pPr>
        <w:spacing w:after="0" w:line="240" w:lineRule="auto"/>
        <w:jc w:val="both"/>
        <w:outlineLvl w:val="0"/>
        <w:rPr>
          <w:rFonts w:ascii="Times New Roman" w:hAnsi="Times New Roman"/>
          <w:sz w:val="20"/>
          <w:szCs w:val="20"/>
          <w:lang w:val="en-GB"/>
        </w:rPr>
      </w:pPr>
    </w:p>
    <w:p w:rsidR="00C87AD7" w:rsidRPr="00C87AD7" w:rsidRDefault="00C87AD7" w:rsidP="00590FFF">
      <w:pPr>
        <w:pStyle w:val="Caption"/>
        <w:wordWrap/>
        <w:spacing w:after="120"/>
        <w:jc w:val="center"/>
        <w:rPr>
          <w:rFonts w:ascii="Times New Roman" w:hAnsi="Times New Roman" w:cs="Times New Roman"/>
          <w:noProof/>
          <w:sz w:val="20"/>
          <w:szCs w:val="20"/>
          <w:lang w:val="en-GB" w:eastAsia="ms-MY"/>
        </w:rPr>
      </w:pPr>
      <w:r w:rsidRPr="00C87AD7">
        <w:rPr>
          <w:rFonts w:ascii="Times New Roman" w:hAnsi="Times New Roman" w:cs="Times New Roman"/>
          <w:b w:val="0"/>
          <w:color w:val="auto"/>
          <w:sz w:val="20"/>
          <w:szCs w:val="20"/>
          <w:lang w:val="en-GB"/>
        </w:rPr>
        <w:lastRenderedPageBreak/>
        <w:t xml:space="preserve">Table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Table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2</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 xml:space="preserve">. </w:t>
      </w:r>
      <w:r w:rsidR="00590FFF">
        <w:rPr>
          <w:rFonts w:ascii="Times New Roman" w:hAnsi="Times New Roman" w:cs="Times New Roman"/>
          <w:b w:val="0"/>
          <w:color w:val="auto"/>
          <w:sz w:val="20"/>
          <w:szCs w:val="20"/>
          <w:lang w:val="en-GB"/>
        </w:rPr>
        <w:t xml:space="preserve"> </w:t>
      </w:r>
      <w:r w:rsidRPr="00C87AD7">
        <w:rPr>
          <w:rFonts w:ascii="Times New Roman" w:hAnsi="Times New Roman" w:cs="Times New Roman"/>
          <w:b w:val="0"/>
          <w:color w:val="auto"/>
          <w:sz w:val="20"/>
          <w:szCs w:val="20"/>
          <w:lang w:val="en-GB"/>
        </w:rPr>
        <w:t xml:space="preserve">Dielectric properties </w:t>
      </w:r>
      <w:r w:rsidRPr="00C87AD7">
        <w:rPr>
          <w:rFonts w:ascii="Times New Roman" w:hAnsi="Times New Roman" w:cs="Times New Roman"/>
          <w:b w:val="0"/>
          <w:noProof/>
          <w:color w:val="auto"/>
          <w:sz w:val="20"/>
          <w:szCs w:val="20"/>
          <w:lang w:val="en-GB" w:eastAsia="ms-MY"/>
        </w:rPr>
        <w:t>for CSP and CSAC</w:t>
      </w:r>
    </w:p>
    <w:tbl>
      <w:tblPr>
        <w:tblStyle w:val="LightShading"/>
        <w:tblW w:w="4484" w:type="pct"/>
        <w:jc w:val="center"/>
        <w:tblLook w:val="04A0" w:firstRow="1" w:lastRow="0" w:firstColumn="1" w:lastColumn="0" w:noHBand="0" w:noVBand="1"/>
      </w:tblPr>
      <w:tblGrid>
        <w:gridCol w:w="1205"/>
        <w:gridCol w:w="1206"/>
        <w:gridCol w:w="2017"/>
        <w:gridCol w:w="2310"/>
        <w:gridCol w:w="1824"/>
      </w:tblGrid>
      <w:tr w:rsidR="00C87AD7" w:rsidRPr="00C87AD7" w:rsidTr="00CB3BDD">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Frequency</w:t>
            </w:r>
          </w:p>
          <w:p w:rsidR="00C87AD7" w:rsidRPr="00C87AD7" w:rsidRDefault="00C87AD7" w:rsidP="00C87AD7">
            <w:pPr>
              <w:spacing w:after="0" w:line="240" w:lineRule="auto"/>
              <w:jc w:val="both"/>
              <w:rPr>
                <w:rFonts w:ascii="Times New Roman" w:hAnsi="Times New Roman" w:cs="Times New Roman"/>
                <w:sz w:val="20"/>
                <w:szCs w:val="20"/>
                <w:lang w:val="en-GB"/>
              </w:rPr>
            </w:pPr>
            <w:r w:rsidRPr="00C87AD7">
              <w:rPr>
                <w:rFonts w:ascii="Times New Roman" w:hAnsi="Times New Roman" w:cs="Times New Roman"/>
                <w:sz w:val="20"/>
                <w:szCs w:val="20"/>
                <w:lang w:val="en-GB"/>
              </w:rPr>
              <w:t>(GHz)</w:t>
            </w:r>
          </w:p>
        </w:tc>
        <w:tc>
          <w:tcPr>
            <w:tcW w:w="704" w:type="pct"/>
            <w:vMerge w:val="restart"/>
            <w:shd w:val="clear" w:color="auto" w:fill="auto"/>
            <w:vAlign w:val="center"/>
          </w:tcPr>
          <w:p w:rsidR="00C87AD7" w:rsidRPr="00C87AD7" w:rsidRDefault="00C87AD7" w:rsidP="00C87AD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Sample Composite</w:t>
            </w:r>
          </w:p>
        </w:tc>
        <w:tc>
          <w:tcPr>
            <w:tcW w:w="3592" w:type="pct"/>
            <w:gridSpan w:val="3"/>
            <w:shd w:val="clear" w:color="auto" w:fill="auto"/>
            <w:vAlign w:val="center"/>
          </w:tcPr>
          <w:p w:rsidR="00C87AD7" w:rsidRPr="00C87AD7" w:rsidRDefault="00C87AD7" w:rsidP="00590FFF">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Dielectric Properties</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tcBorders>
              <w:bottom w:val="single" w:sz="4" w:space="0" w:color="auto"/>
            </w:tcBorders>
            <w:shd w:val="clear" w:color="auto" w:fill="auto"/>
            <w:vAlign w:val="center"/>
          </w:tcPr>
          <w:p w:rsidR="00C87AD7" w:rsidRPr="00C87AD7" w:rsidRDefault="00C87AD7" w:rsidP="00C87AD7">
            <w:pPr>
              <w:spacing w:after="0" w:line="240" w:lineRule="auto"/>
              <w:jc w:val="both"/>
              <w:rPr>
                <w:rFonts w:ascii="Times New Roman" w:hAnsi="Times New Roman" w:cs="Times New Roman"/>
                <w:sz w:val="20"/>
                <w:szCs w:val="20"/>
                <w:lang w:val="en-GB"/>
              </w:rPr>
            </w:pPr>
          </w:p>
        </w:tc>
        <w:tc>
          <w:tcPr>
            <w:tcW w:w="704" w:type="pct"/>
            <w:vMerge/>
            <w:tcBorders>
              <w:bottom w:val="single" w:sz="4" w:space="0" w:color="auto"/>
            </w:tcBorders>
            <w:shd w:val="clear" w:color="auto" w:fill="auto"/>
            <w:vAlign w:val="center"/>
          </w:tcPr>
          <w:p w:rsidR="00C87AD7" w:rsidRPr="00C87AD7" w:rsidRDefault="00C87AD7" w:rsidP="00C87A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178" w:type="pct"/>
            <w:tcBorders>
              <w:bottom w:val="single" w:sz="4" w:space="0" w:color="auto"/>
            </w:tcBorders>
            <w:shd w:val="clear" w:color="auto" w:fill="auto"/>
            <w:vAlign w:val="center"/>
          </w:tcPr>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Dielectric Constant</w:t>
            </w:r>
          </w:p>
          <w:p w:rsidR="00C87AD7" w:rsidRPr="00C87AD7" w:rsidRDefault="00C87AD7" w:rsidP="00590FF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r w:rsidRPr="00C87AD7">
              <w:rPr>
                <w:rFonts w:ascii="Times New Roman" w:hAnsi="Times New Roman" w:cs="Times New Roman"/>
                <w:b/>
                <w:i/>
                <w:sz w:val="20"/>
                <w:szCs w:val="20"/>
                <w:lang w:val="en-GB"/>
              </w:rPr>
              <w:t>ε</w:t>
            </w:r>
            <w:r w:rsidRPr="00C87AD7">
              <w:rPr>
                <w:rFonts w:ascii="Times New Roman" w:hAnsi="Times New Roman" w:cs="Times New Roman"/>
                <w:b/>
                <w:sz w:val="20"/>
                <w:szCs w:val="20"/>
                <w:vertAlign w:val="superscript"/>
                <w:lang w:val="en-GB"/>
              </w:rPr>
              <w:t>’</w:t>
            </w:r>
            <w:r w:rsidRPr="00C87AD7">
              <w:rPr>
                <w:rFonts w:ascii="Times New Roman" w:hAnsi="Times New Roman" w:cs="Times New Roman"/>
                <w:b/>
                <w:sz w:val="20"/>
                <w:szCs w:val="20"/>
                <w:lang w:val="en-GB"/>
              </w:rPr>
              <w:t>)</w:t>
            </w:r>
          </w:p>
        </w:tc>
        <w:tc>
          <w:tcPr>
            <w:tcW w:w="1349" w:type="pct"/>
            <w:tcBorders>
              <w:bottom w:val="single" w:sz="4" w:space="0" w:color="auto"/>
            </w:tcBorders>
            <w:shd w:val="clear" w:color="auto" w:fill="auto"/>
            <w:vAlign w:val="center"/>
          </w:tcPr>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Dielectric Loss Factor</w:t>
            </w:r>
          </w:p>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w:t>
            </w:r>
            <w:r w:rsidRPr="00C87AD7">
              <w:rPr>
                <w:rFonts w:ascii="Times New Roman" w:hAnsi="Times New Roman" w:cs="Times New Roman"/>
                <w:b/>
                <w:i/>
                <w:sz w:val="20"/>
                <w:szCs w:val="20"/>
                <w:lang w:val="en-GB"/>
              </w:rPr>
              <w:t>ε</w:t>
            </w:r>
            <w:r w:rsidRPr="00C87AD7">
              <w:rPr>
                <w:rFonts w:ascii="Times New Roman" w:hAnsi="Times New Roman" w:cs="Times New Roman"/>
                <w:b/>
                <w:sz w:val="20"/>
                <w:szCs w:val="20"/>
                <w:vertAlign w:val="superscript"/>
                <w:lang w:val="en-GB"/>
              </w:rPr>
              <w:t>”</w:t>
            </w:r>
            <w:r w:rsidRPr="00C87AD7">
              <w:rPr>
                <w:rFonts w:ascii="Times New Roman" w:hAnsi="Times New Roman" w:cs="Times New Roman"/>
                <w:b/>
                <w:sz w:val="20"/>
                <w:szCs w:val="20"/>
                <w:lang w:val="en-GB"/>
              </w:rPr>
              <w:t>)</w:t>
            </w:r>
          </w:p>
        </w:tc>
        <w:tc>
          <w:tcPr>
            <w:tcW w:w="1065" w:type="pct"/>
            <w:tcBorders>
              <w:bottom w:val="single" w:sz="4" w:space="0" w:color="auto"/>
            </w:tcBorders>
            <w:shd w:val="clear" w:color="auto" w:fill="auto"/>
            <w:vAlign w:val="center"/>
          </w:tcPr>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Loss Tangent</w:t>
            </w:r>
          </w:p>
          <w:p w:rsidR="00C87AD7" w:rsidRPr="00C87AD7" w:rsidRDefault="00C87AD7" w:rsidP="00590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87AD7">
              <w:rPr>
                <w:rFonts w:ascii="Times New Roman" w:hAnsi="Times New Roman" w:cs="Times New Roman"/>
                <w:b/>
                <w:sz w:val="20"/>
                <w:szCs w:val="20"/>
                <w:lang w:val="en-GB"/>
              </w:rPr>
              <w:t>(tan</w:t>
            </w:r>
            <w:r w:rsidRPr="00C87AD7">
              <w:rPr>
                <w:rFonts w:ascii="Times New Roman" w:hAnsi="Times New Roman" w:cs="Times New Roman"/>
                <w:b/>
                <w:color w:val="auto"/>
                <w:position w:val="-6"/>
                <w:sz w:val="20"/>
                <w:szCs w:val="20"/>
                <w:lang w:val="en-GB"/>
              </w:rPr>
              <w:object w:dxaOrig="200" w:dyaOrig="240">
                <v:shape id="_x0000_i1026" type="#_x0000_t75" style="width:9.75pt;height:12pt" o:ole="">
                  <v:imagedata r:id="rId22" o:title=""/>
                </v:shape>
                <o:OLEObject Type="Embed" ProgID="Equation.3" ShapeID="_x0000_i1026" DrawAspect="Content" ObjectID="_1521445918" r:id="rId23"/>
              </w:object>
            </w:r>
            <w:r w:rsidRPr="00C87AD7">
              <w:rPr>
                <w:rFonts w:ascii="Times New Roman" w:hAnsi="Times New Roman" w:cs="Times New Roman"/>
                <w:b/>
                <w:sz w:val="20"/>
                <w:szCs w:val="20"/>
                <w:lang w:val="en-GB"/>
              </w:rPr>
              <w:t>)</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tcBorders>
              <w:top w:val="single" w:sz="4" w:space="0" w:color="auto"/>
            </w:tcBorders>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1</w:t>
            </w:r>
          </w:p>
        </w:tc>
        <w:tc>
          <w:tcPr>
            <w:tcW w:w="704" w:type="pct"/>
            <w:tcBorders>
              <w:top w:val="single" w:sz="4" w:space="0" w:color="auto"/>
            </w:tcBorders>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tcBorders>
              <w:top w:val="single" w:sz="4" w:space="0" w:color="auto"/>
            </w:tcBorders>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5.1244</w:t>
            </w:r>
          </w:p>
        </w:tc>
        <w:tc>
          <w:tcPr>
            <w:tcW w:w="1349" w:type="pct"/>
            <w:tcBorders>
              <w:top w:val="single" w:sz="4" w:space="0" w:color="auto"/>
            </w:tcBorders>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0.5200</w:t>
            </w:r>
          </w:p>
        </w:tc>
        <w:tc>
          <w:tcPr>
            <w:tcW w:w="1065" w:type="pct"/>
            <w:tcBorders>
              <w:top w:val="single" w:sz="4" w:space="0" w:color="auto"/>
            </w:tcBorders>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0.1015</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64.8307</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18.0791</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0.2789</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2</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5.0726</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0.7029</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0.1386</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60.8409</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14.7596</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0.2426</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3</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4.8108</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0.7497</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0.1558</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58.6587</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13.6022</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0.2319</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4</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4.8539</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0.8508</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0.1753</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57.5637</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13.6078</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0.2364</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5</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4.6504</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0.9517</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0.2046</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56.1002</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13.7901</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0.2459</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6</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4.5765</w:t>
            </w:r>
          </w:p>
        </w:tc>
        <w:tc>
          <w:tcPr>
            <w:tcW w:w="1349" w:type="pct"/>
            <w:shd w:val="clear" w:color="auto" w:fill="auto"/>
            <w:vAlign w:val="center"/>
          </w:tcPr>
          <w:p w:rsidR="00C87AD7" w:rsidRPr="00C87AD7" w:rsidRDefault="00C87AD7" w:rsidP="00D67E4C">
            <w:pPr>
              <w:tabs>
                <w:tab w:val="left" w:pos="705"/>
                <w:tab w:val="center" w:pos="1015"/>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1.0525</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0.2300</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54.9361</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13.7144</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0.2497</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7</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4.4164</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1.1331</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0.2566</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54.2399</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14.0169</w:t>
            </w:r>
          </w:p>
        </w:tc>
        <w:tc>
          <w:tcPr>
            <w:tcW w:w="1065"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0.2584</w:t>
            </w:r>
          </w:p>
        </w:tc>
      </w:tr>
      <w:tr w:rsidR="00C87AD7" w:rsidRPr="00C87AD7" w:rsidTr="00CB3BDD">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C87AD7" w:rsidRPr="00C87AD7" w:rsidRDefault="00C87AD7" w:rsidP="00D67E4C">
            <w:pPr>
              <w:spacing w:after="0" w:line="240" w:lineRule="auto"/>
              <w:rPr>
                <w:rFonts w:ascii="Times New Roman" w:hAnsi="Times New Roman" w:cs="Times New Roman"/>
                <w:b w:val="0"/>
                <w:sz w:val="20"/>
                <w:szCs w:val="20"/>
                <w:lang w:val="en-GB"/>
              </w:rPr>
            </w:pPr>
            <w:r w:rsidRPr="00C87AD7">
              <w:rPr>
                <w:rFonts w:ascii="Times New Roman" w:hAnsi="Times New Roman" w:cs="Times New Roman"/>
                <w:b w:val="0"/>
                <w:sz w:val="20"/>
                <w:szCs w:val="20"/>
                <w:lang w:val="en-GB"/>
              </w:rPr>
              <w:t>8</w:t>
            </w:r>
          </w:p>
        </w:tc>
        <w:tc>
          <w:tcPr>
            <w:tcW w:w="704" w:type="pct"/>
            <w:shd w:val="clear" w:color="auto" w:fill="auto"/>
            <w:vAlign w:val="center"/>
          </w:tcPr>
          <w:p w:rsidR="00C87AD7" w:rsidRPr="00C87AD7" w:rsidRDefault="00C87AD7" w:rsidP="00D67E4C">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CSP</w:t>
            </w:r>
          </w:p>
        </w:tc>
        <w:tc>
          <w:tcPr>
            <w:tcW w:w="1178"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3.1100</w:t>
            </w:r>
          </w:p>
        </w:tc>
        <w:tc>
          <w:tcPr>
            <w:tcW w:w="1349"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1.2144</w:t>
            </w:r>
          </w:p>
        </w:tc>
        <w:tc>
          <w:tcPr>
            <w:tcW w:w="1065" w:type="pct"/>
            <w:shd w:val="clear" w:color="auto" w:fill="auto"/>
            <w:vAlign w:val="center"/>
          </w:tcPr>
          <w:p w:rsidR="00C87AD7" w:rsidRPr="00C87AD7" w:rsidRDefault="00C87AD7" w:rsidP="00D67E4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0.3905</w:t>
            </w:r>
          </w:p>
        </w:tc>
      </w:tr>
      <w:tr w:rsidR="00C87AD7" w:rsidRPr="00C87AD7" w:rsidTr="00CB3BD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C87AD7" w:rsidRPr="00C87AD7" w:rsidRDefault="00C87AD7" w:rsidP="00D67E4C">
            <w:pPr>
              <w:spacing w:after="0" w:line="240" w:lineRule="auto"/>
              <w:jc w:val="center"/>
              <w:rPr>
                <w:rFonts w:ascii="Times New Roman" w:hAnsi="Times New Roman" w:cs="Times New Roman"/>
                <w:sz w:val="20"/>
                <w:szCs w:val="20"/>
                <w:lang w:val="en-GB"/>
              </w:rPr>
            </w:pPr>
          </w:p>
        </w:tc>
        <w:tc>
          <w:tcPr>
            <w:tcW w:w="704" w:type="pct"/>
            <w:shd w:val="clear" w:color="auto" w:fill="auto"/>
            <w:vAlign w:val="center"/>
          </w:tcPr>
          <w:p w:rsidR="00C87AD7" w:rsidRPr="00C87AD7" w:rsidRDefault="00C87AD7" w:rsidP="00D67E4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CSAC</w:t>
            </w:r>
          </w:p>
        </w:tc>
        <w:tc>
          <w:tcPr>
            <w:tcW w:w="1178"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52.0081</w:t>
            </w:r>
          </w:p>
        </w:tc>
        <w:tc>
          <w:tcPr>
            <w:tcW w:w="1349" w:type="pct"/>
            <w:shd w:val="clear" w:color="auto" w:fill="auto"/>
            <w:vAlign w:val="center"/>
          </w:tcPr>
          <w:p w:rsidR="00C87AD7" w:rsidRPr="00C87AD7" w:rsidRDefault="00C87AD7" w:rsidP="00D67E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13.8296</w:t>
            </w:r>
          </w:p>
        </w:tc>
        <w:tc>
          <w:tcPr>
            <w:tcW w:w="1065" w:type="pct"/>
            <w:shd w:val="clear" w:color="auto" w:fill="auto"/>
            <w:vAlign w:val="center"/>
          </w:tcPr>
          <w:p w:rsidR="00C87AD7" w:rsidRPr="00C87AD7" w:rsidRDefault="00C87AD7" w:rsidP="00D67E4C">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87AD7">
              <w:rPr>
                <w:rFonts w:ascii="Times New Roman" w:hAnsi="Times New Roman" w:cs="Times New Roman"/>
                <w:sz w:val="20"/>
                <w:szCs w:val="20"/>
                <w:lang w:val="en-GB"/>
              </w:rPr>
              <w:t>0.2659</w:t>
            </w:r>
          </w:p>
        </w:tc>
      </w:tr>
    </w:tbl>
    <w:p w:rsidR="00C87AD7" w:rsidRDefault="00C87AD7" w:rsidP="00D67E4C">
      <w:pPr>
        <w:spacing w:after="0" w:line="240" w:lineRule="auto"/>
        <w:jc w:val="center"/>
        <w:outlineLvl w:val="0"/>
        <w:rPr>
          <w:rFonts w:ascii="Times New Roman" w:hAnsi="Times New Roman"/>
          <w:sz w:val="20"/>
          <w:szCs w:val="20"/>
          <w:lang w:val="en-GB"/>
        </w:rPr>
      </w:pPr>
    </w:p>
    <w:p w:rsidR="00590FFF" w:rsidRDefault="00590FFF" w:rsidP="00C87AD7">
      <w:pPr>
        <w:spacing w:after="0" w:line="240" w:lineRule="auto"/>
        <w:jc w:val="both"/>
        <w:outlineLvl w:val="0"/>
        <w:rPr>
          <w:rFonts w:ascii="Times New Roman" w:hAnsi="Times New Roman"/>
          <w:sz w:val="20"/>
          <w:szCs w:val="20"/>
          <w:lang w:val="en-GB"/>
        </w:rPr>
      </w:pPr>
    </w:p>
    <w:p w:rsidR="00D67E4C" w:rsidRPr="00C87AD7" w:rsidRDefault="00D67E4C" w:rsidP="00C87AD7">
      <w:pPr>
        <w:spacing w:after="0" w:line="240" w:lineRule="auto"/>
        <w:jc w:val="both"/>
        <w:outlineLvl w:val="0"/>
        <w:rPr>
          <w:rFonts w:ascii="Times New Roman" w:hAnsi="Times New Roman"/>
          <w:sz w:val="20"/>
          <w:szCs w:val="20"/>
          <w:lang w:val="en-GB"/>
        </w:rPr>
      </w:pPr>
    </w:p>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601"/>
      </w:tblGrid>
      <w:tr w:rsidR="00C87AD7" w:rsidRPr="00C87AD7" w:rsidTr="00CB3BDD">
        <w:tc>
          <w:tcPr>
            <w:tcW w:w="4786" w:type="dxa"/>
          </w:tcPr>
          <w:p w:rsidR="00C87AD7" w:rsidRPr="00C87AD7" w:rsidRDefault="00C87AD7" w:rsidP="00D67E4C">
            <w:pPr>
              <w:spacing w:after="0" w:line="240" w:lineRule="auto"/>
              <w:jc w:val="center"/>
              <w:outlineLvl w:val="0"/>
              <w:rPr>
                <w:rFonts w:ascii="Times New Roman" w:hAnsi="Times New Roman" w:cs="Times New Roman"/>
                <w:sz w:val="20"/>
                <w:szCs w:val="20"/>
                <w:lang w:val="en-GB"/>
              </w:rPr>
            </w:pPr>
            <w:r w:rsidRPr="00C87AD7">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AA5E16E" wp14:editId="58C60A42">
                      <wp:simplePos x="0" y="0"/>
                      <wp:positionH relativeFrom="column">
                        <wp:posOffset>2432649</wp:posOffset>
                      </wp:positionH>
                      <wp:positionV relativeFrom="paragraph">
                        <wp:posOffset>100186</wp:posOffset>
                      </wp:positionV>
                      <wp:extent cx="362226" cy="267419"/>
                      <wp:effectExtent l="0" t="0" r="0" b="0"/>
                      <wp:wrapNone/>
                      <wp:docPr id="3" name="Text Box 3"/>
                      <wp:cNvGraphicFramePr/>
                      <a:graphic xmlns:a="http://schemas.openxmlformats.org/drawingml/2006/main">
                        <a:graphicData uri="http://schemas.microsoft.com/office/word/2010/wordprocessingShape">
                          <wps:wsp>
                            <wps:cNvSpPr txBox="1"/>
                            <wps:spPr>
                              <a:xfrm>
                                <a:off x="0" y="0"/>
                                <a:ext cx="362226" cy="267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AD7" w:rsidRDefault="00C87AD7" w:rsidP="00C87AD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91.55pt;margin-top:7.9pt;width:28.5pt;height:2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afwIAAGgFAAAOAAAAZHJzL2Uyb0RvYy54bWysVN9v2jAQfp+0/8Hy+wgESl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" filled="f" stroked="f" strokeweight=".5pt">
                      <v:textbox>
                        <w:txbxContent>
                          <w:p w:rsidR="00C87AD7" w:rsidRDefault="00C87AD7" w:rsidP="00C87AD7">
                            <w:r>
                              <w:t>(a)</w:t>
                            </w:r>
                          </w:p>
                        </w:txbxContent>
                      </v:textbox>
                    </v:shape>
                  </w:pict>
                </mc:Fallback>
              </mc:AlternateContent>
            </w:r>
            <w:r w:rsidRPr="00C87AD7">
              <w:rPr>
                <w:rFonts w:ascii="Times New Roman" w:hAnsi="Times New Roman"/>
                <w:noProof/>
                <w:sz w:val="20"/>
                <w:szCs w:val="20"/>
                <w:lang w:bidi="ar-SA"/>
              </w:rPr>
              <w:drawing>
                <wp:inline distT="0" distB="0" distL="0" distR="0" wp14:anchorId="408462E3" wp14:editId="31D2814C">
                  <wp:extent cx="2874808" cy="1980000"/>
                  <wp:effectExtent l="19050" t="19050" r="20955" b="20320"/>
                  <wp:docPr id="28" name="Picture 28" descr="D:\MASTER\keje-keje\MJAS\die const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MASTER\keje-keje\MJAS\die constant.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4808" cy="1980000"/>
                          </a:xfrm>
                          <a:prstGeom prst="rect">
                            <a:avLst/>
                          </a:prstGeom>
                          <a:noFill/>
                          <a:ln w="6350">
                            <a:solidFill>
                              <a:schemeClr val="tx1"/>
                            </a:solidFill>
                          </a:ln>
                        </pic:spPr>
                      </pic:pic>
                    </a:graphicData>
                  </a:graphic>
                </wp:inline>
              </w:drawing>
            </w:r>
          </w:p>
        </w:tc>
        <w:tc>
          <w:tcPr>
            <w:tcW w:w="4621" w:type="dxa"/>
          </w:tcPr>
          <w:p w:rsidR="00C87AD7" w:rsidRPr="00C87AD7" w:rsidRDefault="00C87AD7" w:rsidP="00D67E4C">
            <w:pPr>
              <w:spacing w:after="0" w:line="240" w:lineRule="auto"/>
              <w:jc w:val="center"/>
              <w:outlineLvl w:val="0"/>
              <w:rPr>
                <w:rFonts w:ascii="Times New Roman" w:hAnsi="Times New Roman" w:cs="Times New Roman"/>
                <w:sz w:val="20"/>
                <w:szCs w:val="20"/>
                <w:lang w:val="en-GB"/>
              </w:rPr>
            </w:pPr>
            <w:r w:rsidRPr="00C87AD7">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73B70A7C" wp14:editId="501A3AFF">
                      <wp:simplePos x="0" y="0"/>
                      <wp:positionH relativeFrom="column">
                        <wp:posOffset>2175486</wp:posOffset>
                      </wp:positionH>
                      <wp:positionV relativeFrom="paragraph">
                        <wp:posOffset>99695</wp:posOffset>
                      </wp:positionV>
                      <wp:extent cx="430913" cy="26733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430913"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7AD7" w:rsidRDefault="00C87AD7" w:rsidP="00C87AD7">
                                  <w: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left:0;text-align:left;margin-left:171.3pt;margin-top:7.85pt;width:33.95pt;height:21.0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" fillcolor="white [3201]" stroked="f" strokeweight=".5pt">
                      <v:textbox>
                        <w:txbxContent>
                          <w:p w:rsidR="00C87AD7" w:rsidRDefault="00C87AD7" w:rsidP="00C87AD7">
                            <w:r>
                              <w:t xml:space="preserve">   (b)</w:t>
                            </w:r>
                          </w:p>
                        </w:txbxContent>
                      </v:textbox>
                    </v:shape>
                  </w:pict>
                </mc:Fallback>
              </mc:AlternateContent>
            </w:r>
            <w:r w:rsidRPr="00C87AD7">
              <w:rPr>
                <w:rFonts w:ascii="Times New Roman" w:hAnsi="Times New Roman"/>
                <w:noProof/>
                <w:sz w:val="20"/>
                <w:szCs w:val="20"/>
                <w:lang w:bidi="ar-SA"/>
              </w:rPr>
              <w:drawing>
                <wp:inline distT="0" distB="0" distL="0" distR="0" wp14:anchorId="19561D88" wp14:editId="17B7BC88">
                  <wp:extent cx="2682815" cy="1984076"/>
                  <wp:effectExtent l="19050" t="19050" r="22860" b="16510"/>
                  <wp:docPr id="30" name="Picture 30" descr="D:\MASTER\keje-keje\MJAS\die loss 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MASTER\keje-keje\MJAS\die loss fac.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8926" cy="1981200"/>
                          </a:xfrm>
                          <a:prstGeom prst="rect">
                            <a:avLst/>
                          </a:prstGeom>
                          <a:noFill/>
                          <a:ln w="6350">
                            <a:solidFill>
                              <a:schemeClr val="tx1"/>
                            </a:solidFill>
                          </a:ln>
                        </pic:spPr>
                      </pic:pic>
                    </a:graphicData>
                  </a:graphic>
                </wp:inline>
              </w:drawing>
            </w:r>
          </w:p>
        </w:tc>
      </w:tr>
    </w:tbl>
    <w:p w:rsidR="00C87AD7" w:rsidRPr="00C87AD7" w:rsidRDefault="00C87AD7" w:rsidP="00C87AD7">
      <w:pPr>
        <w:spacing w:after="0" w:line="240" w:lineRule="auto"/>
        <w:jc w:val="both"/>
        <w:outlineLvl w:val="0"/>
        <w:rPr>
          <w:rFonts w:ascii="Times New Roman" w:hAnsi="Times New Roman"/>
          <w:sz w:val="20"/>
          <w:szCs w:val="20"/>
          <w:lang w:val="en-GB"/>
        </w:rPr>
      </w:pPr>
      <w:r w:rsidRPr="00C87AD7">
        <w:rPr>
          <w:rFonts w:ascii="Times New Roman" w:hAnsi="Times New Roman"/>
          <w:sz w:val="20"/>
          <w:szCs w:val="20"/>
          <w:lang w:val="en-GB"/>
        </w:rPr>
        <w:tab/>
      </w:r>
      <w:r w:rsidRPr="00C87AD7">
        <w:rPr>
          <w:rFonts w:ascii="Times New Roman" w:hAnsi="Times New Roman"/>
          <w:sz w:val="20"/>
          <w:szCs w:val="20"/>
          <w:lang w:val="en-GB"/>
        </w:rPr>
        <w:tab/>
      </w:r>
      <w:r w:rsidRPr="00C87AD7">
        <w:rPr>
          <w:rFonts w:ascii="Times New Roman" w:hAnsi="Times New Roman"/>
          <w:sz w:val="20"/>
          <w:szCs w:val="20"/>
          <w:lang w:val="en-GB"/>
        </w:rPr>
        <w:tab/>
      </w:r>
      <w:r w:rsidRPr="00C87AD7">
        <w:rPr>
          <w:rFonts w:ascii="Times New Roman" w:hAnsi="Times New Roman"/>
          <w:sz w:val="20"/>
          <w:szCs w:val="20"/>
          <w:lang w:val="en-GB"/>
        </w:rPr>
        <w:tab/>
      </w:r>
      <w:r w:rsidRPr="00C87AD7">
        <w:rPr>
          <w:rFonts w:ascii="Times New Roman" w:hAnsi="Times New Roman"/>
          <w:sz w:val="20"/>
          <w:szCs w:val="20"/>
          <w:lang w:val="en-GB"/>
        </w:rPr>
        <w:tab/>
      </w:r>
      <w:r w:rsidRPr="00C87AD7">
        <w:rPr>
          <w:rFonts w:ascii="Times New Roman" w:hAnsi="Times New Roman"/>
          <w:sz w:val="20"/>
          <w:szCs w:val="20"/>
          <w:lang w:val="en-GB"/>
        </w:rPr>
        <w:tab/>
      </w:r>
      <w:r w:rsidRPr="00C87AD7">
        <w:rPr>
          <w:rFonts w:ascii="Times New Roman" w:hAnsi="Times New Roman"/>
          <w:sz w:val="20"/>
          <w:szCs w:val="20"/>
          <w:lang w:val="en-GB"/>
        </w:rPr>
        <w:tab/>
      </w:r>
    </w:p>
    <w:p w:rsidR="00C87AD7" w:rsidRPr="00C87AD7" w:rsidRDefault="00C87AD7" w:rsidP="00590FFF">
      <w:pPr>
        <w:pStyle w:val="Caption"/>
        <w:wordWrap/>
        <w:spacing w:after="0"/>
        <w:jc w:val="center"/>
        <w:rPr>
          <w:rFonts w:ascii="Times New Roman" w:hAnsi="Times New Roman" w:cs="Times New Roman"/>
          <w:b w:val="0"/>
          <w:color w:val="auto"/>
          <w:sz w:val="20"/>
          <w:szCs w:val="20"/>
          <w:lang w:val="en-GB"/>
        </w:rPr>
      </w:pPr>
      <w:r w:rsidRPr="00C87AD7">
        <w:rPr>
          <w:rFonts w:ascii="Times New Roman" w:hAnsi="Times New Roman" w:cs="Times New Roman"/>
          <w:b w:val="0"/>
          <w:color w:val="auto"/>
          <w:sz w:val="20"/>
          <w:szCs w:val="20"/>
          <w:lang w:val="en-GB"/>
        </w:rPr>
        <w:t xml:space="preserve">Figure </w:t>
      </w:r>
      <w:r w:rsidRPr="00C87AD7">
        <w:rPr>
          <w:rFonts w:ascii="Times New Roman" w:hAnsi="Times New Roman" w:cs="Times New Roman"/>
          <w:b w:val="0"/>
          <w:color w:val="auto"/>
          <w:sz w:val="20"/>
          <w:szCs w:val="20"/>
          <w:lang w:val="en-GB"/>
        </w:rPr>
        <w:fldChar w:fldCharType="begin"/>
      </w:r>
      <w:r w:rsidRPr="00C87AD7">
        <w:rPr>
          <w:rFonts w:ascii="Times New Roman" w:hAnsi="Times New Roman" w:cs="Times New Roman"/>
          <w:b w:val="0"/>
          <w:color w:val="auto"/>
          <w:sz w:val="20"/>
          <w:szCs w:val="20"/>
          <w:lang w:val="en-GB"/>
        </w:rPr>
        <w:instrText xml:space="preserve"> SEQ Figure \* ARABIC </w:instrText>
      </w:r>
      <w:r w:rsidRPr="00C87AD7">
        <w:rPr>
          <w:rFonts w:ascii="Times New Roman" w:hAnsi="Times New Roman" w:cs="Times New Roman"/>
          <w:b w:val="0"/>
          <w:color w:val="auto"/>
          <w:sz w:val="20"/>
          <w:szCs w:val="20"/>
          <w:lang w:val="en-GB"/>
        </w:rPr>
        <w:fldChar w:fldCharType="separate"/>
      </w:r>
      <w:r w:rsidR="000853A4">
        <w:rPr>
          <w:rFonts w:ascii="Times New Roman" w:hAnsi="Times New Roman" w:cs="Times New Roman"/>
          <w:b w:val="0"/>
          <w:noProof/>
          <w:color w:val="auto"/>
          <w:sz w:val="20"/>
          <w:szCs w:val="20"/>
          <w:lang w:val="en-GB"/>
        </w:rPr>
        <w:t>5</w:t>
      </w:r>
      <w:r w:rsidRPr="00C87AD7">
        <w:rPr>
          <w:rFonts w:ascii="Times New Roman" w:hAnsi="Times New Roman" w:cs="Times New Roman"/>
          <w:b w:val="0"/>
          <w:color w:val="auto"/>
          <w:sz w:val="20"/>
          <w:szCs w:val="20"/>
          <w:lang w:val="en-GB"/>
        </w:rPr>
        <w:fldChar w:fldCharType="end"/>
      </w:r>
      <w:r w:rsidRPr="00C87AD7">
        <w:rPr>
          <w:rFonts w:ascii="Times New Roman" w:hAnsi="Times New Roman" w:cs="Times New Roman"/>
          <w:b w:val="0"/>
          <w:color w:val="auto"/>
          <w:sz w:val="20"/>
          <w:szCs w:val="20"/>
          <w:lang w:val="en-GB"/>
        </w:rPr>
        <w:t xml:space="preserve">. </w:t>
      </w:r>
      <w:r w:rsidR="00590FFF">
        <w:rPr>
          <w:rFonts w:ascii="Times New Roman" w:hAnsi="Times New Roman" w:cs="Times New Roman"/>
          <w:b w:val="0"/>
          <w:color w:val="auto"/>
          <w:sz w:val="20"/>
          <w:szCs w:val="20"/>
          <w:lang w:val="en-GB"/>
        </w:rPr>
        <w:t xml:space="preserve"> </w:t>
      </w:r>
      <w:r w:rsidRPr="00C87AD7">
        <w:rPr>
          <w:rFonts w:ascii="Times New Roman" w:hAnsi="Times New Roman" w:cs="Times New Roman"/>
          <w:b w:val="0"/>
          <w:color w:val="auto"/>
          <w:sz w:val="20"/>
          <w:szCs w:val="20"/>
          <w:lang w:val="en-GB"/>
        </w:rPr>
        <w:t>(a) Dielectric constant of CSP and CSAC; (b) Dielectric loss factor of CSP and CSAC</w:t>
      </w:r>
    </w:p>
    <w:p w:rsidR="00590FFF" w:rsidRDefault="00590FFF" w:rsidP="00C87AD7">
      <w:pPr>
        <w:spacing w:after="0" w:line="240" w:lineRule="auto"/>
        <w:jc w:val="both"/>
        <w:rPr>
          <w:rFonts w:ascii="Times New Roman" w:hAnsi="Times New Roman"/>
          <w:sz w:val="20"/>
          <w:szCs w:val="20"/>
          <w:lang w:val="en-GB"/>
        </w:rPr>
      </w:pPr>
    </w:p>
    <w:p w:rsidR="00590FFF" w:rsidRDefault="00590FFF" w:rsidP="00C87AD7">
      <w:pPr>
        <w:spacing w:after="0" w:line="240" w:lineRule="auto"/>
        <w:jc w:val="both"/>
        <w:rPr>
          <w:rFonts w:ascii="Times New Roman" w:hAnsi="Times New Roman"/>
          <w:sz w:val="20"/>
          <w:szCs w:val="20"/>
          <w:lang w:val="en-GB"/>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67E4C" w:rsidRPr="00D67E4C" w:rsidRDefault="00D67E4C" w:rsidP="00D67E4C">
      <w:pPr>
        <w:spacing w:after="0" w:line="240" w:lineRule="auto"/>
        <w:jc w:val="both"/>
        <w:outlineLvl w:val="0"/>
        <w:rPr>
          <w:rFonts w:ascii="Times New Roman" w:hAnsi="Times New Roman"/>
          <w:sz w:val="20"/>
          <w:szCs w:val="20"/>
          <w:lang w:val="en-GB"/>
        </w:rPr>
      </w:pPr>
      <w:r w:rsidRPr="00D67E4C">
        <w:rPr>
          <w:rFonts w:ascii="Times New Roman" w:hAnsi="Times New Roman"/>
          <w:sz w:val="20"/>
          <w:szCs w:val="20"/>
          <w:lang w:val="en-GB"/>
        </w:rPr>
        <w:t xml:space="preserve">From this experiment, we investigate the potential of CSP and CSAC composites as EMI absorbing material in term of carbon composition, surface morphology and dielectric properties. Both CSP and CSAC composites show desirable potential to be used as EMI absorbing material, in term of carbon as dominant element, mesopores porosity and thermal conductivity. From the result, CSAC composite possess better carbon composition, surface morphology and thermal conductivity compared to CSP composite. </w:t>
      </w:r>
    </w:p>
    <w:p w:rsidR="006768E9" w:rsidRDefault="006768E9" w:rsidP="003B4EC7">
      <w:pPr>
        <w:spacing w:after="0" w:line="240" w:lineRule="auto"/>
        <w:jc w:val="center"/>
        <w:rPr>
          <w:rFonts w:ascii="Times New Roman" w:hAnsi="Times New Roman"/>
          <w:noProof/>
          <w:sz w:val="20"/>
          <w:szCs w:val="20"/>
          <w:lang w:bidi="ar-SA"/>
        </w:rPr>
      </w:pPr>
    </w:p>
    <w:p w:rsidR="003B4EC7" w:rsidRDefault="003B4EC7" w:rsidP="003B4EC7">
      <w:pPr>
        <w:spacing w:after="0" w:line="240" w:lineRule="auto"/>
        <w:jc w:val="center"/>
        <w:rPr>
          <w:rFonts w:ascii="Times New Roman" w:hAnsi="Times New Roman"/>
          <w:noProof/>
          <w:sz w:val="20"/>
          <w:szCs w:val="20"/>
          <w:lang w:bidi="ar-SA"/>
        </w:rPr>
      </w:pPr>
    </w:p>
    <w:p w:rsidR="003B4EC7" w:rsidRPr="00D67E4C" w:rsidRDefault="003B4EC7" w:rsidP="003B4EC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D67E4C" w:rsidRDefault="00D67E4C" w:rsidP="00D67E4C">
      <w:pPr>
        <w:spacing w:after="0" w:line="240" w:lineRule="auto"/>
        <w:jc w:val="both"/>
        <w:outlineLvl w:val="0"/>
        <w:rPr>
          <w:rFonts w:ascii="Times New Roman" w:hAnsi="Times New Roman"/>
          <w:sz w:val="20"/>
          <w:szCs w:val="20"/>
          <w:lang w:val="en-GB"/>
        </w:rPr>
      </w:pPr>
      <w:r w:rsidRPr="00D67E4C">
        <w:rPr>
          <w:rFonts w:ascii="Times New Roman" w:hAnsi="Times New Roman"/>
          <w:sz w:val="20"/>
          <w:szCs w:val="20"/>
          <w:lang w:val="en-GB"/>
        </w:rPr>
        <w:t>The authors would like to thank to UniSZA for supporting this research and MOHE for providing research grant (RAGS/1/2014/TK06/UNISZA//1), UniMAP for providing the facilities for measurement pu</w:t>
      </w:r>
      <w:r w:rsidR="00235833">
        <w:rPr>
          <w:rFonts w:ascii="Times New Roman" w:hAnsi="Times New Roman"/>
          <w:sz w:val="20"/>
          <w:szCs w:val="20"/>
          <w:lang w:val="en-GB"/>
        </w:rPr>
        <w:t>rpose, by means of Agilent E8362B</w:t>
      </w:r>
      <w:r w:rsidRPr="00D67E4C">
        <w:rPr>
          <w:rFonts w:ascii="Times New Roman" w:hAnsi="Times New Roman"/>
          <w:sz w:val="20"/>
          <w:szCs w:val="20"/>
          <w:lang w:val="en-GB"/>
        </w:rPr>
        <w:t xml:space="preserve"> P-series Network Analyser and TM3000 Scanning Electron Microscope and Universiti Malaya for providing the CHNS Elemental Analyser for measurement purpose.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Salleh M. K. M., Yahya M., Awang Z., Muhamad W. N. W., Mozi A.M. and Yaacob N. (2011). Single layer coconut shell – based microwave absorber.  </w:t>
      </w:r>
      <w:r w:rsidRPr="00D67E4C">
        <w:rPr>
          <w:rFonts w:ascii="Times New Roman" w:hAnsi="Times New Roman"/>
          <w:i/>
          <w:sz w:val="20"/>
          <w:szCs w:val="20"/>
          <w:lang w:val="en-GB"/>
        </w:rPr>
        <w:t xml:space="preserve">IEEE TENCON: </w:t>
      </w:r>
      <w:r w:rsidRPr="00D67E4C">
        <w:rPr>
          <w:rFonts w:ascii="Times New Roman" w:hAnsi="Times New Roman"/>
          <w:sz w:val="20"/>
          <w:szCs w:val="20"/>
          <w:lang w:val="en-GB"/>
        </w:rPr>
        <w:t>pp 1110 – 1113.</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Sivakumar, K. and Mohan, N. K. (2010). Performance analysis of downdraft gasifier for agriwaste biomass materials. </w:t>
      </w:r>
      <w:r w:rsidRPr="00D67E4C">
        <w:rPr>
          <w:rFonts w:ascii="Times New Roman" w:hAnsi="Times New Roman"/>
          <w:i/>
          <w:sz w:val="20"/>
          <w:szCs w:val="20"/>
          <w:lang w:val="en-GB"/>
        </w:rPr>
        <w:t>Indian Journal of Science and Technology</w:t>
      </w:r>
      <w:r w:rsidRPr="00D67E4C">
        <w:rPr>
          <w:rFonts w:ascii="Times New Roman" w:hAnsi="Times New Roman"/>
          <w:sz w:val="20"/>
          <w:szCs w:val="20"/>
          <w:lang w:val="en-GB"/>
        </w:rPr>
        <w:t>, 3: 58 – 60.</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Daud, W. M. A. W. and Ali, W. S. W. (2004). Comparison on pore development of activated carbon produced from palm shell and coconut shell. </w:t>
      </w:r>
      <w:r w:rsidRPr="00D67E4C">
        <w:rPr>
          <w:rFonts w:ascii="Times New Roman" w:hAnsi="Times New Roman"/>
          <w:i/>
          <w:sz w:val="20"/>
          <w:szCs w:val="20"/>
          <w:lang w:val="en-GB"/>
        </w:rPr>
        <w:t>Bioresource Technology</w:t>
      </w:r>
      <w:r w:rsidRPr="00D67E4C">
        <w:rPr>
          <w:rFonts w:ascii="Times New Roman" w:hAnsi="Times New Roman"/>
          <w:sz w:val="20"/>
          <w:szCs w:val="20"/>
          <w:lang w:val="en-GB"/>
        </w:rPr>
        <w:t>, 93: 63 – 69.</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Cobb, A., Warms, M., Maurer, E. P.  and Chiesa, S. (2012). Low-tech coconut shell activated charcoal production. </w:t>
      </w:r>
      <w:r w:rsidRPr="00D67E4C">
        <w:rPr>
          <w:rFonts w:ascii="Times New Roman" w:hAnsi="Times New Roman"/>
          <w:i/>
          <w:sz w:val="20"/>
          <w:szCs w:val="20"/>
          <w:lang w:val="en-GB"/>
        </w:rPr>
        <w:t xml:space="preserve">International Journal for Service Learning in Engineering, </w:t>
      </w:r>
      <w:r w:rsidRPr="00D67E4C">
        <w:rPr>
          <w:rFonts w:ascii="Times New Roman" w:hAnsi="Times New Roman"/>
          <w:sz w:val="20"/>
          <w:szCs w:val="20"/>
          <w:lang w:val="en-GB"/>
        </w:rPr>
        <w:t>7: 93 –104.</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Chandra, T. C., Mirna, M. M., Sunarso, J., Sudaryanto, Y. and Ismadji, S. (2009). Activated carbon from durian shell: preparation and characterization. </w:t>
      </w:r>
      <w:r w:rsidRPr="00D67E4C">
        <w:rPr>
          <w:rFonts w:ascii="Times New Roman" w:hAnsi="Times New Roman"/>
          <w:i/>
          <w:sz w:val="20"/>
          <w:szCs w:val="20"/>
          <w:lang w:val="en-GB"/>
        </w:rPr>
        <w:t>Journal of Taiwan Institute Chemical Engineering.</w:t>
      </w:r>
      <w:r w:rsidRPr="00D67E4C">
        <w:rPr>
          <w:rFonts w:ascii="Times New Roman" w:hAnsi="Times New Roman"/>
          <w:sz w:val="20"/>
          <w:szCs w:val="20"/>
          <w:lang w:val="en-GB"/>
        </w:rPr>
        <w:t xml:space="preserve"> 40: 457 – 462.</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Tay, T., Ucar, S. and Karagoz, S. (2009). Preparation and characterization of activated carbon from waste biomass. </w:t>
      </w:r>
      <w:r w:rsidRPr="00D67E4C">
        <w:rPr>
          <w:rFonts w:ascii="Times New Roman" w:hAnsi="Times New Roman"/>
          <w:i/>
          <w:sz w:val="20"/>
          <w:szCs w:val="20"/>
          <w:lang w:val="en-GB"/>
        </w:rPr>
        <w:t xml:space="preserve">Journal of Hazardous Materials, </w:t>
      </w:r>
      <w:r w:rsidRPr="00D67E4C">
        <w:rPr>
          <w:rFonts w:ascii="Times New Roman" w:hAnsi="Times New Roman"/>
          <w:sz w:val="20"/>
          <w:szCs w:val="20"/>
          <w:lang w:val="en-GB"/>
        </w:rPr>
        <w:t>165: 481 – 485.</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Cresswell, G., (2011). Coir dust a proven alternative to peat. </w:t>
      </w:r>
      <w:r w:rsidRPr="00D67E4C">
        <w:rPr>
          <w:rFonts w:ascii="Times New Roman" w:hAnsi="Times New Roman"/>
          <w:i/>
          <w:sz w:val="20"/>
          <w:szCs w:val="20"/>
          <w:lang w:val="en-GB"/>
        </w:rPr>
        <w:t xml:space="preserve">Cresswell Horticulrutal Services (Report): </w:t>
      </w:r>
      <w:r w:rsidRPr="00D67E4C">
        <w:rPr>
          <w:rFonts w:ascii="Times New Roman" w:hAnsi="Times New Roman"/>
          <w:sz w:val="20"/>
          <w:szCs w:val="20"/>
          <w:lang w:val="en-GB"/>
        </w:rPr>
        <w:t>1 – 13.</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Yusof, A. A. (2004). Thesis The development of microwave absorber from oil palm shell carbon.</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Yusof, A. A., Ali, W. K. W., Rahman, T. A. and Ani F. N. (2005). Microwave and reflection properties of palm shell carbon-polyester conductive composite absorber. </w:t>
      </w:r>
      <w:r w:rsidRPr="00D67E4C">
        <w:rPr>
          <w:rFonts w:ascii="Times New Roman" w:hAnsi="Times New Roman"/>
          <w:i/>
          <w:sz w:val="20"/>
          <w:szCs w:val="20"/>
          <w:lang w:val="en-GB"/>
        </w:rPr>
        <w:t>Jurnal Teknologi</w:t>
      </w:r>
      <w:r w:rsidRPr="00D67E4C">
        <w:rPr>
          <w:rFonts w:ascii="Times New Roman" w:hAnsi="Times New Roman"/>
          <w:sz w:val="20"/>
          <w:szCs w:val="20"/>
          <w:lang w:val="en-GB"/>
        </w:rPr>
        <w:t>, 42: 59 – 74.</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Zahid, L., Malek, M. F. B. A., Nornikman, H., Mohd Affendi, N. A., Ali, A., Hussin, N., Ahmad B. H. and Abdul Aziz, M. Z. A. (2013). Development of pyramidal microwave absorber using sugar cane bagasse (SCB). </w:t>
      </w:r>
      <w:r w:rsidRPr="00D67E4C">
        <w:rPr>
          <w:rFonts w:ascii="Times New Roman" w:hAnsi="Times New Roman"/>
          <w:i/>
          <w:sz w:val="20"/>
          <w:szCs w:val="20"/>
          <w:lang w:val="en-GB"/>
        </w:rPr>
        <w:t>Progress in Electromagnetics Research</w:t>
      </w:r>
      <w:r w:rsidRPr="00D67E4C">
        <w:rPr>
          <w:rFonts w:ascii="Times New Roman" w:hAnsi="Times New Roman"/>
          <w:sz w:val="20"/>
          <w:szCs w:val="20"/>
          <w:lang w:val="en-GB"/>
        </w:rPr>
        <w:t>, 137: 687 – 702.</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Menéndez, J. A., Arenillas, A., Fidalgo, B., Fernández, Y., Zubizarreta, L., Calvo, E. G. and Bermúdez, J. M. (2010). Microwave heating processes involving carbon materials. </w:t>
      </w:r>
      <w:r w:rsidRPr="00D67E4C">
        <w:rPr>
          <w:rFonts w:ascii="Times New Roman" w:hAnsi="Times New Roman"/>
          <w:i/>
          <w:sz w:val="20"/>
          <w:szCs w:val="20"/>
          <w:lang w:val="en-GB"/>
        </w:rPr>
        <w:t>Fuel Processing Technology</w:t>
      </w:r>
      <w:r w:rsidRPr="00D67E4C">
        <w:rPr>
          <w:rFonts w:ascii="Times New Roman" w:hAnsi="Times New Roman"/>
          <w:sz w:val="20"/>
          <w:szCs w:val="20"/>
          <w:lang w:val="en-GB"/>
        </w:rPr>
        <w:t>, 91: 1 – 8.</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Style w:val="Hyperlink"/>
          <w:rFonts w:ascii="Times New Roman" w:hAnsi="Times New Roman"/>
          <w:color w:val="auto"/>
          <w:sz w:val="20"/>
          <w:szCs w:val="20"/>
          <w:lang w:val="en-GB"/>
        </w:rPr>
      </w:pPr>
      <w:r w:rsidRPr="00D67E4C">
        <w:rPr>
          <w:rFonts w:ascii="Times New Roman" w:hAnsi="Times New Roman"/>
          <w:sz w:val="20"/>
          <w:szCs w:val="20"/>
          <w:lang w:val="en-GB"/>
        </w:rPr>
        <w:t>Information from Biofuels Research Infrastructure for Sharing Knowledge (BRISK), Database for biomass and waste, Retrived from https://www.ecn.nl/phyllis2/</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Achaw, O-W. and Afrane, G. (2008). The evolution of pore structure of coconut shells during the preparation of cocnut shell-based activated carbons. </w:t>
      </w:r>
      <w:r w:rsidRPr="00D67E4C">
        <w:rPr>
          <w:rFonts w:ascii="Times New Roman" w:hAnsi="Times New Roman"/>
          <w:i/>
          <w:sz w:val="20"/>
          <w:szCs w:val="20"/>
          <w:lang w:val="en-GB"/>
        </w:rPr>
        <w:t xml:space="preserve">Microporous and Mesoporous Materials, </w:t>
      </w:r>
      <w:r w:rsidRPr="00D67E4C">
        <w:rPr>
          <w:rFonts w:ascii="Times New Roman" w:hAnsi="Times New Roman"/>
          <w:sz w:val="20"/>
          <w:szCs w:val="20"/>
          <w:lang w:val="en-GB"/>
        </w:rPr>
        <w:t>112: 284 – 290.</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Mfanacho, S. M., Hemang, P. and Manocha, L. M. (2010). Enhancement of microporosity through physical activation. </w:t>
      </w:r>
      <w:r w:rsidRPr="00D67E4C">
        <w:rPr>
          <w:rFonts w:ascii="Times New Roman" w:hAnsi="Times New Roman"/>
          <w:i/>
          <w:sz w:val="20"/>
          <w:szCs w:val="20"/>
          <w:lang w:val="en-GB"/>
        </w:rPr>
        <w:t>PRAJÑĀ -</w:t>
      </w:r>
      <w:r w:rsidRPr="00D67E4C">
        <w:rPr>
          <w:rFonts w:ascii="Times New Roman" w:hAnsi="Times New Roman"/>
          <w:sz w:val="20"/>
          <w:szCs w:val="20"/>
          <w:lang w:val="en-GB"/>
        </w:rPr>
        <w:t xml:space="preserve"> </w:t>
      </w:r>
      <w:r w:rsidRPr="00D67E4C">
        <w:rPr>
          <w:rFonts w:ascii="Times New Roman" w:hAnsi="Times New Roman"/>
          <w:i/>
          <w:sz w:val="20"/>
          <w:szCs w:val="20"/>
          <w:lang w:val="en-GB"/>
        </w:rPr>
        <w:t>Journal of Pure and Applied Sciences</w:t>
      </w:r>
      <w:r w:rsidRPr="00D67E4C">
        <w:rPr>
          <w:rFonts w:ascii="Times New Roman" w:hAnsi="Times New Roman"/>
          <w:sz w:val="20"/>
          <w:szCs w:val="20"/>
          <w:lang w:val="en-GB"/>
        </w:rPr>
        <w:t>, 18: 106 – 109.</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Saini, P., Arora, M. and Ailton, D.S.G. (2012). Microwave absorption and EMI shielding behaviour of nanocomposites based on intrinsically conducting polymers, graphene and carbon nanotubes. In Chapter 3. Crotia: InTech Publishing: pp 1 – 42.</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Li, S., Chen, S., Anwar, S., Lu, W., Lai, Y., Chen, H., Hou, B., Ren, B, F. and Gu, B. (2012). Applying Effective Medium Theory in Characterizing Dielectric Constant of Solids. </w:t>
      </w:r>
      <w:r w:rsidRPr="00D67E4C">
        <w:rPr>
          <w:rFonts w:ascii="Times New Roman" w:hAnsi="Times New Roman"/>
          <w:i/>
          <w:sz w:val="20"/>
          <w:szCs w:val="20"/>
          <w:lang w:val="en-GB"/>
        </w:rPr>
        <w:t>Progress in Electromagnetics Research</w:t>
      </w:r>
      <w:r w:rsidRPr="00D67E4C">
        <w:rPr>
          <w:rFonts w:ascii="Times New Roman" w:hAnsi="Times New Roman"/>
          <w:sz w:val="20"/>
          <w:szCs w:val="20"/>
          <w:lang w:val="en-GB"/>
        </w:rPr>
        <w:t>. 35: 145 –153.</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Micheli, D., Apollo, C., Pastore, R., Morles, R.B., Marchetti, M., Gradoni, G. edited by Reddy, B. (2011). Electromagnetic characterization of composite materials and microwave absorbing modelling in Chapter 16. InTech Publishing: pp 359 – 384.</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Thompson, M. (2008). CHNS Elemental Analysers (Analytical Methods Committee). Royal Chemical Society: pp 1 – 2.</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Meena, P. L., Saxena, R. and Sharma, N. (2014). A rapid analytical method using flow injection preconcentration of zinc on dithizone impregnated on amberlite XAD-2 and its determination in water samples by FAAS. </w:t>
      </w:r>
      <w:r w:rsidRPr="00D67E4C">
        <w:rPr>
          <w:rFonts w:ascii="Times New Roman" w:hAnsi="Times New Roman"/>
          <w:i/>
          <w:sz w:val="20"/>
          <w:szCs w:val="20"/>
          <w:lang w:val="en-GB"/>
        </w:rPr>
        <w:t xml:space="preserve">International Journal of Agriculture and Food Science Technology, </w:t>
      </w:r>
      <w:r w:rsidRPr="00D67E4C">
        <w:rPr>
          <w:rFonts w:ascii="Times New Roman" w:hAnsi="Times New Roman"/>
          <w:sz w:val="20"/>
          <w:szCs w:val="20"/>
          <w:lang w:val="en-GB"/>
        </w:rPr>
        <w:t>5: 287 – 296.</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Koboski, K. R., Nelsen, E. F. and Hampton, J. R. (2013). Hydrogen evolution reaction measurements of dealloyed porous NiCu. </w:t>
      </w:r>
      <w:r w:rsidRPr="00D67E4C">
        <w:rPr>
          <w:rFonts w:ascii="Times New Roman" w:hAnsi="Times New Roman"/>
          <w:i/>
          <w:sz w:val="20"/>
          <w:szCs w:val="20"/>
          <w:lang w:val="en-GB"/>
        </w:rPr>
        <w:t>Nanoscale Research Letters</w:t>
      </w:r>
      <w:r w:rsidRPr="00D67E4C">
        <w:rPr>
          <w:rFonts w:ascii="Times New Roman" w:hAnsi="Times New Roman"/>
          <w:sz w:val="20"/>
          <w:szCs w:val="20"/>
          <w:lang w:val="en-GB"/>
        </w:rPr>
        <w:t>, 8: 528 – 535.</w:t>
      </w:r>
    </w:p>
    <w:p w:rsid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Hoon, W. F., Jack, S. P., Malek, M. F. A. and Hasssan, N. (2012). Alternatives for pcb laminates: dielectric properties' measurements at microwave frequencies in Chapeter 5. InTech Publishing.</w:t>
      </w:r>
    </w:p>
    <w:p w:rsidR="007C613F" w:rsidRPr="007C613F" w:rsidRDefault="007C613F" w:rsidP="007C613F">
      <w:pPr>
        <w:widowControl w:val="0"/>
        <w:autoSpaceDE w:val="0"/>
        <w:autoSpaceDN w:val="0"/>
        <w:spacing w:after="0" w:line="240" w:lineRule="auto"/>
        <w:jc w:val="both"/>
        <w:outlineLvl w:val="0"/>
        <w:rPr>
          <w:rFonts w:ascii="Times New Roman" w:hAnsi="Times New Roman"/>
          <w:sz w:val="20"/>
          <w:szCs w:val="20"/>
          <w:lang w:val="en-GB"/>
        </w:rPr>
      </w:pPr>
      <w:bookmarkStart w:id="0" w:name="_GoBack"/>
      <w:bookmarkEnd w:id="0"/>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lastRenderedPageBreak/>
        <w:t xml:space="preserve">Chakma, S., Vaishya, R. C. and Yadav, A. K. (2015). Modeling chemical compositions of municipal solid waste. </w:t>
      </w:r>
      <w:r w:rsidRPr="00D67E4C">
        <w:rPr>
          <w:rFonts w:ascii="Times New Roman" w:hAnsi="Times New Roman"/>
          <w:i/>
          <w:sz w:val="20"/>
          <w:szCs w:val="20"/>
          <w:lang w:val="en-GB"/>
        </w:rPr>
        <w:t>Environmental Geotechnics (Article in Press)</w:t>
      </w:r>
      <w:r w:rsidRPr="00D67E4C">
        <w:rPr>
          <w:rFonts w:ascii="Times New Roman" w:hAnsi="Times New Roman"/>
          <w:sz w:val="20"/>
          <w:szCs w:val="20"/>
          <w:lang w:val="en-GB"/>
        </w:rPr>
        <w:t xml:space="preserve">: September 11, 2015 </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Cazetta, A. L., Vargas, A. M. M., Nogami, E. M., Kunita, M. H., Guiherme, M. R., Martins, A. C., Silva, T. L., Moraes, J. C. G. and Almeid, V. C. (2011). NaOH activated carbon of high surface area produced from coconut shell: kinetics and equilibrium studies from the methylene blue adsorption. </w:t>
      </w:r>
      <w:r w:rsidRPr="00D67E4C">
        <w:rPr>
          <w:rFonts w:ascii="Times New Roman" w:hAnsi="Times New Roman"/>
          <w:i/>
          <w:sz w:val="20"/>
          <w:szCs w:val="20"/>
          <w:lang w:val="en-GB"/>
        </w:rPr>
        <w:t>Chemical Engineering Journal</w:t>
      </w:r>
      <w:r w:rsidRPr="00D67E4C">
        <w:rPr>
          <w:rFonts w:ascii="Times New Roman" w:hAnsi="Times New Roman"/>
          <w:sz w:val="20"/>
          <w:szCs w:val="20"/>
          <w:lang w:val="en-GB"/>
        </w:rPr>
        <w:t>, 174: 117 – 125.</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Demiral, H., Demiral, I., Karabacakoglu, B. and Tumsek. F. (2011). Production of activated carbon from olive bagasse by physical activation. </w:t>
      </w:r>
      <w:r w:rsidRPr="00D67E4C">
        <w:rPr>
          <w:rFonts w:ascii="Times New Roman" w:hAnsi="Times New Roman"/>
          <w:i/>
          <w:sz w:val="20"/>
          <w:szCs w:val="20"/>
          <w:lang w:val="en-GB"/>
        </w:rPr>
        <w:t>Chemical Engineering Research and Design</w:t>
      </w:r>
      <w:r w:rsidRPr="00D67E4C">
        <w:rPr>
          <w:rFonts w:ascii="Times New Roman" w:hAnsi="Times New Roman"/>
          <w:sz w:val="20"/>
          <w:szCs w:val="20"/>
          <w:lang w:val="en-GB"/>
        </w:rPr>
        <w:t>, 89: 206 – 213.</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Nasria, N. S., Jibrila, M., Zaini, M .A. A., Mohsin, R. Daduma, H. U. and Musa, A. M. (2014). Synthesis and characterization of green porous carbons with large surface area by two step chemical activation with KOH. </w:t>
      </w:r>
      <w:r w:rsidRPr="00D67E4C">
        <w:rPr>
          <w:rFonts w:ascii="Times New Roman" w:hAnsi="Times New Roman"/>
          <w:i/>
          <w:sz w:val="20"/>
          <w:szCs w:val="20"/>
          <w:lang w:val="en-GB"/>
        </w:rPr>
        <w:t>Jurnal Teknologi</w:t>
      </w:r>
      <w:r w:rsidRPr="00D67E4C">
        <w:rPr>
          <w:rFonts w:ascii="Times New Roman" w:hAnsi="Times New Roman"/>
          <w:sz w:val="20"/>
          <w:szCs w:val="20"/>
          <w:lang w:val="en-GB"/>
        </w:rPr>
        <w:t>. 67(4): 25 – 28.</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Bhatnagar, A., Hogland, W., Marques, M. and Sillanpaa, M. (2013). An overview of the modification methods of activated carbon for its water treatment applications. </w:t>
      </w:r>
      <w:r w:rsidRPr="00D67E4C">
        <w:rPr>
          <w:rFonts w:ascii="Times New Roman" w:hAnsi="Times New Roman"/>
          <w:i/>
          <w:sz w:val="20"/>
          <w:szCs w:val="20"/>
          <w:lang w:val="en-GB"/>
        </w:rPr>
        <w:t>Chemical Engineering Journal</w:t>
      </w:r>
      <w:r w:rsidRPr="00D67E4C">
        <w:rPr>
          <w:rFonts w:ascii="Times New Roman" w:hAnsi="Times New Roman"/>
          <w:sz w:val="20"/>
          <w:szCs w:val="20"/>
          <w:lang w:val="en-GB"/>
        </w:rPr>
        <w:t>, 219: 499 – 511.</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Iqbaldin, M. M., Khudzir, I., Azlan, M. M., Zaidi, A. G., Surani, B. and Zubri, Z. (2013). Properties of coconut shell activated carbon. </w:t>
      </w:r>
      <w:r w:rsidRPr="00D67E4C">
        <w:rPr>
          <w:rFonts w:ascii="Times New Roman" w:hAnsi="Times New Roman"/>
          <w:i/>
          <w:sz w:val="20"/>
          <w:szCs w:val="20"/>
          <w:lang w:val="en-GB"/>
        </w:rPr>
        <w:t>Journal of Tropical Forest Science</w:t>
      </w:r>
      <w:r w:rsidRPr="00D67E4C">
        <w:rPr>
          <w:rFonts w:ascii="Times New Roman" w:hAnsi="Times New Roman"/>
          <w:sz w:val="20"/>
          <w:szCs w:val="20"/>
          <w:lang w:val="en-GB"/>
        </w:rPr>
        <w:t xml:space="preserve">, 25: 497 – 503. </w:t>
      </w:r>
    </w:p>
    <w:p w:rsidR="00D67E4C" w:rsidRPr="00D67E4C" w:rsidRDefault="00D67E4C" w:rsidP="00D67E4C">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Atwater, J. E. and Jr. R.R. Wheeler. (2004). Microwave permittivity and dielectric relaxation of a high surface area activated carbon</w:t>
      </w:r>
      <w:r w:rsidRPr="00D67E4C">
        <w:rPr>
          <w:rFonts w:ascii="Times New Roman" w:hAnsi="Times New Roman"/>
          <w:i/>
          <w:sz w:val="20"/>
          <w:szCs w:val="20"/>
          <w:lang w:val="en-GB"/>
        </w:rPr>
        <w:t xml:space="preserve">. IEEE Electrical Insulation Magazine, </w:t>
      </w:r>
      <w:r w:rsidRPr="00D67E4C">
        <w:rPr>
          <w:rFonts w:ascii="Times New Roman" w:hAnsi="Times New Roman"/>
          <w:sz w:val="20"/>
          <w:szCs w:val="20"/>
          <w:lang w:val="en-GB"/>
        </w:rPr>
        <w:t>17(2): 66 – 66.</w:t>
      </w:r>
    </w:p>
    <w:p w:rsidR="00A74A7E" w:rsidRPr="00D67E4C" w:rsidRDefault="00A74A7E" w:rsidP="00D67E4C">
      <w:pPr>
        <w:spacing w:after="0" w:line="240" w:lineRule="auto"/>
        <w:ind w:left="360" w:hanging="360"/>
        <w:jc w:val="both"/>
        <w:rPr>
          <w:rFonts w:ascii="Times New Roman" w:hAnsi="Times New Roman"/>
          <w:noProof/>
          <w:sz w:val="20"/>
          <w:szCs w:val="20"/>
          <w:lang w:bidi="ar-SA"/>
        </w:rPr>
      </w:pPr>
    </w:p>
    <w:sectPr w:rsidR="00A74A7E" w:rsidRPr="00D67E4C" w:rsidSect="00D67E4C">
      <w:headerReference w:type="even" r:id="rId26"/>
      <w:headerReference w:type="default" r:id="rId27"/>
      <w:footerReference w:type="even" r:id="rId28"/>
      <w:footerReference w:type="default" r:id="rId29"/>
      <w:pgSz w:w="12240" w:h="15840" w:code="1"/>
      <w:pgMar w:top="1800" w:right="1469" w:bottom="1699" w:left="1440" w:header="706" w:footer="706" w:gutter="0"/>
      <w:pgNumType w:start="4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853A4">
          <w:rPr>
            <w:rFonts w:ascii="Times New Roman" w:hAnsi="Times New Roman"/>
            <w:noProof/>
          </w:rPr>
          <w:t>450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853A4">
          <w:rPr>
            <w:rFonts w:ascii="Times New Roman" w:hAnsi="Times New Roman"/>
            <w:noProof/>
          </w:rPr>
          <w:t>451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0E5AF1">
      <w:rPr>
        <w:rFonts w:ascii="Times New Roman" w:hAnsi="Times New Roman"/>
        <w:i/>
        <w:lang w:val="en-US"/>
      </w:rPr>
      <w:t>No 2</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D67E4C">
      <w:rPr>
        <w:rFonts w:ascii="Times New Roman" w:hAnsi="Times New Roman"/>
        <w:i/>
        <w:lang w:val="en-US"/>
      </w:rPr>
      <w:t>444 - 451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C87AD7" w:rsidRDefault="00C87AD7" w:rsidP="00C87AD7">
    <w:pPr>
      <w:spacing w:after="0" w:line="240" w:lineRule="auto"/>
      <w:ind w:left="1800" w:hanging="1800"/>
      <w:outlineLvl w:val="0"/>
      <w:rPr>
        <w:rFonts w:ascii="Times New Roman" w:hAnsi="Times New Roman"/>
        <w:sz w:val="20"/>
        <w:szCs w:val="20"/>
        <w:lang w:val="en-GB"/>
      </w:rPr>
    </w:pPr>
    <w:r>
      <w:rPr>
        <w:rFonts w:ascii="Times New Roman" w:hAnsi="Times New Roman"/>
        <w:sz w:val="20"/>
        <w:szCs w:val="20"/>
      </w:rPr>
      <w:t>Siti Nurbazilah et al</w:t>
    </w:r>
    <w:r w:rsidR="008E6968" w:rsidRPr="00C87AD7">
      <w:rPr>
        <w:rFonts w:ascii="Times New Roman" w:hAnsi="Times New Roman"/>
        <w:sz w:val="20"/>
        <w:szCs w:val="20"/>
      </w:rPr>
      <w:t xml:space="preserve">:  </w:t>
    </w:r>
    <w:r>
      <w:rPr>
        <w:rFonts w:ascii="Times New Roman" w:hAnsi="Times New Roman"/>
        <w:sz w:val="20"/>
        <w:szCs w:val="20"/>
      </w:rPr>
      <w:tab/>
    </w:r>
    <w:r w:rsidRPr="00C87AD7">
      <w:rPr>
        <w:rFonts w:ascii="Times New Roman" w:hAnsi="Times New Roman"/>
        <w:sz w:val="20"/>
        <w:szCs w:val="20"/>
        <w:lang w:val="en-GB"/>
      </w:rPr>
      <w:t>THE P</w:t>
    </w:r>
    <w:r w:rsidR="00EF17FC">
      <w:rPr>
        <w:rFonts w:ascii="Times New Roman" w:hAnsi="Times New Roman"/>
        <w:sz w:val="20"/>
        <w:szCs w:val="20"/>
        <w:lang w:val="en-GB"/>
      </w:rPr>
      <w:t>OTENTIAL OF COCONUT SHELL POWDER</w:t>
    </w:r>
    <w:r w:rsidR="00235833">
      <w:rPr>
        <w:rFonts w:ascii="Times New Roman" w:hAnsi="Times New Roman"/>
        <w:sz w:val="20"/>
        <w:szCs w:val="20"/>
        <w:lang w:val="en-GB"/>
      </w:rPr>
      <w:t xml:space="preserve"> (CS</w:t>
    </w:r>
    <w:r w:rsidR="00EF17FC">
      <w:rPr>
        <w:rFonts w:ascii="Times New Roman" w:hAnsi="Times New Roman"/>
        <w:sz w:val="20"/>
        <w:szCs w:val="20"/>
        <w:lang w:val="en-GB"/>
      </w:rPr>
      <w:t>P</w:t>
    </w:r>
    <w:r w:rsidRPr="00C87AD7">
      <w:rPr>
        <w:rFonts w:ascii="Times New Roman" w:hAnsi="Times New Roman"/>
        <w:sz w:val="20"/>
        <w:szCs w:val="20"/>
        <w:lang w:val="en-GB"/>
      </w:rPr>
      <w:t>) AND COCONUT SHELL ACTIVATED CARBON (CSAC) COMPOSITES AS ELECTROMAGNETIC INTERFERENCE (EMI) ABSORBING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0C3"/>
    <w:multiLevelType w:val="hybridMultilevel"/>
    <w:tmpl w:val="E612F8E6"/>
    <w:lvl w:ilvl="0" w:tplc="34ACF59C">
      <w:start w:val="1"/>
      <w:numFmt w:val="lowerLetter"/>
      <w:lvlText w:val="(%1)"/>
      <w:lvlJc w:val="left"/>
      <w:pPr>
        <w:ind w:left="3192" w:hanging="360"/>
      </w:pPr>
      <w:rPr>
        <w:rFonts w:hint="default"/>
      </w:rPr>
    </w:lvl>
    <w:lvl w:ilvl="1" w:tplc="043E0019" w:tentative="1">
      <w:start w:val="1"/>
      <w:numFmt w:val="lowerLetter"/>
      <w:lvlText w:val="%2."/>
      <w:lvlJc w:val="left"/>
      <w:pPr>
        <w:ind w:left="3912" w:hanging="360"/>
      </w:pPr>
    </w:lvl>
    <w:lvl w:ilvl="2" w:tplc="043E001B" w:tentative="1">
      <w:start w:val="1"/>
      <w:numFmt w:val="lowerRoman"/>
      <w:lvlText w:val="%3."/>
      <w:lvlJc w:val="right"/>
      <w:pPr>
        <w:ind w:left="4632" w:hanging="180"/>
      </w:pPr>
    </w:lvl>
    <w:lvl w:ilvl="3" w:tplc="043E000F" w:tentative="1">
      <w:start w:val="1"/>
      <w:numFmt w:val="decimal"/>
      <w:lvlText w:val="%4."/>
      <w:lvlJc w:val="left"/>
      <w:pPr>
        <w:ind w:left="5352" w:hanging="360"/>
      </w:pPr>
    </w:lvl>
    <w:lvl w:ilvl="4" w:tplc="043E0019" w:tentative="1">
      <w:start w:val="1"/>
      <w:numFmt w:val="lowerLetter"/>
      <w:lvlText w:val="%5."/>
      <w:lvlJc w:val="left"/>
      <w:pPr>
        <w:ind w:left="6072" w:hanging="360"/>
      </w:pPr>
    </w:lvl>
    <w:lvl w:ilvl="5" w:tplc="043E001B" w:tentative="1">
      <w:start w:val="1"/>
      <w:numFmt w:val="lowerRoman"/>
      <w:lvlText w:val="%6."/>
      <w:lvlJc w:val="right"/>
      <w:pPr>
        <w:ind w:left="6792" w:hanging="180"/>
      </w:pPr>
    </w:lvl>
    <w:lvl w:ilvl="6" w:tplc="043E000F" w:tentative="1">
      <w:start w:val="1"/>
      <w:numFmt w:val="decimal"/>
      <w:lvlText w:val="%7."/>
      <w:lvlJc w:val="left"/>
      <w:pPr>
        <w:ind w:left="7512" w:hanging="360"/>
      </w:pPr>
    </w:lvl>
    <w:lvl w:ilvl="7" w:tplc="043E0019" w:tentative="1">
      <w:start w:val="1"/>
      <w:numFmt w:val="lowerLetter"/>
      <w:lvlText w:val="%8."/>
      <w:lvlJc w:val="left"/>
      <w:pPr>
        <w:ind w:left="8232" w:hanging="360"/>
      </w:pPr>
    </w:lvl>
    <w:lvl w:ilvl="8" w:tplc="043E001B" w:tentative="1">
      <w:start w:val="1"/>
      <w:numFmt w:val="lowerRoman"/>
      <w:lvlText w:val="%9."/>
      <w:lvlJc w:val="right"/>
      <w:pPr>
        <w:ind w:left="8952"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5DC1E5F"/>
    <w:multiLevelType w:val="hybridMultilevel"/>
    <w:tmpl w:val="AB3CCAAA"/>
    <w:lvl w:ilvl="0" w:tplc="0C2C38CE">
      <w:start w:val="1"/>
      <w:numFmt w:val="lowerLetter"/>
      <w:lvlText w:val="(%1)"/>
      <w:lvlJc w:val="left"/>
      <w:pPr>
        <w:ind w:left="3387" w:hanging="360"/>
      </w:pPr>
      <w:rPr>
        <w:rFonts w:hint="default"/>
      </w:rPr>
    </w:lvl>
    <w:lvl w:ilvl="1" w:tplc="04090019" w:tentative="1">
      <w:start w:val="1"/>
      <w:numFmt w:val="lowerLetter"/>
      <w:lvlText w:val="%2."/>
      <w:lvlJc w:val="left"/>
      <w:pPr>
        <w:ind w:left="4107" w:hanging="360"/>
      </w:pPr>
    </w:lvl>
    <w:lvl w:ilvl="2" w:tplc="0409001B" w:tentative="1">
      <w:start w:val="1"/>
      <w:numFmt w:val="lowerRoman"/>
      <w:lvlText w:val="%3."/>
      <w:lvlJc w:val="right"/>
      <w:pPr>
        <w:ind w:left="4827" w:hanging="180"/>
      </w:pPr>
    </w:lvl>
    <w:lvl w:ilvl="3" w:tplc="0409000F" w:tentative="1">
      <w:start w:val="1"/>
      <w:numFmt w:val="decimal"/>
      <w:lvlText w:val="%4."/>
      <w:lvlJc w:val="left"/>
      <w:pPr>
        <w:ind w:left="5547" w:hanging="360"/>
      </w:pPr>
    </w:lvl>
    <w:lvl w:ilvl="4" w:tplc="04090019" w:tentative="1">
      <w:start w:val="1"/>
      <w:numFmt w:val="lowerLetter"/>
      <w:lvlText w:val="%5."/>
      <w:lvlJc w:val="left"/>
      <w:pPr>
        <w:ind w:left="6267" w:hanging="360"/>
      </w:pPr>
    </w:lvl>
    <w:lvl w:ilvl="5" w:tplc="0409001B" w:tentative="1">
      <w:start w:val="1"/>
      <w:numFmt w:val="lowerRoman"/>
      <w:lvlText w:val="%6."/>
      <w:lvlJc w:val="right"/>
      <w:pPr>
        <w:ind w:left="6987" w:hanging="180"/>
      </w:pPr>
    </w:lvl>
    <w:lvl w:ilvl="6" w:tplc="0409000F" w:tentative="1">
      <w:start w:val="1"/>
      <w:numFmt w:val="decimal"/>
      <w:lvlText w:val="%7."/>
      <w:lvlJc w:val="left"/>
      <w:pPr>
        <w:ind w:left="7707" w:hanging="360"/>
      </w:pPr>
    </w:lvl>
    <w:lvl w:ilvl="7" w:tplc="04090019" w:tentative="1">
      <w:start w:val="1"/>
      <w:numFmt w:val="lowerLetter"/>
      <w:lvlText w:val="%8."/>
      <w:lvlJc w:val="left"/>
      <w:pPr>
        <w:ind w:left="8427" w:hanging="360"/>
      </w:pPr>
    </w:lvl>
    <w:lvl w:ilvl="8" w:tplc="0409001B" w:tentative="1">
      <w:start w:val="1"/>
      <w:numFmt w:val="lowerRoman"/>
      <w:lvlText w:val="%9."/>
      <w:lvlJc w:val="right"/>
      <w:pPr>
        <w:ind w:left="9147" w:hanging="180"/>
      </w:pPr>
    </w:lvl>
  </w:abstractNum>
  <w:abstractNum w:abstractNumId="3">
    <w:nsid w:val="7D2549A4"/>
    <w:multiLevelType w:val="hybridMultilevel"/>
    <w:tmpl w:val="2FAAF3F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853A4"/>
    <w:rsid w:val="000A497D"/>
    <w:rsid w:val="000C49FF"/>
    <w:rsid w:val="000E5AF1"/>
    <w:rsid w:val="000F77DA"/>
    <w:rsid w:val="001068E8"/>
    <w:rsid w:val="00117BCD"/>
    <w:rsid w:val="001D035A"/>
    <w:rsid w:val="001D3855"/>
    <w:rsid w:val="001D6F2C"/>
    <w:rsid w:val="002115E1"/>
    <w:rsid w:val="00235833"/>
    <w:rsid w:val="002B188F"/>
    <w:rsid w:val="002B3BD8"/>
    <w:rsid w:val="002F3F91"/>
    <w:rsid w:val="00304767"/>
    <w:rsid w:val="00304B34"/>
    <w:rsid w:val="00361BAF"/>
    <w:rsid w:val="00367D1F"/>
    <w:rsid w:val="00373A9B"/>
    <w:rsid w:val="00383F26"/>
    <w:rsid w:val="003B4EC7"/>
    <w:rsid w:val="003D585B"/>
    <w:rsid w:val="003E7DA6"/>
    <w:rsid w:val="003F12FF"/>
    <w:rsid w:val="004760D4"/>
    <w:rsid w:val="00494C46"/>
    <w:rsid w:val="004B43FF"/>
    <w:rsid w:val="00502641"/>
    <w:rsid w:val="0057510B"/>
    <w:rsid w:val="00590FFF"/>
    <w:rsid w:val="005C6768"/>
    <w:rsid w:val="00634C25"/>
    <w:rsid w:val="006416AB"/>
    <w:rsid w:val="006768E9"/>
    <w:rsid w:val="00687982"/>
    <w:rsid w:val="00695D0E"/>
    <w:rsid w:val="006B3EC8"/>
    <w:rsid w:val="006D695E"/>
    <w:rsid w:val="00725A6A"/>
    <w:rsid w:val="007943F3"/>
    <w:rsid w:val="007A738C"/>
    <w:rsid w:val="007B1349"/>
    <w:rsid w:val="007C613F"/>
    <w:rsid w:val="007E25BD"/>
    <w:rsid w:val="00802C35"/>
    <w:rsid w:val="0082181A"/>
    <w:rsid w:val="0085766D"/>
    <w:rsid w:val="008B470E"/>
    <w:rsid w:val="008E1211"/>
    <w:rsid w:val="008E5BBF"/>
    <w:rsid w:val="008E6968"/>
    <w:rsid w:val="00A14DB9"/>
    <w:rsid w:val="00A4762A"/>
    <w:rsid w:val="00A70C5C"/>
    <w:rsid w:val="00A74A7E"/>
    <w:rsid w:val="00AD1B8A"/>
    <w:rsid w:val="00AE713F"/>
    <w:rsid w:val="00B1121C"/>
    <w:rsid w:val="00B25B65"/>
    <w:rsid w:val="00B2770A"/>
    <w:rsid w:val="00B314AD"/>
    <w:rsid w:val="00B75BF6"/>
    <w:rsid w:val="00B85520"/>
    <w:rsid w:val="00BA1F7B"/>
    <w:rsid w:val="00BB58AF"/>
    <w:rsid w:val="00BE7C30"/>
    <w:rsid w:val="00C055BF"/>
    <w:rsid w:val="00C0756D"/>
    <w:rsid w:val="00C2226A"/>
    <w:rsid w:val="00C87AD7"/>
    <w:rsid w:val="00C94D92"/>
    <w:rsid w:val="00C97340"/>
    <w:rsid w:val="00CA513F"/>
    <w:rsid w:val="00CD06B3"/>
    <w:rsid w:val="00CF05FF"/>
    <w:rsid w:val="00CF52DB"/>
    <w:rsid w:val="00D340BB"/>
    <w:rsid w:val="00D505D5"/>
    <w:rsid w:val="00D67E4C"/>
    <w:rsid w:val="00D75B35"/>
    <w:rsid w:val="00D76E09"/>
    <w:rsid w:val="00D9736F"/>
    <w:rsid w:val="00D9792A"/>
    <w:rsid w:val="00DD377F"/>
    <w:rsid w:val="00E25547"/>
    <w:rsid w:val="00E2773B"/>
    <w:rsid w:val="00E3287E"/>
    <w:rsid w:val="00E66197"/>
    <w:rsid w:val="00EF17FC"/>
    <w:rsid w:val="00F30CB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C87AD7"/>
  </w:style>
  <w:style w:type="paragraph" w:styleId="Caption">
    <w:name w:val="caption"/>
    <w:basedOn w:val="Normal"/>
    <w:next w:val="Normal"/>
    <w:uiPriority w:val="35"/>
    <w:unhideWhenUsed/>
    <w:qFormat/>
    <w:rsid w:val="00C87AD7"/>
    <w:pPr>
      <w:widowControl w:val="0"/>
      <w:wordWrap w:val="0"/>
      <w:autoSpaceDE w:val="0"/>
      <w:autoSpaceDN w:val="0"/>
      <w:spacing w:line="240" w:lineRule="auto"/>
      <w:jc w:val="both"/>
    </w:pPr>
    <w:rPr>
      <w:rFonts w:asciiTheme="minorHAnsi" w:eastAsiaTheme="minorEastAsia" w:hAnsiTheme="minorHAnsi" w:cstheme="minorBidi"/>
      <w:b/>
      <w:bCs/>
      <w:color w:val="4F81BD" w:themeColor="accent1"/>
      <w:kern w:val="2"/>
      <w:sz w:val="18"/>
      <w:szCs w:val="18"/>
      <w:lang w:eastAsia="ko-KR" w:bidi="ar-SA"/>
    </w:rPr>
  </w:style>
  <w:style w:type="table" w:styleId="LightShading">
    <w:name w:val="Light Shading"/>
    <w:basedOn w:val="TableNormal"/>
    <w:uiPriority w:val="60"/>
    <w:rsid w:val="00C87AD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87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E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C87AD7"/>
  </w:style>
  <w:style w:type="paragraph" w:styleId="Caption">
    <w:name w:val="caption"/>
    <w:basedOn w:val="Normal"/>
    <w:next w:val="Normal"/>
    <w:uiPriority w:val="35"/>
    <w:unhideWhenUsed/>
    <w:qFormat/>
    <w:rsid w:val="00C87AD7"/>
    <w:pPr>
      <w:widowControl w:val="0"/>
      <w:wordWrap w:val="0"/>
      <w:autoSpaceDE w:val="0"/>
      <w:autoSpaceDN w:val="0"/>
      <w:spacing w:line="240" w:lineRule="auto"/>
      <w:jc w:val="both"/>
    </w:pPr>
    <w:rPr>
      <w:rFonts w:asciiTheme="minorHAnsi" w:eastAsiaTheme="minorEastAsia" w:hAnsiTheme="minorHAnsi" w:cstheme="minorBidi"/>
      <w:b/>
      <w:bCs/>
      <w:color w:val="4F81BD" w:themeColor="accent1"/>
      <w:kern w:val="2"/>
      <w:sz w:val="18"/>
      <w:szCs w:val="18"/>
      <w:lang w:eastAsia="ko-KR" w:bidi="ar-SA"/>
    </w:rPr>
  </w:style>
  <w:style w:type="table" w:styleId="LightShading">
    <w:name w:val="Light Shading"/>
    <w:basedOn w:val="TableNormal"/>
    <w:uiPriority w:val="60"/>
    <w:rsid w:val="00C87AD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87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w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B3B8-A98A-4195-A55C-7E2A4D41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2885</Words>
  <Characters>16130</Characters>
  <Application>Microsoft Office Word</Application>
  <DocSecurity>0</DocSecurity>
  <Lines>448</Lines>
  <Paragraphs>260</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14</cp:revision>
  <cp:lastPrinted>2016-04-06T03:05:00Z</cp:lastPrinted>
  <dcterms:created xsi:type="dcterms:W3CDTF">2016-03-29T14:05:00Z</dcterms:created>
  <dcterms:modified xsi:type="dcterms:W3CDTF">2016-04-06T03:05:00Z</dcterms:modified>
</cp:coreProperties>
</file>