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B2493" w:rsidRPr="00EF09BD" w:rsidRDefault="00EB2493" w:rsidP="00EB2493">
      <w:pPr>
        <w:spacing w:after="0" w:line="240" w:lineRule="auto"/>
        <w:jc w:val="center"/>
        <w:rPr>
          <w:rFonts w:ascii="Times New Roman" w:hAnsi="Times New Roman"/>
          <w:sz w:val="28"/>
          <w:szCs w:val="28"/>
        </w:rPr>
      </w:pPr>
      <w:r w:rsidRPr="00EF09BD">
        <w:rPr>
          <w:rFonts w:ascii="Times New Roman" w:hAnsi="Times New Roman"/>
          <w:sz w:val="28"/>
          <w:szCs w:val="28"/>
        </w:rPr>
        <w:t xml:space="preserve">PENGGUNAAN KAEDAH PENYINARAN MIKROGELOMBANG </w:t>
      </w:r>
      <w:r>
        <w:rPr>
          <w:rFonts w:ascii="Times New Roman" w:hAnsi="Times New Roman"/>
          <w:sz w:val="28"/>
          <w:szCs w:val="28"/>
        </w:rPr>
        <w:t>DALAM SINTESIS TERBITAN TIOUREA</w:t>
      </w:r>
    </w:p>
    <w:p w:rsidR="006768E9" w:rsidRPr="00F447A7" w:rsidRDefault="006768E9" w:rsidP="00EB2493">
      <w:pPr>
        <w:spacing w:after="0" w:line="240" w:lineRule="auto"/>
        <w:jc w:val="center"/>
        <w:rPr>
          <w:rFonts w:ascii="Times New Roman" w:hAnsi="Times New Roman"/>
          <w:noProof/>
          <w:sz w:val="24"/>
          <w:szCs w:val="24"/>
          <w:lang w:bidi="ar-SA"/>
        </w:rPr>
      </w:pPr>
    </w:p>
    <w:p w:rsidR="006768E9" w:rsidRPr="00F447A7" w:rsidRDefault="00F447A7" w:rsidP="00496429">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00496429" w:rsidRPr="00496429">
        <w:rPr>
          <w:rFonts w:ascii="Times New Roman" w:hAnsi="Times New Roman"/>
          <w:sz w:val="24"/>
          <w:szCs w:val="24"/>
        </w:rPr>
        <w:t>An application of Microwave Irradiat</w:t>
      </w:r>
      <w:r w:rsidR="00496429">
        <w:rPr>
          <w:rFonts w:ascii="Times New Roman" w:hAnsi="Times New Roman"/>
          <w:sz w:val="24"/>
          <w:szCs w:val="24"/>
        </w:rPr>
        <w:t>ion Technique in Preparation of Thiourea Derivatives</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EB2493" w:rsidRPr="00EF09BD" w:rsidRDefault="00EB2493" w:rsidP="00EB2493">
      <w:pPr>
        <w:spacing w:after="0" w:line="240" w:lineRule="auto"/>
        <w:jc w:val="center"/>
        <w:rPr>
          <w:rFonts w:ascii="Times New Roman" w:hAnsi="Times New Roman"/>
          <w:bCs/>
          <w:sz w:val="20"/>
          <w:szCs w:val="20"/>
        </w:rPr>
      </w:pPr>
      <w:r w:rsidRPr="00EF09BD">
        <w:rPr>
          <w:rFonts w:ascii="Times New Roman" w:hAnsi="Times New Roman"/>
          <w:bCs/>
          <w:sz w:val="20"/>
          <w:szCs w:val="20"/>
        </w:rPr>
        <w:t>Hafizi Ahyak, Atisya Rohadi, Fatimatul Akma Awang Ngah, Bohari Yamin, Siti Aishah Hasbullah</w:t>
      </w:r>
      <w:r w:rsidR="00C64434">
        <w:rPr>
          <w:rFonts w:ascii="Times New Roman" w:hAnsi="Times New Roman"/>
          <w:bCs/>
          <w:sz w:val="20"/>
          <w:szCs w:val="20"/>
        </w:rPr>
        <w:t>*</w:t>
      </w:r>
    </w:p>
    <w:p w:rsidR="006768E9" w:rsidRPr="00F447A7" w:rsidRDefault="006768E9" w:rsidP="00EB2493">
      <w:pPr>
        <w:spacing w:after="0" w:line="240" w:lineRule="auto"/>
        <w:jc w:val="center"/>
        <w:rPr>
          <w:rFonts w:ascii="Times New Roman" w:hAnsi="Times New Roman"/>
          <w:noProof/>
          <w:sz w:val="18"/>
          <w:szCs w:val="18"/>
          <w:lang w:bidi="ar-SA"/>
        </w:rPr>
      </w:pPr>
    </w:p>
    <w:p w:rsidR="00EB2493" w:rsidRPr="00EF09BD" w:rsidRDefault="00EB2493" w:rsidP="00EB2493">
      <w:pPr>
        <w:spacing w:after="0" w:line="240" w:lineRule="auto"/>
        <w:jc w:val="center"/>
        <w:rPr>
          <w:rFonts w:ascii="Times New Roman" w:hAnsi="Times New Roman"/>
          <w:i/>
          <w:iCs/>
          <w:sz w:val="18"/>
          <w:szCs w:val="18"/>
          <w:lang w:val="en-MY"/>
        </w:rPr>
      </w:pPr>
      <w:r w:rsidRPr="00EF09BD">
        <w:rPr>
          <w:rFonts w:ascii="Times New Roman" w:hAnsi="Times New Roman"/>
          <w:i/>
          <w:iCs/>
          <w:sz w:val="18"/>
          <w:szCs w:val="18"/>
          <w:lang w:val="en-MY"/>
        </w:rPr>
        <w:t xml:space="preserve">School of Chemical Sciences and Food Technology, </w:t>
      </w:r>
    </w:p>
    <w:p w:rsidR="00EB2493" w:rsidRPr="00EF09BD" w:rsidRDefault="00EB2493" w:rsidP="00EB2493">
      <w:pPr>
        <w:spacing w:after="0" w:line="240" w:lineRule="auto"/>
        <w:jc w:val="center"/>
        <w:rPr>
          <w:rFonts w:ascii="Times New Roman" w:hAnsi="Times New Roman"/>
          <w:i/>
          <w:iCs/>
          <w:sz w:val="18"/>
          <w:szCs w:val="18"/>
          <w:lang w:val="en-MY"/>
        </w:rPr>
      </w:pPr>
      <w:r w:rsidRPr="00EF09BD">
        <w:rPr>
          <w:rFonts w:ascii="Times New Roman" w:hAnsi="Times New Roman"/>
          <w:i/>
          <w:iCs/>
          <w:sz w:val="18"/>
          <w:szCs w:val="18"/>
          <w:lang w:val="en-MY"/>
        </w:rPr>
        <w:t xml:space="preserve">Faculty of Science and Technology, </w:t>
      </w:r>
    </w:p>
    <w:p w:rsidR="006768E9" w:rsidRPr="00F447A7" w:rsidRDefault="00EB2493" w:rsidP="00EB2493">
      <w:pPr>
        <w:spacing w:after="0" w:line="240" w:lineRule="auto"/>
        <w:jc w:val="center"/>
        <w:rPr>
          <w:rFonts w:ascii="Times New Roman" w:hAnsi="Times New Roman"/>
          <w:noProof/>
          <w:sz w:val="18"/>
          <w:szCs w:val="18"/>
          <w:lang w:bidi="ar-SA"/>
        </w:rPr>
      </w:pPr>
      <w:r w:rsidRPr="00EF09BD">
        <w:rPr>
          <w:rFonts w:ascii="Times New Roman" w:hAnsi="Times New Roman"/>
          <w:i/>
          <w:iCs/>
          <w:sz w:val="18"/>
          <w:szCs w:val="18"/>
          <w:lang w:val="en-MY"/>
        </w:rPr>
        <w:t>Universiti Kebangsaan Malaysia, 436</w:t>
      </w:r>
      <w:r>
        <w:rPr>
          <w:rFonts w:ascii="Times New Roman" w:hAnsi="Times New Roman"/>
          <w:i/>
          <w:iCs/>
          <w:sz w:val="18"/>
          <w:szCs w:val="18"/>
          <w:lang w:val="en-MY"/>
        </w:rPr>
        <w:t>00 UKM Bangi, Selangor, Malaysia</w:t>
      </w:r>
    </w:p>
    <w:p w:rsidR="00EB2493" w:rsidRDefault="00EB2493" w:rsidP="00F447A7">
      <w:pPr>
        <w:spacing w:after="0" w:line="240" w:lineRule="auto"/>
        <w:jc w:val="center"/>
        <w:rPr>
          <w:rFonts w:ascii="Times New Roman" w:hAnsi="Times New Roman"/>
          <w:i/>
          <w:noProof/>
          <w:sz w:val="18"/>
          <w:szCs w:val="18"/>
          <w:lang w:bidi="ar-SA"/>
        </w:rPr>
      </w:pPr>
    </w:p>
    <w:p w:rsidR="006768E9" w:rsidRPr="00F447A7" w:rsidRDefault="006768E9" w:rsidP="00EB249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B2493" w:rsidRPr="00EF09BD">
        <w:rPr>
          <w:rFonts w:ascii="Times New Roman" w:hAnsi="Times New Roman"/>
          <w:i/>
          <w:iCs/>
          <w:sz w:val="18"/>
          <w:szCs w:val="18"/>
          <w:lang w:val="en-MY"/>
        </w:rPr>
        <w:t>aishah80@ukm.edu.my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B2493">
        <w:rPr>
          <w:rFonts w:ascii="Times New Roman" w:hAnsi="Times New Roman"/>
          <w:noProof/>
          <w:sz w:val="18"/>
          <w:szCs w:val="18"/>
          <w:lang w:bidi="ar-SA"/>
        </w:rPr>
        <w:t>22 January 2016</w:t>
      </w:r>
      <w:r>
        <w:rPr>
          <w:rFonts w:ascii="Times New Roman" w:hAnsi="Times New Roman"/>
          <w:noProof/>
          <w:sz w:val="18"/>
          <w:szCs w:val="18"/>
          <w:lang w:bidi="ar-SA"/>
        </w:rPr>
        <w:t xml:space="preserve">; Accepted: </w:t>
      </w:r>
      <w:r w:rsidR="00EB2493">
        <w:rPr>
          <w:rFonts w:ascii="Times New Roman" w:hAnsi="Times New Roman"/>
          <w:noProof/>
          <w:sz w:val="18"/>
          <w:szCs w:val="18"/>
          <w:lang w:bidi="ar-SA"/>
        </w:rPr>
        <w:t>18 February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EB2493" w:rsidP="00F447A7">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EB2493" w:rsidRDefault="00EB2493" w:rsidP="00D71AF5">
      <w:pPr>
        <w:autoSpaceDE w:val="0"/>
        <w:autoSpaceDN w:val="0"/>
        <w:adjustRightInd w:val="0"/>
        <w:spacing w:after="0" w:line="240" w:lineRule="auto"/>
        <w:jc w:val="both"/>
        <w:rPr>
          <w:rFonts w:ascii="Times New Roman" w:hAnsi="Times New Roman"/>
          <w:sz w:val="18"/>
          <w:szCs w:val="18"/>
        </w:rPr>
      </w:pPr>
      <w:r w:rsidRPr="00EF09BD">
        <w:rPr>
          <w:rFonts w:ascii="Times New Roman" w:hAnsi="Times New Roman"/>
          <w:sz w:val="18"/>
          <w:szCs w:val="18"/>
        </w:rPr>
        <w:t xml:space="preserve">Sebatian baru terbitan tiourea, 1-etil-1-(2-hidroksi-etil)-3-naftalen-1-il-tiourea </w:t>
      </w:r>
      <w:r w:rsidRPr="00EF09BD">
        <w:rPr>
          <w:rFonts w:ascii="Times New Roman" w:hAnsi="Times New Roman"/>
          <w:b/>
          <w:sz w:val="18"/>
          <w:szCs w:val="18"/>
        </w:rPr>
        <w:t>(3a)</w:t>
      </w:r>
      <w:r w:rsidRPr="00EF09BD">
        <w:rPr>
          <w:rFonts w:ascii="Times New Roman" w:hAnsi="Times New Roman"/>
          <w:sz w:val="18"/>
          <w:szCs w:val="18"/>
        </w:rPr>
        <w:t xml:space="preserve"> dan 1-(fenil-amino)-3-naftalen-1-il-tiourea </w:t>
      </w:r>
      <w:r w:rsidRPr="00EF09BD">
        <w:rPr>
          <w:rFonts w:ascii="Times New Roman" w:hAnsi="Times New Roman"/>
          <w:b/>
          <w:sz w:val="18"/>
          <w:szCs w:val="18"/>
        </w:rPr>
        <w:t>(3b)</w:t>
      </w:r>
      <w:r w:rsidRPr="00EF09BD">
        <w:rPr>
          <w:rFonts w:ascii="Times New Roman" w:hAnsi="Times New Roman"/>
          <w:sz w:val="18"/>
          <w:szCs w:val="18"/>
        </w:rPr>
        <w:t xml:space="preserve"> telah berjaya disintesis melalui tindak balas antara 1-naftil isotiosianat </w:t>
      </w:r>
      <w:r w:rsidRPr="00EF09BD">
        <w:rPr>
          <w:rFonts w:ascii="Times New Roman" w:hAnsi="Times New Roman"/>
          <w:b/>
          <w:sz w:val="18"/>
          <w:szCs w:val="18"/>
        </w:rPr>
        <w:t>(1)</w:t>
      </w:r>
      <w:r w:rsidRPr="00EF09BD">
        <w:rPr>
          <w:rFonts w:ascii="Times New Roman" w:hAnsi="Times New Roman"/>
          <w:sz w:val="18"/>
          <w:szCs w:val="18"/>
        </w:rPr>
        <w:t xml:space="preserve"> dengan etilena 2-etilaminoetanol </w:t>
      </w:r>
      <w:r w:rsidRPr="00EF09BD">
        <w:rPr>
          <w:rFonts w:ascii="Times New Roman" w:hAnsi="Times New Roman"/>
          <w:b/>
          <w:sz w:val="18"/>
          <w:szCs w:val="18"/>
        </w:rPr>
        <w:t>(2a)</w:t>
      </w:r>
      <w:r w:rsidRPr="00EF09BD">
        <w:rPr>
          <w:rFonts w:ascii="Times New Roman" w:hAnsi="Times New Roman"/>
          <w:sz w:val="18"/>
          <w:szCs w:val="18"/>
        </w:rPr>
        <w:t xml:space="preserve"> dan fenilhidrazina </w:t>
      </w:r>
      <w:r w:rsidRPr="00EF09BD">
        <w:rPr>
          <w:rFonts w:ascii="Times New Roman" w:hAnsi="Times New Roman"/>
          <w:b/>
          <w:sz w:val="18"/>
          <w:szCs w:val="18"/>
        </w:rPr>
        <w:t xml:space="preserve">(2b) </w:t>
      </w:r>
      <w:r w:rsidRPr="00EF09BD">
        <w:rPr>
          <w:rFonts w:ascii="Times New Roman" w:hAnsi="Times New Roman"/>
          <w:sz w:val="18"/>
          <w:szCs w:val="18"/>
        </w:rPr>
        <w:t xml:space="preserve">menggunakan kaedah penyinaran mikrogelombang dan kaedah refluks. Peratusan hasil bagi kedua-dua kaedah yang digunakan untuk sebatian </w:t>
      </w:r>
      <w:r w:rsidRPr="00EF09BD">
        <w:rPr>
          <w:rFonts w:ascii="Times New Roman" w:hAnsi="Times New Roman"/>
          <w:b/>
          <w:sz w:val="18"/>
          <w:szCs w:val="18"/>
        </w:rPr>
        <w:t>3a</w:t>
      </w:r>
      <w:r w:rsidRPr="00EF09BD">
        <w:rPr>
          <w:rFonts w:ascii="Times New Roman" w:hAnsi="Times New Roman"/>
          <w:sz w:val="18"/>
          <w:szCs w:val="18"/>
        </w:rPr>
        <w:t xml:space="preserve"> dan </w:t>
      </w:r>
      <w:r w:rsidRPr="00EF09BD">
        <w:rPr>
          <w:rFonts w:ascii="Times New Roman" w:hAnsi="Times New Roman"/>
          <w:b/>
          <w:sz w:val="18"/>
          <w:szCs w:val="18"/>
        </w:rPr>
        <w:t>3b</w:t>
      </w:r>
      <w:r w:rsidRPr="00EF09BD">
        <w:rPr>
          <w:rFonts w:ascii="Times New Roman" w:hAnsi="Times New Roman"/>
          <w:sz w:val="18"/>
          <w:szCs w:val="18"/>
        </w:rPr>
        <w:t xml:space="preserve"> masing-masing adalah </w:t>
      </w:r>
      <w:r w:rsidRPr="00EF09BD">
        <w:rPr>
          <w:rFonts w:ascii="Times New Roman" w:hAnsi="Times New Roman"/>
          <w:b/>
          <w:sz w:val="18"/>
          <w:szCs w:val="18"/>
        </w:rPr>
        <w:t>3a</w:t>
      </w:r>
      <w:r w:rsidRPr="00EF09BD">
        <w:rPr>
          <w:rFonts w:ascii="Times New Roman" w:hAnsi="Times New Roman"/>
          <w:sz w:val="18"/>
          <w:szCs w:val="18"/>
        </w:rPr>
        <w:t xml:space="preserve"> </w:t>
      </w:r>
      <w:r w:rsidRPr="00D71AF5">
        <w:rPr>
          <w:rFonts w:ascii="Times New Roman" w:hAnsi="Times New Roman"/>
          <w:sz w:val="18"/>
          <w:szCs w:val="18"/>
        </w:rPr>
        <w:t>(</w:t>
      </w:r>
      <w:r w:rsidR="00D71AF5" w:rsidRPr="00D71AF5">
        <w:rPr>
          <w:rFonts w:ascii="Times New Roman" w:eastAsia="Calibri" w:hAnsi="Times New Roman"/>
          <w:color w:val="000000"/>
          <w:sz w:val="18"/>
          <w:szCs w:val="18"/>
          <w:lang w:bidi="ar-SA"/>
        </w:rPr>
        <w:t>refluks: 66%, mikrogelombang:</w:t>
      </w:r>
      <w:r w:rsidR="00D71AF5">
        <w:rPr>
          <w:rFonts w:ascii="Times New Roman" w:eastAsia="Calibri" w:hAnsi="Times New Roman"/>
          <w:color w:val="000000"/>
          <w:sz w:val="18"/>
          <w:szCs w:val="18"/>
          <w:lang w:bidi="ar-SA"/>
        </w:rPr>
        <w:t xml:space="preserve"> </w:t>
      </w:r>
      <w:r w:rsidR="00D71AF5" w:rsidRPr="00D71AF5">
        <w:rPr>
          <w:rFonts w:ascii="Times New Roman" w:eastAsia="Calibri" w:hAnsi="Times New Roman"/>
          <w:color w:val="000000"/>
          <w:sz w:val="18"/>
          <w:szCs w:val="18"/>
          <w:lang w:bidi="ar-SA"/>
        </w:rPr>
        <w:t>98%)</w:t>
      </w:r>
      <w:r w:rsidRPr="00EF09BD">
        <w:rPr>
          <w:rFonts w:ascii="Times New Roman" w:hAnsi="Times New Roman"/>
          <w:sz w:val="18"/>
          <w:szCs w:val="18"/>
        </w:rPr>
        <w:t xml:space="preserve"> dan </w:t>
      </w:r>
      <w:r w:rsidRPr="00EF09BD">
        <w:rPr>
          <w:rFonts w:ascii="Times New Roman" w:hAnsi="Times New Roman"/>
          <w:b/>
          <w:sz w:val="18"/>
          <w:szCs w:val="18"/>
        </w:rPr>
        <w:t>3b</w:t>
      </w:r>
      <w:r w:rsidRPr="00EF09BD">
        <w:rPr>
          <w:rFonts w:ascii="Times New Roman" w:hAnsi="Times New Roman"/>
          <w:sz w:val="18"/>
          <w:szCs w:val="18"/>
        </w:rPr>
        <w:t xml:space="preserve"> (</w:t>
      </w:r>
      <w:r w:rsidR="00D71AF5" w:rsidRPr="00D71AF5">
        <w:rPr>
          <w:rFonts w:ascii="Times New Roman" w:eastAsia="Calibri" w:hAnsi="Times New Roman"/>
          <w:color w:val="000000"/>
          <w:sz w:val="18"/>
          <w:szCs w:val="18"/>
          <w:lang w:bidi="ar-SA"/>
        </w:rPr>
        <w:t>refluks: 72%, mikrogelombang:</w:t>
      </w:r>
      <w:r w:rsidR="00D71AF5">
        <w:rPr>
          <w:rFonts w:ascii="Times New Roman" w:eastAsia="Calibri" w:hAnsi="Times New Roman"/>
          <w:color w:val="000000"/>
          <w:sz w:val="18"/>
          <w:szCs w:val="18"/>
          <w:lang w:bidi="ar-SA"/>
        </w:rPr>
        <w:t xml:space="preserve"> </w:t>
      </w:r>
      <w:r w:rsidR="00D71AF5" w:rsidRPr="00D71AF5">
        <w:rPr>
          <w:rFonts w:ascii="Times New Roman" w:eastAsia="Calibri" w:hAnsi="Times New Roman"/>
          <w:color w:val="000000"/>
          <w:sz w:val="18"/>
          <w:szCs w:val="18"/>
          <w:lang w:bidi="ar-SA"/>
        </w:rPr>
        <w:t>97%</w:t>
      </w:r>
      <w:r w:rsidRPr="00EF09BD">
        <w:rPr>
          <w:rFonts w:ascii="Times New Roman" w:hAnsi="Times New Roman"/>
          <w:sz w:val="18"/>
          <w:szCs w:val="18"/>
        </w:rPr>
        <w:t xml:space="preserve">). Hasil sintesis dianalisa dengan menggunakan alat spektroskopi FT-Inframerah (FT-IM), Spektroskopi Resonan Magnetik Nuklear (RMN) dan Spektrometri Jisim. Kajian antimikrob juga dilakukan dengan menggunakan </w:t>
      </w:r>
      <w:r w:rsidRPr="00EF09BD">
        <w:rPr>
          <w:rFonts w:ascii="Times New Roman" w:hAnsi="Times New Roman"/>
          <w:i/>
          <w:sz w:val="18"/>
          <w:szCs w:val="18"/>
        </w:rPr>
        <w:t xml:space="preserve">Staphylococcus aureus </w:t>
      </w:r>
      <w:r w:rsidRPr="00EF09BD">
        <w:rPr>
          <w:rFonts w:ascii="Times New Roman" w:hAnsi="Times New Roman"/>
          <w:sz w:val="18"/>
          <w:szCs w:val="18"/>
        </w:rPr>
        <w:t>dan</w:t>
      </w:r>
      <w:r w:rsidRPr="00EF09BD">
        <w:rPr>
          <w:rFonts w:ascii="Times New Roman" w:hAnsi="Times New Roman"/>
          <w:i/>
          <w:sz w:val="18"/>
          <w:szCs w:val="18"/>
        </w:rPr>
        <w:t xml:space="preserve"> Bacillus subtillus </w:t>
      </w:r>
      <w:r w:rsidRPr="00EF09BD">
        <w:rPr>
          <w:rFonts w:ascii="Times New Roman" w:hAnsi="Times New Roman"/>
          <w:sz w:val="18"/>
          <w:szCs w:val="18"/>
        </w:rPr>
        <w:t xml:space="preserve">sebagai Gram positif, </w:t>
      </w:r>
      <w:r w:rsidRPr="00EF09BD">
        <w:rPr>
          <w:rFonts w:ascii="Times New Roman" w:hAnsi="Times New Roman"/>
          <w:i/>
          <w:sz w:val="18"/>
          <w:szCs w:val="18"/>
        </w:rPr>
        <w:t>Escherichia coli</w:t>
      </w:r>
      <w:r w:rsidRPr="00EF09BD">
        <w:rPr>
          <w:rFonts w:ascii="Times New Roman" w:hAnsi="Times New Roman"/>
          <w:sz w:val="18"/>
          <w:szCs w:val="18"/>
        </w:rPr>
        <w:t xml:space="preserve"> dan </w:t>
      </w:r>
      <w:r w:rsidRPr="00EF09BD">
        <w:rPr>
          <w:rFonts w:ascii="Times New Roman" w:hAnsi="Times New Roman"/>
          <w:i/>
          <w:sz w:val="18"/>
          <w:szCs w:val="18"/>
        </w:rPr>
        <w:t xml:space="preserve">Salmonella typhimurium </w:t>
      </w:r>
      <w:r w:rsidRPr="00EF09BD">
        <w:rPr>
          <w:rFonts w:ascii="Times New Roman" w:hAnsi="Times New Roman"/>
          <w:sz w:val="18"/>
          <w:szCs w:val="18"/>
        </w:rPr>
        <w:t xml:space="preserve">sebagai Gram negatif dan kulat yang digunakan adalah </w:t>
      </w:r>
      <w:r w:rsidRPr="00EF09BD">
        <w:rPr>
          <w:rFonts w:ascii="Times New Roman" w:hAnsi="Times New Roman"/>
          <w:i/>
          <w:sz w:val="18"/>
          <w:szCs w:val="18"/>
        </w:rPr>
        <w:t>Aspergillus niger</w:t>
      </w:r>
      <w:r w:rsidRPr="00EF09BD">
        <w:rPr>
          <w:rFonts w:ascii="Times New Roman" w:hAnsi="Times New Roman"/>
          <w:sz w:val="18"/>
          <w:szCs w:val="18"/>
        </w:rPr>
        <w:t xml:space="preserve">. Kawalan positif yang digunakan adalah </w:t>
      </w:r>
      <w:r w:rsidRPr="00EF09BD">
        <w:rPr>
          <w:rFonts w:ascii="Times New Roman" w:hAnsi="Times New Roman"/>
          <w:i/>
          <w:sz w:val="18"/>
          <w:szCs w:val="18"/>
        </w:rPr>
        <w:t xml:space="preserve">streptomisin </w:t>
      </w:r>
      <w:r w:rsidRPr="00EF09BD">
        <w:rPr>
          <w:rFonts w:ascii="Times New Roman" w:hAnsi="Times New Roman"/>
          <w:sz w:val="18"/>
          <w:szCs w:val="18"/>
        </w:rPr>
        <w:t xml:space="preserve">dan </w:t>
      </w:r>
      <w:r w:rsidRPr="00EF09BD">
        <w:rPr>
          <w:rFonts w:ascii="Times New Roman" w:hAnsi="Times New Roman"/>
          <w:i/>
          <w:sz w:val="18"/>
          <w:szCs w:val="18"/>
        </w:rPr>
        <w:t>kanamisin,</w:t>
      </w:r>
      <w:r w:rsidRPr="00EF09BD">
        <w:rPr>
          <w:rFonts w:ascii="Times New Roman" w:hAnsi="Times New Roman"/>
          <w:sz w:val="18"/>
          <w:szCs w:val="18"/>
        </w:rPr>
        <w:t xml:space="preserve"> manakala kawalan negatif yang digunakan adalah DMSO. Walaubagaimanapun hasil kajian mendapati tiada perencatan yang ketara terhadap pertumbuhan bakteria dan kulat (hanya 6-7mm kawasan perencatan) menggunakan sebatian tiourea ini. </w:t>
      </w:r>
    </w:p>
    <w:p w:rsidR="00EB2493" w:rsidRPr="00EF09BD" w:rsidRDefault="00EB2493" w:rsidP="00EB2493">
      <w:pPr>
        <w:spacing w:after="0" w:line="240" w:lineRule="auto"/>
        <w:jc w:val="both"/>
        <w:rPr>
          <w:rFonts w:ascii="Times New Roman" w:hAnsi="Times New Roman"/>
          <w:sz w:val="18"/>
          <w:szCs w:val="18"/>
        </w:rPr>
      </w:pPr>
    </w:p>
    <w:p w:rsidR="00EB2493" w:rsidRPr="00EF09BD" w:rsidRDefault="00EB2493" w:rsidP="00EB2493">
      <w:pPr>
        <w:spacing w:after="0" w:line="240" w:lineRule="auto"/>
        <w:jc w:val="both"/>
        <w:rPr>
          <w:rFonts w:ascii="Times New Roman" w:hAnsi="Times New Roman"/>
          <w:sz w:val="18"/>
          <w:szCs w:val="18"/>
        </w:rPr>
      </w:pPr>
      <w:r w:rsidRPr="00EF09BD">
        <w:rPr>
          <w:rFonts w:ascii="Times New Roman" w:hAnsi="Times New Roman"/>
          <w:b/>
          <w:sz w:val="18"/>
          <w:szCs w:val="18"/>
          <w:lang w:val="en-MY"/>
        </w:rPr>
        <w:t>Kata kunci</w:t>
      </w:r>
      <w:r w:rsidRPr="00EF09BD">
        <w:rPr>
          <w:rFonts w:ascii="Times New Roman" w:hAnsi="Times New Roman"/>
          <w:sz w:val="18"/>
          <w:szCs w:val="18"/>
          <w:lang w:val="en-MY"/>
        </w:rPr>
        <w:t>: sebatian tiourea, mikrogelombang, aktiviti antimikrob</w:t>
      </w:r>
    </w:p>
    <w:p w:rsidR="00DD377F" w:rsidRDefault="00DD377F" w:rsidP="00EB2493">
      <w:pPr>
        <w:spacing w:after="0" w:line="240" w:lineRule="auto"/>
        <w:jc w:val="center"/>
        <w:rPr>
          <w:rFonts w:ascii="Times New Roman" w:hAnsi="Times New Roman"/>
          <w:b/>
          <w:noProof/>
          <w:sz w:val="18"/>
          <w:szCs w:val="18"/>
          <w:lang w:bidi="ar-SA"/>
        </w:rPr>
      </w:pPr>
    </w:p>
    <w:p w:rsidR="00EB2493" w:rsidRPr="00EB2493" w:rsidRDefault="00EB2493" w:rsidP="00EB2493">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EB2493" w:rsidRPr="00EF09BD" w:rsidRDefault="00EB2493" w:rsidP="00EB2493">
      <w:pPr>
        <w:spacing w:after="0" w:line="240" w:lineRule="auto"/>
        <w:jc w:val="both"/>
        <w:rPr>
          <w:rFonts w:ascii="Times New Roman" w:hAnsi="Times New Roman"/>
          <w:sz w:val="16"/>
          <w:szCs w:val="18"/>
        </w:rPr>
      </w:pPr>
      <w:r w:rsidRPr="00EF09BD">
        <w:rPr>
          <w:rFonts w:ascii="Times New Roman" w:hAnsi="Times New Roman"/>
          <w:sz w:val="18"/>
          <w:szCs w:val="20"/>
        </w:rPr>
        <w:t xml:space="preserve">New thiourea derivatives, 1-ethyl-1-(2-hydroxy-ethyl)-3-naphthalen-1-yl-iourea </w:t>
      </w:r>
      <w:r w:rsidRPr="00EF09BD">
        <w:rPr>
          <w:rFonts w:ascii="Times New Roman" w:hAnsi="Times New Roman"/>
          <w:b/>
          <w:sz w:val="18"/>
          <w:szCs w:val="20"/>
        </w:rPr>
        <w:t>(3a)</w:t>
      </w:r>
      <w:r w:rsidRPr="00EF09BD">
        <w:rPr>
          <w:rFonts w:ascii="Times New Roman" w:hAnsi="Times New Roman"/>
          <w:sz w:val="18"/>
          <w:szCs w:val="20"/>
        </w:rPr>
        <w:t xml:space="preserve">, 1-(phenyl-amino)-3-naphthalen-1-yl-Tiourea </w:t>
      </w:r>
      <w:r w:rsidRPr="00EF09BD">
        <w:rPr>
          <w:rFonts w:ascii="Times New Roman" w:hAnsi="Times New Roman"/>
          <w:b/>
          <w:sz w:val="18"/>
          <w:szCs w:val="20"/>
        </w:rPr>
        <w:t xml:space="preserve">(3b) </w:t>
      </w:r>
      <w:r w:rsidRPr="00EF09BD">
        <w:rPr>
          <w:rFonts w:ascii="Times New Roman" w:hAnsi="Times New Roman"/>
          <w:sz w:val="18"/>
          <w:szCs w:val="20"/>
        </w:rPr>
        <w:t xml:space="preserve">have been synthesized from the reaction of naphthylisothiocyanate with 2-(ethylamino)ethanol </w:t>
      </w:r>
      <w:r w:rsidRPr="00EF09BD">
        <w:rPr>
          <w:rFonts w:ascii="Times New Roman" w:hAnsi="Times New Roman"/>
          <w:b/>
          <w:sz w:val="18"/>
          <w:szCs w:val="20"/>
        </w:rPr>
        <w:t>(2a)</w:t>
      </w:r>
      <w:r w:rsidRPr="00EF09BD">
        <w:rPr>
          <w:rFonts w:ascii="Times New Roman" w:hAnsi="Times New Roman"/>
          <w:sz w:val="18"/>
          <w:szCs w:val="20"/>
        </w:rPr>
        <w:t xml:space="preserve"> and phenylhydrazine </w:t>
      </w:r>
      <w:r w:rsidRPr="00EF09BD">
        <w:rPr>
          <w:rFonts w:ascii="Times New Roman" w:hAnsi="Times New Roman"/>
          <w:b/>
          <w:sz w:val="18"/>
          <w:szCs w:val="20"/>
        </w:rPr>
        <w:t>(2b)</w:t>
      </w:r>
      <w:r w:rsidRPr="00EF09BD">
        <w:rPr>
          <w:rFonts w:ascii="Times New Roman" w:hAnsi="Times New Roman"/>
          <w:sz w:val="18"/>
          <w:szCs w:val="20"/>
        </w:rPr>
        <w:t xml:space="preserve"> using microwave irradiation method. The percentage yield for both method used for compound </w:t>
      </w:r>
      <w:r w:rsidRPr="00EF09BD">
        <w:rPr>
          <w:rFonts w:ascii="Times New Roman" w:hAnsi="Times New Roman"/>
          <w:b/>
          <w:sz w:val="18"/>
          <w:szCs w:val="20"/>
        </w:rPr>
        <w:t>3a</w:t>
      </w:r>
      <w:r w:rsidRPr="00EF09BD">
        <w:rPr>
          <w:rFonts w:ascii="Times New Roman" w:hAnsi="Times New Roman"/>
          <w:sz w:val="18"/>
          <w:szCs w:val="20"/>
        </w:rPr>
        <w:t xml:space="preserve"> and </w:t>
      </w:r>
      <w:r w:rsidRPr="00EF09BD">
        <w:rPr>
          <w:rFonts w:ascii="Times New Roman" w:hAnsi="Times New Roman"/>
          <w:b/>
          <w:sz w:val="18"/>
          <w:szCs w:val="20"/>
        </w:rPr>
        <w:t>3b</w:t>
      </w:r>
      <w:r w:rsidRPr="00EF09BD">
        <w:rPr>
          <w:rFonts w:ascii="Times New Roman" w:hAnsi="Times New Roman"/>
          <w:sz w:val="18"/>
          <w:szCs w:val="20"/>
        </w:rPr>
        <w:t xml:space="preserve">, respectively </w:t>
      </w:r>
      <w:r w:rsidRPr="00EF09BD">
        <w:rPr>
          <w:rFonts w:ascii="Times New Roman" w:hAnsi="Times New Roman"/>
          <w:b/>
          <w:sz w:val="18"/>
          <w:szCs w:val="20"/>
        </w:rPr>
        <w:t>3a</w:t>
      </w:r>
      <w:r w:rsidRPr="00EF09BD">
        <w:rPr>
          <w:rFonts w:ascii="Times New Roman" w:hAnsi="Times New Roman"/>
          <w:sz w:val="18"/>
          <w:szCs w:val="20"/>
        </w:rPr>
        <w:t xml:space="preserve"> (</w:t>
      </w:r>
      <w:r w:rsidR="00D71AF5">
        <w:rPr>
          <w:rFonts w:ascii="Times New Roman" w:eastAsia="Calibri" w:hAnsi="Times New Roman"/>
          <w:color w:val="000000"/>
          <w:sz w:val="18"/>
          <w:szCs w:val="18"/>
          <w:lang w:bidi="ar-SA"/>
        </w:rPr>
        <w:t>reflux: 66%, microwave</w:t>
      </w:r>
      <w:r w:rsidR="00D71AF5" w:rsidRPr="00D71AF5">
        <w:rPr>
          <w:rFonts w:ascii="Times New Roman" w:eastAsia="Calibri" w:hAnsi="Times New Roman"/>
          <w:color w:val="000000"/>
          <w:sz w:val="18"/>
          <w:szCs w:val="18"/>
          <w:lang w:bidi="ar-SA"/>
        </w:rPr>
        <w:t>:</w:t>
      </w:r>
      <w:r w:rsidR="00D71AF5">
        <w:rPr>
          <w:rFonts w:ascii="Times New Roman" w:eastAsia="Calibri" w:hAnsi="Times New Roman"/>
          <w:color w:val="000000"/>
          <w:sz w:val="18"/>
          <w:szCs w:val="18"/>
          <w:lang w:bidi="ar-SA"/>
        </w:rPr>
        <w:t xml:space="preserve"> 98</w:t>
      </w:r>
      <w:r w:rsidR="00D71AF5" w:rsidRPr="00D71AF5">
        <w:rPr>
          <w:rFonts w:ascii="Times New Roman" w:eastAsia="Calibri" w:hAnsi="Times New Roman"/>
          <w:color w:val="000000"/>
          <w:sz w:val="18"/>
          <w:szCs w:val="18"/>
          <w:lang w:bidi="ar-SA"/>
        </w:rPr>
        <w:t>%</w:t>
      </w:r>
      <w:r w:rsidRPr="00EF09BD">
        <w:rPr>
          <w:rFonts w:ascii="Times New Roman" w:hAnsi="Times New Roman"/>
          <w:sz w:val="18"/>
          <w:szCs w:val="20"/>
        </w:rPr>
        <w:t xml:space="preserve">) and </w:t>
      </w:r>
      <w:r w:rsidRPr="00EF09BD">
        <w:rPr>
          <w:rFonts w:ascii="Times New Roman" w:hAnsi="Times New Roman"/>
          <w:b/>
          <w:sz w:val="18"/>
          <w:szCs w:val="20"/>
        </w:rPr>
        <w:t>3b</w:t>
      </w:r>
      <w:r w:rsidRPr="00EF09BD">
        <w:rPr>
          <w:rFonts w:ascii="Times New Roman" w:hAnsi="Times New Roman"/>
          <w:sz w:val="18"/>
          <w:szCs w:val="20"/>
        </w:rPr>
        <w:t xml:space="preserve"> (</w:t>
      </w:r>
      <w:r w:rsidR="00D71AF5">
        <w:rPr>
          <w:rFonts w:ascii="Times New Roman" w:eastAsia="Calibri" w:hAnsi="Times New Roman"/>
          <w:color w:val="000000"/>
          <w:sz w:val="18"/>
          <w:szCs w:val="18"/>
          <w:lang w:bidi="ar-SA"/>
        </w:rPr>
        <w:t>refluks: 72</w:t>
      </w:r>
      <w:r w:rsidR="00D71AF5" w:rsidRPr="00D71AF5">
        <w:rPr>
          <w:rFonts w:ascii="Times New Roman" w:eastAsia="Calibri" w:hAnsi="Times New Roman"/>
          <w:color w:val="000000"/>
          <w:sz w:val="18"/>
          <w:szCs w:val="18"/>
          <w:lang w:bidi="ar-SA"/>
        </w:rPr>
        <w:t>%, mikrogelombang:</w:t>
      </w:r>
      <w:r w:rsidR="00D71AF5">
        <w:rPr>
          <w:rFonts w:ascii="Times New Roman" w:eastAsia="Calibri" w:hAnsi="Times New Roman"/>
          <w:color w:val="000000"/>
          <w:sz w:val="18"/>
          <w:szCs w:val="18"/>
          <w:lang w:bidi="ar-SA"/>
        </w:rPr>
        <w:t xml:space="preserve"> 97</w:t>
      </w:r>
      <w:r w:rsidR="00D71AF5" w:rsidRPr="00D71AF5">
        <w:rPr>
          <w:rFonts w:ascii="Times New Roman" w:eastAsia="Calibri" w:hAnsi="Times New Roman"/>
          <w:color w:val="000000"/>
          <w:sz w:val="18"/>
          <w:szCs w:val="18"/>
          <w:lang w:bidi="ar-SA"/>
        </w:rPr>
        <w:t>%</w:t>
      </w:r>
      <w:r w:rsidRPr="00EF09BD">
        <w:rPr>
          <w:rFonts w:ascii="Times New Roman" w:hAnsi="Times New Roman"/>
          <w:sz w:val="18"/>
          <w:szCs w:val="20"/>
        </w:rPr>
        <w:t xml:space="preserve">).The compounds were analyzed by using Spectrometer FT-Infrared (FT-IR), Spectrometer Nuclear Magnetic Resonance (NMR) and Mass Spectrometry. Antimicrobial study was also conducted using </w:t>
      </w:r>
      <w:r w:rsidRPr="00EF09BD">
        <w:rPr>
          <w:rFonts w:ascii="Times New Roman" w:hAnsi="Times New Roman"/>
          <w:i/>
          <w:iCs/>
          <w:sz w:val="18"/>
          <w:szCs w:val="20"/>
        </w:rPr>
        <w:t>Staphylococcus aureus</w:t>
      </w:r>
      <w:r w:rsidRPr="00EF09BD">
        <w:rPr>
          <w:rFonts w:ascii="Times New Roman" w:hAnsi="Times New Roman"/>
          <w:sz w:val="18"/>
          <w:szCs w:val="20"/>
        </w:rPr>
        <w:t xml:space="preserve"> and </w:t>
      </w:r>
      <w:r w:rsidRPr="00EF09BD">
        <w:rPr>
          <w:rFonts w:ascii="Times New Roman" w:hAnsi="Times New Roman"/>
          <w:i/>
          <w:iCs/>
          <w:sz w:val="18"/>
          <w:szCs w:val="20"/>
        </w:rPr>
        <w:t>Bacillus subtillus</w:t>
      </w:r>
      <w:r w:rsidRPr="00EF09BD">
        <w:rPr>
          <w:rFonts w:ascii="Times New Roman" w:hAnsi="Times New Roman"/>
          <w:sz w:val="18"/>
          <w:szCs w:val="20"/>
        </w:rPr>
        <w:t xml:space="preserve"> as Gram positive, </w:t>
      </w:r>
      <w:r w:rsidRPr="00EF09BD">
        <w:rPr>
          <w:rFonts w:ascii="Times New Roman" w:hAnsi="Times New Roman"/>
          <w:i/>
          <w:iCs/>
          <w:sz w:val="18"/>
          <w:szCs w:val="20"/>
        </w:rPr>
        <w:t>Escherichia coli</w:t>
      </w:r>
      <w:r w:rsidRPr="00EF09BD">
        <w:rPr>
          <w:rFonts w:ascii="Times New Roman" w:hAnsi="Times New Roman"/>
          <w:sz w:val="18"/>
          <w:szCs w:val="20"/>
        </w:rPr>
        <w:t xml:space="preserve"> and </w:t>
      </w:r>
      <w:r w:rsidRPr="00EF09BD">
        <w:rPr>
          <w:rFonts w:ascii="Times New Roman" w:hAnsi="Times New Roman"/>
          <w:i/>
          <w:iCs/>
          <w:sz w:val="18"/>
          <w:szCs w:val="20"/>
        </w:rPr>
        <w:t>Salmonella typhimurium</w:t>
      </w:r>
      <w:r w:rsidRPr="00EF09BD">
        <w:rPr>
          <w:rFonts w:ascii="Times New Roman" w:hAnsi="Times New Roman"/>
          <w:sz w:val="18"/>
          <w:szCs w:val="20"/>
        </w:rPr>
        <w:t xml:space="preserve"> as Gram negative and fungi </w:t>
      </w:r>
      <w:r w:rsidRPr="00EF09BD">
        <w:rPr>
          <w:rFonts w:ascii="Times New Roman" w:hAnsi="Times New Roman"/>
          <w:i/>
          <w:iCs/>
          <w:sz w:val="18"/>
          <w:szCs w:val="20"/>
        </w:rPr>
        <w:t>Aspergillus niger</w:t>
      </w:r>
      <w:r w:rsidRPr="00EF09BD">
        <w:rPr>
          <w:rFonts w:ascii="Times New Roman" w:hAnsi="Times New Roman"/>
          <w:sz w:val="18"/>
          <w:szCs w:val="20"/>
        </w:rPr>
        <w:t xml:space="preserve"> is used.</w:t>
      </w:r>
      <w:r w:rsidRPr="00EF09BD">
        <w:rPr>
          <w:sz w:val="18"/>
          <w:szCs w:val="20"/>
        </w:rPr>
        <w:t xml:space="preserve"> </w:t>
      </w:r>
      <w:r w:rsidRPr="00EF09BD">
        <w:rPr>
          <w:rFonts w:ascii="Times New Roman" w:hAnsi="Times New Roman"/>
          <w:sz w:val="18"/>
          <w:szCs w:val="20"/>
        </w:rPr>
        <w:t>The positive control used was streptomycin and kanamycin, while DMSO was used as the negative. However, this study shows no inhibition of bacteria and fungi (6-7mm of inhibition area) using these thiourea compounds.</w:t>
      </w:r>
    </w:p>
    <w:p w:rsidR="00EB2493" w:rsidRPr="00EF09BD" w:rsidRDefault="00EB2493" w:rsidP="00EB2493">
      <w:pPr>
        <w:spacing w:after="0" w:line="240" w:lineRule="auto"/>
        <w:jc w:val="both"/>
        <w:rPr>
          <w:rFonts w:ascii="Times New Roman" w:hAnsi="Times New Roman"/>
          <w:sz w:val="24"/>
          <w:szCs w:val="24"/>
        </w:rPr>
      </w:pPr>
    </w:p>
    <w:p w:rsidR="00EB2493" w:rsidRPr="00EF09BD" w:rsidRDefault="00EB2493" w:rsidP="00EB2493">
      <w:pPr>
        <w:spacing w:after="0" w:line="240" w:lineRule="auto"/>
        <w:jc w:val="both"/>
        <w:rPr>
          <w:rFonts w:ascii="Times New Roman" w:hAnsi="Times New Roman"/>
          <w:sz w:val="18"/>
          <w:szCs w:val="18"/>
          <w:lang w:val="en-MY"/>
        </w:rPr>
      </w:pPr>
      <w:r w:rsidRPr="00EF09BD">
        <w:rPr>
          <w:rFonts w:ascii="Times New Roman" w:hAnsi="Times New Roman"/>
          <w:b/>
          <w:sz w:val="18"/>
          <w:szCs w:val="18"/>
          <w:lang w:val="en-MY"/>
        </w:rPr>
        <w:t>Keywords</w:t>
      </w:r>
      <w:r w:rsidRPr="00EF09BD">
        <w:rPr>
          <w:rFonts w:ascii="Times New Roman" w:hAnsi="Times New Roman"/>
          <w:sz w:val="18"/>
          <w:szCs w:val="18"/>
          <w:lang w:val="en-MY"/>
        </w:rPr>
        <w:t>: thiourea compound, microvawe, antimicrob activity</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D54D5E"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Pengenalan</w:t>
      </w:r>
    </w:p>
    <w:p w:rsidR="00D54D5E" w:rsidRPr="00EF09BD" w:rsidRDefault="00D54D5E" w:rsidP="00D54D5E">
      <w:pPr>
        <w:spacing w:after="0" w:line="240" w:lineRule="auto"/>
        <w:jc w:val="both"/>
        <w:rPr>
          <w:rFonts w:ascii="Times New Roman" w:hAnsi="Times New Roman"/>
          <w:sz w:val="18"/>
          <w:szCs w:val="18"/>
          <w:lang w:val="en-MY"/>
        </w:rPr>
      </w:pPr>
      <w:r w:rsidRPr="00EF09BD">
        <w:rPr>
          <w:rFonts w:ascii="Times New Roman" w:hAnsi="Times New Roman"/>
          <w:sz w:val="20"/>
          <w:szCs w:val="20"/>
        </w:rPr>
        <w:t>Tiourea adalah sebatian organosulfur yang mempunyai formula SC(NH</w:t>
      </w:r>
      <w:r w:rsidRPr="00EF09BD">
        <w:rPr>
          <w:rFonts w:ascii="Times New Roman" w:hAnsi="Times New Roman"/>
          <w:sz w:val="20"/>
          <w:szCs w:val="20"/>
          <w:vertAlign w:val="subscript"/>
        </w:rPr>
        <w:t>2</w:t>
      </w:r>
      <w:r w:rsidRPr="00EF09BD">
        <w:rPr>
          <w:rFonts w:ascii="Times New Roman" w:hAnsi="Times New Roman"/>
          <w:sz w:val="20"/>
          <w:szCs w:val="20"/>
        </w:rPr>
        <w:t>)</w:t>
      </w:r>
      <w:r w:rsidRPr="00EF09BD">
        <w:rPr>
          <w:rFonts w:ascii="Times New Roman" w:hAnsi="Times New Roman"/>
          <w:sz w:val="20"/>
          <w:szCs w:val="20"/>
          <w:vertAlign w:val="subscript"/>
        </w:rPr>
        <w:t>2</w:t>
      </w:r>
      <w:r w:rsidRPr="00EF09BD">
        <w:rPr>
          <w:rFonts w:ascii="Times New Roman" w:hAnsi="Times New Roman"/>
          <w:sz w:val="20"/>
          <w:szCs w:val="20"/>
        </w:rPr>
        <w:t xml:space="preserve">. Struktur molekulnya sama seperti urea kecuali kedudukan oksigen digantikan dengan sulfur.  Dalam satu kajian terbitan tiourea, kompleks poli(etilena </w:t>
      </w:r>
      <w:r w:rsidRPr="00EF09BD">
        <w:rPr>
          <w:rFonts w:ascii="Times New Roman" w:hAnsi="Times New Roman"/>
          <w:sz w:val="20"/>
          <w:szCs w:val="20"/>
        </w:rPr>
        <w:lastRenderedPageBreak/>
        <w:t>glikol)–tiourea (PEG.TU) telah menunjukkan sifat mangkin dengan membantu tindak balas untuk menghasilkan produk dalam masa lebih singkat [1]. Selain itu, tiourea juga digunakan sebagai sumber sulfida di mana apabila bertindak balas dengan alkil halida, sebatian tiol dihasilkan. Tiourea juga telah banyak digunakan dalam kajian biologi sebagai racun serangga, racun rumput, anti-bakteria, anti-kulat, penawar penyakit paru-paru, antitiroid, dan pengatur pertumbuhan tumbuhan [2]. Terbitan tiourea juga merupakan blok binaan kimia yang penting dalam bidang kimia dan farmasi [3]. Terdapat juga kajian lepas yang membuktikan keberkesanan tiourea sebagai antimikrob. Tiourea juga mampu bertindak sebagai bahan antimikrob yang baik. Bahan tiourea yang mempunyai gelang benzotiazola mempunyai</w:t>
      </w:r>
      <w:r w:rsidRPr="00EF09BD">
        <w:rPr>
          <w:sz w:val="20"/>
          <w:szCs w:val="20"/>
        </w:rPr>
        <w:t xml:space="preserve"> </w:t>
      </w:r>
      <w:r w:rsidRPr="00EF09BD">
        <w:rPr>
          <w:rFonts w:ascii="Times New Roman" w:hAnsi="Times New Roman"/>
          <w:sz w:val="20"/>
          <w:szCs w:val="20"/>
        </w:rPr>
        <w:t xml:space="preserve">aktiviti antimikrob yang lebih tinggi berbanding tiourea tanpa gelang benzotiazola [4]. Selain itu, kajian tersebut juga mendapati kehadiran kumpulan pengganti nitro pada gelang benzotiazola dapat meningkatkan aktiviti antimikrobnya. </w:t>
      </w:r>
    </w:p>
    <w:p w:rsidR="00D54D5E" w:rsidRPr="00EF09BD" w:rsidRDefault="00D54D5E" w:rsidP="00D54D5E">
      <w:pPr>
        <w:spacing w:after="0" w:line="240" w:lineRule="auto"/>
        <w:jc w:val="both"/>
        <w:rPr>
          <w:rFonts w:ascii="Times New Roman" w:hAnsi="Times New Roman"/>
          <w:sz w:val="18"/>
          <w:szCs w:val="18"/>
          <w:lang w:val="en-MY"/>
        </w:rPr>
      </w:pPr>
    </w:p>
    <w:p w:rsidR="00D54D5E" w:rsidRPr="00EF09BD" w:rsidRDefault="00D54D5E" w:rsidP="00D54D5E">
      <w:pPr>
        <w:spacing w:after="0" w:line="240" w:lineRule="auto"/>
        <w:jc w:val="both"/>
        <w:rPr>
          <w:rFonts w:ascii="Times New Roman" w:hAnsi="Times New Roman"/>
          <w:sz w:val="18"/>
          <w:szCs w:val="18"/>
          <w:lang w:val="en-MY"/>
        </w:rPr>
      </w:pPr>
      <w:r w:rsidRPr="00EF09BD">
        <w:rPr>
          <w:rFonts w:ascii="Times New Roman" w:hAnsi="Times New Roman"/>
          <w:sz w:val="20"/>
          <w:szCs w:val="20"/>
        </w:rPr>
        <w:t>Sintesis sebatian tiourea dengan menggunakan kaedah refluks merupakan kaedah yang telah lama digunakan. Pada tahun 1940, penggunaan tenaga mikrogelombang dalam proses pemanasan makanan diperkenalkan. Kemudian, pada tahun 1950, inovasi dalam aplikasi teknikal seperti dalam bidang kimia dan industri telah diperkenalkan [5]. Kini dengan adanya kemajuan teknologi, sintesis sebatian ini sudah semakin diperbaharui dengan menggunakan kaedah mikrogelombang. Kaedah mikrogelombang ini bukan sahaja dapat menghasilkan produk dengan cepat, malah dapat meningkatkan ketulenan hasil berbanding kaedah konvensional [6].</w:t>
      </w:r>
      <w:r w:rsidRPr="00EF09BD">
        <w:rPr>
          <w:sz w:val="20"/>
          <w:szCs w:val="20"/>
        </w:rPr>
        <w:t xml:space="preserve"> </w:t>
      </w:r>
      <w:r w:rsidRPr="00EF09BD">
        <w:rPr>
          <w:rFonts w:ascii="Times New Roman" w:hAnsi="Times New Roman"/>
          <w:sz w:val="20"/>
          <w:szCs w:val="20"/>
        </w:rPr>
        <w:t>Sintesis ini mengambil masa dua jam hingga semalaman [2].  Penggunaan mikrogelombang ini juga dikaitkan dengan konsep ‘Kimia Hijau’ kerana kaedah ini menggunakan tenaga mikrogelombang untuk tindak balas kimia [7]. Pada tahun 2012, satu kajian untuk sintesis sebatian N-fenil-4-(6-fenilimidazo[2,1-b]tiazol-5-il)tiazol-2-amina turut menggunakan kaedah mikrogelombang [8]. Peratusan produk yang terhasil adalah tinggi iaitu 89–95%. Penggunaan mikrogelombang adalah mempercepatkan transformasi serta tindak balas bahan kimia organik [9,10]. Di dalam kajian ini, dua sebatian terbitan naftalentiourea (</w:t>
      </w:r>
      <w:r w:rsidRPr="00EF09BD">
        <w:rPr>
          <w:rFonts w:ascii="Times New Roman" w:hAnsi="Times New Roman"/>
          <w:b/>
          <w:bCs/>
          <w:sz w:val="20"/>
          <w:szCs w:val="20"/>
        </w:rPr>
        <w:t>3a</w:t>
      </w:r>
      <w:r w:rsidRPr="00EF09BD">
        <w:rPr>
          <w:rFonts w:ascii="Times New Roman" w:hAnsi="Times New Roman"/>
          <w:bCs/>
          <w:sz w:val="20"/>
          <w:szCs w:val="20"/>
        </w:rPr>
        <w:t xml:space="preserve"> dan</w:t>
      </w:r>
      <w:r w:rsidRPr="00EF09BD">
        <w:rPr>
          <w:rFonts w:ascii="Times New Roman" w:hAnsi="Times New Roman"/>
          <w:b/>
          <w:bCs/>
          <w:sz w:val="20"/>
          <w:szCs w:val="20"/>
        </w:rPr>
        <w:t xml:space="preserve"> 3b</w:t>
      </w:r>
      <w:r w:rsidRPr="00EF09BD">
        <w:rPr>
          <w:rFonts w:ascii="Times New Roman" w:hAnsi="Times New Roman"/>
          <w:sz w:val="20"/>
          <w:szCs w:val="20"/>
        </w:rPr>
        <w:t xml:space="preserve">) telah berjaya disintesis melalui bahan pemula amina, 2-(etilamino)etanol </w:t>
      </w:r>
      <w:r w:rsidRPr="00EF09BD">
        <w:rPr>
          <w:rFonts w:ascii="Times New Roman" w:hAnsi="Times New Roman"/>
          <w:b/>
          <w:sz w:val="20"/>
          <w:szCs w:val="20"/>
        </w:rPr>
        <w:t>(2a)</w:t>
      </w:r>
      <w:r w:rsidRPr="00EF09BD">
        <w:rPr>
          <w:rFonts w:ascii="Times New Roman" w:hAnsi="Times New Roman"/>
          <w:sz w:val="20"/>
          <w:szCs w:val="20"/>
        </w:rPr>
        <w:t xml:space="preserve"> dan fenilhidrazina </w:t>
      </w:r>
      <w:r w:rsidRPr="00EF09BD">
        <w:rPr>
          <w:rFonts w:ascii="Times New Roman" w:hAnsi="Times New Roman"/>
          <w:b/>
          <w:sz w:val="20"/>
          <w:szCs w:val="20"/>
        </w:rPr>
        <w:t>(2b)</w:t>
      </w:r>
      <w:r w:rsidRPr="00EF09BD">
        <w:rPr>
          <w:rFonts w:ascii="Times New Roman" w:hAnsi="Times New Roman"/>
          <w:sz w:val="20"/>
          <w:szCs w:val="20"/>
        </w:rPr>
        <w:t xml:space="preserve"> melalui kaedah refluks dan kaedah mikrogelombang. Sifat antimikrobnya juga turut diuji dalam kajian ini. </w:t>
      </w:r>
    </w:p>
    <w:p w:rsidR="006768E9" w:rsidRPr="00F447A7" w:rsidRDefault="006768E9" w:rsidP="00D54D5E">
      <w:pPr>
        <w:spacing w:after="0" w:line="240" w:lineRule="auto"/>
        <w:jc w:val="center"/>
        <w:rPr>
          <w:rFonts w:ascii="Times New Roman" w:hAnsi="Times New Roman"/>
          <w:noProof/>
          <w:sz w:val="20"/>
          <w:szCs w:val="20"/>
          <w:lang w:bidi="ar-SA"/>
        </w:rPr>
      </w:pPr>
    </w:p>
    <w:p w:rsidR="00D54D5E" w:rsidRPr="00EF09BD" w:rsidRDefault="00D54D5E" w:rsidP="00D54D5E">
      <w:pPr>
        <w:spacing w:after="0" w:line="240" w:lineRule="auto"/>
        <w:jc w:val="center"/>
        <w:rPr>
          <w:rFonts w:ascii="Times New Roman" w:hAnsi="Times New Roman"/>
          <w:b/>
          <w:sz w:val="20"/>
          <w:szCs w:val="20"/>
        </w:rPr>
      </w:pPr>
      <w:r w:rsidRPr="00EF09BD">
        <w:rPr>
          <w:rFonts w:ascii="Times New Roman" w:hAnsi="Times New Roman"/>
          <w:b/>
          <w:sz w:val="20"/>
          <w:szCs w:val="20"/>
        </w:rPr>
        <w:t>Bahan dan Kaedah</w:t>
      </w:r>
    </w:p>
    <w:p w:rsidR="00D54D5E" w:rsidRPr="00EF09BD" w:rsidRDefault="00D54D5E" w:rsidP="00D54D5E">
      <w:pPr>
        <w:spacing w:after="0" w:line="240" w:lineRule="auto"/>
        <w:jc w:val="both"/>
        <w:rPr>
          <w:rFonts w:ascii="Times New Roman" w:hAnsi="Times New Roman"/>
          <w:b/>
          <w:bCs/>
          <w:sz w:val="20"/>
          <w:szCs w:val="20"/>
        </w:rPr>
      </w:pPr>
      <w:r w:rsidRPr="00EF09BD">
        <w:rPr>
          <w:rFonts w:ascii="Times New Roman" w:hAnsi="Times New Roman"/>
          <w:b/>
          <w:bCs/>
          <w:sz w:val="20"/>
          <w:szCs w:val="20"/>
        </w:rPr>
        <w:t>Bahan kimia</w:t>
      </w: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Bahan-bahan kimia berserta pembekal yang digunakan dalam penyelidikan ini adalah 1-1-naftil isotiosianat (Acros), 2-(etilamino)etanol (Sigma Aldrich), fenil hidrazina (Sigma Aldrich), etilena diamina (Sigma Aldrich) dan pelarut organik seperti diklorometana, dimetilsulfoksida dan klorofom yang diperolehi dari syarikat Fisher. Semua bahan kimia dan pelarut digunakan tanpa perlu dilakukan proses penulenan terlebih dahulu.</w:t>
      </w: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b/>
          <w:sz w:val="20"/>
          <w:szCs w:val="20"/>
        </w:rPr>
      </w:pPr>
      <w:r w:rsidRPr="00EF09BD">
        <w:rPr>
          <w:rFonts w:ascii="Times New Roman" w:hAnsi="Times New Roman"/>
          <w:b/>
          <w:sz w:val="20"/>
          <w:szCs w:val="20"/>
        </w:rPr>
        <w:t>Instrumentasi</w:t>
      </w: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sz w:val="20"/>
          <w:szCs w:val="20"/>
        </w:rPr>
        <w:t>Spektrum Infra Merah direkodkan menggunakan Perkin Elmer FT-IR pada suhu bilik. Sampel disediakan secara kaedah KBr dan dianalisis pada panjang gelombang 400 – 4000 cm</w:t>
      </w:r>
      <w:r w:rsidRPr="00EF09BD">
        <w:rPr>
          <w:rFonts w:ascii="Times New Roman" w:hAnsi="Times New Roman"/>
          <w:sz w:val="20"/>
          <w:szCs w:val="20"/>
          <w:vertAlign w:val="superscript"/>
        </w:rPr>
        <w:t>-1</w:t>
      </w:r>
      <w:r w:rsidRPr="00EF09BD">
        <w:rPr>
          <w:rFonts w:ascii="Times New Roman" w:hAnsi="Times New Roman"/>
          <w:sz w:val="20"/>
          <w:szCs w:val="20"/>
        </w:rPr>
        <w:t xml:space="preserve">. </w:t>
      </w:r>
      <w:r w:rsidRPr="00EF09BD">
        <w:rPr>
          <w:rFonts w:ascii="Times New Roman" w:hAnsi="Times New Roman"/>
          <w:sz w:val="20"/>
          <w:szCs w:val="20"/>
          <w:vertAlign w:val="superscript"/>
        </w:rPr>
        <w:t>1</w:t>
      </w:r>
      <w:r w:rsidRPr="00EF09BD">
        <w:rPr>
          <w:rFonts w:ascii="Times New Roman" w:hAnsi="Times New Roman"/>
          <w:sz w:val="20"/>
          <w:szCs w:val="20"/>
        </w:rPr>
        <w:t xml:space="preserve">H NMR and </w:t>
      </w:r>
      <w:r w:rsidRPr="00EF09BD">
        <w:rPr>
          <w:rFonts w:ascii="Times New Roman" w:hAnsi="Times New Roman"/>
          <w:sz w:val="20"/>
          <w:szCs w:val="20"/>
          <w:vertAlign w:val="superscript"/>
        </w:rPr>
        <w:t>13</w:t>
      </w:r>
      <w:r w:rsidRPr="00EF09BD">
        <w:rPr>
          <w:rFonts w:ascii="Times New Roman" w:hAnsi="Times New Roman"/>
          <w:sz w:val="20"/>
          <w:szCs w:val="20"/>
        </w:rPr>
        <w:t>C NMR spektrum direkodkan menggunakan spektrometer Bruker Advance (400 MHz) dan tetrametilsilana (TMS) sebagai rujukan. Kaedah pemisahan dan penulenan dilakukan menggunakan kaedah kromatografi lapisan nipis (KLN) di atas gel silika jenama Merck DC Kieselgel 60 F</w:t>
      </w:r>
      <w:r w:rsidRPr="00EF09BD">
        <w:rPr>
          <w:rFonts w:ascii="Times New Roman" w:hAnsi="Times New Roman"/>
          <w:sz w:val="20"/>
          <w:szCs w:val="20"/>
          <w:vertAlign w:val="subscript"/>
        </w:rPr>
        <w:t>254</w:t>
      </w:r>
      <w:r w:rsidRPr="00EF09BD">
        <w:rPr>
          <w:rFonts w:ascii="Times New Roman" w:hAnsi="Times New Roman"/>
          <w:sz w:val="20"/>
          <w:szCs w:val="20"/>
        </w:rPr>
        <w:t>.</w:t>
      </w: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b/>
          <w:sz w:val="20"/>
          <w:szCs w:val="20"/>
        </w:rPr>
        <w:t>Sintesis tiourea 1</w:t>
      </w:r>
      <w:r w:rsidR="00496236">
        <w:rPr>
          <w:rFonts w:ascii="Times New Roman" w:hAnsi="Times New Roman"/>
          <w:b/>
          <w:sz w:val="20"/>
          <w:szCs w:val="20"/>
        </w:rPr>
        <w:t>-etil-1-(2-hidroksi-etil)-3-naf</w:t>
      </w:r>
      <w:r w:rsidRPr="00EF09BD">
        <w:rPr>
          <w:rFonts w:ascii="Times New Roman" w:hAnsi="Times New Roman"/>
          <w:b/>
          <w:sz w:val="20"/>
          <w:szCs w:val="20"/>
        </w:rPr>
        <w:t>talen-1-il-tiourea (3a) dan 1-(fenil-amino)-3-naftalen-1-il-tiourea (3b)</w:t>
      </w: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sz w:val="20"/>
          <w:szCs w:val="20"/>
        </w:rPr>
        <w:t>Dalam kajian ini, penyediaan sebatian tiourea 1</w:t>
      </w:r>
      <w:r w:rsidR="00496236">
        <w:rPr>
          <w:rFonts w:ascii="Times New Roman" w:hAnsi="Times New Roman"/>
          <w:sz w:val="20"/>
          <w:szCs w:val="20"/>
        </w:rPr>
        <w:t>-etil-1-(2-hidroksi-etil)-3-naf</w:t>
      </w:r>
      <w:r w:rsidRPr="00EF09BD">
        <w:rPr>
          <w:rFonts w:ascii="Times New Roman" w:hAnsi="Times New Roman"/>
          <w:sz w:val="20"/>
          <w:szCs w:val="20"/>
        </w:rPr>
        <w:t xml:space="preserve">talen-1-il-tiourea </w:t>
      </w:r>
      <w:r w:rsidRPr="00EF09BD">
        <w:rPr>
          <w:rFonts w:ascii="Times New Roman" w:hAnsi="Times New Roman"/>
          <w:b/>
          <w:sz w:val="20"/>
          <w:szCs w:val="20"/>
        </w:rPr>
        <w:t>(3a)</w:t>
      </w:r>
      <w:r w:rsidRPr="00EF09BD">
        <w:rPr>
          <w:rFonts w:ascii="Times New Roman" w:hAnsi="Times New Roman"/>
          <w:sz w:val="20"/>
          <w:szCs w:val="20"/>
        </w:rPr>
        <w:t xml:space="preserve"> dan 1-(fenil-amino)-3-naftalen-1-il-tiourea </w:t>
      </w:r>
      <w:r w:rsidRPr="00EF09BD">
        <w:rPr>
          <w:rFonts w:ascii="Times New Roman" w:hAnsi="Times New Roman"/>
          <w:b/>
          <w:sz w:val="20"/>
          <w:szCs w:val="20"/>
        </w:rPr>
        <w:t>(3b)</w:t>
      </w:r>
      <w:r w:rsidRPr="00EF09BD">
        <w:rPr>
          <w:rFonts w:ascii="Times New Roman" w:hAnsi="Times New Roman"/>
          <w:sz w:val="20"/>
          <w:szCs w:val="20"/>
        </w:rPr>
        <w:t xml:space="preserve"> dilakukan dengan menggunakan dua kaedah, iaitu kaedah refluks dan kaedah mikrogelombang. Bagi sintesis sebatian </w:t>
      </w:r>
      <w:r w:rsidRPr="00EF09BD">
        <w:rPr>
          <w:rFonts w:ascii="Times New Roman" w:hAnsi="Times New Roman"/>
          <w:b/>
          <w:sz w:val="20"/>
          <w:szCs w:val="20"/>
        </w:rPr>
        <w:t>(3a)</w:t>
      </w:r>
      <w:r w:rsidRPr="00EF09BD">
        <w:rPr>
          <w:rFonts w:ascii="Times New Roman" w:hAnsi="Times New Roman"/>
          <w:sz w:val="20"/>
          <w:szCs w:val="20"/>
        </w:rPr>
        <w:t xml:space="preserve">, 2-(etilamino)etanol </w:t>
      </w:r>
      <w:r w:rsidRPr="00EF09BD">
        <w:rPr>
          <w:rFonts w:ascii="Times New Roman" w:hAnsi="Times New Roman"/>
          <w:b/>
          <w:sz w:val="20"/>
          <w:szCs w:val="20"/>
        </w:rPr>
        <w:t>(2a)</w:t>
      </w:r>
      <w:r w:rsidRPr="00EF09BD">
        <w:rPr>
          <w:rFonts w:ascii="Times New Roman" w:hAnsi="Times New Roman"/>
          <w:sz w:val="20"/>
          <w:szCs w:val="20"/>
        </w:rPr>
        <w:t xml:space="preserve"> (0.179g, 2.00 mmol) ditindak balaskan dengan 1-naftil isotiosianat </w:t>
      </w:r>
      <w:r w:rsidRPr="00EF09BD">
        <w:rPr>
          <w:rFonts w:ascii="Times New Roman" w:hAnsi="Times New Roman"/>
          <w:b/>
          <w:sz w:val="20"/>
          <w:szCs w:val="20"/>
        </w:rPr>
        <w:t>(1)</w:t>
      </w:r>
      <w:r w:rsidRPr="00EF09BD">
        <w:rPr>
          <w:rFonts w:ascii="Times New Roman" w:hAnsi="Times New Roman"/>
          <w:sz w:val="20"/>
          <w:szCs w:val="20"/>
        </w:rPr>
        <w:t xml:space="preserve"> (0.370g, 2.00 mmol). Kedua-dua bahan pemula ini dimasukkan ke dalam kelalang dengan kehadiran pelarut diklorometana (DKM) sebanyak 10 ml. Kemudian, campuran tersebut dibiarkan refluks [11] selama semalaman. Setelah kajian kualitatif menggunakan kromatografi lapisan nipis (KLN) menunjukkan semua bahan telah bertindak balas, pelarut DKM akan disejat menggunakan penyejat berputar untuk mendapatkan hasil kasar.</w:t>
      </w: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sz w:val="20"/>
          <w:szCs w:val="20"/>
        </w:rPr>
        <w:t xml:space="preserve">Penyediaan sebatian </w:t>
      </w:r>
      <w:r w:rsidRPr="00EF09BD">
        <w:rPr>
          <w:rFonts w:ascii="Times New Roman" w:hAnsi="Times New Roman"/>
          <w:b/>
          <w:sz w:val="20"/>
          <w:szCs w:val="20"/>
        </w:rPr>
        <w:t xml:space="preserve">(3a) </w:t>
      </w:r>
      <w:r w:rsidRPr="00EF09BD">
        <w:rPr>
          <w:rFonts w:ascii="Times New Roman" w:hAnsi="Times New Roman"/>
          <w:sz w:val="20"/>
          <w:szCs w:val="20"/>
        </w:rPr>
        <w:t xml:space="preserve">menggunakan kaedah sinaran mikrogelombang bermula dengan mencampurkan bahan pemula, 2-(etilamino)etanol </w:t>
      </w:r>
      <w:r w:rsidRPr="00EF09BD">
        <w:rPr>
          <w:rFonts w:ascii="Times New Roman" w:hAnsi="Times New Roman"/>
          <w:b/>
          <w:sz w:val="20"/>
          <w:szCs w:val="20"/>
        </w:rPr>
        <w:t xml:space="preserve">(2a) </w:t>
      </w:r>
      <w:r w:rsidRPr="00EF09BD">
        <w:rPr>
          <w:rFonts w:ascii="Times New Roman" w:hAnsi="Times New Roman"/>
          <w:sz w:val="20"/>
          <w:szCs w:val="20"/>
        </w:rPr>
        <w:t xml:space="preserve">(0.060g, 0.667 mmol) dan 1-naftil isotiosianat </w:t>
      </w:r>
      <w:r w:rsidRPr="00EF09BD">
        <w:rPr>
          <w:rFonts w:ascii="Times New Roman" w:hAnsi="Times New Roman"/>
          <w:b/>
          <w:sz w:val="20"/>
          <w:szCs w:val="20"/>
        </w:rPr>
        <w:t>(1)</w:t>
      </w:r>
      <w:r w:rsidRPr="00EF09BD">
        <w:rPr>
          <w:rFonts w:ascii="Times New Roman" w:hAnsi="Times New Roman"/>
          <w:sz w:val="20"/>
          <w:szCs w:val="20"/>
        </w:rPr>
        <w:t xml:space="preserve"> (0.123g, 0.667mmol) ke dalam </w:t>
      </w:r>
      <w:r w:rsidRPr="00EF09BD">
        <w:rPr>
          <w:rFonts w:ascii="Times New Roman" w:hAnsi="Times New Roman"/>
          <w:sz w:val="20"/>
          <w:szCs w:val="20"/>
        </w:rPr>
        <w:lastRenderedPageBreak/>
        <w:t>botol sampel</w:t>
      </w:r>
      <w:r w:rsidRPr="00EF09BD">
        <w:rPr>
          <w:rFonts w:ascii="Times New Roman" w:hAnsi="Times New Roman"/>
          <w:b/>
          <w:sz w:val="20"/>
          <w:szCs w:val="20"/>
        </w:rPr>
        <w:t xml:space="preserve"> </w:t>
      </w:r>
      <w:r w:rsidRPr="00EF09BD">
        <w:rPr>
          <w:rFonts w:ascii="Times New Roman" w:hAnsi="Times New Roman"/>
          <w:sz w:val="20"/>
          <w:szCs w:val="20"/>
        </w:rPr>
        <w:t>dengan kehadiran pelarut DKM yang sedikit (0.5 ml). Campuran tersebut disinarkan dengan mikrogelombang [12] pada 250W selama 5 minit. Mendakan putih terhasil dan ditentukan melalui analisis KLN.</w:t>
      </w: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p>
    <w:p w:rsidR="00D54D5E" w:rsidRPr="00EF09BD" w:rsidRDefault="00D54D5E" w:rsidP="00D54D5E">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sz w:val="20"/>
          <w:szCs w:val="20"/>
        </w:rPr>
        <w:t xml:space="preserve">Kedua-dua kaedah di atas diulangi dengan menggunakan fenilhidrazina </w:t>
      </w:r>
      <w:r w:rsidRPr="00EF09BD">
        <w:rPr>
          <w:rFonts w:ascii="Times New Roman" w:hAnsi="Times New Roman"/>
          <w:b/>
          <w:sz w:val="20"/>
          <w:szCs w:val="20"/>
        </w:rPr>
        <w:t xml:space="preserve">(2b) </w:t>
      </w:r>
      <w:r w:rsidRPr="00EF09BD">
        <w:rPr>
          <w:rFonts w:ascii="Times New Roman" w:hAnsi="Times New Roman"/>
          <w:sz w:val="20"/>
          <w:szCs w:val="20"/>
        </w:rPr>
        <w:t xml:space="preserve">(0.216g, 2.00 mmol) bagi menggantikan 2-(etilamino)etanol </w:t>
      </w:r>
      <w:r w:rsidRPr="00EF09BD">
        <w:rPr>
          <w:rFonts w:ascii="Times New Roman" w:hAnsi="Times New Roman"/>
          <w:b/>
          <w:sz w:val="20"/>
          <w:szCs w:val="20"/>
        </w:rPr>
        <w:t xml:space="preserve">(2a) </w:t>
      </w:r>
      <w:r w:rsidRPr="00EF09BD">
        <w:rPr>
          <w:rFonts w:ascii="Times New Roman" w:hAnsi="Times New Roman"/>
          <w:sz w:val="20"/>
          <w:szCs w:val="20"/>
        </w:rPr>
        <w:t xml:space="preserve">untuk penyediaan sebatian </w:t>
      </w:r>
      <w:r w:rsidRPr="00EF09BD">
        <w:rPr>
          <w:rFonts w:ascii="Times New Roman" w:hAnsi="Times New Roman"/>
          <w:b/>
          <w:sz w:val="20"/>
          <w:szCs w:val="20"/>
        </w:rPr>
        <w:t xml:space="preserve">(3b). </w:t>
      </w:r>
      <w:r w:rsidRPr="00EF09BD">
        <w:rPr>
          <w:rFonts w:ascii="Times New Roman" w:hAnsi="Times New Roman"/>
          <w:sz w:val="20"/>
          <w:szCs w:val="20"/>
        </w:rPr>
        <w:t>Kaedah konvensional yang digunapakai adalah kaedah tindak balas biasa iaitu tindak balas penambahan nuklofilik dan kaedah mikrogelombang adalah seperti yang telah dilaporkan oleh Atisya et al. [13].</w:t>
      </w: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b/>
          <w:sz w:val="20"/>
          <w:szCs w:val="20"/>
        </w:rPr>
        <w:t>(3a)</w:t>
      </w:r>
      <w:r w:rsidRPr="00EF09BD">
        <w:rPr>
          <w:rFonts w:ascii="Times New Roman" w:hAnsi="Times New Roman"/>
          <w:sz w:val="20"/>
          <w:szCs w:val="20"/>
        </w:rPr>
        <w:t xml:space="preserve"> Pepejal berwarna putih; takat lebur 114 -116 </w:t>
      </w:r>
      <w:r w:rsidRPr="00EF09BD">
        <w:rPr>
          <w:rFonts w:ascii="Times New Roman" w:hAnsi="Times New Roman"/>
          <w:sz w:val="20"/>
          <w:szCs w:val="20"/>
          <w:vertAlign w:val="superscript"/>
        </w:rPr>
        <w:t>o</w:t>
      </w:r>
      <w:r w:rsidRPr="00EF09BD">
        <w:rPr>
          <w:rFonts w:ascii="Times New Roman" w:hAnsi="Times New Roman"/>
          <w:sz w:val="20"/>
          <w:szCs w:val="20"/>
        </w:rPr>
        <w:t>C; FT-IM (KBr, cm</w:t>
      </w:r>
      <w:r w:rsidRPr="00EF09BD">
        <w:rPr>
          <w:rFonts w:ascii="Times New Roman" w:hAnsi="Times New Roman"/>
          <w:sz w:val="20"/>
          <w:szCs w:val="20"/>
          <w:vertAlign w:val="superscript"/>
        </w:rPr>
        <w:t>-1</w:t>
      </w:r>
      <w:r w:rsidRPr="00EF09BD">
        <w:rPr>
          <w:rFonts w:ascii="Times New Roman" w:hAnsi="Times New Roman"/>
          <w:sz w:val="20"/>
          <w:szCs w:val="20"/>
        </w:rPr>
        <w:t xml:space="preserve">) 3343, 3291, 1565, 776; </w:t>
      </w:r>
      <w:r w:rsidRPr="00EF09BD">
        <w:rPr>
          <w:rFonts w:ascii="Times New Roman" w:hAnsi="Times New Roman"/>
          <w:sz w:val="20"/>
          <w:szCs w:val="20"/>
          <w:vertAlign w:val="superscript"/>
        </w:rPr>
        <w:t>1</w:t>
      </w:r>
      <w:r w:rsidRPr="00EF09BD">
        <w:rPr>
          <w:rFonts w:ascii="Times New Roman" w:hAnsi="Times New Roman"/>
          <w:sz w:val="20"/>
          <w:szCs w:val="20"/>
        </w:rPr>
        <w:t>H NMR (400 MHz, DMSO) δ 1.23 (3H,</w:t>
      </w:r>
      <w:r w:rsidRPr="00EF09BD">
        <w:rPr>
          <w:rFonts w:ascii="Times New Roman" w:hAnsi="Times New Roman"/>
          <w:i/>
          <w:sz w:val="20"/>
          <w:szCs w:val="20"/>
        </w:rPr>
        <w:t xml:space="preserve"> t</w:t>
      </w:r>
      <w:r w:rsidRPr="00EF09BD">
        <w:rPr>
          <w:rFonts w:ascii="Times New Roman" w:hAnsi="Times New Roman"/>
          <w:sz w:val="20"/>
          <w:szCs w:val="20"/>
        </w:rPr>
        <w:t>, J=6.8 Hz, -C</w:t>
      </w:r>
      <w:r w:rsidRPr="00EF09BD">
        <w:rPr>
          <w:rFonts w:ascii="Times New Roman" w:hAnsi="Times New Roman"/>
          <w:i/>
          <w:sz w:val="20"/>
          <w:szCs w:val="20"/>
        </w:rPr>
        <w:t>H</w:t>
      </w:r>
      <w:r w:rsidRPr="00EF09BD">
        <w:rPr>
          <w:rFonts w:ascii="Times New Roman" w:hAnsi="Times New Roman"/>
          <w:sz w:val="20"/>
          <w:szCs w:val="20"/>
          <w:vertAlign w:val="subscript"/>
        </w:rPr>
        <w:t>3</w:t>
      </w:r>
      <w:r w:rsidRPr="00EF09BD">
        <w:rPr>
          <w:rFonts w:ascii="Times New Roman" w:hAnsi="Times New Roman"/>
          <w:sz w:val="20"/>
          <w:szCs w:val="20"/>
        </w:rPr>
        <w:t xml:space="preserve">), 3.76 (2H, </w:t>
      </w:r>
      <w:r w:rsidRPr="00EF09BD">
        <w:rPr>
          <w:rFonts w:ascii="Times New Roman" w:hAnsi="Times New Roman"/>
          <w:i/>
          <w:sz w:val="20"/>
          <w:szCs w:val="20"/>
        </w:rPr>
        <w:t>t</w:t>
      </w:r>
      <w:r w:rsidRPr="00EF09BD">
        <w:rPr>
          <w:rFonts w:ascii="Times New Roman" w:hAnsi="Times New Roman"/>
          <w:sz w:val="20"/>
          <w:szCs w:val="20"/>
        </w:rPr>
        <w:t>, J=4.8 Hz, -C</w:t>
      </w:r>
      <w:r w:rsidRPr="00EF09BD">
        <w:rPr>
          <w:rFonts w:ascii="Times New Roman" w:hAnsi="Times New Roman"/>
          <w:i/>
          <w:sz w:val="20"/>
          <w:szCs w:val="20"/>
        </w:rPr>
        <w:t>H</w:t>
      </w:r>
      <w:r w:rsidRPr="00EF09BD">
        <w:rPr>
          <w:rFonts w:ascii="Times New Roman" w:hAnsi="Times New Roman"/>
          <w:sz w:val="20"/>
          <w:szCs w:val="20"/>
          <w:vertAlign w:val="subscript"/>
        </w:rPr>
        <w:t>2</w:t>
      </w:r>
      <w:r w:rsidRPr="00EF09BD">
        <w:rPr>
          <w:rFonts w:ascii="Times New Roman" w:hAnsi="Times New Roman"/>
          <w:sz w:val="20"/>
          <w:szCs w:val="20"/>
        </w:rPr>
        <w:t xml:space="preserve">-), 3.82 (2H, </w:t>
      </w:r>
      <w:r w:rsidRPr="00EF09BD">
        <w:rPr>
          <w:rFonts w:ascii="Times New Roman" w:hAnsi="Times New Roman"/>
          <w:i/>
          <w:sz w:val="20"/>
          <w:szCs w:val="20"/>
        </w:rPr>
        <w:t>t</w:t>
      </w:r>
      <w:r w:rsidRPr="00EF09BD">
        <w:rPr>
          <w:rFonts w:ascii="Times New Roman" w:hAnsi="Times New Roman"/>
          <w:sz w:val="20"/>
          <w:szCs w:val="20"/>
        </w:rPr>
        <w:t>, J=5.6 Hz, -C</w:t>
      </w:r>
      <w:r w:rsidRPr="00EF09BD">
        <w:rPr>
          <w:rFonts w:ascii="Times New Roman" w:hAnsi="Times New Roman"/>
          <w:i/>
          <w:sz w:val="20"/>
          <w:szCs w:val="20"/>
        </w:rPr>
        <w:t>H</w:t>
      </w:r>
      <w:r w:rsidRPr="00EF09BD">
        <w:rPr>
          <w:rFonts w:ascii="Times New Roman" w:hAnsi="Times New Roman"/>
          <w:sz w:val="20"/>
          <w:szCs w:val="20"/>
          <w:vertAlign w:val="subscript"/>
        </w:rPr>
        <w:t>2</w:t>
      </w:r>
      <w:r w:rsidRPr="00EF09BD">
        <w:rPr>
          <w:rFonts w:ascii="Times New Roman" w:hAnsi="Times New Roman"/>
          <w:sz w:val="20"/>
          <w:szCs w:val="20"/>
        </w:rPr>
        <w:t xml:space="preserve">-), 3.86(2H, </w:t>
      </w:r>
      <w:r w:rsidRPr="00EF09BD">
        <w:rPr>
          <w:rFonts w:ascii="Times New Roman" w:hAnsi="Times New Roman"/>
          <w:i/>
          <w:sz w:val="20"/>
          <w:szCs w:val="20"/>
        </w:rPr>
        <w:t>q</w:t>
      </w:r>
      <w:r w:rsidRPr="00EF09BD">
        <w:rPr>
          <w:rFonts w:ascii="Times New Roman" w:hAnsi="Times New Roman"/>
          <w:sz w:val="20"/>
          <w:szCs w:val="20"/>
        </w:rPr>
        <w:t>, J=6.8 Hz, -C</w:t>
      </w:r>
      <w:r w:rsidRPr="00EF09BD">
        <w:rPr>
          <w:rFonts w:ascii="Times New Roman" w:hAnsi="Times New Roman"/>
          <w:i/>
          <w:sz w:val="20"/>
          <w:szCs w:val="20"/>
        </w:rPr>
        <w:t>H</w:t>
      </w:r>
      <w:r w:rsidRPr="00EF09BD">
        <w:rPr>
          <w:rFonts w:ascii="Times New Roman" w:hAnsi="Times New Roman"/>
          <w:sz w:val="20"/>
          <w:szCs w:val="20"/>
          <w:vertAlign w:val="subscript"/>
        </w:rPr>
        <w:t>2</w:t>
      </w:r>
      <w:r w:rsidRPr="00EF09BD">
        <w:rPr>
          <w:rFonts w:ascii="Times New Roman" w:hAnsi="Times New Roman"/>
          <w:sz w:val="20"/>
          <w:szCs w:val="20"/>
        </w:rPr>
        <w:t xml:space="preserve">-), 7.35 (1H,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7.47 (3H,</w:t>
      </w:r>
      <w:r w:rsidRPr="00EF09BD">
        <w:rPr>
          <w:rFonts w:ascii="Times New Roman" w:hAnsi="Times New Roman"/>
          <w:i/>
          <w:sz w:val="20"/>
          <w:szCs w:val="20"/>
        </w:rPr>
        <w:t xml:space="preserve"> 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7.77 (1H,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7.84 (1H,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7.89 (1H,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9.43 (1H, </w:t>
      </w:r>
      <w:r w:rsidRPr="00EF09BD">
        <w:rPr>
          <w:rFonts w:ascii="Times New Roman" w:hAnsi="Times New Roman"/>
          <w:i/>
          <w:sz w:val="20"/>
          <w:szCs w:val="20"/>
        </w:rPr>
        <w:t>s</w:t>
      </w:r>
      <w:r w:rsidRPr="00EF09BD">
        <w:rPr>
          <w:rFonts w:ascii="Times New Roman" w:hAnsi="Times New Roman"/>
          <w:sz w:val="20"/>
          <w:szCs w:val="20"/>
        </w:rPr>
        <w:t>, -N</w:t>
      </w:r>
      <w:r w:rsidRPr="00EF09BD">
        <w:rPr>
          <w:rFonts w:ascii="Times New Roman" w:hAnsi="Times New Roman"/>
          <w:i/>
          <w:sz w:val="20"/>
          <w:szCs w:val="20"/>
        </w:rPr>
        <w:t>H</w:t>
      </w:r>
      <w:r w:rsidRPr="00EF09BD">
        <w:rPr>
          <w:rFonts w:ascii="Times New Roman" w:hAnsi="Times New Roman"/>
          <w:sz w:val="20"/>
          <w:szCs w:val="20"/>
        </w:rPr>
        <w:t xml:space="preserve">-);  </w:t>
      </w:r>
      <w:r w:rsidRPr="00EF09BD">
        <w:rPr>
          <w:rFonts w:ascii="Times New Roman" w:hAnsi="Times New Roman"/>
          <w:sz w:val="20"/>
          <w:szCs w:val="20"/>
          <w:vertAlign w:val="superscript"/>
        </w:rPr>
        <w:t>13</w:t>
      </w:r>
      <w:r w:rsidRPr="00EF09BD">
        <w:rPr>
          <w:rFonts w:ascii="Times New Roman" w:hAnsi="Times New Roman"/>
          <w:sz w:val="20"/>
          <w:szCs w:val="20"/>
        </w:rPr>
        <w:t xml:space="preserve">C NMR (100 MHz, </w:t>
      </w:r>
      <w:r w:rsidRPr="00EF09BD">
        <w:rPr>
          <w:rFonts w:ascii="Times New Roman" w:hAnsi="Times New Roman"/>
          <w:i/>
          <w:sz w:val="20"/>
          <w:szCs w:val="20"/>
        </w:rPr>
        <w:t>d</w:t>
      </w:r>
      <w:r w:rsidRPr="00EF09BD">
        <w:rPr>
          <w:rFonts w:ascii="Times New Roman" w:hAnsi="Times New Roman"/>
          <w:sz w:val="20"/>
          <w:szCs w:val="20"/>
        </w:rPr>
        <w:t>-DMSO) δ 12.9 (</w:t>
      </w:r>
      <w:r w:rsidRPr="00EF09BD">
        <w:rPr>
          <w:rFonts w:ascii="Times New Roman" w:hAnsi="Times New Roman"/>
          <w:i/>
          <w:sz w:val="20"/>
          <w:szCs w:val="20"/>
        </w:rPr>
        <w:t>C</w:t>
      </w:r>
      <w:r w:rsidRPr="00EF09BD">
        <w:rPr>
          <w:rFonts w:ascii="Times New Roman" w:hAnsi="Times New Roman"/>
          <w:sz w:val="20"/>
          <w:szCs w:val="20"/>
        </w:rPr>
        <w:t>H</w:t>
      </w:r>
      <w:r w:rsidRPr="00EF09BD">
        <w:rPr>
          <w:rFonts w:ascii="Times New Roman" w:hAnsi="Times New Roman"/>
          <w:sz w:val="20"/>
          <w:szCs w:val="20"/>
          <w:vertAlign w:val="subscript"/>
        </w:rPr>
        <w:t>3</w:t>
      </w:r>
      <w:r w:rsidRPr="00EF09BD">
        <w:rPr>
          <w:rFonts w:ascii="Times New Roman" w:hAnsi="Times New Roman"/>
          <w:sz w:val="20"/>
          <w:szCs w:val="20"/>
        </w:rPr>
        <w:t>), 47.0 (</w:t>
      </w:r>
      <w:r w:rsidRPr="00EF09BD">
        <w:rPr>
          <w:rFonts w:ascii="Times New Roman" w:hAnsi="Times New Roman"/>
          <w:i/>
          <w:sz w:val="20"/>
          <w:szCs w:val="20"/>
        </w:rPr>
        <w:t>C</w:t>
      </w:r>
      <w:r w:rsidRPr="00EF09BD">
        <w:rPr>
          <w:rFonts w:ascii="Times New Roman" w:hAnsi="Times New Roman"/>
          <w:sz w:val="20"/>
          <w:szCs w:val="20"/>
        </w:rPr>
        <w:t>H</w:t>
      </w:r>
      <w:r w:rsidRPr="00EF09BD">
        <w:rPr>
          <w:rFonts w:ascii="Times New Roman" w:hAnsi="Times New Roman"/>
          <w:sz w:val="20"/>
          <w:szCs w:val="20"/>
          <w:vertAlign w:val="subscript"/>
        </w:rPr>
        <w:t>2</w:t>
      </w:r>
      <w:r w:rsidRPr="00EF09BD">
        <w:rPr>
          <w:rFonts w:ascii="Times New Roman" w:hAnsi="Times New Roman"/>
          <w:sz w:val="20"/>
          <w:szCs w:val="20"/>
        </w:rPr>
        <w:t>), 53.0 (</w:t>
      </w:r>
      <w:r w:rsidRPr="00EF09BD">
        <w:rPr>
          <w:rFonts w:ascii="Times New Roman" w:hAnsi="Times New Roman"/>
          <w:i/>
          <w:sz w:val="20"/>
          <w:szCs w:val="20"/>
        </w:rPr>
        <w:t>C</w:t>
      </w:r>
      <w:r w:rsidRPr="00EF09BD">
        <w:rPr>
          <w:rFonts w:ascii="Times New Roman" w:hAnsi="Times New Roman"/>
          <w:sz w:val="20"/>
          <w:szCs w:val="20"/>
        </w:rPr>
        <w:t>H</w:t>
      </w:r>
      <w:r w:rsidRPr="00EF09BD">
        <w:rPr>
          <w:rFonts w:ascii="Times New Roman" w:hAnsi="Times New Roman"/>
          <w:sz w:val="20"/>
          <w:szCs w:val="20"/>
          <w:vertAlign w:val="subscript"/>
        </w:rPr>
        <w:t>2</w:t>
      </w:r>
      <w:r w:rsidRPr="00EF09BD">
        <w:rPr>
          <w:rFonts w:ascii="Times New Roman" w:hAnsi="Times New Roman"/>
          <w:sz w:val="20"/>
          <w:szCs w:val="20"/>
        </w:rPr>
        <w:t>), 60.2 (</w:t>
      </w:r>
      <w:r w:rsidRPr="00EF09BD">
        <w:rPr>
          <w:rFonts w:ascii="Times New Roman" w:hAnsi="Times New Roman"/>
          <w:i/>
          <w:sz w:val="20"/>
          <w:szCs w:val="20"/>
        </w:rPr>
        <w:t>C</w:t>
      </w:r>
      <w:r w:rsidRPr="00EF09BD">
        <w:rPr>
          <w:rFonts w:ascii="Times New Roman" w:hAnsi="Times New Roman"/>
          <w:sz w:val="20"/>
          <w:szCs w:val="20"/>
        </w:rPr>
        <w:t>H</w:t>
      </w:r>
      <w:r w:rsidRPr="00EF09BD">
        <w:rPr>
          <w:rFonts w:ascii="Times New Roman" w:hAnsi="Times New Roman"/>
          <w:sz w:val="20"/>
          <w:szCs w:val="20"/>
          <w:vertAlign w:val="subscript"/>
        </w:rPr>
        <w:t>2</w:t>
      </w:r>
      <w:r w:rsidRPr="00EF09BD">
        <w:rPr>
          <w:rFonts w:ascii="Times New Roman" w:hAnsi="Times New Roman"/>
          <w:sz w:val="20"/>
          <w:szCs w:val="20"/>
        </w:rPr>
        <w:t>), 124.0 (C</w:t>
      </w:r>
      <w:r w:rsidRPr="00EF09BD">
        <w:rPr>
          <w:rFonts w:ascii="Times New Roman" w:hAnsi="Times New Roman"/>
          <w:sz w:val="20"/>
          <w:szCs w:val="20"/>
          <w:vertAlign w:val="subscript"/>
        </w:rPr>
        <w:t>Ar</w:t>
      </w:r>
      <w:r w:rsidRPr="00EF09BD">
        <w:rPr>
          <w:rFonts w:ascii="Times New Roman" w:hAnsi="Times New Roman"/>
          <w:sz w:val="20"/>
          <w:szCs w:val="20"/>
        </w:rPr>
        <w:t>), 124.6 (C</w:t>
      </w:r>
      <w:r w:rsidRPr="00EF09BD">
        <w:rPr>
          <w:rFonts w:ascii="Times New Roman" w:hAnsi="Times New Roman"/>
          <w:sz w:val="20"/>
          <w:szCs w:val="20"/>
          <w:vertAlign w:val="subscript"/>
        </w:rPr>
        <w:t>kuarternari</w:t>
      </w:r>
      <w:r w:rsidRPr="00EF09BD">
        <w:rPr>
          <w:rFonts w:ascii="Times New Roman" w:hAnsi="Times New Roman"/>
          <w:sz w:val="20"/>
          <w:szCs w:val="20"/>
        </w:rPr>
        <w:t>), 126.3 (C</w:t>
      </w:r>
      <w:r w:rsidRPr="00EF09BD">
        <w:rPr>
          <w:rFonts w:ascii="Times New Roman" w:hAnsi="Times New Roman"/>
          <w:sz w:val="20"/>
          <w:szCs w:val="20"/>
          <w:vertAlign w:val="subscript"/>
        </w:rPr>
        <w:t>Ar</w:t>
      </w:r>
      <w:r w:rsidRPr="00EF09BD">
        <w:rPr>
          <w:rFonts w:ascii="Times New Roman" w:hAnsi="Times New Roman"/>
          <w:sz w:val="20"/>
          <w:szCs w:val="20"/>
        </w:rPr>
        <w:t>) 126.6 (C</w:t>
      </w:r>
      <w:r w:rsidRPr="00EF09BD">
        <w:rPr>
          <w:rFonts w:ascii="Times New Roman" w:hAnsi="Times New Roman"/>
          <w:sz w:val="20"/>
          <w:szCs w:val="20"/>
          <w:vertAlign w:val="subscript"/>
        </w:rPr>
        <w:t>Ar</w:t>
      </w:r>
      <w:r w:rsidRPr="00EF09BD">
        <w:rPr>
          <w:rFonts w:ascii="Times New Roman" w:hAnsi="Times New Roman"/>
          <w:sz w:val="20"/>
          <w:szCs w:val="20"/>
        </w:rPr>
        <w:t>), 128.0 (C</w:t>
      </w:r>
      <w:r w:rsidRPr="00EF09BD">
        <w:rPr>
          <w:rFonts w:ascii="Times New Roman" w:hAnsi="Times New Roman"/>
          <w:sz w:val="20"/>
          <w:szCs w:val="20"/>
          <w:vertAlign w:val="subscript"/>
        </w:rPr>
        <w:t>Ar</w:t>
      </w:r>
      <w:r w:rsidRPr="00EF09BD">
        <w:rPr>
          <w:rFonts w:ascii="Times New Roman" w:hAnsi="Times New Roman"/>
          <w:sz w:val="20"/>
          <w:szCs w:val="20"/>
        </w:rPr>
        <w:t>), 128.5 (C</w:t>
      </w:r>
      <w:r w:rsidRPr="00EF09BD">
        <w:rPr>
          <w:rFonts w:ascii="Times New Roman" w:hAnsi="Times New Roman"/>
          <w:sz w:val="20"/>
          <w:szCs w:val="20"/>
          <w:vertAlign w:val="subscript"/>
        </w:rPr>
        <w:t>Ar</w:t>
      </w:r>
      <w:r w:rsidRPr="00EF09BD">
        <w:rPr>
          <w:rFonts w:ascii="Times New Roman" w:hAnsi="Times New Roman"/>
          <w:sz w:val="20"/>
          <w:szCs w:val="20"/>
        </w:rPr>
        <w:t>), 131.1 (C</w:t>
      </w:r>
      <w:r w:rsidRPr="00EF09BD">
        <w:rPr>
          <w:rFonts w:ascii="Times New Roman" w:hAnsi="Times New Roman"/>
          <w:sz w:val="20"/>
          <w:szCs w:val="20"/>
          <w:vertAlign w:val="subscript"/>
        </w:rPr>
        <w:t>kuarternari</w:t>
      </w:r>
      <w:r w:rsidRPr="00EF09BD">
        <w:rPr>
          <w:rFonts w:ascii="Times New Roman" w:hAnsi="Times New Roman"/>
          <w:sz w:val="20"/>
          <w:szCs w:val="20"/>
        </w:rPr>
        <w:t>), 134.1 (C</w:t>
      </w:r>
      <w:r w:rsidRPr="00EF09BD">
        <w:rPr>
          <w:rFonts w:ascii="Times New Roman" w:hAnsi="Times New Roman"/>
          <w:sz w:val="20"/>
          <w:szCs w:val="20"/>
          <w:vertAlign w:val="subscript"/>
        </w:rPr>
        <w:t>kuarternari</w:t>
      </w:r>
      <w:r w:rsidRPr="00EF09BD">
        <w:rPr>
          <w:rFonts w:ascii="Times New Roman" w:hAnsi="Times New Roman"/>
          <w:sz w:val="20"/>
          <w:szCs w:val="20"/>
        </w:rPr>
        <w:t>), 134.3 (C</w:t>
      </w:r>
      <w:r w:rsidRPr="00EF09BD">
        <w:rPr>
          <w:rFonts w:ascii="Times New Roman" w:hAnsi="Times New Roman"/>
          <w:sz w:val="20"/>
          <w:szCs w:val="20"/>
          <w:vertAlign w:val="subscript"/>
        </w:rPr>
        <w:t>Ar</w:t>
      </w:r>
      <w:r w:rsidRPr="00EF09BD">
        <w:rPr>
          <w:rFonts w:ascii="Times New Roman" w:hAnsi="Times New Roman"/>
          <w:sz w:val="20"/>
          <w:szCs w:val="20"/>
        </w:rPr>
        <w:t>) 138.0 (C</w:t>
      </w:r>
      <w:r w:rsidRPr="00EF09BD">
        <w:rPr>
          <w:rFonts w:ascii="Times New Roman" w:hAnsi="Times New Roman"/>
          <w:sz w:val="20"/>
          <w:szCs w:val="20"/>
          <w:vertAlign w:val="subscript"/>
        </w:rPr>
        <w:t>Ar</w:t>
      </w:r>
      <w:r w:rsidRPr="00EF09BD">
        <w:rPr>
          <w:rFonts w:ascii="Times New Roman" w:hAnsi="Times New Roman"/>
          <w:sz w:val="20"/>
          <w:szCs w:val="20"/>
        </w:rPr>
        <w:t>), 182.7 (C=S); MS (ESI) m/z 297.08 [M + Na]</w:t>
      </w:r>
      <w:r w:rsidRPr="00EF09BD">
        <w:rPr>
          <w:rFonts w:ascii="Times New Roman" w:hAnsi="Times New Roman"/>
          <w:sz w:val="20"/>
          <w:szCs w:val="20"/>
          <w:vertAlign w:val="superscript"/>
        </w:rPr>
        <w:t>+</w:t>
      </w:r>
      <w:r w:rsidRPr="00EF09BD">
        <w:rPr>
          <w:rFonts w:ascii="Times New Roman" w:hAnsi="Times New Roman"/>
          <w:sz w:val="20"/>
          <w:szCs w:val="20"/>
        </w:rPr>
        <w:t>.</w:t>
      </w:r>
    </w:p>
    <w:p w:rsidR="00D54D5E" w:rsidRPr="00EF09BD" w:rsidRDefault="00D54D5E" w:rsidP="00D54D5E">
      <w:pPr>
        <w:tabs>
          <w:tab w:val="left" w:pos="3260"/>
        </w:tabs>
        <w:spacing w:after="0" w:line="240" w:lineRule="auto"/>
        <w:jc w:val="both"/>
        <w:rPr>
          <w:rFonts w:ascii="Times New Roman" w:hAnsi="Times New Roman"/>
          <w:sz w:val="20"/>
          <w:szCs w:val="20"/>
        </w:rPr>
      </w:pPr>
      <w:r w:rsidRPr="00EF09BD">
        <w:rPr>
          <w:rFonts w:ascii="Times New Roman" w:hAnsi="Times New Roman"/>
          <w:sz w:val="20"/>
          <w:szCs w:val="20"/>
        </w:rPr>
        <w:tab/>
      </w:r>
    </w:p>
    <w:p w:rsidR="00D54D5E" w:rsidRDefault="00D54D5E" w:rsidP="00D54D5E">
      <w:pPr>
        <w:spacing w:after="0" w:line="240" w:lineRule="auto"/>
        <w:jc w:val="both"/>
        <w:rPr>
          <w:rFonts w:ascii="Times New Roman" w:hAnsi="Times New Roman"/>
          <w:sz w:val="20"/>
          <w:szCs w:val="20"/>
        </w:rPr>
      </w:pPr>
      <w:r w:rsidRPr="00EF09BD">
        <w:rPr>
          <w:rFonts w:ascii="Times New Roman" w:hAnsi="Times New Roman"/>
          <w:b/>
          <w:sz w:val="20"/>
          <w:szCs w:val="20"/>
        </w:rPr>
        <w:t>(3b)</w:t>
      </w:r>
      <w:r w:rsidRPr="00EF09BD">
        <w:rPr>
          <w:rFonts w:ascii="Times New Roman" w:hAnsi="Times New Roman"/>
          <w:sz w:val="20"/>
          <w:szCs w:val="20"/>
        </w:rPr>
        <w:t xml:space="preserve"> Pepejal berwarna putih; takat lebur 189 -193 </w:t>
      </w:r>
      <w:r w:rsidRPr="00EF09BD">
        <w:rPr>
          <w:rFonts w:ascii="Times New Roman" w:hAnsi="Times New Roman"/>
          <w:sz w:val="20"/>
          <w:szCs w:val="20"/>
          <w:vertAlign w:val="superscript"/>
        </w:rPr>
        <w:t>o</w:t>
      </w:r>
      <w:r w:rsidRPr="00EF09BD">
        <w:rPr>
          <w:rFonts w:ascii="Times New Roman" w:hAnsi="Times New Roman"/>
          <w:sz w:val="20"/>
          <w:szCs w:val="20"/>
        </w:rPr>
        <w:t>C; FT-IM (KBr, cm</w:t>
      </w:r>
      <w:r w:rsidRPr="00EF09BD">
        <w:rPr>
          <w:rFonts w:ascii="Times New Roman" w:hAnsi="Times New Roman"/>
          <w:sz w:val="20"/>
          <w:szCs w:val="20"/>
          <w:vertAlign w:val="superscript"/>
        </w:rPr>
        <w:t>-1</w:t>
      </w:r>
      <w:r w:rsidRPr="00EF09BD">
        <w:rPr>
          <w:rFonts w:ascii="Times New Roman" w:hAnsi="Times New Roman"/>
          <w:sz w:val="20"/>
          <w:szCs w:val="20"/>
        </w:rPr>
        <w:t xml:space="preserve">) 3215, 3169, 1599, 1545, 759; </w:t>
      </w:r>
      <w:r w:rsidRPr="00EF09BD">
        <w:rPr>
          <w:rFonts w:ascii="Times New Roman" w:hAnsi="Times New Roman"/>
          <w:sz w:val="20"/>
          <w:szCs w:val="20"/>
          <w:vertAlign w:val="superscript"/>
        </w:rPr>
        <w:t>1</w:t>
      </w:r>
      <w:r w:rsidRPr="00EF09BD">
        <w:rPr>
          <w:rFonts w:ascii="Times New Roman" w:hAnsi="Times New Roman"/>
          <w:sz w:val="20"/>
          <w:szCs w:val="20"/>
        </w:rPr>
        <w:t xml:space="preserve">H NMR (400 MHz, </w:t>
      </w:r>
      <w:r w:rsidRPr="00EF09BD">
        <w:rPr>
          <w:rFonts w:ascii="Times New Roman" w:hAnsi="Times New Roman"/>
          <w:i/>
          <w:sz w:val="20"/>
          <w:szCs w:val="20"/>
        </w:rPr>
        <w:t>d</w:t>
      </w:r>
      <w:r w:rsidRPr="00EF09BD">
        <w:rPr>
          <w:rFonts w:ascii="Times New Roman" w:hAnsi="Times New Roman"/>
          <w:sz w:val="20"/>
          <w:szCs w:val="20"/>
        </w:rPr>
        <w:t xml:space="preserve">-DMSO) δ 6.83 (3H,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7.22 (1</w:t>
      </w:r>
      <w:r w:rsidRPr="00EF09BD">
        <w:rPr>
          <w:rFonts w:ascii="Times New Roman" w:hAnsi="Times New Roman"/>
          <w:i/>
          <w:sz w:val="20"/>
          <w:szCs w:val="20"/>
        </w:rPr>
        <w:t>H</w:t>
      </w:r>
      <w:r w:rsidRPr="00EF09BD">
        <w:rPr>
          <w:rFonts w:ascii="Times New Roman" w:hAnsi="Times New Roman"/>
          <w:sz w:val="20"/>
          <w:szCs w:val="20"/>
        </w:rPr>
        <w:t xml:space="preserve">,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7.38 (3H,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7.74 (4H,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7.81 (4H, </w:t>
      </w:r>
      <w:r w:rsidRPr="00EF09BD">
        <w:rPr>
          <w:rFonts w:ascii="Times New Roman" w:hAnsi="Times New Roman"/>
          <w:i/>
          <w:sz w:val="20"/>
          <w:szCs w:val="20"/>
        </w:rPr>
        <w:t>m</w:t>
      </w:r>
      <w:r w:rsidRPr="00EF09BD">
        <w:rPr>
          <w:rFonts w:ascii="Times New Roman" w:hAnsi="Times New Roman"/>
          <w:sz w:val="20"/>
          <w:szCs w:val="20"/>
        </w:rPr>
        <w:t>, Ar</w:t>
      </w:r>
      <w:r w:rsidRPr="00EF09BD">
        <w:rPr>
          <w:rFonts w:ascii="Times New Roman" w:hAnsi="Times New Roman"/>
          <w:i/>
          <w:sz w:val="20"/>
          <w:szCs w:val="20"/>
        </w:rPr>
        <w:t>H</w:t>
      </w:r>
      <w:r w:rsidRPr="00EF09BD">
        <w:rPr>
          <w:rFonts w:ascii="Times New Roman" w:hAnsi="Times New Roman"/>
          <w:sz w:val="20"/>
          <w:szCs w:val="20"/>
        </w:rPr>
        <w:t xml:space="preserve">), 9.53 (1H, </w:t>
      </w:r>
      <w:r w:rsidRPr="00EF09BD">
        <w:rPr>
          <w:rFonts w:ascii="Times New Roman" w:hAnsi="Times New Roman"/>
          <w:i/>
          <w:sz w:val="20"/>
          <w:szCs w:val="20"/>
        </w:rPr>
        <w:t>s</w:t>
      </w:r>
      <w:r w:rsidRPr="00EF09BD">
        <w:rPr>
          <w:rFonts w:ascii="Times New Roman" w:hAnsi="Times New Roman"/>
          <w:sz w:val="20"/>
          <w:szCs w:val="20"/>
        </w:rPr>
        <w:t>, -N</w:t>
      </w:r>
      <w:r w:rsidRPr="00EF09BD">
        <w:rPr>
          <w:rFonts w:ascii="Times New Roman" w:hAnsi="Times New Roman"/>
          <w:i/>
          <w:sz w:val="20"/>
          <w:szCs w:val="20"/>
        </w:rPr>
        <w:t>H</w:t>
      </w:r>
      <w:r w:rsidRPr="00EF09BD">
        <w:rPr>
          <w:rFonts w:ascii="Times New Roman" w:hAnsi="Times New Roman"/>
          <w:sz w:val="20"/>
          <w:szCs w:val="20"/>
        </w:rPr>
        <w:t xml:space="preserve">-), 9.87 (1H, </w:t>
      </w:r>
      <w:r w:rsidRPr="00EF09BD">
        <w:rPr>
          <w:rFonts w:ascii="Times New Roman" w:hAnsi="Times New Roman"/>
          <w:i/>
          <w:sz w:val="20"/>
          <w:szCs w:val="20"/>
        </w:rPr>
        <w:t>s</w:t>
      </w:r>
      <w:r w:rsidRPr="00EF09BD">
        <w:rPr>
          <w:rFonts w:ascii="Times New Roman" w:hAnsi="Times New Roman"/>
          <w:sz w:val="20"/>
          <w:szCs w:val="20"/>
        </w:rPr>
        <w:t>, -N</w:t>
      </w:r>
      <w:r w:rsidRPr="00EF09BD">
        <w:rPr>
          <w:rFonts w:ascii="Times New Roman" w:hAnsi="Times New Roman"/>
          <w:i/>
          <w:sz w:val="20"/>
          <w:szCs w:val="20"/>
        </w:rPr>
        <w:t>H</w:t>
      </w:r>
      <w:r w:rsidRPr="00EF09BD">
        <w:rPr>
          <w:rFonts w:ascii="Times New Roman" w:hAnsi="Times New Roman"/>
          <w:sz w:val="20"/>
          <w:szCs w:val="20"/>
        </w:rPr>
        <w:t xml:space="preserve">-); </w:t>
      </w:r>
      <w:r w:rsidRPr="00EF09BD">
        <w:rPr>
          <w:rFonts w:ascii="Times New Roman" w:hAnsi="Times New Roman"/>
          <w:sz w:val="20"/>
          <w:szCs w:val="20"/>
          <w:vertAlign w:val="superscript"/>
        </w:rPr>
        <w:t>13</w:t>
      </w:r>
      <w:r w:rsidRPr="00EF09BD">
        <w:rPr>
          <w:rFonts w:ascii="Times New Roman" w:hAnsi="Times New Roman"/>
          <w:sz w:val="20"/>
          <w:szCs w:val="20"/>
        </w:rPr>
        <w:t xml:space="preserve">C NMR (100 MHz, </w:t>
      </w:r>
      <w:r w:rsidRPr="00EF09BD">
        <w:rPr>
          <w:rFonts w:ascii="Times New Roman" w:hAnsi="Times New Roman"/>
          <w:i/>
          <w:sz w:val="20"/>
          <w:szCs w:val="20"/>
        </w:rPr>
        <w:t>d</w:t>
      </w:r>
      <w:r w:rsidRPr="00EF09BD">
        <w:rPr>
          <w:rFonts w:ascii="Times New Roman" w:hAnsi="Times New Roman"/>
          <w:sz w:val="20"/>
          <w:szCs w:val="20"/>
        </w:rPr>
        <w:t>-DMSO) δ 113.3 (C</w:t>
      </w:r>
      <w:r w:rsidRPr="00EF09BD">
        <w:rPr>
          <w:rFonts w:ascii="Times New Roman" w:hAnsi="Times New Roman"/>
          <w:sz w:val="20"/>
          <w:szCs w:val="20"/>
          <w:vertAlign w:val="subscript"/>
        </w:rPr>
        <w:t>Ar</w:t>
      </w:r>
      <w:r w:rsidRPr="00EF09BD">
        <w:rPr>
          <w:rFonts w:ascii="Times New Roman" w:hAnsi="Times New Roman"/>
          <w:sz w:val="20"/>
          <w:szCs w:val="20"/>
        </w:rPr>
        <w:t>), 121.6 (C</w:t>
      </w:r>
      <w:r w:rsidRPr="00EF09BD">
        <w:rPr>
          <w:rFonts w:ascii="Times New Roman" w:hAnsi="Times New Roman"/>
          <w:sz w:val="20"/>
          <w:szCs w:val="20"/>
          <w:vertAlign w:val="subscript"/>
        </w:rPr>
        <w:t>Ar</w:t>
      </w:r>
      <w:r w:rsidRPr="00EF09BD">
        <w:rPr>
          <w:rFonts w:ascii="Times New Roman" w:hAnsi="Times New Roman"/>
          <w:sz w:val="20"/>
          <w:szCs w:val="20"/>
        </w:rPr>
        <w:t>), 123.8 (C</w:t>
      </w:r>
      <w:r w:rsidRPr="00EF09BD">
        <w:rPr>
          <w:rFonts w:ascii="Times New Roman" w:hAnsi="Times New Roman"/>
          <w:sz w:val="20"/>
          <w:szCs w:val="20"/>
          <w:vertAlign w:val="subscript"/>
        </w:rPr>
        <w:t>Ar</w:t>
      </w:r>
      <w:r w:rsidRPr="00EF09BD">
        <w:rPr>
          <w:rFonts w:ascii="Times New Roman" w:hAnsi="Times New Roman"/>
          <w:sz w:val="20"/>
          <w:szCs w:val="20"/>
        </w:rPr>
        <w:t>), 126.7 (C</w:t>
      </w:r>
      <w:r w:rsidRPr="00EF09BD">
        <w:rPr>
          <w:rFonts w:ascii="Times New Roman" w:hAnsi="Times New Roman"/>
          <w:sz w:val="20"/>
          <w:szCs w:val="20"/>
          <w:vertAlign w:val="subscript"/>
        </w:rPr>
        <w:t>Ar</w:t>
      </w:r>
      <w:r w:rsidRPr="00EF09BD">
        <w:rPr>
          <w:rFonts w:ascii="Times New Roman" w:hAnsi="Times New Roman"/>
          <w:sz w:val="20"/>
          <w:szCs w:val="20"/>
        </w:rPr>
        <w:t>), 127.4 (C</w:t>
      </w:r>
      <w:r w:rsidRPr="00EF09BD">
        <w:rPr>
          <w:rFonts w:ascii="Times New Roman" w:hAnsi="Times New Roman"/>
          <w:sz w:val="20"/>
          <w:szCs w:val="20"/>
          <w:vertAlign w:val="subscript"/>
        </w:rPr>
        <w:t>kuarternari</w:t>
      </w:r>
      <w:r w:rsidRPr="00EF09BD">
        <w:rPr>
          <w:rFonts w:ascii="Times New Roman" w:hAnsi="Times New Roman"/>
          <w:sz w:val="20"/>
          <w:szCs w:val="20"/>
        </w:rPr>
        <w:t>), 127.9 (C</w:t>
      </w:r>
      <w:r w:rsidRPr="00EF09BD">
        <w:rPr>
          <w:rFonts w:ascii="Times New Roman" w:hAnsi="Times New Roman"/>
          <w:sz w:val="20"/>
          <w:szCs w:val="20"/>
          <w:vertAlign w:val="subscript"/>
        </w:rPr>
        <w:t>Ar</w:t>
      </w:r>
      <w:r w:rsidRPr="00EF09BD">
        <w:rPr>
          <w:rFonts w:ascii="Times New Roman" w:hAnsi="Times New Roman"/>
          <w:sz w:val="20"/>
          <w:szCs w:val="20"/>
        </w:rPr>
        <w:t>), 128.2 (C</w:t>
      </w:r>
      <w:r w:rsidRPr="00EF09BD">
        <w:rPr>
          <w:rFonts w:ascii="Times New Roman" w:hAnsi="Times New Roman"/>
          <w:sz w:val="20"/>
          <w:szCs w:val="20"/>
          <w:vertAlign w:val="subscript"/>
        </w:rPr>
        <w:t>kuarternari</w:t>
      </w:r>
      <w:r w:rsidRPr="00EF09BD">
        <w:rPr>
          <w:rFonts w:ascii="Times New Roman" w:hAnsi="Times New Roman"/>
          <w:sz w:val="20"/>
          <w:szCs w:val="20"/>
        </w:rPr>
        <w:t>), 128.5 (C</w:t>
      </w:r>
      <w:r w:rsidRPr="00EF09BD">
        <w:rPr>
          <w:rFonts w:ascii="Times New Roman" w:hAnsi="Times New Roman"/>
          <w:sz w:val="20"/>
          <w:szCs w:val="20"/>
          <w:vertAlign w:val="subscript"/>
        </w:rPr>
        <w:t>Ar</w:t>
      </w:r>
      <w:r w:rsidRPr="00EF09BD">
        <w:rPr>
          <w:rFonts w:ascii="Times New Roman" w:hAnsi="Times New Roman"/>
          <w:sz w:val="20"/>
          <w:szCs w:val="20"/>
        </w:rPr>
        <w:t>), 129.5 (C</w:t>
      </w:r>
      <w:r w:rsidRPr="00EF09BD">
        <w:rPr>
          <w:rFonts w:ascii="Times New Roman" w:hAnsi="Times New Roman"/>
          <w:sz w:val="20"/>
          <w:szCs w:val="20"/>
          <w:vertAlign w:val="subscript"/>
        </w:rPr>
        <w:t>kuarternari</w:t>
      </w:r>
      <w:r w:rsidRPr="00EF09BD">
        <w:rPr>
          <w:rFonts w:ascii="Times New Roman" w:hAnsi="Times New Roman"/>
          <w:sz w:val="20"/>
          <w:szCs w:val="20"/>
        </w:rPr>
        <w:t>), 129.7 (C</w:t>
      </w:r>
      <w:r w:rsidRPr="00EF09BD">
        <w:rPr>
          <w:rFonts w:ascii="Times New Roman" w:hAnsi="Times New Roman"/>
          <w:sz w:val="20"/>
          <w:szCs w:val="20"/>
          <w:vertAlign w:val="subscript"/>
        </w:rPr>
        <w:t>Ar</w:t>
      </w:r>
      <w:r w:rsidRPr="00EF09BD">
        <w:rPr>
          <w:rFonts w:ascii="Times New Roman" w:hAnsi="Times New Roman"/>
          <w:sz w:val="20"/>
          <w:szCs w:val="20"/>
        </w:rPr>
        <w:t>), 130.8 (C</w:t>
      </w:r>
      <w:r w:rsidRPr="00EF09BD">
        <w:rPr>
          <w:rFonts w:ascii="Times New Roman" w:hAnsi="Times New Roman"/>
          <w:sz w:val="20"/>
          <w:szCs w:val="20"/>
          <w:vertAlign w:val="subscript"/>
        </w:rPr>
        <w:t>Ar</w:t>
      </w:r>
      <w:r w:rsidRPr="00EF09BD">
        <w:rPr>
          <w:rFonts w:ascii="Times New Roman" w:hAnsi="Times New Roman"/>
          <w:sz w:val="20"/>
          <w:szCs w:val="20"/>
        </w:rPr>
        <w:t>), 134.5 (C</w:t>
      </w:r>
      <w:r w:rsidRPr="00EF09BD">
        <w:rPr>
          <w:rFonts w:ascii="Times New Roman" w:hAnsi="Times New Roman"/>
          <w:sz w:val="20"/>
          <w:szCs w:val="20"/>
          <w:vertAlign w:val="subscript"/>
        </w:rPr>
        <w:t>Ar</w:t>
      </w:r>
      <w:r w:rsidRPr="00EF09BD">
        <w:rPr>
          <w:rFonts w:ascii="Times New Roman" w:hAnsi="Times New Roman"/>
          <w:sz w:val="20"/>
          <w:szCs w:val="20"/>
        </w:rPr>
        <w:t>), 134.6 (C</w:t>
      </w:r>
      <w:r w:rsidRPr="00EF09BD">
        <w:rPr>
          <w:rFonts w:ascii="Times New Roman" w:hAnsi="Times New Roman"/>
          <w:sz w:val="20"/>
          <w:szCs w:val="20"/>
          <w:vertAlign w:val="subscript"/>
        </w:rPr>
        <w:t>kuarternari</w:t>
      </w:r>
      <w:r w:rsidRPr="00EF09BD">
        <w:rPr>
          <w:rFonts w:ascii="Times New Roman" w:hAnsi="Times New Roman"/>
          <w:sz w:val="20"/>
          <w:szCs w:val="20"/>
        </w:rPr>
        <w:t>), 135.5 (C</w:t>
      </w:r>
      <w:r w:rsidRPr="00EF09BD">
        <w:rPr>
          <w:rFonts w:ascii="Times New Roman" w:hAnsi="Times New Roman"/>
          <w:sz w:val="20"/>
          <w:szCs w:val="20"/>
          <w:vertAlign w:val="subscript"/>
        </w:rPr>
        <w:t>Ar</w:t>
      </w:r>
      <w:r w:rsidRPr="00EF09BD">
        <w:rPr>
          <w:rFonts w:ascii="Times New Roman" w:hAnsi="Times New Roman"/>
          <w:sz w:val="20"/>
          <w:szCs w:val="20"/>
        </w:rPr>
        <w:t>), 183.3 (C=S); MS (ESI) m/z 316.06 [M + Na]</w:t>
      </w:r>
      <w:r w:rsidRPr="00EF09BD">
        <w:rPr>
          <w:rFonts w:ascii="Times New Roman" w:hAnsi="Times New Roman"/>
          <w:sz w:val="20"/>
          <w:szCs w:val="20"/>
          <w:vertAlign w:val="superscript"/>
        </w:rPr>
        <w:t>+</w:t>
      </w:r>
      <w:r w:rsidRPr="00EF09BD">
        <w:rPr>
          <w:rFonts w:ascii="Times New Roman" w:hAnsi="Times New Roman"/>
          <w:sz w:val="20"/>
          <w:szCs w:val="20"/>
        </w:rPr>
        <w:t>.</w:t>
      </w:r>
    </w:p>
    <w:p w:rsidR="00D54D5E" w:rsidRPr="00D54D5E"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rPr>
          <w:rFonts w:ascii="Times New Roman" w:hAnsi="Times New Roman"/>
          <w:b/>
          <w:sz w:val="20"/>
          <w:szCs w:val="20"/>
        </w:rPr>
      </w:pPr>
      <w:r w:rsidRPr="00EF09BD">
        <w:rPr>
          <w:rFonts w:ascii="Times New Roman" w:hAnsi="Times New Roman"/>
          <w:b/>
          <w:sz w:val="20"/>
          <w:szCs w:val="20"/>
        </w:rPr>
        <w:t>Kajian antimikrob sebatian 3a dan 3b</w:t>
      </w: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Aktiviti antimikrob diuji menggunakan kaedah penyebaran agar </w:t>
      </w:r>
      <w:r w:rsidRPr="00EF09BD">
        <w:rPr>
          <w:rFonts w:ascii="Times New Roman" w:hAnsi="Times New Roman"/>
          <w:i/>
          <w:sz w:val="20"/>
          <w:szCs w:val="20"/>
        </w:rPr>
        <w:t>‘agar diffusion method’</w:t>
      </w:r>
      <w:r w:rsidRPr="00EF09BD">
        <w:rPr>
          <w:rFonts w:ascii="Times New Roman" w:hAnsi="Times New Roman"/>
          <w:sz w:val="20"/>
          <w:szCs w:val="20"/>
        </w:rPr>
        <w:t xml:space="preserve"> [14] dengan menggunakan </w:t>
      </w:r>
      <w:r w:rsidRPr="00EF09BD">
        <w:rPr>
          <w:rFonts w:ascii="Times New Roman" w:hAnsi="Times New Roman"/>
          <w:i/>
          <w:sz w:val="20"/>
          <w:szCs w:val="20"/>
        </w:rPr>
        <w:t xml:space="preserve">Staphylococcus aureus </w:t>
      </w:r>
      <w:r w:rsidRPr="00EF09BD">
        <w:rPr>
          <w:rFonts w:ascii="Times New Roman" w:hAnsi="Times New Roman"/>
          <w:sz w:val="20"/>
          <w:szCs w:val="20"/>
        </w:rPr>
        <w:t>dan</w:t>
      </w:r>
      <w:r w:rsidRPr="00EF09BD">
        <w:rPr>
          <w:rFonts w:ascii="Times New Roman" w:hAnsi="Times New Roman"/>
          <w:i/>
          <w:sz w:val="20"/>
          <w:szCs w:val="20"/>
        </w:rPr>
        <w:t xml:space="preserve"> Bacillus subtillus </w:t>
      </w:r>
      <w:r w:rsidRPr="00EF09BD">
        <w:rPr>
          <w:rFonts w:ascii="Times New Roman" w:hAnsi="Times New Roman"/>
          <w:sz w:val="20"/>
          <w:szCs w:val="20"/>
        </w:rPr>
        <w:t xml:space="preserve">sebagai Gram positif, </w:t>
      </w:r>
      <w:r w:rsidRPr="00EF09BD">
        <w:rPr>
          <w:rFonts w:ascii="Times New Roman" w:hAnsi="Times New Roman"/>
          <w:i/>
          <w:sz w:val="20"/>
          <w:szCs w:val="20"/>
        </w:rPr>
        <w:t>Escherichia coli</w:t>
      </w:r>
      <w:r w:rsidRPr="00EF09BD">
        <w:rPr>
          <w:rFonts w:ascii="Times New Roman" w:hAnsi="Times New Roman"/>
          <w:sz w:val="20"/>
          <w:szCs w:val="20"/>
        </w:rPr>
        <w:t xml:space="preserve"> dan </w:t>
      </w:r>
      <w:r w:rsidRPr="00EF09BD">
        <w:rPr>
          <w:rFonts w:ascii="Times New Roman" w:hAnsi="Times New Roman"/>
          <w:i/>
          <w:sz w:val="20"/>
          <w:szCs w:val="20"/>
        </w:rPr>
        <w:t xml:space="preserve">Salmonella typhimurium </w:t>
      </w:r>
      <w:r w:rsidRPr="00EF09BD">
        <w:rPr>
          <w:rFonts w:ascii="Times New Roman" w:hAnsi="Times New Roman"/>
          <w:sz w:val="20"/>
          <w:szCs w:val="20"/>
        </w:rPr>
        <w:t xml:space="preserve">sebagai Gram negatif dan kulat yang digunakan adalah </w:t>
      </w:r>
      <w:r w:rsidRPr="00EF09BD">
        <w:rPr>
          <w:rFonts w:ascii="Times New Roman" w:hAnsi="Times New Roman"/>
          <w:i/>
          <w:sz w:val="20"/>
          <w:szCs w:val="20"/>
        </w:rPr>
        <w:t>Aspergillus niger</w:t>
      </w:r>
      <w:r w:rsidRPr="00EF09BD">
        <w:rPr>
          <w:rFonts w:ascii="Times New Roman" w:hAnsi="Times New Roman"/>
          <w:sz w:val="20"/>
          <w:szCs w:val="20"/>
        </w:rPr>
        <w:t>. Kawalan positif yang digunakan adalah S</w:t>
      </w:r>
      <w:r w:rsidRPr="00EF09BD">
        <w:rPr>
          <w:rFonts w:ascii="Times New Roman" w:hAnsi="Times New Roman"/>
          <w:i/>
          <w:sz w:val="20"/>
          <w:szCs w:val="20"/>
        </w:rPr>
        <w:t xml:space="preserve">treptomisin </w:t>
      </w:r>
      <w:r w:rsidRPr="00EF09BD">
        <w:rPr>
          <w:rFonts w:ascii="Times New Roman" w:hAnsi="Times New Roman"/>
          <w:sz w:val="20"/>
          <w:szCs w:val="20"/>
        </w:rPr>
        <w:t xml:space="preserve">dan </w:t>
      </w:r>
      <w:r w:rsidRPr="00EF09BD">
        <w:rPr>
          <w:rFonts w:ascii="Times New Roman" w:hAnsi="Times New Roman"/>
          <w:i/>
          <w:sz w:val="20"/>
          <w:szCs w:val="20"/>
        </w:rPr>
        <w:t>Kanamisin,</w:t>
      </w:r>
      <w:r w:rsidRPr="00EF09BD">
        <w:rPr>
          <w:rFonts w:ascii="Times New Roman" w:hAnsi="Times New Roman"/>
          <w:sz w:val="20"/>
          <w:szCs w:val="20"/>
        </w:rPr>
        <w:t xml:space="preserve"> manakala kawalan negatif yang digunakan adalah DMSO. </w:t>
      </w: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Stok sebatian tiourea yang telah disintesis disediakan dengan melarutkan 1mg sebatian tiourea ke dalam 1ml pelarut DMSO. Kemudian, 50 μl dan 150 μl dicairkan dalam kelalang isipadu 5ml untuk menghasilkan sebatian tiourea dengan kepekatan 10 μg/ml dan 30 μg/ml masing-masing. Sebanyak 10μl diambil dan diserapkan percakera sampel. Piring agar disebarkan mikrob dan dieramkan pada suhu 37</w:t>
      </w:r>
      <w:r w:rsidRPr="00EF09BD">
        <w:rPr>
          <w:rFonts w:ascii="Times New Roman" w:hAnsi="Times New Roman"/>
          <w:sz w:val="20"/>
          <w:szCs w:val="20"/>
          <w:vertAlign w:val="superscript"/>
        </w:rPr>
        <w:t>o</w:t>
      </w:r>
      <w:r w:rsidRPr="00EF09BD">
        <w:rPr>
          <w:rFonts w:ascii="Times New Roman" w:hAnsi="Times New Roman"/>
          <w:sz w:val="20"/>
          <w:szCs w:val="20"/>
        </w:rPr>
        <w:t xml:space="preserve">C selama 24 jam. </w:t>
      </w:r>
      <w:r w:rsidRPr="00EF09BD">
        <w:rPr>
          <w:rFonts w:ascii="Times New Roman" w:hAnsi="Times New Roman"/>
          <w:i/>
          <w:sz w:val="20"/>
          <w:szCs w:val="20"/>
        </w:rPr>
        <w:t>Streptomisin</w:t>
      </w:r>
      <w:r w:rsidRPr="00EF09BD">
        <w:rPr>
          <w:rFonts w:ascii="Times New Roman" w:hAnsi="Times New Roman"/>
          <w:sz w:val="20"/>
          <w:szCs w:val="20"/>
        </w:rPr>
        <w:t xml:space="preserve">, </w:t>
      </w:r>
      <w:r w:rsidRPr="00EF09BD">
        <w:rPr>
          <w:rFonts w:ascii="Times New Roman" w:hAnsi="Times New Roman"/>
          <w:i/>
          <w:sz w:val="20"/>
          <w:szCs w:val="20"/>
        </w:rPr>
        <w:t>Kanamisin</w:t>
      </w:r>
      <w:r w:rsidRPr="00EF09BD">
        <w:rPr>
          <w:rFonts w:ascii="Times New Roman" w:hAnsi="Times New Roman"/>
          <w:sz w:val="20"/>
          <w:szCs w:val="20"/>
        </w:rPr>
        <w:t xml:space="preserve"> dan DMSO digunakan sebagai agen kawalan positif dan negatif ujian ini dengan menggunakan kaedah yang sama. Selepas 24 jam, diameter kawasan yang tidak ditumbuhi bakteria atau kulat sekitar cakera diukur untuk dibandingkan tahap aktiviti antimikrob dengan agen kawalan anti-bakteria yang digunakan [14, 15].</w:t>
      </w:r>
    </w:p>
    <w:p w:rsidR="006768E9" w:rsidRPr="00F447A7" w:rsidRDefault="006768E9" w:rsidP="00D54D5E">
      <w:pPr>
        <w:spacing w:after="0" w:line="240" w:lineRule="auto"/>
        <w:jc w:val="center"/>
        <w:rPr>
          <w:rFonts w:ascii="Times New Roman" w:hAnsi="Times New Roman"/>
          <w:noProof/>
          <w:sz w:val="20"/>
          <w:szCs w:val="20"/>
          <w:lang w:bidi="ar-SA"/>
        </w:rPr>
      </w:pPr>
    </w:p>
    <w:p w:rsidR="00D54D5E" w:rsidRPr="00EF09BD" w:rsidRDefault="00D54D5E" w:rsidP="00D54D5E">
      <w:pPr>
        <w:spacing w:after="0" w:line="240" w:lineRule="auto"/>
        <w:jc w:val="center"/>
        <w:rPr>
          <w:rFonts w:ascii="Times New Roman" w:hAnsi="Times New Roman"/>
          <w:b/>
          <w:sz w:val="20"/>
          <w:szCs w:val="20"/>
        </w:rPr>
      </w:pPr>
      <w:r w:rsidRPr="00EF09BD">
        <w:rPr>
          <w:rFonts w:ascii="Times New Roman" w:hAnsi="Times New Roman"/>
          <w:b/>
          <w:sz w:val="20"/>
          <w:szCs w:val="20"/>
        </w:rPr>
        <w:t>Keputusan dan Perbincangan</w:t>
      </w: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Sintesis terbitan tiourea telah berjaya dijalankan melalui tindak balas antara 1-naftil isotiosianat </w:t>
      </w:r>
      <w:r w:rsidRPr="00EF09BD">
        <w:rPr>
          <w:rFonts w:ascii="Times New Roman" w:hAnsi="Times New Roman"/>
          <w:b/>
          <w:sz w:val="20"/>
          <w:szCs w:val="20"/>
        </w:rPr>
        <w:t>(1)</w:t>
      </w:r>
      <w:r w:rsidRPr="00EF09BD">
        <w:rPr>
          <w:rFonts w:ascii="Times New Roman" w:hAnsi="Times New Roman"/>
          <w:sz w:val="20"/>
          <w:szCs w:val="20"/>
        </w:rPr>
        <w:t xml:space="preserve"> dengan beberapa sebatian amina menggunakan kaedah konvensional iaitu kaedah refluks dan juga kaedah mikrogelombang. Tindak balas keseluruhan penghasilan tiourea ditunjukkan pada Rajah 1</w:t>
      </w:r>
      <w:r>
        <w:rPr>
          <w:rFonts w:ascii="Times New Roman" w:hAnsi="Times New Roman"/>
          <w:sz w:val="20"/>
          <w:szCs w:val="20"/>
        </w:rPr>
        <w:t>.</w:t>
      </w:r>
    </w:p>
    <w:p w:rsidR="00D54D5E"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Merujuk kepada pencirian sebatian menggunakan spektroskopi infra merah, terdapat puncak pada 3343 cm</w:t>
      </w:r>
      <w:r w:rsidRPr="00EF09BD">
        <w:rPr>
          <w:rFonts w:ascii="Times New Roman" w:hAnsi="Times New Roman"/>
          <w:sz w:val="20"/>
          <w:szCs w:val="20"/>
          <w:vertAlign w:val="superscript"/>
        </w:rPr>
        <w:t>-1</w:t>
      </w:r>
      <w:r w:rsidRPr="00EF09BD">
        <w:rPr>
          <w:rFonts w:ascii="Times New Roman" w:hAnsi="Times New Roman"/>
          <w:sz w:val="20"/>
          <w:szCs w:val="20"/>
        </w:rPr>
        <w:t xml:space="preserve"> (OH) dan puncak pada 3291 cm</w:t>
      </w:r>
      <w:r w:rsidRPr="00EF09BD">
        <w:rPr>
          <w:rFonts w:ascii="Times New Roman" w:hAnsi="Times New Roman"/>
          <w:sz w:val="20"/>
          <w:szCs w:val="20"/>
          <w:vertAlign w:val="superscript"/>
        </w:rPr>
        <w:t>-1</w:t>
      </w:r>
      <w:r w:rsidRPr="00EF09BD">
        <w:rPr>
          <w:rFonts w:ascii="Times New Roman" w:hAnsi="Times New Roman"/>
          <w:sz w:val="20"/>
          <w:szCs w:val="20"/>
        </w:rPr>
        <w:t xml:space="preserve">(NH) bagi sebatian </w:t>
      </w:r>
      <w:r w:rsidRPr="00EF09BD">
        <w:rPr>
          <w:rFonts w:ascii="Times New Roman" w:hAnsi="Times New Roman"/>
          <w:b/>
          <w:sz w:val="20"/>
          <w:szCs w:val="20"/>
        </w:rPr>
        <w:t>3a</w:t>
      </w:r>
      <w:r w:rsidRPr="00EF09BD">
        <w:rPr>
          <w:rFonts w:ascii="Times New Roman" w:hAnsi="Times New Roman"/>
          <w:sz w:val="20"/>
          <w:szCs w:val="20"/>
        </w:rPr>
        <w:t xml:space="preserve"> dan kehadiran regangan 3215 (NH 1) dan 3169 cm</w:t>
      </w:r>
      <w:r w:rsidRPr="00EF09BD">
        <w:rPr>
          <w:rFonts w:ascii="Times New Roman" w:hAnsi="Times New Roman"/>
          <w:sz w:val="20"/>
          <w:szCs w:val="20"/>
          <w:vertAlign w:val="superscript"/>
        </w:rPr>
        <w:t xml:space="preserve">-1 </w:t>
      </w:r>
      <w:r w:rsidRPr="00EF09BD">
        <w:rPr>
          <w:rFonts w:ascii="Times New Roman" w:hAnsi="Times New Roman"/>
          <w:sz w:val="20"/>
          <w:szCs w:val="20"/>
        </w:rPr>
        <w:t>(NH 2)</w:t>
      </w:r>
      <w:r w:rsidRPr="00EF09BD">
        <w:rPr>
          <w:rFonts w:ascii="Times New Roman" w:hAnsi="Times New Roman"/>
          <w:sz w:val="20"/>
          <w:szCs w:val="20"/>
          <w:vertAlign w:val="superscript"/>
        </w:rPr>
        <w:t xml:space="preserve"> </w:t>
      </w:r>
      <w:r w:rsidRPr="00EF09BD">
        <w:rPr>
          <w:rFonts w:ascii="Times New Roman" w:hAnsi="Times New Roman"/>
          <w:sz w:val="20"/>
          <w:szCs w:val="20"/>
        </w:rPr>
        <w:t xml:space="preserve">bagi sebatian </w:t>
      </w:r>
      <w:r w:rsidRPr="00EF09BD">
        <w:rPr>
          <w:rFonts w:ascii="Times New Roman" w:hAnsi="Times New Roman"/>
          <w:b/>
          <w:sz w:val="20"/>
          <w:szCs w:val="20"/>
        </w:rPr>
        <w:t>3b</w:t>
      </w:r>
      <w:r w:rsidRPr="00EF09BD">
        <w:rPr>
          <w:rFonts w:ascii="Times New Roman" w:hAnsi="Times New Roman"/>
          <w:sz w:val="20"/>
          <w:szCs w:val="20"/>
        </w:rPr>
        <w:t>. Selain itu, ikatan C-N dapat dikenal pasti pada puncak 1565 cm</w:t>
      </w:r>
      <w:r w:rsidRPr="00EF09BD">
        <w:rPr>
          <w:rFonts w:ascii="Times New Roman" w:hAnsi="Times New Roman"/>
          <w:sz w:val="20"/>
          <w:szCs w:val="20"/>
          <w:vertAlign w:val="superscript"/>
        </w:rPr>
        <w:t>-1</w:t>
      </w:r>
      <w:r w:rsidRPr="00EF09BD">
        <w:rPr>
          <w:rFonts w:ascii="Times New Roman" w:hAnsi="Times New Roman"/>
          <w:sz w:val="20"/>
          <w:szCs w:val="20"/>
        </w:rPr>
        <w:t xml:space="preserve"> dan</w:t>
      </w:r>
      <w:r w:rsidRPr="00EF09BD">
        <w:rPr>
          <w:sz w:val="20"/>
          <w:szCs w:val="20"/>
        </w:rPr>
        <w:t xml:space="preserve"> </w:t>
      </w:r>
      <w:r w:rsidRPr="00EF09BD">
        <w:rPr>
          <w:rFonts w:ascii="Times New Roman" w:hAnsi="Times New Roman"/>
          <w:sz w:val="20"/>
          <w:szCs w:val="20"/>
        </w:rPr>
        <w:t>1599 cm</w:t>
      </w:r>
      <w:r w:rsidRPr="00EF09BD">
        <w:rPr>
          <w:rFonts w:ascii="Times New Roman" w:hAnsi="Times New Roman"/>
          <w:sz w:val="20"/>
          <w:szCs w:val="20"/>
          <w:vertAlign w:val="superscript"/>
        </w:rPr>
        <w:t>-1</w:t>
      </w:r>
      <w:r w:rsidRPr="00EF09BD">
        <w:rPr>
          <w:rFonts w:ascii="Times New Roman" w:hAnsi="Times New Roman"/>
          <w:sz w:val="20"/>
          <w:szCs w:val="20"/>
        </w:rPr>
        <w:t xml:space="preserve"> bagi sebatian </w:t>
      </w:r>
      <w:r w:rsidRPr="00EF09BD">
        <w:rPr>
          <w:rFonts w:ascii="Times New Roman" w:hAnsi="Times New Roman"/>
          <w:b/>
          <w:sz w:val="20"/>
          <w:szCs w:val="20"/>
        </w:rPr>
        <w:t>3a</w:t>
      </w:r>
      <w:r w:rsidRPr="00EF09BD">
        <w:rPr>
          <w:rFonts w:ascii="Times New Roman" w:hAnsi="Times New Roman"/>
          <w:sz w:val="20"/>
          <w:szCs w:val="20"/>
        </w:rPr>
        <w:t xml:space="preserve"> dan </w:t>
      </w:r>
      <w:r w:rsidRPr="00EF09BD">
        <w:rPr>
          <w:rFonts w:ascii="Times New Roman" w:hAnsi="Times New Roman"/>
          <w:b/>
          <w:sz w:val="20"/>
          <w:szCs w:val="20"/>
        </w:rPr>
        <w:t>3b</w:t>
      </w:r>
      <w:r w:rsidRPr="00EF09BD">
        <w:rPr>
          <w:rFonts w:ascii="Times New Roman" w:hAnsi="Times New Roman"/>
          <w:sz w:val="20"/>
          <w:szCs w:val="20"/>
        </w:rPr>
        <w:t>. Puncak ikatan C=S pula dapat dilihat pada puncak 776 cm</w:t>
      </w:r>
      <w:r w:rsidRPr="00EF09BD">
        <w:rPr>
          <w:rFonts w:ascii="Times New Roman" w:hAnsi="Times New Roman"/>
          <w:sz w:val="20"/>
          <w:szCs w:val="20"/>
          <w:vertAlign w:val="superscript"/>
        </w:rPr>
        <w:t>-1</w:t>
      </w:r>
      <w:r w:rsidRPr="00EF09BD">
        <w:rPr>
          <w:rFonts w:ascii="Times New Roman" w:hAnsi="Times New Roman"/>
          <w:sz w:val="20"/>
          <w:szCs w:val="20"/>
        </w:rPr>
        <w:t xml:space="preserve"> dan 759</w:t>
      </w:r>
      <w:r w:rsidRPr="00EF09BD">
        <w:rPr>
          <w:sz w:val="20"/>
          <w:szCs w:val="20"/>
        </w:rPr>
        <w:t xml:space="preserve"> </w:t>
      </w:r>
      <w:r w:rsidRPr="00EF09BD">
        <w:rPr>
          <w:rFonts w:ascii="Times New Roman" w:hAnsi="Times New Roman"/>
          <w:sz w:val="20"/>
          <w:szCs w:val="20"/>
        </w:rPr>
        <w:t>cm</w:t>
      </w:r>
      <w:r w:rsidRPr="00EF09BD">
        <w:rPr>
          <w:rFonts w:ascii="Times New Roman" w:hAnsi="Times New Roman"/>
          <w:sz w:val="20"/>
          <w:szCs w:val="20"/>
          <w:vertAlign w:val="superscript"/>
        </w:rPr>
        <w:t>-1</w:t>
      </w:r>
      <w:r w:rsidRPr="00EF09BD">
        <w:rPr>
          <w:rFonts w:ascii="Times New Roman" w:hAnsi="Times New Roman"/>
          <w:sz w:val="20"/>
          <w:szCs w:val="20"/>
        </w:rPr>
        <w:t xml:space="preserve"> bagi sebatian </w:t>
      </w:r>
      <w:r w:rsidRPr="00EF09BD">
        <w:rPr>
          <w:rFonts w:ascii="Times New Roman" w:hAnsi="Times New Roman"/>
          <w:b/>
          <w:sz w:val="20"/>
          <w:szCs w:val="20"/>
        </w:rPr>
        <w:t>3a</w:t>
      </w:r>
      <w:r w:rsidRPr="00EF09BD">
        <w:rPr>
          <w:rFonts w:ascii="Times New Roman" w:hAnsi="Times New Roman"/>
          <w:sz w:val="20"/>
          <w:szCs w:val="20"/>
        </w:rPr>
        <w:t xml:space="preserve"> dan </w:t>
      </w:r>
      <w:r w:rsidRPr="00EF09BD">
        <w:rPr>
          <w:rFonts w:ascii="Times New Roman" w:hAnsi="Times New Roman"/>
          <w:b/>
          <w:sz w:val="20"/>
          <w:szCs w:val="20"/>
        </w:rPr>
        <w:t>3b</w:t>
      </w:r>
      <w:r w:rsidRPr="00EF09BD">
        <w:rPr>
          <w:rFonts w:ascii="Times New Roman" w:hAnsi="Times New Roman"/>
          <w:sz w:val="20"/>
          <w:szCs w:val="20"/>
        </w:rPr>
        <w:t xml:space="preserve">. Puncak ini adalah penting bagi menunjukkan pembentukan tiourea telah berlaku. </w:t>
      </w: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Pencirian </w:t>
      </w:r>
      <w:r w:rsidRPr="00EF09BD">
        <w:rPr>
          <w:rFonts w:ascii="Times New Roman" w:hAnsi="Times New Roman"/>
          <w:sz w:val="20"/>
          <w:szCs w:val="20"/>
          <w:vertAlign w:val="superscript"/>
        </w:rPr>
        <w:t>1</w:t>
      </w:r>
      <w:r w:rsidRPr="00EF09BD">
        <w:rPr>
          <w:rFonts w:ascii="Times New Roman" w:hAnsi="Times New Roman"/>
          <w:sz w:val="20"/>
          <w:szCs w:val="20"/>
        </w:rPr>
        <w:t xml:space="preserve">H NMR bagi sebatian </w:t>
      </w:r>
      <w:r w:rsidRPr="00EF09BD">
        <w:rPr>
          <w:rFonts w:ascii="Times New Roman" w:hAnsi="Times New Roman"/>
          <w:b/>
          <w:sz w:val="20"/>
          <w:szCs w:val="20"/>
        </w:rPr>
        <w:t>3a</w:t>
      </w:r>
      <w:r w:rsidRPr="00EF09BD">
        <w:rPr>
          <w:rFonts w:ascii="Times New Roman" w:hAnsi="Times New Roman"/>
          <w:sz w:val="20"/>
          <w:szCs w:val="20"/>
        </w:rPr>
        <w:t xml:space="preserve"> menunjukkan pada anjakan kimia 3.76 dan 3.82 ppm puncak ini memberikan nilai integrasi 3.27 yang menunjukkan 3 proton –CH</w:t>
      </w:r>
      <w:r w:rsidRPr="00EF09BD">
        <w:rPr>
          <w:rFonts w:ascii="Times New Roman" w:hAnsi="Times New Roman"/>
          <w:sz w:val="20"/>
          <w:szCs w:val="20"/>
          <w:vertAlign w:val="subscript"/>
        </w:rPr>
        <w:t>2</w:t>
      </w:r>
      <w:r w:rsidRPr="00EF09BD">
        <w:rPr>
          <w:rFonts w:ascii="Times New Roman" w:hAnsi="Times New Roman"/>
          <w:sz w:val="20"/>
          <w:szCs w:val="20"/>
        </w:rPr>
        <w:t>- yang merupakan hidrogen yang terikat kepada karbon pada bahagian etanol sebatian tersebut. Manakala pada anjakan kimia 3.86 ppm pula merupakan proton pada ikatan –CH</w:t>
      </w:r>
      <w:r w:rsidRPr="00EF09BD">
        <w:rPr>
          <w:rFonts w:ascii="Times New Roman" w:hAnsi="Times New Roman"/>
          <w:sz w:val="20"/>
          <w:szCs w:val="20"/>
          <w:vertAlign w:val="subscript"/>
        </w:rPr>
        <w:t>2</w:t>
      </w:r>
      <w:r w:rsidRPr="00EF09BD">
        <w:rPr>
          <w:rFonts w:ascii="Times New Roman" w:hAnsi="Times New Roman"/>
          <w:sz w:val="20"/>
          <w:szCs w:val="20"/>
        </w:rPr>
        <w:t>- yang bersebelahan dengan –CH</w:t>
      </w:r>
      <w:r w:rsidRPr="00EF09BD">
        <w:rPr>
          <w:rFonts w:ascii="Times New Roman" w:hAnsi="Times New Roman"/>
          <w:sz w:val="20"/>
          <w:szCs w:val="20"/>
          <w:vertAlign w:val="subscript"/>
        </w:rPr>
        <w:t>3</w:t>
      </w:r>
      <w:r w:rsidRPr="00EF09BD">
        <w:rPr>
          <w:rFonts w:ascii="Times New Roman" w:hAnsi="Times New Roman"/>
          <w:sz w:val="20"/>
          <w:szCs w:val="20"/>
        </w:rPr>
        <w:t xml:space="preserve">. Ini dapat dibuktikan dengan kewujudan penggandaan spin </w:t>
      </w:r>
      <w:r w:rsidRPr="00EF09BD">
        <w:rPr>
          <w:rFonts w:ascii="Times New Roman" w:hAnsi="Times New Roman"/>
          <w:i/>
          <w:sz w:val="20"/>
          <w:szCs w:val="20"/>
        </w:rPr>
        <w:t xml:space="preserve">quintet </w:t>
      </w:r>
      <w:r w:rsidRPr="00EF09BD">
        <w:rPr>
          <w:rFonts w:ascii="Times New Roman" w:hAnsi="Times New Roman"/>
          <w:sz w:val="20"/>
          <w:szCs w:val="20"/>
        </w:rPr>
        <w:t xml:space="preserve">dengan nilai skala penggandingan 6.8 Hz pada anjakan kimia tersebut. Puncak yang penting adalah puncak bagi kumpulan amina yang terbentuk daripada tindak balas antara isotiosianat dan amina yang mana dapat dilihat pada pada anjakan kimia 9.43 ppm. Ini juga disokong oleh spektrum </w:t>
      </w:r>
      <w:r w:rsidRPr="00EF09BD">
        <w:rPr>
          <w:rFonts w:ascii="Times New Roman" w:hAnsi="Times New Roman"/>
          <w:sz w:val="20"/>
          <w:szCs w:val="20"/>
          <w:vertAlign w:val="superscript"/>
        </w:rPr>
        <w:t>13</w:t>
      </w:r>
      <w:r w:rsidRPr="00EF09BD">
        <w:rPr>
          <w:rFonts w:ascii="Times New Roman" w:hAnsi="Times New Roman"/>
          <w:sz w:val="20"/>
          <w:szCs w:val="20"/>
        </w:rPr>
        <w:t xml:space="preserve">C NMR yang menunjukkan terdapat pembentukan </w:t>
      </w:r>
      <w:r w:rsidRPr="00EF09BD">
        <w:rPr>
          <w:rFonts w:ascii="Times New Roman" w:hAnsi="Times New Roman"/>
          <w:sz w:val="20"/>
          <w:szCs w:val="20"/>
        </w:rPr>
        <w:lastRenderedPageBreak/>
        <w:t xml:space="preserve">kumpulan C=S yang dibuktikan melalui kehadiran puncak pada anjakan kimia pada 180.7 ppm. Bagi sebatian </w:t>
      </w:r>
      <w:r w:rsidRPr="00EF09BD">
        <w:rPr>
          <w:rFonts w:ascii="Times New Roman" w:hAnsi="Times New Roman"/>
          <w:b/>
          <w:sz w:val="20"/>
          <w:szCs w:val="20"/>
        </w:rPr>
        <w:t>3b</w:t>
      </w:r>
      <w:r w:rsidRPr="00EF09BD">
        <w:rPr>
          <w:rFonts w:ascii="Times New Roman" w:hAnsi="Times New Roman"/>
          <w:sz w:val="20"/>
          <w:szCs w:val="20"/>
        </w:rPr>
        <w:t xml:space="preserve"> pula, terdapat puncak pada anjakan kimia antara 6.83 ppm dan 7.81 ppm yang merupakan puncak bagi kumpulan aromatik. Pada anjakan kimia 9.87 ppm dan 9.53 ppm pula merupakan puncak bagi kumpulan amina. Hidrogen pada amina naftil dijangkakan memiliki anjakan kimia 9.87 ppm manakala pada anjakan kimia 9.53 ppm merupakan puncak pada amina hidrazina. Puncak yang terdapat pada nilai anjakan kimia 183 ppm pula adalah karbon pada ikatan C=S, yang merupakan puncak yang utama bagi sebatian tiourea.</w:t>
      </w: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ind w:left="851" w:hanging="851"/>
        <w:jc w:val="center"/>
        <w:rPr>
          <w:rFonts w:ascii="Times New Roman" w:hAnsi="Times New Roman"/>
          <w:sz w:val="20"/>
          <w:szCs w:val="20"/>
        </w:rPr>
      </w:pPr>
      <w:r w:rsidRPr="00EF09BD">
        <w:object w:dxaOrig="7755" w:dyaOrig="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9pt;height:188.3pt" o:ole="">
            <v:imagedata r:id="rId11" o:title=""/>
          </v:shape>
          <o:OLEObject Type="Embed" ProgID="Unknown" ShapeID="_x0000_i1025" DrawAspect="Content" ObjectID="_1521469699" r:id="rId12"/>
        </w:object>
      </w:r>
    </w:p>
    <w:p w:rsidR="00D54D5E" w:rsidRPr="00EF09BD" w:rsidRDefault="00D54D5E" w:rsidP="00D54D5E">
      <w:pPr>
        <w:spacing w:after="0" w:line="240" w:lineRule="auto"/>
        <w:ind w:left="851" w:hanging="851"/>
        <w:rPr>
          <w:rFonts w:ascii="Times New Roman" w:hAnsi="Times New Roman"/>
          <w:sz w:val="20"/>
          <w:szCs w:val="20"/>
        </w:rPr>
      </w:pPr>
    </w:p>
    <w:p w:rsidR="00D54D5E" w:rsidRPr="00EF09BD" w:rsidRDefault="00D54D5E" w:rsidP="00D54D5E">
      <w:pPr>
        <w:spacing w:after="0" w:line="240" w:lineRule="auto"/>
        <w:ind w:left="900" w:hanging="900"/>
        <w:jc w:val="both"/>
        <w:rPr>
          <w:rFonts w:ascii="Times New Roman" w:hAnsi="Times New Roman"/>
          <w:sz w:val="20"/>
          <w:szCs w:val="20"/>
        </w:rPr>
      </w:pPr>
      <w:r w:rsidRPr="00EF09BD">
        <w:rPr>
          <w:rFonts w:ascii="Times New Roman" w:hAnsi="Times New Roman"/>
          <w:sz w:val="20"/>
          <w:szCs w:val="20"/>
        </w:rPr>
        <w:t xml:space="preserve">Rajah 1. </w:t>
      </w:r>
      <w:r>
        <w:rPr>
          <w:rFonts w:ascii="Times New Roman" w:hAnsi="Times New Roman"/>
          <w:sz w:val="20"/>
          <w:szCs w:val="20"/>
        </w:rPr>
        <w:tab/>
      </w:r>
      <w:r w:rsidRPr="00EF09BD">
        <w:rPr>
          <w:rFonts w:ascii="Times New Roman" w:hAnsi="Times New Roman"/>
          <w:sz w:val="20"/>
          <w:szCs w:val="20"/>
        </w:rPr>
        <w:t xml:space="preserve">Sintesis terbitan naftiltiourea 1-etil-1-(2-hidroksi-etil)-3-naftalen-1-il-tiourea </w:t>
      </w:r>
      <w:r w:rsidRPr="00EF09BD">
        <w:rPr>
          <w:rFonts w:ascii="Times New Roman" w:hAnsi="Times New Roman"/>
          <w:b/>
          <w:sz w:val="20"/>
          <w:szCs w:val="20"/>
        </w:rPr>
        <w:t>(3a)</w:t>
      </w:r>
      <w:r w:rsidRPr="00EF09BD">
        <w:rPr>
          <w:rFonts w:ascii="Times New Roman" w:hAnsi="Times New Roman"/>
          <w:sz w:val="20"/>
          <w:szCs w:val="20"/>
        </w:rPr>
        <w:t xml:space="preserve"> dan 1-(fenil-amino)-3-naftalen-1-il-tiourea </w:t>
      </w:r>
      <w:r w:rsidRPr="00EF09BD">
        <w:rPr>
          <w:rFonts w:ascii="Times New Roman" w:hAnsi="Times New Roman"/>
          <w:b/>
          <w:sz w:val="20"/>
          <w:szCs w:val="20"/>
        </w:rPr>
        <w:t>(3b)</w:t>
      </w:r>
      <w:r w:rsidRPr="00EF09BD">
        <w:rPr>
          <w:rFonts w:ascii="Times New Roman" w:hAnsi="Times New Roman"/>
          <w:sz w:val="20"/>
          <w:szCs w:val="20"/>
        </w:rPr>
        <w:t>.</w:t>
      </w:r>
    </w:p>
    <w:p w:rsidR="00D54D5E"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Spektrometri jisim menggunakan mod pengionan elektron (ESI) memberikan puncak sebatian </w:t>
      </w:r>
      <w:r w:rsidRPr="00EF09BD">
        <w:rPr>
          <w:rFonts w:ascii="Times New Roman" w:hAnsi="Times New Roman"/>
          <w:b/>
          <w:sz w:val="20"/>
          <w:szCs w:val="20"/>
        </w:rPr>
        <w:t>3a</w:t>
      </w:r>
      <w:r w:rsidRPr="00EF09BD">
        <w:rPr>
          <w:rFonts w:ascii="Times New Roman" w:hAnsi="Times New Roman"/>
          <w:sz w:val="20"/>
          <w:szCs w:val="20"/>
        </w:rPr>
        <w:t xml:space="preserve"> (274.38 g/mol) bernilai m/z 297.07 merupakan puncak bagi molekul ion [M+Na]</w:t>
      </w:r>
      <w:r w:rsidRPr="00EF09BD">
        <w:rPr>
          <w:rFonts w:ascii="Times New Roman" w:hAnsi="Times New Roman"/>
          <w:sz w:val="20"/>
          <w:szCs w:val="20"/>
          <w:vertAlign w:val="superscript"/>
        </w:rPr>
        <w:t>+</w:t>
      </w:r>
      <w:r w:rsidRPr="00EF09BD">
        <w:rPr>
          <w:rFonts w:ascii="Times New Roman" w:hAnsi="Times New Roman"/>
          <w:sz w:val="20"/>
          <w:szCs w:val="20"/>
        </w:rPr>
        <w:t xml:space="preserve">. Begitu juga bagi sebatian </w:t>
      </w:r>
      <w:r w:rsidRPr="00EF09BD">
        <w:rPr>
          <w:rFonts w:ascii="Times New Roman" w:hAnsi="Times New Roman"/>
          <w:b/>
          <w:sz w:val="20"/>
          <w:szCs w:val="20"/>
        </w:rPr>
        <w:t>3b</w:t>
      </w:r>
      <w:r w:rsidRPr="00EF09BD">
        <w:rPr>
          <w:rFonts w:ascii="Times New Roman" w:hAnsi="Times New Roman"/>
          <w:sz w:val="20"/>
          <w:szCs w:val="20"/>
        </w:rPr>
        <w:t xml:space="preserve"> yang mempunyai formula molekul C</w:t>
      </w:r>
      <w:r w:rsidRPr="00EF09BD">
        <w:rPr>
          <w:rFonts w:ascii="Times New Roman" w:hAnsi="Times New Roman"/>
          <w:sz w:val="20"/>
          <w:szCs w:val="20"/>
          <w:vertAlign w:val="subscript"/>
        </w:rPr>
        <w:t>17</w:t>
      </w:r>
      <w:r w:rsidRPr="00EF09BD">
        <w:rPr>
          <w:rFonts w:ascii="Times New Roman" w:hAnsi="Times New Roman"/>
          <w:sz w:val="20"/>
          <w:szCs w:val="20"/>
        </w:rPr>
        <w:t>H</w:t>
      </w:r>
      <w:r w:rsidRPr="00EF09BD">
        <w:rPr>
          <w:rFonts w:ascii="Times New Roman" w:hAnsi="Times New Roman"/>
          <w:sz w:val="20"/>
          <w:szCs w:val="20"/>
          <w:vertAlign w:val="subscript"/>
        </w:rPr>
        <w:t>15</w:t>
      </w:r>
      <w:r w:rsidRPr="00EF09BD">
        <w:rPr>
          <w:rFonts w:ascii="Times New Roman" w:hAnsi="Times New Roman"/>
          <w:sz w:val="20"/>
          <w:szCs w:val="20"/>
        </w:rPr>
        <w:t>N</w:t>
      </w:r>
      <w:r w:rsidRPr="00EF09BD">
        <w:rPr>
          <w:rFonts w:ascii="Times New Roman" w:hAnsi="Times New Roman"/>
          <w:sz w:val="20"/>
          <w:szCs w:val="20"/>
          <w:vertAlign w:val="subscript"/>
        </w:rPr>
        <w:t>3</w:t>
      </w:r>
      <w:r w:rsidRPr="00EF09BD">
        <w:rPr>
          <w:rFonts w:ascii="Times New Roman" w:hAnsi="Times New Roman"/>
          <w:sz w:val="20"/>
          <w:szCs w:val="20"/>
        </w:rPr>
        <w:t>S (293.39 g/mol) menunjukkan berat ion [M+Na]</w:t>
      </w:r>
      <w:r w:rsidRPr="00EF09BD">
        <w:rPr>
          <w:rFonts w:ascii="Times New Roman" w:hAnsi="Times New Roman"/>
          <w:sz w:val="20"/>
          <w:szCs w:val="20"/>
          <w:vertAlign w:val="superscript"/>
        </w:rPr>
        <w:t xml:space="preserve">+ </w:t>
      </w:r>
      <w:r w:rsidRPr="00EF09BD">
        <w:rPr>
          <w:rFonts w:ascii="Times New Roman" w:hAnsi="Times New Roman"/>
          <w:sz w:val="20"/>
          <w:szCs w:val="20"/>
        </w:rPr>
        <w:t xml:space="preserve">pada nilai m/z 293.38. Ion sodium sebagai ion molekul pseudo biasa digunakan bagi penentuan berat molekul menggunakan mod pengionan elektron. Jadual 1 di bawah menunjukkan peratusan hasil yang diperolehi daripada kaedah refluks dan kaedah mikrogelombang. </w:t>
      </w:r>
    </w:p>
    <w:p w:rsidR="00D54D5E"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120" w:line="240" w:lineRule="auto"/>
        <w:jc w:val="center"/>
        <w:rPr>
          <w:rFonts w:ascii="Times New Roman" w:hAnsi="Times New Roman"/>
          <w:sz w:val="20"/>
          <w:szCs w:val="20"/>
        </w:rPr>
      </w:pPr>
      <w:r w:rsidRPr="00EF09BD">
        <w:rPr>
          <w:rFonts w:ascii="Times New Roman" w:hAnsi="Times New Roman"/>
          <w:sz w:val="20"/>
          <w:szCs w:val="20"/>
        </w:rPr>
        <w:t xml:space="preserve">Jadual 1. </w:t>
      </w:r>
      <w:r>
        <w:rPr>
          <w:rFonts w:ascii="Times New Roman" w:hAnsi="Times New Roman"/>
          <w:sz w:val="20"/>
          <w:szCs w:val="20"/>
        </w:rPr>
        <w:t xml:space="preserve"> </w:t>
      </w:r>
      <w:r w:rsidRPr="00EF09BD">
        <w:rPr>
          <w:rFonts w:ascii="Times New Roman" w:hAnsi="Times New Roman"/>
          <w:sz w:val="20"/>
          <w:szCs w:val="20"/>
        </w:rPr>
        <w:t>Peratusan hasil kaedah refluks dan kaedah mikrogelombang</w:t>
      </w:r>
    </w:p>
    <w:tbl>
      <w:tblPr>
        <w:tblStyle w:val="TableGrid"/>
        <w:tblW w:w="5445" w:type="dxa"/>
        <w:jc w:val="center"/>
        <w:tblLook w:val="04A0" w:firstRow="1" w:lastRow="0" w:firstColumn="1" w:lastColumn="0" w:noHBand="0" w:noVBand="1"/>
      </w:tblPr>
      <w:tblGrid>
        <w:gridCol w:w="2195"/>
        <w:gridCol w:w="1104"/>
        <w:gridCol w:w="2146"/>
      </w:tblGrid>
      <w:tr w:rsidR="00D54D5E" w:rsidRPr="00EF09BD" w:rsidTr="00D54D5E">
        <w:trPr>
          <w:trHeight w:val="278"/>
          <w:jc w:val="center"/>
        </w:trPr>
        <w:tc>
          <w:tcPr>
            <w:tcW w:w="0" w:type="auto"/>
            <w:vMerge w:val="restart"/>
            <w:tcBorders>
              <w:left w:val="nil"/>
              <w:right w:val="nil"/>
            </w:tcBorders>
            <w:vAlign w:val="center"/>
          </w:tcPr>
          <w:p w:rsidR="00D54D5E" w:rsidRPr="00EF09BD" w:rsidRDefault="00D54D5E" w:rsidP="00D54D5E">
            <w:pPr>
              <w:spacing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Sebatian/ Kaedah</w:t>
            </w:r>
          </w:p>
        </w:tc>
        <w:tc>
          <w:tcPr>
            <w:tcW w:w="0" w:type="auto"/>
            <w:gridSpan w:val="2"/>
            <w:tcBorders>
              <w:left w:val="nil"/>
              <w:bottom w:val="single" w:sz="4" w:space="0" w:color="auto"/>
              <w:right w:val="nil"/>
            </w:tcBorders>
            <w:vAlign w:val="center"/>
          </w:tcPr>
          <w:p w:rsidR="00D54D5E" w:rsidRPr="00EF09BD" w:rsidRDefault="00D54D5E" w:rsidP="00D54D5E">
            <w:pPr>
              <w:spacing w:before="60"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Peratusan Hasil (%)</w:t>
            </w:r>
          </w:p>
        </w:tc>
      </w:tr>
      <w:tr w:rsidR="00D54D5E" w:rsidRPr="00EF09BD" w:rsidTr="00D54D5E">
        <w:trPr>
          <w:trHeight w:val="287"/>
          <w:jc w:val="center"/>
        </w:trPr>
        <w:tc>
          <w:tcPr>
            <w:tcW w:w="0" w:type="auto"/>
            <w:vMerge/>
            <w:tcBorders>
              <w:left w:val="nil"/>
              <w:bottom w:val="single" w:sz="4" w:space="0" w:color="auto"/>
              <w:right w:val="nil"/>
            </w:tcBorders>
            <w:vAlign w:val="center"/>
          </w:tcPr>
          <w:p w:rsidR="00D54D5E" w:rsidRPr="00EF09BD" w:rsidRDefault="00D54D5E" w:rsidP="00D54D5E">
            <w:pPr>
              <w:spacing w:after="0" w:line="240" w:lineRule="auto"/>
              <w:jc w:val="center"/>
              <w:rPr>
                <w:rFonts w:ascii="Times New Roman" w:hAnsi="Times New Roman" w:cs="Times New Roman"/>
                <w:b/>
                <w:sz w:val="20"/>
                <w:szCs w:val="20"/>
              </w:rPr>
            </w:pPr>
          </w:p>
        </w:tc>
        <w:tc>
          <w:tcPr>
            <w:tcW w:w="0" w:type="auto"/>
            <w:tcBorders>
              <w:left w:val="nil"/>
              <w:bottom w:val="single" w:sz="4" w:space="0" w:color="auto"/>
              <w:right w:val="nil"/>
            </w:tcBorders>
            <w:vAlign w:val="center"/>
          </w:tcPr>
          <w:p w:rsidR="00D54D5E" w:rsidRPr="00EF09BD" w:rsidRDefault="00D54D5E" w:rsidP="00D54D5E">
            <w:pPr>
              <w:spacing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Refluks</w:t>
            </w:r>
          </w:p>
        </w:tc>
        <w:tc>
          <w:tcPr>
            <w:tcW w:w="0" w:type="auto"/>
            <w:tcBorders>
              <w:left w:val="nil"/>
              <w:bottom w:val="single" w:sz="4" w:space="0" w:color="auto"/>
              <w:right w:val="nil"/>
            </w:tcBorders>
            <w:vAlign w:val="center"/>
          </w:tcPr>
          <w:p w:rsidR="00D54D5E" w:rsidRPr="00EF09BD" w:rsidRDefault="00D54D5E" w:rsidP="00D54D5E">
            <w:pPr>
              <w:spacing w:after="6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Mikrogelombang</w:t>
            </w:r>
          </w:p>
        </w:tc>
      </w:tr>
      <w:tr w:rsidR="00D54D5E" w:rsidRPr="00EF09BD" w:rsidTr="004874E8">
        <w:trPr>
          <w:trHeight w:val="430"/>
          <w:jc w:val="center"/>
        </w:trPr>
        <w:tc>
          <w:tcPr>
            <w:tcW w:w="0" w:type="auto"/>
            <w:tcBorders>
              <w:left w:val="nil"/>
              <w:bottom w:val="nil"/>
              <w:right w:val="nil"/>
            </w:tcBorders>
            <w:vAlign w:val="center"/>
          </w:tcPr>
          <w:p w:rsidR="00D54D5E" w:rsidRPr="00EF09BD" w:rsidRDefault="00D54D5E" w:rsidP="00D54D5E">
            <w:pPr>
              <w:spacing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3a</w:t>
            </w:r>
          </w:p>
        </w:tc>
        <w:tc>
          <w:tcPr>
            <w:tcW w:w="0" w:type="auto"/>
            <w:tcBorders>
              <w:left w:val="nil"/>
              <w:bottom w:val="nil"/>
              <w:right w:val="nil"/>
            </w:tcBorders>
            <w:vAlign w:val="center"/>
          </w:tcPr>
          <w:p w:rsidR="00D54D5E" w:rsidRPr="00EF09BD" w:rsidRDefault="00D54D5E" w:rsidP="00D54D5E">
            <w:pPr>
              <w:spacing w:after="0" w:line="240" w:lineRule="auto"/>
              <w:jc w:val="center"/>
              <w:rPr>
                <w:rFonts w:ascii="Times New Roman" w:hAnsi="Times New Roman" w:cs="Times New Roman"/>
                <w:sz w:val="20"/>
                <w:szCs w:val="20"/>
              </w:rPr>
            </w:pPr>
            <w:r w:rsidRPr="00EF09BD">
              <w:rPr>
                <w:rFonts w:ascii="Times New Roman" w:hAnsi="Times New Roman" w:cs="Times New Roman"/>
                <w:sz w:val="20"/>
                <w:szCs w:val="20"/>
              </w:rPr>
              <w:t>66%</w:t>
            </w:r>
          </w:p>
        </w:tc>
        <w:tc>
          <w:tcPr>
            <w:tcW w:w="0" w:type="auto"/>
            <w:tcBorders>
              <w:left w:val="nil"/>
              <w:bottom w:val="nil"/>
              <w:right w:val="nil"/>
            </w:tcBorders>
            <w:vAlign w:val="center"/>
          </w:tcPr>
          <w:p w:rsidR="00D54D5E" w:rsidRPr="00EF09BD" w:rsidRDefault="00D54D5E" w:rsidP="00D54D5E">
            <w:pPr>
              <w:spacing w:after="0" w:line="240" w:lineRule="auto"/>
              <w:jc w:val="center"/>
              <w:rPr>
                <w:rFonts w:ascii="Times New Roman" w:hAnsi="Times New Roman" w:cs="Times New Roman"/>
                <w:sz w:val="20"/>
                <w:szCs w:val="20"/>
              </w:rPr>
            </w:pPr>
            <w:r w:rsidRPr="00EF09BD">
              <w:rPr>
                <w:rFonts w:ascii="Times New Roman" w:hAnsi="Times New Roman" w:cs="Times New Roman"/>
                <w:sz w:val="20"/>
                <w:szCs w:val="20"/>
              </w:rPr>
              <w:t>98%</w:t>
            </w:r>
          </w:p>
        </w:tc>
      </w:tr>
      <w:tr w:rsidR="00D54D5E" w:rsidRPr="00EF09BD" w:rsidTr="00D54D5E">
        <w:trPr>
          <w:trHeight w:val="423"/>
          <w:jc w:val="center"/>
        </w:trPr>
        <w:tc>
          <w:tcPr>
            <w:tcW w:w="0" w:type="auto"/>
            <w:tcBorders>
              <w:top w:val="nil"/>
              <w:left w:val="nil"/>
              <w:bottom w:val="single" w:sz="4" w:space="0" w:color="auto"/>
              <w:right w:val="nil"/>
            </w:tcBorders>
            <w:vAlign w:val="center"/>
          </w:tcPr>
          <w:p w:rsidR="00D54D5E" w:rsidRPr="00EF09BD" w:rsidRDefault="00D54D5E" w:rsidP="00D54D5E">
            <w:pPr>
              <w:spacing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3b</w:t>
            </w:r>
          </w:p>
        </w:tc>
        <w:tc>
          <w:tcPr>
            <w:tcW w:w="0" w:type="auto"/>
            <w:tcBorders>
              <w:top w:val="nil"/>
              <w:left w:val="nil"/>
              <w:bottom w:val="single" w:sz="4" w:space="0" w:color="auto"/>
              <w:right w:val="nil"/>
            </w:tcBorders>
            <w:vAlign w:val="center"/>
          </w:tcPr>
          <w:p w:rsidR="00D54D5E" w:rsidRPr="00EF09BD" w:rsidRDefault="00D54D5E" w:rsidP="00D54D5E">
            <w:pPr>
              <w:spacing w:after="0" w:line="240" w:lineRule="auto"/>
              <w:jc w:val="center"/>
              <w:rPr>
                <w:rFonts w:ascii="Times New Roman" w:hAnsi="Times New Roman" w:cs="Times New Roman"/>
                <w:sz w:val="20"/>
                <w:szCs w:val="20"/>
              </w:rPr>
            </w:pPr>
            <w:r w:rsidRPr="00EF09BD">
              <w:rPr>
                <w:rFonts w:ascii="Times New Roman" w:hAnsi="Times New Roman" w:cs="Times New Roman"/>
                <w:sz w:val="20"/>
                <w:szCs w:val="20"/>
              </w:rPr>
              <w:t>72%</w:t>
            </w:r>
          </w:p>
        </w:tc>
        <w:tc>
          <w:tcPr>
            <w:tcW w:w="0" w:type="auto"/>
            <w:tcBorders>
              <w:top w:val="nil"/>
              <w:left w:val="nil"/>
              <w:bottom w:val="single" w:sz="4" w:space="0" w:color="auto"/>
              <w:right w:val="nil"/>
            </w:tcBorders>
            <w:vAlign w:val="center"/>
          </w:tcPr>
          <w:p w:rsidR="00D54D5E" w:rsidRPr="00EF09BD" w:rsidRDefault="00D54D5E" w:rsidP="00D54D5E">
            <w:pPr>
              <w:spacing w:after="60" w:line="240" w:lineRule="auto"/>
              <w:jc w:val="center"/>
              <w:rPr>
                <w:rFonts w:ascii="Times New Roman" w:hAnsi="Times New Roman" w:cs="Times New Roman"/>
                <w:sz w:val="20"/>
                <w:szCs w:val="20"/>
              </w:rPr>
            </w:pPr>
            <w:r w:rsidRPr="00EF09BD">
              <w:rPr>
                <w:rFonts w:ascii="Times New Roman" w:hAnsi="Times New Roman" w:cs="Times New Roman"/>
                <w:sz w:val="20"/>
                <w:szCs w:val="20"/>
              </w:rPr>
              <w:t>97%</w:t>
            </w:r>
          </w:p>
        </w:tc>
      </w:tr>
    </w:tbl>
    <w:p w:rsidR="00D54D5E"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 </w:t>
      </w: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Teknik mikrogelombang menghasilkan pemanasan dalaman yang lebih cekap disebabkan tenaga gelombang mikronya selari dengan molekul-molekul pelarut dan reagen yang terlibat dalam tindak balas. Maka masa tindak balas menjadi lebih cepat [7]. Jadual di atas membuktikan bahawa peratusan hasil daripada kaedah mikrogelombang adalah lebih tinggi berbanding dengan kaedah refluks. Hal ini kerana penggunaan teknik mikrogelombang dapat memberikan hasil tindak balas yang lebih bersih serta dapat mengurangkan pembentukan produk sampingan [16]. Melalui kaedah konvensional pula, peratusan hasil bagi sebatian </w:t>
      </w:r>
      <w:r w:rsidRPr="00EF09BD">
        <w:rPr>
          <w:rFonts w:ascii="Times New Roman" w:hAnsi="Times New Roman"/>
          <w:b/>
          <w:sz w:val="20"/>
          <w:szCs w:val="20"/>
        </w:rPr>
        <w:t>3a</w:t>
      </w:r>
      <w:r w:rsidRPr="00EF09BD">
        <w:rPr>
          <w:rFonts w:ascii="Times New Roman" w:hAnsi="Times New Roman"/>
          <w:sz w:val="20"/>
          <w:szCs w:val="20"/>
        </w:rPr>
        <w:t xml:space="preserve"> dan </w:t>
      </w:r>
      <w:r w:rsidRPr="00EF09BD">
        <w:rPr>
          <w:rFonts w:ascii="Times New Roman" w:hAnsi="Times New Roman"/>
          <w:b/>
          <w:sz w:val="20"/>
          <w:szCs w:val="20"/>
        </w:rPr>
        <w:t>3b</w:t>
      </w:r>
      <w:r w:rsidRPr="00EF09BD">
        <w:rPr>
          <w:rFonts w:ascii="Times New Roman" w:hAnsi="Times New Roman"/>
          <w:sz w:val="20"/>
          <w:szCs w:val="20"/>
        </w:rPr>
        <w:t xml:space="preserve"> adalah masing-masing 66 % dan 72 %. Kaedah ini juga memerlukan masa yang lebih lama bagi suatu tindak balas lengkap. Hal ini disebabkan berlakunya </w:t>
      </w:r>
      <w:r w:rsidRPr="00EF09BD">
        <w:rPr>
          <w:rFonts w:ascii="Times New Roman" w:hAnsi="Times New Roman"/>
          <w:sz w:val="20"/>
          <w:szCs w:val="20"/>
        </w:rPr>
        <w:lastRenderedPageBreak/>
        <w:t>pemindahan tenaga ke dalam sistem yang mana suhu luar lebih tinggi berbanding suhu di dalam campuran tindak balas [17]. Kebolehulangan tindak balas tidak dijalankan kerana kaedah mikrogelombang telah menghasilkan nilai peratusan yang kuantitatif.</w:t>
      </w: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b/>
          <w:sz w:val="20"/>
          <w:szCs w:val="20"/>
        </w:rPr>
      </w:pPr>
      <w:r w:rsidRPr="00EF09BD">
        <w:rPr>
          <w:rFonts w:ascii="Times New Roman" w:hAnsi="Times New Roman"/>
          <w:b/>
          <w:sz w:val="20"/>
          <w:szCs w:val="20"/>
        </w:rPr>
        <w:t>Aktiviti antimikrob</w:t>
      </w: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Sebatian tiourea </w:t>
      </w:r>
      <w:r w:rsidRPr="00EF09BD">
        <w:rPr>
          <w:rFonts w:ascii="Times New Roman" w:hAnsi="Times New Roman"/>
          <w:b/>
          <w:sz w:val="20"/>
          <w:szCs w:val="20"/>
        </w:rPr>
        <w:t xml:space="preserve">3a </w:t>
      </w:r>
      <w:r w:rsidRPr="00EF09BD">
        <w:rPr>
          <w:rFonts w:ascii="Times New Roman" w:hAnsi="Times New Roman"/>
          <w:sz w:val="20"/>
          <w:szCs w:val="20"/>
        </w:rPr>
        <w:t xml:space="preserve">dan </w:t>
      </w:r>
      <w:r w:rsidRPr="00EF09BD">
        <w:rPr>
          <w:rFonts w:ascii="Times New Roman" w:hAnsi="Times New Roman"/>
          <w:b/>
          <w:sz w:val="20"/>
          <w:szCs w:val="20"/>
        </w:rPr>
        <w:t xml:space="preserve">3b </w:t>
      </w:r>
      <w:r w:rsidRPr="00EF09BD">
        <w:rPr>
          <w:rFonts w:ascii="Times New Roman" w:hAnsi="Times New Roman"/>
          <w:sz w:val="20"/>
          <w:szCs w:val="20"/>
        </w:rPr>
        <w:t xml:space="preserve">telah dicirikan dan ujikaji aktiviti antimikrobnya [14] telah dijalankan menggunakan antibiotik </w:t>
      </w:r>
      <w:r w:rsidRPr="00EF09BD">
        <w:rPr>
          <w:rFonts w:ascii="Times New Roman" w:hAnsi="Times New Roman"/>
          <w:i/>
          <w:sz w:val="20"/>
          <w:szCs w:val="20"/>
        </w:rPr>
        <w:t>Streptomisin</w:t>
      </w:r>
      <w:r w:rsidRPr="00EF09BD">
        <w:rPr>
          <w:rFonts w:ascii="Times New Roman" w:hAnsi="Times New Roman"/>
          <w:sz w:val="20"/>
          <w:szCs w:val="20"/>
        </w:rPr>
        <w:t xml:space="preserve"> (10μg/ml) dan </w:t>
      </w:r>
      <w:r w:rsidRPr="00EF09BD">
        <w:rPr>
          <w:rFonts w:ascii="Times New Roman" w:hAnsi="Times New Roman"/>
          <w:i/>
          <w:sz w:val="20"/>
          <w:szCs w:val="20"/>
        </w:rPr>
        <w:t>Kanamisin</w:t>
      </w:r>
      <w:r w:rsidRPr="00EF09BD">
        <w:rPr>
          <w:rFonts w:ascii="Times New Roman" w:hAnsi="Times New Roman"/>
          <w:sz w:val="20"/>
          <w:szCs w:val="20"/>
        </w:rPr>
        <w:t xml:space="preserve"> (30 μg/ml) sebagai kawalan positif dan DMSO sebagai kawalan negatif. Jadual 2 dan Jadual 3 di bawah merupakan hasil daripada kajian yang telah dijalankan:</w:t>
      </w:r>
    </w:p>
    <w:p w:rsidR="00D54D5E"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p>
    <w:p w:rsidR="00D54D5E" w:rsidRPr="00EF09BD" w:rsidRDefault="00D54D5E" w:rsidP="00D54D5E">
      <w:pPr>
        <w:spacing w:after="120" w:line="240" w:lineRule="auto"/>
        <w:jc w:val="center"/>
        <w:rPr>
          <w:rFonts w:ascii="Times New Roman" w:hAnsi="Times New Roman"/>
          <w:bCs/>
          <w:sz w:val="20"/>
          <w:szCs w:val="20"/>
        </w:rPr>
      </w:pPr>
      <w:r w:rsidRPr="00EF09BD">
        <w:rPr>
          <w:rFonts w:ascii="Times New Roman" w:hAnsi="Times New Roman"/>
          <w:bCs/>
          <w:sz w:val="20"/>
          <w:szCs w:val="20"/>
        </w:rPr>
        <w:t xml:space="preserve">Jadual 2. </w:t>
      </w:r>
      <w:r>
        <w:rPr>
          <w:rFonts w:ascii="Times New Roman" w:hAnsi="Times New Roman"/>
          <w:bCs/>
          <w:sz w:val="20"/>
          <w:szCs w:val="20"/>
        </w:rPr>
        <w:t xml:space="preserve"> </w:t>
      </w:r>
      <w:r w:rsidRPr="00EF09BD">
        <w:rPr>
          <w:rFonts w:ascii="Times New Roman" w:hAnsi="Times New Roman"/>
          <w:bCs/>
          <w:sz w:val="20"/>
          <w:szCs w:val="20"/>
        </w:rPr>
        <w:t>Aktiviti antimikrob bagi sebatian terbitan tiourea dan antibiotik (10 μg/ml)</w:t>
      </w:r>
    </w:p>
    <w:tbl>
      <w:tblPr>
        <w:tblStyle w:val="TableGrid"/>
        <w:tblW w:w="0" w:type="auto"/>
        <w:tblLayout w:type="fixed"/>
        <w:tblLook w:val="04A0" w:firstRow="1" w:lastRow="0" w:firstColumn="1" w:lastColumn="0" w:noHBand="0" w:noVBand="1"/>
      </w:tblPr>
      <w:tblGrid>
        <w:gridCol w:w="2093"/>
        <w:gridCol w:w="1843"/>
        <w:gridCol w:w="1134"/>
        <w:gridCol w:w="1396"/>
        <w:gridCol w:w="1443"/>
        <w:gridCol w:w="1333"/>
      </w:tblGrid>
      <w:tr w:rsidR="00D54D5E" w:rsidRPr="00EF09BD" w:rsidTr="004874E8">
        <w:tc>
          <w:tcPr>
            <w:tcW w:w="2093" w:type="dxa"/>
            <w:tcBorders>
              <w:top w:val="single" w:sz="4" w:space="0" w:color="auto"/>
              <w:left w:val="nil"/>
              <w:bottom w:val="nil"/>
              <w:right w:val="nil"/>
            </w:tcBorders>
          </w:tcPr>
          <w:p w:rsidR="00D54D5E" w:rsidRPr="00EF09BD" w:rsidRDefault="00D54D5E" w:rsidP="00D54D5E">
            <w:pPr>
              <w:spacing w:before="60" w:after="0"/>
              <w:jc w:val="both"/>
              <w:rPr>
                <w:rFonts w:ascii="Times New Roman" w:hAnsi="Times New Roman" w:cs="Times New Roman"/>
                <w:b/>
                <w:sz w:val="20"/>
                <w:szCs w:val="20"/>
              </w:rPr>
            </w:pPr>
            <w:r w:rsidRPr="00EF09BD">
              <w:rPr>
                <w:rFonts w:ascii="Times New Roman" w:hAnsi="Times New Roman" w:cs="Times New Roman"/>
                <w:b/>
                <w:sz w:val="20"/>
                <w:szCs w:val="20"/>
              </w:rPr>
              <w:t>Sebatian</w:t>
            </w:r>
          </w:p>
        </w:tc>
        <w:tc>
          <w:tcPr>
            <w:tcW w:w="2977" w:type="dxa"/>
            <w:gridSpan w:val="2"/>
            <w:tcBorders>
              <w:top w:val="single" w:sz="4" w:space="0" w:color="auto"/>
              <w:left w:val="nil"/>
              <w:bottom w:val="single" w:sz="4" w:space="0" w:color="auto"/>
              <w:right w:val="nil"/>
            </w:tcBorders>
            <w:vAlign w:val="center"/>
          </w:tcPr>
          <w:p w:rsidR="00D54D5E" w:rsidRPr="00EF09BD" w:rsidRDefault="00D54D5E" w:rsidP="00D54D5E">
            <w:pPr>
              <w:spacing w:before="60" w:after="0"/>
              <w:jc w:val="center"/>
              <w:rPr>
                <w:rFonts w:ascii="Times New Roman" w:hAnsi="Times New Roman" w:cs="Times New Roman"/>
                <w:b/>
                <w:sz w:val="20"/>
                <w:szCs w:val="20"/>
              </w:rPr>
            </w:pPr>
            <w:r w:rsidRPr="00EF09BD">
              <w:rPr>
                <w:rFonts w:ascii="Times New Roman" w:hAnsi="Times New Roman" w:cs="Times New Roman"/>
                <w:b/>
                <w:sz w:val="20"/>
                <w:szCs w:val="20"/>
              </w:rPr>
              <w:t>Bakteria Gram positif (mm)</w:t>
            </w:r>
          </w:p>
        </w:tc>
        <w:tc>
          <w:tcPr>
            <w:tcW w:w="2839" w:type="dxa"/>
            <w:gridSpan w:val="2"/>
            <w:tcBorders>
              <w:top w:val="single" w:sz="4" w:space="0" w:color="auto"/>
              <w:left w:val="nil"/>
              <w:bottom w:val="single" w:sz="4" w:space="0" w:color="auto"/>
              <w:right w:val="nil"/>
            </w:tcBorders>
            <w:vAlign w:val="center"/>
          </w:tcPr>
          <w:p w:rsidR="00D54D5E" w:rsidRPr="00EF09BD" w:rsidRDefault="00D54D5E" w:rsidP="00D54D5E">
            <w:pPr>
              <w:spacing w:before="60" w:after="0"/>
              <w:jc w:val="center"/>
              <w:rPr>
                <w:rFonts w:ascii="Times New Roman" w:hAnsi="Times New Roman" w:cs="Times New Roman"/>
                <w:b/>
                <w:sz w:val="20"/>
                <w:szCs w:val="20"/>
              </w:rPr>
            </w:pPr>
            <w:r w:rsidRPr="00EF09BD">
              <w:rPr>
                <w:rFonts w:ascii="Times New Roman" w:hAnsi="Times New Roman" w:cs="Times New Roman"/>
                <w:b/>
                <w:sz w:val="20"/>
                <w:szCs w:val="20"/>
              </w:rPr>
              <w:t>Bakteria Gram negative (mm)</w:t>
            </w:r>
          </w:p>
        </w:tc>
        <w:tc>
          <w:tcPr>
            <w:tcW w:w="1333" w:type="dxa"/>
            <w:tcBorders>
              <w:top w:val="single" w:sz="4" w:space="0" w:color="auto"/>
              <w:left w:val="nil"/>
              <w:bottom w:val="single" w:sz="4" w:space="0" w:color="auto"/>
              <w:right w:val="nil"/>
            </w:tcBorders>
            <w:vAlign w:val="center"/>
          </w:tcPr>
          <w:p w:rsidR="00D54D5E" w:rsidRPr="00EF09BD" w:rsidRDefault="00D54D5E" w:rsidP="00D54D5E">
            <w:pPr>
              <w:spacing w:before="60" w:after="0"/>
              <w:jc w:val="center"/>
              <w:rPr>
                <w:rFonts w:ascii="Times New Roman" w:hAnsi="Times New Roman" w:cs="Times New Roman"/>
                <w:b/>
                <w:sz w:val="20"/>
                <w:szCs w:val="20"/>
              </w:rPr>
            </w:pPr>
            <w:r w:rsidRPr="00EF09BD">
              <w:rPr>
                <w:rFonts w:ascii="Times New Roman" w:hAnsi="Times New Roman" w:cs="Times New Roman"/>
                <w:b/>
                <w:sz w:val="20"/>
                <w:szCs w:val="20"/>
              </w:rPr>
              <w:t>Kulat (mm)</w:t>
            </w:r>
          </w:p>
        </w:tc>
      </w:tr>
      <w:tr w:rsidR="00D54D5E" w:rsidRPr="00EF09BD" w:rsidTr="004874E8">
        <w:tc>
          <w:tcPr>
            <w:tcW w:w="2093" w:type="dxa"/>
            <w:tcBorders>
              <w:top w:val="nil"/>
              <w:left w:val="nil"/>
              <w:bottom w:val="single" w:sz="4" w:space="0" w:color="auto"/>
              <w:right w:val="nil"/>
            </w:tcBorders>
          </w:tcPr>
          <w:p w:rsidR="00D54D5E" w:rsidRPr="00EF09BD" w:rsidRDefault="00D54D5E" w:rsidP="004874E8">
            <w:pPr>
              <w:spacing w:after="100" w:afterAutospacing="1"/>
              <w:jc w:val="both"/>
              <w:rPr>
                <w:rFonts w:ascii="Times New Roman" w:hAnsi="Times New Roman" w:cs="Times New Roman"/>
                <w:sz w:val="20"/>
                <w:szCs w:val="20"/>
              </w:rPr>
            </w:pPr>
          </w:p>
        </w:tc>
        <w:tc>
          <w:tcPr>
            <w:tcW w:w="1843" w:type="dxa"/>
            <w:tcBorders>
              <w:top w:val="single" w:sz="4" w:space="0" w:color="auto"/>
              <w:left w:val="nil"/>
              <w:bottom w:val="single" w:sz="4" w:space="0" w:color="auto"/>
              <w:right w:val="nil"/>
            </w:tcBorders>
          </w:tcPr>
          <w:p w:rsidR="00D54D5E" w:rsidRPr="00EF09BD" w:rsidRDefault="00D54D5E" w:rsidP="00D54D5E">
            <w:pPr>
              <w:spacing w:after="60" w:line="240" w:lineRule="auto"/>
              <w:jc w:val="center"/>
              <w:rPr>
                <w:rFonts w:ascii="Times New Roman" w:hAnsi="Times New Roman" w:cs="Times New Roman"/>
                <w:b/>
                <w:sz w:val="20"/>
                <w:szCs w:val="20"/>
              </w:rPr>
            </w:pPr>
            <w:r w:rsidRPr="00EF09BD">
              <w:rPr>
                <w:rFonts w:ascii="Times New Roman" w:hAnsi="Times New Roman" w:cs="Times New Roman"/>
                <w:b/>
                <w:i/>
                <w:sz w:val="20"/>
                <w:szCs w:val="20"/>
              </w:rPr>
              <w:t>Staphylococcus aureus</w:t>
            </w:r>
          </w:p>
        </w:tc>
        <w:tc>
          <w:tcPr>
            <w:tcW w:w="1134" w:type="dxa"/>
            <w:tcBorders>
              <w:top w:val="single" w:sz="4" w:space="0" w:color="auto"/>
              <w:left w:val="nil"/>
              <w:bottom w:val="single" w:sz="4" w:space="0" w:color="auto"/>
              <w:right w:val="nil"/>
            </w:tcBorders>
          </w:tcPr>
          <w:p w:rsidR="00D54D5E" w:rsidRPr="00EF09BD" w:rsidRDefault="00D54D5E" w:rsidP="00D54D5E">
            <w:pPr>
              <w:spacing w:after="0" w:line="240" w:lineRule="auto"/>
              <w:jc w:val="center"/>
              <w:rPr>
                <w:rFonts w:ascii="Times New Roman" w:hAnsi="Times New Roman" w:cs="Times New Roman"/>
                <w:b/>
                <w:sz w:val="20"/>
                <w:szCs w:val="20"/>
              </w:rPr>
            </w:pPr>
            <w:r w:rsidRPr="00EF09BD">
              <w:rPr>
                <w:rFonts w:ascii="Times New Roman" w:hAnsi="Times New Roman" w:cs="Times New Roman"/>
                <w:b/>
                <w:i/>
                <w:sz w:val="20"/>
                <w:szCs w:val="20"/>
              </w:rPr>
              <w:t>Bacillus subtilis</w:t>
            </w:r>
          </w:p>
        </w:tc>
        <w:tc>
          <w:tcPr>
            <w:tcW w:w="1396" w:type="dxa"/>
            <w:tcBorders>
              <w:top w:val="single" w:sz="4" w:space="0" w:color="auto"/>
              <w:left w:val="nil"/>
              <w:bottom w:val="single" w:sz="4" w:space="0" w:color="auto"/>
              <w:right w:val="nil"/>
            </w:tcBorders>
          </w:tcPr>
          <w:p w:rsidR="00D54D5E" w:rsidRPr="00EF09BD" w:rsidRDefault="00D54D5E" w:rsidP="00D54D5E">
            <w:pPr>
              <w:spacing w:after="0" w:line="240" w:lineRule="auto"/>
              <w:jc w:val="center"/>
              <w:rPr>
                <w:rFonts w:ascii="Times New Roman" w:hAnsi="Times New Roman" w:cs="Times New Roman"/>
                <w:b/>
                <w:i/>
                <w:sz w:val="20"/>
                <w:szCs w:val="20"/>
              </w:rPr>
            </w:pPr>
            <w:r w:rsidRPr="00EF09BD">
              <w:rPr>
                <w:rFonts w:ascii="Times New Roman" w:hAnsi="Times New Roman" w:cs="Times New Roman"/>
                <w:b/>
                <w:i/>
                <w:sz w:val="20"/>
                <w:szCs w:val="20"/>
              </w:rPr>
              <w:t>Escherichia coli</w:t>
            </w:r>
          </w:p>
        </w:tc>
        <w:tc>
          <w:tcPr>
            <w:tcW w:w="1443" w:type="dxa"/>
            <w:tcBorders>
              <w:top w:val="single" w:sz="4" w:space="0" w:color="auto"/>
              <w:left w:val="nil"/>
              <w:bottom w:val="single" w:sz="4" w:space="0" w:color="auto"/>
              <w:right w:val="nil"/>
            </w:tcBorders>
          </w:tcPr>
          <w:p w:rsidR="00D54D5E" w:rsidRPr="00EF09BD" w:rsidRDefault="00D54D5E" w:rsidP="00D54D5E">
            <w:pPr>
              <w:spacing w:after="0" w:line="240" w:lineRule="auto"/>
              <w:jc w:val="center"/>
              <w:rPr>
                <w:rFonts w:ascii="Times New Roman" w:hAnsi="Times New Roman" w:cs="Times New Roman"/>
                <w:b/>
                <w:i/>
                <w:sz w:val="20"/>
                <w:szCs w:val="20"/>
              </w:rPr>
            </w:pPr>
            <w:r w:rsidRPr="00EF09BD">
              <w:rPr>
                <w:rFonts w:ascii="Times New Roman" w:hAnsi="Times New Roman" w:cs="Times New Roman"/>
                <w:b/>
                <w:i/>
                <w:sz w:val="20"/>
                <w:szCs w:val="20"/>
              </w:rPr>
              <w:t>Salmonella typhimurium</w:t>
            </w:r>
          </w:p>
        </w:tc>
        <w:tc>
          <w:tcPr>
            <w:tcW w:w="1333" w:type="dxa"/>
            <w:tcBorders>
              <w:top w:val="single" w:sz="4" w:space="0" w:color="auto"/>
              <w:left w:val="nil"/>
              <w:bottom w:val="single" w:sz="4" w:space="0" w:color="auto"/>
              <w:right w:val="nil"/>
            </w:tcBorders>
          </w:tcPr>
          <w:p w:rsidR="00D54D5E" w:rsidRPr="00EF09BD" w:rsidRDefault="00D54D5E" w:rsidP="00D54D5E">
            <w:pPr>
              <w:spacing w:after="0" w:line="240" w:lineRule="auto"/>
              <w:jc w:val="center"/>
              <w:rPr>
                <w:rFonts w:ascii="Times New Roman" w:hAnsi="Times New Roman" w:cs="Times New Roman"/>
                <w:b/>
                <w:i/>
                <w:sz w:val="20"/>
                <w:szCs w:val="20"/>
              </w:rPr>
            </w:pPr>
            <w:r w:rsidRPr="00EF09BD">
              <w:rPr>
                <w:rFonts w:ascii="Times New Roman" w:hAnsi="Times New Roman" w:cs="Times New Roman"/>
                <w:b/>
                <w:i/>
                <w:sz w:val="20"/>
                <w:szCs w:val="20"/>
              </w:rPr>
              <w:t>Aspergillus niger</w:t>
            </w:r>
          </w:p>
        </w:tc>
      </w:tr>
      <w:tr w:rsidR="00D54D5E" w:rsidRPr="00EF09BD" w:rsidTr="004874E8">
        <w:tc>
          <w:tcPr>
            <w:tcW w:w="2093" w:type="dxa"/>
            <w:tcBorders>
              <w:top w:val="single" w:sz="4" w:space="0" w:color="auto"/>
              <w:left w:val="nil"/>
              <w:bottom w:val="nil"/>
              <w:right w:val="nil"/>
            </w:tcBorders>
          </w:tcPr>
          <w:p w:rsidR="00D54D5E" w:rsidRPr="00EF09BD" w:rsidRDefault="00D54D5E" w:rsidP="00D54D5E">
            <w:pPr>
              <w:spacing w:before="60" w:after="0"/>
              <w:jc w:val="both"/>
              <w:rPr>
                <w:rFonts w:ascii="Times New Roman" w:hAnsi="Times New Roman" w:cs="Times New Roman"/>
                <w:sz w:val="20"/>
                <w:szCs w:val="20"/>
              </w:rPr>
            </w:pPr>
            <w:r w:rsidRPr="00EF09BD">
              <w:rPr>
                <w:rFonts w:ascii="Times New Roman" w:hAnsi="Times New Roman" w:cs="Times New Roman"/>
                <w:sz w:val="20"/>
                <w:szCs w:val="20"/>
              </w:rPr>
              <w:t xml:space="preserve">Antibiotik </w:t>
            </w:r>
            <w:r w:rsidRPr="00EF09BD">
              <w:rPr>
                <w:rFonts w:ascii="Times New Roman" w:hAnsi="Times New Roman" w:cs="Times New Roman"/>
                <w:i/>
                <w:sz w:val="20"/>
                <w:szCs w:val="20"/>
              </w:rPr>
              <w:t>streptomisin</w:t>
            </w:r>
          </w:p>
        </w:tc>
        <w:tc>
          <w:tcPr>
            <w:tcW w:w="1843" w:type="dxa"/>
            <w:tcBorders>
              <w:top w:val="single" w:sz="4" w:space="0" w:color="auto"/>
              <w:left w:val="nil"/>
              <w:bottom w:val="nil"/>
              <w:right w:val="nil"/>
            </w:tcBorders>
            <w:vAlign w:val="center"/>
          </w:tcPr>
          <w:p w:rsidR="00D54D5E" w:rsidRPr="00EF09BD" w:rsidRDefault="00D54D5E" w:rsidP="00D54D5E">
            <w:pPr>
              <w:spacing w:before="60" w:after="0"/>
              <w:jc w:val="center"/>
              <w:rPr>
                <w:rFonts w:ascii="Times New Roman" w:hAnsi="Times New Roman" w:cs="Times New Roman"/>
                <w:sz w:val="20"/>
                <w:szCs w:val="20"/>
              </w:rPr>
            </w:pPr>
            <w:r w:rsidRPr="00EF09BD">
              <w:rPr>
                <w:rFonts w:ascii="Times New Roman" w:hAnsi="Times New Roman" w:cs="Times New Roman"/>
                <w:sz w:val="20"/>
                <w:szCs w:val="20"/>
              </w:rPr>
              <w:t>16</w:t>
            </w:r>
          </w:p>
        </w:tc>
        <w:tc>
          <w:tcPr>
            <w:tcW w:w="1134" w:type="dxa"/>
            <w:tcBorders>
              <w:top w:val="single" w:sz="4" w:space="0" w:color="auto"/>
              <w:left w:val="nil"/>
              <w:bottom w:val="nil"/>
              <w:right w:val="nil"/>
            </w:tcBorders>
            <w:vAlign w:val="center"/>
          </w:tcPr>
          <w:p w:rsidR="00D54D5E" w:rsidRPr="00EF09BD" w:rsidRDefault="00D54D5E" w:rsidP="00D54D5E">
            <w:pPr>
              <w:spacing w:before="60" w:after="0"/>
              <w:jc w:val="center"/>
              <w:rPr>
                <w:rFonts w:ascii="Times New Roman" w:hAnsi="Times New Roman" w:cs="Times New Roman"/>
                <w:sz w:val="20"/>
                <w:szCs w:val="20"/>
              </w:rPr>
            </w:pPr>
            <w:r w:rsidRPr="00EF09BD">
              <w:rPr>
                <w:rFonts w:ascii="Times New Roman" w:hAnsi="Times New Roman" w:cs="Times New Roman"/>
                <w:sz w:val="20"/>
                <w:szCs w:val="20"/>
              </w:rPr>
              <w:t>17</w:t>
            </w:r>
          </w:p>
        </w:tc>
        <w:tc>
          <w:tcPr>
            <w:tcW w:w="1396" w:type="dxa"/>
            <w:tcBorders>
              <w:top w:val="single" w:sz="4" w:space="0" w:color="auto"/>
              <w:left w:val="nil"/>
              <w:bottom w:val="nil"/>
              <w:right w:val="nil"/>
            </w:tcBorders>
            <w:vAlign w:val="center"/>
          </w:tcPr>
          <w:p w:rsidR="00D54D5E" w:rsidRPr="00EF09BD" w:rsidRDefault="00D54D5E" w:rsidP="00D54D5E">
            <w:pPr>
              <w:spacing w:before="60" w:after="0"/>
              <w:jc w:val="center"/>
              <w:rPr>
                <w:rFonts w:ascii="Times New Roman" w:hAnsi="Times New Roman" w:cs="Times New Roman"/>
                <w:sz w:val="20"/>
                <w:szCs w:val="20"/>
              </w:rPr>
            </w:pPr>
            <w:r w:rsidRPr="00EF09BD">
              <w:rPr>
                <w:rFonts w:ascii="Times New Roman" w:hAnsi="Times New Roman" w:cs="Times New Roman"/>
                <w:sz w:val="20"/>
                <w:szCs w:val="20"/>
              </w:rPr>
              <w:t>16</w:t>
            </w:r>
          </w:p>
        </w:tc>
        <w:tc>
          <w:tcPr>
            <w:tcW w:w="1443" w:type="dxa"/>
            <w:tcBorders>
              <w:top w:val="single" w:sz="4" w:space="0" w:color="auto"/>
              <w:left w:val="nil"/>
              <w:bottom w:val="nil"/>
              <w:right w:val="nil"/>
            </w:tcBorders>
            <w:vAlign w:val="center"/>
          </w:tcPr>
          <w:p w:rsidR="00D54D5E" w:rsidRPr="00EF09BD" w:rsidRDefault="00D54D5E" w:rsidP="00D54D5E">
            <w:pPr>
              <w:spacing w:before="60" w:after="0"/>
              <w:jc w:val="center"/>
              <w:rPr>
                <w:rFonts w:ascii="Times New Roman" w:hAnsi="Times New Roman" w:cs="Times New Roman"/>
                <w:sz w:val="20"/>
                <w:szCs w:val="20"/>
              </w:rPr>
            </w:pPr>
            <w:r w:rsidRPr="00EF09BD">
              <w:rPr>
                <w:rFonts w:ascii="Times New Roman" w:hAnsi="Times New Roman" w:cs="Times New Roman"/>
                <w:sz w:val="20"/>
                <w:szCs w:val="20"/>
              </w:rPr>
              <w:t>19</w:t>
            </w:r>
          </w:p>
        </w:tc>
        <w:tc>
          <w:tcPr>
            <w:tcW w:w="1333" w:type="dxa"/>
            <w:tcBorders>
              <w:top w:val="single" w:sz="4" w:space="0" w:color="auto"/>
              <w:left w:val="nil"/>
              <w:bottom w:val="nil"/>
              <w:right w:val="nil"/>
            </w:tcBorders>
            <w:vAlign w:val="center"/>
          </w:tcPr>
          <w:p w:rsidR="00D54D5E" w:rsidRPr="00EF09BD" w:rsidRDefault="00D54D5E" w:rsidP="00D54D5E">
            <w:pPr>
              <w:spacing w:before="60" w:after="0"/>
              <w:jc w:val="center"/>
              <w:rPr>
                <w:rFonts w:ascii="Times New Roman" w:hAnsi="Times New Roman" w:cs="Times New Roman"/>
                <w:sz w:val="20"/>
                <w:szCs w:val="20"/>
              </w:rPr>
            </w:pPr>
            <w:r w:rsidRPr="00EF09BD">
              <w:rPr>
                <w:rFonts w:ascii="Times New Roman" w:hAnsi="Times New Roman" w:cs="Times New Roman"/>
                <w:sz w:val="20"/>
                <w:szCs w:val="20"/>
              </w:rPr>
              <w:t>10</w:t>
            </w:r>
          </w:p>
        </w:tc>
      </w:tr>
      <w:tr w:rsidR="00D54D5E" w:rsidRPr="00EF09BD" w:rsidTr="004874E8">
        <w:tc>
          <w:tcPr>
            <w:tcW w:w="2093" w:type="dxa"/>
            <w:tcBorders>
              <w:top w:val="nil"/>
              <w:left w:val="nil"/>
              <w:bottom w:val="nil"/>
              <w:right w:val="nil"/>
            </w:tcBorders>
          </w:tcPr>
          <w:p w:rsidR="00D54D5E" w:rsidRPr="00EF09BD" w:rsidRDefault="00D54D5E" w:rsidP="00D54D5E">
            <w:pPr>
              <w:spacing w:before="60"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1-etil-1-(2-hidroksi-etil)-3-naftalen-1-il-tiourea </w:t>
            </w:r>
            <w:r w:rsidRPr="00EF09BD">
              <w:rPr>
                <w:rFonts w:ascii="Times New Roman" w:hAnsi="Times New Roman" w:cs="Times New Roman"/>
                <w:b/>
                <w:sz w:val="20"/>
                <w:szCs w:val="20"/>
              </w:rPr>
              <w:t>(3a)</w:t>
            </w:r>
          </w:p>
        </w:tc>
        <w:tc>
          <w:tcPr>
            <w:tcW w:w="1843" w:type="dxa"/>
            <w:tcBorders>
              <w:top w:val="nil"/>
              <w:left w:val="nil"/>
              <w:bottom w:val="nil"/>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134" w:type="dxa"/>
            <w:tcBorders>
              <w:top w:val="nil"/>
              <w:left w:val="nil"/>
              <w:bottom w:val="nil"/>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96" w:type="dxa"/>
            <w:tcBorders>
              <w:top w:val="nil"/>
              <w:left w:val="nil"/>
              <w:bottom w:val="nil"/>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443" w:type="dxa"/>
            <w:tcBorders>
              <w:top w:val="nil"/>
              <w:left w:val="nil"/>
              <w:bottom w:val="nil"/>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3" w:type="dxa"/>
            <w:tcBorders>
              <w:top w:val="nil"/>
              <w:left w:val="nil"/>
              <w:bottom w:val="nil"/>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r w:rsidR="00D54D5E" w:rsidRPr="00EF09BD" w:rsidTr="004874E8">
        <w:tc>
          <w:tcPr>
            <w:tcW w:w="2093" w:type="dxa"/>
            <w:tcBorders>
              <w:top w:val="nil"/>
              <w:left w:val="nil"/>
              <w:bottom w:val="single" w:sz="4" w:space="0" w:color="auto"/>
              <w:right w:val="nil"/>
            </w:tcBorders>
          </w:tcPr>
          <w:p w:rsidR="00D54D5E" w:rsidRPr="00EF09BD" w:rsidRDefault="00D54D5E" w:rsidP="006957E2">
            <w:pPr>
              <w:spacing w:before="60" w:after="6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1-(fenil-amino)-3-naftalen-1-il-tiourea </w:t>
            </w:r>
            <w:r w:rsidRPr="00EF09BD">
              <w:rPr>
                <w:rFonts w:ascii="Times New Roman" w:hAnsi="Times New Roman" w:cs="Times New Roman"/>
                <w:b/>
                <w:sz w:val="20"/>
                <w:szCs w:val="20"/>
              </w:rPr>
              <w:t>(3b)</w:t>
            </w:r>
          </w:p>
        </w:tc>
        <w:tc>
          <w:tcPr>
            <w:tcW w:w="1843" w:type="dxa"/>
            <w:tcBorders>
              <w:top w:val="nil"/>
              <w:left w:val="nil"/>
              <w:bottom w:val="single" w:sz="4" w:space="0" w:color="auto"/>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134" w:type="dxa"/>
            <w:tcBorders>
              <w:top w:val="nil"/>
              <w:left w:val="nil"/>
              <w:bottom w:val="single" w:sz="4" w:space="0" w:color="auto"/>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396" w:type="dxa"/>
            <w:tcBorders>
              <w:top w:val="nil"/>
              <w:left w:val="nil"/>
              <w:bottom w:val="single" w:sz="4" w:space="0" w:color="auto"/>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443" w:type="dxa"/>
            <w:tcBorders>
              <w:top w:val="nil"/>
              <w:left w:val="nil"/>
              <w:bottom w:val="single" w:sz="4" w:space="0" w:color="auto"/>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3" w:type="dxa"/>
            <w:tcBorders>
              <w:top w:val="nil"/>
              <w:left w:val="nil"/>
              <w:bottom w:val="single" w:sz="4" w:space="0" w:color="auto"/>
              <w:right w:val="nil"/>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bl>
    <w:p w:rsidR="00D54D5E" w:rsidRDefault="00D54D5E" w:rsidP="006957E2">
      <w:pPr>
        <w:spacing w:after="0" w:line="240" w:lineRule="auto"/>
        <w:rPr>
          <w:rFonts w:ascii="Times New Roman" w:hAnsi="Times New Roman"/>
          <w:bCs/>
          <w:sz w:val="20"/>
          <w:szCs w:val="20"/>
        </w:rPr>
      </w:pPr>
    </w:p>
    <w:p w:rsidR="006957E2" w:rsidRDefault="006957E2" w:rsidP="006957E2">
      <w:pPr>
        <w:spacing w:after="0" w:line="240" w:lineRule="auto"/>
        <w:rPr>
          <w:rFonts w:ascii="Times New Roman" w:hAnsi="Times New Roman"/>
          <w:bCs/>
          <w:sz w:val="20"/>
          <w:szCs w:val="20"/>
        </w:rPr>
      </w:pPr>
    </w:p>
    <w:p w:rsidR="006957E2" w:rsidRPr="00EF09BD" w:rsidRDefault="006957E2" w:rsidP="006957E2">
      <w:pPr>
        <w:spacing w:after="0" w:line="240" w:lineRule="auto"/>
        <w:rPr>
          <w:rFonts w:ascii="Times New Roman" w:hAnsi="Times New Roman"/>
          <w:bCs/>
          <w:sz w:val="20"/>
          <w:szCs w:val="20"/>
        </w:rPr>
      </w:pPr>
    </w:p>
    <w:p w:rsidR="00D54D5E" w:rsidRPr="00EF09BD" w:rsidRDefault="00D54D5E" w:rsidP="006957E2">
      <w:pPr>
        <w:spacing w:after="120" w:line="240" w:lineRule="auto"/>
        <w:jc w:val="center"/>
        <w:rPr>
          <w:rFonts w:ascii="Times New Roman" w:hAnsi="Times New Roman"/>
          <w:bCs/>
          <w:sz w:val="20"/>
          <w:szCs w:val="20"/>
        </w:rPr>
      </w:pPr>
      <w:r w:rsidRPr="00EF09BD">
        <w:rPr>
          <w:rFonts w:ascii="Times New Roman" w:hAnsi="Times New Roman"/>
          <w:bCs/>
          <w:sz w:val="20"/>
          <w:szCs w:val="20"/>
        </w:rPr>
        <w:t>Jadual 3. Aktiviti antimikrob bagi sebatian terbitan tiourea dan antibiotik (30μg/ml)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56"/>
        <w:gridCol w:w="1121"/>
        <w:gridCol w:w="1477"/>
        <w:gridCol w:w="1642"/>
        <w:gridCol w:w="1337"/>
      </w:tblGrid>
      <w:tr w:rsidR="00D54D5E" w:rsidRPr="00EF09BD" w:rsidTr="004874E8">
        <w:tc>
          <w:tcPr>
            <w:tcW w:w="1809" w:type="dxa"/>
            <w:tcBorders>
              <w:top w:val="single" w:sz="4" w:space="0" w:color="auto"/>
            </w:tcBorders>
          </w:tcPr>
          <w:p w:rsidR="00D54D5E" w:rsidRPr="00EF09BD" w:rsidRDefault="00D54D5E" w:rsidP="006957E2">
            <w:pPr>
              <w:spacing w:before="60" w:after="0"/>
              <w:rPr>
                <w:rFonts w:ascii="Times New Roman" w:hAnsi="Times New Roman" w:cs="Times New Roman"/>
                <w:b/>
                <w:sz w:val="20"/>
                <w:szCs w:val="20"/>
              </w:rPr>
            </w:pPr>
            <w:r w:rsidRPr="00EF09BD">
              <w:rPr>
                <w:rFonts w:ascii="Times New Roman" w:hAnsi="Times New Roman" w:cs="Times New Roman"/>
                <w:b/>
                <w:sz w:val="20"/>
                <w:szCs w:val="20"/>
              </w:rPr>
              <w:t>Sebatian</w:t>
            </w:r>
          </w:p>
        </w:tc>
        <w:tc>
          <w:tcPr>
            <w:tcW w:w="2977" w:type="dxa"/>
            <w:gridSpan w:val="2"/>
            <w:tcBorders>
              <w:top w:val="single" w:sz="4" w:space="0" w:color="auto"/>
              <w:bottom w:val="single" w:sz="4" w:space="0" w:color="auto"/>
            </w:tcBorders>
          </w:tcPr>
          <w:p w:rsidR="00D54D5E" w:rsidRPr="00EF09BD" w:rsidRDefault="00D54D5E" w:rsidP="006957E2">
            <w:pPr>
              <w:spacing w:before="60" w:after="0"/>
              <w:jc w:val="center"/>
              <w:rPr>
                <w:rFonts w:ascii="Times New Roman" w:hAnsi="Times New Roman" w:cs="Times New Roman"/>
                <w:b/>
                <w:sz w:val="20"/>
                <w:szCs w:val="20"/>
              </w:rPr>
            </w:pPr>
            <w:r w:rsidRPr="00EF09BD">
              <w:rPr>
                <w:rFonts w:ascii="Times New Roman" w:hAnsi="Times New Roman" w:cs="Times New Roman"/>
                <w:b/>
                <w:sz w:val="20"/>
                <w:szCs w:val="20"/>
              </w:rPr>
              <w:t>Bakteria Gram positif (mm)</w:t>
            </w:r>
          </w:p>
        </w:tc>
        <w:tc>
          <w:tcPr>
            <w:tcW w:w="3119" w:type="dxa"/>
            <w:gridSpan w:val="2"/>
            <w:tcBorders>
              <w:top w:val="single" w:sz="4" w:space="0" w:color="auto"/>
              <w:bottom w:val="single" w:sz="4" w:space="0" w:color="auto"/>
            </w:tcBorders>
          </w:tcPr>
          <w:p w:rsidR="00D54D5E" w:rsidRPr="00EF09BD" w:rsidRDefault="00D54D5E" w:rsidP="006957E2">
            <w:pPr>
              <w:spacing w:before="60" w:after="0"/>
              <w:jc w:val="center"/>
              <w:rPr>
                <w:rFonts w:ascii="Times New Roman" w:hAnsi="Times New Roman" w:cs="Times New Roman"/>
                <w:b/>
                <w:sz w:val="20"/>
                <w:szCs w:val="20"/>
              </w:rPr>
            </w:pPr>
            <w:r w:rsidRPr="00EF09BD">
              <w:rPr>
                <w:rFonts w:ascii="Times New Roman" w:hAnsi="Times New Roman" w:cs="Times New Roman"/>
                <w:b/>
                <w:sz w:val="20"/>
                <w:szCs w:val="20"/>
              </w:rPr>
              <w:t>Bakteria Gram negatif (mm)</w:t>
            </w:r>
          </w:p>
        </w:tc>
        <w:tc>
          <w:tcPr>
            <w:tcW w:w="1337" w:type="dxa"/>
            <w:tcBorders>
              <w:top w:val="single" w:sz="4" w:space="0" w:color="auto"/>
              <w:bottom w:val="single" w:sz="4" w:space="0" w:color="auto"/>
            </w:tcBorders>
          </w:tcPr>
          <w:p w:rsidR="00D54D5E" w:rsidRPr="00EF09BD" w:rsidRDefault="00D54D5E" w:rsidP="006957E2">
            <w:pPr>
              <w:spacing w:before="60" w:after="0"/>
              <w:jc w:val="center"/>
              <w:rPr>
                <w:rFonts w:ascii="Times New Roman" w:hAnsi="Times New Roman" w:cs="Times New Roman"/>
                <w:b/>
                <w:sz w:val="20"/>
                <w:szCs w:val="20"/>
              </w:rPr>
            </w:pPr>
            <w:r w:rsidRPr="00EF09BD">
              <w:rPr>
                <w:rFonts w:ascii="Times New Roman" w:hAnsi="Times New Roman" w:cs="Times New Roman"/>
                <w:b/>
                <w:sz w:val="20"/>
                <w:szCs w:val="20"/>
              </w:rPr>
              <w:t>Kulat (mm)</w:t>
            </w:r>
          </w:p>
        </w:tc>
      </w:tr>
      <w:tr w:rsidR="00D54D5E" w:rsidRPr="00EF09BD" w:rsidTr="004874E8">
        <w:tc>
          <w:tcPr>
            <w:tcW w:w="1809" w:type="dxa"/>
            <w:tcBorders>
              <w:bottom w:val="single" w:sz="4" w:space="0" w:color="auto"/>
            </w:tcBorders>
          </w:tcPr>
          <w:p w:rsidR="00D54D5E" w:rsidRPr="00EF09BD" w:rsidRDefault="00D54D5E" w:rsidP="004874E8">
            <w:pPr>
              <w:spacing w:after="100" w:afterAutospacing="1"/>
              <w:jc w:val="center"/>
              <w:rPr>
                <w:rFonts w:ascii="Times New Roman" w:hAnsi="Times New Roman" w:cs="Times New Roman"/>
                <w:b/>
                <w:sz w:val="20"/>
                <w:szCs w:val="20"/>
              </w:rPr>
            </w:pPr>
          </w:p>
        </w:tc>
        <w:tc>
          <w:tcPr>
            <w:tcW w:w="1856" w:type="dxa"/>
            <w:tcBorders>
              <w:top w:val="single" w:sz="4" w:space="0" w:color="auto"/>
              <w:bottom w:val="single" w:sz="4" w:space="0" w:color="auto"/>
            </w:tcBorders>
          </w:tcPr>
          <w:p w:rsidR="00D54D5E" w:rsidRPr="00EF09BD" w:rsidRDefault="00D54D5E" w:rsidP="006957E2">
            <w:pPr>
              <w:spacing w:after="60" w:line="240" w:lineRule="auto"/>
              <w:jc w:val="center"/>
              <w:rPr>
                <w:rFonts w:ascii="Times New Roman" w:hAnsi="Times New Roman" w:cs="Times New Roman"/>
                <w:b/>
                <w:sz w:val="20"/>
                <w:szCs w:val="20"/>
              </w:rPr>
            </w:pPr>
            <w:r w:rsidRPr="00EF09BD">
              <w:rPr>
                <w:rFonts w:ascii="Times New Roman" w:hAnsi="Times New Roman" w:cs="Times New Roman"/>
                <w:b/>
                <w:i/>
                <w:sz w:val="20"/>
                <w:szCs w:val="20"/>
              </w:rPr>
              <w:t>Staphylococcus aureus</w:t>
            </w:r>
          </w:p>
        </w:tc>
        <w:tc>
          <w:tcPr>
            <w:tcW w:w="1121" w:type="dxa"/>
            <w:tcBorders>
              <w:top w:val="single" w:sz="4" w:space="0" w:color="auto"/>
              <w:bottom w:val="single" w:sz="4" w:space="0" w:color="auto"/>
            </w:tcBorders>
          </w:tcPr>
          <w:p w:rsidR="00D54D5E" w:rsidRPr="00EF09BD" w:rsidRDefault="00D54D5E" w:rsidP="006957E2">
            <w:pPr>
              <w:spacing w:after="0" w:line="240" w:lineRule="auto"/>
              <w:jc w:val="center"/>
              <w:rPr>
                <w:rFonts w:ascii="Times New Roman" w:hAnsi="Times New Roman" w:cs="Times New Roman"/>
                <w:b/>
                <w:sz w:val="20"/>
                <w:szCs w:val="20"/>
              </w:rPr>
            </w:pPr>
            <w:r w:rsidRPr="00EF09BD">
              <w:rPr>
                <w:rFonts w:ascii="Times New Roman" w:hAnsi="Times New Roman" w:cs="Times New Roman"/>
                <w:b/>
                <w:i/>
                <w:sz w:val="20"/>
                <w:szCs w:val="20"/>
              </w:rPr>
              <w:t>Bacillus subtilis</w:t>
            </w:r>
          </w:p>
        </w:tc>
        <w:tc>
          <w:tcPr>
            <w:tcW w:w="1477" w:type="dxa"/>
            <w:tcBorders>
              <w:top w:val="single" w:sz="4" w:space="0" w:color="auto"/>
              <w:bottom w:val="single" w:sz="4" w:space="0" w:color="auto"/>
            </w:tcBorders>
          </w:tcPr>
          <w:p w:rsidR="00D54D5E" w:rsidRPr="00EF09BD" w:rsidRDefault="00D54D5E" w:rsidP="006957E2">
            <w:pPr>
              <w:spacing w:after="0" w:line="240" w:lineRule="auto"/>
              <w:jc w:val="center"/>
              <w:rPr>
                <w:rFonts w:ascii="Times New Roman" w:hAnsi="Times New Roman" w:cs="Times New Roman"/>
                <w:b/>
                <w:i/>
                <w:sz w:val="20"/>
                <w:szCs w:val="20"/>
              </w:rPr>
            </w:pPr>
            <w:r w:rsidRPr="00EF09BD">
              <w:rPr>
                <w:rFonts w:ascii="Times New Roman" w:hAnsi="Times New Roman" w:cs="Times New Roman"/>
                <w:b/>
                <w:i/>
                <w:sz w:val="20"/>
                <w:szCs w:val="20"/>
              </w:rPr>
              <w:t>Escherichia coli</w:t>
            </w:r>
          </w:p>
        </w:tc>
        <w:tc>
          <w:tcPr>
            <w:tcW w:w="1642" w:type="dxa"/>
            <w:tcBorders>
              <w:top w:val="single" w:sz="4" w:space="0" w:color="auto"/>
              <w:bottom w:val="single" w:sz="4" w:space="0" w:color="auto"/>
            </w:tcBorders>
          </w:tcPr>
          <w:p w:rsidR="00D54D5E" w:rsidRPr="00EF09BD" w:rsidRDefault="00D54D5E" w:rsidP="006957E2">
            <w:pPr>
              <w:spacing w:after="0" w:line="240" w:lineRule="auto"/>
              <w:jc w:val="center"/>
              <w:rPr>
                <w:rFonts w:ascii="Times New Roman" w:hAnsi="Times New Roman" w:cs="Times New Roman"/>
                <w:b/>
                <w:i/>
                <w:sz w:val="20"/>
                <w:szCs w:val="20"/>
              </w:rPr>
            </w:pPr>
            <w:r w:rsidRPr="00EF09BD">
              <w:rPr>
                <w:rFonts w:ascii="Times New Roman" w:hAnsi="Times New Roman" w:cs="Times New Roman"/>
                <w:b/>
                <w:i/>
                <w:sz w:val="20"/>
                <w:szCs w:val="20"/>
              </w:rPr>
              <w:t>Salmonella typhimurium</w:t>
            </w:r>
          </w:p>
        </w:tc>
        <w:tc>
          <w:tcPr>
            <w:tcW w:w="1337" w:type="dxa"/>
            <w:tcBorders>
              <w:top w:val="single" w:sz="4" w:space="0" w:color="auto"/>
              <w:bottom w:val="single" w:sz="4" w:space="0" w:color="auto"/>
            </w:tcBorders>
          </w:tcPr>
          <w:p w:rsidR="00D54D5E" w:rsidRPr="00EF09BD" w:rsidRDefault="00D54D5E" w:rsidP="006957E2">
            <w:pPr>
              <w:spacing w:after="0" w:line="240" w:lineRule="auto"/>
              <w:jc w:val="center"/>
              <w:rPr>
                <w:rFonts w:ascii="Times New Roman" w:hAnsi="Times New Roman" w:cs="Times New Roman"/>
                <w:b/>
                <w:i/>
                <w:sz w:val="20"/>
                <w:szCs w:val="20"/>
              </w:rPr>
            </w:pPr>
            <w:r w:rsidRPr="00EF09BD">
              <w:rPr>
                <w:rFonts w:ascii="Times New Roman" w:hAnsi="Times New Roman" w:cs="Times New Roman"/>
                <w:b/>
                <w:i/>
                <w:sz w:val="20"/>
                <w:szCs w:val="20"/>
              </w:rPr>
              <w:t>Aspergillus niger</w:t>
            </w:r>
          </w:p>
        </w:tc>
      </w:tr>
      <w:tr w:rsidR="00D54D5E" w:rsidRPr="00EF09BD" w:rsidTr="004874E8">
        <w:trPr>
          <w:trHeight w:val="475"/>
        </w:trPr>
        <w:tc>
          <w:tcPr>
            <w:tcW w:w="1809" w:type="dxa"/>
            <w:tcBorders>
              <w:top w:val="single" w:sz="4" w:space="0" w:color="auto"/>
            </w:tcBorders>
          </w:tcPr>
          <w:p w:rsidR="00D54D5E" w:rsidRPr="00EF09BD" w:rsidRDefault="00D54D5E" w:rsidP="006957E2">
            <w:pPr>
              <w:spacing w:before="60"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Antibiotik </w:t>
            </w:r>
            <w:r w:rsidRPr="00EF09BD">
              <w:rPr>
                <w:rFonts w:ascii="Times New Roman" w:hAnsi="Times New Roman" w:cs="Times New Roman"/>
                <w:i/>
                <w:sz w:val="20"/>
                <w:szCs w:val="20"/>
              </w:rPr>
              <w:t>Kanamisin</w:t>
            </w:r>
          </w:p>
        </w:tc>
        <w:tc>
          <w:tcPr>
            <w:tcW w:w="1856" w:type="dxa"/>
            <w:tcBorders>
              <w:top w:val="single" w:sz="4" w:space="0" w:color="auto"/>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20</w:t>
            </w:r>
          </w:p>
        </w:tc>
        <w:tc>
          <w:tcPr>
            <w:tcW w:w="1121" w:type="dxa"/>
            <w:tcBorders>
              <w:top w:val="single" w:sz="4" w:space="0" w:color="auto"/>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20</w:t>
            </w:r>
          </w:p>
        </w:tc>
        <w:tc>
          <w:tcPr>
            <w:tcW w:w="1477" w:type="dxa"/>
            <w:tcBorders>
              <w:top w:val="single" w:sz="4" w:space="0" w:color="auto"/>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18</w:t>
            </w:r>
          </w:p>
        </w:tc>
        <w:tc>
          <w:tcPr>
            <w:tcW w:w="1642" w:type="dxa"/>
            <w:tcBorders>
              <w:top w:val="single" w:sz="4" w:space="0" w:color="auto"/>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24</w:t>
            </w:r>
          </w:p>
        </w:tc>
        <w:tc>
          <w:tcPr>
            <w:tcW w:w="1337" w:type="dxa"/>
            <w:tcBorders>
              <w:top w:val="single" w:sz="4" w:space="0" w:color="auto"/>
            </w:tcBorders>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24</w:t>
            </w:r>
          </w:p>
        </w:tc>
      </w:tr>
      <w:tr w:rsidR="00D54D5E" w:rsidRPr="00EF09BD" w:rsidTr="004874E8">
        <w:trPr>
          <w:trHeight w:val="988"/>
        </w:trPr>
        <w:tc>
          <w:tcPr>
            <w:tcW w:w="1809" w:type="dxa"/>
          </w:tcPr>
          <w:p w:rsidR="00D54D5E" w:rsidRPr="00EF09BD" w:rsidRDefault="00D54D5E" w:rsidP="006957E2">
            <w:pPr>
              <w:spacing w:before="60"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1-etil-1-(2-hidroksi-etil)-3-naftalen-1-il-tiourea </w:t>
            </w:r>
            <w:r w:rsidRPr="00EF09BD">
              <w:rPr>
                <w:rFonts w:ascii="Times New Roman" w:hAnsi="Times New Roman" w:cs="Times New Roman"/>
                <w:b/>
                <w:sz w:val="20"/>
                <w:szCs w:val="20"/>
              </w:rPr>
              <w:t>(3a)</w:t>
            </w:r>
          </w:p>
        </w:tc>
        <w:tc>
          <w:tcPr>
            <w:tcW w:w="1856"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121"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477"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642"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7"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r w:rsidR="00D54D5E" w:rsidRPr="00EF09BD" w:rsidTr="004874E8">
        <w:trPr>
          <w:trHeight w:val="972"/>
        </w:trPr>
        <w:tc>
          <w:tcPr>
            <w:tcW w:w="1809" w:type="dxa"/>
          </w:tcPr>
          <w:p w:rsidR="00D54D5E" w:rsidRPr="00EF09BD" w:rsidRDefault="00D54D5E" w:rsidP="006957E2">
            <w:pPr>
              <w:spacing w:before="60"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1-(fenil-amino)-3-naftalen-1-il-tiourea </w:t>
            </w:r>
            <w:r w:rsidRPr="00EF09BD">
              <w:rPr>
                <w:rFonts w:ascii="Times New Roman" w:hAnsi="Times New Roman" w:cs="Times New Roman"/>
                <w:b/>
                <w:sz w:val="20"/>
                <w:szCs w:val="20"/>
              </w:rPr>
              <w:t>(3b)</w:t>
            </w:r>
          </w:p>
        </w:tc>
        <w:tc>
          <w:tcPr>
            <w:tcW w:w="1856"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121"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477"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642"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7" w:type="dxa"/>
            <w:vAlign w:val="center"/>
          </w:tcPr>
          <w:p w:rsidR="00D54D5E" w:rsidRPr="00EF09BD" w:rsidRDefault="00D54D5E" w:rsidP="004874E8">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bl>
    <w:p w:rsidR="00D54D5E" w:rsidRDefault="00D54D5E" w:rsidP="00D54D5E">
      <w:pPr>
        <w:spacing w:after="0" w:line="240" w:lineRule="auto"/>
        <w:jc w:val="both"/>
        <w:rPr>
          <w:rFonts w:ascii="Times New Roman" w:hAnsi="Times New Roman"/>
          <w:sz w:val="20"/>
          <w:szCs w:val="20"/>
        </w:rPr>
      </w:pPr>
    </w:p>
    <w:p w:rsidR="006957E2" w:rsidRPr="00EF09BD" w:rsidRDefault="006957E2" w:rsidP="00D54D5E">
      <w:pPr>
        <w:spacing w:after="0" w:line="240" w:lineRule="auto"/>
        <w:jc w:val="both"/>
        <w:rPr>
          <w:rFonts w:ascii="Times New Roman" w:hAnsi="Times New Roman"/>
          <w:sz w:val="20"/>
          <w:szCs w:val="20"/>
        </w:rPr>
      </w:pPr>
    </w:p>
    <w:p w:rsidR="00D54D5E" w:rsidRPr="00EF09BD" w:rsidRDefault="00D54D5E" w:rsidP="00D54D5E">
      <w:pPr>
        <w:spacing w:after="0" w:line="240" w:lineRule="auto"/>
        <w:jc w:val="both"/>
        <w:rPr>
          <w:rFonts w:ascii="Times New Roman" w:hAnsi="Times New Roman"/>
          <w:sz w:val="20"/>
          <w:szCs w:val="20"/>
        </w:rPr>
      </w:pPr>
      <w:r w:rsidRPr="00EF09BD">
        <w:rPr>
          <w:rFonts w:ascii="Times New Roman" w:hAnsi="Times New Roman"/>
          <w:sz w:val="20"/>
          <w:szCs w:val="20"/>
        </w:rPr>
        <w:t xml:space="preserve">Merujuk pada kedua-dua jadual di atas, aktiviti antimikrob yang dihasilkan oleh sebatian tiourea yang dihasilkan adalah sangat rendah. Keluasan kawasan yang mampu direncat pertumbuhan bakteria dan kulat adalah sekitar enam hingga tujuh milimeter diameter manakala antibiotik pula mampu untuk merencat pertumbuhan bakteria sejauh 10 hingga 24 milimeter diameter. Hasil menunjukkan terbitan tiourea yang dihasilkan tidak bersesuaian untuk dijadikan bahan antimikrob bagi bakteria-bakteria yang diuji.  Kehadiran kumpulan penderma elektron atau kumpulan aromatik tanpa kumpulan pengganti penarik elektron menjejaskan aktiviti antimikrob sebatian berkenaan [15]. Sehubungan dengan itu, naftil tanpa kumpulan berfungsi penarik elektron dan kumpulan pengganti lain yang bertindak sebagai penderma elektron kepada kumpulan berfungsi tiourea akan memudaratkan aktiviti antimikrob </w:t>
      </w:r>
      <w:r w:rsidRPr="00EF09BD">
        <w:rPr>
          <w:rFonts w:ascii="Times New Roman" w:hAnsi="Times New Roman"/>
          <w:sz w:val="20"/>
          <w:szCs w:val="20"/>
        </w:rPr>
        <w:lastRenderedPageBreak/>
        <w:t>tiourea tersebut. Selain itu, beberapa idea juga turut diketengahkan untuk meningkatkan keputusan perencatan bakteria oleh sebatian tersebut seperti meningkatkan kepekatan sebatian yang digunakan dalam merencatkan pertumbuhan mikrob. Terdapat juga cadangan untuk menggunakan kaedah lain yang berkemungkinan lebih efektif dalam menentukan aktiviti antimikrob ini seperti kepekatan perencatan asai minimum.</w:t>
      </w:r>
    </w:p>
    <w:p w:rsidR="006768E9" w:rsidRPr="00F447A7" w:rsidRDefault="006768E9" w:rsidP="00D54D5E">
      <w:pPr>
        <w:spacing w:after="0" w:line="240" w:lineRule="auto"/>
        <w:jc w:val="center"/>
        <w:rPr>
          <w:rFonts w:ascii="Times New Roman" w:hAnsi="Times New Roman"/>
          <w:noProof/>
          <w:sz w:val="20"/>
          <w:szCs w:val="20"/>
          <w:lang w:bidi="ar-SA"/>
        </w:rPr>
      </w:pPr>
    </w:p>
    <w:p w:rsidR="006957E2" w:rsidRPr="00EF09BD" w:rsidRDefault="006957E2" w:rsidP="006957E2">
      <w:pPr>
        <w:spacing w:after="0" w:line="240" w:lineRule="auto"/>
        <w:jc w:val="center"/>
        <w:rPr>
          <w:rFonts w:asciiTheme="majorBidi" w:hAnsiTheme="majorBidi" w:cstheme="majorBidi"/>
          <w:b/>
          <w:bCs/>
          <w:sz w:val="20"/>
          <w:szCs w:val="20"/>
        </w:rPr>
      </w:pPr>
      <w:r w:rsidRPr="00EF09BD">
        <w:rPr>
          <w:rFonts w:asciiTheme="majorBidi" w:hAnsiTheme="majorBidi" w:cstheme="majorBidi"/>
          <w:b/>
          <w:bCs/>
          <w:sz w:val="20"/>
          <w:szCs w:val="20"/>
        </w:rPr>
        <w:t xml:space="preserve">Kesimpulan </w:t>
      </w:r>
    </w:p>
    <w:p w:rsidR="006957E2" w:rsidRPr="00EF09BD" w:rsidRDefault="006957E2" w:rsidP="006957E2">
      <w:pPr>
        <w:spacing w:after="0" w:line="240" w:lineRule="auto"/>
        <w:jc w:val="both"/>
        <w:rPr>
          <w:rFonts w:ascii="Times New Roman" w:hAnsi="Times New Roman"/>
          <w:sz w:val="20"/>
          <w:szCs w:val="20"/>
        </w:rPr>
      </w:pPr>
      <w:r w:rsidRPr="00EF09BD">
        <w:rPr>
          <w:rFonts w:asciiTheme="majorBidi" w:hAnsiTheme="majorBidi" w:cstheme="majorBidi"/>
          <w:sz w:val="20"/>
          <w:szCs w:val="20"/>
        </w:rPr>
        <w:t>Sebatian 1-etil-1-(2-hidroksi-etil)-3-naftalen-1-il-tiourea (</w:t>
      </w:r>
      <w:r w:rsidRPr="00EF09BD">
        <w:rPr>
          <w:rFonts w:asciiTheme="majorBidi" w:hAnsiTheme="majorBidi" w:cstheme="majorBidi"/>
          <w:b/>
          <w:bCs/>
          <w:sz w:val="20"/>
          <w:szCs w:val="20"/>
        </w:rPr>
        <w:t>3a</w:t>
      </w:r>
      <w:r w:rsidRPr="00EF09BD">
        <w:rPr>
          <w:rFonts w:asciiTheme="majorBidi" w:hAnsiTheme="majorBidi" w:cstheme="majorBidi"/>
          <w:sz w:val="20"/>
          <w:szCs w:val="20"/>
        </w:rPr>
        <w:t>) dan 1-(fenil-amino)-3-naftalen-1-il-tiourea (</w:t>
      </w:r>
      <w:r w:rsidRPr="00EF09BD">
        <w:rPr>
          <w:rFonts w:asciiTheme="majorBidi" w:hAnsiTheme="majorBidi" w:cstheme="majorBidi"/>
          <w:b/>
          <w:bCs/>
          <w:sz w:val="20"/>
          <w:szCs w:val="20"/>
        </w:rPr>
        <w:t>3b</w:t>
      </w:r>
      <w:r w:rsidRPr="00EF09BD">
        <w:rPr>
          <w:rFonts w:asciiTheme="majorBidi" w:hAnsiTheme="majorBidi" w:cstheme="majorBidi"/>
          <w:sz w:val="20"/>
          <w:szCs w:val="20"/>
        </w:rPr>
        <w:t xml:space="preserve">) </w:t>
      </w:r>
      <w:r w:rsidRPr="00EF09BD">
        <w:rPr>
          <w:rFonts w:ascii="Times New Roman" w:hAnsi="Times New Roman"/>
          <w:sz w:val="20"/>
          <w:szCs w:val="20"/>
        </w:rPr>
        <w:t xml:space="preserve">berjaya disintesiskan dengan menggunakan dua kaedah iaitu kaedah pemanasan secara refluks dan juga kaedah mikrogelombang. Hasil sebatian terbitan tiourea daripada kaedah mikrogelombang membuktikan bahawa peratusan hasil yang diperolehi adalah lebih banyak berbanding kaedah refluks. Jika dibandingkan pada faktor masa, kaedah mikrogelombang juga lebih cepat dan jimat kerana masa yang diperlukan untuk sintesis adalah singkat dan memerlukan pelarut yang paling minima (0.5 – 1.0 ml). </w:t>
      </w:r>
    </w:p>
    <w:p w:rsidR="006768E9" w:rsidRPr="00F447A7" w:rsidRDefault="006768E9" w:rsidP="006957E2">
      <w:pPr>
        <w:spacing w:after="0" w:line="240" w:lineRule="auto"/>
        <w:jc w:val="center"/>
        <w:rPr>
          <w:rFonts w:ascii="Times New Roman" w:hAnsi="Times New Roman"/>
          <w:noProof/>
          <w:sz w:val="20"/>
          <w:szCs w:val="20"/>
          <w:lang w:bidi="ar-SA"/>
        </w:rPr>
      </w:pPr>
    </w:p>
    <w:p w:rsidR="006957E2" w:rsidRPr="00EF09BD" w:rsidRDefault="006957E2" w:rsidP="006957E2">
      <w:pPr>
        <w:autoSpaceDE w:val="0"/>
        <w:autoSpaceDN w:val="0"/>
        <w:adjustRightInd w:val="0"/>
        <w:spacing w:after="0" w:line="240" w:lineRule="auto"/>
        <w:jc w:val="center"/>
        <w:rPr>
          <w:rFonts w:ascii="Times New Roman" w:hAnsi="Times New Roman"/>
          <w:b/>
          <w:bCs/>
          <w:sz w:val="20"/>
          <w:szCs w:val="20"/>
        </w:rPr>
      </w:pPr>
      <w:r w:rsidRPr="00EF09BD">
        <w:rPr>
          <w:rFonts w:ascii="Times New Roman" w:hAnsi="Times New Roman"/>
          <w:b/>
          <w:bCs/>
          <w:sz w:val="20"/>
          <w:szCs w:val="20"/>
        </w:rPr>
        <w:t xml:space="preserve">Penghargaan </w:t>
      </w:r>
    </w:p>
    <w:p w:rsidR="006768E9" w:rsidRPr="00F447A7" w:rsidRDefault="006957E2" w:rsidP="006957E2">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sz w:val="20"/>
          <w:szCs w:val="20"/>
        </w:rPr>
        <w:t>Kami ingin mengucapkan setinggi-tinggi penghargaan kepada pihak Pusat Pengajian Sains Kimia dan Teknologi Makanan (PPSKTM) Universiti Kebangsaan Malaysia, Pusat Pengurusan Penyelidikan dan Instrumentasi (CRIM), dan juga pihak yang terlibat dalam menjayakan penyelidikan ini. Kajian ini dijalankan dibawah geran penyelidikan FRGS/1/2015/ST01/UKM/02/2 dan PRGS/2/2015/SG01/UKM/02/1.</w:t>
      </w:r>
    </w:p>
    <w:p w:rsidR="006768E9" w:rsidRPr="00F447A7" w:rsidRDefault="006768E9" w:rsidP="00F447A7">
      <w:pPr>
        <w:spacing w:after="0" w:line="240" w:lineRule="auto"/>
        <w:jc w:val="center"/>
        <w:rPr>
          <w:rFonts w:ascii="Times New Roman" w:hAnsi="Times New Roman"/>
          <w:noProof/>
          <w:sz w:val="20"/>
          <w:szCs w:val="20"/>
          <w:lang w:bidi="ar-SA"/>
        </w:rPr>
      </w:pPr>
    </w:p>
    <w:p w:rsidR="006957E2" w:rsidRPr="00EF09BD" w:rsidRDefault="006957E2" w:rsidP="006957E2">
      <w:pPr>
        <w:autoSpaceDE w:val="0"/>
        <w:autoSpaceDN w:val="0"/>
        <w:adjustRightInd w:val="0"/>
        <w:spacing w:after="0" w:line="240" w:lineRule="auto"/>
        <w:jc w:val="center"/>
        <w:rPr>
          <w:rFonts w:ascii="Times New Roman" w:hAnsi="Times New Roman"/>
          <w:b/>
          <w:bCs/>
          <w:sz w:val="20"/>
          <w:szCs w:val="20"/>
        </w:rPr>
      </w:pPr>
      <w:r w:rsidRPr="00EF09BD">
        <w:rPr>
          <w:rFonts w:ascii="Times New Roman" w:hAnsi="Times New Roman"/>
          <w:b/>
          <w:bCs/>
          <w:sz w:val="20"/>
          <w:szCs w:val="20"/>
        </w:rPr>
        <w:t>Rujukan</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6957E2">
        <w:rPr>
          <w:rFonts w:ascii="Times New Roman" w:hAnsi="Times New Roman"/>
          <w:sz w:val="20"/>
          <w:szCs w:val="20"/>
          <w:lang w:val="en-MY"/>
        </w:rPr>
        <w:t>Sanny, V., Suman L. J. and Bir, S.</w:t>
      </w:r>
      <w:r w:rsidRPr="006957E2">
        <w:rPr>
          <w:rFonts w:ascii="Times New Roman" w:hAnsi="Times New Roman"/>
          <w:sz w:val="20"/>
          <w:szCs w:val="20"/>
        </w:rPr>
        <w:t xml:space="preserve"> (2010). PEG-embedded Thiourea Dioxide (PEG.TUD) as a Novel Organocatalyst for the Highly Efficient Synthesis of 3,4-dihydropyrimidinones. </w:t>
      </w:r>
      <w:r w:rsidRPr="006957E2">
        <w:rPr>
          <w:rFonts w:ascii="Times New Roman" w:hAnsi="Times New Roman"/>
          <w:i/>
          <w:iCs/>
          <w:sz w:val="20"/>
          <w:szCs w:val="20"/>
        </w:rPr>
        <w:t>Tetrahedron Letters</w:t>
      </w:r>
      <w:r w:rsidRPr="006957E2">
        <w:rPr>
          <w:rFonts w:ascii="Times New Roman" w:hAnsi="Times New Roman"/>
          <w:sz w:val="20"/>
          <w:szCs w:val="20"/>
        </w:rPr>
        <w:t xml:space="preserve"> 51(52): 6897 – 6900.</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6957E2">
        <w:rPr>
          <w:rFonts w:ascii="Times New Roman" w:hAnsi="Times New Roman"/>
          <w:sz w:val="20"/>
          <w:szCs w:val="20"/>
        </w:rPr>
        <w:t xml:space="preserve">Arslan, H., </w:t>
      </w:r>
      <w:r w:rsidRPr="006957E2">
        <w:rPr>
          <w:rFonts w:ascii="Times New Roman" w:hAnsi="Times New Roman"/>
          <w:sz w:val="20"/>
          <w:szCs w:val="20"/>
          <w:lang w:val="en-MY"/>
        </w:rPr>
        <w:t>Demet, S. M., Don, V. and Gun, B. (</w:t>
      </w:r>
      <w:r w:rsidRPr="006957E2">
        <w:rPr>
          <w:rFonts w:ascii="Times New Roman" w:hAnsi="Times New Roman"/>
          <w:sz w:val="20"/>
          <w:szCs w:val="20"/>
        </w:rPr>
        <w:t>2009). The Molecular Structure and Vibrational Spectra of N-(2,2-diphenylacetyl)-N′-(</w:t>
      </w:r>
      <w:r w:rsidRPr="006957E2">
        <w:rPr>
          <w:rFonts w:ascii="Times New Roman" w:hAnsi="Times New Roman"/>
          <w:sz w:val="20"/>
          <w:szCs w:val="20"/>
        </w:rPr>
        <w:pgNum/>
      </w:r>
      <w:r w:rsidRPr="006957E2">
        <w:rPr>
          <w:rFonts w:ascii="Times New Roman" w:hAnsi="Times New Roman"/>
          <w:sz w:val="20"/>
          <w:szCs w:val="20"/>
        </w:rPr>
        <w:t xml:space="preserve">aphthalene-1yl)-thiourea by Hartree–Fock and Density Functional Methods. </w:t>
      </w:r>
      <w:r w:rsidRPr="006957E2">
        <w:rPr>
          <w:rFonts w:ascii="Times New Roman" w:hAnsi="Times New Roman"/>
          <w:i/>
          <w:iCs/>
          <w:sz w:val="20"/>
          <w:szCs w:val="20"/>
        </w:rPr>
        <w:t>Spectrochimica Acta Part A: Molecular and Biomolecular Spectroscopy</w:t>
      </w:r>
      <w:r w:rsidRPr="006957E2">
        <w:rPr>
          <w:rFonts w:ascii="Times New Roman" w:hAnsi="Times New Roman"/>
          <w:sz w:val="20"/>
          <w:szCs w:val="20"/>
        </w:rPr>
        <w:t xml:space="preserve"> 72(3): 561 – 571.</w:t>
      </w:r>
      <w:bookmarkStart w:id="1" w:name="_ENREF_10"/>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6957E2">
        <w:rPr>
          <w:rFonts w:ascii="Times New Roman" w:hAnsi="Times New Roman"/>
          <w:sz w:val="20"/>
          <w:szCs w:val="20"/>
        </w:rPr>
        <w:t xml:space="preserve">Alan R. Katritzky, N. K., Boris V. Rogovoy, J. K. and Tao, H. (2004). Synthesis of Mono- and N, N-Disubstituted Thiourea and N-Acylthioureas. </w:t>
      </w:r>
      <w:r w:rsidRPr="006957E2">
        <w:rPr>
          <w:rFonts w:ascii="Times New Roman" w:hAnsi="Times New Roman"/>
          <w:i/>
          <w:sz w:val="20"/>
          <w:szCs w:val="20"/>
        </w:rPr>
        <w:t>Heterocyclic</w:t>
      </w:r>
      <w:r w:rsidRPr="006957E2">
        <w:rPr>
          <w:rFonts w:ascii="Times New Roman" w:hAnsi="Times New Roman"/>
          <w:sz w:val="20"/>
          <w:szCs w:val="20"/>
        </w:rPr>
        <w:t>: 1799 – 1805.</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6957E2">
        <w:rPr>
          <w:rFonts w:ascii="Times New Roman" w:hAnsi="Times New Roman"/>
          <w:sz w:val="20"/>
          <w:szCs w:val="20"/>
          <w:lang w:val="en-MY"/>
        </w:rPr>
        <w:t>Saeed, S., Naghmana, R., Peter G. J., Ali, M. and Hussain, R.</w:t>
      </w:r>
      <w:r w:rsidRPr="006957E2">
        <w:rPr>
          <w:rFonts w:ascii="Times New Roman" w:hAnsi="Times New Roman"/>
          <w:bCs/>
          <w:noProof/>
          <w:sz w:val="20"/>
          <w:szCs w:val="20"/>
        </w:rPr>
        <w:t xml:space="preserve"> (2010). Synthesis, Characterization and Biological Evaluation of Some Thiourea Derivatives Bearing Benzothiazole Moiety as Potential Antimicrobial and Anticancer Agents. </w:t>
      </w:r>
      <w:r w:rsidRPr="006957E2">
        <w:rPr>
          <w:rFonts w:ascii="Times New Roman" w:hAnsi="Times New Roman"/>
          <w:bCs/>
          <w:i/>
          <w:iCs/>
          <w:noProof/>
          <w:sz w:val="20"/>
          <w:szCs w:val="20"/>
        </w:rPr>
        <w:t>European Journal of Medicinal Chemistry</w:t>
      </w:r>
      <w:r w:rsidRPr="006957E2">
        <w:rPr>
          <w:rFonts w:ascii="Times New Roman" w:hAnsi="Times New Roman"/>
          <w:bCs/>
          <w:noProof/>
          <w:sz w:val="20"/>
          <w:szCs w:val="20"/>
        </w:rPr>
        <w:t xml:space="preserve"> 45(4): 1323 – 1331.</w:t>
      </w:r>
      <w:bookmarkEnd w:id="1"/>
      <w:r w:rsidRPr="006957E2">
        <w:rPr>
          <w:rFonts w:ascii="Times New Roman" w:hAnsi="Times New Roman"/>
          <w:sz w:val="20"/>
          <w:szCs w:val="20"/>
        </w:rPr>
        <w:t xml:space="preserve"> </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6957E2">
        <w:rPr>
          <w:rFonts w:ascii="Times New Roman" w:hAnsi="Times New Roman"/>
          <w:bCs/>
          <w:noProof/>
          <w:sz w:val="20"/>
          <w:szCs w:val="20"/>
        </w:rPr>
        <w:t>Kappe, C. O. and Stadler, A. (2013). Microwaves in Organic and Medicina</w:t>
      </w:r>
      <w:r>
        <w:rPr>
          <w:rFonts w:ascii="Times New Roman" w:hAnsi="Times New Roman"/>
          <w:bCs/>
          <w:noProof/>
          <w:sz w:val="20"/>
          <w:szCs w:val="20"/>
        </w:rPr>
        <w:t>l Chemistry, John Wiley &amp; Sons.</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Hayes, B. L. (2004). Recent Advances in Microwave Assisted Synthesis. </w:t>
      </w:r>
      <w:r w:rsidRPr="006957E2">
        <w:rPr>
          <w:rFonts w:ascii="Times New Roman" w:hAnsi="Times New Roman"/>
          <w:bCs/>
          <w:i/>
          <w:sz w:val="20"/>
          <w:szCs w:val="20"/>
        </w:rPr>
        <w:t>Aldrichimica Acta</w:t>
      </w:r>
      <w:r w:rsidRPr="006957E2">
        <w:rPr>
          <w:rFonts w:ascii="Times New Roman" w:hAnsi="Times New Roman"/>
          <w:bCs/>
          <w:sz w:val="20"/>
          <w:szCs w:val="20"/>
        </w:rPr>
        <w:t xml:space="preserve"> 37(2): 66 –76.</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Nguyen, Q. P. B. and Kim, T. H. (2013). Solvent- and Catalyst-free Direct Reductive Amination of Aldehydes and Ketones with Hantzsch Ester: Synthesis of Secondary and Tertiary Amines. </w:t>
      </w:r>
      <w:r w:rsidRPr="006957E2">
        <w:rPr>
          <w:rFonts w:ascii="Times New Roman" w:hAnsi="Times New Roman"/>
          <w:bCs/>
          <w:i/>
          <w:iCs/>
          <w:sz w:val="20"/>
          <w:szCs w:val="20"/>
        </w:rPr>
        <w:t>Tetrahedron</w:t>
      </w:r>
      <w:r w:rsidRPr="006957E2">
        <w:rPr>
          <w:rFonts w:ascii="Times New Roman" w:hAnsi="Times New Roman"/>
          <w:bCs/>
          <w:sz w:val="20"/>
          <w:szCs w:val="20"/>
        </w:rPr>
        <w:t xml:space="preserve"> 69(24): 4938 – 4943.</w:t>
      </w:r>
      <w:r w:rsidRPr="006957E2">
        <w:rPr>
          <w:rFonts w:ascii="Times New Roman" w:hAnsi="Times New Roman"/>
          <w:bCs/>
          <w:sz w:val="20"/>
          <w:szCs w:val="20"/>
        </w:rPr>
        <w:tab/>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Kamila, S., Kimberly, M. and Edward R. B. (2012). Microwave-assisted Hantzsch Thiazole Synthesis of N-phenyl-4-(6-phenylimidazo[2,1-b]thiazol-5-yl)thiazol-2-amines from the Reaction of 2-chloro-1-(6-phenylimidazo[2,1-b]thiazol-5-yl)ethanones and Thioureas. </w:t>
      </w:r>
      <w:r w:rsidRPr="006957E2">
        <w:rPr>
          <w:rFonts w:ascii="Times New Roman" w:hAnsi="Times New Roman"/>
          <w:bCs/>
          <w:i/>
          <w:iCs/>
          <w:sz w:val="20"/>
          <w:szCs w:val="20"/>
        </w:rPr>
        <w:t>Tetrahedron Letters</w:t>
      </w:r>
      <w:bookmarkStart w:id="2" w:name="_ENREF_7"/>
      <w:r w:rsidRPr="006957E2">
        <w:rPr>
          <w:rFonts w:ascii="Times New Roman" w:hAnsi="Times New Roman"/>
          <w:bCs/>
          <w:sz w:val="20"/>
          <w:szCs w:val="20"/>
        </w:rPr>
        <w:t xml:space="preserve"> 53(37): 4921 – 4924.</w:t>
      </w:r>
    </w:p>
    <w:bookmarkEnd w:id="2"/>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Gedye, R. N., Smith, F. E., Westaway, K. C., Ali, H., Baldisera, L., Laberge, L. and Rousell, J. (1986). The Use of Microwave Ovens for Rapid Organic Synthesis. </w:t>
      </w:r>
      <w:r w:rsidRPr="006957E2">
        <w:rPr>
          <w:rFonts w:ascii="Times New Roman" w:hAnsi="Times New Roman"/>
          <w:bCs/>
          <w:i/>
          <w:sz w:val="20"/>
          <w:szCs w:val="20"/>
        </w:rPr>
        <w:t>Tetrahedron Letters</w:t>
      </w:r>
      <w:r w:rsidRPr="006957E2">
        <w:rPr>
          <w:rFonts w:ascii="Times New Roman" w:hAnsi="Times New Roman"/>
          <w:bCs/>
          <w:sz w:val="20"/>
          <w:szCs w:val="20"/>
        </w:rPr>
        <w:t xml:space="preserve"> 27(3): 279 – 282.</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Giguere, R. J., Bray, T. L., Duncan, S. M. and Majetich, G. (1986). Application of Commercial Microwave Ovens to Organic Synthesis. </w:t>
      </w:r>
      <w:r w:rsidRPr="006957E2">
        <w:rPr>
          <w:rFonts w:ascii="Times New Roman" w:hAnsi="Times New Roman"/>
          <w:bCs/>
          <w:i/>
          <w:sz w:val="20"/>
          <w:szCs w:val="20"/>
        </w:rPr>
        <w:t>Tetrahedron Letters</w:t>
      </w:r>
      <w:r w:rsidRPr="006957E2">
        <w:rPr>
          <w:rFonts w:ascii="Times New Roman" w:hAnsi="Times New Roman"/>
          <w:bCs/>
          <w:sz w:val="20"/>
          <w:szCs w:val="20"/>
        </w:rPr>
        <w:t xml:space="preserve"> 27(41): 4945 – 4948.</w:t>
      </w:r>
      <w:r w:rsidRPr="006957E2">
        <w:rPr>
          <w:rFonts w:ascii="Times New Roman" w:hAnsi="Times New Roman"/>
          <w:bCs/>
          <w:sz w:val="20"/>
          <w:szCs w:val="20"/>
        </w:rPr>
        <w:tab/>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Khansari, M. E., Wallace, K. D. and Hossain, M. D. (2013). Synthesis and Anion Recognition Studies of Dipodal Thiourea-based Sensor for Anions. </w:t>
      </w:r>
      <w:r w:rsidRPr="006957E2">
        <w:rPr>
          <w:rFonts w:ascii="Times New Roman" w:hAnsi="Times New Roman"/>
          <w:bCs/>
          <w:i/>
          <w:sz w:val="20"/>
          <w:szCs w:val="20"/>
        </w:rPr>
        <w:t>Tetrahedron Letters</w:t>
      </w:r>
      <w:r w:rsidRPr="006957E2">
        <w:rPr>
          <w:rFonts w:ascii="Times New Roman" w:hAnsi="Times New Roman"/>
          <w:bCs/>
          <w:sz w:val="20"/>
          <w:szCs w:val="20"/>
        </w:rPr>
        <w:t>: 438 – 440.</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Nguyen D. T. and Nguyen T. T. M. (2009). Synthesis of N-tetra-O-acetyl-β-D-glucopyranosyl-N'-(4',6'-diarylpyrimidin-2'-yl)thioureas. </w:t>
      </w:r>
      <w:r w:rsidRPr="006957E2">
        <w:rPr>
          <w:rFonts w:ascii="Times New Roman" w:hAnsi="Times New Roman"/>
          <w:bCs/>
          <w:i/>
          <w:sz w:val="20"/>
          <w:szCs w:val="20"/>
        </w:rPr>
        <w:t>Carbohydrate Research</w:t>
      </w:r>
      <w:r w:rsidRPr="006957E2">
        <w:rPr>
          <w:rFonts w:ascii="Times New Roman" w:hAnsi="Times New Roman"/>
          <w:bCs/>
          <w:sz w:val="20"/>
          <w:szCs w:val="20"/>
        </w:rPr>
        <w:t xml:space="preserve"> 344: 2399 – 2405.</w:t>
      </w:r>
    </w:p>
    <w:p w:rsidR="006957E2" w:rsidRPr="006957E2" w:rsidRDefault="006957E2" w:rsidP="006957E2">
      <w:pPr>
        <w:pStyle w:val="ListParagraph"/>
        <w:numPr>
          <w:ilvl w:val="0"/>
          <w:numId w:val="2"/>
        </w:numPr>
        <w:autoSpaceDE w:val="0"/>
        <w:autoSpaceDN w:val="0"/>
        <w:adjustRightInd w:val="0"/>
        <w:spacing w:after="100" w:afterAutospacing="1" w:line="240" w:lineRule="auto"/>
        <w:ind w:left="360"/>
        <w:jc w:val="both"/>
        <w:rPr>
          <w:rFonts w:ascii="Times New Roman" w:hAnsi="Times New Roman"/>
          <w:bCs/>
          <w:sz w:val="20"/>
          <w:szCs w:val="20"/>
        </w:rPr>
      </w:pPr>
      <w:r w:rsidRPr="006957E2">
        <w:rPr>
          <w:rFonts w:ascii="Times New Roman" w:hAnsi="Times New Roman"/>
          <w:bCs/>
          <w:sz w:val="20"/>
          <w:szCs w:val="20"/>
        </w:rPr>
        <w:t xml:space="preserve">Atisya, R., Hasbullah, S. A. Lazim, A. M., Nordin, R. (2014). Improving the synthesis of spiropyran derivatives using microwave irradiation method. </w:t>
      </w:r>
      <w:r w:rsidRPr="006957E2">
        <w:rPr>
          <w:rFonts w:ascii="Times New Roman" w:hAnsi="Times New Roman"/>
          <w:bCs/>
          <w:i/>
          <w:sz w:val="20"/>
          <w:szCs w:val="20"/>
        </w:rPr>
        <w:t xml:space="preserve">Heterocycles </w:t>
      </w:r>
      <w:r w:rsidRPr="006957E2">
        <w:rPr>
          <w:rFonts w:ascii="Times New Roman" w:hAnsi="Times New Roman"/>
          <w:bCs/>
          <w:sz w:val="20"/>
          <w:szCs w:val="20"/>
        </w:rPr>
        <w:t>89(4):1017 – 1024.</w:t>
      </w:r>
    </w:p>
    <w:p w:rsidR="006957E2" w:rsidRPr="006957E2" w:rsidRDefault="006957E2" w:rsidP="006957E2">
      <w:pPr>
        <w:pStyle w:val="ListParagraph"/>
        <w:numPr>
          <w:ilvl w:val="0"/>
          <w:numId w:val="2"/>
        </w:numPr>
        <w:autoSpaceDE w:val="0"/>
        <w:autoSpaceDN w:val="0"/>
        <w:adjustRightInd w:val="0"/>
        <w:spacing w:after="100" w:afterAutospacing="1" w:line="240" w:lineRule="auto"/>
        <w:ind w:left="360"/>
        <w:jc w:val="both"/>
        <w:rPr>
          <w:rFonts w:ascii="Times New Roman" w:hAnsi="Times New Roman"/>
          <w:bCs/>
          <w:sz w:val="20"/>
          <w:szCs w:val="20"/>
        </w:rPr>
      </w:pPr>
      <w:r w:rsidRPr="006957E2">
        <w:rPr>
          <w:rFonts w:ascii="Times New Roman" w:hAnsi="Times New Roman"/>
          <w:bCs/>
          <w:sz w:val="20"/>
          <w:szCs w:val="20"/>
        </w:rPr>
        <w:t xml:space="preserve">Mohamed, N. A. and Abd El-Ghany, N. A. (2012). Preparation and antimicrobial activity of some carboxymethyl chitosan acyl thiourea derivatives. </w:t>
      </w:r>
      <w:r w:rsidRPr="006957E2">
        <w:rPr>
          <w:rFonts w:ascii="Times New Roman" w:hAnsi="Times New Roman"/>
          <w:bCs/>
          <w:i/>
          <w:sz w:val="20"/>
          <w:szCs w:val="20"/>
        </w:rPr>
        <w:t>International Journal of Biological Macromolecules</w:t>
      </w:r>
      <w:r w:rsidRPr="006957E2">
        <w:rPr>
          <w:rFonts w:ascii="Times New Roman" w:hAnsi="Times New Roman"/>
          <w:bCs/>
          <w:sz w:val="20"/>
          <w:szCs w:val="20"/>
        </w:rPr>
        <w:t xml:space="preserve"> 50: 1280 – 1285.</w:t>
      </w:r>
    </w:p>
    <w:p w:rsidR="006957E2" w:rsidRPr="006957E2" w:rsidRDefault="006957E2" w:rsidP="006957E2">
      <w:pPr>
        <w:pStyle w:val="ListParagraph"/>
        <w:numPr>
          <w:ilvl w:val="0"/>
          <w:numId w:val="2"/>
        </w:numPr>
        <w:ind w:left="360"/>
        <w:jc w:val="both"/>
        <w:rPr>
          <w:rFonts w:ascii="Times New Roman" w:hAnsi="Times New Roman"/>
          <w:bCs/>
          <w:sz w:val="20"/>
          <w:szCs w:val="20"/>
        </w:rPr>
      </w:pPr>
      <w:r w:rsidRPr="006957E2">
        <w:rPr>
          <w:rFonts w:ascii="Times New Roman" w:hAnsi="Times New Roman"/>
          <w:bCs/>
          <w:sz w:val="20"/>
          <w:szCs w:val="20"/>
        </w:rPr>
        <w:lastRenderedPageBreak/>
        <w:t xml:space="preserve">Reddy, Y. T. and Reddy, P. N. (2005). Synthesis of 1-(6-methylbenzofuran-2-yl)-3-aryl/[4-(β-substitutedethoxy)phenyl]propenones as marked anti-microbial agents. </w:t>
      </w:r>
      <w:r w:rsidRPr="006957E2">
        <w:rPr>
          <w:rFonts w:ascii="Times New Roman" w:hAnsi="Times New Roman"/>
          <w:bCs/>
          <w:i/>
          <w:sz w:val="20"/>
          <w:szCs w:val="20"/>
        </w:rPr>
        <w:t>Indian Journal of Chemistry</w:t>
      </w:r>
      <w:r w:rsidRPr="006957E2">
        <w:rPr>
          <w:rFonts w:ascii="Times New Roman" w:hAnsi="Times New Roman"/>
          <w:bCs/>
          <w:sz w:val="20"/>
          <w:szCs w:val="20"/>
        </w:rPr>
        <w:t xml:space="preserve"> 44:1079 – 1083.</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Ravichandran, S. and Karthikeyan, E. (2011). Microwave synthesis - A Potential Tool for Green Chemistry. </w:t>
      </w:r>
      <w:r w:rsidRPr="006957E2">
        <w:rPr>
          <w:rFonts w:ascii="Times New Roman" w:hAnsi="Times New Roman"/>
          <w:bCs/>
          <w:i/>
          <w:sz w:val="20"/>
          <w:szCs w:val="20"/>
        </w:rPr>
        <w:t>International Journal of ChemTech Research</w:t>
      </w:r>
      <w:r w:rsidRPr="006957E2">
        <w:rPr>
          <w:rFonts w:ascii="Times New Roman" w:hAnsi="Times New Roman"/>
          <w:bCs/>
          <w:sz w:val="20"/>
          <w:szCs w:val="20"/>
        </w:rPr>
        <w:t xml:space="preserve"> 3(1): 466 – 470.</w:t>
      </w:r>
      <w:r w:rsidRPr="006957E2">
        <w:rPr>
          <w:rFonts w:ascii="Times New Roman" w:hAnsi="Times New Roman"/>
          <w:sz w:val="20"/>
          <w:szCs w:val="20"/>
        </w:rPr>
        <w:t xml:space="preserve"> </w:t>
      </w:r>
    </w:p>
    <w:p w:rsidR="006957E2" w:rsidRPr="006957E2" w:rsidRDefault="006957E2" w:rsidP="006957E2">
      <w:pPr>
        <w:pStyle w:val="ListParagraph"/>
        <w:numPr>
          <w:ilvl w:val="0"/>
          <w:numId w:val="2"/>
        </w:numPr>
        <w:autoSpaceDE w:val="0"/>
        <w:autoSpaceDN w:val="0"/>
        <w:adjustRightInd w:val="0"/>
        <w:spacing w:after="0" w:line="240" w:lineRule="auto"/>
        <w:ind w:left="360"/>
        <w:jc w:val="both"/>
        <w:rPr>
          <w:rFonts w:ascii="Times New Roman" w:hAnsi="Times New Roman"/>
          <w:bCs/>
          <w:sz w:val="20"/>
          <w:szCs w:val="20"/>
        </w:rPr>
      </w:pPr>
      <w:r w:rsidRPr="006957E2">
        <w:rPr>
          <w:rFonts w:ascii="Times New Roman" w:hAnsi="Times New Roman"/>
          <w:bCs/>
          <w:sz w:val="20"/>
          <w:szCs w:val="20"/>
        </w:rPr>
        <w:t xml:space="preserve">Kappe, C. O. (2004). Controlled Microwave Heating in Modern Organic Synthesis. </w:t>
      </w:r>
      <w:r w:rsidRPr="006957E2">
        <w:rPr>
          <w:rFonts w:ascii="Times New Roman" w:hAnsi="Times New Roman"/>
          <w:bCs/>
          <w:i/>
          <w:sz w:val="20"/>
          <w:szCs w:val="20"/>
        </w:rPr>
        <w:t>Angewandte Chemie International Edition</w:t>
      </w:r>
      <w:r w:rsidRPr="006957E2">
        <w:rPr>
          <w:rFonts w:ascii="Times New Roman" w:hAnsi="Times New Roman"/>
          <w:bCs/>
          <w:sz w:val="20"/>
          <w:szCs w:val="20"/>
        </w:rPr>
        <w:t xml:space="preserve"> 43: 6250 – 6284.</w:t>
      </w:r>
    </w:p>
    <w:p w:rsidR="00A74A7E" w:rsidRPr="006957E2" w:rsidRDefault="00A74A7E" w:rsidP="006957E2">
      <w:pPr>
        <w:spacing w:after="0" w:line="240" w:lineRule="auto"/>
        <w:ind w:left="360" w:hanging="360"/>
        <w:jc w:val="both"/>
        <w:rPr>
          <w:rFonts w:ascii="Times New Roman" w:hAnsi="Times New Roman"/>
          <w:noProof/>
          <w:sz w:val="20"/>
          <w:szCs w:val="20"/>
          <w:lang w:bidi="ar-SA"/>
        </w:rPr>
      </w:pPr>
    </w:p>
    <w:sectPr w:rsidR="00A74A7E" w:rsidRPr="006957E2" w:rsidSect="00496429">
      <w:headerReference w:type="even" r:id="rId13"/>
      <w:headerReference w:type="default" r:id="rId14"/>
      <w:footerReference w:type="even" r:id="rId15"/>
      <w:footerReference w:type="default" r:id="rId16"/>
      <w:pgSz w:w="12240" w:h="15840" w:code="1"/>
      <w:pgMar w:top="1800" w:right="1469" w:bottom="1699" w:left="1440" w:header="706" w:footer="706" w:gutter="0"/>
      <w:pgNumType w:start="2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E7D55">
          <w:rPr>
            <w:rFonts w:ascii="Times New Roman" w:hAnsi="Times New Roman"/>
            <w:noProof/>
          </w:rPr>
          <w:t>236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E7D55">
          <w:rPr>
            <w:rFonts w:ascii="Times New Roman" w:hAnsi="Times New Roman"/>
            <w:noProof/>
          </w:rPr>
          <w:t>237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5E" w:rsidRPr="00D54D5E" w:rsidRDefault="00D54D5E" w:rsidP="00D54D5E">
    <w:pPr>
      <w:spacing w:after="0" w:line="240" w:lineRule="auto"/>
      <w:ind w:left="1080" w:hanging="1080"/>
      <w:rPr>
        <w:rFonts w:ascii="Times New Roman" w:hAnsi="Times New Roman"/>
        <w:sz w:val="20"/>
        <w:szCs w:val="20"/>
      </w:rPr>
    </w:pPr>
    <w:r w:rsidRPr="00D54D5E">
      <w:rPr>
        <w:rFonts w:ascii="Times New Roman" w:hAnsi="Times New Roman"/>
        <w:sz w:val="20"/>
        <w:szCs w:val="20"/>
      </w:rPr>
      <w:t>Hafizi et al</w:t>
    </w:r>
    <w:r w:rsidR="006B72B0" w:rsidRPr="00D54D5E">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D54D5E">
      <w:rPr>
        <w:rFonts w:ascii="Times New Roman" w:hAnsi="Times New Roman"/>
        <w:sz w:val="20"/>
        <w:szCs w:val="20"/>
      </w:rPr>
      <w:t>PENGGUNAAN KAEDAH PENYINARAN MIKROGELOMBANG DALAM SINTESIS TERBITAN TIOUREA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9241A">
      <w:rPr>
        <w:rFonts w:ascii="Times New Roman" w:hAnsi="Times New Roman"/>
        <w:i/>
        <w:lang w:val="en-US"/>
      </w:rPr>
      <w:t>No 2</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496429">
      <w:rPr>
        <w:rFonts w:ascii="Times New Roman" w:hAnsi="Times New Roman"/>
        <w:i/>
        <w:lang w:val="en-US"/>
      </w:rPr>
      <w:t>231 - 237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120F88"/>
    <w:multiLevelType w:val="hybridMultilevel"/>
    <w:tmpl w:val="1208FD4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26A5E"/>
    <w:rsid w:val="00281D65"/>
    <w:rsid w:val="002B188F"/>
    <w:rsid w:val="002B3BD8"/>
    <w:rsid w:val="002C2B49"/>
    <w:rsid w:val="002F3F91"/>
    <w:rsid w:val="00304767"/>
    <w:rsid w:val="00304B34"/>
    <w:rsid w:val="00331953"/>
    <w:rsid w:val="00361BAF"/>
    <w:rsid w:val="00367D1F"/>
    <w:rsid w:val="0039241A"/>
    <w:rsid w:val="003D585B"/>
    <w:rsid w:val="003E7DA6"/>
    <w:rsid w:val="003F12FF"/>
    <w:rsid w:val="004760D4"/>
    <w:rsid w:val="00494C46"/>
    <w:rsid w:val="00496236"/>
    <w:rsid w:val="00496429"/>
    <w:rsid w:val="004B43FF"/>
    <w:rsid w:val="00502641"/>
    <w:rsid w:val="00583520"/>
    <w:rsid w:val="005C6768"/>
    <w:rsid w:val="005E4871"/>
    <w:rsid w:val="00634C25"/>
    <w:rsid w:val="006416AB"/>
    <w:rsid w:val="0067042A"/>
    <w:rsid w:val="006768E9"/>
    <w:rsid w:val="00687982"/>
    <w:rsid w:val="006957E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74A7E"/>
    <w:rsid w:val="00AD1B8A"/>
    <w:rsid w:val="00AE713F"/>
    <w:rsid w:val="00AE7D55"/>
    <w:rsid w:val="00B1121C"/>
    <w:rsid w:val="00B25B65"/>
    <w:rsid w:val="00B2770A"/>
    <w:rsid w:val="00B314AD"/>
    <w:rsid w:val="00B75BF6"/>
    <w:rsid w:val="00BA1F7B"/>
    <w:rsid w:val="00BB58AF"/>
    <w:rsid w:val="00BE7C30"/>
    <w:rsid w:val="00C01598"/>
    <w:rsid w:val="00C055BF"/>
    <w:rsid w:val="00C2226A"/>
    <w:rsid w:val="00C64434"/>
    <w:rsid w:val="00C94D92"/>
    <w:rsid w:val="00C97340"/>
    <w:rsid w:val="00CA513F"/>
    <w:rsid w:val="00CF05FF"/>
    <w:rsid w:val="00D340BB"/>
    <w:rsid w:val="00D505D5"/>
    <w:rsid w:val="00D54D5E"/>
    <w:rsid w:val="00D71AF5"/>
    <w:rsid w:val="00D75B35"/>
    <w:rsid w:val="00D76E09"/>
    <w:rsid w:val="00D9736F"/>
    <w:rsid w:val="00D9792A"/>
    <w:rsid w:val="00DD377F"/>
    <w:rsid w:val="00E25547"/>
    <w:rsid w:val="00E3287E"/>
    <w:rsid w:val="00E604BB"/>
    <w:rsid w:val="00E66197"/>
    <w:rsid w:val="00EB2493"/>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D54D5E"/>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D54D5E"/>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BDE0-F13F-4625-9897-DC0A9A24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2825</Words>
  <Characters>18676</Characters>
  <Application>Microsoft Office Word</Application>
  <DocSecurity>0</DocSecurity>
  <Lines>366</Lines>
  <Paragraphs>151</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21350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11</cp:revision>
  <cp:lastPrinted>2016-04-06T09:42:00Z</cp:lastPrinted>
  <dcterms:created xsi:type="dcterms:W3CDTF">2016-03-17T06:17:00Z</dcterms:created>
  <dcterms:modified xsi:type="dcterms:W3CDTF">2016-04-06T09:42:00Z</dcterms:modified>
</cp:coreProperties>
</file>