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E604BB" w:rsidP="00E3287E">
      <w:pPr>
        <w:spacing w:after="0" w:line="240" w:lineRule="auto"/>
        <w:rPr>
          <w:rFonts w:ascii="Times New Roman" w:hAnsi="Times New Roman"/>
          <w:noProof/>
          <w:lang w:bidi="ar-SA"/>
        </w:rPr>
      </w:pPr>
      <w:bookmarkStart w:id="0" w:name="_GoBack"/>
      <w:bookmarkEnd w:id="0"/>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E604BB"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00583520">
        <w:rPr>
          <w:rFonts w:ascii="Times New Roman" w:hAnsi="Times New Roman"/>
          <w:b/>
          <w:i/>
          <w:noProof/>
          <w:color w:val="FFFFFF"/>
          <w:sz w:val="24"/>
          <w:szCs w:val="28"/>
          <w:vertAlign w:val="subscript"/>
          <w:lang w:bidi="ar-SA"/>
        </w:rPr>
        <w:t xml:space="preserve">y The Malaysian </w:t>
      </w:r>
      <w:r w:rsidRPr="002B493B">
        <w:rPr>
          <w:rFonts w:ascii="Times New Roman" w:hAnsi="Times New Roman"/>
          <w:b/>
          <w:i/>
          <w:noProof/>
          <w:color w:val="FFFFFF"/>
          <w:sz w:val="24"/>
          <w:szCs w:val="28"/>
          <w:vertAlign w:val="subscript"/>
          <w:lang w:bidi="ar-SA"/>
        </w:rPr>
        <w:t>Analytical Sciences</w:t>
      </w:r>
      <w:r w:rsidR="00583520">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6768E9" w:rsidRPr="006248FC" w:rsidRDefault="007E2084" w:rsidP="007E2084">
      <w:pPr>
        <w:pStyle w:val="Heading1"/>
        <w:spacing w:before="0" w:line="240" w:lineRule="auto"/>
        <w:contextualSpacing w:val="0"/>
        <w:jc w:val="center"/>
        <w:rPr>
          <w:rFonts w:ascii="Times New Roman" w:hAnsi="Times New Roman"/>
          <w:caps/>
          <w:smallCaps w:val="0"/>
          <w:color w:val="000000"/>
          <w:sz w:val="28"/>
        </w:rPr>
      </w:pPr>
      <w:r w:rsidRPr="006248FC">
        <w:rPr>
          <w:rFonts w:ascii="Times New Roman" w:hAnsi="Times New Roman"/>
          <w:caps/>
          <w:smallCaps w:val="0"/>
          <w:color w:val="000000"/>
          <w:sz w:val="28"/>
        </w:rPr>
        <w:t>Residue Determination and Monitoring OF the Levels of Metsulfuron Methyl in Selected Rivers</w:t>
      </w:r>
      <w:r w:rsidRPr="006248FC">
        <w:rPr>
          <w:rFonts w:ascii="Times New Roman" w:hAnsi="Times New Roman"/>
          <w:caps/>
          <w:smallCaps w:val="0"/>
          <w:color w:val="000000"/>
          <w:sz w:val="28"/>
          <w:lang w:val="en-US"/>
        </w:rPr>
        <w:t xml:space="preserve"> </w:t>
      </w:r>
      <w:r w:rsidRPr="006248FC">
        <w:rPr>
          <w:rFonts w:ascii="Times New Roman" w:hAnsi="Times New Roman"/>
          <w:caps/>
          <w:smallCaps w:val="0"/>
          <w:color w:val="000000"/>
          <w:sz w:val="28"/>
        </w:rPr>
        <w:t>at Tasik Chini, Pahang, Malaysia</w:t>
      </w:r>
    </w:p>
    <w:p w:rsidR="007E2084" w:rsidRDefault="007E2084" w:rsidP="008E1211">
      <w:pPr>
        <w:spacing w:after="0" w:line="240" w:lineRule="auto"/>
        <w:jc w:val="center"/>
        <w:rPr>
          <w:rFonts w:ascii="Times New Roman" w:hAnsi="Times New Roman"/>
          <w:noProof/>
          <w:sz w:val="24"/>
          <w:szCs w:val="24"/>
          <w:lang w:bidi="ar-SA"/>
        </w:rPr>
      </w:pPr>
    </w:p>
    <w:p w:rsidR="007E2084" w:rsidRPr="007E2084" w:rsidRDefault="007E2084" w:rsidP="007E2084">
      <w:pPr>
        <w:pStyle w:val="Heading2"/>
        <w:spacing w:before="0"/>
        <w:jc w:val="center"/>
        <w:rPr>
          <w:rFonts w:ascii="Times New Roman" w:hAnsi="Times New Roman"/>
          <w:smallCaps w:val="0"/>
          <w:color w:val="000000"/>
          <w:sz w:val="24"/>
          <w:szCs w:val="24"/>
        </w:rPr>
      </w:pPr>
      <w:r w:rsidRPr="007E2084">
        <w:rPr>
          <w:rFonts w:ascii="Times New Roman" w:hAnsi="Times New Roman"/>
          <w:color w:val="000000"/>
          <w:sz w:val="24"/>
          <w:szCs w:val="24"/>
        </w:rPr>
        <w:t>(</w:t>
      </w:r>
      <w:r w:rsidRPr="007E2084">
        <w:rPr>
          <w:rFonts w:ascii="Times New Roman" w:hAnsi="Times New Roman"/>
          <w:smallCaps w:val="0"/>
          <w:color w:val="000000"/>
          <w:sz w:val="24"/>
          <w:szCs w:val="24"/>
        </w:rPr>
        <w:t>Penentuan Residu dan Pemantauan Metsulfuron Metil di Sungai Terpilih</w:t>
      </w:r>
      <w:r>
        <w:rPr>
          <w:rFonts w:ascii="Times New Roman" w:hAnsi="Times New Roman"/>
          <w:smallCaps w:val="0"/>
          <w:color w:val="000000"/>
          <w:sz w:val="24"/>
          <w:szCs w:val="24"/>
          <w:lang w:val="en-US"/>
        </w:rPr>
        <w:t xml:space="preserve"> </w:t>
      </w:r>
      <w:r w:rsidRPr="007E2084">
        <w:rPr>
          <w:rFonts w:ascii="Times New Roman" w:hAnsi="Times New Roman"/>
          <w:smallCaps w:val="0"/>
          <w:color w:val="000000"/>
          <w:sz w:val="24"/>
          <w:szCs w:val="24"/>
        </w:rPr>
        <w:t>di Tasik Chini, Pahang, Malaysia</w:t>
      </w:r>
      <w:r w:rsidRPr="007E2084">
        <w:rPr>
          <w:rFonts w:ascii="Times New Roman" w:hAnsi="Times New Roman"/>
          <w:color w:val="000000"/>
          <w:sz w:val="24"/>
          <w:szCs w:val="24"/>
        </w:rPr>
        <w:t>)</w:t>
      </w:r>
    </w:p>
    <w:p w:rsidR="006768E9" w:rsidRPr="00F447A7" w:rsidRDefault="006768E9" w:rsidP="007E2084">
      <w:pPr>
        <w:spacing w:after="0" w:line="240" w:lineRule="auto"/>
        <w:jc w:val="center"/>
        <w:rPr>
          <w:rFonts w:ascii="Times New Roman" w:hAnsi="Times New Roman"/>
          <w:noProof/>
          <w:sz w:val="20"/>
          <w:szCs w:val="20"/>
          <w:lang w:bidi="ar-SA"/>
        </w:rPr>
      </w:pPr>
    </w:p>
    <w:p w:rsidR="007E2084" w:rsidRPr="00D91804" w:rsidRDefault="007E2084" w:rsidP="007E2084">
      <w:pPr>
        <w:pStyle w:val="AuthorEmail"/>
        <w:rPr>
          <w:color w:val="000000"/>
          <w:szCs w:val="28"/>
        </w:rPr>
      </w:pPr>
      <w:r>
        <w:rPr>
          <w:color w:val="000000"/>
        </w:rPr>
        <w:t>Khairiatul Mardiana Jansar</w:t>
      </w:r>
      <w:r w:rsidRPr="007E2084">
        <w:rPr>
          <w:color w:val="000000"/>
        </w:rPr>
        <w:t>*</w:t>
      </w:r>
      <w:r>
        <w:rPr>
          <w:color w:val="000000"/>
          <w:vertAlign w:val="superscript"/>
        </w:rPr>
        <w:t xml:space="preserve"> </w:t>
      </w:r>
      <w:r>
        <w:rPr>
          <w:color w:val="000000"/>
        </w:rPr>
        <w:t xml:space="preserve">and </w:t>
      </w:r>
      <w:r w:rsidRPr="00D91804">
        <w:rPr>
          <w:color w:val="000000"/>
        </w:rPr>
        <w:t>I</w:t>
      </w:r>
      <w:r>
        <w:rPr>
          <w:color w:val="000000"/>
        </w:rPr>
        <w:t>smail Bin Sahid</w:t>
      </w:r>
    </w:p>
    <w:p w:rsidR="006768E9" w:rsidRPr="00F447A7" w:rsidRDefault="006768E9" w:rsidP="007E2084">
      <w:pPr>
        <w:spacing w:after="0" w:line="240" w:lineRule="auto"/>
        <w:jc w:val="center"/>
        <w:rPr>
          <w:rFonts w:ascii="Times New Roman" w:hAnsi="Times New Roman"/>
          <w:noProof/>
          <w:sz w:val="18"/>
          <w:szCs w:val="18"/>
          <w:lang w:bidi="ar-SA"/>
        </w:rPr>
      </w:pPr>
    </w:p>
    <w:p w:rsidR="007E2084" w:rsidRPr="007E2084" w:rsidRDefault="007E2084" w:rsidP="007E2084">
      <w:pPr>
        <w:pStyle w:val="AuthorAffiliation"/>
        <w:rPr>
          <w:color w:val="000000"/>
          <w:sz w:val="18"/>
          <w:szCs w:val="18"/>
        </w:rPr>
      </w:pPr>
      <w:r w:rsidRPr="007E2084">
        <w:rPr>
          <w:color w:val="000000"/>
          <w:sz w:val="18"/>
          <w:szCs w:val="18"/>
        </w:rPr>
        <w:t xml:space="preserve">School of Environment and Natural Resource Sciences, </w:t>
      </w:r>
    </w:p>
    <w:p w:rsidR="007E2084" w:rsidRPr="007E2084" w:rsidRDefault="007E2084" w:rsidP="007E2084">
      <w:pPr>
        <w:pStyle w:val="AuthorAffiliation"/>
        <w:rPr>
          <w:color w:val="000000"/>
          <w:sz w:val="18"/>
          <w:szCs w:val="18"/>
        </w:rPr>
      </w:pPr>
      <w:r w:rsidRPr="007E2084">
        <w:rPr>
          <w:color w:val="000000"/>
          <w:sz w:val="18"/>
          <w:szCs w:val="18"/>
        </w:rPr>
        <w:t xml:space="preserve">Faculty of Science and Technology, </w:t>
      </w:r>
    </w:p>
    <w:p w:rsidR="006768E9" w:rsidRPr="007E2084" w:rsidRDefault="007E2084" w:rsidP="007E2084">
      <w:pPr>
        <w:pStyle w:val="AuthorAffiliation"/>
        <w:rPr>
          <w:color w:val="000000"/>
          <w:sz w:val="18"/>
          <w:szCs w:val="18"/>
        </w:rPr>
      </w:pPr>
      <w:r w:rsidRPr="007E2084">
        <w:rPr>
          <w:color w:val="000000"/>
          <w:sz w:val="18"/>
          <w:szCs w:val="18"/>
        </w:rPr>
        <w:t>Universiti Kebangsaan Malaysia, 43600 UKM Bangi, Selangor, Malaysia</w:t>
      </w:r>
      <w:r w:rsidRPr="00D91804">
        <w:rPr>
          <w:color w:val="000000"/>
        </w:rPr>
        <w:br/>
      </w:r>
    </w:p>
    <w:p w:rsidR="006768E9" w:rsidRPr="007E2084" w:rsidRDefault="006768E9" w:rsidP="00F447A7">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7E2084" w:rsidRPr="007E2084">
        <w:rPr>
          <w:rFonts w:ascii="Times New Roman" w:hAnsi="Times New Roman"/>
          <w:i/>
          <w:color w:val="000000"/>
          <w:sz w:val="18"/>
          <w:szCs w:val="18"/>
        </w:rPr>
        <w:t>mardiana@ukm.edu.my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D63918">
        <w:rPr>
          <w:rFonts w:ascii="Times New Roman" w:hAnsi="Times New Roman"/>
          <w:noProof/>
          <w:sz w:val="18"/>
          <w:szCs w:val="18"/>
          <w:lang w:bidi="ar-SA"/>
        </w:rPr>
        <w:t>9 December 2014</w:t>
      </w:r>
      <w:r>
        <w:rPr>
          <w:rFonts w:ascii="Times New Roman" w:hAnsi="Times New Roman"/>
          <w:noProof/>
          <w:sz w:val="18"/>
          <w:szCs w:val="18"/>
          <w:lang w:bidi="ar-SA"/>
        </w:rPr>
        <w:t xml:space="preserve">; Accepted: </w:t>
      </w:r>
      <w:r w:rsidR="00D63918">
        <w:rPr>
          <w:rFonts w:ascii="Times New Roman" w:hAnsi="Times New Roman"/>
          <w:noProof/>
          <w:sz w:val="18"/>
          <w:szCs w:val="18"/>
          <w:lang w:bidi="ar-SA"/>
        </w:rPr>
        <w:t>16 October 2015</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1F65E5" w:rsidRPr="001F65E5" w:rsidRDefault="001F65E5" w:rsidP="001F65E5">
      <w:pPr>
        <w:autoSpaceDE w:val="0"/>
        <w:autoSpaceDN w:val="0"/>
        <w:adjustRightInd w:val="0"/>
        <w:spacing w:after="0" w:line="240" w:lineRule="auto"/>
        <w:jc w:val="both"/>
        <w:rPr>
          <w:rFonts w:ascii="Times New Roman" w:hAnsi="Times New Roman"/>
          <w:color w:val="000000"/>
          <w:sz w:val="18"/>
          <w:szCs w:val="18"/>
          <w:shd w:val="clear" w:color="auto" w:fill="FFFFFF"/>
        </w:rPr>
      </w:pPr>
      <w:r w:rsidRPr="001F65E5">
        <w:rPr>
          <w:rFonts w:ascii="Times New Roman" w:hAnsi="Times New Roman"/>
          <w:color w:val="000000"/>
          <w:sz w:val="18"/>
          <w:szCs w:val="18"/>
        </w:rPr>
        <w:t xml:space="preserve">The </w:t>
      </w:r>
      <w:r w:rsidRPr="001F65E5">
        <w:rPr>
          <w:rFonts w:ascii="Times New Roman" w:hAnsi="Times New Roman"/>
          <w:color w:val="000000"/>
          <w:sz w:val="18"/>
          <w:szCs w:val="18"/>
          <w:shd w:val="clear" w:color="auto" w:fill="FFFFFF"/>
        </w:rPr>
        <w:t xml:space="preserve">levels of metsulfuron methyl (methyl 2-(4-methoxy-6-methyl-1,3,5-trazine-2-ylcarbamoylsulfamoyl) benzoate (IUPAC) (MSM) and its metabolite </w:t>
      </w:r>
      <w:r w:rsidRPr="001F65E5">
        <w:rPr>
          <w:rFonts w:ascii="Times New Roman" w:eastAsia="AdvTimes" w:hAnsi="Times New Roman"/>
          <w:color w:val="000000"/>
          <w:sz w:val="18"/>
          <w:szCs w:val="18"/>
          <w:lang w:val="en-MY" w:eastAsia="en-GB"/>
        </w:rPr>
        <w:t>IN-A4098 (4-methoxy-6-methyl-1,3,5-triazin-2-amine (AMMT)</w:t>
      </w:r>
      <w:r w:rsidRPr="001F65E5">
        <w:rPr>
          <w:rFonts w:ascii="Times New Roman" w:hAnsi="Times New Roman"/>
          <w:color w:val="000000"/>
          <w:sz w:val="18"/>
          <w:szCs w:val="18"/>
          <w:shd w:val="clear" w:color="auto" w:fill="FFFFFF"/>
        </w:rPr>
        <w:t xml:space="preserve"> were determined from surface water samples of six rivers located at Tasik Chini, Pahang, Malaysia. The optimization analytical method was developed for the determination of the MSM herbicide and its metabolite, AMMT in surface water up to 0.05 </w:t>
      </w:r>
      <w:r w:rsidRPr="001F65E5">
        <w:rPr>
          <w:rStyle w:val="apple-converted-space"/>
          <w:rFonts w:ascii="Times New Roman" w:hAnsi="Times New Roman"/>
          <w:color w:val="000000"/>
          <w:sz w:val="18"/>
          <w:szCs w:val="18"/>
          <w:shd w:val="clear" w:color="auto" w:fill="FFFFFF"/>
        </w:rPr>
        <w:t>n</w:t>
      </w:r>
      <w:r w:rsidRPr="001F65E5">
        <w:rPr>
          <w:rFonts w:ascii="Times New Roman" w:hAnsi="Times New Roman"/>
          <w:color w:val="000000"/>
          <w:sz w:val="18"/>
          <w:szCs w:val="18"/>
          <w:shd w:val="clear" w:color="auto" w:fill="FFFFFF"/>
        </w:rPr>
        <w:t xml:space="preserve">g/ml with good linearity in the calibration range 0.1 – 10 </w:t>
      </w:r>
      <w:r w:rsidRPr="001F65E5">
        <w:rPr>
          <w:rStyle w:val="apple-converted-space"/>
          <w:rFonts w:ascii="Times New Roman" w:hAnsi="Times New Roman"/>
          <w:color w:val="000000"/>
          <w:sz w:val="18"/>
          <w:szCs w:val="18"/>
          <w:shd w:val="clear" w:color="auto" w:fill="FFFFFF"/>
        </w:rPr>
        <w:t>n</w:t>
      </w:r>
      <w:r w:rsidRPr="001F65E5">
        <w:rPr>
          <w:rFonts w:ascii="Times New Roman" w:hAnsi="Times New Roman"/>
          <w:color w:val="000000"/>
          <w:sz w:val="18"/>
          <w:szCs w:val="18"/>
          <w:shd w:val="clear" w:color="auto" w:fill="FFFFFF"/>
        </w:rPr>
        <w:t xml:space="preserve">g/ml. The procedure involves a clean-up process using the </w:t>
      </w:r>
      <w:r w:rsidRPr="001F65E5">
        <w:rPr>
          <w:rFonts w:ascii="Times New Roman" w:hAnsi="Times New Roman"/>
          <w:color w:val="000000"/>
          <w:sz w:val="18"/>
          <w:szCs w:val="18"/>
        </w:rPr>
        <w:t>IST ISOLUTE ENV</w:t>
      </w:r>
      <w:r w:rsidRPr="001F65E5">
        <w:rPr>
          <w:rFonts w:ascii="Times New Roman" w:hAnsi="Times New Roman"/>
          <w:color w:val="000000"/>
          <w:sz w:val="18"/>
          <w:szCs w:val="18"/>
          <w:vertAlign w:val="superscript"/>
        </w:rPr>
        <w:t>+</w:t>
      </w:r>
      <w:r w:rsidRPr="001F65E5">
        <w:rPr>
          <w:rFonts w:ascii="Times New Roman" w:hAnsi="Times New Roman"/>
          <w:color w:val="000000"/>
          <w:sz w:val="18"/>
          <w:szCs w:val="18"/>
        </w:rPr>
        <w:t xml:space="preserve"> </w:t>
      </w:r>
      <w:r w:rsidRPr="001F65E5">
        <w:rPr>
          <w:rFonts w:ascii="Times New Roman" w:hAnsi="Times New Roman"/>
          <w:color w:val="000000"/>
          <w:sz w:val="18"/>
          <w:szCs w:val="18"/>
          <w:shd w:val="clear" w:color="auto" w:fill="FFFFFF"/>
        </w:rPr>
        <w:t xml:space="preserve">solid phase extraction (SPE) method and the pesticide level are determined using the HPLC with variable wavelength detector (VWD) and 81 – 105 % recovery. </w:t>
      </w:r>
      <w:r w:rsidRPr="001F65E5">
        <w:rPr>
          <w:rFonts w:ascii="Times New Roman" w:eastAsia="AdvTimes" w:hAnsi="Times New Roman"/>
          <w:color w:val="000000"/>
          <w:sz w:val="18"/>
          <w:szCs w:val="18"/>
          <w:lang w:val="en-MY" w:eastAsia="en-GB"/>
        </w:rPr>
        <w:t xml:space="preserve">The MSM compound represents one of main herbicides used in the Tasik Chini oil palm plantation. The method enables study to be made of the herbicide and its transformation products through simultaneous detection and quantification. </w:t>
      </w:r>
      <w:r w:rsidRPr="001F65E5">
        <w:rPr>
          <w:rFonts w:ascii="Times New Roman" w:hAnsi="Times New Roman"/>
          <w:color w:val="000000"/>
          <w:sz w:val="18"/>
          <w:szCs w:val="18"/>
          <w:shd w:val="clear" w:color="auto" w:fill="FFFFFF"/>
        </w:rPr>
        <w:t>In the field study levels of MSM in the surface water ranged from undetectable to 0.1378 ng/ml from the first season to forth season, while levels of the metabolite, AMMT ranged from undetectable to 1.473 ng/ml. The variation of the MSM and AMMT levels depended directly on the time of the pesticide application and the season.</w:t>
      </w:r>
    </w:p>
    <w:p w:rsidR="001F65E5" w:rsidRPr="001F65E5" w:rsidRDefault="001F65E5" w:rsidP="001F65E5">
      <w:pPr>
        <w:autoSpaceDE w:val="0"/>
        <w:autoSpaceDN w:val="0"/>
        <w:adjustRightInd w:val="0"/>
        <w:spacing w:after="0" w:line="240" w:lineRule="auto"/>
        <w:jc w:val="both"/>
        <w:rPr>
          <w:rFonts w:ascii="Times New Roman" w:hAnsi="Times New Roman"/>
          <w:color w:val="000000"/>
          <w:sz w:val="18"/>
          <w:szCs w:val="18"/>
          <w:shd w:val="clear" w:color="auto" w:fill="FFFFFF"/>
        </w:rPr>
      </w:pPr>
    </w:p>
    <w:p w:rsidR="001F65E5" w:rsidRPr="001F65E5" w:rsidRDefault="001F65E5" w:rsidP="001F65E5">
      <w:pPr>
        <w:autoSpaceDE w:val="0"/>
        <w:autoSpaceDN w:val="0"/>
        <w:adjustRightInd w:val="0"/>
        <w:spacing w:after="0" w:line="240" w:lineRule="auto"/>
        <w:jc w:val="both"/>
        <w:rPr>
          <w:rFonts w:ascii="Times New Roman" w:hAnsi="Times New Roman"/>
          <w:color w:val="000000"/>
          <w:sz w:val="18"/>
          <w:szCs w:val="18"/>
          <w:shd w:val="clear" w:color="auto" w:fill="FFFFFF"/>
        </w:rPr>
      </w:pPr>
      <w:r w:rsidRPr="001F65E5">
        <w:rPr>
          <w:rFonts w:ascii="Times New Roman" w:hAnsi="Times New Roman"/>
          <w:b/>
          <w:color w:val="000000"/>
          <w:sz w:val="18"/>
          <w:szCs w:val="18"/>
          <w:shd w:val="clear" w:color="auto" w:fill="FFFFFF"/>
        </w:rPr>
        <w:t>Keywords</w:t>
      </w:r>
      <w:r w:rsidRPr="001F65E5">
        <w:rPr>
          <w:rFonts w:ascii="Times New Roman" w:hAnsi="Times New Roman"/>
          <w:color w:val="000000"/>
          <w:sz w:val="18"/>
          <w:szCs w:val="18"/>
          <w:shd w:val="clear" w:color="auto" w:fill="FFFFFF"/>
        </w:rPr>
        <w:t>: metsulfuron methyl, metabolite, solid phase extraction, Tasik Chini</w:t>
      </w:r>
    </w:p>
    <w:p w:rsidR="00DD377F" w:rsidRDefault="00DD377F" w:rsidP="001F65E5">
      <w:pPr>
        <w:spacing w:after="0" w:line="240" w:lineRule="auto"/>
        <w:jc w:val="center"/>
        <w:rPr>
          <w:rFonts w:ascii="Times New Roman" w:hAnsi="Times New Roman"/>
          <w:b/>
          <w:noProof/>
          <w:sz w:val="18"/>
          <w:szCs w:val="18"/>
          <w:lang w:bidi="ar-SA"/>
        </w:rPr>
      </w:pPr>
    </w:p>
    <w:p w:rsidR="006768E9" w:rsidRPr="00F447A7" w:rsidRDefault="006768E9" w:rsidP="00AE713F">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1F65E5" w:rsidRPr="001F65E5" w:rsidRDefault="001F65E5" w:rsidP="001F65E5">
      <w:pPr>
        <w:autoSpaceDE w:val="0"/>
        <w:autoSpaceDN w:val="0"/>
        <w:adjustRightInd w:val="0"/>
        <w:spacing w:after="0" w:line="240" w:lineRule="auto"/>
        <w:jc w:val="both"/>
        <w:rPr>
          <w:rFonts w:ascii="Times New Roman" w:hAnsi="Times New Roman"/>
          <w:color w:val="000000"/>
          <w:sz w:val="18"/>
          <w:szCs w:val="18"/>
        </w:rPr>
      </w:pPr>
      <w:r w:rsidRPr="001F65E5">
        <w:rPr>
          <w:rFonts w:ascii="Times New Roman" w:hAnsi="Times New Roman"/>
          <w:color w:val="000000"/>
          <w:sz w:val="18"/>
          <w:szCs w:val="18"/>
        </w:rPr>
        <w:t>Tahap pencemaran metsulfuron m</w:t>
      </w:r>
      <w:r>
        <w:rPr>
          <w:rFonts w:ascii="Times New Roman" w:hAnsi="Times New Roman"/>
          <w:color w:val="000000"/>
          <w:sz w:val="18"/>
          <w:szCs w:val="18"/>
        </w:rPr>
        <w:t>etil (metil 2-</w:t>
      </w:r>
      <w:r w:rsidRPr="001F65E5">
        <w:rPr>
          <w:rFonts w:ascii="Times New Roman" w:hAnsi="Times New Roman"/>
          <w:color w:val="000000"/>
          <w:sz w:val="18"/>
          <w:szCs w:val="18"/>
        </w:rPr>
        <w:t>(4-metoksi-6-metil-1,3,5-triazin-2-ilkarbamoilsulfamoil) benzoat (IUPAC) (MSM) dan metabolit IN-A4098 (4-metoksi-6-metil-1,3,5-triazin-2-amina (AMMT) telah ditentukan daripada sampel air permukaan daripada enam batang sungai yang terletak di Tasik Chini, Pahang, Malaysia. Pengoptimuman kaedah analisis telah dibuat untuk menentukan kandungan herbisid MSM dan metabolitnya, AMMT dalam air permukaan dengan kepekatan minimum adalah 0.05 ng/ml dan julat kalibrasi adalah 0.1 – 10 ng/ml. Prosedur ini melibatkan satu proses pengekstrakkan menggunakan IST ISOLUTE ENV</w:t>
      </w:r>
      <w:r w:rsidRPr="001F65E5">
        <w:rPr>
          <w:rFonts w:ascii="Times New Roman" w:hAnsi="Times New Roman"/>
          <w:color w:val="000000"/>
          <w:sz w:val="18"/>
          <w:szCs w:val="18"/>
          <w:vertAlign w:val="superscript"/>
        </w:rPr>
        <w:t>+</w:t>
      </w:r>
      <w:r w:rsidRPr="001F65E5">
        <w:rPr>
          <w:rFonts w:ascii="Times New Roman" w:hAnsi="Times New Roman"/>
          <w:color w:val="000000"/>
          <w:sz w:val="18"/>
          <w:szCs w:val="18"/>
        </w:rPr>
        <w:t xml:space="preserve"> kaedah pengekstrakan fasa pepejal (SPE) dan tahap herbisid ditentukan menggunakan HPLC  dengan pengesan gelombang pelbagai (VWD) pada tahap perolehan semula adalah 81 – 105 %. Sebatian MSM merupakan salah satu daripada herbisid utama yang digunakan dalam ladang kelapa sawit Tasik Chini. Kaedah ini membolehkan herbisid dan metabolitnya dikesan dan dianalisis serentak. Di peringkat kajian lapangan, julat bacaan MSM dalam air permukaan adalah dari tidak dapat dikesan sehingga 0.1378 ng/ml dari musim pertama hingga musim keempat, manakala tahap pencemaran AMMT, yakni metabolitnya adalah dalam julat yang tidak dapat dikesan hingga 1.473 ng/ml. Tahap pencemaran MSM dan AMMT bergantung secara langsung kepada masa penyemburan herbisid dan musim kawasan tersebut.</w:t>
      </w:r>
    </w:p>
    <w:p w:rsidR="001F65E5" w:rsidRPr="001F65E5" w:rsidRDefault="001F65E5" w:rsidP="001F65E5">
      <w:pPr>
        <w:autoSpaceDE w:val="0"/>
        <w:autoSpaceDN w:val="0"/>
        <w:adjustRightInd w:val="0"/>
        <w:spacing w:after="0" w:line="240" w:lineRule="auto"/>
        <w:jc w:val="both"/>
        <w:rPr>
          <w:rFonts w:ascii="Times New Roman" w:hAnsi="Times New Roman"/>
          <w:color w:val="000000"/>
          <w:sz w:val="18"/>
          <w:szCs w:val="18"/>
        </w:rPr>
      </w:pPr>
    </w:p>
    <w:p w:rsidR="001F65E5" w:rsidRPr="001F65E5" w:rsidRDefault="001F65E5" w:rsidP="001F65E5">
      <w:pPr>
        <w:autoSpaceDE w:val="0"/>
        <w:autoSpaceDN w:val="0"/>
        <w:adjustRightInd w:val="0"/>
        <w:spacing w:after="0" w:line="240" w:lineRule="auto"/>
        <w:jc w:val="both"/>
        <w:rPr>
          <w:rFonts w:ascii="Times New Roman" w:hAnsi="Times New Roman"/>
          <w:color w:val="000000"/>
          <w:sz w:val="18"/>
          <w:szCs w:val="18"/>
        </w:rPr>
      </w:pPr>
      <w:r w:rsidRPr="001F65E5">
        <w:rPr>
          <w:rFonts w:ascii="Times New Roman" w:eastAsia="AdvTimes" w:hAnsi="Times New Roman"/>
          <w:b/>
          <w:color w:val="000000"/>
          <w:sz w:val="18"/>
          <w:szCs w:val="18"/>
          <w:lang w:val="en-MY" w:eastAsia="en-GB"/>
        </w:rPr>
        <w:t xml:space="preserve">Kata kunci: </w:t>
      </w:r>
      <w:r w:rsidRPr="001F65E5">
        <w:rPr>
          <w:rFonts w:ascii="Times New Roman" w:hAnsi="Times New Roman"/>
          <w:color w:val="000000"/>
          <w:sz w:val="18"/>
          <w:szCs w:val="18"/>
          <w:shd w:val="clear" w:color="auto" w:fill="FFFFFF"/>
        </w:rPr>
        <w:t>metsulfuron metil, metabolit, pengekstrakkan fasa pepejal, Tasik Chini</w:t>
      </w:r>
    </w:p>
    <w:p w:rsidR="006768E9" w:rsidRDefault="006768E9" w:rsidP="00F447A7">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1F65E5" w:rsidRPr="00202191" w:rsidRDefault="001F65E5" w:rsidP="00202191">
      <w:pPr>
        <w:autoSpaceDE w:val="0"/>
        <w:autoSpaceDN w:val="0"/>
        <w:adjustRightInd w:val="0"/>
        <w:spacing w:after="0" w:line="240" w:lineRule="auto"/>
        <w:jc w:val="both"/>
        <w:rPr>
          <w:rFonts w:ascii="Times New Roman" w:hAnsi="Times New Roman"/>
          <w:color w:val="000000"/>
          <w:sz w:val="20"/>
          <w:szCs w:val="20"/>
        </w:rPr>
      </w:pPr>
      <w:r w:rsidRPr="00202191">
        <w:rPr>
          <w:rFonts w:ascii="Times New Roman" w:hAnsi="Times New Roman"/>
          <w:color w:val="000000"/>
          <w:sz w:val="20"/>
          <w:szCs w:val="20"/>
          <w:lang w:val="en-MY" w:eastAsia="en-GB"/>
        </w:rPr>
        <w:t xml:space="preserve">Sulfonylurea herbicides are widely used in agriculture by reason of their low application rates, good crop selectivity and very low animal toxicity [1]. </w:t>
      </w:r>
      <w:r w:rsidRPr="00202191">
        <w:rPr>
          <w:rFonts w:ascii="Times New Roman" w:hAnsi="Times New Roman"/>
          <w:color w:val="000000"/>
          <w:sz w:val="20"/>
          <w:szCs w:val="20"/>
        </w:rPr>
        <w:t xml:space="preserve">One of the common sulfonylurea herbicides used in oil palm plantations is metsulfuron methyl (MSM) which is often sprayed with glyphosate. MSM is particularly effective on some annual and perennial broad-leaved species and can be degraded by microbes into </w:t>
      </w:r>
      <w:r w:rsidRPr="00202191">
        <w:rPr>
          <w:rFonts w:ascii="Times New Roman" w:eastAsia="AdvTimes" w:hAnsi="Times New Roman"/>
          <w:color w:val="000000"/>
          <w:sz w:val="20"/>
          <w:szCs w:val="20"/>
          <w:lang w:val="en-MY" w:eastAsia="en-GB"/>
        </w:rPr>
        <w:t>4-methoxy-6-methyl-1,3,5-triazin-2-amine (AMMT)</w:t>
      </w:r>
      <w:r w:rsidRPr="00202191">
        <w:rPr>
          <w:rFonts w:ascii="Times New Roman" w:hAnsi="Times New Roman"/>
          <w:color w:val="000000"/>
          <w:sz w:val="20"/>
          <w:szCs w:val="20"/>
        </w:rPr>
        <w:t xml:space="preserve">. It is a selective, translocated herbicide that is mainly absorbed through leaves. Its main uses are for broad-leaved weed control in oil palm plantations in Malaysia, as a tank mix with glyphosate for pre-plant weed control and for the control of perennial weeds. Metsulfuron methyl acts on the plants, ALS enzyme (not present in animals) and this is the main reason for its low toxicity to mammals, birds and fish [2]. </w:t>
      </w:r>
    </w:p>
    <w:p w:rsidR="001F65E5" w:rsidRPr="00202191" w:rsidRDefault="001F65E5" w:rsidP="00202191">
      <w:pPr>
        <w:autoSpaceDE w:val="0"/>
        <w:autoSpaceDN w:val="0"/>
        <w:adjustRightInd w:val="0"/>
        <w:spacing w:after="0" w:line="240" w:lineRule="auto"/>
        <w:jc w:val="both"/>
        <w:rPr>
          <w:rFonts w:ascii="Times New Roman" w:hAnsi="Times New Roman"/>
          <w:color w:val="000000"/>
          <w:sz w:val="20"/>
          <w:szCs w:val="20"/>
        </w:rPr>
      </w:pPr>
    </w:p>
    <w:p w:rsidR="001F65E5" w:rsidRPr="00202191" w:rsidRDefault="001F65E5" w:rsidP="00202191">
      <w:pPr>
        <w:autoSpaceDE w:val="0"/>
        <w:autoSpaceDN w:val="0"/>
        <w:adjustRightInd w:val="0"/>
        <w:spacing w:after="0" w:line="240" w:lineRule="auto"/>
        <w:jc w:val="both"/>
        <w:rPr>
          <w:rFonts w:ascii="Times New Roman" w:hAnsi="Times New Roman"/>
          <w:color w:val="000000"/>
          <w:sz w:val="20"/>
          <w:szCs w:val="20"/>
        </w:rPr>
      </w:pPr>
      <w:r w:rsidRPr="00202191">
        <w:rPr>
          <w:rFonts w:ascii="Times New Roman" w:hAnsi="Times New Roman"/>
          <w:color w:val="000000"/>
          <w:sz w:val="20"/>
          <w:szCs w:val="20"/>
        </w:rPr>
        <w:t>Pollution of surface water with metsulfuron methyl can occur when the pesticide is sprayed during the rainy season, at hilly areas, consisting of impermeable soil such as clay soil, or soil with low organic content and high pH [3, 4]. The indigenous tribes in Tasik Chini are still consuming the surface water of the lake for bathing and fishing, and some of the populations are using groundwater for their daily needs. Thus, it is important to monitor the level of pesticide in the lake (Tasik Chini) before it endangers human and aquatic lives. Contamination of groundwater can occur if the soil is sandy loam type because MSM is highly soluble in water, with log K</w:t>
      </w:r>
      <w:r w:rsidRPr="00202191">
        <w:rPr>
          <w:rFonts w:ascii="Times New Roman" w:hAnsi="Times New Roman"/>
          <w:color w:val="000000"/>
          <w:sz w:val="20"/>
          <w:szCs w:val="20"/>
          <w:vertAlign w:val="subscript"/>
        </w:rPr>
        <w:t>ow</w:t>
      </w:r>
      <w:r w:rsidRPr="00202191">
        <w:rPr>
          <w:rFonts w:ascii="Times New Roman" w:hAnsi="Times New Roman"/>
          <w:color w:val="000000"/>
          <w:sz w:val="20"/>
          <w:szCs w:val="20"/>
        </w:rPr>
        <w:t xml:space="preserve"> at 1.8 and 0.018 for pH5 and pH7 respectively (water solubility of MSM pesticide is pH dependent) [5]. It is not hazardous to the environment as its usage rate is low, it has low toxicity and degradation in the field is rapid. However, there are studies that contradict its low toxicity effects, whereby concerns arise with regard to the possibility of environmental contamination, mainly regarding the leaching potential into the ground water system [6, 7]. Besides, due to its high solubility in water there is a need to monitor and compare the level of metsulfuron methyl sprayed in the oil palm plantation area at different seasons (rainy and dry). No specific maximum residue limit (MRL) has been established; therefore a default MRL of 0.1mg/L applies to food [3]. Conversion of the sulphonylurea herbicide group has been studied [8] and initial cleavage of the sulphonylurea bridge has been identified as the main transformation reaction. The primary degradation occurs with DT</w:t>
      </w:r>
      <w:r w:rsidRPr="00202191">
        <w:rPr>
          <w:rFonts w:ascii="Times New Roman" w:hAnsi="Times New Roman"/>
          <w:color w:val="000000"/>
          <w:sz w:val="20"/>
          <w:szCs w:val="20"/>
          <w:vertAlign w:val="subscript"/>
        </w:rPr>
        <w:t>50</w:t>
      </w:r>
      <w:r w:rsidRPr="00202191">
        <w:rPr>
          <w:rFonts w:ascii="Times New Roman" w:hAnsi="Times New Roman"/>
          <w:color w:val="000000"/>
          <w:sz w:val="20"/>
          <w:szCs w:val="20"/>
        </w:rPr>
        <w:t xml:space="preserve"> in 81-148 days [8], whereby, the products subsequent from the cleavage (of metsulfuron-methyl) is include, 4-methoxy-6-methyl-1,3,5-triazin-2-amine (AMMT).</w:t>
      </w:r>
    </w:p>
    <w:p w:rsidR="001F65E5" w:rsidRPr="00202191" w:rsidRDefault="001F65E5" w:rsidP="00202191">
      <w:pPr>
        <w:autoSpaceDE w:val="0"/>
        <w:autoSpaceDN w:val="0"/>
        <w:adjustRightInd w:val="0"/>
        <w:spacing w:after="0" w:line="240" w:lineRule="auto"/>
        <w:jc w:val="both"/>
        <w:rPr>
          <w:rFonts w:ascii="Times New Roman" w:hAnsi="Times New Roman"/>
          <w:color w:val="000000"/>
          <w:sz w:val="20"/>
          <w:szCs w:val="20"/>
        </w:rPr>
      </w:pPr>
    </w:p>
    <w:p w:rsidR="001F65E5" w:rsidRDefault="001F65E5" w:rsidP="00202191">
      <w:pPr>
        <w:autoSpaceDE w:val="0"/>
        <w:autoSpaceDN w:val="0"/>
        <w:adjustRightInd w:val="0"/>
        <w:spacing w:after="0" w:line="240" w:lineRule="auto"/>
        <w:jc w:val="both"/>
        <w:rPr>
          <w:rFonts w:ascii="Times New Roman" w:hAnsi="Times New Roman"/>
          <w:color w:val="000000"/>
          <w:sz w:val="20"/>
          <w:szCs w:val="20"/>
          <w:lang w:val="en-MY" w:eastAsia="en-GB"/>
        </w:rPr>
      </w:pPr>
      <w:r w:rsidRPr="00202191">
        <w:rPr>
          <w:rFonts w:ascii="Times New Roman" w:hAnsi="Times New Roman"/>
          <w:color w:val="000000"/>
          <w:sz w:val="20"/>
          <w:szCs w:val="20"/>
        </w:rPr>
        <w:t xml:space="preserve">Recent years, many alternative techniques have been explored and established, these include using </w:t>
      </w:r>
      <w:r w:rsidRPr="00202191">
        <w:rPr>
          <w:rFonts w:ascii="Times New Roman" w:hAnsi="Times New Roman"/>
          <w:color w:val="000000"/>
          <w:sz w:val="20"/>
          <w:szCs w:val="20"/>
          <w:shd w:val="clear" w:color="auto" w:fill="FFFFFF"/>
        </w:rPr>
        <w:t xml:space="preserve">capillary electrophoresis, </w:t>
      </w:r>
      <w:r w:rsidRPr="00202191">
        <w:rPr>
          <w:rFonts w:ascii="Times New Roman" w:hAnsi="Times New Roman"/>
          <w:color w:val="000000"/>
          <w:sz w:val="20"/>
          <w:szCs w:val="20"/>
        </w:rPr>
        <w:t>gas chromatography and liquid chromatography [10, 11, 12, 13] to extract metsulfuron methyl and its metabolite. Solid phase extraction (SPE) is the preferred method for environmental samples instead of liquid-liquid extraction due to its simple operation. A few studies on SPE type comparison have been conducted to select the SPE type that is suitable for sulfonylurea herbicide extraction. For the present study IST ISOLUTE ENV</w:t>
      </w:r>
      <w:r w:rsidRPr="00202191">
        <w:rPr>
          <w:rFonts w:ascii="Times New Roman" w:hAnsi="Times New Roman"/>
          <w:color w:val="000000"/>
          <w:sz w:val="20"/>
          <w:szCs w:val="20"/>
          <w:vertAlign w:val="superscript"/>
        </w:rPr>
        <w:t>+</w:t>
      </w:r>
      <w:r w:rsidRPr="00202191">
        <w:rPr>
          <w:rFonts w:ascii="Times New Roman" w:hAnsi="Times New Roman"/>
          <w:color w:val="000000"/>
          <w:sz w:val="20"/>
          <w:szCs w:val="20"/>
        </w:rPr>
        <w:t xml:space="preserve"> cartridge was used. The quantification of extracted MSM and AMMT was detected by a high performance liquid chromatograph (HPLC) equipped with a variable wavelength detector. L</w:t>
      </w:r>
      <w:r w:rsidRPr="00202191">
        <w:rPr>
          <w:rFonts w:ascii="Times New Roman" w:hAnsi="Times New Roman"/>
          <w:color w:val="000000"/>
          <w:sz w:val="20"/>
          <w:szCs w:val="20"/>
          <w:lang w:val="en-MY" w:eastAsia="en-GB"/>
        </w:rPr>
        <w:t>iquid chromatography procedure used as the routine method in the laboratory was adapted from previous research [15].</w:t>
      </w:r>
    </w:p>
    <w:p w:rsidR="006248FC" w:rsidRPr="00202191" w:rsidRDefault="006248FC" w:rsidP="00202191">
      <w:pPr>
        <w:autoSpaceDE w:val="0"/>
        <w:autoSpaceDN w:val="0"/>
        <w:adjustRightInd w:val="0"/>
        <w:spacing w:after="0" w:line="240" w:lineRule="auto"/>
        <w:jc w:val="both"/>
        <w:rPr>
          <w:rFonts w:ascii="Times New Roman" w:hAnsi="Times New Roman"/>
          <w:color w:val="000000"/>
          <w:sz w:val="20"/>
          <w:szCs w:val="20"/>
        </w:rPr>
      </w:pPr>
    </w:p>
    <w:p w:rsidR="001F65E5" w:rsidRPr="00810265" w:rsidRDefault="001F65E5" w:rsidP="00202191">
      <w:pPr>
        <w:keepNext/>
        <w:autoSpaceDE w:val="0"/>
        <w:autoSpaceDN w:val="0"/>
        <w:adjustRightInd w:val="0"/>
        <w:ind w:firstLine="284"/>
        <w:jc w:val="center"/>
        <w:rPr>
          <w:color w:val="000000"/>
          <w:sz w:val="20"/>
          <w:szCs w:val="20"/>
        </w:rPr>
      </w:pPr>
      <w:r>
        <w:rPr>
          <w:noProof/>
          <w:color w:val="000000"/>
          <w:sz w:val="20"/>
          <w:szCs w:val="20"/>
          <w:lang w:bidi="ar-SA"/>
        </w:rPr>
        <w:drawing>
          <wp:inline distT="0" distB="0" distL="0" distR="0">
            <wp:extent cx="4267200" cy="16379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84461" cy="1644540"/>
                    </a:xfrm>
                    <a:prstGeom prst="rect">
                      <a:avLst/>
                    </a:prstGeom>
                    <a:noFill/>
                    <a:ln>
                      <a:noFill/>
                    </a:ln>
                  </pic:spPr>
                </pic:pic>
              </a:graphicData>
            </a:graphic>
          </wp:inline>
        </w:drawing>
      </w:r>
    </w:p>
    <w:p w:rsidR="001F65E5" w:rsidRPr="00810265" w:rsidRDefault="001F65E5" w:rsidP="00202191">
      <w:pPr>
        <w:pStyle w:val="TableCaption"/>
        <w:spacing w:before="0"/>
        <w:ind w:left="810" w:hanging="810"/>
        <w:jc w:val="both"/>
        <w:rPr>
          <w:rFonts w:eastAsia="AdvTimes"/>
          <w:color w:val="000000"/>
          <w:sz w:val="20"/>
          <w:szCs w:val="20"/>
          <w:lang w:val="en-MY" w:eastAsia="en-GB"/>
        </w:rPr>
      </w:pPr>
      <w:r w:rsidRPr="00810265">
        <w:rPr>
          <w:color w:val="000000"/>
          <w:sz w:val="20"/>
          <w:szCs w:val="20"/>
        </w:rPr>
        <w:t xml:space="preserve">Figure 1. </w:t>
      </w:r>
      <w:r w:rsidR="00202191">
        <w:rPr>
          <w:color w:val="000000"/>
          <w:sz w:val="20"/>
          <w:szCs w:val="20"/>
        </w:rPr>
        <w:t xml:space="preserve"> </w:t>
      </w:r>
      <w:r w:rsidRPr="00810265">
        <w:rPr>
          <w:color w:val="000000"/>
          <w:sz w:val="20"/>
          <w:szCs w:val="20"/>
        </w:rPr>
        <w:t xml:space="preserve">Molecular structure of (a) Metsulfuron methyl (MSM) and (b) </w:t>
      </w:r>
      <w:r w:rsidRPr="00810265">
        <w:rPr>
          <w:rFonts w:eastAsia="AdvTimes"/>
          <w:color w:val="000000"/>
          <w:sz w:val="20"/>
          <w:szCs w:val="20"/>
          <w:lang w:val="en-MY" w:eastAsia="en-GB"/>
        </w:rPr>
        <w:t>4-methoxy-6-methyl-1,3,5-triazin-2-amine (AMMT)</w:t>
      </w:r>
    </w:p>
    <w:p w:rsidR="006768E9" w:rsidRPr="00F447A7" w:rsidRDefault="006768E9" w:rsidP="001F65E5">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202191" w:rsidRPr="00202191" w:rsidRDefault="00202191" w:rsidP="00202191">
      <w:pPr>
        <w:pStyle w:val="Heading2"/>
        <w:spacing w:before="0" w:line="240" w:lineRule="auto"/>
        <w:jc w:val="both"/>
        <w:rPr>
          <w:rFonts w:ascii="Times New Roman" w:hAnsi="Times New Roman"/>
          <w:b/>
          <w:smallCaps w:val="0"/>
          <w:color w:val="000000"/>
          <w:sz w:val="20"/>
          <w:szCs w:val="20"/>
        </w:rPr>
      </w:pPr>
      <w:r w:rsidRPr="00202191">
        <w:rPr>
          <w:rFonts w:ascii="Times New Roman" w:hAnsi="Times New Roman"/>
          <w:b/>
          <w:smallCaps w:val="0"/>
          <w:color w:val="000000"/>
          <w:sz w:val="20"/>
          <w:szCs w:val="20"/>
        </w:rPr>
        <w:t>Study Area</w:t>
      </w:r>
    </w:p>
    <w:p w:rsidR="00202191" w:rsidRDefault="00202191" w:rsidP="00202191">
      <w:pPr>
        <w:pStyle w:val="Paragraph"/>
        <w:ind w:firstLine="0"/>
        <w:rPr>
          <w:color w:val="000000"/>
        </w:rPr>
      </w:pPr>
      <w:r w:rsidRPr="00CA419B">
        <w:rPr>
          <w:color w:val="000000"/>
        </w:rPr>
        <w:t xml:space="preserve">Tasik Chini is located at the south eastern region of the state of Pahang, Malaysia and approximately 100 km from Kuantan, the capital of Pahang. The Tasik Chini lake system lies between 3°22´30" to 3°28´00" N and 102°52´40" to 102°58´10" E and comprises 12 open water bodies that are referred to as “laut” by the local people. There are a few groups of the indigenous Jakun tribe that live around the lake. Tasik Chini is the second largest natural fresh-water lake in Malaysia (after Tasik Bera). It covers 202 hectares of open water and 700 hectares of riparian, peat, hill and lowland Dipterocarp forests. There are three hilly areas surrounding the lake, namely Bukit Ketaya (209 m) in the southeast, Bukit Tebakang (210 m) at the north and Bukit Chini (641 m) located southwest. The study area has a humid tropical climate with two monsoon seasons, characterized by the following bimodal pattern: southwest and northeast monsoons bringing rainfall which varies from 1488 to 3071 mm annually. The mean annual rainfall is 2500 mm and the temperature range is from 21 to 32 °C. The lake drains northeasterly into the Pahang River through the Chini River, which flows for 4.8 km before it reaches the Pahang River. Sampling sites were selected according to land use and are shown in Figure 2. </w:t>
      </w:r>
    </w:p>
    <w:p w:rsidR="00202191" w:rsidRDefault="00202191" w:rsidP="00202191">
      <w:pPr>
        <w:pStyle w:val="Paragraph"/>
        <w:ind w:firstLine="0"/>
        <w:rPr>
          <w:color w:val="000000"/>
        </w:rPr>
      </w:pPr>
    </w:p>
    <w:p w:rsidR="00202191" w:rsidRPr="00CA419B" w:rsidRDefault="00202191" w:rsidP="00202191">
      <w:pPr>
        <w:pStyle w:val="Paragraph"/>
        <w:ind w:firstLine="0"/>
        <w:rPr>
          <w:color w:val="000000"/>
        </w:rPr>
      </w:pPr>
    </w:p>
    <w:p w:rsidR="00202191" w:rsidRPr="00CA419B" w:rsidRDefault="00202191" w:rsidP="00202191">
      <w:pPr>
        <w:pStyle w:val="Paragraph"/>
        <w:jc w:val="center"/>
        <w:rPr>
          <w:color w:val="000000"/>
        </w:rPr>
      </w:pPr>
      <w:r>
        <w:rPr>
          <w:noProof/>
          <w:color w:val="000000"/>
        </w:rPr>
        <w:drawing>
          <wp:inline distT="0" distB="0" distL="0" distR="0">
            <wp:extent cx="3781425" cy="3438525"/>
            <wp:effectExtent l="19050" t="19050" r="28575" b="285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b="2766"/>
                    <a:stretch>
                      <a:fillRect/>
                    </a:stretch>
                  </pic:blipFill>
                  <pic:spPr bwMode="auto">
                    <a:xfrm>
                      <a:off x="0" y="0"/>
                      <a:ext cx="3781425" cy="3438525"/>
                    </a:xfrm>
                    <a:prstGeom prst="rect">
                      <a:avLst/>
                    </a:prstGeom>
                    <a:noFill/>
                    <a:ln w="6350" cmpd="sng">
                      <a:solidFill>
                        <a:srgbClr val="000000"/>
                      </a:solidFill>
                      <a:miter lim="800000"/>
                      <a:headEnd/>
                      <a:tailEnd/>
                    </a:ln>
                    <a:effectLst/>
                  </pic:spPr>
                </pic:pic>
              </a:graphicData>
            </a:graphic>
          </wp:inline>
        </w:drawing>
      </w:r>
    </w:p>
    <w:p w:rsidR="00202191" w:rsidRPr="00CA419B" w:rsidRDefault="00202191" w:rsidP="00202191">
      <w:pPr>
        <w:pStyle w:val="Paragraph"/>
        <w:rPr>
          <w:color w:val="000000"/>
        </w:rPr>
      </w:pPr>
    </w:p>
    <w:p w:rsidR="00202191" w:rsidRPr="00CA419B" w:rsidRDefault="00202191" w:rsidP="00202191">
      <w:pPr>
        <w:pStyle w:val="Paragraph"/>
        <w:jc w:val="center"/>
        <w:rPr>
          <w:color w:val="000000"/>
        </w:rPr>
      </w:pPr>
      <w:r w:rsidRPr="00CA419B">
        <w:rPr>
          <w:color w:val="000000"/>
        </w:rPr>
        <w:t xml:space="preserve">Figure 2. </w:t>
      </w:r>
      <w:r>
        <w:rPr>
          <w:color w:val="000000"/>
        </w:rPr>
        <w:t xml:space="preserve"> </w:t>
      </w:r>
      <w:r w:rsidRPr="00CA419B">
        <w:rPr>
          <w:color w:val="000000"/>
        </w:rPr>
        <w:t>Map of the region: studied area and sampling sites</w:t>
      </w:r>
    </w:p>
    <w:p w:rsidR="00202191" w:rsidRDefault="00202191" w:rsidP="00202191">
      <w:pPr>
        <w:pStyle w:val="Paragraph"/>
        <w:ind w:firstLine="0"/>
        <w:rPr>
          <w:b/>
          <w:color w:val="000000"/>
        </w:rPr>
      </w:pPr>
    </w:p>
    <w:p w:rsidR="00202191" w:rsidRPr="00CA419B" w:rsidRDefault="00202191" w:rsidP="00202191">
      <w:pPr>
        <w:pStyle w:val="Paragraph"/>
        <w:ind w:firstLine="0"/>
        <w:rPr>
          <w:b/>
          <w:color w:val="000000"/>
        </w:rPr>
      </w:pPr>
    </w:p>
    <w:p w:rsidR="00202191" w:rsidRPr="00CA419B" w:rsidRDefault="00202191" w:rsidP="00202191">
      <w:pPr>
        <w:pStyle w:val="Paragraph"/>
        <w:ind w:firstLine="0"/>
        <w:rPr>
          <w:color w:val="000000"/>
        </w:rPr>
      </w:pPr>
      <w:r w:rsidRPr="00CA419B">
        <w:rPr>
          <w:b/>
          <w:color w:val="000000"/>
        </w:rPr>
        <w:t>Sampling</w:t>
      </w:r>
    </w:p>
    <w:p w:rsidR="00202191" w:rsidRPr="00CA419B" w:rsidRDefault="00202191" w:rsidP="00202191">
      <w:pPr>
        <w:pStyle w:val="Paragraph"/>
        <w:ind w:firstLine="0"/>
        <w:rPr>
          <w:color w:val="000000"/>
        </w:rPr>
      </w:pPr>
      <w:r w:rsidRPr="00CA419B">
        <w:rPr>
          <w:color w:val="000000"/>
        </w:rPr>
        <w:t>Application of 150 gram/hectare MSM was applied on 15/12/2011, 14/03/2012, 13/06/2012 and 12/09/2012 to an individual oil palm plantation area near (20 meters) Sungai Jemberau (with the permission of the oil palm plantation owner and other pesticide applications were controlled). Herbicide application dates were decided by the researcher. The method of application involved spraying of the formulation using a backpack sprayer. Samples were taken one day after the MSM spraying and sampling details are as shown in Table 1 and Table 2 respectively. Water samples were taken from each sampling sites in accordance to standard methodology [12]. Samples were stored at glass containers in pH 5 – 6 (adjusted) for not more than one week at -4</w:t>
      </w:r>
      <w:r w:rsidRPr="00CA419B">
        <w:rPr>
          <w:color w:val="000000"/>
          <w:vertAlign w:val="superscript"/>
        </w:rPr>
        <w:t>o</w:t>
      </w:r>
      <w:r w:rsidRPr="00CA419B">
        <w:rPr>
          <w:color w:val="000000"/>
        </w:rPr>
        <w:t>C prior to analyses.</w:t>
      </w:r>
    </w:p>
    <w:p w:rsidR="00202191" w:rsidRPr="00CA419B" w:rsidRDefault="00202191" w:rsidP="00202191">
      <w:pPr>
        <w:pStyle w:val="Paragraph"/>
        <w:ind w:firstLine="0"/>
        <w:rPr>
          <w:color w:val="000000"/>
        </w:rPr>
      </w:pPr>
    </w:p>
    <w:p w:rsidR="00202191" w:rsidRPr="00CA419B" w:rsidRDefault="00202191" w:rsidP="00202191">
      <w:pPr>
        <w:pStyle w:val="Paragraph"/>
        <w:ind w:firstLine="0"/>
        <w:rPr>
          <w:b/>
          <w:color w:val="000000"/>
        </w:rPr>
      </w:pPr>
      <w:r w:rsidRPr="00CA419B">
        <w:rPr>
          <w:b/>
          <w:color w:val="000000"/>
        </w:rPr>
        <w:t>Reagents</w:t>
      </w:r>
    </w:p>
    <w:p w:rsidR="00202191" w:rsidRPr="00CA419B" w:rsidRDefault="00202191" w:rsidP="00202191">
      <w:pPr>
        <w:pStyle w:val="Paragraph"/>
        <w:ind w:firstLine="0"/>
        <w:rPr>
          <w:color w:val="000000"/>
        </w:rPr>
      </w:pPr>
      <w:r w:rsidRPr="00CA419B">
        <w:rPr>
          <w:color w:val="000000"/>
        </w:rPr>
        <w:t xml:space="preserve">All reagents and solvents used in the study were of HPLC grade. The MSM was purchased from Sigma Aldrich and the AMMT was purchased from Dr. Ehrenstorfer GmbH. </w:t>
      </w:r>
      <w:r w:rsidRPr="00CA419B">
        <w:rPr>
          <w:color w:val="000000"/>
          <w:lang w:val="en-MY" w:eastAsia="en-GB"/>
        </w:rPr>
        <w:t>The ultra-pure water was produced using of a sartorius water purification system (Sartorius, Germany).</w:t>
      </w:r>
      <w:r w:rsidRPr="00CA419B">
        <w:rPr>
          <w:color w:val="000000"/>
        </w:rPr>
        <w:t xml:space="preserve"> </w:t>
      </w:r>
      <w:r w:rsidRPr="00CA419B">
        <w:rPr>
          <w:color w:val="000000"/>
          <w:lang w:val="en-MY" w:eastAsia="en-GB"/>
        </w:rPr>
        <w:t xml:space="preserve">All calibration stock solutions of MSM and AMMT (500 mg/L) were prepared in methanol and stored at 4 </w:t>
      </w:r>
      <w:r w:rsidRPr="00CA419B">
        <w:rPr>
          <w:color w:val="000000"/>
          <w:vertAlign w:val="superscript"/>
          <w:lang w:val="en-MY" w:eastAsia="en-GB"/>
        </w:rPr>
        <w:t>o</w:t>
      </w:r>
      <w:r w:rsidRPr="00CA419B">
        <w:rPr>
          <w:color w:val="000000"/>
          <w:lang w:val="en-MY" w:eastAsia="en-GB"/>
        </w:rPr>
        <w:t xml:space="preserve">C for not more than six months. Working standards were prepared in methanol and used by the addition of the standard to samples for the recovery test and stored at 4 </w:t>
      </w:r>
      <w:r w:rsidRPr="00CA419B">
        <w:rPr>
          <w:color w:val="000000"/>
          <w:vertAlign w:val="superscript"/>
          <w:lang w:val="en-MY" w:eastAsia="en-GB"/>
        </w:rPr>
        <w:t>o</w:t>
      </w:r>
      <w:r w:rsidRPr="00CA419B">
        <w:rPr>
          <w:color w:val="000000"/>
          <w:lang w:val="en-MY" w:eastAsia="en-GB"/>
        </w:rPr>
        <w:t>C for less than one week. Each sample was analysed three times. Good linearity was obtained for the every signal for MSM and AMMT if no interfering pollutant was present.</w:t>
      </w:r>
    </w:p>
    <w:p w:rsidR="00202191" w:rsidRDefault="00202191" w:rsidP="00202191">
      <w:pPr>
        <w:pStyle w:val="Paragraph"/>
        <w:ind w:firstLine="0"/>
        <w:rPr>
          <w:color w:val="000000"/>
          <w:lang w:val="en-MY" w:eastAsia="en-GB"/>
        </w:rPr>
      </w:pPr>
    </w:p>
    <w:p w:rsidR="00202191" w:rsidRPr="00CA419B" w:rsidRDefault="00202191" w:rsidP="00202191">
      <w:pPr>
        <w:pStyle w:val="Paragraph"/>
        <w:ind w:firstLine="0"/>
        <w:rPr>
          <w:color w:val="000000"/>
          <w:lang w:val="en-MY" w:eastAsia="en-GB"/>
        </w:rPr>
      </w:pPr>
    </w:p>
    <w:p w:rsidR="00202191" w:rsidRPr="00CA419B" w:rsidRDefault="00202191" w:rsidP="00202191">
      <w:pPr>
        <w:pStyle w:val="Paragraph"/>
        <w:spacing w:after="120"/>
        <w:ind w:firstLine="288"/>
        <w:jc w:val="center"/>
        <w:rPr>
          <w:color w:val="000000"/>
        </w:rPr>
      </w:pPr>
      <w:r w:rsidRPr="00CA419B">
        <w:rPr>
          <w:color w:val="000000"/>
        </w:rPr>
        <w:t>Table 1.</w:t>
      </w:r>
      <w:r>
        <w:rPr>
          <w:color w:val="000000"/>
        </w:rPr>
        <w:t xml:space="preserve"> </w:t>
      </w:r>
      <w:r w:rsidRPr="00CA419B">
        <w:rPr>
          <w:color w:val="000000"/>
        </w:rPr>
        <w:t xml:space="preserve"> Identification of sampling time</w:t>
      </w:r>
    </w:p>
    <w:tbl>
      <w:tblPr>
        <w:tblW w:w="0" w:type="auto"/>
        <w:jc w:val="center"/>
        <w:tblInd w:w="-1046" w:type="dxa"/>
        <w:tblLook w:val="04A0" w:firstRow="1" w:lastRow="0" w:firstColumn="1" w:lastColumn="0" w:noHBand="0" w:noVBand="1"/>
      </w:tblPr>
      <w:tblGrid>
        <w:gridCol w:w="2147"/>
        <w:gridCol w:w="1738"/>
        <w:gridCol w:w="2406"/>
      </w:tblGrid>
      <w:tr w:rsidR="00202191" w:rsidRPr="00CA419B" w:rsidTr="00322AEA">
        <w:trPr>
          <w:jc w:val="center"/>
        </w:trPr>
        <w:tc>
          <w:tcPr>
            <w:tcW w:w="2147" w:type="dxa"/>
            <w:tcBorders>
              <w:top w:val="single" w:sz="4" w:space="0" w:color="auto"/>
              <w:bottom w:val="single" w:sz="4" w:space="0" w:color="auto"/>
            </w:tcBorders>
            <w:shd w:val="clear" w:color="auto" w:fill="auto"/>
          </w:tcPr>
          <w:p w:rsidR="00202191" w:rsidRPr="00CA419B" w:rsidRDefault="00202191" w:rsidP="00A754DC">
            <w:pPr>
              <w:pStyle w:val="Paragraph"/>
              <w:spacing w:before="60" w:after="60"/>
              <w:ind w:firstLine="288"/>
              <w:rPr>
                <w:b/>
                <w:color w:val="000000"/>
              </w:rPr>
            </w:pPr>
            <w:r w:rsidRPr="00CA419B">
              <w:rPr>
                <w:b/>
                <w:color w:val="000000"/>
              </w:rPr>
              <w:t>Sampling Season</w:t>
            </w:r>
          </w:p>
        </w:tc>
        <w:tc>
          <w:tcPr>
            <w:tcW w:w="1738" w:type="dxa"/>
            <w:tcBorders>
              <w:top w:val="single" w:sz="4" w:space="0" w:color="auto"/>
              <w:bottom w:val="single" w:sz="4" w:space="0" w:color="auto"/>
            </w:tcBorders>
            <w:shd w:val="clear" w:color="auto" w:fill="auto"/>
          </w:tcPr>
          <w:p w:rsidR="00202191" w:rsidRPr="00CA419B" w:rsidRDefault="00202191" w:rsidP="00A754DC">
            <w:pPr>
              <w:pStyle w:val="Paragraph"/>
              <w:spacing w:before="60" w:after="60"/>
              <w:ind w:firstLine="288"/>
              <w:rPr>
                <w:b/>
                <w:color w:val="000000"/>
              </w:rPr>
            </w:pPr>
            <w:r w:rsidRPr="00CA419B">
              <w:rPr>
                <w:b/>
                <w:color w:val="000000"/>
              </w:rPr>
              <w:t xml:space="preserve">Sampling date </w:t>
            </w:r>
          </w:p>
        </w:tc>
        <w:tc>
          <w:tcPr>
            <w:tcW w:w="2406" w:type="dxa"/>
            <w:tcBorders>
              <w:top w:val="single" w:sz="4" w:space="0" w:color="auto"/>
              <w:bottom w:val="single" w:sz="4" w:space="0" w:color="auto"/>
            </w:tcBorders>
            <w:shd w:val="clear" w:color="auto" w:fill="auto"/>
          </w:tcPr>
          <w:p w:rsidR="00202191" w:rsidRPr="00CA419B" w:rsidRDefault="00202191" w:rsidP="00A754DC">
            <w:pPr>
              <w:pStyle w:val="Paragraph"/>
              <w:spacing w:before="60" w:after="60"/>
              <w:ind w:firstLine="288"/>
              <w:rPr>
                <w:b/>
                <w:color w:val="000000"/>
              </w:rPr>
            </w:pPr>
            <w:r w:rsidRPr="00CA419B">
              <w:rPr>
                <w:b/>
                <w:color w:val="000000"/>
              </w:rPr>
              <w:t>Description</w:t>
            </w:r>
          </w:p>
        </w:tc>
      </w:tr>
      <w:tr w:rsidR="00202191" w:rsidRPr="00CA419B" w:rsidTr="00322AEA">
        <w:trPr>
          <w:jc w:val="center"/>
        </w:trPr>
        <w:tc>
          <w:tcPr>
            <w:tcW w:w="2147" w:type="dxa"/>
            <w:tcBorders>
              <w:top w:val="single" w:sz="4" w:space="0" w:color="auto"/>
            </w:tcBorders>
            <w:shd w:val="clear" w:color="auto" w:fill="auto"/>
          </w:tcPr>
          <w:p w:rsidR="00202191" w:rsidRPr="00CA419B" w:rsidRDefault="00202191" w:rsidP="00A754DC">
            <w:pPr>
              <w:pStyle w:val="Paragraph"/>
              <w:spacing w:before="60"/>
              <w:ind w:firstLine="288"/>
              <w:rPr>
                <w:color w:val="000000"/>
              </w:rPr>
            </w:pPr>
            <w:r w:rsidRPr="00CA419B">
              <w:rPr>
                <w:color w:val="000000"/>
              </w:rPr>
              <w:t>M1</w:t>
            </w:r>
          </w:p>
        </w:tc>
        <w:tc>
          <w:tcPr>
            <w:tcW w:w="1738" w:type="dxa"/>
            <w:tcBorders>
              <w:top w:val="single" w:sz="4" w:space="0" w:color="auto"/>
            </w:tcBorders>
            <w:shd w:val="clear" w:color="auto" w:fill="auto"/>
          </w:tcPr>
          <w:p w:rsidR="00202191" w:rsidRPr="00CA419B" w:rsidRDefault="00202191" w:rsidP="00A754DC">
            <w:pPr>
              <w:pStyle w:val="Paragraph"/>
              <w:spacing w:before="60"/>
              <w:ind w:firstLine="288"/>
              <w:rPr>
                <w:color w:val="000000"/>
              </w:rPr>
            </w:pPr>
            <w:r w:rsidRPr="00CA419B">
              <w:rPr>
                <w:color w:val="000000"/>
              </w:rPr>
              <w:t>16/12/2011</w:t>
            </w:r>
          </w:p>
        </w:tc>
        <w:tc>
          <w:tcPr>
            <w:tcW w:w="2406" w:type="dxa"/>
            <w:tcBorders>
              <w:top w:val="single" w:sz="4" w:space="0" w:color="auto"/>
            </w:tcBorders>
            <w:shd w:val="clear" w:color="auto" w:fill="auto"/>
          </w:tcPr>
          <w:p w:rsidR="00202191" w:rsidRPr="00CA419B" w:rsidRDefault="00202191" w:rsidP="00A754DC">
            <w:pPr>
              <w:pStyle w:val="Paragraph"/>
              <w:spacing w:before="60"/>
              <w:ind w:firstLine="288"/>
              <w:rPr>
                <w:color w:val="000000"/>
              </w:rPr>
            </w:pPr>
            <w:r w:rsidRPr="00CA419B">
              <w:rPr>
                <w:color w:val="000000"/>
              </w:rPr>
              <w:t>Rainy season</w:t>
            </w:r>
          </w:p>
        </w:tc>
      </w:tr>
      <w:tr w:rsidR="00202191" w:rsidRPr="00CA419B" w:rsidTr="00322AEA">
        <w:trPr>
          <w:jc w:val="center"/>
        </w:trPr>
        <w:tc>
          <w:tcPr>
            <w:tcW w:w="2147" w:type="dxa"/>
            <w:shd w:val="clear" w:color="auto" w:fill="auto"/>
          </w:tcPr>
          <w:p w:rsidR="00202191" w:rsidRPr="00CA419B" w:rsidRDefault="00202191" w:rsidP="00A754DC">
            <w:pPr>
              <w:pStyle w:val="Paragraph"/>
              <w:spacing w:before="60"/>
              <w:ind w:firstLine="288"/>
              <w:rPr>
                <w:color w:val="000000"/>
              </w:rPr>
            </w:pPr>
            <w:r w:rsidRPr="00CA419B">
              <w:rPr>
                <w:color w:val="000000"/>
              </w:rPr>
              <w:t>M2</w:t>
            </w:r>
          </w:p>
        </w:tc>
        <w:tc>
          <w:tcPr>
            <w:tcW w:w="1738" w:type="dxa"/>
            <w:shd w:val="clear" w:color="auto" w:fill="auto"/>
          </w:tcPr>
          <w:p w:rsidR="00202191" w:rsidRPr="00CA419B" w:rsidRDefault="00202191" w:rsidP="00A754DC">
            <w:pPr>
              <w:pStyle w:val="Paragraph"/>
              <w:spacing w:before="60"/>
              <w:ind w:firstLine="288"/>
              <w:rPr>
                <w:color w:val="000000"/>
              </w:rPr>
            </w:pPr>
            <w:r w:rsidRPr="00CA419B">
              <w:rPr>
                <w:color w:val="000000"/>
              </w:rPr>
              <w:t xml:space="preserve">15/03/2012 </w:t>
            </w:r>
          </w:p>
        </w:tc>
        <w:tc>
          <w:tcPr>
            <w:tcW w:w="2406" w:type="dxa"/>
            <w:shd w:val="clear" w:color="auto" w:fill="auto"/>
          </w:tcPr>
          <w:p w:rsidR="00202191" w:rsidRPr="00CA419B" w:rsidRDefault="00202191" w:rsidP="00A754DC">
            <w:pPr>
              <w:pStyle w:val="Paragraph"/>
              <w:spacing w:before="60"/>
              <w:ind w:firstLine="288"/>
              <w:rPr>
                <w:color w:val="000000"/>
              </w:rPr>
            </w:pPr>
            <w:r w:rsidRPr="00CA419B">
              <w:rPr>
                <w:color w:val="000000"/>
              </w:rPr>
              <w:t>Rainy season</w:t>
            </w:r>
          </w:p>
        </w:tc>
      </w:tr>
      <w:tr w:rsidR="00202191" w:rsidRPr="00CA419B" w:rsidTr="00322AEA">
        <w:trPr>
          <w:jc w:val="center"/>
        </w:trPr>
        <w:tc>
          <w:tcPr>
            <w:tcW w:w="2147" w:type="dxa"/>
            <w:shd w:val="clear" w:color="auto" w:fill="auto"/>
          </w:tcPr>
          <w:p w:rsidR="00202191" w:rsidRPr="00CA419B" w:rsidRDefault="00202191" w:rsidP="00A754DC">
            <w:pPr>
              <w:pStyle w:val="Paragraph"/>
              <w:spacing w:before="60"/>
              <w:ind w:firstLine="288"/>
              <w:rPr>
                <w:color w:val="000000"/>
              </w:rPr>
            </w:pPr>
            <w:r w:rsidRPr="00CA419B">
              <w:rPr>
                <w:color w:val="000000"/>
              </w:rPr>
              <w:t>M3</w:t>
            </w:r>
          </w:p>
        </w:tc>
        <w:tc>
          <w:tcPr>
            <w:tcW w:w="1738" w:type="dxa"/>
            <w:shd w:val="clear" w:color="auto" w:fill="auto"/>
          </w:tcPr>
          <w:p w:rsidR="00202191" w:rsidRPr="00CA419B" w:rsidRDefault="00202191" w:rsidP="00A754DC">
            <w:pPr>
              <w:pStyle w:val="Paragraph"/>
              <w:spacing w:before="60"/>
              <w:ind w:firstLine="288"/>
              <w:rPr>
                <w:color w:val="000000"/>
              </w:rPr>
            </w:pPr>
            <w:r w:rsidRPr="00CA419B">
              <w:rPr>
                <w:color w:val="000000"/>
              </w:rPr>
              <w:t>14/06/2012</w:t>
            </w:r>
          </w:p>
        </w:tc>
        <w:tc>
          <w:tcPr>
            <w:tcW w:w="2406" w:type="dxa"/>
            <w:shd w:val="clear" w:color="auto" w:fill="auto"/>
          </w:tcPr>
          <w:p w:rsidR="00202191" w:rsidRPr="00CA419B" w:rsidRDefault="00202191" w:rsidP="00A754DC">
            <w:pPr>
              <w:pStyle w:val="Paragraph"/>
              <w:spacing w:before="60"/>
              <w:ind w:firstLine="288"/>
              <w:rPr>
                <w:color w:val="000000"/>
              </w:rPr>
            </w:pPr>
            <w:r w:rsidRPr="00CA419B">
              <w:rPr>
                <w:color w:val="000000"/>
              </w:rPr>
              <w:t>Regular raining</w:t>
            </w:r>
          </w:p>
        </w:tc>
      </w:tr>
      <w:tr w:rsidR="00202191" w:rsidRPr="00CA419B" w:rsidTr="00322AEA">
        <w:trPr>
          <w:jc w:val="center"/>
        </w:trPr>
        <w:tc>
          <w:tcPr>
            <w:tcW w:w="2147" w:type="dxa"/>
            <w:tcBorders>
              <w:bottom w:val="single" w:sz="4" w:space="0" w:color="auto"/>
            </w:tcBorders>
            <w:shd w:val="clear" w:color="auto" w:fill="auto"/>
          </w:tcPr>
          <w:p w:rsidR="00202191" w:rsidRPr="00CA419B" w:rsidRDefault="00202191" w:rsidP="00A754DC">
            <w:pPr>
              <w:pStyle w:val="Paragraph"/>
              <w:spacing w:before="60" w:after="60"/>
              <w:ind w:firstLine="288"/>
              <w:rPr>
                <w:color w:val="000000"/>
              </w:rPr>
            </w:pPr>
            <w:r w:rsidRPr="00CA419B">
              <w:rPr>
                <w:color w:val="000000"/>
              </w:rPr>
              <w:t>M4</w:t>
            </w:r>
          </w:p>
        </w:tc>
        <w:tc>
          <w:tcPr>
            <w:tcW w:w="1738" w:type="dxa"/>
            <w:tcBorders>
              <w:bottom w:val="single" w:sz="4" w:space="0" w:color="auto"/>
            </w:tcBorders>
            <w:shd w:val="clear" w:color="auto" w:fill="auto"/>
          </w:tcPr>
          <w:p w:rsidR="00202191" w:rsidRPr="00CA419B" w:rsidRDefault="00202191" w:rsidP="00A754DC">
            <w:pPr>
              <w:pStyle w:val="Paragraph"/>
              <w:spacing w:before="60" w:after="60"/>
              <w:ind w:firstLine="288"/>
              <w:rPr>
                <w:color w:val="000000"/>
              </w:rPr>
            </w:pPr>
            <w:r w:rsidRPr="00CA419B">
              <w:rPr>
                <w:color w:val="000000"/>
              </w:rPr>
              <w:t>13/09/2012</w:t>
            </w:r>
          </w:p>
        </w:tc>
        <w:tc>
          <w:tcPr>
            <w:tcW w:w="2406" w:type="dxa"/>
            <w:tcBorders>
              <w:bottom w:val="single" w:sz="4" w:space="0" w:color="auto"/>
            </w:tcBorders>
            <w:shd w:val="clear" w:color="auto" w:fill="auto"/>
          </w:tcPr>
          <w:p w:rsidR="00202191" w:rsidRPr="00CA419B" w:rsidRDefault="00202191" w:rsidP="00A754DC">
            <w:pPr>
              <w:pStyle w:val="Paragraph"/>
              <w:spacing w:before="60" w:after="60"/>
              <w:ind w:firstLine="288"/>
              <w:rPr>
                <w:color w:val="000000"/>
              </w:rPr>
            </w:pPr>
            <w:r w:rsidRPr="00CA419B">
              <w:rPr>
                <w:color w:val="000000"/>
              </w:rPr>
              <w:t>Dry season</w:t>
            </w:r>
          </w:p>
        </w:tc>
      </w:tr>
    </w:tbl>
    <w:p w:rsidR="00202191" w:rsidRPr="00CA419B" w:rsidRDefault="00202191" w:rsidP="00A754DC">
      <w:pPr>
        <w:pStyle w:val="Paragraph"/>
        <w:ind w:firstLine="0"/>
        <w:rPr>
          <w:color w:val="000000"/>
        </w:rPr>
      </w:pPr>
    </w:p>
    <w:p w:rsidR="00202191" w:rsidRPr="00CA419B" w:rsidRDefault="00202191" w:rsidP="00202191">
      <w:pPr>
        <w:pStyle w:val="Paragraph"/>
        <w:rPr>
          <w:color w:val="000000"/>
        </w:rPr>
      </w:pPr>
    </w:p>
    <w:p w:rsidR="00202191" w:rsidRPr="00CA419B" w:rsidRDefault="00202191" w:rsidP="00202191">
      <w:pPr>
        <w:pStyle w:val="Paragraph"/>
        <w:rPr>
          <w:color w:val="000000"/>
        </w:rPr>
      </w:pPr>
    </w:p>
    <w:p w:rsidR="00202191" w:rsidRPr="00CA419B" w:rsidRDefault="00202191" w:rsidP="00A754DC">
      <w:pPr>
        <w:pStyle w:val="Paragraph"/>
        <w:spacing w:after="120"/>
        <w:ind w:firstLine="288"/>
        <w:jc w:val="center"/>
        <w:rPr>
          <w:color w:val="000000"/>
        </w:rPr>
      </w:pPr>
      <w:r w:rsidRPr="00CA419B">
        <w:rPr>
          <w:color w:val="000000"/>
        </w:rPr>
        <w:t>Table 2.</w:t>
      </w:r>
      <w:r w:rsidR="00A754DC">
        <w:rPr>
          <w:color w:val="000000"/>
        </w:rPr>
        <w:t xml:space="preserve"> </w:t>
      </w:r>
      <w:r w:rsidRPr="00CA419B">
        <w:rPr>
          <w:color w:val="000000"/>
        </w:rPr>
        <w:t xml:space="preserve"> Identification of samples taken from study area</w:t>
      </w:r>
    </w:p>
    <w:tbl>
      <w:tblPr>
        <w:tblW w:w="0" w:type="auto"/>
        <w:jc w:val="center"/>
        <w:tblLook w:val="04A0" w:firstRow="1" w:lastRow="0" w:firstColumn="1" w:lastColumn="0" w:noHBand="0" w:noVBand="1"/>
      </w:tblPr>
      <w:tblGrid>
        <w:gridCol w:w="1028"/>
        <w:gridCol w:w="2671"/>
        <w:gridCol w:w="5404"/>
      </w:tblGrid>
      <w:tr w:rsidR="00202191" w:rsidRPr="00CA419B" w:rsidTr="00322AEA">
        <w:trPr>
          <w:jc w:val="center"/>
        </w:trPr>
        <w:tc>
          <w:tcPr>
            <w:tcW w:w="0" w:type="auto"/>
            <w:tcBorders>
              <w:top w:val="single" w:sz="4" w:space="0" w:color="auto"/>
              <w:bottom w:val="single" w:sz="4" w:space="0" w:color="auto"/>
            </w:tcBorders>
            <w:shd w:val="clear" w:color="auto" w:fill="auto"/>
          </w:tcPr>
          <w:p w:rsidR="00202191" w:rsidRPr="00CA419B" w:rsidRDefault="00202191" w:rsidP="00A754DC">
            <w:pPr>
              <w:pStyle w:val="Paragraph"/>
              <w:spacing w:before="60" w:after="60"/>
              <w:ind w:firstLine="0"/>
              <w:rPr>
                <w:b/>
                <w:color w:val="000000"/>
              </w:rPr>
            </w:pPr>
            <w:r w:rsidRPr="00CA419B">
              <w:rPr>
                <w:b/>
                <w:color w:val="000000"/>
              </w:rPr>
              <w:t>Sampling</w:t>
            </w:r>
          </w:p>
        </w:tc>
        <w:tc>
          <w:tcPr>
            <w:tcW w:w="0" w:type="auto"/>
            <w:tcBorders>
              <w:top w:val="single" w:sz="4" w:space="0" w:color="auto"/>
              <w:bottom w:val="single" w:sz="4" w:space="0" w:color="auto"/>
            </w:tcBorders>
            <w:shd w:val="clear" w:color="auto" w:fill="auto"/>
          </w:tcPr>
          <w:p w:rsidR="00202191" w:rsidRPr="00CA419B" w:rsidRDefault="00202191" w:rsidP="00A754DC">
            <w:pPr>
              <w:pStyle w:val="Paragraph"/>
              <w:spacing w:before="60" w:after="60"/>
              <w:ind w:firstLine="0"/>
              <w:rPr>
                <w:b/>
                <w:color w:val="000000"/>
              </w:rPr>
            </w:pPr>
            <w:r w:rsidRPr="00CA419B">
              <w:rPr>
                <w:b/>
                <w:color w:val="000000"/>
              </w:rPr>
              <w:t>Location</w:t>
            </w:r>
          </w:p>
        </w:tc>
        <w:tc>
          <w:tcPr>
            <w:tcW w:w="0" w:type="auto"/>
            <w:tcBorders>
              <w:top w:val="single" w:sz="4" w:space="0" w:color="auto"/>
              <w:bottom w:val="single" w:sz="4" w:space="0" w:color="auto"/>
            </w:tcBorders>
            <w:shd w:val="clear" w:color="auto" w:fill="auto"/>
          </w:tcPr>
          <w:p w:rsidR="00202191" w:rsidRPr="00CA419B" w:rsidRDefault="00202191" w:rsidP="00A754DC">
            <w:pPr>
              <w:pStyle w:val="Paragraph"/>
              <w:spacing w:before="60" w:after="60"/>
              <w:ind w:firstLine="0"/>
              <w:rPr>
                <w:b/>
                <w:color w:val="000000"/>
              </w:rPr>
            </w:pPr>
            <w:r w:rsidRPr="00CA419B">
              <w:rPr>
                <w:b/>
                <w:color w:val="000000"/>
              </w:rPr>
              <w:t>Description</w:t>
            </w:r>
          </w:p>
        </w:tc>
      </w:tr>
      <w:tr w:rsidR="00202191" w:rsidRPr="00CA419B" w:rsidTr="00322AEA">
        <w:trPr>
          <w:jc w:val="center"/>
        </w:trPr>
        <w:tc>
          <w:tcPr>
            <w:tcW w:w="0" w:type="auto"/>
            <w:tcBorders>
              <w:top w:val="single" w:sz="4" w:space="0" w:color="auto"/>
            </w:tcBorders>
            <w:shd w:val="clear" w:color="auto" w:fill="auto"/>
          </w:tcPr>
          <w:p w:rsidR="00202191" w:rsidRPr="00CA419B" w:rsidRDefault="00202191" w:rsidP="00A754DC">
            <w:pPr>
              <w:pStyle w:val="Paragraph"/>
              <w:spacing w:before="60"/>
              <w:ind w:firstLine="0"/>
              <w:rPr>
                <w:color w:val="000000"/>
              </w:rPr>
            </w:pPr>
            <w:r w:rsidRPr="00CA419B">
              <w:rPr>
                <w:color w:val="000000"/>
              </w:rPr>
              <w:t>D1</w:t>
            </w:r>
          </w:p>
        </w:tc>
        <w:tc>
          <w:tcPr>
            <w:tcW w:w="0" w:type="auto"/>
            <w:tcBorders>
              <w:top w:val="single" w:sz="4" w:space="0" w:color="auto"/>
            </w:tcBorders>
            <w:shd w:val="clear" w:color="auto" w:fill="auto"/>
          </w:tcPr>
          <w:p w:rsidR="00202191" w:rsidRPr="00CA419B" w:rsidRDefault="00202191" w:rsidP="00A754DC">
            <w:pPr>
              <w:pStyle w:val="Paragraph"/>
              <w:spacing w:before="60"/>
              <w:ind w:firstLine="0"/>
              <w:rPr>
                <w:color w:val="000000"/>
              </w:rPr>
            </w:pPr>
            <w:r w:rsidRPr="00CA419B">
              <w:rPr>
                <w:color w:val="000000"/>
              </w:rPr>
              <w:t>Sungai Datang downstream</w:t>
            </w:r>
          </w:p>
        </w:tc>
        <w:tc>
          <w:tcPr>
            <w:tcW w:w="0" w:type="auto"/>
            <w:tcBorders>
              <w:top w:val="single" w:sz="4" w:space="0" w:color="auto"/>
            </w:tcBorders>
            <w:shd w:val="clear" w:color="auto" w:fill="auto"/>
          </w:tcPr>
          <w:p w:rsidR="00202191" w:rsidRPr="00CA419B" w:rsidRDefault="00202191" w:rsidP="00A754DC">
            <w:pPr>
              <w:pStyle w:val="Paragraph"/>
              <w:spacing w:before="60"/>
              <w:ind w:firstLine="0"/>
              <w:rPr>
                <w:color w:val="000000"/>
              </w:rPr>
            </w:pPr>
            <w:r w:rsidRPr="00CA419B">
              <w:rPr>
                <w:color w:val="000000"/>
              </w:rPr>
              <w:t>Forest area, fishing area</w:t>
            </w:r>
          </w:p>
        </w:tc>
      </w:tr>
      <w:tr w:rsidR="00202191" w:rsidRPr="00CA419B" w:rsidTr="00322AEA">
        <w:trPr>
          <w:jc w:val="center"/>
        </w:trPr>
        <w:tc>
          <w:tcPr>
            <w:tcW w:w="0" w:type="auto"/>
            <w:shd w:val="clear" w:color="auto" w:fill="auto"/>
          </w:tcPr>
          <w:p w:rsidR="00202191" w:rsidRPr="00CA419B" w:rsidRDefault="00202191" w:rsidP="00A754DC">
            <w:pPr>
              <w:pStyle w:val="Paragraph"/>
              <w:spacing w:before="60"/>
              <w:ind w:firstLine="0"/>
              <w:rPr>
                <w:color w:val="000000"/>
              </w:rPr>
            </w:pPr>
            <w:r w:rsidRPr="00CA419B">
              <w:rPr>
                <w:color w:val="000000"/>
              </w:rPr>
              <w:t>D2</w:t>
            </w:r>
          </w:p>
        </w:tc>
        <w:tc>
          <w:tcPr>
            <w:tcW w:w="0" w:type="auto"/>
            <w:shd w:val="clear" w:color="auto" w:fill="auto"/>
          </w:tcPr>
          <w:p w:rsidR="00202191" w:rsidRPr="00CA419B" w:rsidRDefault="00202191" w:rsidP="00A754DC">
            <w:pPr>
              <w:pStyle w:val="Paragraph"/>
              <w:spacing w:before="60"/>
              <w:ind w:firstLine="0"/>
              <w:rPr>
                <w:color w:val="000000"/>
              </w:rPr>
            </w:pPr>
            <w:r w:rsidRPr="00CA419B">
              <w:rPr>
                <w:color w:val="000000"/>
              </w:rPr>
              <w:t xml:space="preserve">Sungai Datang middle </w:t>
            </w:r>
          </w:p>
        </w:tc>
        <w:tc>
          <w:tcPr>
            <w:tcW w:w="0" w:type="auto"/>
            <w:shd w:val="clear" w:color="auto" w:fill="auto"/>
          </w:tcPr>
          <w:p w:rsidR="00202191" w:rsidRPr="00CA419B" w:rsidRDefault="00202191" w:rsidP="00A754DC">
            <w:pPr>
              <w:pStyle w:val="Paragraph"/>
              <w:spacing w:before="60"/>
              <w:ind w:firstLine="0"/>
              <w:rPr>
                <w:color w:val="000000"/>
              </w:rPr>
            </w:pPr>
            <w:r w:rsidRPr="00CA419B">
              <w:rPr>
                <w:color w:val="000000"/>
              </w:rPr>
              <w:t>Forest area, fishing area</w:t>
            </w:r>
          </w:p>
        </w:tc>
      </w:tr>
      <w:tr w:rsidR="00202191" w:rsidRPr="00CA419B" w:rsidTr="00322AEA">
        <w:trPr>
          <w:jc w:val="center"/>
        </w:trPr>
        <w:tc>
          <w:tcPr>
            <w:tcW w:w="0" w:type="auto"/>
            <w:shd w:val="clear" w:color="auto" w:fill="auto"/>
          </w:tcPr>
          <w:p w:rsidR="00202191" w:rsidRPr="00CA419B" w:rsidRDefault="00202191" w:rsidP="00A754DC">
            <w:pPr>
              <w:pStyle w:val="Paragraph"/>
              <w:spacing w:before="60"/>
              <w:ind w:firstLine="0"/>
              <w:rPr>
                <w:color w:val="000000"/>
              </w:rPr>
            </w:pPr>
            <w:r w:rsidRPr="00CA419B">
              <w:rPr>
                <w:color w:val="000000"/>
              </w:rPr>
              <w:t>D3</w:t>
            </w:r>
          </w:p>
        </w:tc>
        <w:tc>
          <w:tcPr>
            <w:tcW w:w="0" w:type="auto"/>
            <w:shd w:val="clear" w:color="auto" w:fill="auto"/>
          </w:tcPr>
          <w:p w:rsidR="00202191" w:rsidRPr="00CA419B" w:rsidRDefault="00202191" w:rsidP="00A754DC">
            <w:pPr>
              <w:pStyle w:val="Paragraph"/>
              <w:spacing w:before="60"/>
              <w:ind w:firstLine="0"/>
              <w:rPr>
                <w:color w:val="000000"/>
              </w:rPr>
            </w:pPr>
            <w:r w:rsidRPr="00CA419B">
              <w:rPr>
                <w:color w:val="000000"/>
              </w:rPr>
              <w:t>Sungai Datang up stream</w:t>
            </w:r>
          </w:p>
        </w:tc>
        <w:tc>
          <w:tcPr>
            <w:tcW w:w="0" w:type="auto"/>
            <w:shd w:val="clear" w:color="auto" w:fill="auto"/>
          </w:tcPr>
          <w:p w:rsidR="00202191" w:rsidRPr="00CA419B" w:rsidRDefault="00202191" w:rsidP="00A754DC">
            <w:pPr>
              <w:pStyle w:val="Paragraph"/>
              <w:spacing w:before="60"/>
              <w:ind w:firstLine="0"/>
              <w:rPr>
                <w:color w:val="000000"/>
              </w:rPr>
            </w:pPr>
            <w:r w:rsidRPr="00CA419B">
              <w:rPr>
                <w:color w:val="000000"/>
              </w:rPr>
              <w:t>Forest area, fishing area, oil palm plantation area</w:t>
            </w:r>
          </w:p>
        </w:tc>
      </w:tr>
      <w:tr w:rsidR="00202191" w:rsidRPr="00CA419B" w:rsidTr="00322AEA">
        <w:trPr>
          <w:jc w:val="center"/>
        </w:trPr>
        <w:tc>
          <w:tcPr>
            <w:tcW w:w="0" w:type="auto"/>
            <w:shd w:val="clear" w:color="auto" w:fill="auto"/>
          </w:tcPr>
          <w:p w:rsidR="00202191" w:rsidRPr="00CA419B" w:rsidRDefault="00202191" w:rsidP="00A754DC">
            <w:pPr>
              <w:pStyle w:val="Paragraph"/>
              <w:spacing w:before="60"/>
              <w:ind w:firstLine="0"/>
              <w:rPr>
                <w:color w:val="000000"/>
              </w:rPr>
            </w:pPr>
            <w:r w:rsidRPr="00CA419B">
              <w:rPr>
                <w:color w:val="000000"/>
              </w:rPr>
              <w:t>C1</w:t>
            </w:r>
          </w:p>
        </w:tc>
        <w:tc>
          <w:tcPr>
            <w:tcW w:w="0" w:type="auto"/>
            <w:shd w:val="clear" w:color="auto" w:fill="auto"/>
          </w:tcPr>
          <w:p w:rsidR="00202191" w:rsidRPr="00CA419B" w:rsidRDefault="00202191" w:rsidP="00A754DC">
            <w:pPr>
              <w:pStyle w:val="Paragraph"/>
              <w:spacing w:before="60"/>
              <w:ind w:firstLine="0"/>
              <w:rPr>
                <w:color w:val="000000"/>
              </w:rPr>
            </w:pPr>
            <w:r w:rsidRPr="00CA419B">
              <w:rPr>
                <w:color w:val="000000"/>
              </w:rPr>
              <w:t>Sungai Chini downstream</w:t>
            </w:r>
          </w:p>
        </w:tc>
        <w:tc>
          <w:tcPr>
            <w:tcW w:w="0" w:type="auto"/>
            <w:shd w:val="clear" w:color="auto" w:fill="auto"/>
          </w:tcPr>
          <w:p w:rsidR="00202191" w:rsidRPr="00CA419B" w:rsidRDefault="00202191" w:rsidP="00A754DC">
            <w:pPr>
              <w:pStyle w:val="Paragraph"/>
              <w:spacing w:before="60"/>
              <w:ind w:firstLine="0"/>
              <w:rPr>
                <w:color w:val="000000"/>
              </w:rPr>
            </w:pPr>
            <w:r w:rsidRPr="00CA419B">
              <w:rPr>
                <w:color w:val="000000"/>
              </w:rPr>
              <w:t>Recreation area, boating</w:t>
            </w:r>
          </w:p>
        </w:tc>
      </w:tr>
      <w:tr w:rsidR="00202191" w:rsidRPr="00CA419B" w:rsidTr="00322AEA">
        <w:trPr>
          <w:jc w:val="center"/>
        </w:trPr>
        <w:tc>
          <w:tcPr>
            <w:tcW w:w="0" w:type="auto"/>
            <w:shd w:val="clear" w:color="auto" w:fill="auto"/>
          </w:tcPr>
          <w:p w:rsidR="00202191" w:rsidRPr="00CA419B" w:rsidRDefault="00202191" w:rsidP="00A754DC">
            <w:pPr>
              <w:pStyle w:val="Paragraph"/>
              <w:spacing w:before="60"/>
              <w:ind w:firstLine="0"/>
              <w:rPr>
                <w:color w:val="000000"/>
              </w:rPr>
            </w:pPr>
            <w:r w:rsidRPr="00CA419B">
              <w:rPr>
                <w:color w:val="000000"/>
              </w:rPr>
              <w:t>C2</w:t>
            </w:r>
          </w:p>
        </w:tc>
        <w:tc>
          <w:tcPr>
            <w:tcW w:w="0" w:type="auto"/>
            <w:shd w:val="clear" w:color="auto" w:fill="auto"/>
          </w:tcPr>
          <w:p w:rsidR="00202191" w:rsidRPr="00CA419B" w:rsidRDefault="00202191" w:rsidP="00A754DC">
            <w:pPr>
              <w:pStyle w:val="Paragraph"/>
              <w:spacing w:before="60"/>
              <w:ind w:firstLine="0"/>
              <w:rPr>
                <w:color w:val="000000"/>
              </w:rPr>
            </w:pPr>
            <w:r w:rsidRPr="00CA419B">
              <w:rPr>
                <w:color w:val="000000"/>
              </w:rPr>
              <w:t xml:space="preserve">Sungai Chini middle </w:t>
            </w:r>
          </w:p>
        </w:tc>
        <w:tc>
          <w:tcPr>
            <w:tcW w:w="0" w:type="auto"/>
            <w:shd w:val="clear" w:color="auto" w:fill="auto"/>
          </w:tcPr>
          <w:p w:rsidR="00202191" w:rsidRPr="00CA419B" w:rsidRDefault="00202191" w:rsidP="00A754DC">
            <w:pPr>
              <w:pStyle w:val="Paragraph"/>
              <w:spacing w:before="60"/>
              <w:ind w:firstLine="0"/>
              <w:rPr>
                <w:color w:val="000000"/>
              </w:rPr>
            </w:pPr>
            <w:r w:rsidRPr="00CA419B">
              <w:rPr>
                <w:color w:val="000000"/>
              </w:rPr>
              <w:t>Recreation area, boating</w:t>
            </w:r>
          </w:p>
        </w:tc>
      </w:tr>
      <w:tr w:rsidR="00202191" w:rsidRPr="00CA419B" w:rsidTr="00322AEA">
        <w:trPr>
          <w:jc w:val="center"/>
        </w:trPr>
        <w:tc>
          <w:tcPr>
            <w:tcW w:w="0" w:type="auto"/>
            <w:shd w:val="clear" w:color="auto" w:fill="auto"/>
          </w:tcPr>
          <w:p w:rsidR="00202191" w:rsidRPr="00CA419B" w:rsidRDefault="00202191" w:rsidP="00A754DC">
            <w:pPr>
              <w:pStyle w:val="Paragraph"/>
              <w:spacing w:before="60"/>
              <w:ind w:firstLine="0"/>
              <w:rPr>
                <w:color w:val="000000"/>
              </w:rPr>
            </w:pPr>
            <w:r w:rsidRPr="00CA419B">
              <w:rPr>
                <w:color w:val="000000"/>
              </w:rPr>
              <w:t>C3</w:t>
            </w:r>
          </w:p>
        </w:tc>
        <w:tc>
          <w:tcPr>
            <w:tcW w:w="0" w:type="auto"/>
            <w:shd w:val="clear" w:color="auto" w:fill="auto"/>
          </w:tcPr>
          <w:p w:rsidR="00202191" w:rsidRPr="00CA419B" w:rsidRDefault="00202191" w:rsidP="00A754DC">
            <w:pPr>
              <w:pStyle w:val="Paragraph"/>
              <w:spacing w:before="60"/>
              <w:ind w:firstLine="0"/>
              <w:rPr>
                <w:color w:val="000000"/>
              </w:rPr>
            </w:pPr>
            <w:r w:rsidRPr="00CA419B">
              <w:rPr>
                <w:color w:val="000000"/>
              </w:rPr>
              <w:t>Sungai Chini up stream</w:t>
            </w:r>
          </w:p>
        </w:tc>
        <w:tc>
          <w:tcPr>
            <w:tcW w:w="0" w:type="auto"/>
            <w:shd w:val="clear" w:color="auto" w:fill="auto"/>
          </w:tcPr>
          <w:p w:rsidR="00202191" w:rsidRPr="00CA419B" w:rsidRDefault="00202191" w:rsidP="00A754DC">
            <w:pPr>
              <w:pStyle w:val="Paragraph"/>
              <w:spacing w:before="60"/>
              <w:ind w:firstLine="0"/>
              <w:rPr>
                <w:color w:val="000000"/>
              </w:rPr>
            </w:pPr>
            <w:r w:rsidRPr="00CA419B">
              <w:rPr>
                <w:color w:val="000000"/>
              </w:rPr>
              <w:t>Recreation area, boating</w:t>
            </w:r>
          </w:p>
        </w:tc>
      </w:tr>
      <w:tr w:rsidR="00202191" w:rsidRPr="00CA419B" w:rsidTr="00322AEA">
        <w:trPr>
          <w:jc w:val="center"/>
        </w:trPr>
        <w:tc>
          <w:tcPr>
            <w:tcW w:w="0" w:type="auto"/>
            <w:shd w:val="clear" w:color="auto" w:fill="auto"/>
          </w:tcPr>
          <w:p w:rsidR="00202191" w:rsidRPr="00CA419B" w:rsidRDefault="00202191" w:rsidP="00A754DC">
            <w:pPr>
              <w:pStyle w:val="Paragraph"/>
              <w:spacing w:before="60"/>
              <w:ind w:firstLine="0"/>
              <w:rPr>
                <w:color w:val="000000"/>
              </w:rPr>
            </w:pPr>
            <w:r w:rsidRPr="00CA419B">
              <w:rPr>
                <w:color w:val="000000"/>
              </w:rPr>
              <w:t>G1</w:t>
            </w:r>
          </w:p>
        </w:tc>
        <w:tc>
          <w:tcPr>
            <w:tcW w:w="0" w:type="auto"/>
            <w:shd w:val="clear" w:color="auto" w:fill="auto"/>
          </w:tcPr>
          <w:p w:rsidR="00202191" w:rsidRPr="00CA419B" w:rsidRDefault="00202191" w:rsidP="00A754DC">
            <w:pPr>
              <w:pStyle w:val="Paragraph"/>
              <w:spacing w:before="60"/>
              <w:ind w:firstLine="0"/>
              <w:rPr>
                <w:color w:val="000000"/>
              </w:rPr>
            </w:pPr>
            <w:r w:rsidRPr="00CA419B">
              <w:rPr>
                <w:color w:val="000000"/>
              </w:rPr>
              <w:t>Sungai Gumum downstream</w:t>
            </w:r>
          </w:p>
        </w:tc>
        <w:tc>
          <w:tcPr>
            <w:tcW w:w="0" w:type="auto"/>
            <w:shd w:val="clear" w:color="auto" w:fill="auto"/>
          </w:tcPr>
          <w:p w:rsidR="00202191" w:rsidRPr="00CA419B" w:rsidRDefault="00202191" w:rsidP="00A754DC">
            <w:pPr>
              <w:pStyle w:val="Paragraph"/>
              <w:spacing w:before="60"/>
              <w:ind w:firstLine="0"/>
              <w:rPr>
                <w:color w:val="000000"/>
              </w:rPr>
            </w:pPr>
            <w:r w:rsidRPr="00CA419B">
              <w:rPr>
                <w:color w:val="000000"/>
              </w:rPr>
              <w:t>Indigenous tribe settlement</w:t>
            </w:r>
          </w:p>
        </w:tc>
      </w:tr>
      <w:tr w:rsidR="00202191" w:rsidRPr="00CA419B" w:rsidTr="00322AEA">
        <w:trPr>
          <w:jc w:val="center"/>
        </w:trPr>
        <w:tc>
          <w:tcPr>
            <w:tcW w:w="0" w:type="auto"/>
            <w:shd w:val="clear" w:color="auto" w:fill="auto"/>
          </w:tcPr>
          <w:p w:rsidR="00202191" w:rsidRPr="00CA419B" w:rsidRDefault="00202191" w:rsidP="00A754DC">
            <w:pPr>
              <w:pStyle w:val="Paragraph"/>
              <w:spacing w:before="60"/>
              <w:ind w:firstLine="0"/>
              <w:rPr>
                <w:color w:val="000000"/>
              </w:rPr>
            </w:pPr>
            <w:r w:rsidRPr="00CA419B">
              <w:rPr>
                <w:color w:val="000000"/>
              </w:rPr>
              <w:t>G2</w:t>
            </w:r>
          </w:p>
        </w:tc>
        <w:tc>
          <w:tcPr>
            <w:tcW w:w="0" w:type="auto"/>
            <w:shd w:val="clear" w:color="auto" w:fill="auto"/>
          </w:tcPr>
          <w:p w:rsidR="00202191" w:rsidRPr="00CA419B" w:rsidRDefault="00202191" w:rsidP="00A754DC">
            <w:pPr>
              <w:pStyle w:val="Paragraph"/>
              <w:spacing w:before="60"/>
              <w:ind w:firstLine="0"/>
              <w:rPr>
                <w:color w:val="000000"/>
              </w:rPr>
            </w:pPr>
            <w:r w:rsidRPr="00CA419B">
              <w:rPr>
                <w:color w:val="000000"/>
              </w:rPr>
              <w:t xml:space="preserve">Sungai Gumum middle </w:t>
            </w:r>
          </w:p>
        </w:tc>
        <w:tc>
          <w:tcPr>
            <w:tcW w:w="0" w:type="auto"/>
            <w:shd w:val="clear" w:color="auto" w:fill="auto"/>
          </w:tcPr>
          <w:p w:rsidR="00202191" w:rsidRPr="00CA419B" w:rsidRDefault="00202191" w:rsidP="00A754DC">
            <w:pPr>
              <w:pStyle w:val="Paragraph"/>
              <w:spacing w:before="60"/>
              <w:ind w:firstLine="0"/>
              <w:rPr>
                <w:color w:val="000000"/>
              </w:rPr>
            </w:pPr>
            <w:r w:rsidRPr="00CA419B">
              <w:rPr>
                <w:color w:val="000000"/>
              </w:rPr>
              <w:t>Indigenous tribe settlement</w:t>
            </w:r>
          </w:p>
        </w:tc>
      </w:tr>
      <w:tr w:rsidR="00202191" w:rsidRPr="00CA419B" w:rsidTr="00322AEA">
        <w:trPr>
          <w:jc w:val="center"/>
        </w:trPr>
        <w:tc>
          <w:tcPr>
            <w:tcW w:w="0" w:type="auto"/>
            <w:shd w:val="clear" w:color="auto" w:fill="auto"/>
          </w:tcPr>
          <w:p w:rsidR="00202191" w:rsidRPr="00CA419B" w:rsidRDefault="00202191" w:rsidP="00A754DC">
            <w:pPr>
              <w:pStyle w:val="Paragraph"/>
              <w:spacing w:before="60"/>
              <w:ind w:firstLine="0"/>
              <w:rPr>
                <w:color w:val="000000"/>
              </w:rPr>
            </w:pPr>
            <w:r w:rsidRPr="00CA419B">
              <w:rPr>
                <w:color w:val="000000"/>
              </w:rPr>
              <w:t>G3</w:t>
            </w:r>
          </w:p>
        </w:tc>
        <w:tc>
          <w:tcPr>
            <w:tcW w:w="0" w:type="auto"/>
            <w:shd w:val="clear" w:color="auto" w:fill="auto"/>
          </w:tcPr>
          <w:p w:rsidR="00202191" w:rsidRPr="00CA419B" w:rsidRDefault="00202191" w:rsidP="00A754DC">
            <w:pPr>
              <w:pStyle w:val="Paragraph"/>
              <w:spacing w:before="60"/>
              <w:ind w:firstLine="0"/>
              <w:rPr>
                <w:color w:val="000000"/>
              </w:rPr>
            </w:pPr>
            <w:r w:rsidRPr="00CA419B">
              <w:rPr>
                <w:color w:val="000000"/>
              </w:rPr>
              <w:t>Sungai Gumum up stream</w:t>
            </w:r>
          </w:p>
        </w:tc>
        <w:tc>
          <w:tcPr>
            <w:tcW w:w="0" w:type="auto"/>
            <w:shd w:val="clear" w:color="auto" w:fill="auto"/>
          </w:tcPr>
          <w:p w:rsidR="00202191" w:rsidRPr="00CA419B" w:rsidRDefault="00202191" w:rsidP="00A754DC">
            <w:pPr>
              <w:pStyle w:val="Paragraph"/>
              <w:spacing w:before="60"/>
              <w:ind w:firstLine="0"/>
              <w:rPr>
                <w:color w:val="000000"/>
              </w:rPr>
            </w:pPr>
            <w:r w:rsidRPr="00CA419B">
              <w:rPr>
                <w:color w:val="000000"/>
              </w:rPr>
              <w:t>Indigenous tribe settlement</w:t>
            </w:r>
          </w:p>
        </w:tc>
      </w:tr>
      <w:tr w:rsidR="00202191" w:rsidRPr="00CA419B" w:rsidTr="00322AEA">
        <w:trPr>
          <w:jc w:val="center"/>
        </w:trPr>
        <w:tc>
          <w:tcPr>
            <w:tcW w:w="0" w:type="auto"/>
            <w:shd w:val="clear" w:color="auto" w:fill="auto"/>
          </w:tcPr>
          <w:p w:rsidR="00202191" w:rsidRPr="00CA419B" w:rsidRDefault="00202191" w:rsidP="00A754DC">
            <w:pPr>
              <w:pStyle w:val="Paragraph"/>
              <w:spacing w:before="60"/>
              <w:ind w:firstLine="0"/>
              <w:rPr>
                <w:color w:val="000000"/>
              </w:rPr>
            </w:pPr>
            <w:r w:rsidRPr="00CA419B">
              <w:rPr>
                <w:color w:val="000000"/>
              </w:rPr>
              <w:t>K1</w:t>
            </w:r>
          </w:p>
        </w:tc>
        <w:tc>
          <w:tcPr>
            <w:tcW w:w="0" w:type="auto"/>
            <w:shd w:val="clear" w:color="auto" w:fill="auto"/>
          </w:tcPr>
          <w:p w:rsidR="00202191" w:rsidRPr="00CA419B" w:rsidRDefault="00202191" w:rsidP="00A754DC">
            <w:pPr>
              <w:pStyle w:val="Paragraph"/>
              <w:spacing w:before="60"/>
              <w:ind w:firstLine="0"/>
              <w:rPr>
                <w:color w:val="000000"/>
              </w:rPr>
            </w:pPr>
            <w:r w:rsidRPr="00CA419B">
              <w:rPr>
                <w:color w:val="000000"/>
              </w:rPr>
              <w:t>Sungai Kura-kura downstream</w:t>
            </w:r>
          </w:p>
        </w:tc>
        <w:tc>
          <w:tcPr>
            <w:tcW w:w="0" w:type="auto"/>
            <w:shd w:val="clear" w:color="auto" w:fill="auto"/>
          </w:tcPr>
          <w:p w:rsidR="00202191" w:rsidRPr="00CA419B" w:rsidRDefault="00202191" w:rsidP="00A754DC">
            <w:pPr>
              <w:pStyle w:val="Paragraph"/>
              <w:spacing w:before="60"/>
              <w:ind w:firstLine="0"/>
              <w:rPr>
                <w:color w:val="000000"/>
              </w:rPr>
            </w:pPr>
            <w:r w:rsidRPr="00CA419B">
              <w:rPr>
                <w:color w:val="000000"/>
              </w:rPr>
              <w:t>Indigenous tribe settlement</w:t>
            </w:r>
          </w:p>
        </w:tc>
      </w:tr>
      <w:tr w:rsidR="00202191" w:rsidRPr="00CA419B" w:rsidTr="00322AEA">
        <w:trPr>
          <w:jc w:val="center"/>
        </w:trPr>
        <w:tc>
          <w:tcPr>
            <w:tcW w:w="0" w:type="auto"/>
            <w:shd w:val="clear" w:color="auto" w:fill="auto"/>
          </w:tcPr>
          <w:p w:rsidR="00202191" w:rsidRPr="00CA419B" w:rsidRDefault="00202191" w:rsidP="00A754DC">
            <w:pPr>
              <w:pStyle w:val="Paragraph"/>
              <w:spacing w:before="60"/>
              <w:ind w:firstLine="0"/>
              <w:rPr>
                <w:color w:val="000000"/>
              </w:rPr>
            </w:pPr>
            <w:r w:rsidRPr="00CA419B">
              <w:rPr>
                <w:color w:val="000000"/>
              </w:rPr>
              <w:t>K2</w:t>
            </w:r>
          </w:p>
        </w:tc>
        <w:tc>
          <w:tcPr>
            <w:tcW w:w="0" w:type="auto"/>
            <w:shd w:val="clear" w:color="auto" w:fill="auto"/>
          </w:tcPr>
          <w:p w:rsidR="00202191" w:rsidRPr="00CA419B" w:rsidRDefault="00202191" w:rsidP="00A754DC">
            <w:pPr>
              <w:pStyle w:val="Paragraph"/>
              <w:spacing w:before="60"/>
              <w:ind w:firstLine="0"/>
              <w:rPr>
                <w:color w:val="000000"/>
              </w:rPr>
            </w:pPr>
            <w:r w:rsidRPr="00CA419B">
              <w:rPr>
                <w:color w:val="000000"/>
              </w:rPr>
              <w:t xml:space="preserve">Sungai Kura-kura middle </w:t>
            </w:r>
          </w:p>
        </w:tc>
        <w:tc>
          <w:tcPr>
            <w:tcW w:w="0" w:type="auto"/>
            <w:shd w:val="clear" w:color="auto" w:fill="auto"/>
          </w:tcPr>
          <w:p w:rsidR="00202191" w:rsidRPr="00CA419B" w:rsidRDefault="00202191" w:rsidP="00A754DC">
            <w:pPr>
              <w:pStyle w:val="Paragraph"/>
              <w:spacing w:before="60"/>
              <w:ind w:firstLine="0"/>
              <w:rPr>
                <w:color w:val="000000"/>
              </w:rPr>
            </w:pPr>
            <w:r w:rsidRPr="00CA419B">
              <w:rPr>
                <w:color w:val="000000"/>
              </w:rPr>
              <w:t>Indigenous tribe settlement</w:t>
            </w:r>
          </w:p>
        </w:tc>
      </w:tr>
      <w:tr w:rsidR="00202191" w:rsidRPr="00CA419B" w:rsidTr="00322AEA">
        <w:trPr>
          <w:jc w:val="center"/>
        </w:trPr>
        <w:tc>
          <w:tcPr>
            <w:tcW w:w="0" w:type="auto"/>
            <w:shd w:val="clear" w:color="auto" w:fill="auto"/>
          </w:tcPr>
          <w:p w:rsidR="00202191" w:rsidRPr="00CA419B" w:rsidRDefault="00202191" w:rsidP="00A754DC">
            <w:pPr>
              <w:pStyle w:val="Paragraph"/>
              <w:spacing w:before="60"/>
              <w:ind w:firstLine="0"/>
              <w:rPr>
                <w:color w:val="000000"/>
              </w:rPr>
            </w:pPr>
            <w:r w:rsidRPr="00CA419B">
              <w:rPr>
                <w:color w:val="000000"/>
              </w:rPr>
              <w:t>K3</w:t>
            </w:r>
          </w:p>
        </w:tc>
        <w:tc>
          <w:tcPr>
            <w:tcW w:w="0" w:type="auto"/>
            <w:shd w:val="clear" w:color="auto" w:fill="auto"/>
          </w:tcPr>
          <w:p w:rsidR="00202191" w:rsidRPr="00CA419B" w:rsidRDefault="00202191" w:rsidP="00A754DC">
            <w:pPr>
              <w:pStyle w:val="Paragraph"/>
              <w:spacing w:before="60"/>
              <w:ind w:firstLine="0"/>
              <w:rPr>
                <w:color w:val="000000"/>
              </w:rPr>
            </w:pPr>
            <w:r w:rsidRPr="00CA419B">
              <w:rPr>
                <w:color w:val="000000"/>
              </w:rPr>
              <w:t>Sungai Kura-kura up stream</w:t>
            </w:r>
          </w:p>
        </w:tc>
        <w:tc>
          <w:tcPr>
            <w:tcW w:w="0" w:type="auto"/>
            <w:shd w:val="clear" w:color="auto" w:fill="auto"/>
          </w:tcPr>
          <w:p w:rsidR="00202191" w:rsidRPr="00CA419B" w:rsidRDefault="00202191" w:rsidP="00A754DC">
            <w:pPr>
              <w:pStyle w:val="Paragraph"/>
              <w:spacing w:before="60"/>
              <w:ind w:firstLine="0"/>
              <w:rPr>
                <w:color w:val="000000"/>
              </w:rPr>
            </w:pPr>
            <w:r w:rsidRPr="00CA419B">
              <w:rPr>
                <w:color w:val="000000"/>
              </w:rPr>
              <w:t>Indigenous tribe settlement</w:t>
            </w:r>
          </w:p>
        </w:tc>
      </w:tr>
      <w:tr w:rsidR="00202191" w:rsidRPr="00CA419B" w:rsidTr="00322AEA">
        <w:trPr>
          <w:jc w:val="center"/>
        </w:trPr>
        <w:tc>
          <w:tcPr>
            <w:tcW w:w="0" w:type="auto"/>
            <w:shd w:val="clear" w:color="auto" w:fill="auto"/>
          </w:tcPr>
          <w:p w:rsidR="00202191" w:rsidRPr="00CA419B" w:rsidRDefault="00202191" w:rsidP="00A754DC">
            <w:pPr>
              <w:pStyle w:val="Paragraph"/>
              <w:spacing w:before="60"/>
              <w:ind w:firstLine="0"/>
              <w:rPr>
                <w:color w:val="000000"/>
              </w:rPr>
            </w:pPr>
            <w:r w:rsidRPr="00CA419B">
              <w:rPr>
                <w:color w:val="000000"/>
              </w:rPr>
              <w:t>J1</w:t>
            </w:r>
          </w:p>
        </w:tc>
        <w:tc>
          <w:tcPr>
            <w:tcW w:w="0" w:type="auto"/>
            <w:shd w:val="clear" w:color="auto" w:fill="auto"/>
          </w:tcPr>
          <w:p w:rsidR="00202191" w:rsidRPr="00CA419B" w:rsidRDefault="00202191" w:rsidP="00A754DC">
            <w:pPr>
              <w:pStyle w:val="Paragraph"/>
              <w:spacing w:before="60"/>
              <w:ind w:firstLine="0"/>
              <w:rPr>
                <w:color w:val="000000"/>
              </w:rPr>
            </w:pPr>
            <w:r w:rsidRPr="00CA419B">
              <w:rPr>
                <w:color w:val="000000"/>
              </w:rPr>
              <w:t>Sungai Jemberau downstream</w:t>
            </w:r>
          </w:p>
        </w:tc>
        <w:tc>
          <w:tcPr>
            <w:tcW w:w="0" w:type="auto"/>
            <w:shd w:val="clear" w:color="auto" w:fill="auto"/>
          </w:tcPr>
          <w:p w:rsidR="00202191" w:rsidRPr="00CA419B" w:rsidRDefault="00202191" w:rsidP="00A754DC">
            <w:pPr>
              <w:pStyle w:val="Paragraph"/>
              <w:spacing w:before="60"/>
              <w:ind w:firstLine="0"/>
              <w:rPr>
                <w:color w:val="000000"/>
              </w:rPr>
            </w:pPr>
            <w:r w:rsidRPr="00CA419B">
              <w:rPr>
                <w:color w:val="000000"/>
              </w:rPr>
              <w:t>Oil palm plantation area</w:t>
            </w:r>
          </w:p>
        </w:tc>
      </w:tr>
      <w:tr w:rsidR="00202191" w:rsidRPr="00CA419B" w:rsidTr="00322AEA">
        <w:trPr>
          <w:jc w:val="center"/>
        </w:trPr>
        <w:tc>
          <w:tcPr>
            <w:tcW w:w="0" w:type="auto"/>
            <w:shd w:val="clear" w:color="auto" w:fill="auto"/>
          </w:tcPr>
          <w:p w:rsidR="00202191" w:rsidRPr="00CA419B" w:rsidRDefault="00202191" w:rsidP="00A754DC">
            <w:pPr>
              <w:pStyle w:val="Paragraph"/>
              <w:spacing w:before="60"/>
              <w:ind w:firstLine="0"/>
              <w:rPr>
                <w:color w:val="000000"/>
              </w:rPr>
            </w:pPr>
            <w:r w:rsidRPr="00CA419B">
              <w:rPr>
                <w:color w:val="000000"/>
              </w:rPr>
              <w:t>J2</w:t>
            </w:r>
          </w:p>
        </w:tc>
        <w:tc>
          <w:tcPr>
            <w:tcW w:w="0" w:type="auto"/>
            <w:shd w:val="clear" w:color="auto" w:fill="auto"/>
          </w:tcPr>
          <w:p w:rsidR="00202191" w:rsidRPr="00CA419B" w:rsidRDefault="00202191" w:rsidP="00A754DC">
            <w:pPr>
              <w:pStyle w:val="Paragraph"/>
              <w:spacing w:before="60"/>
              <w:ind w:firstLine="0"/>
              <w:rPr>
                <w:color w:val="000000"/>
              </w:rPr>
            </w:pPr>
            <w:r w:rsidRPr="00CA419B">
              <w:rPr>
                <w:color w:val="000000"/>
              </w:rPr>
              <w:t xml:space="preserve">Sungai Jemberau middle </w:t>
            </w:r>
          </w:p>
        </w:tc>
        <w:tc>
          <w:tcPr>
            <w:tcW w:w="0" w:type="auto"/>
            <w:shd w:val="clear" w:color="auto" w:fill="auto"/>
          </w:tcPr>
          <w:p w:rsidR="00202191" w:rsidRPr="00CA419B" w:rsidRDefault="00202191" w:rsidP="00A754DC">
            <w:pPr>
              <w:pStyle w:val="Paragraph"/>
              <w:spacing w:before="60"/>
              <w:ind w:firstLine="0"/>
              <w:rPr>
                <w:color w:val="000000"/>
              </w:rPr>
            </w:pPr>
            <w:r w:rsidRPr="00CA419B">
              <w:rPr>
                <w:color w:val="000000"/>
              </w:rPr>
              <w:t>Oil palm plantation area</w:t>
            </w:r>
          </w:p>
        </w:tc>
      </w:tr>
      <w:tr w:rsidR="00202191" w:rsidRPr="00CA419B" w:rsidTr="00322AEA">
        <w:trPr>
          <w:jc w:val="center"/>
        </w:trPr>
        <w:tc>
          <w:tcPr>
            <w:tcW w:w="0" w:type="auto"/>
            <w:shd w:val="clear" w:color="auto" w:fill="auto"/>
          </w:tcPr>
          <w:p w:rsidR="00202191" w:rsidRPr="00CA419B" w:rsidRDefault="00202191" w:rsidP="00A754DC">
            <w:pPr>
              <w:pStyle w:val="Paragraph"/>
              <w:spacing w:before="60"/>
              <w:ind w:firstLine="0"/>
              <w:rPr>
                <w:color w:val="000000"/>
              </w:rPr>
            </w:pPr>
            <w:r w:rsidRPr="00CA419B">
              <w:rPr>
                <w:color w:val="000000"/>
              </w:rPr>
              <w:t>J3</w:t>
            </w:r>
          </w:p>
        </w:tc>
        <w:tc>
          <w:tcPr>
            <w:tcW w:w="0" w:type="auto"/>
            <w:shd w:val="clear" w:color="auto" w:fill="auto"/>
          </w:tcPr>
          <w:p w:rsidR="00202191" w:rsidRPr="00CA419B" w:rsidRDefault="00202191" w:rsidP="00A754DC">
            <w:pPr>
              <w:pStyle w:val="Paragraph"/>
              <w:spacing w:before="60"/>
              <w:ind w:firstLine="0"/>
              <w:rPr>
                <w:color w:val="000000"/>
              </w:rPr>
            </w:pPr>
            <w:r w:rsidRPr="00CA419B">
              <w:rPr>
                <w:color w:val="000000"/>
              </w:rPr>
              <w:t>Sungai Jemberau up stream</w:t>
            </w:r>
          </w:p>
        </w:tc>
        <w:tc>
          <w:tcPr>
            <w:tcW w:w="0" w:type="auto"/>
            <w:shd w:val="clear" w:color="auto" w:fill="auto"/>
          </w:tcPr>
          <w:p w:rsidR="00202191" w:rsidRPr="00CA419B" w:rsidRDefault="00202191" w:rsidP="00A754DC">
            <w:pPr>
              <w:pStyle w:val="Paragraph"/>
              <w:spacing w:before="60"/>
              <w:ind w:firstLine="0"/>
              <w:rPr>
                <w:color w:val="000000"/>
              </w:rPr>
            </w:pPr>
            <w:r w:rsidRPr="00CA419B">
              <w:rPr>
                <w:color w:val="000000"/>
              </w:rPr>
              <w:t>Oil palm plantation area</w:t>
            </w:r>
          </w:p>
        </w:tc>
      </w:tr>
      <w:tr w:rsidR="00202191" w:rsidRPr="00CA419B" w:rsidTr="00322AEA">
        <w:trPr>
          <w:jc w:val="center"/>
        </w:trPr>
        <w:tc>
          <w:tcPr>
            <w:tcW w:w="0" w:type="auto"/>
            <w:shd w:val="clear" w:color="auto" w:fill="auto"/>
          </w:tcPr>
          <w:p w:rsidR="00202191" w:rsidRPr="00CA419B" w:rsidRDefault="00202191" w:rsidP="00A754DC">
            <w:pPr>
              <w:pStyle w:val="Paragraph"/>
              <w:spacing w:before="60"/>
              <w:ind w:firstLine="0"/>
              <w:rPr>
                <w:color w:val="000000"/>
              </w:rPr>
            </w:pPr>
            <w:r w:rsidRPr="00CA419B">
              <w:rPr>
                <w:color w:val="000000"/>
              </w:rPr>
              <w:t>L1</w:t>
            </w:r>
          </w:p>
        </w:tc>
        <w:tc>
          <w:tcPr>
            <w:tcW w:w="0" w:type="auto"/>
            <w:shd w:val="clear" w:color="auto" w:fill="auto"/>
          </w:tcPr>
          <w:p w:rsidR="00202191" w:rsidRPr="00CA419B" w:rsidRDefault="00202191" w:rsidP="00A754DC">
            <w:pPr>
              <w:pStyle w:val="Paragraph"/>
              <w:spacing w:before="60"/>
              <w:ind w:firstLine="0"/>
              <w:rPr>
                <w:color w:val="000000"/>
              </w:rPr>
            </w:pPr>
            <w:r w:rsidRPr="00CA419B">
              <w:rPr>
                <w:color w:val="000000"/>
              </w:rPr>
              <w:t>Sungai Melai downstream</w:t>
            </w:r>
          </w:p>
        </w:tc>
        <w:tc>
          <w:tcPr>
            <w:tcW w:w="0" w:type="auto"/>
            <w:shd w:val="clear" w:color="auto" w:fill="auto"/>
          </w:tcPr>
          <w:p w:rsidR="00202191" w:rsidRPr="00CA419B" w:rsidRDefault="00202191" w:rsidP="00A754DC">
            <w:pPr>
              <w:pStyle w:val="Paragraph"/>
              <w:spacing w:before="60"/>
              <w:ind w:firstLine="0"/>
              <w:rPr>
                <w:color w:val="000000"/>
              </w:rPr>
            </w:pPr>
            <w:r w:rsidRPr="00CA419B">
              <w:rPr>
                <w:color w:val="000000"/>
              </w:rPr>
              <w:t>Mining and logging activities area, Indigenous people settlement</w:t>
            </w:r>
          </w:p>
        </w:tc>
      </w:tr>
      <w:tr w:rsidR="00202191" w:rsidRPr="00CA419B" w:rsidTr="00322AEA">
        <w:trPr>
          <w:jc w:val="center"/>
        </w:trPr>
        <w:tc>
          <w:tcPr>
            <w:tcW w:w="0" w:type="auto"/>
            <w:shd w:val="clear" w:color="auto" w:fill="auto"/>
          </w:tcPr>
          <w:p w:rsidR="00202191" w:rsidRPr="00CA419B" w:rsidRDefault="00202191" w:rsidP="00A754DC">
            <w:pPr>
              <w:pStyle w:val="Paragraph"/>
              <w:spacing w:before="60"/>
              <w:ind w:firstLine="0"/>
              <w:rPr>
                <w:color w:val="000000"/>
              </w:rPr>
            </w:pPr>
            <w:r w:rsidRPr="00CA419B">
              <w:rPr>
                <w:color w:val="000000"/>
              </w:rPr>
              <w:t>L2</w:t>
            </w:r>
          </w:p>
        </w:tc>
        <w:tc>
          <w:tcPr>
            <w:tcW w:w="0" w:type="auto"/>
            <w:shd w:val="clear" w:color="auto" w:fill="auto"/>
          </w:tcPr>
          <w:p w:rsidR="00202191" w:rsidRPr="00CA419B" w:rsidRDefault="00202191" w:rsidP="00A754DC">
            <w:pPr>
              <w:pStyle w:val="Paragraph"/>
              <w:spacing w:before="60"/>
              <w:ind w:firstLine="0"/>
              <w:rPr>
                <w:color w:val="000000"/>
              </w:rPr>
            </w:pPr>
            <w:r w:rsidRPr="00CA419B">
              <w:rPr>
                <w:color w:val="000000"/>
              </w:rPr>
              <w:t xml:space="preserve">Sungai Melai middle </w:t>
            </w:r>
          </w:p>
        </w:tc>
        <w:tc>
          <w:tcPr>
            <w:tcW w:w="0" w:type="auto"/>
            <w:shd w:val="clear" w:color="auto" w:fill="auto"/>
          </w:tcPr>
          <w:p w:rsidR="00202191" w:rsidRPr="00CA419B" w:rsidRDefault="00202191" w:rsidP="00A754DC">
            <w:pPr>
              <w:pStyle w:val="Paragraph"/>
              <w:spacing w:before="60"/>
              <w:ind w:firstLine="0"/>
              <w:rPr>
                <w:color w:val="000000"/>
              </w:rPr>
            </w:pPr>
            <w:r w:rsidRPr="00CA419B">
              <w:rPr>
                <w:color w:val="000000"/>
              </w:rPr>
              <w:t>Mining and logging activities area</w:t>
            </w:r>
          </w:p>
        </w:tc>
      </w:tr>
      <w:tr w:rsidR="00202191" w:rsidRPr="00CA419B" w:rsidTr="00322AEA">
        <w:trPr>
          <w:jc w:val="center"/>
        </w:trPr>
        <w:tc>
          <w:tcPr>
            <w:tcW w:w="0" w:type="auto"/>
            <w:tcBorders>
              <w:bottom w:val="single" w:sz="4" w:space="0" w:color="auto"/>
            </w:tcBorders>
            <w:shd w:val="clear" w:color="auto" w:fill="auto"/>
          </w:tcPr>
          <w:p w:rsidR="00202191" w:rsidRPr="00CA419B" w:rsidRDefault="00202191" w:rsidP="00A754DC">
            <w:pPr>
              <w:pStyle w:val="Paragraph"/>
              <w:spacing w:before="60" w:after="60"/>
              <w:ind w:firstLine="0"/>
              <w:rPr>
                <w:color w:val="000000"/>
              </w:rPr>
            </w:pPr>
            <w:r w:rsidRPr="00CA419B">
              <w:rPr>
                <w:color w:val="000000"/>
              </w:rPr>
              <w:t>L3</w:t>
            </w:r>
          </w:p>
        </w:tc>
        <w:tc>
          <w:tcPr>
            <w:tcW w:w="0" w:type="auto"/>
            <w:tcBorders>
              <w:bottom w:val="single" w:sz="4" w:space="0" w:color="auto"/>
            </w:tcBorders>
            <w:shd w:val="clear" w:color="auto" w:fill="auto"/>
          </w:tcPr>
          <w:p w:rsidR="00202191" w:rsidRPr="00CA419B" w:rsidRDefault="00202191" w:rsidP="00A754DC">
            <w:pPr>
              <w:pStyle w:val="Paragraph"/>
              <w:spacing w:before="60" w:after="60"/>
              <w:ind w:firstLine="0"/>
              <w:rPr>
                <w:color w:val="000000"/>
              </w:rPr>
            </w:pPr>
            <w:r w:rsidRPr="00CA419B">
              <w:rPr>
                <w:color w:val="000000"/>
              </w:rPr>
              <w:t>Sungai Melai up stream</w:t>
            </w:r>
          </w:p>
        </w:tc>
        <w:tc>
          <w:tcPr>
            <w:tcW w:w="0" w:type="auto"/>
            <w:tcBorders>
              <w:bottom w:val="single" w:sz="4" w:space="0" w:color="auto"/>
            </w:tcBorders>
            <w:shd w:val="clear" w:color="auto" w:fill="auto"/>
          </w:tcPr>
          <w:p w:rsidR="00202191" w:rsidRPr="00CA419B" w:rsidRDefault="00202191" w:rsidP="00A754DC">
            <w:pPr>
              <w:pStyle w:val="Paragraph"/>
              <w:spacing w:before="60" w:after="60"/>
              <w:ind w:firstLine="0"/>
              <w:rPr>
                <w:color w:val="000000"/>
              </w:rPr>
            </w:pPr>
            <w:r w:rsidRPr="00CA419B">
              <w:rPr>
                <w:color w:val="000000"/>
              </w:rPr>
              <w:t>Mining and logging activities area</w:t>
            </w:r>
          </w:p>
        </w:tc>
      </w:tr>
    </w:tbl>
    <w:p w:rsidR="00202191" w:rsidRDefault="00202191" w:rsidP="00A754DC">
      <w:pPr>
        <w:pStyle w:val="Paragraph"/>
        <w:ind w:firstLine="0"/>
        <w:rPr>
          <w:color w:val="000000"/>
        </w:rPr>
      </w:pPr>
      <w:r w:rsidRPr="00CA419B">
        <w:rPr>
          <w:color w:val="000000"/>
        </w:rPr>
        <w:t xml:space="preserve"> </w:t>
      </w:r>
    </w:p>
    <w:p w:rsidR="00A754DC" w:rsidRPr="00CA419B" w:rsidRDefault="00A754DC" w:rsidP="00A754DC">
      <w:pPr>
        <w:pStyle w:val="Paragraph"/>
        <w:ind w:firstLine="0"/>
        <w:rPr>
          <w:color w:val="000000"/>
        </w:rPr>
      </w:pPr>
    </w:p>
    <w:p w:rsidR="00202191" w:rsidRPr="00CA419B" w:rsidRDefault="00202191" w:rsidP="00202191">
      <w:pPr>
        <w:pStyle w:val="AuthorEmail"/>
        <w:jc w:val="both"/>
        <w:rPr>
          <w:b/>
          <w:color w:val="000000"/>
          <w:lang w:val="en-MY" w:eastAsia="en-GB"/>
        </w:rPr>
      </w:pPr>
      <w:r w:rsidRPr="00CA419B">
        <w:rPr>
          <w:b/>
          <w:color w:val="000000"/>
          <w:lang w:val="en-MY" w:eastAsia="en-GB"/>
        </w:rPr>
        <w:t>Instrumentation and chromatographic conditions</w:t>
      </w:r>
    </w:p>
    <w:p w:rsidR="00202191" w:rsidRPr="00CA419B" w:rsidRDefault="00202191" w:rsidP="00202191">
      <w:pPr>
        <w:pStyle w:val="AuthorEmail"/>
        <w:jc w:val="both"/>
        <w:rPr>
          <w:color w:val="000000"/>
          <w:lang w:val="en-MY" w:eastAsia="en-GB"/>
        </w:rPr>
      </w:pPr>
      <w:r w:rsidRPr="00CA419B">
        <w:rPr>
          <w:color w:val="000000"/>
          <w:lang w:val="en-MY" w:eastAsia="en-GB"/>
        </w:rPr>
        <w:t xml:space="preserve">Liquid chromatographic analysis was performed with an </w:t>
      </w:r>
      <w:r w:rsidRPr="00CA419B">
        <w:rPr>
          <w:color w:val="000000"/>
          <w:shd w:val="clear" w:color="auto" w:fill="FFFFFF"/>
        </w:rPr>
        <w:t>Agilent 1220 Infinity LC System</w:t>
      </w:r>
      <w:r w:rsidRPr="00CA419B">
        <w:rPr>
          <w:color w:val="000000"/>
          <w:lang w:val="en-MY" w:eastAsia="en-GB"/>
        </w:rPr>
        <w:t xml:space="preserve"> (Agilent, US) equipped with a d</w:t>
      </w:r>
      <w:r w:rsidRPr="00CA419B">
        <w:rPr>
          <w:color w:val="000000"/>
          <w:shd w:val="clear" w:color="auto" w:fill="FFFFFF"/>
        </w:rPr>
        <w:t>ual plunger in series pump with proprietary servo-controlled variable stroke drive</w:t>
      </w:r>
      <w:r w:rsidRPr="00CA419B">
        <w:rPr>
          <w:color w:val="000000"/>
          <w:lang w:val="en-MY" w:eastAsia="en-GB"/>
        </w:rPr>
        <w:t xml:space="preserve">, an automatic injector, </w:t>
      </w:r>
      <w:r w:rsidRPr="00CA419B">
        <w:rPr>
          <w:color w:val="000000"/>
          <w:lang w:val="en-MY" w:eastAsia="en-GB"/>
        </w:rPr>
        <w:lastRenderedPageBreak/>
        <w:t xml:space="preserve">and a variable wavelength detector (VWD). The </w:t>
      </w:r>
      <w:r w:rsidRPr="00CA419B">
        <w:rPr>
          <w:color w:val="000000"/>
          <w:shd w:val="clear" w:color="auto" w:fill="FFFFFF"/>
        </w:rPr>
        <w:t xml:space="preserve">Agilent 1220 </w:t>
      </w:r>
      <w:r w:rsidRPr="00CA419B">
        <w:rPr>
          <w:color w:val="000000"/>
          <w:lang w:val="en-MY" w:eastAsia="en-GB"/>
        </w:rPr>
        <w:t xml:space="preserve">instrument was controlled by computer (OpenLab Chemstation Edition software); data from the VWD was collected and evaluated by use of the same station after transfer via an analog-to-digital converter. </w:t>
      </w:r>
    </w:p>
    <w:p w:rsidR="00202191" w:rsidRPr="00CA419B" w:rsidRDefault="00202191" w:rsidP="00A754DC">
      <w:pPr>
        <w:pStyle w:val="AuthorEmail"/>
        <w:jc w:val="both"/>
        <w:rPr>
          <w:color w:val="000000"/>
          <w:lang w:val="en-MY" w:eastAsia="en-GB"/>
        </w:rPr>
      </w:pPr>
    </w:p>
    <w:p w:rsidR="00202191" w:rsidRPr="00CA419B" w:rsidRDefault="00202191" w:rsidP="00202191">
      <w:pPr>
        <w:pStyle w:val="AuthorEmail"/>
        <w:jc w:val="both"/>
        <w:rPr>
          <w:b/>
          <w:color w:val="000000"/>
          <w:lang w:val="en-MY" w:eastAsia="en-GB"/>
        </w:rPr>
      </w:pPr>
      <w:r w:rsidRPr="00CA419B">
        <w:rPr>
          <w:color w:val="000000"/>
          <w:lang w:val="en-MY" w:eastAsia="en-GB"/>
        </w:rPr>
        <w:t xml:space="preserve">Separations were performed on a 150 mm, 4.6 x 150, 3.5 </w:t>
      </w:r>
      <w:r w:rsidRPr="00CA419B">
        <w:rPr>
          <w:color w:val="000000"/>
        </w:rPr>
        <w:t xml:space="preserve">µm, </w:t>
      </w:r>
      <w:r w:rsidRPr="00CA419B">
        <w:rPr>
          <w:color w:val="000000"/>
          <w:lang w:val="en-MY" w:eastAsia="en-GB"/>
        </w:rPr>
        <w:t xml:space="preserve">Zorbax Eclipse XDB-C18 </w:t>
      </w:r>
      <w:r w:rsidRPr="00CA419B">
        <w:rPr>
          <w:color w:val="000000"/>
          <w:shd w:val="clear" w:color="auto" w:fill="FFFFFF"/>
        </w:rPr>
        <w:t xml:space="preserve">column (Agilent, USA), 3.5 μm internal diameter </w:t>
      </w:r>
      <w:r w:rsidRPr="00CA419B">
        <w:rPr>
          <w:color w:val="000000"/>
          <w:shd w:val="clear" w:color="auto" w:fill="FFFFFF"/>
          <w:lang w:val="en-MY" w:eastAsia="en-GB"/>
        </w:rPr>
        <w:t xml:space="preserve">packed with high purity silica; </w:t>
      </w:r>
      <w:r w:rsidRPr="00CA419B">
        <w:rPr>
          <w:color w:val="000000"/>
        </w:rPr>
        <w:t>The mobile phase was (A) methanol: acetonitrile: acetic acid = 50:50:0.01% and (B) 0.005 M p</w:t>
      </w:r>
      <w:r w:rsidRPr="00CA419B">
        <w:rPr>
          <w:color w:val="000000"/>
          <w:shd w:val="clear" w:color="auto" w:fill="FFFFFF"/>
        </w:rPr>
        <w:t xml:space="preserve">hosphate buffers: acetic acid = 100:0.01% with adjusted pH to 2.5. Separation compound was achieved in a gradient condition, 15% B linear for 1.5minutes, increased to 60% B in 5.5 minutes, linear 60% B for 8 minutes, then returned to 15% B in 3 minutes. </w:t>
      </w:r>
      <w:r w:rsidRPr="00CA419B">
        <w:rPr>
          <w:color w:val="000000"/>
          <w:lang w:val="en-MY" w:eastAsia="en-GB"/>
        </w:rPr>
        <w:t>The column temperature was controlled at 40</w:t>
      </w:r>
      <w:r w:rsidRPr="00CA419B">
        <w:rPr>
          <w:color w:val="000000"/>
          <w:vertAlign w:val="superscript"/>
          <w:lang w:val="en-MY" w:eastAsia="en-GB"/>
        </w:rPr>
        <w:t>o</w:t>
      </w:r>
      <w:r w:rsidRPr="00CA419B">
        <w:rPr>
          <w:color w:val="000000"/>
          <w:lang w:val="en-MY" w:eastAsia="en-GB"/>
        </w:rPr>
        <w:t>C (sharpness of the compound peaks are better compared to uncontrolled temperature) and the volume of the sample injected was 20 µL. Variable wavelength detection, 200 nm, was used to monitor the products. A post-run period of 5 minutes was used for stabilisation. A total of 25 minutes of analysis was needed.</w:t>
      </w:r>
    </w:p>
    <w:p w:rsidR="00202191" w:rsidRPr="00CA419B" w:rsidRDefault="00202191" w:rsidP="00202191">
      <w:pPr>
        <w:pStyle w:val="AuthorEmail"/>
        <w:jc w:val="both"/>
        <w:rPr>
          <w:b/>
          <w:color w:val="000000"/>
          <w:lang w:val="en-MY" w:eastAsia="en-GB"/>
        </w:rPr>
      </w:pPr>
    </w:p>
    <w:p w:rsidR="00202191" w:rsidRPr="00CA419B" w:rsidRDefault="00202191" w:rsidP="00202191">
      <w:pPr>
        <w:pStyle w:val="AuthorEmail"/>
        <w:jc w:val="both"/>
        <w:rPr>
          <w:b/>
          <w:color w:val="000000"/>
          <w:lang w:val="en-MY" w:eastAsia="en-GB"/>
        </w:rPr>
      </w:pPr>
      <w:r w:rsidRPr="00CA419B">
        <w:rPr>
          <w:b/>
          <w:color w:val="000000"/>
          <w:lang w:val="en-MY" w:eastAsia="en-GB"/>
        </w:rPr>
        <w:t>Sample Preparation and Clean-up Process</w:t>
      </w:r>
    </w:p>
    <w:p w:rsidR="00202191" w:rsidRPr="00CA419B" w:rsidRDefault="00202191" w:rsidP="00202191">
      <w:pPr>
        <w:pStyle w:val="AuthorEmail"/>
        <w:jc w:val="both"/>
        <w:rPr>
          <w:color w:val="000000"/>
          <w:lang w:val="en-MY" w:eastAsia="en-GB"/>
        </w:rPr>
      </w:pPr>
      <w:r w:rsidRPr="00CA419B">
        <w:rPr>
          <w:color w:val="000000"/>
          <w:lang w:val="en-MY" w:eastAsia="en-GB"/>
        </w:rPr>
        <w:t xml:space="preserve">Water samples (1 liter) were collected in amber glass bottles and stored at -4ºC for a short term storage. After thawing, samples were filtered through a 0.45-µm nylon membrane filter and the filtrate was adjusted to pH 5 – 6 by addition of dilute hydrochloric acid (0.136 M). Samples were placed in ultrasonic bath for 15 minutes before the clean-up process. </w:t>
      </w:r>
      <w:r w:rsidRPr="00CA419B">
        <w:rPr>
          <w:caps/>
          <w:color w:val="000000"/>
          <w:lang w:val="en-MY" w:eastAsia="en-GB"/>
        </w:rPr>
        <w:t>T</w:t>
      </w:r>
      <w:r w:rsidRPr="00CA419B">
        <w:rPr>
          <w:color w:val="000000"/>
          <w:lang w:val="en-MY" w:eastAsia="en-GB"/>
        </w:rPr>
        <w:t xml:space="preserve">he targeted herbicide and its metabolite </w:t>
      </w:r>
      <w:r w:rsidRPr="00CA419B">
        <w:rPr>
          <w:caps/>
          <w:color w:val="000000"/>
          <w:lang w:val="en-MY" w:eastAsia="en-GB"/>
        </w:rPr>
        <w:t xml:space="preserve">(MSM and AMMT) </w:t>
      </w:r>
      <w:r w:rsidRPr="00CA419B">
        <w:rPr>
          <w:color w:val="000000"/>
          <w:lang w:val="en-MY" w:eastAsia="en-GB"/>
        </w:rPr>
        <w:t>were extracted by pulling the sample</w:t>
      </w:r>
      <w:r w:rsidRPr="00CA419B">
        <w:rPr>
          <w:caps/>
          <w:color w:val="000000"/>
          <w:lang w:val="en-MY" w:eastAsia="en-GB"/>
        </w:rPr>
        <w:t xml:space="preserve"> </w:t>
      </w:r>
      <w:r w:rsidRPr="00CA419B">
        <w:rPr>
          <w:color w:val="000000"/>
          <w:lang w:val="en-MY" w:eastAsia="en-GB"/>
        </w:rPr>
        <w:t>through a reverse-phase solid phase extraction (SPE) cartridge</w:t>
      </w:r>
      <w:r w:rsidRPr="00CA419B">
        <w:rPr>
          <w:caps/>
          <w:color w:val="000000"/>
          <w:lang w:val="en-MY" w:eastAsia="en-GB"/>
        </w:rPr>
        <w:t xml:space="preserve"> (ENV</w:t>
      </w:r>
      <w:r w:rsidRPr="00CA419B">
        <w:rPr>
          <w:caps/>
          <w:color w:val="000000"/>
          <w:vertAlign w:val="superscript"/>
          <w:lang w:val="en-MY" w:eastAsia="en-GB"/>
        </w:rPr>
        <w:t>+</w:t>
      </w:r>
      <w:r w:rsidRPr="00CA419B">
        <w:rPr>
          <w:caps/>
          <w:color w:val="000000"/>
          <w:lang w:val="en-MY" w:eastAsia="en-GB"/>
        </w:rPr>
        <w:t xml:space="preserve"> </w:t>
      </w:r>
      <w:r w:rsidRPr="00CA419B">
        <w:rPr>
          <w:color w:val="000000"/>
          <w:lang w:val="en-MY" w:eastAsia="en-GB"/>
        </w:rPr>
        <w:t>cartridge</w:t>
      </w:r>
      <w:r w:rsidRPr="00CA419B">
        <w:rPr>
          <w:caps/>
          <w:color w:val="000000"/>
          <w:lang w:val="en-MY" w:eastAsia="en-GB"/>
        </w:rPr>
        <w:t xml:space="preserve">). </w:t>
      </w:r>
      <w:r w:rsidRPr="00CA419B">
        <w:rPr>
          <w:color w:val="000000"/>
          <w:lang w:val="en-MY" w:eastAsia="en-GB"/>
        </w:rPr>
        <w:t>Before pulling</w:t>
      </w:r>
      <w:r w:rsidRPr="00CA419B">
        <w:rPr>
          <w:caps/>
          <w:color w:val="000000"/>
          <w:lang w:val="en-MY" w:eastAsia="en-GB"/>
        </w:rPr>
        <w:t xml:space="preserve"> </w:t>
      </w:r>
      <w:r w:rsidRPr="00CA419B">
        <w:rPr>
          <w:color w:val="000000"/>
          <w:lang w:val="en-MY" w:eastAsia="en-GB"/>
        </w:rPr>
        <w:t>the</w:t>
      </w:r>
      <w:r w:rsidRPr="00CA419B">
        <w:rPr>
          <w:caps/>
          <w:color w:val="000000"/>
          <w:lang w:val="en-MY" w:eastAsia="en-GB"/>
        </w:rPr>
        <w:t xml:space="preserve"> </w:t>
      </w:r>
      <w:r w:rsidRPr="00CA419B">
        <w:rPr>
          <w:color w:val="000000"/>
          <w:lang w:val="en-MY" w:eastAsia="en-GB"/>
        </w:rPr>
        <w:t>sample through the cartridge</w:t>
      </w:r>
      <w:r w:rsidRPr="00CA419B">
        <w:rPr>
          <w:caps/>
          <w:color w:val="000000"/>
          <w:lang w:val="en-MY" w:eastAsia="en-GB"/>
        </w:rPr>
        <w:t xml:space="preserve">, </w:t>
      </w:r>
      <w:r w:rsidRPr="00CA419B">
        <w:rPr>
          <w:color w:val="000000"/>
          <w:lang w:val="en-MY" w:eastAsia="en-GB"/>
        </w:rPr>
        <w:t>the cartridge was</w:t>
      </w:r>
      <w:r w:rsidRPr="00CA419B">
        <w:rPr>
          <w:caps/>
          <w:color w:val="000000"/>
          <w:lang w:val="en-MY" w:eastAsia="en-GB"/>
        </w:rPr>
        <w:t xml:space="preserve"> </w:t>
      </w:r>
      <w:r w:rsidRPr="00CA419B">
        <w:rPr>
          <w:color w:val="000000"/>
          <w:lang w:val="en-MY" w:eastAsia="en-GB"/>
        </w:rPr>
        <w:t>rinsed with 3ml of acetonitrile and 3</w:t>
      </w:r>
      <w:r w:rsidRPr="00CA419B">
        <w:rPr>
          <w:caps/>
          <w:color w:val="000000"/>
          <w:lang w:val="en-MY" w:eastAsia="en-GB"/>
        </w:rPr>
        <w:t xml:space="preserve"> </w:t>
      </w:r>
      <w:r w:rsidRPr="00CA419B">
        <w:rPr>
          <w:color w:val="000000"/>
          <w:lang w:val="en-MY" w:eastAsia="en-GB"/>
        </w:rPr>
        <w:t>ml</w:t>
      </w:r>
      <w:r w:rsidRPr="00CA419B">
        <w:rPr>
          <w:caps/>
          <w:color w:val="000000"/>
          <w:lang w:val="en-MY" w:eastAsia="en-GB"/>
        </w:rPr>
        <w:t xml:space="preserve"> </w:t>
      </w:r>
      <w:r w:rsidRPr="00CA419B">
        <w:rPr>
          <w:color w:val="000000"/>
          <w:lang w:val="en-MY" w:eastAsia="en-GB"/>
        </w:rPr>
        <w:t>of water to reduce residual acidity within the cartridge, and then dried to remove</w:t>
      </w:r>
      <w:r w:rsidRPr="00CA419B">
        <w:rPr>
          <w:caps/>
          <w:color w:val="000000"/>
          <w:lang w:val="en-MY" w:eastAsia="en-GB"/>
        </w:rPr>
        <w:t xml:space="preserve"> </w:t>
      </w:r>
      <w:r w:rsidRPr="00CA419B">
        <w:rPr>
          <w:color w:val="000000"/>
          <w:lang w:val="en-MY" w:eastAsia="en-GB"/>
        </w:rPr>
        <w:t>any residual water</w:t>
      </w:r>
      <w:r w:rsidRPr="00CA419B">
        <w:rPr>
          <w:caps/>
          <w:color w:val="000000"/>
          <w:lang w:val="en-MY" w:eastAsia="en-GB"/>
        </w:rPr>
        <w:t>. T</w:t>
      </w:r>
      <w:r w:rsidRPr="00CA419B">
        <w:rPr>
          <w:color w:val="000000"/>
          <w:lang w:val="en-MY" w:eastAsia="en-GB"/>
        </w:rPr>
        <w:t xml:space="preserve">he analytes were eluted off the SPE cartridge using </w:t>
      </w:r>
      <w:r w:rsidRPr="00CA419B">
        <w:rPr>
          <w:caps/>
          <w:color w:val="000000"/>
          <w:lang w:val="en-MY" w:eastAsia="en-GB"/>
        </w:rPr>
        <w:t xml:space="preserve">8 </w:t>
      </w:r>
      <w:r w:rsidRPr="00CA419B">
        <w:rPr>
          <w:color w:val="000000"/>
          <w:lang w:val="en-MY" w:eastAsia="en-GB"/>
        </w:rPr>
        <w:t>ml of methanol. The resulting elute was evaporated</w:t>
      </w:r>
      <w:r w:rsidRPr="00CA419B">
        <w:rPr>
          <w:caps/>
          <w:color w:val="000000"/>
          <w:lang w:val="en-MY" w:eastAsia="en-GB"/>
        </w:rPr>
        <w:t xml:space="preserve"> </w:t>
      </w:r>
      <w:r w:rsidRPr="00CA419B">
        <w:rPr>
          <w:color w:val="000000"/>
          <w:lang w:val="en-MY" w:eastAsia="en-GB"/>
        </w:rPr>
        <w:t>near to dryness exactly at 1 ml. This final extract</w:t>
      </w:r>
      <w:r w:rsidRPr="00CA419B">
        <w:rPr>
          <w:caps/>
          <w:color w:val="000000"/>
          <w:lang w:val="en-MY" w:eastAsia="en-GB"/>
        </w:rPr>
        <w:t xml:space="preserve"> </w:t>
      </w:r>
      <w:r w:rsidRPr="00CA419B">
        <w:rPr>
          <w:color w:val="000000"/>
          <w:lang w:val="en-MY" w:eastAsia="en-GB"/>
        </w:rPr>
        <w:t>was filtered through a 0.</w:t>
      </w:r>
      <w:r w:rsidRPr="00CA419B">
        <w:rPr>
          <w:caps/>
          <w:color w:val="000000"/>
          <w:lang w:val="en-MY" w:eastAsia="en-GB"/>
        </w:rPr>
        <w:t xml:space="preserve">20 </w:t>
      </w:r>
      <w:r w:rsidRPr="00CA419B">
        <w:rPr>
          <w:color w:val="000000"/>
          <w:lang w:val="en-MY" w:eastAsia="en-GB"/>
        </w:rPr>
        <w:t>µm membrane filter, and submitted</w:t>
      </w:r>
      <w:r w:rsidRPr="00CA419B">
        <w:rPr>
          <w:caps/>
          <w:color w:val="000000"/>
          <w:lang w:val="en-MY" w:eastAsia="en-GB"/>
        </w:rPr>
        <w:t xml:space="preserve"> </w:t>
      </w:r>
      <w:r w:rsidRPr="00CA419B">
        <w:rPr>
          <w:color w:val="000000"/>
          <w:lang w:val="en-MY" w:eastAsia="en-GB"/>
        </w:rPr>
        <w:t>for analysis.</w:t>
      </w:r>
    </w:p>
    <w:p w:rsidR="006768E9" w:rsidRPr="00F447A7" w:rsidRDefault="006768E9" w:rsidP="00202191">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A754DC" w:rsidRPr="00A754DC" w:rsidRDefault="00A754DC" w:rsidP="00A754DC">
      <w:pPr>
        <w:pStyle w:val="Paragraph"/>
        <w:ind w:firstLine="0"/>
        <w:rPr>
          <w:color w:val="000000"/>
          <w:lang w:val="en-MY" w:eastAsia="en-GB"/>
        </w:rPr>
      </w:pPr>
      <w:r w:rsidRPr="00D91804">
        <w:rPr>
          <w:color w:val="000000"/>
          <w:lang w:val="en-MY" w:eastAsia="en-GB"/>
        </w:rPr>
        <w:t>The method optimised for detection of MSM and AMMT in water samples show</w:t>
      </w:r>
      <w:r>
        <w:rPr>
          <w:color w:val="000000"/>
          <w:lang w:val="en-MY" w:eastAsia="en-GB"/>
        </w:rPr>
        <w:t>ed</w:t>
      </w:r>
      <w:r w:rsidRPr="00D91804">
        <w:rPr>
          <w:color w:val="000000"/>
          <w:lang w:val="en-MY" w:eastAsia="en-GB"/>
        </w:rPr>
        <w:t xml:space="preserve"> the following parameters: level of detection for water sample </w:t>
      </w:r>
      <w:r>
        <w:rPr>
          <w:color w:val="000000"/>
          <w:lang w:val="en-MY" w:eastAsia="en-GB"/>
        </w:rPr>
        <w:t>was</w:t>
      </w:r>
      <w:r w:rsidRPr="00D91804">
        <w:rPr>
          <w:color w:val="000000"/>
          <w:lang w:val="en-MY" w:eastAsia="en-GB"/>
        </w:rPr>
        <w:t xml:space="preserve"> </w:t>
      </w:r>
      <w:r w:rsidRPr="00D91804">
        <w:rPr>
          <w:color w:val="000000"/>
          <w:szCs w:val="18"/>
          <w:shd w:val="clear" w:color="auto" w:fill="FFFFFF"/>
        </w:rPr>
        <w:t>5</w:t>
      </w:r>
      <w:r w:rsidRPr="00D91804">
        <w:rPr>
          <w:rStyle w:val="apple-converted-space"/>
          <w:color w:val="000000"/>
          <w:szCs w:val="18"/>
          <w:shd w:val="clear" w:color="auto" w:fill="FFFFFF"/>
        </w:rPr>
        <w:t>µ</w:t>
      </w:r>
      <w:r w:rsidRPr="00D91804">
        <w:rPr>
          <w:color w:val="000000"/>
          <w:szCs w:val="18"/>
          <w:shd w:val="clear" w:color="auto" w:fill="FFFFFF"/>
        </w:rPr>
        <w:t>g/L for MSM and 1</w:t>
      </w:r>
      <w:r w:rsidRPr="00D91804">
        <w:rPr>
          <w:rStyle w:val="apple-converted-space"/>
          <w:color w:val="000000"/>
          <w:szCs w:val="18"/>
          <w:shd w:val="clear" w:color="auto" w:fill="FFFFFF"/>
        </w:rPr>
        <w:t>µ</w:t>
      </w:r>
      <w:r w:rsidRPr="00D91804">
        <w:rPr>
          <w:color w:val="000000"/>
          <w:szCs w:val="18"/>
          <w:shd w:val="clear" w:color="auto" w:fill="FFFFFF"/>
        </w:rPr>
        <w:t xml:space="preserve">g/L for AMMT with a good linearity in the standard addition </w:t>
      </w:r>
      <w:r>
        <w:rPr>
          <w:color w:val="000000"/>
          <w:szCs w:val="18"/>
          <w:shd w:val="clear" w:color="auto" w:fill="FFFFFF"/>
        </w:rPr>
        <w:t xml:space="preserve">calibration range 1 – </w:t>
      </w:r>
      <w:r w:rsidRPr="00D91804">
        <w:rPr>
          <w:color w:val="000000"/>
          <w:szCs w:val="18"/>
          <w:shd w:val="clear" w:color="auto" w:fill="FFFFFF"/>
        </w:rPr>
        <w:t>50</w:t>
      </w:r>
      <w:r w:rsidRPr="00D91804">
        <w:rPr>
          <w:rStyle w:val="apple-converted-space"/>
          <w:color w:val="000000"/>
          <w:szCs w:val="18"/>
          <w:shd w:val="clear" w:color="auto" w:fill="FFFFFF"/>
        </w:rPr>
        <w:t> µ</w:t>
      </w:r>
      <w:r w:rsidRPr="00D91804">
        <w:rPr>
          <w:color w:val="000000"/>
          <w:szCs w:val="18"/>
          <w:shd w:val="clear" w:color="auto" w:fill="FFFFFF"/>
        </w:rPr>
        <w:t>g/L (r</w:t>
      </w:r>
      <w:r w:rsidRPr="00D91804">
        <w:rPr>
          <w:color w:val="000000"/>
          <w:szCs w:val="18"/>
          <w:shd w:val="clear" w:color="auto" w:fill="FFFFFF"/>
          <w:vertAlign w:val="superscript"/>
        </w:rPr>
        <w:t xml:space="preserve">2 </w:t>
      </w:r>
      <w:r w:rsidRPr="00D91804">
        <w:rPr>
          <w:color w:val="000000"/>
          <w:szCs w:val="18"/>
          <w:shd w:val="clear" w:color="auto" w:fill="FFFFFF"/>
        </w:rPr>
        <w:t>= 0.998</w:t>
      </w:r>
      <w:r>
        <w:rPr>
          <w:color w:val="000000"/>
          <w:szCs w:val="18"/>
          <w:shd w:val="clear" w:color="auto" w:fill="FFFFFF"/>
        </w:rPr>
        <w:t xml:space="preserve"> – </w:t>
      </w:r>
      <w:r w:rsidRPr="00D91804">
        <w:rPr>
          <w:color w:val="000000"/>
          <w:szCs w:val="18"/>
          <w:shd w:val="clear" w:color="auto" w:fill="FFFFFF"/>
        </w:rPr>
        <w:t>0.999). Retention time for MSM</w:t>
      </w:r>
      <w:r>
        <w:rPr>
          <w:color w:val="000000"/>
          <w:szCs w:val="18"/>
          <w:shd w:val="clear" w:color="auto" w:fill="FFFFFF"/>
        </w:rPr>
        <w:t xml:space="preserve"> was</w:t>
      </w:r>
      <w:r w:rsidRPr="00D91804">
        <w:rPr>
          <w:color w:val="000000"/>
          <w:szCs w:val="18"/>
          <w:shd w:val="clear" w:color="auto" w:fill="FFFFFF"/>
        </w:rPr>
        <w:t xml:space="preserve"> 3.176 minutes and for AMMT 10.721 </w:t>
      </w:r>
      <w:r w:rsidR="00C00F13">
        <w:rPr>
          <w:color w:val="000000"/>
          <w:szCs w:val="18"/>
          <w:shd w:val="clear" w:color="auto" w:fill="FFFFFF"/>
        </w:rPr>
        <w:t>minutes (Figure 3</w:t>
      </w:r>
      <w:r w:rsidRPr="00D91804">
        <w:rPr>
          <w:color w:val="000000"/>
          <w:szCs w:val="18"/>
          <w:shd w:val="clear" w:color="auto" w:fill="FFFFFF"/>
        </w:rPr>
        <w:t>). Recover</w:t>
      </w:r>
      <w:r>
        <w:rPr>
          <w:color w:val="000000"/>
          <w:szCs w:val="18"/>
          <w:shd w:val="clear" w:color="auto" w:fill="FFFFFF"/>
        </w:rPr>
        <w:t>y rates</w:t>
      </w:r>
      <w:r w:rsidRPr="00D91804">
        <w:rPr>
          <w:color w:val="000000"/>
          <w:szCs w:val="18"/>
          <w:shd w:val="clear" w:color="auto" w:fill="FFFFFF"/>
        </w:rPr>
        <w:t xml:space="preserve"> of 83-110% were obtained for MSM and AMMT in water </w:t>
      </w:r>
      <w:r>
        <w:rPr>
          <w:color w:val="000000"/>
          <w:szCs w:val="18"/>
          <w:shd w:val="clear" w:color="auto" w:fill="FFFFFF"/>
        </w:rPr>
        <w:t>of</w:t>
      </w:r>
      <w:r w:rsidRPr="00D91804">
        <w:rPr>
          <w:color w:val="000000"/>
          <w:szCs w:val="18"/>
          <w:shd w:val="clear" w:color="auto" w:fill="FFFFFF"/>
        </w:rPr>
        <w:t xml:space="preserve"> pH 5.26. Figure 6 shows the recover</w:t>
      </w:r>
      <w:r>
        <w:rPr>
          <w:color w:val="000000"/>
          <w:szCs w:val="18"/>
          <w:shd w:val="clear" w:color="auto" w:fill="FFFFFF"/>
        </w:rPr>
        <w:t>y</w:t>
      </w:r>
      <w:r w:rsidRPr="00D91804">
        <w:rPr>
          <w:color w:val="000000"/>
          <w:szCs w:val="18"/>
          <w:shd w:val="clear" w:color="auto" w:fill="FFFFFF"/>
        </w:rPr>
        <w:t xml:space="preserve"> </w:t>
      </w:r>
      <w:r>
        <w:rPr>
          <w:color w:val="000000"/>
          <w:szCs w:val="18"/>
          <w:shd w:val="clear" w:color="auto" w:fill="FFFFFF"/>
        </w:rPr>
        <w:t>of</w:t>
      </w:r>
      <w:r w:rsidRPr="00D91804">
        <w:rPr>
          <w:color w:val="000000"/>
          <w:szCs w:val="18"/>
          <w:shd w:val="clear" w:color="auto" w:fill="FFFFFF"/>
        </w:rPr>
        <w:t xml:space="preserve"> 3 mg/L obtained for </w:t>
      </w:r>
      <w:r>
        <w:rPr>
          <w:color w:val="000000"/>
          <w:szCs w:val="18"/>
          <w:shd w:val="clear" w:color="auto" w:fill="FFFFFF"/>
        </w:rPr>
        <w:t xml:space="preserve">the </w:t>
      </w:r>
      <w:r w:rsidRPr="00D91804">
        <w:rPr>
          <w:color w:val="000000"/>
          <w:szCs w:val="18"/>
          <w:shd w:val="clear" w:color="auto" w:fill="FFFFFF"/>
        </w:rPr>
        <w:t xml:space="preserve">pH range </w:t>
      </w:r>
      <w:r>
        <w:rPr>
          <w:color w:val="000000"/>
          <w:szCs w:val="18"/>
          <w:shd w:val="clear" w:color="auto" w:fill="FFFFFF"/>
        </w:rPr>
        <w:t xml:space="preserve">of </w:t>
      </w:r>
      <w:r w:rsidRPr="00D91804">
        <w:rPr>
          <w:color w:val="000000"/>
          <w:szCs w:val="18"/>
          <w:shd w:val="clear" w:color="auto" w:fill="FFFFFF"/>
        </w:rPr>
        <w:t>2.38</w:t>
      </w:r>
      <w:r>
        <w:rPr>
          <w:color w:val="000000"/>
          <w:szCs w:val="18"/>
          <w:shd w:val="clear" w:color="auto" w:fill="FFFFFF"/>
        </w:rPr>
        <w:t xml:space="preserve"> – </w:t>
      </w:r>
      <w:r w:rsidRPr="00D91804">
        <w:rPr>
          <w:color w:val="000000"/>
          <w:szCs w:val="18"/>
          <w:shd w:val="clear" w:color="auto" w:fill="FFFFFF"/>
        </w:rPr>
        <w:t xml:space="preserve">10.27. Using the gradient method, it </w:t>
      </w:r>
      <w:r>
        <w:rPr>
          <w:color w:val="000000"/>
          <w:szCs w:val="18"/>
          <w:shd w:val="clear" w:color="auto" w:fill="FFFFFF"/>
        </w:rPr>
        <w:t>was</w:t>
      </w:r>
      <w:r w:rsidRPr="00D91804">
        <w:rPr>
          <w:color w:val="000000"/>
          <w:szCs w:val="18"/>
          <w:shd w:val="clear" w:color="auto" w:fill="FFFFFF"/>
        </w:rPr>
        <w:t xml:space="preserve"> possible to perform simultaneous analysis for th</w:t>
      </w:r>
      <w:r>
        <w:rPr>
          <w:color w:val="000000"/>
          <w:szCs w:val="18"/>
          <w:shd w:val="clear" w:color="auto" w:fill="FFFFFF"/>
        </w:rPr>
        <w:t>e</w:t>
      </w:r>
      <w:r w:rsidRPr="00D91804">
        <w:rPr>
          <w:color w:val="000000"/>
          <w:szCs w:val="18"/>
          <w:shd w:val="clear" w:color="auto" w:fill="FFFFFF"/>
        </w:rPr>
        <w:t xml:space="preserve"> herbicide </w:t>
      </w:r>
      <w:r>
        <w:rPr>
          <w:color w:val="000000"/>
          <w:szCs w:val="18"/>
          <w:shd w:val="clear" w:color="auto" w:fill="FFFFFF"/>
        </w:rPr>
        <w:t xml:space="preserve">(MSM) </w:t>
      </w:r>
      <w:r w:rsidRPr="00D91804">
        <w:rPr>
          <w:color w:val="000000"/>
          <w:szCs w:val="18"/>
          <w:shd w:val="clear" w:color="auto" w:fill="FFFFFF"/>
        </w:rPr>
        <w:t>and its metabolites</w:t>
      </w:r>
      <w:r>
        <w:rPr>
          <w:color w:val="000000"/>
          <w:szCs w:val="18"/>
          <w:shd w:val="clear" w:color="auto" w:fill="FFFFFF"/>
        </w:rPr>
        <w:t xml:space="preserve"> (AMMT)</w:t>
      </w:r>
      <w:r w:rsidRPr="00D91804">
        <w:rPr>
          <w:color w:val="000000"/>
          <w:szCs w:val="18"/>
          <w:shd w:val="clear" w:color="auto" w:fill="FFFFFF"/>
        </w:rPr>
        <w:t xml:space="preserve">.  Thus, using the methods presented, it </w:t>
      </w:r>
      <w:r>
        <w:rPr>
          <w:color w:val="000000"/>
          <w:szCs w:val="18"/>
          <w:shd w:val="clear" w:color="auto" w:fill="FFFFFF"/>
        </w:rPr>
        <w:t>was</w:t>
      </w:r>
      <w:r w:rsidRPr="00D91804">
        <w:rPr>
          <w:color w:val="000000"/>
          <w:szCs w:val="18"/>
          <w:shd w:val="clear" w:color="auto" w:fill="FFFFFF"/>
        </w:rPr>
        <w:t xml:space="preserve"> possible to screen both MSM and AMMT </w:t>
      </w:r>
      <w:r>
        <w:rPr>
          <w:color w:val="000000"/>
          <w:szCs w:val="18"/>
          <w:shd w:val="clear" w:color="auto" w:fill="FFFFFF"/>
        </w:rPr>
        <w:t>simultaneously</w:t>
      </w:r>
      <w:r w:rsidRPr="00D91804">
        <w:rPr>
          <w:color w:val="000000"/>
          <w:szCs w:val="18"/>
          <w:shd w:val="clear" w:color="auto" w:fill="FFFFFF"/>
        </w:rPr>
        <w:t>.</w:t>
      </w:r>
      <w:r w:rsidRPr="00D91804">
        <w:rPr>
          <w:color w:val="000000"/>
          <w:lang w:val="en-MY" w:eastAsia="en-GB"/>
        </w:rPr>
        <w:t xml:space="preserve"> </w:t>
      </w:r>
    </w:p>
    <w:p w:rsidR="00A754DC" w:rsidRDefault="00A754DC" w:rsidP="00A754DC">
      <w:pPr>
        <w:pStyle w:val="Paragraph"/>
        <w:ind w:firstLine="0"/>
        <w:rPr>
          <w:color w:val="000000"/>
          <w:lang w:val="en-MY" w:eastAsia="en-GB"/>
        </w:rPr>
      </w:pPr>
    </w:p>
    <w:p w:rsidR="00B747EF" w:rsidRPr="00D91804" w:rsidRDefault="00B747EF" w:rsidP="00A754DC">
      <w:pPr>
        <w:pStyle w:val="Paragraph"/>
        <w:ind w:firstLine="0"/>
        <w:rPr>
          <w:color w:val="000000"/>
          <w:lang w:val="en-MY" w:eastAsia="en-GB"/>
        </w:rPr>
      </w:pPr>
    </w:p>
    <w:p w:rsidR="00A754DC" w:rsidRPr="00D91804" w:rsidRDefault="00A754DC" w:rsidP="00A754DC">
      <w:pPr>
        <w:pStyle w:val="Paragraph"/>
        <w:jc w:val="center"/>
        <w:rPr>
          <w:noProof/>
          <w:color w:val="000000"/>
        </w:rPr>
      </w:pPr>
      <w:r>
        <w:rPr>
          <w:noProof/>
          <w:color w:val="000000"/>
        </w:rPr>
        <w:drawing>
          <wp:inline distT="0" distB="0" distL="0" distR="0">
            <wp:extent cx="4943475" cy="2378942"/>
            <wp:effectExtent l="19050" t="19050" r="9525" b="215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43475" cy="2378942"/>
                    </a:xfrm>
                    <a:prstGeom prst="rect">
                      <a:avLst/>
                    </a:prstGeom>
                    <a:noFill/>
                    <a:ln w="6350" cmpd="sng">
                      <a:solidFill>
                        <a:srgbClr val="000000"/>
                      </a:solidFill>
                      <a:miter lim="800000"/>
                      <a:headEnd/>
                      <a:tailEnd/>
                    </a:ln>
                    <a:effectLst/>
                  </pic:spPr>
                </pic:pic>
              </a:graphicData>
            </a:graphic>
          </wp:inline>
        </w:drawing>
      </w:r>
    </w:p>
    <w:p w:rsidR="00A754DC" w:rsidRDefault="00A754DC" w:rsidP="00A754DC">
      <w:pPr>
        <w:pStyle w:val="Paragraph"/>
        <w:ind w:left="851" w:hanging="851"/>
        <w:rPr>
          <w:color w:val="000000"/>
          <w:szCs w:val="18"/>
          <w:lang w:val="en-MY" w:eastAsia="en-GB"/>
        </w:rPr>
      </w:pPr>
    </w:p>
    <w:p w:rsidR="00A754DC" w:rsidRPr="00D20CDC" w:rsidRDefault="004126C1" w:rsidP="00A754DC">
      <w:pPr>
        <w:pStyle w:val="Paragraph"/>
        <w:ind w:left="851" w:hanging="851"/>
        <w:rPr>
          <w:color w:val="000000"/>
          <w:szCs w:val="18"/>
          <w:lang w:val="en-MY" w:eastAsia="en-GB"/>
        </w:rPr>
      </w:pPr>
      <w:r>
        <w:rPr>
          <w:color w:val="000000"/>
          <w:szCs w:val="18"/>
          <w:lang w:val="en-MY" w:eastAsia="en-GB"/>
        </w:rPr>
        <w:t>Figure 3</w:t>
      </w:r>
      <w:r w:rsidR="00A754DC" w:rsidRPr="00D20CDC">
        <w:rPr>
          <w:color w:val="000000"/>
          <w:szCs w:val="18"/>
          <w:lang w:val="en-MY" w:eastAsia="en-GB"/>
        </w:rPr>
        <w:t xml:space="preserve">. </w:t>
      </w:r>
      <w:r w:rsidR="00A754DC">
        <w:rPr>
          <w:color w:val="000000"/>
          <w:szCs w:val="18"/>
          <w:lang w:val="en-MY" w:eastAsia="en-GB"/>
        </w:rPr>
        <w:tab/>
      </w:r>
      <w:r w:rsidR="00A754DC" w:rsidRPr="00D20CDC">
        <w:rPr>
          <w:color w:val="000000"/>
          <w:szCs w:val="18"/>
          <w:lang w:val="en-MY" w:eastAsia="en-GB"/>
        </w:rPr>
        <w:t>Gradient method: HPLC profile of spiked MSM and AMMT. Chro</w:t>
      </w:r>
      <w:r w:rsidR="00A754DC">
        <w:rPr>
          <w:color w:val="000000"/>
          <w:szCs w:val="18"/>
          <w:lang w:val="en-MY" w:eastAsia="en-GB"/>
        </w:rPr>
        <w:t xml:space="preserve">matogram has been corrected for </w:t>
      </w:r>
      <w:r w:rsidR="00A754DC" w:rsidRPr="00D20CDC">
        <w:rPr>
          <w:color w:val="000000"/>
          <w:szCs w:val="18"/>
          <w:lang w:val="en-MY" w:eastAsia="en-GB"/>
        </w:rPr>
        <w:t>baseline drift (overlay sample chromatogram on blank chromatogram)</w:t>
      </w:r>
    </w:p>
    <w:p w:rsidR="00A754DC" w:rsidRPr="00D91804" w:rsidRDefault="00A754DC" w:rsidP="00A754DC">
      <w:pPr>
        <w:pStyle w:val="Paragraph"/>
        <w:ind w:firstLine="0"/>
        <w:rPr>
          <w:color w:val="000000"/>
        </w:rPr>
      </w:pPr>
      <w:r>
        <w:lastRenderedPageBreak/>
        <w:t xml:space="preserve">In the present study, samples were collected four times from each of the 18 stations at six selected rivers during the wet and dry seasons. M1 and M2 represented the rainy season, with monthly average rainfall of 300 mm to 400 mm, meanwhile M4 represented the dry season, with a monthly average rainfall of 50 mm to 150 mm, and M3 the regular season, with a monthly average rainfall of 150 mm to 300 mm.  The result obtained from </w:t>
      </w:r>
      <w:r w:rsidRPr="00D91804">
        <w:rPr>
          <w:color w:val="000000"/>
        </w:rPr>
        <w:t xml:space="preserve">water monitoring </w:t>
      </w:r>
      <w:r>
        <w:rPr>
          <w:color w:val="000000"/>
        </w:rPr>
        <w:t xml:space="preserve">for MSM and AMMT </w:t>
      </w:r>
      <w:r w:rsidRPr="00D91804">
        <w:rPr>
          <w:color w:val="000000"/>
        </w:rPr>
        <w:t xml:space="preserve">from the </w:t>
      </w:r>
      <w:r w:rsidR="004126C1">
        <w:rPr>
          <w:color w:val="000000"/>
        </w:rPr>
        <w:t>sampling is provided in Figure 4</w:t>
      </w:r>
      <w:r w:rsidRPr="00D91804">
        <w:rPr>
          <w:color w:val="000000"/>
        </w:rPr>
        <w:t xml:space="preserve"> and Table 3. MSM concentration in </w:t>
      </w:r>
      <w:r>
        <w:rPr>
          <w:color w:val="000000"/>
        </w:rPr>
        <w:t xml:space="preserve">the </w:t>
      </w:r>
      <w:r w:rsidRPr="00D91804">
        <w:rPr>
          <w:color w:val="000000"/>
        </w:rPr>
        <w:t xml:space="preserve">water ranged from </w:t>
      </w:r>
      <w:r>
        <w:rPr>
          <w:color w:val="000000"/>
        </w:rPr>
        <w:t>undetectable</w:t>
      </w:r>
      <w:r w:rsidR="004126C1">
        <w:rPr>
          <w:color w:val="000000"/>
        </w:rPr>
        <w:t xml:space="preserve"> to 604.4 µg/L (Figure 5</w:t>
      </w:r>
      <w:r w:rsidRPr="00D91804">
        <w:rPr>
          <w:color w:val="000000"/>
        </w:rPr>
        <w:t xml:space="preserve">). The amount of AMMT </w:t>
      </w:r>
      <w:r>
        <w:rPr>
          <w:color w:val="000000"/>
        </w:rPr>
        <w:t>prevent</w:t>
      </w:r>
      <w:r w:rsidRPr="00D91804">
        <w:rPr>
          <w:color w:val="000000"/>
        </w:rPr>
        <w:t xml:space="preserve"> in several </w:t>
      </w:r>
      <w:r>
        <w:rPr>
          <w:color w:val="000000"/>
        </w:rPr>
        <w:t>stations</w:t>
      </w:r>
      <w:r w:rsidRPr="00D91804">
        <w:rPr>
          <w:color w:val="000000"/>
        </w:rPr>
        <w:t xml:space="preserve"> and seasons </w:t>
      </w:r>
      <w:r>
        <w:rPr>
          <w:color w:val="000000"/>
        </w:rPr>
        <w:t xml:space="preserve">shown </w:t>
      </w:r>
      <w:r w:rsidRPr="00D91804">
        <w:rPr>
          <w:color w:val="000000"/>
        </w:rPr>
        <w:t xml:space="preserve">in Table 3. A significant increase </w:t>
      </w:r>
      <w:r>
        <w:rPr>
          <w:color w:val="000000"/>
        </w:rPr>
        <w:t>of</w:t>
      </w:r>
      <w:r w:rsidRPr="00D91804">
        <w:rPr>
          <w:color w:val="000000"/>
        </w:rPr>
        <w:t xml:space="preserve"> the MSM concentration in </w:t>
      </w:r>
      <w:r>
        <w:rPr>
          <w:color w:val="000000"/>
        </w:rPr>
        <w:t xml:space="preserve">the </w:t>
      </w:r>
      <w:r w:rsidRPr="00D91804">
        <w:rPr>
          <w:color w:val="000000"/>
        </w:rPr>
        <w:t xml:space="preserve">water was observed in </w:t>
      </w:r>
      <w:r>
        <w:rPr>
          <w:color w:val="000000"/>
        </w:rPr>
        <w:t xml:space="preserve">the vary </w:t>
      </w:r>
      <w:r w:rsidRPr="00D91804">
        <w:rPr>
          <w:color w:val="000000"/>
        </w:rPr>
        <w:t>season (M1 and M2) in most of the river</w:t>
      </w:r>
      <w:r>
        <w:rPr>
          <w:color w:val="000000"/>
        </w:rPr>
        <w:t>s</w:t>
      </w:r>
      <w:r w:rsidRPr="00D91804">
        <w:rPr>
          <w:color w:val="000000"/>
        </w:rPr>
        <w:t xml:space="preserve">. The release of MSM can be associated with surface runoff from </w:t>
      </w:r>
      <w:r>
        <w:rPr>
          <w:color w:val="000000"/>
        </w:rPr>
        <w:t xml:space="preserve">the </w:t>
      </w:r>
      <w:r w:rsidRPr="00D91804">
        <w:rPr>
          <w:color w:val="000000"/>
        </w:rPr>
        <w:t xml:space="preserve">oil </w:t>
      </w:r>
      <w:r>
        <w:rPr>
          <w:color w:val="000000"/>
        </w:rPr>
        <w:t xml:space="preserve">palm </w:t>
      </w:r>
      <w:r w:rsidRPr="00D91804">
        <w:rPr>
          <w:color w:val="000000"/>
        </w:rPr>
        <w:t xml:space="preserve">plantation area and with soil exposure to MSM. These results </w:t>
      </w:r>
      <w:r>
        <w:rPr>
          <w:color w:val="000000"/>
        </w:rPr>
        <w:t>showed</w:t>
      </w:r>
      <w:r w:rsidRPr="00D91804">
        <w:rPr>
          <w:color w:val="000000"/>
        </w:rPr>
        <w:t xml:space="preserve"> the drift of MSM due to precipitation and related leaching in </w:t>
      </w:r>
      <w:r>
        <w:rPr>
          <w:color w:val="000000"/>
        </w:rPr>
        <w:t>relation to</w:t>
      </w:r>
      <w:r w:rsidRPr="00D91804">
        <w:rPr>
          <w:color w:val="000000"/>
        </w:rPr>
        <w:t xml:space="preserve"> its high solubility in water and its bind</w:t>
      </w:r>
      <w:r>
        <w:rPr>
          <w:color w:val="000000"/>
        </w:rPr>
        <w:t>ing</w:t>
      </w:r>
      <w:r w:rsidRPr="00D91804">
        <w:rPr>
          <w:color w:val="000000"/>
        </w:rPr>
        <w:t xml:space="preserve"> ability to the soil particles which drifted by </w:t>
      </w:r>
      <w:r>
        <w:rPr>
          <w:color w:val="000000"/>
        </w:rPr>
        <w:t xml:space="preserve">the </w:t>
      </w:r>
      <w:r w:rsidRPr="00D91804">
        <w:rPr>
          <w:color w:val="000000"/>
        </w:rPr>
        <w:t xml:space="preserve">runoff [9]. In </w:t>
      </w:r>
      <w:r>
        <w:rPr>
          <w:color w:val="000000"/>
        </w:rPr>
        <w:t>the present study,</w:t>
      </w:r>
      <w:r w:rsidRPr="00D91804">
        <w:rPr>
          <w:color w:val="000000"/>
        </w:rPr>
        <w:t xml:space="preserve"> rain events play</w:t>
      </w:r>
      <w:r>
        <w:rPr>
          <w:color w:val="000000"/>
        </w:rPr>
        <w:t>ed</w:t>
      </w:r>
      <w:r w:rsidRPr="00D91804">
        <w:rPr>
          <w:color w:val="000000"/>
        </w:rPr>
        <w:t xml:space="preserve"> an important role transporting the MSM present in </w:t>
      </w:r>
      <w:r>
        <w:rPr>
          <w:color w:val="000000"/>
        </w:rPr>
        <w:t xml:space="preserve">the </w:t>
      </w:r>
      <w:r w:rsidRPr="00D91804">
        <w:rPr>
          <w:color w:val="000000"/>
        </w:rPr>
        <w:t>soil towards the water stream through the mechanisms of dilution or drift of surface material by runoff. For Sungai Jemberau (J1, J2 and J3) the concentration increas</w:t>
      </w:r>
      <w:r>
        <w:rPr>
          <w:color w:val="000000"/>
        </w:rPr>
        <w:t>ed</w:t>
      </w:r>
      <w:r w:rsidRPr="00D91804">
        <w:rPr>
          <w:color w:val="000000"/>
        </w:rPr>
        <w:t xml:space="preserve"> from downstream to upstream possibly due to the location of </w:t>
      </w:r>
      <w:r>
        <w:rPr>
          <w:color w:val="000000"/>
        </w:rPr>
        <w:t xml:space="preserve">the </w:t>
      </w:r>
      <w:r w:rsidRPr="00D91804">
        <w:rPr>
          <w:color w:val="000000"/>
        </w:rPr>
        <w:t xml:space="preserve">oil palm plantation area. A different patent </w:t>
      </w:r>
      <w:r>
        <w:rPr>
          <w:color w:val="000000"/>
        </w:rPr>
        <w:t xml:space="preserve">occurred </w:t>
      </w:r>
      <w:r w:rsidRPr="00D91804">
        <w:rPr>
          <w:color w:val="000000"/>
        </w:rPr>
        <w:t xml:space="preserve">for Sungai Gumum (G1, G2 and G3) </w:t>
      </w:r>
      <w:r>
        <w:rPr>
          <w:color w:val="000000"/>
        </w:rPr>
        <w:t>where the concentration</w:t>
      </w:r>
      <w:r w:rsidRPr="00D91804">
        <w:rPr>
          <w:color w:val="000000"/>
        </w:rPr>
        <w:t xml:space="preserve"> decreas</w:t>
      </w:r>
      <w:r>
        <w:rPr>
          <w:color w:val="000000"/>
        </w:rPr>
        <w:t>ed</w:t>
      </w:r>
      <w:r w:rsidRPr="00D91804">
        <w:rPr>
          <w:color w:val="000000"/>
        </w:rPr>
        <w:t xml:space="preserve"> from downstream to upstream</w:t>
      </w:r>
      <w:r>
        <w:rPr>
          <w:color w:val="000000"/>
        </w:rPr>
        <w:t>,</w:t>
      </w:r>
      <w:r w:rsidRPr="00D91804">
        <w:rPr>
          <w:color w:val="000000"/>
        </w:rPr>
        <w:t xml:space="preserve"> perhaps due to the reduction of oil palm plantation area at the upstream area. Referring to the amount of AMMT in </w:t>
      </w:r>
      <w:r>
        <w:rPr>
          <w:color w:val="000000"/>
        </w:rPr>
        <w:t xml:space="preserve">the </w:t>
      </w:r>
      <w:r w:rsidRPr="00D91804">
        <w:rPr>
          <w:color w:val="000000"/>
        </w:rPr>
        <w:t xml:space="preserve">water, there </w:t>
      </w:r>
      <w:r>
        <w:rPr>
          <w:color w:val="000000"/>
        </w:rPr>
        <w:t>was</w:t>
      </w:r>
      <w:r w:rsidRPr="00D91804">
        <w:rPr>
          <w:color w:val="000000"/>
        </w:rPr>
        <w:t xml:space="preserve"> no trend </w:t>
      </w:r>
      <w:r>
        <w:rPr>
          <w:color w:val="000000"/>
        </w:rPr>
        <w:t xml:space="preserve">observed in the </w:t>
      </w:r>
      <w:r w:rsidRPr="00D91804">
        <w:rPr>
          <w:color w:val="000000"/>
        </w:rPr>
        <w:t>water bod</w:t>
      </w:r>
      <w:r>
        <w:rPr>
          <w:color w:val="000000"/>
        </w:rPr>
        <w:t>ies</w:t>
      </w:r>
      <w:r w:rsidRPr="00D91804">
        <w:rPr>
          <w:color w:val="000000"/>
        </w:rPr>
        <w:t xml:space="preserve"> during </w:t>
      </w:r>
      <w:r>
        <w:rPr>
          <w:color w:val="000000"/>
        </w:rPr>
        <w:t xml:space="preserve">the </w:t>
      </w:r>
      <w:r w:rsidRPr="00D91804">
        <w:rPr>
          <w:color w:val="000000"/>
        </w:rPr>
        <w:t xml:space="preserve">monitoring </w:t>
      </w:r>
      <w:r>
        <w:rPr>
          <w:color w:val="000000"/>
        </w:rPr>
        <w:t xml:space="preserve">period </w:t>
      </w:r>
      <w:r w:rsidRPr="00D91804">
        <w:rPr>
          <w:color w:val="000000"/>
        </w:rPr>
        <w:t xml:space="preserve">and AMMT </w:t>
      </w:r>
      <w:r>
        <w:rPr>
          <w:color w:val="000000"/>
        </w:rPr>
        <w:t xml:space="preserve">was </w:t>
      </w:r>
      <w:r w:rsidRPr="00D91804">
        <w:rPr>
          <w:color w:val="000000"/>
        </w:rPr>
        <w:t xml:space="preserve">found </w:t>
      </w:r>
      <w:r>
        <w:rPr>
          <w:color w:val="000000"/>
        </w:rPr>
        <w:t xml:space="preserve">mainly </w:t>
      </w:r>
      <w:r w:rsidRPr="00D91804">
        <w:rPr>
          <w:color w:val="000000"/>
        </w:rPr>
        <w:t xml:space="preserve">during </w:t>
      </w:r>
      <w:r>
        <w:rPr>
          <w:color w:val="000000"/>
        </w:rPr>
        <w:t xml:space="preserve">the </w:t>
      </w:r>
      <w:r w:rsidRPr="00D91804">
        <w:rPr>
          <w:color w:val="000000"/>
        </w:rPr>
        <w:t xml:space="preserve">dry season </w:t>
      </w:r>
      <w:r>
        <w:rPr>
          <w:color w:val="000000"/>
        </w:rPr>
        <w:t>at low concentrations</w:t>
      </w:r>
      <w:r w:rsidRPr="00D91804">
        <w:rPr>
          <w:color w:val="000000"/>
        </w:rPr>
        <w:t xml:space="preserve"> &lt;</w:t>
      </w:r>
      <w:r>
        <w:rPr>
          <w:color w:val="000000"/>
        </w:rPr>
        <w:t xml:space="preserve"> </w:t>
      </w:r>
      <w:r w:rsidRPr="00D91804">
        <w:rPr>
          <w:color w:val="000000"/>
        </w:rPr>
        <w:t xml:space="preserve">0.15mg/L. </w:t>
      </w:r>
    </w:p>
    <w:p w:rsidR="00A754DC" w:rsidRDefault="00A754DC" w:rsidP="00A754DC">
      <w:pPr>
        <w:pStyle w:val="Paragraph"/>
        <w:ind w:firstLine="0"/>
        <w:jc w:val="left"/>
        <w:rPr>
          <w:color w:val="000000"/>
        </w:rPr>
      </w:pPr>
    </w:p>
    <w:p w:rsidR="00A754DC" w:rsidRPr="00D91804" w:rsidRDefault="00A754DC" w:rsidP="00A754DC">
      <w:pPr>
        <w:pStyle w:val="Paragraph"/>
        <w:ind w:firstLine="0"/>
        <w:jc w:val="left"/>
        <w:rPr>
          <w:color w:val="000000"/>
        </w:rPr>
      </w:pPr>
    </w:p>
    <w:p w:rsidR="00A754DC" w:rsidRPr="00D91804" w:rsidRDefault="00A754DC" w:rsidP="00C00F13">
      <w:pPr>
        <w:pStyle w:val="Paragraph"/>
        <w:ind w:firstLine="0"/>
        <w:jc w:val="center"/>
        <w:rPr>
          <w:color w:val="000000"/>
        </w:rPr>
      </w:pPr>
      <w:r>
        <w:rPr>
          <w:noProof/>
          <w:color w:val="000000"/>
        </w:rPr>
        <w:drawing>
          <wp:inline distT="0" distB="0" distL="0" distR="0">
            <wp:extent cx="5257800" cy="1981200"/>
            <wp:effectExtent l="19050" t="19050" r="19050" b="1905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14">
                      <a:extLst>
                        <a:ext uri="{28A0092B-C50C-407E-A947-70E740481C1C}">
                          <a14:useLocalDpi xmlns:a14="http://schemas.microsoft.com/office/drawing/2010/main" val="0"/>
                        </a:ext>
                      </a:extLst>
                    </a:blip>
                    <a:srcRect l="-1532" t="-8006" r="-2150" b="-2411"/>
                    <a:stretch>
                      <a:fillRect/>
                    </a:stretch>
                  </pic:blipFill>
                  <pic:spPr bwMode="auto">
                    <a:xfrm>
                      <a:off x="0" y="0"/>
                      <a:ext cx="5257800" cy="1981200"/>
                    </a:xfrm>
                    <a:prstGeom prst="rect">
                      <a:avLst/>
                    </a:prstGeom>
                    <a:noFill/>
                    <a:ln w="6350" cmpd="sng">
                      <a:solidFill>
                        <a:srgbClr val="000000"/>
                      </a:solidFill>
                      <a:miter lim="800000"/>
                      <a:headEnd/>
                      <a:tailEnd/>
                    </a:ln>
                    <a:effectLst/>
                  </pic:spPr>
                </pic:pic>
              </a:graphicData>
            </a:graphic>
          </wp:inline>
        </w:drawing>
      </w:r>
    </w:p>
    <w:p w:rsidR="00A754DC" w:rsidRDefault="00A754DC" w:rsidP="00A754DC">
      <w:pPr>
        <w:pStyle w:val="Paragraph"/>
        <w:jc w:val="center"/>
        <w:rPr>
          <w:color w:val="000000"/>
          <w:lang w:val="en-MY" w:eastAsia="en-GB"/>
        </w:rPr>
      </w:pPr>
    </w:p>
    <w:p w:rsidR="00A754DC" w:rsidRPr="00D20CDC" w:rsidRDefault="004126C1" w:rsidP="00A754DC">
      <w:pPr>
        <w:pStyle w:val="Paragraph"/>
        <w:jc w:val="center"/>
        <w:rPr>
          <w:color w:val="000000"/>
          <w:shd w:val="clear" w:color="auto" w:fill="FFFFFF"/>
        </w:rPr>
      </w:pPr>
      <w:r>
        <w:rPr>
          <w:color w:val="000000"/>
          <w:lang w:val="en-MY" w:eastAsia="en-GB"/>
        </w:rPr>
        <w:t>Figure 4</w:t>
      </w:r>
      <w:r w:rsidR="00A754DC" w:rsidRPr="00D20CDC">
        <w:rPr>
          <w:color w:val="000000"/>
          <w:lang w:val="en-MY" w:eastAsia="en-GB"/>
        </w:rPr>
        <w:t xml:space="preserve">. </w:t>
      </w:r>
      <w:r w:rsidR="00A754DC">
        <w:rPr>
          <w:color w:val="000000"/>
          <w:lang w:val="en-MY" w:eastAsia="en-GB"/>
        </w:rPr>
        <w:t xml:space="preserve"> </w:t>
      </w:r>
      <w:r w:rsidR="00A754DC" w:rsidRPr="00D20CDC">
        <w:rPr>
          <w:color w:val="000000"/>
          <w:lang w:val="en-MY" w:eastAsia="en-GB"/>
        </w:rPr>
        <w:t>Recovery</w:t>
      </w:r>
      <w:r w:rsidR="00A754DC" w:rsidRPr="00D20CDC">
        <w:rPr>
          <w:color w:val="000000"/>
          <w:shd w:val="clear" w:color="auto" w:fill="FFFFFF"/>
        </w:rPr>
        <w:t xml:space="preserve"> result of 3 mg/L for the pH range of </w:t>
      </w:r>
      <w:r w:rsidR="00A754DC">
        <w:rPr>
          <w:color w:val="000000"/>
          <w:shd w:val="clear" w:color="auto" w:fill="FFFFFF"/>
        </w:rPr>
        <w:t>2.38 – 10.27</w:t>
      </w:r>
    </w:p>
    <w:p w:rsidR="00A754DC" w:rsidRDefault="00A754DC" w:rsidP="00A754DC">
      <w:pPr>
        <w:pStyle w:val="Paragraph"/>
        <w:ind w:firstLine="0"/>
        <w:rPr>
          <w:color w:val="000000"/>
          <w:szCs w:val="18"/>
          <w:shd w:val="clear" w:color="auto" w:fill="FFFFFF"/>
        </w:rPr>
      </w:pPr>
    </w:p>
    <w:p w:rsidR="00C00F13" w:rsidRDefault="00C00F13" w:rsidP="00A754DC">
      <w:pPr>
        <w:pStyle w:val="Paragraph"/>
        <w:ind w:firstLine="0"/>
        <w:rPr>
          <w:color w:val="000000"/>
          <w:szCs w:val="18"/>
          <w:shd w:val="clear" w:color="auto" w:fill="FFFFFF"/>
        </w:rPr>
      </w:pPr>
    </w:p>
    <w:p w:rsidR="00C00F13" w:rsidRPr="00221D12" w:rsidRDefault="00C00F13" w:rsidP="00C00F13">
      <w:pPr>
        <w:pStyle w:val="Paragraph"/>
        <w:spacing w:after="120"/>
        <w:ind w:firstLine="288"/>
        <w:jc w:val="center"/>
        <w:rPr>
          <w:color w:val="000000"/>
          <w:szCs w:val="18"/>
        </w:rPr>
      </w:pPr>
      <w:r w:rsidRPr="00221D12">
        <w:rPr>
          <w:color w:val="000000"/>
          <w:szCs w:val="18"/>
        </w:rPr>
        <w:t xml:space="preserve">Table 3. </w:t>
      </w:r>
      <w:r>
        <w:rPr>
          <w:color w:val="000000"/>
          <w:szCs w:val="18"/>
        </w:rPr>
        <w:t xml:space="preserve"> </w:t>
      </w:r>
      <w:r w:rsidRPr="00221D12">
        <w:rPr>
          <w:color w:val="000000"/>
          <w:szCs w:val="18"/>
        </w:rPr>
        <w:t>AMMT concentration</w:t>
      </w:r>
    </w:p>
    <w:tbl>
      <w:tblPr>
        <w:tblW w:w="0" w:type="auto"/>
        <w:jc w:val="center"/>
        <w:tblInd w:w="-497" w:type="dxa"/>
        <w:tblLook w:val="04A0" w:firstRow="1" w:lastRow="0" w:firstColumn="1" w:lastColumn="0" w:noHBand="0" w:noVBand="1"/>
      </w:tblPr>
      <w:tblGrid>
        <w:gridCol w:w="1341"/>
        <w:gridCol w:w="1995"/>
        <w:gridCol w:w="2406"/>
      </w:tblGrid>
      <w:tr w:rsidR="00C00F13" w:rsidRPr="00F61149" w:rsidTr="00322AEA">
        <w:trPr>
          <w:jc w:val="center"/>
        </w:trPr>
        <w:tc>
          <w:tcPr>
            <w:tcW w:w="1341" w:type="dxa"/>
            <w:tcBorders>
              <w:top w:val="single" w:sz="4" w:space="0" w:color="auto"/>
              <w:bottom w:val="single" w:sz="4" w:space="0" w:color="auto"/>
            </w:tcBorders>
            <w:shd w:val="clear" w:color="auto" w:fill="auto"/>
          </w:tcPr>
          <w:p w:rsidR="00C00F13" w:rsidRPr="00221D12" w:rsidRDefault="00C00F13" w:rsidP="00C00F13">
            <w:pPr>
              <w:pStyle w:val="Paragraph"/>
              <w:spacing w:before="60" w:after="60"/>
              <w:ind w:firstLine="288"/>
              <w:rPr>
                <w:b/>
                <w:color w:val="000000"/>
              </w:rPr>
            </w:pPr>
            <w:r w:rsidRPr="00221D12">
              <w:rPr>
                <w:b/>
                <w:color w:val="000000"/>
              </w:rPr>
              <w:t>Sampling</w:t>
            </w:r>
          </w:p>
        </w:tc>
        <w:tc>
          <w:tcPr>
            <w:tcW w:w="1995" w:type="dxa"/>
            <w:tcBorders>
              <w:top w:val="single" w:sz="4" w:space="0" w:color="auto"/>
              <w:bottom w:val="single" w:sz="4" w:space="0" w:color="auto"/>
            </w:tcBorders>
            <w:shd w:val="clear" w:color="auto" w:fill="auto"/>
          </w:tcPr>
          <w:p w:rsidR="00C00F13" w:rsidRPr="00221D12" w:rsidRDefault="00C00F13" w:rsidP="00C00F13">
            <w:pPr>
              <w:pStyle w:val="Paragraph"/>
              <w:spacing w:before="60" w:after="60"/>
              <w:ind w:firstLine="288"/>
              <w:rPr>
                <w:b/>
                <w:color w:val="000000"/>
              </w:rPr>
            </w:pPr>
            <w:r w:rsidRPr="00221D12">
              <w:rPr>
                <w:b/>
                <w:color w:val="000000"/>
              </w:rPr>
              <w:t xml:space="preserve">Sampling place </w:t>
            </w:r>
          </w:p>
        </w:tc>
        <w:tc>
          <w:tcPr>
            <w:tcW w:w="2406" w:type="dxa"/>
            <w:tcBorders>
              <w:top w:val="single" w:sz="4" w:space="0" w:color="auto"/>
              <w:bottom w:val="single" w:sz="4" w:space="0" w:color="auto"/>
            </w:tcBorders>
            <w:shd w:val="clear" w:color="auto" w:fill="auto"/>
          </w:tcPr>
          <w:p w:rsidR="00C00F13" w:rsidRPr="00221D12" w:rsidRDefault="00C00F13" w:rsidP="00C00F13">
            <w:pPr>
              <w:pStyle w:val="Paragraph"/>
              <w:spacing w:before="60" w:after="60"/>
              <w:ind w:firstLine="288"/>
              <w:rPr>
                <w:b/>
                <w:color w:val="000000"/>
              </w:rPr>
            </w:pPr>
            <w:r w:rsidRPr="00221D12">
              <w:rPr>
                <w:b/>
                <w:color w:val="000000"/>
              </w:rPr>
              <w:t>Concentration (mg/L)</w:t>
            </w:r>
          </w:p>
        </w:tc>
      </w:tr>
      <w:tr w:rsidR="00C00F13" w:rsidRPr="00F61149" w:rsidTr="00322AEA">
        <w:trPr>
          <w:jc w:val="center"/>
        </w:trPr>
        <w:tc>
          <w:tcPr>
            <w:tcW w:w="1341" w:type="dxa"/>
            <w:tcBorders>
              <w:top w:val="single" w:sz="4" w:space="0" w:color="auto"/>
            </w:tcBorders>
            <w:shd w:val="clear" w:color="auto" w:fill="auto"/>
          </w:tcPr>
          <w:p w:rsidR="00C00F13" w:rsidRPr="00D91804" w:rsidRDefault="00C00F13" w:rsidP="00C00F13">
            <w:pPr>
              <w:pStyle w:val="Paragraph"/>
              <w:spacing w:before="60"/>
              <w:ind w:firstLine="288"/>
              <w:rPr>
                <w:color w:val="000000"/>
              </w:rPr>
            </w:pPr>
            <w:r w:rsidRPr="00D91804">
              <w:rPr>
                <w:color w:val="000000"/>
              </w:rPr>
              <w:t>Season 1</w:t>
            </w:r>
          </w:p>
        </w:tc>
        <w:tc>
          <w:tcPr>
            <w:tcW w:w="1995" w:type="dxa"/>
            <w:tcBorders>
              <w:top w:val="single" w:sz="4" w:space="0" w:color="auto"/>
            </w:tcBorders>
            <w:shd w:val="clear" w:color="auto" w:fill="auto"/>
          </w:tcPr>
          <w:p w:rsidR="00C00F13" w:rsidRPr="00D91804" w:rsidRDefault="00C00F13" w:rsidP="00C00F13">
            <w:pPr>
              <w:pStyle w:val="Paragraph"/>
              <w:spacing w:before="60"/>
              <w:ind w:firstLine="288"/>
              <w:rPr>
                <w:color w:val="000000"/>
              </w:rPr>
            </w:pPr>
            <w:r w:rsidRPr="00D91804">
              <w:rPr>
                <w:color w:val="000000"/>
              </w:rPr>
              <w:t>K3</w:t>
            </w:r>
          </w:p>
        </w:tc>
        <w:tc>
          <w:tcPr>
            <w:tcW w:w="2406" w:type="dxa"/>
            <w:tcBorders>
              <w:top w:val="single" w:sz="4" w:space="0" w:color="auto"/>
            </w:tcBorders>
            <w:shd w:val="clear" w:color="auto" w:fill="auto"/>
          </w:tcPr>
          <w:p w:rsidR="00C00F13" w:rsidRPr="00D91804" w:rsidRDefault="00C00F13" w:rsidP="00C00F13">
            <w:pPr>
              <w:pStyle w:val="Paragraph"/>
              <w:spacing w:before="60"/>
              <w:ind w:firstLine="288"/>
              <w:rPr>
                <w:color w:val="000000"/>
              </w:rPr>
            </w:pPr>
            <w:r w:rsidRPr="00D91804">
              <w:rPr>
                <w:color w:val="000000"/>
              </w:rPr>
              <w:t>0.0191</w:t>
            </w:r>
          </w:p>
        </w:tc>
      </w:tr>
      <w:tr w:rsidR="00C00F13" w:rsidRPr="00F61149" w:rsidTr="00322AEA">
        <w:trPr>
          <w:jc w:val="center"/>
        </w:trPr>
        <w:tc>
          <w:tcPr>
            <w:tcW w:w="1341" w:type="dxa"/>
            <w:shd w:val="clear" w:color="auto" w:fill="auto"/>
          </w:tcPr>
          <w:p w:rsidR="00C00F13" w:rsidRPr="00D91804" w:rsidRDefault="00C00F13" w:rsidP="00C00F13">
            <w:pPr>
              <w:pStyle w:val="Paragraph"/>
              <w:spacing w:before="60"/>
              <w:ind w:firstLine="288"/>
              <w:rPr>
                <w:color w:val="000000"/>
              </w:rPr>
            </w:pPr>
            <w:r w:rsidRPr="00D91804">
              <w:rPr>
                <w:color w:val="000000"/>
              </w:rPr>
              <w:t>Season 2</w:t>
            </w:r>
          </w:p>
        </w:tc>
        <w:tc>
          <w:tcPr>
            <w:tcW w:w="1995" w:type="dxa"/>
            <w:shd w:val="clear" w:color="auto" w:fill="auto"/>
          </w:tcPr>
          <w:p w:rsidR="00C00F13" w:rsidRPr="00D91804" w:rsidRDefault="00C00F13" w:rsidP="00C00F13">
            <w:pPr>
              <w:pStyle w:val="Paragraph"/>
              <w:spacing w:before="60"/>
              <w:ind w:firstLine="288"/>
              <w:rPr>
                <w:color w:val="000000"/>
              </w:rPr>
            </w:pPr>
            <w:r w:rsidRPr="00D91804">
              <w:rPr>
                <w:color w:val="000000"/>
              </w:rPr>
              <w:t>D1</w:t>
            </w:r>
          </w:p>
        </w:tc>
        <w:tc>
          <w:tcPr>
            <w:tcW w:w="2406" w:type="dxa"/>
            <w:shd w:val="clear" w:color="auto" w:fill="auto"/>
          </w:tcPr>
          <w:p w:rsidR="00C00F13" w:rsidRPr="00D91804" w:rsidRDefault="00C00F13" w:rsidP="00C00F13">
            <w:pPr>
              <w:pStyle w:val="Paragraph"/>
              <w:spacing w:before="60"/>
              <w:ind w:firstLine="288"/>
              <w:rPr>
                <w:color w:val="000000"/>
              </w:rPr>
            </w:pPr>
            <w:r w:rsidRPr="00D91804">
              <w:rPr>
                <w:color w:val="000000"/>
              </w:rPr>
              <w:t>0.0510</w:t>
            </w:r>
          </w:p>
        </w:tc>
      </w:tr>
      <w:tr w:rsidR="00C00F13" w:rsidRPr="00F61149" w:rsidTr="00322AEA">
        <w:trPr>
          <w:jc w:val="center"/>
        </w:trPr>
        <w:tc>
          <w:tcPr>
            <w:tcW w:w="1341" w:type="dxa"/>
            <w:shd w:val="clear" w:color="auto" w:fill="auto"/>
          </w:tcPr>
          <w:p w:rsidR="00C00F13" w:rsidRPr="00D91804" w:rsidRDefault="00C00F13" w:rsidP="00C00F13">
            <w:pPr>
              <w:pStyle w:val="Paragraph"/>
              <w:spacing w:before="60"/>
              <w:ind w:firstLine="288"/>
              <w:rPr>
                <w:color w:val="000000"/>
              </w:rPr>
            </w:pPr>
            <w:r w:rsidRPr="00D91804">
              <w:rPr>
                <w:color w:val="000000"/>
              </w:rPr>
              <w:t>Season 3</w:t>
            </w:r>
          </w:p>
        </w:tc>
        <w:tc>
          <w:tcPr>
            <w:tcW w:w="4401" w:type="dxa"/>
            <w:gridSpan w:val="2"/>
            <w:shd w:val="clear" w:color="auto" w:fill="auto"/>
          </w:tcPr>
          <w:p w:rsidR="00C00F13" w:rsidRPr="00D91804" w:rsidRDefault="00C00F13" w:rsidP="00C00F13">
            <w:pPr>
              <w:pStyle w:val="Paragraph"/>
              <w:spacing w:before="60"/>
              <w:ind w:firstLine="288"/>
              <w:rPr>
                <w:color w:val="000000"/>
              </w:rPr>
            </w:pPr>
            <w:r w:rsidRPr="00D91804">
              <w:rPr>
                <w:color w:val="000000"/>
              </w:rPr>
              <w:t>Every sampling point is not detected</w:t>
            </w:r>
          </w:p>
        </w:tc>
      </w:tr>
      <w:tr w:rsidR="00C00F13" w:rsidRPr="00F61149" w:rsidTr="00322AEA">
        <w:trPr>
          <w:jc w:val="center"/>
        </w:trPr>
        <w:tc>
          <w:tcPr>
            <w:tcW w:w="1341" w:type="dxa"/>
            <w:shd w:val="clear" w:color="auto" w:fill="auto"/>
          </w:tcPr>
          <w:p w:rsidR="00C00F13" w:rsidRPr="00D91804" w:rsidRDefault="00C00F13" w:rsidP="00C00F13">
            <w:pPr>
              <w:pStyle w:val="Paragraph"/>
              <w:spacing w:before="60"/>
              <w:ind w:firstLine="288"/>
              <w:rPr>
                <w:color w:val="000000"/>
              </w:rPr>
            </w:pPr>
            <w:r w:rsidRPr="00D91804">
              <w:rPr>
                <w:color w:val="000000"/>
              </w:rPr>
              <w:t>Season 4</w:t>
            </w:r>
          </w:p>
        </w:tc>
        <w:tc>
          <w:tcPr>
            <w:tcW w:w="1995" w:type="dxa"/>
            <w:shd w:val="clear" w:color="auto" w:fill="auto"/>
          </w:tcPr>
          <w:p w:rsidR="00C00F13" w:rsidRPr="00D91804" w:rsidRDefault="00C00F13" w:rsidP="00C00F13">
            <w:pPr>
              <w:pStyle w:val="Paragraph"/>
              <w:spacing w:before="60"/>
              <w:ind w:firstLine="288"/>
              <w:rPr>
                <w:color w:val="000000"/>
              </w:rPr>
            </w:pPr>
            <w:r w:rsidRPr="00D91804">
              <w:rPr>
                <w:color w:val="000000"/>
              </w:rPr>
              <w:t>CH2</w:t>
            </w:r>
          </w:p>
        </w:tc>
        <w:tc>
          <w:tcPr>
            <w:tcW w:w="2406" w:type="dxa"/>
            <w:shd w:val="clear" w:color="auto" w:fill="auto"/>
          </w:tcPr>
          <w:p w:rsidR="00C00F13" w:rsidRPr="00D91804" w:rsidRDefault="00C00F13" w:rsidP="00C00F13">
            <w:pPr>
              <w:pStyle w:val="Paragraph"/>
              <w:spacing w:before="60"/>
              <w:ind w:firstLine="288"/>
              <w:rPr>
                <w:color w:val="000000"/>
              </w:rPr>
            </w:pPr>
            <w:r w:rsidRPr="00D91804">
              <w:rPr>
                <w:color w:val="000000"/>
              </w:rPr>
              <w:t>0.0220</w:t>
            </w:r>
          </w:p>
        </w:tc>
      </w:tr>
      <w:tr w:rsidR="00C00F13" w:rsidRPr="00F61149" w:rsidTr="00322AEA">
        <w:trPr>
          <w:jc w:val="center"/>
        </w:trPr>
        <w:tc>
          <w:tcPr>
            <w:tcW w:w="1341" w:type="dxa"/>
            <w:shd w:val="clear" w:color="auto" w:fill="auto"/>
          </w:tcPr>
          <w:p w:rsidR="00C00F13" w:rsidRPr="00D91804" w:rsidRDefault="00C00F13" w:rsidP="00C00F13">
            <w:pPr>
              <w:pStyle w:val="Paragraph"/>
              <w:spacing w:before="60"/>
              <w:ind w:firstLine="288"/>
              <w:rPr>
                <w:color w:val="000000"/>
              </w:rPr>
            </w:pPr>
          </w:p>
        </w:tc>
        <w:tc>
          <w:tcPr>
            <w:tcW w:w="1995" w:type="dxa"/>
            <w:shd w:val="clear" w:color="auto" w:fill="auto"/>
          </w:tcPr>
          <w:p w:rsidR="00C00F13" w:rsidRPr="00D91804" w:rsidRDefault="00C00F13" w:rsidP="00C00F13">
            <w:pPr>
              <w:pStyle w:val="Paragraph"/>
              <w:spacing w:before="60"/>
              <w:ind w:firstLine="288"/>
              <w:rPr>
                <w:color w:val="000000"/>
              </w:rPr>
            </w:pPr>
            <w:r w:rsidRPr="00D91804">
              <w:rPr>
                <w:color w:val="000000"/>
              </w:rPr>
              <w:t>D1</w:t>
            </w:r>
          </w:p>
        </w:tc>
        <w:tc>
          <w:tcPr>
            <w:tcW w:w="2406" w:type="dxa"/>
            <w:shd w:val="clear" w:color="auto" w:fill="auto"/>
          </w:tcPr>
          <w:p w:rsidR="00C00F13" w:rsidRPr="00D91804" w:rsidRDefault="00C00F13" w:rsidP="00C00F13">
            <w:pPr>
              <w:pStyle w:val="Paragraph"/>
              <w:spacing w:before="60"/>
              <w:ind w:firstLine="288"/>
              <w:rPr>
                <w:color w:val="000000"/>
              </w:rPr>
            </w:pPr>
            <w:r w:rsidRPr="00D91804">
              <w:rPr>
                <w:color w:val="000000"/>
              </w:rPr>
              <w:t>0.1390</w:t>
            </w:r>
          </w:p>
        </w:tc>
      </w:tr>
      <w:tr w:rsidR="00C00F13" w:rsidRPr="00F61149" w:rsidTr="00322AEA">
        <w:trPr>
          <w:jc w:val="center"/>
        </w:trPr>
        <w:tc>
          <w:tcPr>
            <w:tcW w:w="1341" w:type="dxa"/>
            <w:shd w:val="clear" w:color="auto" w:fill="auto"/>
          </w:tcPr>
          <w:p w:rsidR="00C00F13" w:rsidRPr="00D91804" w:rsidRDefault="00C00F13" w:rsidP="00C00F13">
            <w:pPr>
              <w:pStyle w:val="Paragraph"/>
              <w:spacing w:before="60"/>
              <w:ind w:firstLine="288"/>
              <w:rPr>
                <w:color w:val="000000"/>
              </w:rPr>
            </w:pPr>
          </w:p>
        </w:tc>
        <w:tc>
          <w:tcPr>
            <w:tcW w:w="1995" w:type="dxa"/>
            <w:shd w:val="clear" w:color="auto" w:fill="auto"/>
          </w:tcPr>
          <w:p w:rsidR="00C00F13" w:rsidRPr="00D91804" w:rsidRDefault="00C00F13" w:rsidP="00C00F13">
            <w:pPr>
              <w:pStyle w:val="Paragraph"/>
              <w:spacing w:before="60"/>
              <w:ind w:firstLine="288"/>
              <w:rPr>
                <w:color w:val="000000"/>
              </w:rPr>
            </w:pPr>
            <w:r w:rsidRPr="00D91804">
              <w:rPr>
                <w:color w:val="000000"/>
              </w:rPr>
              <w:t>D2</w:t>
            </w:r>
          </w:p>
        </w:tc>
        <w:tc>
          <w:tcPr>
            <w:tcW w:w="2406" w:type="dxa"/>
            <w:shd w:val="clear" w:color="auto" w:fill="auto"/>
          </w:tcPr>
          <w:p w:rsidR="00C00F13" w:rsidRPr="00D91804" w:rsidRDefault="00C00F13" w:rsidP="00C00F13">
            <w:pPr>
              <w:pStyle w:val="Paragraph"/>
              <w:spacing w:before="60"/>
              <w:ind w:firstLine="288"/>
              <w:rPr>
                <w:color w:val="000000"/>
              </w:rPr>
            </w:pPr>
            <w:r w:rsidRPr="00D91804">
              <w:rPr>
                <w:color w:val="000000"/>
              </w:rPr>
              <w:t>0.0575</w:t>
            </w:r>
          </w:p>
        </w:tc>
      </w:tr>
      <w:tr w:rsidR="00C00F13" w:rsidRPr="00F61149" w:rsidTr="00322AEA">
        <w:trPr>
          <w:jc w:val="center"/>
        </w:trPr>
        <w:tc>
          <w:tcPr>
            <w:tcW w:w="1341" w:type="dxa"/>
            <w:shd w:val="clear" w:color="auto" w:fill="auto"/>
          </w:tcPr>
          <w:p w:rsidR="00C00F13" w:rsidRPr="00D91804" w:rsidRDefault="00C00F13" w:rsidP="00C00F13">
            <w:pPr>
              <w:pStyle w:val="Paragraph"/>
              <w:spacing w:before="60"/>
              <w:ind w:firstLine="288"/>
              <w:rPr>
                <w:color w:val="000000"/>
              </w:rPr>
            </w:pPr>
          </w:p>
        </w:tc>
        <w:tc>
          <w:tcPr>
            <w:tcW w:w="1995" w:type="dxa"/>
            <w:shd w:val="clear" w:color="auto" w:fill="auto"/>
          </w:tcPr>
          <w:p w:rsidR="00C00F13" w:rsidRPr="00D91804" w:rsidRDefault="00C00F13" w:rsidP="00C00F13">
            <w:pPr>
              <w:pStyle w:val="Paragraph"/>
              <w:spacing w:before="60"/>
              <w:ind w:firstLine="288"/>
              <w:rPr>
                <w:color w:val="000000"/>
              </w:rPr>
            </w:pPr>
            <w:r w:rsidRPr="00D91804">
              <w:rPr>
                <w:color w:val="000000"/>
              </w:rPr>
              <w:t>K1</w:t>
            </w:r>
          </w:p>
        </w:tc>
        <w:tc>
          <w:tcPr>
            <w:tcW w:w="2406" w:type="dxa"/>
            <w:shd w:val="clear" w:color="auto" w:fill="auto"/>
          </w:tcPr>
          <w:p w:rsidR="00C00F13" w:rsidRPr="00D91804" w:rsidRDefault="00C00F13" w:rsidP="00C00F13">
            <w:pPr>
              <w:pStyle w:val="Paragraph"/>
              <w:spacing w:before="60"/>
              <w:ind w:firstLine="288"/>
              <w:rPr>
                <w:color w:val="000000"/>
              </w:rPr>
            </w:pPr>
            <w:r w:rsidRPr="00D91804">
              <w:rPr>
                <w:color w:val="000000"/>
              </w:rPr>
              <w:t>0.0472</w:t>
            </w:r>
          </w:p>
        </w:tc>
      </w:tr>
      <w:tr w:rsidR="00C00F13" w:rsidRPr="00F61149" w:rsidTr="00322AEA">
        <w:trPr>
          <w:jc w:val="center"/>
        </w:trPr>
        <w:tc>
          <w:tcPr>
            <w:tcW w:w="1341" w:type="dxa"/>
            <w:shd w:val="clear" w:color="auto" w:fill="auto"/>
          </w:tcPr>
          <w:p w:rsidR="00C00F13" w:rsidRPr="00D91804" w:rsidRDefault="00C00F13" w:rsidP="00C00F13">
            <w:pPr>
              <w:pStyle w:val="Paragraph"/>
              <w:spacing w:before="60"/>
              <w:ind w:firstLine="288"/>
              <w:rPr>
                <w:color w:val="000000"/>
              </w:rPr>
            </w:pPr>
          </w:p>
        </w:tc>
        <w:tc>
          <w:tcPr>
            <w:tcW w:w="1995" w:type="dxa"/>
            <w:shd w:val="clear" w:color="auto" w:fill="auto"/>
          </w:tcPr>
          <w:p w:rsidR="00C00F13" w:rsidRPr="00D91804" w:rsidRDefault="00C00F13" w:rsidP="00C00F13">
            <w:pPr>
              <w:pStyle w:val="Paragraph"/>
              <w:spacing w:before="60"/>
              <w:ind w:firstLine="288"/>
              <w:rPr>
                <w:color w:val="000000"/>
              </w:rPr>
            </w:pPr>
            <w:r w:rsidRPr="00D91804">
              <w:rPr>
                <w:color w:val="000000"/>
              </w:rPr>
              <w:t>K2</w:t>
            </w:r>
          </w:p>
        </w:tc>
        <w:tc>
          <w:tcPr>
            <w:tcW w:w="2406" w:type="dxa"/>
            <w:shd w:val="clear" w:color="auto" w:fill="auto"/>
          </w:tcPr>
          <w:p w:rsidR="00C00F13" w:rsidRPr="00D91804" w:rsidRDefault="00C00F13" w:rsidP="00C00F13">
            <w:pPr>
              <w:pStyle w:val="Paragraph"/>
              <w:spacing w:before="60"/>
              <w:ind w:firstLine="288"/>
              <w:rPr>
                <w:color w:val="000000"/>
              </w:rPr>
            </w:pPr>
            <w:r w:rsidRPr="00D91804">
              <w:rPr>
                <w:color w:val="000000"/>
              </w:rPr>
              <w:t>0.1238</w:t>
            </w:r>
          </w:p>
        </w:tc>
      </w:tr>
      <w:tr w:rsidR="00C00F13" w:rsidRPr="00F61149" w:rsidTr="00322AEA">
        <w:trPr>
          <w:trHeight w:val="72"/>
          <w:jc w:val="center"/>
        </w:trPr>
        <w:tc>
          <w:tcPr>
            <w:tcW w:w="1341" w:type="dxa"/>
            <w:tcBorders>
              <w:bottom w:val="single" w:sz="4" w:space="0" w:color="auto"/>
            </w:tcBorders>
            <w:shd w:val="clear" w:color="auto" w:fill="auto"/>
          </w:tcPr>
          <w:p w:rsidR="00C00F13" w:rsidRPr="00D91804" w:rsidRDefault="00C00F13" w:rsidP="00C00F13">
            <w:pPr>
              <w:pStyle w:val="Paragraph"/>
              <w:spacing w:before="60" w:after="60"/>
              <w:ind w:firstLine="288"/>
              <w:rPr>
                <w:color w:val="000000"/>
              </w:rPr>
            </w:pPr>
          </w:p>
        </w:tc>
        <w:tc>
          <w:tcPr>
            <w:tcW w:w="1995" w:type="dxa"/>
            <w:tcBorders>
              <w:bottom w:val="single" w:sz="4" w:space="0" w:color="auto"/>
            </w:tcBorders>
            <w:shd w:val="clear" w:color="auto" w:fill="auto"/>
          </w:tcPr>
          <w:p w:rsidR="00C00F13" w:rsidRPr="00D91804" w:rsidRDefault="00C00F13" w:rsidP="00C00F13">
            <w:pPr>
              <w:pStyle w:val="Paragraph"/>
              <w:spacing w:before="60" w:after="60"/>
              <w:ind w:firstLine="288"/>
              <w:rPr>
                <w:color w:val="000000"/>
              </w:rPr>
            </w:pPr>
            <w:r w:rsidRPr="00D91804">
              <w:rPr>
                <w:color w:val="000000"/>
              </w:rPr>
              <w:t>K3</w:t>
            </w:r>
          </w:p>
        </w:tc>
        <w:tc>
          <w:tcPr>
            <w:tcW w:w="2406" w:type="dxa"/>
            <w:tcBorders>
              <w:bottom w:val="single" w:sz="4" w:space="0" w:color="auto"/>
            </w:tcBorders>
            <w:shd w:val="clear" w:color="auto" w:fill="auto"/>
          </w:tcPr>
          <w:p w:rsidR="00C00F13" w:rsidRPr="00D91804" w:rsidRDefault="00C00F13" w:rsidP="00C00F13">
            <w:pPr>
              <w:pStyle w:val="Paragraph"/>
              <w:spacing w:before="60" w:after="60"/>
              <w:ind w:firstLine="288"/>
              <w:rPr>
                <w:color w:val="000000"/>
              </w:rPr>
            </w:pPr>
            <w:r w:rsidRPr="00D91804">
              <w:rPr>
                <w:color w:val="000000"/>
              </w:rPr>
              <w:t>0.0381</w:t>
            </w:r>
          </w:p>
        </w:tc>
      </w:tr>
    </w:tbl>
    <w:p w:rsidR="00A754DC" w:rsidRPr="00C00F13" w:rsidRDefault="00A754DC" w:rsidP="00A754DC">
      <w:pPr>
        <w:jc w:val="both"/>
        <w:rPr>
          <w:color w:val="000000"/>
          <w:szCs w:val="24"/>
        </w:rPr>
      </w:pPr>
    </w:p>
    <w:p w:rsidR="00A754DC" w:rsidRPr="00D91804" w:rsidRDefault="00A754DC" w:rsidP="00C00F13">
      <w:pPr>
        <w:pStyle w:val="Paragraph"/>
        <w:ind w:firstLine="0"/>
        <w:jc w:val="center"/>
        <w:rPr>
          <w:color w:val="000000"/>
        </w:rPr>
      </w:pPr>
      <w:r>
        <w:rPr>
          <w:noProof/>
          <w:color w:val="000000"/>
        </w:rPr>
        <w:drawing>
          <wp:inline distT="0" distB="0" distL="0" distR="0">
            <wp:extent cx="5712460" cy="2132330"/>
            <wp:effectExtent l="0" t="0" r="21590" b="20320"/>
            <wp:docPr id="4"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00F13" w:rsidRDefault="00C00F13" w:rsidP="00C00F13">
      <w:pPr>
        <w:pStyle w:val="FigureCaption"/>
        <w:spacing w:before="0"/>
        <w:rPr>
          <w:color w:val="000000"/>
          <w:sz w:val="20"/>
          <w:szCs w:val="18"/>
          <w:lang w:val="en-MY" w:eastAsia="en-GB"/>
        </w:rPr>
      </w:pPr>
    </w:p>
    <w:p w:rsidR="00A754DC" w:rsidRDefault="004126C1" w:rsidP="00C00F13">
      <w:pPr>
        <w:pStyle w:val="FigureCaption"/>
        <w:spacing w:before="0"/>
        <w:rPr>
          <w:color w:val="000000"/>
          <w:sz w:val="20"/>
        </w:rPr>
      </w:pPr>
      <w:r>
        <w:rPr>
          <w:color w:val="000000"/>
          <w:sz w:val="20"/>
          <w:szCs w:val="18"/>
          <w:lang w:val="en-MY" w:eastAsia="en-GB"/>
        </w:rPr>
        <w:t>Figure 5</w:t>
      </w:r>
      <w:r w:rsidR="00A754DC" w:rsidRPr="00D20CDC">
        <w:rPr>
          <w:color w:val="000000"/>
          <w:sz w:val="20"/>
          <w:szCs w:val="18"/>
          <w:lang w:val="en-MY" w:eastAsia="en-GB"/>
        </w:rPr>
        <w:t>.</w:t>
      </w:r>
      <w:r w:rsidR="00A754DC" w:rsidRPr="00D20CDC">
        <w:rPr>
          <w:color w:val="000000"/>
          <w:sz w:val="20"/>
        </w:rPr>
        <w:t xml:space="preserve"> </w:t>
      </w:r>
      <w:r w:rsidR="00C00F13">
        <w:rPr>
          <w:color w:val="000000"/>
          <w:sz w:val="20"/>
        </w:rPr>
        <w:t xml:space="preserve"> </w:t>
      </w:r>
      <w:r w:rsidR="00A754DC">
        <w:rPr>
          <w:color w:val="000000"/>
          <w:sz w:val="20"/>
        </w:rPr>
        <w:t>MSM concentration in water</w:t>
      </w:r>
    </w:p>
    <w:p w:rsidR="00A754DC" w:rsidRPr="00D91804" w:rsidRDefault="00A754DC" w:rsidP="00A754DC">
      <w:pPr>
        <w:pStyle w:val="Paragraph"/>
        <w:ind w:firstLine="0"/>
        <w:rPr>
          <w:color w:val="000000"/>
          <w:sz w:val="18"/>
          <w:szCs w:val="18"/>
        </w:rPr>
      </w:pP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C00F13" w:rsidRDefault="00C00F13" w:rsidP="00C00F13">
      <w:pPr>
        <w:pStyle w:val="Paragraph"/>
        <w:ind w:firstLine="0"/>
        <w:rPr>
          <w:color w:val="000000"/>
        </w:rPr>
      </w:pPr>
      <w:r>
        <w:rPr>
          <w:color w:val="000000"/>
        </w:rPr>
        <w:t>T</w:t>
      </w:r>
      <w:r w:rsidRPr="00D91804">
        <w:rPr>
          <w:color w:val="000000"/>
        </w:rPr>
        <w:t xml:space="preserve">he inclusion of </w:t>
      </w:r>
      <w:r>
        <w:rPr>
          <w:color w:val="000000"/>
        </w:rPr>
        <w:t xml:space="preserve">the study of </w:t>
      </w:r>
      <w:r w:rsidRPr="00D91804">
        <w:rPr>
          <w:color w:val="000000"/>
        </w:rPr>
        <w:t>metabolites in monitoring programs and in experimental studies is mandatory. Th</w:t>
      </w:r>
      <w:r>
        <w:rPr>
          <w:color w:val="000000"/>
        </w:rPr>
        <w:t>e</w:t>
      </w:r>
      <w:r w:rsidRPr="00D91804">
        <w:rPr>
          <w:color w:val="000000"/>
        </w:rPr>
        <w:t xml:space="preserve"> optimized method </w:t>
      </w:r>
      <w:r>
        <w:rPr>
          <w:color w:val="000000"/>
        </w:rPr>
        <w:t xml:space="preserve">used </w:t>
      </w:r>
      <w:r w:rsidRPr="00D91804">
        <w:rPr>
          <w:color w:val="000000"/>
        </w:rPr>
        <w:t>show</w:t>
      </w:r>
      <w:r>
        <w:rPr>
          <w:color w:val="000000"/>
        </w:rPr>
        <w:t>ed</w:t>
      </w:r>
      <w:r w:rsidRPr="00D91804">
        <w:rPr>
          <w:color w:val="000000"/>
        </w:rPr>
        <w:t xml:space="preserve"> an adequate sensitivity for the detection of MSM and AMMT in water samples by a simple procedure</w:t>
      </w:r>
      <w:r>
        <w:rPr>
          <w:color w:val="000000"/>
        </w:rPr>
        <w:t>.</w:t>
      </w:r>
      <w:r w:rsidRPr="00D91804">
        <w:rPr>
          <w:color w:val="000000"/>
        </w:rPr>
        <w:t xml:space="preserve"> Concerning the levels of MSM detected in the water samples, there </w:t>
      </w:r>
      <w:r>
        <w:rPr>
          <w:color w:val="000000"/>
        </w:rPr>
        <w:t>was</w:t>
      </w:r>
      <w:r w:rsidRPr="00D91804">
        <w:rPr>
          <w:color w:val="000000"/>
        </w:rPr>
        <w:t xml:space="preserve"> no direct relationship </w:t>
      </w:r>
      <w:r>
        <w:rPr>
          <w:color w:val="000000"/>
        </w:rPr>
        <w:t xml:space="preserve">observed </w:t>
      </w:r>
      <w:r w:rsidRPr="00D91804">
        <w:rPr>
          <w:color w:val="000000"/>
        </w:rPr>
        <w:t xml:space="preserve">between MSM application </w:t>
      </w:r>
      <w:r>
        <w:rPr>
          <w:color w:val="000000"/>
        </w:rPr>
        <w:t xml:space="preserve">time </w:t>
      </w:r>
      <w:r w:rsidRPr="00D91804">
        <w:rPr>
          <w:color w:val="000000"/>
        </w:rPr>
        <w:t xml:space="preserve">and its detection in water. However, the rain events cause </w:t>
      </w:r>
      <w:r>
        <w:rPr>
          <w:color w:val="000000"/>
        </w:rPr>
        <w:t>a</w:t>
      </w:r>
      <w:r w:rsidRPr="00D91804">
        <w:rPr>
          <w:color w:val="000000"/>
        </w:rPr>
        <w:t xml:space="preserve"> rise in MSM concentration in </w:t>
      </w:r>
      <w:r>
        <w:rPr>
          <w:color w:val="000000"/>
        </w:rPr>
        <w:t xml:space="preserve">the </w:t>
      </w:r>
      <w:r w:rsidRPr="00D91804">
        <w:rPr>
          <w:color w:val="000000"/>
        </w:rPr>
        <w:t xml:space="preserve">water. Finally, the contribution of this preliminary study is </w:t>
      </w:r>
      <w:r>
        <w:rPr>
          <w:color w:val="000000"/>
        </w:rPr>
        <w:t>disclosed</w:t>
      </w:r>
      <w:r w:rsidRPr="00D91804">
        <w:rPr>
          <w:color w:val="000000"/>
        </w:rPr>
        <w:t xml:space="preserve"> because there is little</w:t>
      </w:r>
      <w:r>
        <w:rPr>
          <w:color w:val="000000"/>
        </w:rPr>
        <w:t xml:space="preserve"> unpublished</w:t>
      </w:r>
      <w:r w:rsidRPr="00D91804">
        <w:rPr>
          <w:color w:val="000000"/>
        </w:rPr>
        <w:t xml:space="preserve"> information in this region regarding pesticides application. Further stud</w:t>
      </w:r>
      <w:r>
        <w:rPr>
          <w:color w:val="000000"/>
        </w:rPr>
        <w:t>ies</w:t>
      </w:r>
      <w:r w:rsidRPr="00D91804">
        <w:rPr>
          <w:color w:val="000000"/>
        </w:rPr>
        <w:t xml:space="preserve"> for pesticide modeling </w:t>
      </w:r>
      <w:r>
        <w:rPr>
          <w:color w:val="000000"/>
        </w:rPr>
        <w:t>on a</w:t>
      </w:r>
      <w:r w:rsidRPr="00D91804">
        <w:rPr>
          <w:color w:val="000000"/>
        </w:rPr>
        <w:t xml:space="preserve"> monthly basis will be a useful tool </w:t>
      </w:r>
      <w:r>
        <w:rPr>
          <w:color w:val="000000"/>
        </w:rPr>
        <w:t>for</w:t>
      </w:r>
      <w:r w:rsidRPr="00D91804">
        <w:rPr>
          <w:color w:val="000000"/>
        </w:rPr>
        <w:t xml:space="preserve"> estimat</w:t>
      </w:r>
      <w:r>
        <w:rPr>
          <w:color w:val="000000"/>
        </w:rPr>
        <w:t>ion</w:t>
      </w:r>
      <w:r w:rsidRPr="00D91804">
        <w:rPr>
          <w:color w:val="000000"/>
        </w:rPr>
        <w:t xml:space="preserve"> </w:t>
      </w:r>
      <w:r>
        <w:rPr>
          <w:color w:val="000000"/>
        </w:rPr>
        <w:t>of application rates</w:t>
      </w:r>
      <w:r w:rsidRPr="00D91804">
        <w:rPr>
          <w:color w:val="000000"/>
        </w:rPr>
        <w:t xml:space="preserve">. </w:t>
      </w:r>
    </w:p>
    <w:p w:rsidR="006768E9" w:rsidRPr="00F447A7" w:rsidRDefault="006768E9" w:rsidP="00C00F13">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768E9" w:rsidRPr="00C00F13" w:rsidRDefault="00C00F13" w:rsidP="00C00F13">
      <w:pPr>
        <w:pStyle w:val="Paragraph"/>
        <w:ind w:firstLine="0"/>
        <w:rPr>
          <w:color w:val="000000"/>
        </w:rPr>
      </w:pPr>
      <w:r w:rsidRPr="00D91804">
        <w:rPr>
          <w:color w:val="000000"/>
        </w:rPr>
        <w:t>The authors wish to thank the Ministry of Science, Technology and Innovation (MOSTI) for the grant (06</w:t>
      </w:r>
      <w:r>
        <w:rPr>
          <w:color w:val="000000"/>
        </w:rPr>
        <w:t>-01-02-</w:t>
      </w:r>
      <w:r w:rsidRPr="00D91804">
        <w:rPr>
          <w:color w:val="000000"/>
        </w:rPr>
        <w:t xml:space="preserve">SF0827) </w:t>
      </w:r>
      <w:r>
        <w:rPr>
          <w:color w:val="000000"/>
        </w:rPr>
        <w:t>to</w:t>
      </w:r>
      <w:r w:rsidRPr="00D91804">
        <w:rPr>
          <w:color w:val="000000"/>
        </w:rPr>
        <w:t xml:space="preserve"> fund this project; Pusat Penyelidikan Tasik Chini and Faculty </w:t>
      </w:r>
      <w:r>
        <w:rPr>
          <w:color w:val="000000"/>
        </w:rPr>
        <w:t xml:space="preserve">of </w:t>
      </w:r>
      <w:r w:rsidRPr="00D91804">
        <w:rPr>
          <w:color w:val="000000"/>
        </w:rPr>
        <w:t xml:space="preserve">Science and Technology, UKM for the research facilities. </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C00F13" w:rsidRPr="00C00F13" w:rsidRDefault="00C00F13" w:rsidP="00C00F13">
      <w:pPr>
        <w:pStyle w:val="ListParagraph"/>
        <w:numPr>
          <w:ilvl w:val="0"/>
          <w:numId w:val="2"/>
        </w:numPr>
        <w:spacing w:after="0" w:line="240" w:lineRule="auto"/>
        <w:ind w:left="360"/>
        <w:contextualSpacing w:val="0"/>
        <w:jc w:val="both"/>
        <w:rPr>
          <w:rFonts w:ascii="Times New Roman" w:hAnsi="Times New Roman"/>
          <w:color w:val="000000"/>
          <w:sz w:val="20"/>
        </w:rPr>
      </w:pPr>
      <w:r w:rsidRPr="00C00F13">
        <w:rPr>
          <w:rFonts w:ascii="Times New Roman" w:hAnsi="Times New Roman"/>
          <w:color w:val="000000"/>
          <w:sz w:val="20"/>
          <w:lang w:val="en-MY" w:eastAsia="en-GB"/>
        </w:rPr>
        <w:t>Beyer, E .M., Duffy, M. J., Hay, J. V. and Schlueter, D. D. (1988). Sulfonylureas. In: Kearney, P.C., and Kaufman, D.D. (Eds.), Herbicides. Chemistry, Degradation and Mode of Action, Dekker, New York.</w:t>
      </w:r>
    </w:p>
    <w:p w:rsidR="00C00F13" w:rsidRPr="00C00F13" w:rsidRDefault="00C00F13" w:rsidP="00C00F13">
      <w:pPr>
        <w:pStyle w:val="ListParagraph"/>
        <w:numPr>
          <w:ilvl w:val="0"/>
          <w:numId w:val="2"/>
        </w:numPr>
        <w:spacing w:after="0" w:line="240" w:lineRule="auto"/>
        <w:ind w:left="360"/>
        <w:contextualSpacing w:val="0"/>
        <w:jc w:val="both"/>
        <w:rPr>
          <w:rFonts w:ascii="Times New Roman" w:hAnsi="Times New Roman"/>
          <w:color w:val="000000"/>
          <w:sz w:val="20"/>
        </w:rPr>
      </w:pPr>
      <w:r w:rsidRPr="00C00F13">
        <w:rPr>
          <w:rFonts w:ascii="Times New Roman" w:hAnsi="Times New Roman"/>
          <w:noProof/>
          <w:color w:val="000000"/>
          <w:sz w:val="20"/>
        </w:rPr>
        <w:t xml:space="preserve">Ray, T. B. (1984). Site of action of chlorsulfuron: inhibition of valine and isoleucine biosynthesis in plants. </w:t>
      </w:r>
      <w:r w:rsidRPr="00C00F13">
        <w:rPr>
          <w:rFonts w:ascii="Times New Roman" w:hAnsi="Times New Roman"/>
          <w:i/>
          <w:iCs/>
          <w:noProof/>
          <w:color w:val="000000"/>
          <w:sz w:val="20"/>
        </w:rPr>
        <w:t>Plant Physiology</w:t>
      </w:r>
      <w:r w:rsidRPr="00C00F13">
        <w:rPr>
          <w:rFonts w:ascii="Times New Roman" w:hAnsi="Times New Roman"/>
          <w:noProof/>
          <w:color w:val="000000"/>
          <w:sz w:val="20"/>
        </w:rPr>
        <w:t xml:space="preserve">, </w:t>
      </w:r>
      <w:r w:rsidRPr="00C00F13">
        <w:rPr>
          <w:rFonts w:ascii="Times New Roman" w:hAnsi="Times New Roman"/>
          <w:i/>
          <w:iCs/>
          <w:noProof/>
          <w:color w:val="000000"/>
          <w:sz w:val="20"/>
        </w:rPr>
        <w:t>75</w:t>
      </w:r>
      <w:r w:rsidRPr="00C00F13">
        <w:rPr>
          <w:rFonts w:ascii="Times New Roman" w:hAnsi="Times New Roman"/>
          <w:noProof/>
          <w:color w:val="000000"/>
          <w:sz w:val="20"/>
        </w:rPr>
        <w:t>, 827 – 831.</w:t>
      </w:r>
    </w:p>
    <w:p w:rsidR="00C00F13" w:rsidRPr="00C00F13" w:rsidRDefault="00C00F13" w:rsidP="00C00F13">
      <w:pPr>
        <w:pStyle w:val="ListParagraph"/>
        <w:numPr>
          <w:ilvl w:val="0"/>
          <w:numId w:val="2"/>
        </w:numPr>
        <w:spacing w:after="0" w:line="240" w:lineRule="auto"/>
        <w:ind w:left="360"/>
        <w:contextualSpacing w:val="0"/>
        <w:jc w:val="both"/>
        <w:rPr>
          <w:rFonts w:ascii="Times New Roman" w:hAnsi="Times New Roman"/>
          <w:color w:val="000000"/>
          <w:sz w:val="20"/>
        </w:rPr>
      </w:pPr>
      <w:r w:rsidRPr="00C00F13">
        <w:rPr>
          <w:rFonts w:ascii="Times New Roman" w:hAnsi="Times New Roman"/>
          <w:color w:val="000000"/>
          <w:sz w:val="20"/>
        </w:rPr>
        <w:t>Health Canada Pest Management Regulatory Agency (2008). Re-evaluation Decision. Metsulfuron Methyl.</w:t>
      </w:r>
      <w:r w:rsidRPr="00C00F13">
        <w:rPr>
          <w:rFonts w:ascii="Times New Roman" w:hAnsi="Times New Roman"/>
          <w:i/>
          <w:color w:val="000000"/>
          <w:sz w:val="20"/>
        </w:rPr>
        <w:t xml:space="preserve"> </w:t>
      </w:r>
      <w:r w:rsidRPr="00C00F13">
        <w:rPr>
          <w:rFonts w:ascii="Times New Roman" w:hAnsi="Times New Roman"/>
          <w:color w:val="000000"/>
          <w:sz w:val="20"/>
        </w:rPr>
        <w:t>Ontario: Minister of Public Works and Government Services Canada.</w:t>
      </w:r>
    </w:p>
    <w:p w:rsidR="00C00F13" w:rsidRPr="00C00F13" w:rsidRDefault="00C00F13" w:rsidP="00C00F13">
      <w:pPr>
        <w:pStyle w:val="ListParagraph"/>
        <w:numPr>
          <w:ilvl w:val="0"/>
          <w:numId w:val="2"/>
        </w:numPr>
        <w:spacing w:after="0" w:line="240" w:lineRule="auto"/>
        <w:ind w:left="360"/>
        <w:contextualSpacing w:val="0"/>
        <w:jc w:val="both"/>
        <w:rPr>
          <w:rFonts w:ascii="Times New Roman" w:hAnsi="Times New Roman"/>
          <w:color w:val="000000"/>
          <w:sz w:val="20"/>
        </w:rPr>
      </w:pPr>
      <w:r w:rsidRPr="00C00F13">
        <w:rPr>
          <w:rFonts w:ascii="Times New Roman" w:hAnsi="Times New Roman"/>
          <w:color w:val="000000"/>
          <w:sz w:val="20"/>
        </w:rPr>
        <w:t xml:space="preserve">Abdullah, A. R, Saraswathy, S. and Norhayati, M. T. (2001). Adsorption-desorption and mobility of metsulfuron methyl in selected Malaysian agricultural soils. </w:t>
      </w:r>
      <w:r w:rsidRPr="00C00F13">
        <w:rPr>
          <w:rFonts w:ascii="Times New Roman" w:hAnsi="Times New Roman"/>
          <w:i/>
          <w:color w:val="000000"/>
          <w:sz w:val="20"/>
        </w:rPr>
        <w:t>Bulletin of Environmental Contamination and Toxicology</w:t>
      </w:r>
      <w:r w:rsidRPr="00C00F13">
        <w:rPr>
          <w:rFonts w:ascii="Times New Roman" w:hAnsi="Times New Roman"/>
          <w:color w:val="000000"/>
          <w:sz w:val="20"/>
        </w:rPr>
        <w:t xml:space="preserve"> 66: 762 – 769.</w:t>
      </w:r>
    </w:p>
    <w:p w:rsidR="00C00F13" w:rsidRPr="00C00F13" w:rsidRDefault="00C00F13" w:rsidP="00C00F13">
      <w:pPr>
        <w:pStyle w:val="ListParagraph"/>
        <w:numPr>
          <w:ilvl w:val="0"/>
          <w:numId w:val="2"/>
        </w:numPr>
        <w:spacing w:after="0" w:line="240" w:lineRule="auto"/>
        <w:ind w:left="360"/>
        <w:contextualSpacing w:val="0"/>
        <w:jc w:val="both"/>
        <w:rPr>
          <w:rFonts w:ascii="Times New Roman" w:hAnsi="Times New Roman"/>
          <w:color w:val="000000"/>
          <w:sz w:val="20"/>
        </w:rPr>
      </w:pPr>
      <w:r w:rsidRPr="00C00F13">
        <w:rPr>
          <w:rStyle w:val="addmd"/>
          <w:rFonts w:ascii="Times New Roman" w:hAnsi="Times New Roman"/>
          <w:color w:val="000000"/>
          <w:sz w:val="20"/>
        </w:rPr>
        <w:t>Brown, H. M., Gaddamidi, V. and Lee, P. W. (1998). Sulfonylureas. In:</w:t>
      </w:r>
      <w:r w:rsidRPr="00C00F13">
        <w:rPr>
          <w:rFonts w:ascii="Times New Roman" w:hAnsi="Times New Roman"/>
          <w:color w:val="000000"/>
          <w:sz w:val="20"/>
        </w:rPr>
        <w:t xml:space="preserve"> Hutsons, D. H., and </w:t>
      </w:r>
      <w:r w:rsidRPr="00C00F13">
        <w:rPr>
          <w:rStyle w:val="addmd"/>
          <w:rFonts w:ascii="Times New Roman" w:hAnsi="Times New Roman"/>
          <w:color w:val="000000"/>
          <w:sz w:val="20"/>
        </w:rPr>
        <w:t xml:space="preserve">Roberts, T. (Eds.), </w:t>
      </w:r>
      <w:r w:rsidRPr="00C00F13">
        <w:rPr>
          <w:rFonts w:ascii="Times New Roman" w:hAnsi="Times New Roman"/>
          <w:color w:val="000000"/>
          <w:sz w:val="20"/>
        </w:rPr>
        <w:t>Metabolic Pathways of Agrochemicals: Herbicides and plant growth regulators. The Royal Science of Chemistry, Cambridge.</w:t>
      </w:r>
      <w:r w:rsidRPr="00C00F13">
        <w:rPr>
          <w:rStyle w:val="addmd"/>
          <w:rFonts w:ascii="Times New Roman" w:hAnsi="Times New Roman"/>
          <w:color w:val="000000"/>
          <w:sz w:val="20"/>
        </w:rPr>
        <w:t xml:space="preserve"> </w:t>
      </w:r>
    </w:p>
    <w:p w:rsidR="00C00F13" w:rsidRPr="00C00F13" w:rsidRDefault="00C00F13" w:rsidP="00C00F13">
      <w:pPr>
        <w:pStyle w:val="ListParagraph"/>
        <w:numPr>
          <w:ilvl w:val="0"/>
          <w:numId w:val="2"/>
        </w:numPr>
        <w:spacing w:after="0" w:line="240" w:lineRule="auto"/>
        <w:ind w:left="360"/>
        <w:contextualSpacing w:val="0"/>
        <w:jc w:val="both"/>
        <w:rPr>
          <w:rFonts w:ascii="Times New Roman" w:hAnsi="Times New Roman"/>
          <w:color w:val="000000"/>
          <w:sz w:val="20"/>
        </w:rPr>
      </w:pPr>
      <w:r w:rsidRPr="00C00F13">
        <w:rPr>
          <w:rFonts w:ascii="Times New Roman" w:hAnsi="Times New Roman"/>
          <w:color w:val="000000"/>
          <w:sz w:val="20"/>
          <w:lang w:val="en-MY" w:eastAsia="en-GB"/>
        </w:rPr>
        <w:t xml:space="preserve">Kjaer, C. M. Strandberg, and Erlandsen, M. (2006). Effects on hawthorn the year after simulated spray drift. </w:t>
      </w:r>
      <w:r w:rsidRPr="00C00F13">
        <w:rPr>
          <w:rFonts w:ascii="Times New Roman" w:hAnsi="Times New Roman"/>
          <w:i/>
          <w:color w:val="000000"/>
          <w:sz w:val="20"/>
          <w:lang w:val="en-MY" w:eastAsia="en-GB"/>
        </w:rPr>
        <w:t>Chemosphere</w:t>
      </w:r>
      <w:r w:rsidRPr="00C00F13">
        <w:rPr>
          <w:rFonts w:ascii="Times New Roman" w:hAnsi="Times New Roman"/>
          <w:color w:val="000000"/>
          <w:sz w:val="20"/>
          <w:lang w:val="en-MY" w:eastAsia="en-GB"/>
        </w:rPr>
        <w:t>. 63(5): 853 – 859.</w:t>
      </w:r>
    </w:p>
    <w:p w:rsidR="00C00F13" w:rsidRPr="00C00F13" w:rsidRDefault="00C00F13" w:rsidP="00C00F13">
      <w:pPr>
        <w:pStyle w:val="ListParagraph"/>
        <w:numPr>
          <w:ilvl w:val="0"/>
          <w:numId w:val="2"/>
        </w:numPr>
        <w:spacing w:after="0" w:line="240" w:lineRule="auto"/>
        <w:ind w:left="360"/>
        <w:contextualSpacing w:val="0"/>
        <w:jc w:val="both"/>
        <w:rPr>
          <w:rFonts w:ascii="Times New Roman" w:hAnsi="Times New Roman"/>
          <w:color w:val="000000"/>
          <w:sz w:val="20"/>
          <w:lang w:val="en-MY" w:eastAsia="en-GB"/>
        </w:rPr>
      </w:pPr>
      <w:r w:rsidRPr="00C00F13">
        <w:rPr>
          <w:rFonts w:ascii="Times New Roman" w:hAnsi="Times New Roman"/>
          <w:color w:val="000000"/>
          <w:sz w:val="20"/>
          <w:lang w:val="en-MY" w:eastAsia="en-GB"/>
        </w:rPr>
        <w:t>Li, Z. J., Xu, J. M., Muhammad, A. and Ma, G. R. (2005). Effect of bound residues of Metsulfuron-methyl in soil on rice growth</w:t>
      </w:r>
      <w:r w:rsidRPr="00C00F13">
        <w:rPr>
          <w:rFonts w:ascii="Times New Roman" w:hAnsi="Times New Roman"/>
          <w:i/>
          <w:color w:val="000000"/>
          <w:sz w:val="20"/>
          <w:lang w:val="en-MY" w:eastAsia="en-GB"/>
        </w:rPr>
        <w:t>. Chemosphere</w:t>
      </w:r>
      <w:r w:rsidRPr="00C00F13">
        <w:rPr>
          <w:rFonts w:ascii="Times New Roman" w:hAnsi="Times New Roman"/>
          <w:color w:val="000000"/>
          <w:sz w:val="20"/>
          <w:lang w:val="en-MY" w:eastAsia="en-GB"/>
        </w:rPr>
        <w:t>. 58: 1177 – 1183.</w:t>
      </w:r>
    </w:p>
    <w:p w:rsidR="00C00F13" w:rsidRPr="00C00F13" w:rsidRDefault="00C00F13" w:rsidP="00C00F13">
      <w:pPr>
        <w:pStyle w:val="ListParagraph"/>
        <w:numPr>
          <w:ilvl w:val="0"/>
          <w:numId w:val="2"/>
        </w:numPr>
        <w:spacing w:after="0" w:line="240" w:lineRule="auto"/>
        <w:ind w:left="360"/>
        <w:contextualSpacing w:val="0"/>
        <w:jc w:val="both"/>
        <w:rPr>
          <w:rFonts w:ascii="Times New Roman" w:hAnsi="Times New Roman"/>
          <w:color w:val="000000"/>
          <w:sz w:val="20"/>
        </w:rPr>
      </w:pPr>
      <w:r w:rsidRPr="00C00F13">
        <w:rPr>
          <w:rFonts w:ascii="Times New Roman" w:hAnsi="Times New Roman"/>
          <w:color w:val="000000"/>
          <w:sz w:val="20"/>
        </w:rPr>
        <w:lastRenderedPageBreak/>
        <w:t xml:space="preserve">Berger, B. M. and Wolfe, N. L. (1996). Hydrolysis and biodegradation of sulfonylurea herbicides in aqueous buffers and anaerobic water-sediment systems: assessing fate pathways using molecular descriptors. </w:t>
      </w:r>
      <w:r w:rsidRPr="00C00F13">
        <w:rPr>
          <w:rFonts w:ascii="Times New Roman" w:hAnsi="Times New Roman"/>
          <w:i/>
          <w:color w:val="000000"/>
          <w:sz w:val="20"/>
        </w:rPr>
        <w:t>Environmental Toxicology Chemistry</w:t>
      </w:r>
      <w:r w:rsidRPr="00C00F13">
        <w:rPr>
          <w:rFonts w:ascii="Times New Roman" w:hAnsi="Times New Roman"/>
          <w:color w:val="000000"/>
          <w:sz w:val="20"/>
        </w:rPr>
        <w:t>, 15:1500 – 1507.</w:t>
      </w:r>
    </w:p>
    <w:p w:rsidR="00C00F13" w:rsidRPr="00C00F13" w:rsidRDefault="00C00F13" w:rsidP="00C00F13">
      <w:pPr>
        <w:pStyle w:val="ListParagraph"/>
        <w:numPr>
          <w:ilvl w:val="0"/>
          <w:numId w:val="2"/>
        </w:numPr>
        <w:spacing w:after="0" w:line="240" w:lineRule="auto"/>
        <w:ind w:left="360"/>
        <w:contextualSpacing w:val="0"/>
        <w:jc w:val="both"/>
        <w:rPr>
          <w:rFonts w:ascii="Times New Roman" w:hAnsi="Times New Roman"/>
          <w:color w:val="000000"/>
          <w:sz w:val="20"/>
        </w:rPr>
      </w:pPr>
      <w:r w:rsidRPr="00C00F13">
        <w:rPr>
          <w:rFonts w:ascii="Times New Roman" w:hAnsi="Times New Roman"/>
          <w:color w:val="000000"/>
          <w:sz w:val="20"/>
        </w:rPr>
        <w:t>Wang, H.,</w:t>
      </w:r>
      <w:r w:rsidRPr="00C00F13">
        <w:rPr>
          <w:rStyle w:val="apple-converted-space"/>
          <w:rFonts w:ascii="Times New Roman" w:hAnsi="Times New Roman"/>
          <w:color w:val="000000"/>
          <w:sz w:val="20"/>
        </w:rPr>
        <w:t> </w:t>
      </w:r>
      <w:r w:rsidRPr="00C00F13">
        <w:rPr>
          <w:rFonts w:ascii="Times New Roman" w:hAnsi="Times New Roman"/>
          <w:color w:val="000000"/>
          <w:sz w:val="20"/>
        </w:rPr>
        <w:t>Yang, F.,</w:t>
      </w:r>
      <w:r w:rsidRPr="00C00F13">
        <w:rPr>
          <w:rStyle w:val="apple-converted-space"/>
          <w:rFonts w:ascii="Times New Roman" w:hAnsi="Times New Roman"/>
          <w:color w:val="000000"/>
          <w:sz w:val="20"/>
        </w:rPr>
        <w:t> </w:t>
      </w:r>
      <w:r w:rsidRPr="00C00F13">
        <w:rPr>
          <w:rFonts w:ascii="Times New Roman" w:hAnsi="Times New Roman"/>
          <w:color w:val="000000"/>
          <w:sz w:val="20"/>
        </w:rPr>
        <w:t>Liu, G.,</w:t>
      </w:r>
      <w:r w:rsidRPr="00C00F13">
        <w:rPr>
          <w:rStyle w:val="apple-converted-space"/>
          <w:rFonts w:ascii="Times New Roman" w:hAnsi="Times New Roman"/>
          <w:color w:val="000000"/>
          <w:sz w:val="20"/>
        </w:rPr>
        <w:t> </w:t>
      </w:r>
      <w:r w:rsidRPr="00C00F13">
        <w:rPr>
          <w:rFonts w:ascii="Times New Roman" w:hAnsi="Times New Roman"/>
          <w:color w:val="000000"/>
          <w:sz w:val="20"/>
        </w:rPr>
        <w:t>Lei, Y. and</w:t>
      </w:r>
      <w:r w:rsidRPr="00C00F13">
        <w:rPr>
          <w:rStyle w:val="apple-converted-space"/>
          <w:rFonts w:ascii="Times New Roman" w:hAnsi="Times New Roman"/>
          <w:color w:val="000000"/>
          <w:sz w:val="20"/>
        </w:rPr>
        <w:t xml:space="preserve"> </w:t>
      </w:r>
      <w:r w:rsidRPr="00C00F13">
        <w:rPr>
          <w:rFonts w:ascii="Times New Roman" w:hAnsi="Times New Roman"/>
          <w:color w:val="000000"/>
          <w:sz w:val="20"/>
        </w:rPr>
        <w:t xml:space="preserve">Ye, Q. (2011). Monitoring of metsulfuron-methyl and its residues in an artificial pond. </w:t>
      </w:r>
      <w:r w:rsidRPr="00C00F13">
        <w:rPr>
          <w:rFonts w:ascii="Times New Roman" w:hAnsi="Times New Roman"/>
          <w:i/>
          <w:color w:val="000000"/>
          <w:sz w:val="20"/>
        </w:rPr>
        <w:t>Environmental Monitoring Assessment</w:t>
      </w:r>
      <w:r w:rsidRPr="00C00F13">
        <w:rPr>
          <w:rFonts w:ascii="Times New Roman" w:hAnsi="Times New Roman"/>
          <w:color w:val="000000"/>
          <w:sz w:val="20"/>
        </w:rPr>
        <w:t>, 174(1-4):597 – 604.</w:t>
      </w:r>
    </w:p>
    <w:p w:rsidR="00C00F13" w:rsidRPr="00C00F13" w:rsidRDefault="00C00F13" w:rsidP="00C00F13">
      <w:pPr>
        <w:pStyle w:val="ListParagraph"/>
        <w:numPr>
          <w:ilvl w:val="0"/>
          <w:numId w:val="2"/>
        </w:numPr>
        <w:spacing w:after="0" w:line="240" w:lineRule="auto"/>
        <w:ind w:left="360"/>
        <w:contextualSpacing w:val="0"/>
        <w:jc w:val="both"/>
        <w:rPr>
          <w:rFonts w:ascii="Times New Roman" w:hAnsi="Times New Roman"/>
          <w:color w:val="000000"/>
          <w:sz w:val="20"/>
        </w:rPr>
      </w:pPr>
      <w:r w:rsidRPr="00C00F13">
        <w:rPr>
          <w:rFonts w:ascii="Times New Roman" w:hAnsi="Times New Roman"/>
          <w:color w:val="000000"/>
          <w:sz w:val="20"/>
        </w:rPr>
        <w:t>Singh S. B. and</w:t>
      </w:r>
      <w:r w:rsidRPr="00C00F13">
        <w:rPr>
          <w:rStyle w:val="apple-converted-space"/>
          <w:rFonts w:ascii="Times New Roman" w:hAnsi="Times New Roman"/>
          <w:color w:val="000000"/>
          <w:sz w:val="20"/>
        </w:rPr>
        <w:t> P</w:t>
      </w:r>
      <w:r w:rsidRPr="00C00F13">
        <w:rPr>
          <w:rFonts w:ascii="Times New Roman" w:hAnsi="Times New Roman"/>
          <w:color w:val="000000"/>
          <w:sz w:val="20"/>
        </w:rPr>
        <w:t xml:space="preserve">aul, R. (2011). Gas chromatographic method for residue analysis of metsulfuron methyl from soil. </w:t>
      </w:r>
      <w:r w:rsidRPr="00C00F13">
        <w:rPr>
          <w:rFonts w:ascii="Times New Roman" w:hAnsi="Times New Roman"/>
          <w:i/>
          <w:color w:val="000000"/>
          <w:sz w:val="20"/>
        </w:rPr>
        <w:t>Bulletin of Environmental Contamination and Toxicology</w:t>
      </w:r>
      <w:r w:rsidRPr="00C00F13">
        <w:rPr>
          <w:rFonts w:ascii="Times New Roman" w:hAnsi="Times New Roman"/>
          <w:color w:val="000000"/>
          <w:sz w:val="20"/>
        </w:rPr>
        <w:t>, 86(2):149 – 151.</w:t>
      </w:r>
    </w:p>
    <w:p w:rsidR="00C00F13" w:rsidRPr="00C00F13" w:rsidRDefault="00C00F13" w:rsidP="00C00F13">
      <w:pPr>
        <w:pStyle w:val="ListParagraph"/>
        <w:numPr>
          <w:ilvl w:val="0"/>
          <w:numId w:val="2"/>
        </w:numPr>
        <w:spacing w:after="0" w:line="240" w:lineRule="auto"/>
        <w:ind w:left="360"/>
        <w:contextualSpacing w:val="0"/>
        <w:jc w:val="both"/>
        <w:rPr>
          <w:rFonts w:ascii="Times New Roman" w:hAnsi="Times New Roman"/>
          <w:color w:val="000000"/>
          <w:sz w:val="20"/>
        </w:rPr>
      </w:pPr>
      <w:r w:rsidRPr="00C00F13">
        <w:rPr>
          <w:rFonts w:ascii="Times New Roman" w:hAnsi="Times New Roman"/>
          <w:color w:val="000000"/>
          <w:sz w:val="20"/>
        </w:rPr>
        <w:t>Bossi, R.,</w:t>
      </w:r>
      <w:r w:rsidRPr="00C00F13">
        <w:rPr>
          <w:rStyle w:val="apple-converted-space"/>
          <w:rFonts w:ascii="Times New Roman" w:hAnsi="Times New Roman"/>
          <w:color w:val="000000"/>
          <w:sz w:val="20"/>
        </w:rPr>
        <w:t> </w:t>
      </w:r>
      <w:r w:rsidRPr="00C00F13">
        <w:rPr>
          <w:rFonts w:ascii="Times New Roman" w:hAnsi="Times New Roman"/>
          <w:color w:val="000000"/>
          <w:sz w:val="20"/>
        </w:rPr>
        <w:t>Seiden, P.,</w:t>
      </w:r>
      <w:r w:rsidRPr="00C00F13">
        <w:rPr>
          <w:rStyle w:val="apple-converted-space"/>
          <w:rFonts w:ascii="Times New Roman" w:hAnsi="Times New Roman"/>
          <w:color w:val="000000"/>
          <w:sz w:val="20"/>
        </w:rPr>
        <w:t> </w:t>
      </w:r>
      <w:r w:rsidRPr="00C00F13">
        <w:rPr>
          <w:rFonts w:ascii="Times New Roman" w:hAnsi="Times New Roman"/>
          <w:color w:val="000000"/>
          <w:sz w:val="20"/>
        </w:rPr>
        <w:t>Andersen, S. M.,</w:t>
      </w:r>
      <w:r w:rsidRPr="00C00F13">
        <w:rPr>
          <w:rStyle w:val="apple-converted-space"/>
          <w:rFonts w:ascii="Times New Roman" w:hAnsi="Times New Roman"/>
          <w:color w:val="000000"/>
          <w:sz w:val="20"/>
        </w:rPr>
        <w:t> </w:t>
      </w:r>
      <w:r w:rsidRPr="00C00F13">
        <w:rPr>
          <w:rFonts w:ascii="Times New Roman" w:hAnsi="Times New Roman"/>
          <w:color w:val="000000"/>
          <w:sz w:val="20"/>
        </w:rPr>
        <w:t>Jacobsen, C. S. and</w:t>
      </w:r>
      <w:r w:rsidRPr="00C00F13">
        <w:rPr>
          <w:rStyle w:val="apple-converted-space"/>
          <w:rFonts w:ascii="Times New Roman" w:hAnsi="Times New Roman"/>
          <w:color w:val="000000"/>
          <w:sz w:val="20"/>
        </w:rPr>
        <w:t xml:space="preserve"> </w:t>
      </w:r>
      <w:r w:rsidRPr="00C00F13">
        <w:rPr>
          <w:rFonts w:ascii="Times New Roman" w:hAnsi="Times New Roman"/>
          <w:color w:val="000000"/>
          <w:sz w:val="20"/>
        </w:rPr>
        <w:t xml:space="preserve">Streibig, J. C. (1999). Analysis of metsulfuron-methyl in soil by liquid chromatography/Tandem Mass Spectrometry. Application to a field dissipation study. </w:t>
      </w:r>
      <w:r w:rsidRPr="00C00F13">
        <w:rPr>
          <w:rFonts w:ascii="Times New Roman" w:hAnsi="Times New Roman"/>
          <w:i/>
          <w:color w:val="000000"/>
          <w:sz w:val="20"/>
        </w:rPr>
        <w:t xml:space="preserve">Agricultural Food Chemistry, </w:t>
      </w:r>
      <w:r w:rsidRPr="00C00F13">
        <w:rPr>
          <w:rFonts w:ascii="Times New Roman" w:hAnsi="Times New Roman"/>
          <w:color w:val="000000"/>
          <w:sz w:val="20"/>
        </w:rPr>
        <w:t>47(10):4462 – 4468.</w:t>
      </w:r>
    </w:p>
    <w:p w:rsidR="00C00F13" w:rsidRPr="00C00F13" w:rsidRDefault="00C00F13" w:rsidP="00C00F13">
      <w:pPr>
        <w:pStyle w:val="ListParagraph"/>
        <w:numPr>
          <w:ilvl w:val="0"/>
          <w:numId w:val="2"/>
        </w:numPr>
        <w:spacing w:after="0" w:line="240" w:lineRule="auto"/>
        <w:ind w:left="360"/>
        <w:contextualSpacing w:val="0"/>
        <w:jc w:val="both"/>
        <w:rPr>
          <w:rFonts w:ascii="Times New Roman" w:hAnsi="Times New Roman"/>
          <w:color w:val="000000"/>
          <w:sz w:val="20"/>
        </w:rPr>
      </w:pPr>
      <w:r w:rsidRPr="00C00F13">
        <w:rPr>
          <w:rFonts w:ascii="Times New Roman" w:hAnsi="Times New Roman"/>
          <w:color w:val="000000"/>
          <w:sz w:val="20"/>
        </w:rPr>
        <w:t>National Council for Air and Stream Improvement, Inc. (NCASI) (2007). Hexazinone, Imazapyr, Metsulfuron Methyl, and Sulfometuron Methyl in Water by Solid Phase Extraction and HPLC/UV. NCASI Methods Manual. Research Triangle Park, NC: National Council for Air and Stream Improvement, Inc.</w:t>
      </w:r>
    </w:p>
    <w:p w:rsidR="00C00F13" w:rsidRPr="00C00F13" w:rsidRDefault="00C00F13" w:rsidP="00C00F13">
      <w:pPr>
        <w:pStyle w:val="ListParagraph"/>
        <w:numPr>
          <w:ilvl w:val="0"/>
          <w:numId w:val="2"/>
        </w:numPr>
        <w:spacing w:after="0" w:line="240" w:lineRule="auto"/>
        <w:ind w:left="360"/>
        <w:contextualSpacing w:val="0"/>
        <w:jc w:val="both"/>
        <w:rPr>
          <w:rFonts w:ascii="Times New Roman" w:hAnsi="Times New Roman"/>
          <w:color w:val="000000"/>
          <w:sz w:val="20"/>
        </w:rPr>
      </w:pPr>
      <w:r w:rsidRPr="00C00F13">
        <w:rPr>
          <w:rFonts w:ascii="Times New Roman" w:hAnsi="Times New Roman"/>
          <w:color w:val="000000"/>
          <w:sz w:val="20"/>
          <w:bdr w:val="none" w:sz="0" w:space="0" w:color="auto" w:frame="1"/>
        </w:rPr>
        <w:t xml:space="preserve">Shobha S. (2008). </w:t>
      </w:r>
      <w:r w:rsidRPr="00C00F13">
        <w:rPr>
          <w:rFonts w:ascii="Times New Roman" w:hAnsi="Times New Roman"/>
          <w:bCs/>
          <w:color w:val="000000"/>
          <w:spacing w:val="5"/>
          <w:sz w:val="20"/>
        </w:rPr>
        <w:t xml:space="preserve">Persistence of metsulfuron-methyl in wheat crop and soil. </w:t>
      </w:r>
      <w:r w:rsidRPr="00C00F13">
        <w:rPr>
          <w:rFonts w:ascii="Times New Roman" w:hAnsi="Times New Roman"/>
          <w:i/>
          <w:color w:val="000000"/>
          <w:sz w:val="20"/>
          <w:bdr w:val="none" w:sz="0" w:space="0" w:color="auto" w:frame="1"/>
        </w:rPr>
        <w:t xml:space="preserve">Environmental Monitoring and Assessment, </w:t>
      </w:r>
      <w:r w:rsidRPr="00C00F13">
        <w:rPr>
          <w:rFonts w:ascii="Times New Roman" w:hAnsi="Times New Roman"/>
          <w:color w:val="000000"/>
          <w:sz w:val="20"/>
          <w:bdr w:val="none" w:sz="0" w:space="0" w:color="auto" w:frame="1"/>
        </w:rPr>
        <w:t>147:463 – 469.</w:t>
      </w:r>
    </w:p>
    <w:p w:rsidR="00C00F13" w:rsidRPr="00C00F13" w:rsidRDefault="00C00F13" w:rsidP="00C00F13">
      <w:pPr>
        <w:pStyle w:val="ListParagraph"/>
        <w:numPr>
          <w:ilvl w:val="0"/>
          <w:numId w:val="2"/>
        </w:numPr>
        <w:spacing w:after="0" w:line="240" w:lineRule="auto"/>
        <w:ind w:left="360"/>
        <w:contextualSpacing w:val="0"/>
        <w:jc w:val="both"/>
        <w:rPr>
          <w:rFonts w:ascii="Times New Roman" w:hAnsi="Times New Roman"/>
          <w:color w:val="000000"/>
          <w:sz w:val="20"/>
        </w:rPr>
      </w:pPr>
      <w:r w:rsidRPr="00C00F13">
        <w:rPr>
          <w:rFonts w:ascii="Times New Roman" w:hAnsi="Times New Roman"/>
          <w:color w:val="000000"/>
          <w:sz w:val="20"/>
        </w:rPr>
        <w:t>Halimah, M. Tan, Y. A. and Ismail, B. S. (2007). New and rapid method of analysis of metsufuron methyl in water sample. Proceedings of Product Development and Nutrition Conference: PIPOC 2007 International Palm Oil Congress: Palm Oil: Empowering Change. Kuala Lumpur (Malaysia), 26 – 30 Aug, 2007: pp 176.</w:t>
      </w:r>
    </w:p>
    <w:p w:rsidR="00C00F13" w:rsidRPr="00C00F13" w:rsidRDefault="00C00F13" w:rsidP="00C00F13">
      <w:pPr>
        <w:pStyle w:val="ListParagraph"/>
        <w:numPr>
          <w:ilvl w:val="0"/>
          <w:numId w:val="2"/>
        </w:numPr>
        <w:spacing w:after="0" w:line="240" w:lineRule="auto"/>
        <w:ind w:left="360"/>
        <w:contextualSpacing w:val="0"/>
        <w:jc w:val="both"/>
        <w:rPr>
          <w:rFonts w:ascii="Times New Roman" w:hAnsi="Times New Roman"/>
          <w:color w:val="000000"/>
          <w:sz w:val="20"/>
        </w:rPr>
      </w:pPr>
      <w:r w:rsidRPr="00C00F13">
        <w:rPr>
          <w:rFonts w:ascii="Times New Roman" w:hAnsi="Times New Roman"/>
          <w:noProof/>
          <w:color w:val="000000"/>
          <w:sz w:val="20"/>
        </w:rPr>
        <w:t xml:space="preserve">Juhler, R., Sørensen, S. and Larsen, L. (2001). Analysing transformation products of herbicide residues in environmental samples. </w:t>
      </w:r>
      <w:r w:rsidRPr="00C00F13">
        <w:rPr>
          <w:rFonts w:ascii="Times New Roman" w:hAnsi="Times New Roman"/>
          <w:i/>
          <w:iCs/>
          <w:noProof/>
          <w:color w:val="000000"/>
          <w:sz w:val="20"/>
        </w:rPr>
        <w:t>Water Research</w:t>
      </w:r>
      <w:r w:rsidRPr="00C00F13">
        <w:rPr>
          <w:rFonts w:ascii="Times New Roman" w:hAnsi="Times New Roman"/>
          <w:noProof/>
          <w:color w:val="000000"/>
          <w:sz w:val="20"/>
        </w:rPr>
        <w:t xml:space="preserve">, </w:t>
      </w:r>
      <w:r w:rsidRPr="00C00F13">
        <w:rPr>
          <w:rFonts w:ascii="Times New Roman" w:hAnsi="Times New Roman"/>
          <w:iCs/>
          <w:noProof/>
          <w:color w:val="000000"/>
          <w:sz w:val="20"/>
        </w:rPr>
        <w:t>35</w:t>
      </w:r>
      <w:r w:rsidRPr="00C00F13">
        <w:rPr>
          <w:rFonts w:ascii="Times New Roman" w:hAnsi="Times New Roman"/>
          <w:noProof/>
          <w:color w:val="000000"/>
          <w:sz w:val="20"/>
        </w:rPr>
        <w:t>(6), 1371–1378.</w:t>
      </w:r>
    </w:p>
    <w:p w:rsidR="00A74A7E" w:rsidRPr="00C00F13" w:rsidRDefault="00A74A7E" w:rsidP="00C00F13">
      <w:pPr>
        <w:spacing w:after="0" w:line="240" w:lineRule="auto"/>
        <w:jc w:val="both"/>
        <w:rPr>
          <w:rFonts w:ascii="Times New Roman" w:hAnsi="Times New Roman"/>
          <w:noProof/>
          <w:lang w:bidi="ar-SA"/>
        </w:rPr>
      </w:pPr>
    </w:p>
    <w:sectPr w:rsidR="00A74A7E" w:rsidRPr="00C00F13" w:rsidSect="006248FC">
      <w:headerReference w:type="even" r:id="rId16"/>
      <w:headerReference w:type="default" r:id="rId17"/>
      <w:footerReference w:type="even" r:id="rId18"/>
      <w:footerReference w:type="default" r:id="rId19"/>
      <w:pgSz w:w="12240" w:h="15840" w:code="1"/>
      <w:pgMar w:top="1800" w:right="1469" w:bottom="1699" w:left="1440" w:header="706" w:footer="706" w:gutter="0"/>
      <w:pgNumType w:start="17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dvTimes">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5061416"/>
      <w:docPartObj>
        <w:docPartGallery w:val="Page Numbers (Bottom of Page)"/>
        <w:docPartUnique/>
      </w:docPartObj>
    </w:sdtPr>
    <w:sdtEndPr>
      <w:rPr>
        <w:rFonts w:ascii="Times New Roman" w:hAnsi="Times New Roman"/>
        <w:noProof/>
      </w:rPr>
    </w:sdtEndPr>
    <w:sdtContent>
      <w:p w:rsidR="00FE5CEF" w:rsidRPr="00FE5CEF" w:rsidRDefault="00FE5CEF">
        <w:pPr>
          <w:pStyle w:val="Footer"/>
          <w:rPr>
            <w:rFonts w:ascii="Times New Roman" w:hAnsi="Times New Roman"/>
          </w:rPr>
        </w:pPr>
        <w:r w:rsidRPr="00FE5CEF">
          <w:rPr>
            <w:rFonts w:ascii="Times New Roman" w:hAnsi="Times New Roman"/>
          </w:rPr>
          <w:fldChar w:fldCharType="begin"/>
        </w:r>
        <w:r w:rsidRPr="00FE5CEF">
          <w:rPr>
            <w:rFonts w:ascii="Times New Roman" w:hAnsi="Times New Roman"/>
          </w:rPr>
          <w:instrText xml:space="preserve"> PAGE   \* MERGEFORMAT </w:instrText>
        </w:r>
        <w:r w:rsidRPr="00FE5CEF">
          <w:rPr>
            <w:rFonts w:ascii="Times New Roman" w:hAnsi="Times New Roman"/>
          </w:rPr>
          <w:fldChar w:fldCharType="separate"/>
        </w:r>
        <w:r w:rsidR="00D42078">
          <w:rPr>
            <w:rFonts w:ascii="Times New Roman" w:hAnsi="Times New Roman"/>
            <w:noProof/>
          </w:rPr>
          <w:t>186</w:t>
        </w:r>
        <w:r w:rsidRPr="00FE5CEF">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8530547"/>
      <w:docPartObj>
        <w:docPartGallery w:val="Page Numbers (Bottom of Page)"/>
        <w:docPartUnique/>
      </w:docPartObj>
    </w:sdtPr>
    <w:sdtEndPr>
      <w:rPr>
        <w:rFonts w:ascii="Times New Roman" w:hAnsi="Times New Roman"/>
        <w:noProof/>
      </w:rPr>
    </w:sdtEndPr>
    <w:sdtContent>
      <w:p w:rsidR="00FE5CEF" w:rsidRPr="00FE5CEF" w:rsidRDefault="00FE5CEF">
        <w:pPr>
          <w:pStyle w:val="Footer"/>
          <w:jc w:val="right"/>
          <w:rPr>
            <w:rFonts w:ascii="Times New Roman" w:hAnsi="Times New Roman"/>
          </w:rPr>
        </w:pPr>
        <w:r w:rsidRPr="00FE5CEF">
          <w:rPr>
            <w:rFonts w:ascii="Times New Roman" w:hAnsi="Times New Roman"/>
          </w:rPr>
          <w:fldChar w:fldCharType="begin"/>
        </w:r>
        <w:r w:rsidRPr="00FE5CEF">
          <w:rPr>
            <w:rFonts w:ascii="Times New Roman" w:hAnsi="Times New Roman"/>
          </w:rPr>
          <w:instrText xml:space="preserve"> PAGE   \* MERGEFORMAT </w:instrText>
        </w:r>
        <w:r w:rsidRPr="00FE5CEF">
          <w:rPr>
            <w:rFonts w:ascii="Times New Roman" w:hAnsi="Times New Roman"/>
          </w:rPr>
          <w:fldChar w:fldCharType="separate"/>
        </w:r>
        <w:r w:rsidR="00D42078">
          <w:rPr>
            <w:rFonts w:ascii="Times New Roman" w:hAnsi="Times New Roman"/>
            <w:noProof/>
          </w:rPr>
          <w:t>179</w:t>
        </w:r>
        <w:r w:rsidRPr="00FE5CEF">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4DC" w:rsidRPr="00A754DC" w:rsidRDefault="00A754DC" w:rsidP="00A754DC">
    <w:pPr>
      <w:pStyle w:val="Heading1"/>
      <w:spacing w:before="0" w:line="240" w:lineRule="auto"/>
      <w:ind w:left="2700" w:hanging="2700"/>
      <w:contextualSpacing w:val="0"/>
      <w:rPr>
        <w:rFonts w:ascii="Times New Roman" w:hAnsi="Times New Roman"/>
        <w:caps/>
        <w:smallCaps w:val="0"/>
        <w:color w:val="000000"/>
        <w:sz w:val="20"/>
        <w:szCs w:val="20"/>
      </w:rPr>
    </w:pPr>
    <w:r w:rsidRPr="00A754DC">
      <w:rPr>
        <w:rFonts w:ascii="Times New Roman" w:hAnsi="Times New Roman"/>
        <w:smallCaps w:val="0"/>
        <w:color w:val="000000"/>
        <w:sz w:val="20"/>
        <w:szCs w:val="20"/>
      </w:rPr>
      <w:t>Khairiatul Mardiana</w:t>
    </w:r>
    <w:r>
      <w:rPr>
        <w:rFonts w:ascii="Times New Roman" w:hAnsi="Times New Roman"/>
        <w:smallCaps w:val="0"/>
        <w:color w:val="000000"/>
        <w:sz w:val="20"/>
        <w:szCs w:val="20"/>
        <w:lang w:val="en-US"/>
      </w:rPr>
      <w:t xml:space="preserve"> &amp; Ismail</w:t>
    </w:r>
    <w:r w:rsidR="006B72B0" w:rsidRPr="00A754DC">
      <w:rPr>
        <w:rFonts w:ascii="Times New Roman" w:hAnsi="Times New Roman"/>
        <w:smallCaps w:val="0"/>
        <w:sz w:val="20"/>
        <w:szCs w:val="20"/>
        <w:lang w:val="en-US"/>
      </w:rPr>
      <w:t xml:space="preserve">: </w:t>
    </w:r>
    <w:r>
      <w:rPr>
        <w:rFonts w:ascii="Times New Roman" w:hAnsi="Times New Roman"/>
        <w:smallCaps w:val="0"/>
        <w:sz w:val="20"/>
        <w:szCs w:val="20"/>
        <w:lang w:val="en-US"/>
      </w:rPr>
      <w:tab/>
    </w:r>
    <w:r w:rsidRPr="00A754DC">
      <w:rPr>
        <w:rFonts w:ascii="Times New Roman" w:hAnsi="Times New Roman"/>
        <w:caps/>
        <w:smallCaps w:val="0"/>
        <w:color w:val="000000"/>
        <w:sz w:val="20"/>
        <w:szCs w:val="20"/>
      </w:rPr>
      <w:t>Residue Determination and Monitoring OF the Levels of Metsulfuron Methyl in Selected Rivers</w:t>
    </w:r>
    <w:r w:rsidRPr="00A754DC">
      <w:rPr>
        <w:rFonts w:ascii="Times New Roman" w:hAnsi="Times New Roman"/>
        <w:caps/>
        <w:smallCaps w:val="0"/>
        <w:color w:val="000000"/>
        <w:sz w:val="20"/>
        <w:szCs w:val="20"/>
        <w:lang w:val="en-US"/>
      </w:rPr>
      <w:t xml:space="preserve"> </w:t>
    </w:r>
    <w:r w:rsidRPr="00A754DC">
      <w:rPr>
        <w:rFonts w:ascii="Times New Roman" w:hAnsi="Times New Roman"/>
        <w:caps/>
        <w:smallCaps w:val="0"/>
        <w:color w:val="000000"/>
        <w:sz w:val="20"/>
        <w:szCs w:val="20"/>
      </w:rPr>
      <w:t>at Tasik Chini, Pahang, Malaysia</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6B72B0" w:rsidRDefault="006B72B0" w:rsidP="006B72B0">
    <w:pPr>
      <w:pStyle w:val="Header"/>
      <w:jc w:val="right"/>
    </w:pPr>
    <w:r w:rsidRPr="00D75B35">
      <w:rPr>
        <w:rFonts w:ascii="Times New Roman" w:hAnsi="Times New Roman"/>
        <w:i/>
      </w:rPr>
      <w:t xml:space="preserve">Malaysian Journal of </w:t>
    </w:r>
    <w:r w:rsidR="00331953">
      <w:rPr>
        <w:rFonts w:ascii="Times New Roman" w:hAnsi="Times New Roman"/>
        <w:i/>
      </w:rPr>
      <w:t xml:space="preserve">Analytical Sciences, Vol </w:t>
    </w:r>
    <w:r w:rsidR="00331953">
      <w:rPr>
        <w:rFonts w:ascii="Times New Roman" w:hAnsi="Times New Roman"/>
        <w:i/>
        <w:lang w:val="en-US"/>
      </w:rPr>
      <w:t>20</w:t>
    </w:r>
    <w:r>
      <w:rPr>
        <w:rFonts w:ascii="Times New Roman" w:hAnsi="Times New Roman"/>
        <w:i/>
      </w:rPr>
      <w:t xml:space="preserve"> </w:t>
    </w:r>
    <w:r w:rsidR="00331953">
      <w:rPr>
        <w:rFonts w:ascii="Times New Roman" w:hAnsi="Times New Roman"/>
        <w:i/>
        <w:lang w:val="en-US"/>
      </w:rPr>
      <w:t>No 1</w:t>
    </w:r>
    <w:r>
      <w:rPr>
        <w:rFonts w:ascii="Times New Roman" w:hAnsi="Times New Roman"/>
        <w:i/>
      </w:rPr>
      <w:t xml:space="preserve"> (201</w:t>
    </w:r>
    <w:r w:rsidR="00331953">
      <w:rPr>
        <w:rFonts w:ascii="Times New Roman" w:hAnsi="Times New Roman"/>
        <w:i/>
        <w:lang w:val="en-US"/>
      </w:rPr>
      <w:t>6</w:t>
    </w:r>
    <w:r w:rsidRPr="00D75B35">
      <w:rPr>
        <w:rFonts w:ascii="Times New Roman" w:hAnsi="Times New Roman"/>
        <w:i/>
      </w:rPr>
      <w:t xml:space="preserve">): </w:t>
    </w:r>
    <w:r w:rsidR="006248FC">
      <w:rPr>
        <w:rFonts w:ascii="Times New Roman" w:hAnsi="Times New Roman"/>
        <w:i/>
        <w:lang w:val="en-US"/>
      </w:rPr>
      <w:t>179 - 186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5497741C"/>
    <w:multiLevelType w:val="hybridMultilevel"/>
    <w:tmpl w:val="370C4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84936"/>
    <w:rsid w:val="000C49FF"/>
    <w:rsid w:val="000F77DA"/>
    <w:rsid w:val="001068E8"/>
    <w:rsid w:val="00117BCD"/>
    <w:rsid w:val="001D035A"/>
    <w:rsid w:val="001D3855"/>
    <w:rsid w:val="001D6F2C"/>
    <w:rsid w:val="001F65E5"/>
    <w:rsid w:val="00202191"/>
    <w:rsid w:val="002B188F"/>
    <w:rsid w:val="002B3BD8"/>
    <w:rsid w:val="002F3F91"/>
    <w:rsid w:val="00304767"/>
    <w:rsid w:val="00304B34"/>
    <w:rsid w:val="00331953"/>
    <w:rsid w:val="00361BAF"/>
    <w:rsid w:val="00367D1F"/>
    <w:rsid w:val="003D585B"/>
    <w:rsid w:val="003E7DA6"/>
    <w:rsid w:val="003F12FF"/>
    <w:rsid w:val="004126C1"/>
    <w:rsid w:val="004760D4"/>
    <w:rsid w:val="00494C46"/>
    <w:rsid w:val="004B43FF"/>
    <w:rsid w:val="00502641"/>
    <w:rsid w:val="00583520"/>
    <w:rsid w:val="005C6768"/>
    <w:rsid w:val="005E4871"/>
    <w:rsid w:val="006248FC"/>
    <w:rsid w:val="00634C25"/>
    <w:rsid w:val="006416AB"/>
    <w:rsid w:val="006768E9"/>
    <w:rsid w:val="00687982"/>
    <w:rsid w:val="006B3EC8"/>
    <w:rsid w:val="006B72B0"/>
    <w:rsid w:val="006D695E"/>
    <w:rsid w:val="00725A6A"/>
    <w:rsid w:val="007943F3"/>
    <w:rsid w:val="007A738C"/>
    <w:rsid w:val="007B1349"/>
    <w:rsid w:val="007E2084"/>
    <w:rsid w:val="007E25BD"/>
    <w:rsid w:val="00802C35"/>
    <w:rsid w:val="0082181A"/>
    <w:rsid w:val="008B470E"/>
    <w:rsid w:val="008E1211"/>
    <w:rsid w:val="008E5BBF"/>
    <w:rsid w:val="008E6968"/>
    <w:rsid w:val="00A14DB9"/>
    <w:rsid w:val="00A4762A"/>
    <w:rsid w:val="00A74A7E"/>
    <w:rsid w:val="00A754DC"/>
    <w:rsid w:val="00AD1B8A"/>
    <w:rsid w:val="00AE713F"/>
    <w:rsid w:val="00B1121C"/>
    <w:rsid w:val="00B25B65"/>
    <w:rsid w:val="00B2770A"/>
    <w:rsid w:val="00B314AD"/>
    <w:rsid w:val="00B747EF"/>
    <w:rsid w:val="00B75BF6"/>
    <w:rsid w:val="00BA1F7B"/>
    <w:rsid w:val="00BB58AF"/>
    <w:rsid w:val="00BE7C30"/>
    <w:rsid w:val="00C00F13"/>
    <w:rsid w:val="00C055BF"/>
    <w:rsid w:val="00C2226A"/>
    <w:rsid w:val="00C94D92"/>
    <w:rsid w:val="00C97340"/>
    <w:rsid w:val="00CA513F"/>
    <w:rsid w:val="00CF05FF"/>
    <w:rsid w:val="00D340BB"/>
    <w:rsid w:val="00D42078"/>
    <w:rsid w:val="00D505D5"/>
    <w:rsid w:val="00D63918"/>
    <w:rsid w:val="00D75B35"/>
    <w:rsid w:val="00D76E09"/>
    <w:rsid w:val="00D9736F"/>
    <w:rsid w:val="00D9792A"/>
    <w:rsid w:val="00DD377F"/>
    <w:rsid w:val="00E25547"/>
    <w:rsid w:val="00E3287E"/>
    <w:rsid w:val="00E604BB"/>
    <w:rsid w:val="00E66197"/>
    <w:rsid w:val="00F31093"/>
    <w:rsid w:val="00F412AF"/>
    <w:rsid w:val="00F43667"/>
    <w:rsid w:val="00F447A7"/>
    <w:rsid w:val="00FB4C59"/>
    <w:rsid w:val="00FE0572"/>
    <w:rsid w:val="00FE5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AuthorEmail">
    <w:name w:val="Author Email"/>
    <w:basedOn w:val="Normal"/>
    <w:qFormat/>
    <w:rsid w:val="007E2084"/>
    <w:pPr>
      <w:spacing w:after="0" w:line="240" w:lineRule="auto"/>
      <w:jc w:val="center"/>
    </w:pPr>
    <w:rPr>
      <w:rFonts w:ascii="Times New Roman" w:hAnsi="Times New Roman"/>
      <w:sz w:val="20"/>
      <w:szCs w:val="20"/>
      <w:lang w:bidi="ar-SA"/>
    </w:rPr>
  </w:style>
  <w:style w:type="paragraph" w:customStyle="1" w:styleId="AuthorAffiliation">
    <w:name w:val="Author Affiliation"/>
    <w:basedOn w:val="Normal"/>
    <w:rsid w:val="007E2084"/>
    <w:pPr>
      <w:spacing w:after="0" w:line="240" w:lineRule="auto"/>
      <w:jc w:val="center"/>
    </w:pPr>
    <w:rPr>
      <w:rFonts w:ascii="Times New Roman" w:hAnsi="Times New Roman"/>
      <w:i/>
      <w:sz w:val="20"/>
      <w:szCs w:val="20"/>
      <w:lang w:bidi="ar-SA"/>
    </w:rPr>
  </w:style>
  <w:style w:type="character" w:customStyle="1" w:styleId="apple-converted-space">
    <w:name w:val="apple-converted-space"/>
    <w:basedOn w:val="DefaultParagraphFont"/>
    <w:rsid w:val="001F65E5"/>
  </w:style>
  <w:style w:type="paragraph" w:customStyle="1" w:styleId="TableCaption">
    <w:name w:val="Table Caption"/>
    <w:basedOn w:val="Normal"/>
    <w:qFormat/>
    <w:rsid w:val="001F65E5"/>
    <w:pPr>
      <w:spacing w:before="120" w:after="0" w:line="240" w:lineRule="auto"/>
      <w:jc w:val="center"/>
    </w:pPr>
    <w:rPr>
      <w:rFonts w:ascii="Times New Roman" w:hAnsi="Times New Roman"/>
      <w:sz w:val="18"/>
      <w:szCs w:val="18"/>
      <w:lang w:bidi="ar-SA"/>
    </w:rPr>
  </w:style>
  <w:style w:type="paragraph" w:customStyle="1" w:styleId="Paragraph">
    <w:name w:val="Paragraph"/>
    <w:basedOn w:val="Normal"/>
    <w:rsid w:val="00202191"/>
    <w:pPr>
      <w:spacing w:after="0" w:line="240" w:lineRule="auto"/>
      <w:ind w:firstLine="284"/>
      <w:jc w:val="both"/>
    </w:pPr>
    <w:rPr>
      <w:rFonts w:ascii="Times New Roman" w:hAnsi="Times New Roman"/>
      <w:sz w:val="20"/>
      <w:szCs w:val="20"/>
      <w:lang w:bidi="ar-SA"/>
    </w:rPr>
  </w:style>
  <w:style w:type="paragraph" w:customStyle="1" w:styleId="FigureCaption">
    <w:name w:val="Figure Caption"/>
    <w:next w:val="Paragraph"/>
    <w:rsid w:val="00A754DC"/>
    <w:pPr>
      <w:spacing w:before="120"/>
      <w:jc w:val="center"/>
    </w:pPr>
    <w:rPr>
      <w:rFonts w:ascii="Times New Roman" w:eastAsia="Times New Roman" w:hAnsi="Times New Roman"/>
      <w:sz w:val="18"/>
    </w:rPr>
  </w:style>
  <w:style w:type="character" w:customStyle="1" w:styleId="addmd">
    <w:name w:val="addmd"/>
    <w:basedOn w:val="DefaultParagraphFont"/>
    <w:rsid w:val="00C00F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AuthorEmail">
    <w:name w:val="Author Email"/>
    <w:basedOn w:val="Normal"/>
    <w:qFormat/>
    <w:rsid w:val="007E2084"/>
    <w:pPr>
      <w:spacing w:after="0" w:line="240" w:lineRule="auto"/>
      <w:jc w:val="center"/>
    </w:pPr>
    <w:rPr>
      <w:rFonts w:ascii="Times New Roman" w:hAnsi="Times New Roman"/>
      <w:sz w:val="20"/>
      <w:szCs w:val="20"/>
      <w:lang w:bidi="ar-SA"/>
    </w:rPr>
  </w:style>
  <w:style w:type="paragraph" w:customStyle="1" w:styleId="AuthorAffiliation">
    <w:name w:val="Author Affiliation"/>
    <w:basedOn w:val="Normal"/>
    <w:rsid w:val="007E2084"/>
    <w:pPr>
      <w:spacing w:after="0" w:line="240" w:lineRule="auto"/>
      <w:jc w:val="center"/>
    </w:pPr>
    <w:rPr>
      <w:rFonts w:ascii="Times New Roman" w:hAnsi="Times New Roman"/>
      <w:i/>
      <w:sz w:val="20"/>
      <w:szCs w:val="20"/>
      <w:lang w:bidi="ar-SA"/>
    </w:rPr>
  </w:style>
  <w:style w:type="character" w:customStyle="1" w:styleId="apple-converted-space">
    <w:name w:val="apple-converted-space"/>
    <w:basedOn w:val="DefaultParagraphFont"/>
    <w:rsid w:val="001F65E5"/>
  </w:style>
  <w:style w:type="paragraph" w:customStyle="1" w:styleId="TableCaption">
    <w:name w:val="Table Caption"/>
    <w:basedOn w:val="Normal"/>
    <w:qFormat/>
    <w:rsid w:val="001F65E5"/>
    <w:pPr>
      <w:spacing w:before="120" w:after="0" w:line="240" w:lineRule="auto"/>
      <w:jc w:val="center"/>
    </w:pPr>
    <w:rPr>
      <w:rFonts w:ascii="Times New Roman" w:hAnsi="Times New Roman"/>
      <w:sz w:val="18"/>
      <w:szCs w:val="18"/>
      <w:lang w:bidi="ar-SA"/>
    </w:rPr>
  </w:style>
  <w:style w:type="paragraph" w:customStyle="1" w:styleId="Paragraph">
    <w:name w:val="Paragraph"/>
    <w:basedOn w:val="Normal"/>
    <w:rsid w:val="00202191"/>
    <w:pPr>
      <w:spacing w:after="0" w:line="240" w:lineRule="auto"/>
      <w:ind w:firstLine="284"/>
      <w:jc w:val="both"/>
    </w:pPr>
    <w:rPr>
      <w:rFonts w:ascii="Times New Roman" w:hAnsi="Times New Roman"/>
      <w:sz w:val="20"/>
      <w:szCs w:val="20"/>
      <w:lang w:bidi="ar-SA"/>
    </w:rPr>
  </w:style>
  <w:style w:type="paragraph" w:customStyle="1" w:styleId="FigureCaption">
    <w:name w:val="Figure Caption"/>
    <w:next w:val="Paragraph"/>
    <w:rsid w:val="00A754DC"/>
    <w:pPr>
      <w:spacing w:before="120"/>
      <w:jc w:val="center"/>
    </w:pPr>
    <w:rPr>
      <w:rFonts w:ascii="Times New Roman" w:eastAsia="Times New Roman" w:hAnsi="Times New Roman"/>
      <w:sz w:val="18"/>
    </w:rPr>
  </w:style>
  <w:style w:type="character" w:customStyle="1" w:styleId="addmd">
    <w:name w:val="addmd"/>
    <w:basedOn w:val="DefaultParagraphFont"/>
    <w:rsid w:val="00C00F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chart" Target="charts/chart1.xml"/><Relationship Id="rId10" Type="http://schemas.openxmlformats.org/officeDocument/2006/relationships/image" Target="media/image2.pn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H:\data%20chini.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3673887778953006"/>
          <c:y val="5.1400554097404488E-2"/>
          <c:w val="0.78660333503088231"/>
          <c:h val="0.8326195683872849"/>
        </c:manualLayout>
      </c:layout>
      <c:barChart>
        <c:barDir val="col"/>
        <c:grouping val="clustered"/>
        <c:varyColors val="0"/>
        <c:ser>
          <c:idx val="0"/>
          <c:order val="0"/>
          <c:tx>
            <c:strRef>
              <c:f>'[data chini.xlsx]created'!$N$328</c:f>
              <c:strCache>
                <c:ptCount val="1"/>
                <c:pt idx="0">
                  <c:v>M1</c:v>
                </c:pt>
              </c:strCache>
            </c:strRef>
          </c:tx>
          <c:spPr>
            <a:pattFill prst="lgCheck">
              <a:fgClr>
                <a:schemeClr val="tx1"/>
              </a:fgClr>
              <a:bgClr>
                <a:schemeClr val="bg1"/>
              </a:bgClr>
            </a:pattFill>
            <a:ln>
              <a:solidFill>
                <a:schemeClr val="tx1"/>
              </a:solidFill>
            </a:ln>
          </c:spPr>
          <c:invertIfNegative val="0"/>
          <c:cat>
            <c:strRef>
              <c:f>'[data chini.xlsx]created'!$M$329:$M$346</c:f>
              <c:strCache>
                <c:ptCount val="18"/>
                <c:pt idx="0">
                  <c:v>D1</c:v>
                </c:pt>
                <c:pt idx="1">
                  <c:v>D2</c:v>
                </c:pt>
                <c:pt idx="2">
                  <c:v>D3</c:v>
                </c:pt>
                <c:pt idx="3">
                  <c:v>C1</c:v>
                </c:pt>
                <c:pt idx="4">
                  <c:v>C2</c:v>
                </c:pt>
                <c:pt idx="5">
                  <c:v>C3</c:v>
                </c:pt>
                <c:pt idx="6">
                  <c:v>G1</c:v>
                </c:pt>
                <c:pt idx="7">
                  <c:v>G2</c:v>
                </c:pt>
                <c:pt idx="8">
                  <c:v>G3</c:v>
                </c:pt>
                <c:pt idx="9">
                  <c:v>K1</c:v>
                </c:pt>
                <c:pt idx="10">
                  <c:v>K2</c:v>
                </c:pt>
                <c:pt idx="11">
                  <c:v>K3</c:v>
                </c:pt>
                <c:pt idx="12">
                  <c:v>J1</c:v>
                </c:pt>
                <c:pt idx="13">
                  <c:v>J2</c:v>
                </c:pt>
                <c:pt idx="14">
                  <c:v>J3</c:v>
                </c:pt>
                <c:pt idx="15">
                  <c:v>L1</c:v>
                </c:pt>
                <c:pt idx="16">
                  <c:v>L2</c:v>
                </c:pt>
                <c:pt idx="17">
                  <c:v>L3</c:v>
                </c:pt>
              </c:strCache>
            </c:strRef>
          </c:cat>
          <c:val>
            <c:numRef>
              <c:f>'[data chini.xlsx]created'!$N$329:$N$346</c:f>
              <c:numCache>
                <c:formatCode>0.00000</c:formatCode>
                <c:ptCount val="18"/>
                <c:pt idx="0">
                  <c:v>0.14516699999999999</c:v>
                </c:pt>
                <c:pt idx="1">
                  <c:v>0.1042</c:v>
                </c:pt>
                <c:pt idx="2">
                  <c:v>0.49586999999999998</c:v>
                </c:pt>
                <c:pt idx="3">
                  <c:v>7.2330000000000005E-2</c:v>
                </c:pt>
                <c:pt idx="4">
                  <c:v>6.2767000000000003E-2</c:v>
                </c:pt>
                <c:pt idx="5">
                  <c:v>0.226267</c:v>
                </c:pt>
                <c:pt idx="6">
                  <c:v>8.6300000000000002E-2</c:v>
                </c:pt>
                <c:pt idx="7">
                  <c:v>0.1145</c:v>
                </c:pt>
                <c:pt idx="8">
                  <c:v>8.5766999999999996E-2</c:v>
                </c:pt>
                <c:pt idx="9">
                  <c:v>0.22939999999999999</c:v>
                </c:pt>
                <c:pt idx="10">
                  <c:v>0.29873</c:v>
                </c:pt>
                <c:pt idx="11">
                  <c:v>0.14680000000000001</c:v>
                </c:pt>
                <c:pt idx="12">
                  <c:v>0</c:v>
                </c:pt>
                <c:pt idx="13">
                  <c:v>0</c:v>
                </c:pt>
                <c:pt idx="14">
                  <c:v>0</c:v>
                </c:pt>
                <c:pt idx="15">
                  <c:v>0.18049999999999999</c:v>
                </c:pt>
                <c:pt idx="16">
                  <c:v>9.8167000000000004E-2</c:v>
                </c:pt>
                <c:pt idx="17">
                  <c:v>7.6530000000000001E-2</c:v>
                </c:pt>
              </c:numCache>
            </c:numRef>
          </c:val>
        </c:ser>
        <c:ser>
          <c:idx val="1"/>
          <c:order val="1"/>
          <c:tx>
            <c:strRef>
              <c:f>'[data chini.xlsx]created'!$O$328</c:f>
              <c:strCache>
                <c:ptCount val="1"/>
                <c:pt idx="0">
                  <c:v>M2</c:v>
                </c:pt>
              </c:strCache>
            </c:strRef>
          </c:tx>
          <c:spPr>
            <a:pattFill prst="trellis">
              <a:fgClr>
                <a:schemeClr val="tx1"/>
              </a:fgClr>
              <a:bgClr>
                <a:schemeClr val="bg1"/>
              </a:bgClr>
            </a:pattFill>
            <a:ln>
              <a:solidFill>
                <a:schemeClr val="tx1"/>
              </a:solidFill>
            </a:ln>
          </c:spPr>
          <c:invertIfNegative val="0"/>
          <c:cat>
            <c:strRef>
              <c:f>'[data chini.xlsx]created'!$M$329:$M$346</c:f>
              <c:strCache>
                <c:ptCount val="18"/>
                <c:pt idx="0">
                  <c:v>D1</c:v>
                </c:pt>
                <c:pt idx="1">
                  <c:v>D2</c:v>
                </c:pt>
                <c:pt idx="2">
                  <c:v>D3</c:v>
                </c:pt>
                <c:pt idx="3">
                  <c:v>C1</c:v>
                </c:pt>
                <c:pt idx="4">
                  <c:v>C2</c:v>
                </c:pt>
                <c:pt idx="5">
                  <c:v>C3</c:v>
                </c:pt>
                <c:pt idx="6">
                  <c:v>G1</c:v>
                </c:pt>
                <c:pt idx="7">
                  <c:v>G2</c:v>
                </c:pt>
                <c:pt idx="8">
                  <c:v>G3</c:v>
                </c:pt>
                <c:pt idx="9">
                  <c:v>K1</c:v>
                </c:pt>
                <c:pt idx="10">
                  <c:v>K2</c:v>
                </c:pt>
                <c:pt idx="11">
                  <c:v>K3</c:v>
                </c:pt>
                <c:pt idx="12">
                  <c:v>J1</c:v>
                </c:pt>
                <c:pt idx="13">
                  <c:v>J2</c:v>
                </c:pt>
                <c:pt idx="14">
                  <c:v>J3</c:v>
                </c:pt>
                <c:pt idx="15">
                  <c:v>L1</c:v>
                </c:pt>
                <c:pt idx="16">
                  <c:v>L2</c:v>
                </c:pt>
                <c:pt idx="17">
                  <c:v>L3</c:v>
                </c:pt>
              </c:strCache>
            </c:strRef>
          </c:cat>
          <c:val>
            <c:numRef>
              <c:f>'[data chini.xlsx]created'!$O$329:$O$346</c:f>
              <c:numCache>
                <c:formatCode>0.00000</c:formatCode>
                <c:ptCount val="18"/>
                <c:pt idx="0">
                  <c:v>0.12486</c:v>
                </c:pt>
                <c:pt idx="1">
                  <c:v>0.44919999999999999</c:v>
                </c:pt>
                <c:pt idx="2">
                  <c:v>0.50053000000000003</c:v>
                </c:pt>
                <c:pt idx="3">
                  <c:v>0.49993300000000002</c:v>
                </c:pt>
                <c:pt idx="4">
                  <c:v>0.403167</c:v>
                </c:pt>
                <c:pt idx="5">
                  <c:v>0.41520000000000001</c:v>
                </c:pt>
                <c:pt idx="6">
                  <c:v>0.60440000000000005</c:v>
                </c:pt>
                <c:pt idx="7">
                  <c:v>0.4451</c:v>
                </c:pt>
                <c:pt idx="8">
                  <c:v>0.38400000000000001</c:v>
                </c:pt>
                <c:pt idx="9">
                  <c:v>0.22939999999999999</c:v>
                </c:pt>
                <c:pt idx="10">
                  <c:v>0.29873</c:v>
                </c:pt>
                <c:pt idx="11">
                  <c:v>0.14680000000000001</c:v>
                </c:pt>
                <c:pt idx="12">
                  <c:v>0.1016</c:v>
                </c:pt>
                <c:pt idx="13">
                  <c:v>0.23080000000000001</c:v>
                </c:pt>
                <c:pt idx="14">
                  <c:v>0.35849999999999999</c:v>
                </c:pt>
                <c:pt idx="15">
                  <c:v>0.43092999999999998</c:v>
                </c:pt>
                <c:pt idx="16">
                  <c:v>0.27189999999999998</c:v>
                </c:pt>
                <c:pt idx="17">
                  <c:v>0.1148</c:v>
                </c:pt>
              </c:numCache>
            </c:numRef>
          </c:val>
        </c:ser>
        <c:ser>
          <c:idx val="2"/>
          <c:order val="2"/>
          <c:tx>
            <c:strRef>
              <c:f>'[data chini.xlsx]created'!$P$328</c:f>
              <c:strCache>
                <c:ptCount val="1"/>
                <c:pt idx="0">
                  <c:v>M3</c:v>
                </c:pt>
              </c:strCache>
            </c:strRef>
          </c:tx>
          <c:spPr>
            <a:pattFill prst="smConfetti">
              <a:fgClr>
                <a:schemeClr val="tx1"/>
              </a:fgClr>
              <a:bgClr>
                <a:schemeClr val="bg1"/>
              </a:bgClr>
            </a:pattFill>
            <a:ln>
              <a:solidFill>
                <a:schemeClr val="tx1"/>
              </a:solidFill>
            </a:ln>
          </c:spPr>
          <c:invertIfNegative val="0"/>
          <c:cat>
            <c:strRef>
              <c:f>'[data chini.xlsx]created'!$M$329:$M$346</c:f>
              <c:strCache>
                <c:ptCount val="18"/>
                <c:pt idx="0">
                  <c:v>D1</c:v>
                </c:pt>
                <c:pt idx="1">
                  <c:v>D2</c:v>
                </c:pt>
                <c:pt idx="2">
                  <c:v>D3</c:v>
                </c:pt>
                <c:pt idx="3">
                  <c:v>C1</c:v>
                </c:pt>
                <c:pt idx="4">
                  <c:v>C2</c:v>
                </c:pt>
                <c:pt idx="5">
                  <c:v>C3</c:v>
                </c:pt>
                <c:pt idx="6">
                  <c:v>G1</c:v>
                </c:pt>
                <c:pt idx="7">
                  <c:v>G2</c:v>
                </c:pt>
                <c:pt idx="8">
                  <c:v>G3</c:v>
                </c:pt>
                <c:pt idx="9">
                  <c:v>K1</c:v>
                </c:pt>
                <c:pt idx="10">
                  <c:v>K2</c:v>
                </c:pt>
                <c:pt idx="11">
                  <c:v>K3</c:v>
                </c:pt>
                <c:pt idx="12">
                  <c:v>J1</c:v>
                </c:pt>
                <c:pt idx="13">
                  <c:v>J2</c:v>
                </c:pt>
                <c:pt idx="14">
                  <c:v>J3</c:v>
                </c:pt>
                <c:pt idx="15">
                  <c:v>L1</c:v>
                </c:pt>
                <c:pt idx="16">
                  <c:v>L2</c:v>
                </c:pt>
                <c:pt idx="17">
                  <c:v>L3</c:v>
                </c:pt>
              </c:strCache>
            </c:strRef>
          </c:cat>
          <c:val>
            <c:numRef>
              <c:f>'[data chini.xlsx]created'!$P$329:$P$346</c:f>
              <c:numCache>
                <c:formatCode>0.00000</c:formatCode>
                <c:ptCount val="18"/>
                <c:pt idx="0">
                  <c:v>0.1193</c:v>
                </c:pt>
                <c:pt idx="1">
                  <c:v>0.34539999999999998</c:v>
                </c:pt>
                <c:pt idx="2">
                  <c:v>0.43120000000000003</c:v>
                </c:pt>
                <c:pt idx="3">
                  <c:v>0.49993300000000002</c:v>
                </c:pt>
                <c:pt idx="4">
                  <c:v>0.403167</c:v>
                </c:pt>
                <c:pt idx="5">
                  <c:v>0.41520000000000001</c:v>
                </c:pt>
                <c:pt idx="6">
                  <c:v>0.28760000000000002</c:v>
                </c:pt>
                <c:pt idx="7">
                  <c:v>0.22339999999999999</c:v>
                </c:pt>
                <c:pt idx="8">
                  <c:v>0.54669999999999996</c:v>
                </c:pt>
                <c:pt idx="9">
                  <c:v>0.1681</c:v>
                </c:pt>
                <c:pt idx="10">
                  <c:v>6.3200000000000006E-2</c:v>
                </c:pt>
                <c:pt idx="11">
                  <c:v>5.21E-2</c:v>
                </c:pt>
                <c:pt idx="12">
                  <c:v>5.1700000000000003E-2</c:v>
                </c:pt>
                <c:pt idx="13">
                  <c:v>6.7299999999999999E-2</c:v>
                </c:pt>
                <c:pt idx="14">
                  <c:v>6.7900000000000002E-2</c:v>
                </c:pt>
                <c:pt idx="15">
                  <c:v>0.24356</c:v>
                </c:pt>
                <c:pt idx="16">
                  <c:v>0.1265</c:v>
                </c:pt>
                <c:pt idx="17">
                  <c:v>9.8760000000000001E-2</c:v>
                </c:pt>
              </c:numCache>
            </c:numRef>
          </c:val>
        </c:ser>
        <c:ser>
          <c:idx val="3"/>
          <c:order val="3"/>
          <c:tx>
            <c:strRef>
              <c:f>'[data chini.xlsx]created'!$Q$328</c:f>
              <c:strCache>
                <c:ptCount val="1"/>
                <c:pt idx="0">
                  <c:v>M4</c:v>
                </c:pt>
              </c:strCache>
            </c:strRef>
          </c:tx>
          <c:spPr>
            <a:pattFill prst="dkUpDiag">
              <a:fgClr>
                <a:schemeClr val="tx1"/>
              </a:fgClr>
              <a:bgClr>
                <a:schemeClr val="bg1"/>
              </a:bgClr>
            </a:pattFill>
            <a:ln>
              <a:solidFill>
                <a:schemeClr val="tx1"/>
              </a:solidFill>
            </a:ln>
          </c:spPr>
          <c:invertIfNegative val="0"/>
          <c:cat>
            <c:strRef>
              <c:f>'[data chini.xlsx]created'!$M$329:$M$346</c:f>
              <c:strCache>
                <c:ptCount val="18"/>
                <c:pt idx="0">
                  <c:v>D1</c:v>
                </c:pt>
                <c:pt idx="1">
                  <c:v>D2</c:v>
                </c:pt>
                <c:pt idx="2">
                  <c:v>D3</c:v>
                </c:pt>
                <c:pt idx="3">
                  <c:v>C1</c:v>
                </c:pt>
                <c:pt idx="4">
                  <c:v>C2</c:v>
                </c:pt>
                <c:pt idx="5">
                  <c:v>C3</c:v>
                </c:pt>
                <c:pt idx="6">
                  <c:v>G1</c:v>
                </c:pt>
                <c:pt idx="7">
                  <c:v>G2</c:v>
                </c:pt>
                <c:pt idx="8">
                  <c:v>G3</c:v>
                </c:pt>
                <c:pt idx="9">
                  <c:v>K1</c:v>
                </c:pt>
                <c:pt idx="10">
                  <c:v>K2</c:v>
                </c:pt>
                <c:pt idx="11">
                  <c:v>K3</c:v>
                </c:pt>
                <c:pt idx="12">
                  <c:v>J1</c:v>
                </c:pt>
                <c:pt idx="13">
                  <c:v>J2</c:v>
                </c:pt>
                <c:pt idx="14">
                  <c:v>J3</c:v>
                </c:pt>
                <c:pt idx="15">
                  <c:v>L1</c:v>
                </c:pt>
                <c:pt idx="16">
                  <c:v>L2</c:v>
                </c:pt>
                <c:pt idx="17">
                  <c:v>L3</c:v>
                </c:pt>
              </c:strCache>
            </c:strRef>
          </c:cat>
          <c:val>
            <c:numRef>
              <c:f>'[data chini.xlsx]created'!$Q$329:$Q$346</c:f>
              <c:numCache>
                <c:formatCode>0.00000</c:formatCode>
                <c:ptCount val="18"/>
                <c:pt idx="0">
                  <c:v>0.1021</c:v>
                </c:pt>
                <c:pt idx="1">
                  <c:v>8.1049999999999997E-2</c:v>
                </c:pt>
                <c:pt idx="2">
                  <c:v>3.8300000000000001E-2</c:v>
                </c:pt>
                <c:pt idx="3">
                  <c:v>9.1499999999999998E-2</c:v>
                </c:pt>
                <c:pt idx="4">
                  <c:v>4.7600000000000003E-2</c:v>
                </c:pt>
                <c:pt idx="5">
                  <c:v>4.65E-2</c:v>
                </c:pt>
                <c:pt idx="6">
                  <c:v>0.1928</c:v>
                </c:pt>
                <c:pt idx="7">
                  <c:v>8.9700000000000002E-2</c:v>
                </c:pt>
                <c:pt idx="8">
                  <c:v>7.8950000000000006E-2</c:v>
                </c:pt>
                <c:pt idx="9">
                  <c:v>0.1181</c:v>
                </c:pt>
                <c:pt idx="10">
                  <c:v>8.1032999999999994E-2</c:v>
                </c:pt>
                <c:pt idx="11">
                  <c:v>4.3499999999999997E-2</c:v>
                </c:pt>
                <c:pt idx="12">
                  <c:v>5.5599999999999997E-2</c:v>
                </c:pt>
                <c:pt idx="13">
                  <c:v>6.5799999999999997E-2</c:v>
                </c:pt>
                <c:pt idx="14">
                  <c:v>6.6540000000000002E-2</c:v>
                </c:pt>
                <c:pt idx="15">
                  <c:v>5.6500000000000002E-2</c:v>
                </c:pt>
                <c:pt idx="16">
                  <c:v>0.1159</c:v>
                </c:pt>
                <c:pt idx="17">
                  <c:v>0.13980000000000001</c:v>
                </c:pt>
              </c:numCache>
            </c:numRef>
          </c:val>
        </c:ser>
        <c:dLbls>
          <c:showLegendKey val="0"/>
          <c:showVal val="0"/>
          <c:showCatName val="0"/>
          <c:showSerName val="0"/>
          <c:showPercent val="0"/>
          <c:showBubbleSize val="0"/>
        </c:dLbls>
        <c:gapWidth val="150"/>
        <c:axId val="36607488"/>
        <c:axId val="36609024"/>
      </c:barChart>
      <c:catAx>
        <c:axId val="36607488"/>
        <c:scaling>
          <c:orientation val="minMax"/>
        </c:scaling>
        <c:delete val="0"/>
        <c:axPos val="b"/>
        <c:majorTickMark val="out"/>
        <c:minorTickMark val="none"/>
        <c:tickLblPos val="nextTo"/>
        <c:crossAx val="36609024"/>
        <c:crosses val="autoZero"/>
        <c:auto val="1"/>
        <c:lblAlgn val="ctr"/>
        <c:lblOffset val="100"/>
        <c:noMultiLvlLbl val="0"/>
      </c:catAx>
      <c:valAx>
        <c:axId val="36609024"/>
        <c:scaling>
          <c:orientation val="minMax"/>
        </c:scaling>
        <c:delete val="0"/>
        <c:axPos val="l"/>
        <c:majorGridlines/>
        <c:numFmt formatCode="0.00000" sourceLinked="1"/>
        <c:majorTickMark val="out"/>
        <c:minorTickMark val="none"/>
        <c:tickLblPos val="nextTo"/>
        <c:crossAx val="36607488"/>
        <c:crosses val="autoZero"/>
        <c:crossBetween val="between"/>
      </c:valAx>
    </c:plotArea>
    <c:legend>
      <c:legendPos val="r"/>
      <c:overlay val="0"/>
    </c:legend>
    <c:plotVisOnly val="1"/>
    <c:dispBlanksAs val="gap"/>
    <c:showDLblsOverMax val="0"/>
  </c:chart>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1.68248E-7</cdr:x>
      <cdr:y>0</cdr:y>
    </cdr:from>
    <cdr:to>
      <cdr:x>0.0458</cdr:x>
      <cdr:y>0.99822</cdr:y>
    </cdr:to>
    <cdr:sp macro="" textlink="">
      <cdr:nvSpPr>
        <cdr:cNvPr id="2" name="TextBox 11"/>
        <cdr:cNvSpPr txBox="1"/>
      </cdr:nvSpPr>
      <cdr:spPr>
        <a:xfrm xmlns:a="http://schemas.openxmlformats.org/drawingml/2006/main" rot="16200000">
          <a:off x="-926572" y="926571"/>
          <a:ext cx="2125364" cy="272217"/>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square" rtlCol="0" anchor="t">
          <a:no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en-US" sz="1000">
              <a:latin typeface="Times New Roman" panose="02020603050405020304" pitchFamily="18" charset="0"/>
              <a:cs typeface="Times New Roman" panose="02020603050405020304" pitchFamily="18" charset="0"/>
            </a:rPr>
            <a:t>Metsulfuron  Methyl (MSM) (ug/L)</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C3870-69D3-45B5-B4F0-185BF836B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8</Pages>
  <Words>3151</Words>
  <Characters>17964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MJAS Vol 19 No 2 (2015)</vt:lpstr>
    </vt:vector>
  </TitlesOfParts>
  <Company>UKM</Company>
  <LinksUpToDate>false</LinksUpToDate>
  <CharactersWithSpaces>21073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20 No 1 (2016)</dc:title>
  <dc:creator>Harun Hj Hamzah</dc:creator>
  <cp:lastModifiedBy>ANALIS</cp:lastModifiedBy>
  <cp:revision>8</cp:revision>
  <cp:lastPrinted>2016-01-27T12:41:00Z</cp:lastPrinted>
  <dcterms:created xsi:type="dcterms:W3CDTF">2016-01-27T10:31:00Z</dcterms:created>
  <dcterms:modified xsi:type="dcterms:W3CDTF">2016-02-11T05:03:00Z</dcterms:modified>
</cp:coreProperties>
</file>