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F0" w:rsidRDefault="00397CF0" w:rsidP="00397CF0">
      <w:pPr>
        <w:spacing w:after="0" w:line="240" w:lineRule="auto"/>
        <w:rPr>
          <w:rFonts w:ascii="Times New Roman" w:hAnsi="Times New Roman"/>
          <w:sz w:val="24"/>
          <w:szCs w:val="24"/>
        </w:rPr>
      </w:pPr>
      <w:r>
        <w:rPr>
          <w:rFonts w:ascii="Times New Roman" w:hAnsi="Times New Roman"/>
          <w:sz w:val="24"/>
          <w:szCs w:val="24"/>
        </w:rPr>
        <w:t>Malaysian Journal of</w:t>
      </w:r>
      <w:r w:rsidR="00014C64">
        <w:rPr>
          <w:rFonts w:ascii="Times New Roman" w:hAnsi="Times New Roman"/>
          <w:sz w:val="24"/>
          <w:szCs w:val="24"/>
        </w:rPr>
        <w:t xml:space="preserve"> Analytical Sciences Vol 19 No 6</w:t>
      </w:r>
      <w:r>
        <w:rPr>
          <w:rFonts w:ascii="Times New Roman" w:hAnsi="Times New Roman"/>
          <w:sz w:val="24"/>
          <w:szCs w:val="24"/>
        </w:rPr>
        <w:t xml:space="preserve"> (2015): </w:t>
      </w:r>
      <w:r w:rsidR="00014C64">
        <w:rPr>
          <w:rFonts w:ascii="Times New Roman" w:hAnsi="Times New Roman"/>
          <w:sz w:val="24"/>
          <w:szCs w:val="24"/>
        </w:rPr>
        <w:t>1361 - 137</w:t>
      </w:r>
      <w:r w:rsidR="00CE11EA">
        <w:rPr>
          <w:rFonts w:ascii="Times New Roman" w:hAnsi="Times New Roman"/>
          <w:sz w:val="24"/>
          <w:szCs w:val="24"/>
        </w:rPr>
        <w:t>3</w:t>
      </w:r>
    </w:p>
    <w:p w:rsidR="00397CF0" w:rsidRDefault="00397CF0" w:rsidP="00397CF0">
      <w:pPr>
        <w:spacing w:after="0" w:line="240" w:lineRule="auto"/>
        <w:rPr>
          <w:rFonts w:ascii="Times New Roman" w:hAnsi="Times New Roman"/>
          <w:sz w:val="24"/>
          <w:szCs w:val="24"/>
        </w:rPr>
      </w:pPr>
    </w:p>
    <w:p w:rsidR="00397CF0" w:rsidRDefault="00397CF0" w:rsidP="00397CF0">
      <w:pPr>
        <w:spacing w:after="0" w:line="240" w:lineRule="auto"/>
        <w:rPr>
          <w:rFonts w:ascii="Times New Roman" w:hAnsi="Times New Roman"/>
          <w:sz w:val="24"/>
          <w:szCs w:val="24"/>
        </w:rPr>
      </w:pPr>
      <w:bookmarkStart w:id="0" w:name="_GoBack"/>
      <w:bookmarkEnd w:id="0"/>
    </w:p>
    <w:p w:rsidR="00397CF0" w:rsidRPr="00397CF0" w:rsidRDefault="00397CF0" w:rsidP="00397CF0">
      <w:pPr>
        <w:spacing w:after="0" w:line="240" w:lineRule="auto"/>
        <w:rPr>
          <w:rFonts w:ascii="Times New Roman" w:hAnsi="Times New Roman"/>
          <w:sz w:val="24"/>
          <w:szCs w:val="24"/>
        </w:rPr>
      </w:pPr>
    </w:p>
    <w:p w:rsidR="00397CF0" w:rsidRPr="00D87219" w:rsidRDefault="00397CF0" w:rsidP="00397CF0">
      <w:pPr>
        <w:spacing w:after="0" w:line="240" w:lineRule="auto"/>
        <w:jc w:val="center"/>
        <w:rPr>
          <w:rFonts w:ascii="Times New Roman" w:hAnsi="Times New Roman"/>
          <w:sz w:val="24"/>
          <w:szCs w:val="24"/>
        </w:rPr>
      </w:pPr>
      <w:r w:rsidRPr="00D87219">
        <w:rPr>
          <w:rFonts w:ascii="Times New Roman" w:hAnsi="Times New Roman"/>
          <w:sz w:val="28"/>
          <w:szCs w:val="28"/>
        </w:rPr>
        <w:t xml:space="preserve">SPATIAL AND TEMPORAL ASSESSMENT ON DRUG ADDICTION USING MULTIVARIATE ANALYSIS AND GIS </w:t>
      </w:r>
    </w:p>
    <w:p w:rsidR="00397CF0" w:rsidRPr="00F447A7" w:rsidRDefault="00397CF0" w:rsidP="00397CF0">
      <w:pPr>
        <w:spacing w:after="0" w:line="240" w:lineRule="auto"/>
        <w:jc w:val="center"/>
        <w:rPr>
          <w:rFonts w:ascii="Times New Roman" w:hAnsi="Times New Roman"/>
          <w:noProof/>
          <w:sz w:val="24"/>
          <w:szCs w:val="24"/>
          <w:lang w:bidi="ar-SA"/>
        </w:rPr>
      </w:pPr>
    </w:p>
    <w:p w:rsidR="00397CF0" w:rsidRDefault="00397CF0" w:rsidP="00397CF0">
      <w:pPr>
        <w:spacing w:after="0" w:line="240" w:lineRule="auto"/>
        <w:jc w:val="center"/>
        <w:rPr>
          <w:rFonts w:ascii="Times New Roman" w:hAnsi="Times New Roman"/>
          <w:sz w:val="24"/>
          <w:szCs w:val="24"/>
        </w:rPr>
      </w:pPr>
      <w:r w:rsidRPr="00D87219">
        <w:rPr>
          <w:rFonts w:ascii="Times New Roman" w:hAnsi="Times New Roman"/>
          <w:sz w:val="24"/>
          <w:szCs w:val="24"/>
        </w:rPr>
        <w:t>(</w:t>
      </w:r>
      <w:r w:rsidRPr="00D87219">
        <w:rPr>
          <w:rFonts w:ascii="Times New Roman" w:hAnsi="Times New Roman"/>
          <w:sz w:val="24"/>
          <w:szCs w:val="24"/>
          <w:lang w:val="en-MY"/>
        </w:rPr>
        <w:t>Penilaian</w:t>
      </w:r>
      <w:r w:rsidRPr="00D87219">
        <w:rPr>
          <w:rFonts w:ascii="Times New Roman" w:hAnsi="Times New Roman"/>
          <w:sz w:val="24"/>
          <w:szCs w:val="24"/>
        </w:rPr>
        <w:t xml:space="preserve"> </w:t>
      </w:r>
      <w:r w:rsidRPr="00D87219">
        <w:rPr>
          <w:rFonts w:ascii="Times New Roman" w:hAnsi="Times New Roman"/>
          <w:sz w:val="24"/>
          <w:szCs w:val="24"/>
          <w:lang w:val="en-MY"/>
        </w:rPr>
        <w:t>R</w:t>
      </w:r>
      <w:r w:rsidRPr="00D87219">
        <w:rPr>
          <w:rFonts w:ascii="Times New Roman" w:hAnsi="Times New Roman"/>
          <w:sz w:val="24"/>
          <w:szCs w:val="24"/>
        </w:rPr>
        <w:t xml:space="preserve">uang dan </w:t>
      </w:r>
      <w:r w:rsidRPr="00D87219">
        <w:rPr>
          <w:rFonts w:ascii="Times New Roman" w:hAnsi="Times New Roman"/>
          <w:sz w:val="24"/>
          <w:szCs w:val="24"/>
          <w:lang w:val="en-MY"/>
        </w:rPr>
        <w:t>M</w:t>
      </w:r>
      <w:r w:rsidRPr="00D87219">
        <w:rPr>
          <w:rFonts w:ascii="Times New Roman" w:hAnsi="Times New Roman"/>
          <w:sz w:val="24"/>
          <w:szCs w:val="24"/>
        </w:rPr>
        <w:t xml:space="preserve">asa </w:t>
      </w:r>
      <w:r w:rsidRPr="00D87219">
        <w:rPr>
          <w:rFonts w:ascii="Times New Roman" w:hAnsi="Times New Roman"/>
          <w:sz w:val="24"/>
          <w:szCs w:val="24"/>
          <w:lang w:val="en-MY"/>
        </w:rPr>
        <w:t>T</w:t>
      </w:r>
      <w:r w:rsidRPr="00D87219">
        <w:rPr>
          <w:rFonts w:ascii="Times New Roman" w:hAnsi="Times New Roman"/>
          <w:sz w:val="24"/>
          <w:szCs w:val="24"/>
        </w:rPr>
        <w:t xml:space="preserve">erhadap </w:t>
      </w:r>
      <w:r w:rsidRPr="00D87219">
        <w:rPr>
          <w:rFonts w:ascii="Times New Roman" w:hAnsi="Times New Roman"/>
          <w:sz w:val="24"/>
          <w:szCs w:val="24"/>
          <w:lang w:val="en-MY"/>
        </w:rPr>
        <w:t>P</w:t>
      </w:r>
      <w:r w:rsidRPr="00D87219">
        <w:rPr>
          <w:rFonts w:ascii="Times New Roman" w:hAnsi="Times New Roman"/>
          <w:sz w:val="24"/>
          <w:szCs w:val="24"/>
        </w:rPr>
        <w:t xml:space="preserve">enagihan </w:t>
      </w:r>
      <w:r w:rsidRPr="00D87219">
        <w:rPr>
          <w:rFonts w:ascii="Times New Roman" w:hAnsi="Times New Roman"/>
          <w:sz w:val="24"/>
          <w:szCs w:val="24"/>
          <w:lang w:val="en-MY"/>
        </w:rPr>
        <w:t>D</w:t>
      </w:r>
      <w:r w:rsidRPr="00D87219">
        <w:rPr>
          <w:rFonts w:ascii="Times New Roman" w:hAnsi="Times New Roman"/>
          <w:sz w:val="24"/>
          <w:szCs w:val="24"/>
        </w:rPr>
        <w:t xml:space="preserve">adah </w:t>
      </w:r>
      <w:r w:rsidRPr="00D87219">
        <w:rPr>
          <w:rFonts w:ascii="Times New Roman" w:hAnsi="Times New Roman"/>
          <w:sz w:val="24"/>
          <w:szCs w:val="24"/>
          <w:lang w:val="en-MY"/>
        </w:rPr>
        <w:t>M</w:t>
      </w:r>
      <w:r w:rsidRPr="00D87219">
        <w:rPr>
          <w:rFonts w:ascii="Times New Roman" w:hAnsi="Times New Roman"/>
          <w:sz w:val="24"/>
          <w:szCs w:val="24"/>
        </w:rPr>
        <w:t xml:space="preserve">enggunakan </w:t>
      </w:r>
    </w:p>
    <w:p w:rsidR="00397CF0" w:rsidRPr="00D87219" w:rsidRDefault="00397CF0" w:rsidP="00397CF0">
      <w:pPr>
        <w:spacing w:after="0" w:line="240" w:lineRule="auto"/>
        <w:jc w:val="center"/>
        <w:rPr>
          <w:rFonts w:ascii="Times New Roman" w:hAnsi="Times New Roman"/>
          <w:sz w:val="24"/>
          <w:szCs w:val="24"/>
        </w:rPr>
      </w:pPr>
      <w:r w:rsidRPr="00D87219">
        <w:rPr>
          <w:rFonts w:ascii="Times New Roman" w:hAnsi="Times New Roman"/>
          <w:sz w:val="24"/>
          <w:szCs w:val="24"/>
          <w:lang w:val="en-MY"/>
        </w:rPr>
        <w:t>A</w:t>
      </w:r>
      <w:r w:rsidRPr="00D87219">
        <w:rPr>
          <w:rFonts w:ascii="Times New Roman" w:hAnsi="Times New Roman"/>
          <w:sz w:val="24"/>
          <w:szCs w:val="24"/>
        </w:rPr>
        <w:t xml:space="preserve">nalisis </w:t>
      </w:r>
      <w:r w:rsidRPr="00D87219">
        <w:rPr>
          <w:rFonts w:ascii="Times New Roman" w:hAnsi="Times New Roman"/>
          <w:sz w:val="24"/>
          <w:szCs w:val="24"/>
          <w:lang w:val="en-MY"/>
        </w:rPr>
        <w:t>M</w:t>
      </w:r>
      <w:r w:rsidRPr="00D87219">
        <w:rPr>
          <w:rFonts w:ascii="Times New Roman" w:hAnsi="Times New Roman"/>
          <w:sz w:val="24"/>
          <w:szCs w:val="24"/>
        </w:rPr>
        <w:t>ultivariat dan GIS)</w:t>
      </w:r>
    </w:p>
    <w:p w:rsidR="00397CF0" w:rsidRPr="00F447A7" w:rsidRDefault="00397CF0" w:rsidP="00397CF0">
      <w:pPr>
        <w:spacing w:after="0" w:line="240" w:lineRule="auto"/>
        <w:jc w:val="center"/>
        <w:rPr>
          <w:rFonts w:ascii="Times New Roman" w:hAnsi="Times New Roman"/>
          <w:noProof/>
          <w:sz w:val="20"/>
          <w:szCs w:val="20"/>
          <w:lang w:bidi="ar-SA"/>
        </w:rPr>
      </w:pPr>
    </w:p>
    <w:p w:rsidR="00397CF0" w:rsidRDefault="00B103F3" w:rsidP="00B103F3">
      <w:pPr>
        <w:spacing w:after="0" w:line="240" w:lineRule="auto"/>
        <w:jc w:val="center"/>
        <w:rPr>
          <w:rFonts w:ascii="Times New Roman" w:hAnsi="Times New Roman"/>
          <w:sz w:val="20"/>
          <w:szCs w:val="20"/>
        </w:rPr>
      </w:pPr>
      <w:r>
        <w:rPr>
          <w:rFonts w:ascii="Times New Roman" w:hAnsi="Times New Roman"/>
          <w:sz w:val="20"/>
          <w:szCs w:val="20"/>
        </w:rPr>
        <w:t xml:space="preserve">Mohd Ekhwan </w:t>
      </w:r>
      <w:r w:rsidRPr="00705F42">
        <w:rPr>
          <w:rFonts w:ascii="Times New Roman" w:hAnsi="Times New Roman"/>
          <w:sz w:val="20"/>
          <w:szCs w:val="20"/>
        </w:rPr>
        <w:t>Toriman</w:t>
      </w:r>
      <w:r w:rsidRPr="00705F42">
        <w:rPr>
          <w:rFonts w:ascii="Times New Roman" w:hAnsi="Times New Roman"/>
          <w:sz w:val="20"/>
          <w:szCs w:val="20"/>
          <w:vertAlign w:val="superscript"/>
        </w:rPr>
        <w:t>1,2</w:t>
      </w:r>
      <w:r w:rsidRPr="00705F42">
        <w:rPr>
          <w:rFonts w:ascii="Times New Roman" w:hAnsi="Times New Roman"/>
          <w:sz w:val="20"/>
          <w:szCs w:val="20"/>
        </w:rPr>
        <w:t xml:space="preserve">, </w:t>
      </w:r>
      <w:r w:rsidR="00397CF0" w:rsidRPr="00705F42">
        <w:rPr>
          <w:rFonts w:ascii="Times New Roman" w:hAnsi="Times New Roman"/>
          <w:sz w:val="20"/>
          <w:szCs w:val="20"/>
        </w:rPr>
        <w:t>Siti Nor Fazillah Abdullah</w:t>
      </w:r>
      <w:r w:rsidR="00397CF0" w:rsidRPr="00705F42">
        <w:rPr>
          <w:rFonts w:ascii="Times New Roman" w:hAnsi="Times New Roman"/>
          <w:sz w:val="20"/>
          <w:szCs w:val="20"/>
          <w:vertAlign w:val="superscript"/>
        </w:rPr>
        <w:t>1</w:t>
      </w:r>
      <w:r w:rsidR="00397CF0" w:rsidRPr="008C2D01">
        <w:rPr>
          <w:rFonts w:ascii="Times New Roman" w:hAnsi="Times New Roman"/>
          <w:sz w:val="20"/>
          <w:szCs w:val="20"/>
        </w:rPr>
        <w:t>*</w:t>
      </w:r>
      <w:r w:rsidR="00397CF0" w:rsidRPr="00705F42">
        <w:rPr>
          <w:rFonts w:ascii="Times New Roman" w:hAnsi="Times New Roman"/>
          <w:sz w:val="20"/>
          <w:szCs w:val="20"/>
        </w:rPr>
        <w:t>, Izwan A</w:t>
      </w:r>
      <w:r w:rsidR="00397CF0">
        <w:rPr>
          <w:rFonts w:ascii="Times New Roman" w:hAnsi="Times New Roman"/>
          <w:sz w:val="20"/>
          <w:szCs w:val="20"/>
        </w:rPr>
        <w:t>rif Azizan</w:t>
      </w:r>
      <w:r w:rsidR="00397CF0" w:rsidRPr="00705F42">
        <w:rPr>
          <w:rFonts w:ascii="Times New Roman" w:hAnsi="Times New Roman"/>
          <w:sz w:val="20"/>
          <w:szCs w:val="20"/>
          <w:vertAlign w:val="superscript"/>
        </w:rPr>
        <w:t>1</w:t>
      </w:r>
      <w:r w:rsidR="00397CF0" w:rsidRPr="00705F42">
        <w:rPr>
          <w:rFonts w:ascii="Times New Roman" w:hAnsi="Times New Roman"/>
          <w:sz w:val="20"/>
          <w:szCs w:val="20"/>
        </w:rPr>
        <w:t>,</w:t>
      </w:r>
    </w:p>
    <w:p w:rsidR="00397CF0" w:rsidRPr="00705F42" w:rsidRDefault="00397CF0" w:rsidP="00397CF0">
      <w:pPr>
        <w:spacing w:after="0" w:line="240" w:lineRule="auto"/>
        <w:jc w:val="center"/>
        <w:rPr>
          <w:rFonts w:ascii="Times New Roman" w:hAnsi="Times New Roman"/>
          <w:sz w:val="24"/>
          <w:szCs w:val="24"/>
        </w:rPr>
      </w:pPr>
      <w:r>
        <w:rPr>
          <w:rFonts w:ascii="Times New Roman" w:hAnsi="Times New Roman"/>
          <w:sz w:val="20"/>
          <w:szCs w:val="20"/>
        </w:rPr>
        <w:t xml:space="preserve">Mohd Khairul Amri </w:t>
      </w:r>
      <w:r w:rsidRPr="00705F42">
        <w:rPr>
          <w:rFonts w:ascii="Times New Roman" w:hAnsi="Times New Roman"/>
          <w:sz w:val="20"/>
          <w:szCs w:val="20"/>
        </w:rPr>
        <w:t>Kamarudin</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Roslan </w:t>
      </w:r>
      <w:r w:rsidRPr="00705F42">
        <w:rPr>
          <w:rFonts w:ascii="Times New Roman" w:hAnsi="Times New Roman"/>
          <w:sz w:val="20"/>
          <w:szCs w:val="20"/>
        </w:rPr>
        <w:t>Umar</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Nasir </w:t>
      </w:r>
      <w:r w:rsidRPr="00705F42">
        <w:rPr>
          <w:rFonts w:ascii="Times New Roman" w:hAnsi="Times New Roman"/>
          <w:sz w:val="20"/>
          <w:szCs w:val="20"/>
        </w:rPr>
        <w:t>Mohamad</w:t>
      </w:r>
      <w:r w:rsidRPr="00705F42">
        <w:rPr>
          <w:rFonts w:ascii="Times New Roman" w:hAnsi="Times New Roman"/>
          <w:sz w:val="20"/>
          <w:szCs w:val="20"/>
          <w:vertAlign w:val="superscript"/>
        </w:rPr>
        <w:t xml:space="preserve">3  </w:t>
      </w:r>
      <w:r w:rsidRPr="00705F42">
        <w:rPr>
          <w:rFonts w:ascii="Times New Roman" w:hAnsi="Times New Roman"/>
          <w:sz w:val="24"/>
          <w:szCs w:val="24"/>
        </w:rPr>
        <w:t xml:space="preserve"> </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vertAlign w:val="superscript"/>
        </w:rPr>
        <w:t>1</w:t>
      </w:r>
      <w:r w:rsidRPr="00397CF0">
        <w:rPr>
          <w:rFonts w:ascii="Times New Roman" w:hAnsi="Times New Roman"/>
          <w:i/>
          <w:sz w:val="20"/>
          <w:szCs w:val="20"/>
        </w:rPr>
        <w:t xml:space="preserve">East Coast Environmental Research Institute, </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rPr>
        <w:t>Universiti Sultan Zainal Abidin, Gong Badak Campus, 21300 Kuala Terengganu, Terengganu, Malaysia</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vertAlign w:val="superscript"/>
        </w:rPr>
        <w:t xml:space="preserve">2 </w:t>
      </w:r>
      <w:r w:rsidRPr="00397CF0">
        <w:rPr>
          <w:rFonts w:ascii="Times New Roman" w:hAnsi="Times New Roman"/>
          <w:i/>
          <w:sz w:val="20"/>
          <w:szCs w:val="20"/>
        </w:rPr>
        <w:t xml:space="preserve">School of Social Development and Environmental Studies, Faculty of Social Science and Humanities, </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rPr>
        <w:t>Universiti Kebangsaan Malaysia,43600UKM Bangi, Selangor, Malaysia</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vertAlign w:val="superscript"/>
        </w:rPr>
        <w:t>3</w:t>
      </w:r>
      <w:r w:rsidRPr="00397CF0">
        <w:rPr>
          <w:rFonts w:ascii="Times New Roman" w:hAnsi="Times New Roman"/>
          <w:i/>
          <w:sz w:val="20"/>
          <w:szCs w:val="20"/>
        </w:rPr>
        <w:t xml:space="preserve">Medical Centre, </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rPr>
        <w:t>Universiti Sultan Zainal Abidin, Kampus Gong Badak, 21300 Kuala Terengganu, Terengganu, Malaysia</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i/>
          <w:noProof/>
          <w:sz w:val="20"/>
          <w:szCs w:val="20"/>
          <w:lang w:bidi="ar-SA"/>
        </w:rPr>
      </w:pPr>
      <w:r w:rsidRPr="00397CF0">
        <w:rPr>
          <w:rFonts w:ascii="Times New Roman" w:hAnsi="Times New Roman"/>
          <w:i/>
          <w:noProof/>
          <w:sz w:val="20"/>
          <w:szCs w:val="20"/>
          <w:lang w:bidi="ar-SA"/>
        </w:rPr>
        <w:t xml:space="preserve">*Corresponding author: </w:t>
      </w:r>
      <w:r w:rsidRPr="00397CF0">
        <w:rPr>
          <w:rFonts w:ascii="Times New Roman" w:hAnsi="Times New Roman"/>
          <w:i/>
          <w:sz w:val="20"/>
          <w:szCs w:val="20"/>
        </w:rPr>
        <w:t>fazillah1988@gmail.com</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noProof/>
          <w:sz w:val="20"/>
          <w:szCs w:val="20"/>
          <w:lang w:bidi="ar-SA"/>
        </w:rPr>
      </w:pPr>
      <w:r w:rsidRPr="00397CF0">
        <w:rPr>
          <w:rFonts w:ascii="Times New Roman" w:hAnsi="Times New Roman"/>
          <w:noProof/>
          <w:sz w:val="20"/>
          <w:szCs w:val="20"/>
          <w:lang w:bidi="ar-SA"/>
        </w:rPr>
        <w:t>Received: 14 April 2015; Accepted: 9 July 2015</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b/>
          <w:noProof/>
          <w:sz w:val="20"/>
          <w:szCs w:val="20"/>
          <w:lang w:bidi="ar-SA"/>
        </w:rPr>
      </w:pPr>
      <w:r w:rsidRPr="00397CF0">
        <w:rPr>
          <w:rFonts w:ascii="Times New Roman" w:hAnsi="Times New Roman"/>
          <w:b/>
          <w:noProof/>
          <w:sz w:val="20"/>
          <w:szCs w:val="20"/>
          <w:lang w:bidi="ar-SA"/>
        </w:rPr>
        <w:t>Abstract</w:t>
      </w:r>
    </w:p>
    <w:p w:rsidR="00397CF0" w:rsidRPr="00397CF0" w:rsidRDefault="00397CF0" w:rsidP="00397CF0">
      <w:pPr>
        <w:spacing w:after="0" w:line="240" w:lineRule="auto"/>
        <w:jc w:val="both"/>
        <w:rPr>
          <w:rFonts w:ascii="Times New Roman" w:hAnsi="Times New Roman"/>
          <w:sz w:val="20"/>
          <w:szCs w:val="20"/>
        </w:rPr>
      </w:pPr>
      <w:r w:rsidRPr="00397CF0">
        <w:rPr>
          <w:rFonts w:ascii="Times New Roman" w:hAnsi="Times New Roman"/>
          <w:sz w:val="20"/>
          <w:szCs w:val="20"/>
        </w:rPr>
        <w:t>There is a need for managing and displaying drug addiction phenomena and trend at both spatial and temporal scales. Spatial and temporal assessment on drug addiction in Terengganu was undertaken to understand the geographical area of district in the same cluster, in addition, identify the hot spot area of this problem and analysis the trend of drug addiction. Data used were topography map of Terengganu and number of drug addicted person in Terengganu by district within 10 years (2004-2013). Number of drug addicted person by district were mapped using Geographic Information system and analysed using a combination of multivariate analysis which is cluster analysis were applied to the database in order to validate the correlation between data in the same cluster. Result showed a cluster analysis for number of drug addiction by district generated three clusters which are Besut and Kuala Terengganu in cluster 1 named moderate drug addicted person (MDA), Dungun, Marang, Setiu and Hulu Terengganu in cluster 2 named lower drug addicted person (LDA) and Kemaman in cluster 3 named high drug addicted person(HDA). This analysis indicates that cluster 3 which is Kemaman is a hot spot area. These results were beneficial for stakeholder to monitor and manage this problem especially in the hot spot area which needs to be emphasized.</w:t>
      </w:r>
    </w:p>
    <w:p w:rsidR="00397CF0" w:rsidRPr="00397CF0" w:rsidRDefault="00397CF0" w:rsidP="00397CF0">
      <w:pPr>
        <w:spacing w:after="0" w:line="240" w:lineRule="auto"/>
        <w:jc w:val="both"/>
        <w:rPr>
          <w:rFonts w:ascii="Times New Roman" w:hAnsi="Times New Roman"/>
          <w:sz w:val="20"/>
          <w:szCs w:val="20"/>
        </w:rPr>
      </w:pPr>
    </w:p>
    <w:p w:rsidR="00397CF0" w:rsidRPr="00397CF0" w:rsidRDefault="00397CF0" w:rsidP="00397CF0">
      <w:pPr>
        <w:spacing w:after="0" w:line="240" w:lineRule="auto"/>
        <w:jc w:val="both"/>
        <w:rPr>
          <w:rFonts w:ascii="Times New Roman" w:hAnsi="Times New Roman"/>
          <w:bCs/>
          <w:sz w:val="20"/>
          <w:szCs w:val="20"/>
        </w:rPr>
      </w:pPr>
      <w:r w:rsidRPr="00397CF0">
        <w:rPr>
          <w:rFonts w:ascii="Times New Roman" w:hAnsi="Times New Roman"/>
          <w:b/>
          <w:bCs/>
          <w:sz w:val="20"/>
          <w:szCs w:val="20"/>
        </w:rPr>
        <w:t xml:space="preserve">Keywords: </w:t>
      </w:r>
      <w:r w:rsidRPr="00397CF0">
        <w:rPr>
          <w:rFonts w:ascii="Times New Roman" w:hAnsi="Times New Roman"/>
          <w:bCs/>
          <w:sz w:val="20"/>
          <w:szCs w:val="20"/>
        </w:rPr>
        <w:t>drug addiction, GIS, multivariate analysis, cluster analysis</w:t>
      </w:r>
    </w:p>
    <w:p w:rsidR="00397CF0" w:rsidRPr="00397CF0" w:rsidRDefault="00397CF0" w:rsidP="00397CF0">
      <w:pPr>
        <w:spacing w:after="0" w:line="240" w:lineRule="auto"/>
        <w:jc w:val="center"/>
        <w:rPr>
          <w:rFonts w:ascii="Times New Roman" w:hAnsi="Times New Roman"/>
          <w:b/>
          <w:noProof/>
          <w:sz w:val="20"/>
          <w:szCs w:val="20"/>
          <w:lang w:bidi="ar-SA"/>
        </w:rPr>
      </w:pPr>
    </w:p>
    <w:p w:rsidR="00397CF0" w:rsidRPr="00397CF0" w:rsidRDefault="00397CF0" w:rsidP="00397CF0">
      <w:pPr>
        <w:spacing w:after="0" w:line="240" w:lineRule="auto"/>
        <w:jc w:val="center"/>
        <w:rPr>
          <w:rFonts w:ascii="Times New Roman" w:hAnsi="Times New Roman"/>
          <w:b/>
          <w:noProof/>
          <w:sz w:val="20"/>
          <w:szCs w:val="20"/>
          <w:lang w:bidi="ar-SA"/>
        </w:rPr>
      </w:pPr>
      <w:r w:rsidRPr="00397CF0">
        <w:rPr>
          <w:rFonts w:ascii="Times New Roman" w:hAnsi="Times New Roman"/>
          <w:b/>
          <w:noProof/>
          <w:sz w:val="20"/>
          <w:szCs w:val="20"/>
          <w:lang w:bidi="ar-SA"/>
        </w:rPr>
        <w:t>Abstrak</w:t>
      </w:r>
    </w:p>
    <w:p w:rsidR="00397CF0" w:rsidRPr="00397CF0" w:rsidRDefault="00397CF0" w:rsidP="00397CF0">
      <w:pPr>
        <w:spacing w:after="0" w:line="240" w:lineRule="auto"/>
        <w:jc w:val="both"/>
        <w:rPr>
          <w:rFonts w:ascii="Times New Roman" w:hAnsi="Times New Roman"/>
          <w:sz w:val="20"/>
          <w:szCs w:val="20"/>
        </w:rPr>
      </w:pPr>
      <w:r w:rsidRPr="00397CF0">
        <w:rPr>
          <w:rFonts w:ascii="Times New Roman" w:hAnsi="Times New Roman"/>
          <w:sz w:val="20"/>
          <w:szCs w:val="20"/>
        </w:rPr>
        <w:t xml:space="preserve">Terdapat keperluan untuk menguruskan dan memaparkan fenomena dan tren penagihan dadah dalam skala ruang dan masa. Penilaian ruang dan masa bagi masalah penagihan dadah di Terengganu telah dijalankan untuk memahami kawasan geografi daerah-daerah yang berada dalam ketegori yang sama, di samping untuk mengenal pasti kawasan panas dan juga menganalisis trend penagihan dadah. Data yang digunakan ialah peta topografi negeri Terengganu dan bilangan penagih dadah mengikut daerah dalam tempoh sepuluh tahun (2004-2013). Bilangan penagih dadah bagi setiap daerah telah dipetakan menggunakan sistem Maaklumat Georgafi (GIS) dan dianalisis menggunakan gabungan analisis multivariat iaitu kluster analisis yang diaplikasikan ke dalam pengkalan data untuk </w:t>
      </w:r>
      <w:r w:rsidRPr="00397CF0">
        <w:rPr>
          <w:rFonts w:ascii="Times New Roman" w:hAnsi="Times New Roman"/>
          <w:sz w:val="20"/>
          <w:szCs w:val="20"/>
        </w:rPr>
        <w:lastRenderedPageBreak/>
        <w:t>mengesahkan hubungan di antara data yang berada dalam kategori yang sama. Keputusan kajian menunjukkan, hasil analisis kluster bagi bilangan penagih dadah mengikut daerah dibahagikan kepada tiga kategori iaitu Besut dan Kuala Terengganu dalam kluster satu yang dinamakan sederhana penagih dadah, Dungun, Marang, Setiu dan Hulu Terengganu dalam kluster dua, dinamakan kurang penagih dadah dan Kemaman dalam kluster tiga dinamakan tinggi penagih dadah. Analisis ini menunjukkan bahawa kluster ke tiga iaitu Kemaman merupakan kawasan panas penagih dadah. Hasil kajian ini sangat berguna kepada pihak berkepentingan untuk memantau dan menguruskan masalah ini terutamanya bagi kawasan panas yang memerlukan pengkhususan.</w:t>
      </w:r>
    </w:p>
    <w:p w:rsidR="00397CF0" w:rsidRPr="00397CF0" w:rsidRDefault="00397CF0" w:rsidP="00397CF0">
      <w:pPr>
        <w:spacing w:after="0" w:line="240" w:lineRule="auto"/>
        <w:jc w:val="both"/>
        <w:rPr>
          <w:rFonts w:ascii="Times New Roman" w:hAnsi="Times New Roman"/>
          <w:sz w:val="20"/>
          <w:szCs w:val="20"/>
        </w:rPr>
      </w:pPr>
    </w:p>
    <w:p w:rsidR="006A5872" w:rsidRDefault="00397CF0" w:rsidP="00397CF0">
      <w:pPr>
        <w:spacing w:after="0" w:line="240" w:lineRule="auto"/>
        <w:jc w:val="both"/>
        <w:rPr>
          <w:rFonts w:ascii="Times New Roman" w:hAnsi="Times New Roman"/>
          <w:bCs/>
          <w:sz w:val="20"/>
          <w:szCs w:val="20"/>
        </w:rPr>
      </w:pPr>
      <w:r w:rsidRPr="00397CF0">
        <w:rPr>
          <w:rFonts w:ascii="Times New Roman" w:hAnsi="Times New Roman"/>
          <w:b/>
          <w:bCs/>
          <w:sz w:val="20"/>
          <w:szCs w:val="20"/>
        </w:rPr>
        <w:t xml:space="preserve">Kata kunci: </w:t>
      </w:r>
      <w:r w:rsidRPr="00397CF0">
        <w:rPr>
          <w:rFonts w:ascii="Times New Roman" w:hAnsi="Times New Roman"/>
          <w:bCs/>
          <w:sz w:val="20"/>
          <w:szCs w:val="20"/>
        </w:rPr>
        <w:t>penagihan dadah, GIS, analisis multivariat, analisis kluster</w:t>
      </w:r>
    </w:p>
    <w:p w:rsidR="00397CF0" w:rsidRDefault="00397CF0" w:rsidP="00397CF0">
      <w:pPr>
        <w:spacing w:after="0" w:line="240" w:lineRule="auto"/>
        <w:jc w:val="both"/>
        <w:rPr>
          <w:rFonts w:ascii="Times New Roman" w:hAnsi="Times New Roman"/>
          <w:bCs/>
          <w:sz w:val="20"/>
          <w:szCs w:val="20"/>
        </w:rPr>
      </w:pPr>
    </w:p>
    <w:p w:rsidR="00397CF0" w:rsidRPr="00F447A7" w:rsidRDefault="00397CF0" w:rsidP="00397CF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i/>
          <w:sz w:val="20"/>
          <w:szCs w:val="20"/>
          <w:lang w:val="es-ES"/>
        </w:rPr>
        <w:t>Neuroscience of psychoactive substance use and dependence</w:t>
      </w:r>
      <w:r w:rsidRPr="00077D1F">
        <w:rPr>
          <w:b w:val="0"/>
          <w:bCs w:val="0"/>
          <w:sz w:val="20"/>
          <w:szCs w:val="20"/>
          <w:lang w:val="es-ES"/>
        </w:rPr>
        <w:t>. http:// www.who.int /substance _abuse / publications/en/Neuroscience. Accessed on 18 Disember 2014.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Sayed Mohamed S. M. A. A., Mohamad, Z. Ismail, B. and Yusof, R. A. R. M. (2013). Therapeutic Experience of drug rehabilitation clients through expressive arts therapy. </w:t>
      </w:r>
      <w:r w:rsidRPr="00077D1F">
        <w:rPr>
          <w:b w:val="0"/>
          <w:i/>
          <w:sz w:val="20"/>
          <w:szCs w:val="20"/>
        </w:rPr>
        <w:t xml:space="preserve">International Journal of Humanities and Social Science </w:t>
      </w:r>
      <w:r w:rsidRPr="00077D1F">
        <w:rPr>
          <w:b w:val="0"/>
          <w:sz w:val="20"/>
          <w:szCs w:val="20"/>
        </w:rPr>
        <w:t>3 (17):210-223.</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Kulsudjarit, K. (2004). Drug problem in Southeast and South West Asia. </w:t>
      </w:r>
      <w:r w:rsidRPr="00077D1F">
        <w:rPr>
          <w:b w:val="0"/>
          <w:i/>
          <w:sz w:val="20"/>
          <w:szCs w:val="20"/>
        </w:rPr>
        <w:t>New York Academy of Science</w:t>
      </w:r>
      <w:r w:rsidRPr="00077D1F">
        <w:rPr>
          <w:b w:val="0"/>
          <w:sz w:val="20"/>
          <w:szCs w:val="20"/>
        </w:rPr>
        <w:t xml:space="preserve"> 1025:446-457.</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Huong, A. G. W., Guan, N. C., Nordin, A. S. A., Adlan, A. S. A. and Habil, H. (2009). Quality of life assessment of opioid substance abusers on methadone maintainance therapy (MMT) in University Malaya medical</w:t>
      </w:r>
      <w:r w:rsidRPr="00077D1F">
        <w:rPr>
          <w:b w:val="0"/>
          <w:bCs w:val="0"/>
          <w:i/>
          <w:sz w:val="20"/>
          <w:szCs w:val="20"/>
          <w:lang w:val="es-ES"/>
        </w:rPr>
        <w:t xml:space="preserve"> </w:t>
      </w:r>
      <w:r w:rsidRPr="00077D1F">
        <w:rPr>
          <w:b w:val="0"/>
          <w:bCs w:val="0"/>
          <w:sz w:val="20"/>
          <w:szCs w:val="20"/>
          <w:lang w:val="es-ES"/>
        </w:rPr>
        <w:t xml:space="preserve">centre. </w:t>
      </w:r>
      <w:r w:rsidRPr="00077D1F">
        <w:rPr>
          <w:b w:val="0"/>
          <w:bCs w:val="0"/>
          <w:i/>
          <w:sz w:val="20"/>
          <w:szCs w:val="20"/>
          <w:lang w:val="es-ES"/>
        </w:rPr>
        <w:t xml:space="preserve">Journal of Psychiatry </w:t>
      </w:r>
      <w:r w:rsidRPr="00077D1F">
        <w:rPr>
          <w:b w:val="0"/>
          <w:bCs w:val="0"/>
          <w:sz w:val="20"/>
          <w:szCs w:val="20"/>
          <w:lang w:val="es-ES"/>
        </w:rPr>
        <w:t>10 (1): 1-11.</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Devi, J. P., Azriani,  A. B., Mohd, Z. W., Ariff, M. N. M. and Hashimah, A. N. (2012). The effectiveness of methadone maintainance therapy among opiate depandents registered with Hospital Raja Perempuan Zainab II Kota Bharu Kelantan. </w:t>
      </w:r>
      <w:r w:rsidRPr="00077D1F">
        <w:rPr>
          <w:b w:val="0"/>
          <w:bCs w:val="0"/>
          <w:i/>
          <w:sz w:val="20"/>
          <w:szCs w:val="20"/>
          <w:lang w:val="es-ES"/>
        </w:rPr>
        <w:t>Malay Journal Medical Sciences</w:t>
      </w:r>
      <w:r w:rsidRPr="00077D1F">
        <w:rPr>
          <w:b w:val="0"/>
          <w:bCs w:val="0"/>
          <w:sz w:val="20"/>
          <w:szCs w:val="20"/>
          <w:lang w:val="es-ES"/>
        </w:rPr>
        <w:t xml:space="preserve"> 19 (4): 17-22.</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Yusoff, F., Shril, N., Rasidi, N. M., Zaki, N. A. M., Muhamad, N. and Ahmad, N. (2014). Illicit Drug Use Among Svhool-Going Adolescents in </w:t>
      </w:r>
      <w:r w:rsidRPr="00077D1F">
        <w:rPr>
          <w:b w:val="0"/>
          <w:bCs w:val="0"/>
          <w:i/>
          <w:sz w:val="20"/>
          <w:szCs w:val="20"/>
          <w:lang w:val="es-ES"/>
        </w:rPr>
        <w:t xml:space="preserve">Malaysia. Asia-Pacific Journal of Public Health </w:t>
      </w:r>
      <w:r w:rsidRPr="00077D1F">
        <w:rPr>
          <w:b w:val="0"/>
          <w:bCs w:val="0"/>
          <w:sz w:val="20"/>
          <w:szCs w:val="20"/>
          <w:lang w:val="es-ES"/>
        </w:rPr>
        <w:t>26(55): 100S-107S.</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National Antidrug Agency, (2013). Laporan dadah bulan disember 2013. National Antidrug Agency.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Hao, S-H., Zhao, M., Zhang, R-W., Zhang, J-C., Zhang, J. and Feng, X-S. (2013). The effectiveness comparison of Jitai tablets versus methadone in community-based drug treatment: A 1-year follow up study. </w:t>
      </w:r>
      <w:r w:rsidRPr="00077D1F">
        <w:rPr>
          <w:b w:val="0"/>
          <w:bCs w:val="0"/>
          <w:i/>
          <w:sz w:val="20"/>
          <w:szCs w:val="20"/>
          <w:lang w:val="es-ES"/>
        </w:rPr>
        <w:t>Addictive Behaviours</w:t>
      </w:r>
      <w:r w:rsidRPr="00077D1F">
        <w:rPr>
          <w:b w:val="0"/>
          <w:bCs w:val="0"/>
          <w:sz w:val="20"/>
          <w:szCs w:val="20"/>
          <w:lang w:val="es-ES"/>
        </w:rPr>
        <w:t xml:space="preserve"> 38: 2596-2600.</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Sainders, B. and Allops, S. (1987). Relapse a psychological perspective. </w:t>
      </w:r>
      <w:r w:rsidRPr="00077D1F">
        <w:rPr>
          <w:b w:val="0"/>
          <w:bCs w:val="0"/>
          <w:i/>
          <w:sz w:val="20"/>
          <w:szCs w:val="20"/>
          <w:lang w:val="es-ES"/>
        </w:rPr>
        <w:t xml:space="preserve">British Journal of Addiction </w:t>
      </w:r>
      <w:r w:rsidRPr="00077D1F">
        <w:rPr>
          <w:b w:val="0"/>
          <w:bCs w:val="0"/>
          <w:sz w:val="20"/>
          <w:szCs w:val="20"/>
          <w:lang w:val="es-ES"/>
        </w:rPr>
        <w:t>82: 417-429.</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Selected Social Statistics. Series 12/2010. (2010). </w:t>
      </w:r>
      <w:r w:rsidRPr="00077D1F">
        <w:rPr>
          <w:b w:val="0"/>
          <w:sz w:val="20"/>
          <w:szCs w:val="20"/>
          <w:lang w:val="en-MY" w:eastAsia="en-MY"/>
        </w:rPr>
        <w:t>National Antidrug Agency.</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Daash, A., Srivastava, A., Nagpal, B.N., Saxena, R. and Gupta, S.K. (2009). Geographical information system (GIS) in decisión support to control malaria- a case study of Koraput district in Orissa. </w:t>
      </w:r>
      <w:r w:rsidRPr="00077D1F">
        <w:rPr>
          <w:b w:val="0"/>
          <w:bCs w:val="0"/>
          <w:i/>
          <w:sz w:val="20"/>
          <w:szCs w:val="20"/>
          <w:lang w:val="es-ES"/>
        </w:rPr>
        <w:t xml:space="preserve">India Journal Vector Borne Diseases </w:t>
      </w:r>
      <w:r w:rsidRPr="00077D1F">
        <w:rPr>
          <w:b w:val="0"/>
          <w:bCs w:val="0"/>
          <w:sz w:val="20"/>
          <w:szCs w:val="20"/>
          <w:lang w:val="es-ES"/>
        </w:rPr>
        <w:t>46 (1):72-74.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Hidalgo, B., &amp; Goodman, M. (2013). Multivariate or multivariable regression? </w:t>
      </w:r>
      <w:r w:rsidRPr="00077D1F">
        <w:rPr>
          <w:b w:val="0"/>
          <w:i/>
          <w:iCs/>
          <w:sz w:val="20"/>
          <w:szCs w:val="20"/>
          <w:lang w:val="en-MY" w:eastAsia="en-MY"/>
        </w:rPr>
        <w:t>American Journal of Public Health</w:t>
      </w:r>
      <w:r w:rsidRPr="00077D1F">
        <w:rPr>
          <w:b w:val="0"/>
          <w:sz w:val="20"/>
          <w:szCs w:val="20"/>
          <w:lang w:val="en-MY" w:eastAsia="en-MY"/>
        </w:rPr>
        <w:t xml:space="preserve"> </w:t>
      </w:r>
      <w:r w:rsidRPr="00077D1F">
        <w:rPr>
          <w:b w:val="0"/>
          <w:i/>
          <w:iCs/>
          <w:sz w:val="20"/>
          <w:szCs w:val="20"/>
          <w:lang w:val="en-MY" w:eastAsia="en-MY"/>
        </w:rPr>
        <w:t>103</w:t>
      </w:r>
      <w:r w:rsidRPr="00077D1F">
        <w:rPr>
          <w:b w:val="0"/>
          <w:sz w:val="20"/>
          <w:szCs w:val="20"/>
          <w:lang w:val="en-MY" w:eastAsia="en-MY"/>
        </w:rPr>
        <w:t xml:space="preserve">(1): 39–40. </w:t>
      </w:r>
      <w:r w:rsidRPr="00077D1F">
        <w:rPr>
          <w:b w:val="0"/>
          <w:bCs w:val="0"/>
          <w:sz w:val="20"/>
          <w:szCs w:val="20"/>
          <w:lang w:val="es-ES"/>
        </w:rPr>
        <w:t xml:space="preserve"> </w:t>
      </w:r>
      <w:r w:rsidRPr="00077D1F">
        <w:rPr>
          <w:b w:val="0"/>
          <w:bCs w:val="0"/>
          <w:sz w:val="20"/>
          <w:szCs w:val="20"/>
          <w:lang w:val="es-ES"/>
        </w:rPr>
        <w:tab/>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D’Ovidio, F. D., Leogrande, D., Mancarella, R., Schinzano, A. and Viola, D. (2014). A multivariate analysis of the quality of public transport services. </w:t>
      </w:r>
      <w:r w:rsidRPr="00077D1F">
        <w:rPr>
          <w:b w:val="0"/>
          <w:bCs w:val="0"/>
          <w:i/>
          <w:sz w:val="20"/>
          <w:szCs w:val="20"/>
          <w:lang w:val="es-ES"/>
        </w:rPr>
        <w:t>Procedia Economics and Finance</w:t>
      </w:r>
      <w:r w:rsidRPr="00077D1F">
        <w:rPr>
          <w:b w:val="0"/>
          <w:bCs w:val="0"/>
          <w:sz w:val="20"/>
          <w:szCs w:val="20"/>
          <w:lang w:val="es-ES"/>
        </w:rPr>
        <w:t xml:space="preserve"> 17: 238-247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Petronis, K.R., Johnson, C.C. and Wish, E.D. (1995). Location of drug-using arrested and treatment centres in Washington D.C.: A geocoding demonstration Project.University of Maryland at College Park. Washington, D.C.</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Johnson, C.P. and Johnson, J. (2001). GIS: A tool for monitoring and management of epidemics. Map India Conference. New Delhi.</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Blanton, J.D, Manangan, A.,Manangan, J., Hanlon, C.A., State, D. and Rupprect, C.E.</w:t>
      </w:r>
      <w:r w:rsidRPr="00077D1F">
        <w:rPr>
          <w:b w:val="0"/>
          <w:bCs w:val="0"/>
          <w:i/>
          <w:sz w:val="20"/>
          <w:szCs w:val="20"/>
          <w:lang w:val="es-ES"/>
        </w:rPr>
        <w:t xml:space="preserve"> (2006). </w:t>
      </w:r>
      <w:r w:rsidRPr="00077D1F">
        <w:rPr>
          <w:b w:val="0"/>
          <w:bCs w:val="0"/>
          <w:sz w:val="20"/>
          <w:szCs w:val="20"/>
          <w:lang w:val="es-ES"/>
        </w:rPr>
        <w:t>Development of a GIS-based, real-time Internet mapping tolos for rabies surveillance</w:t>
      </w:r>
      <w:r w:rsidRPr="00077D1F">
        <w:rPr>
          <w:b w:val="0"/>
          <w:bCs w:val="0"/>
          <w:i/>
          <w:sz w:val="20"/>
          <w:szCs w:val="20"/>
          <w:lang w:val="es-ES"/>
        </w:rPr>
        <w:t>. International Journal of Health Geographics</w:t>
      </w:r>
      <w:r w:rsidRPr="00077D1F">
        <w:rPr>
          <w:b w:val="0"/>
          <w:bCs w:val="0"/>
          <w:sz w:val="20"/>
          <w:szCs w:val="20"/>
          <w:lang w:val="es-ES"/>
        </w:rPr>
        <w:t xml:space="preserve"> 5:47-55.</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 xml:space="preserve">Srivastava, A., Nagpal, B. N., Srivastava, A., Gupta, S. K. and Dash, A.P. (2009). Identification of malaria hot spots for focused intervention in tribal state of India: a GIS based appoach. </w:t>
      </w:r>
      <w:r w:rsidRPr="00077D1F">
        <w:rPr>
          <w:b w:val="0"/>
          <w:i/>
          <w:sz w:val="20"/>
          <w:szCs w:val="20"/>
          <w:lang w:val="es-ES"/>
        </w:rPr>
        <w:t>International Journal Health Geographics</w:t>
      </w:r>
      <w:r w:rsidRPr="00077D1F">
        <w:rPr>
          <w:b w:val="0"/>
          <w:sz w:val="20"/>
          <w:szCs w:val="20"/>
          <w:lang w:val="es-ES"/>
        </w:rPr>
        <w:t>, 8:30-38.</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lastRenderedPageBreak/>
        <w:t>Sanders, L. J., Aguilar G. D. and Bacon C. J. (2013). A spatial analysis of the geographic distribution of musculoskeletal and general practice healthcare clinics in Auckland, New Zealand.</w:t>
      </w:r>
      <w:r w:rsidRPr="00077D1F">
        <w:rPr>
          <w:b w:val="0"/>
          <w:bCs w:val="0"/>
          <w:i/>
          <w:sz w:val="20"/>
          <w:szCs w:val="20"/>
          <w:lang w:val="es-ES"/>
        </w:rPr>
        <w:t xml:space="preserve"> Applied Geography </w:t>
      </w:r>
      <w:r w:rsidRPr="00077D1F">
        <w:rPr>
          <w:b w:val="0"/>
          <w:bCs w:val="0"/>
          <w:sz w:val="20"/>
          <w:szCs w:val="20"/>
          <w:lang w:val="es-ES"/>
        </w:rPr>
        <w:t>44: 60-78.</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Carroll, L. N., Au, A. P., Detwiler, L.T., Fu, T-C, Painter, I. S. and Albernethy, N. F. (2014). Visualization and analytics tolos for infectious disease epidemiology: A systematic review. </w:t>
      </w:r>
      <w:r w:rsidRPr="00077D1F">
        <w:rPr>
          <w:b w:val="0"/>
          <w:bCs w:val="0"/>
          <w:i/>
          <w:sz w:val="20"/>
          <w:szCs w:val="20"/>
          <w:lang w:val="es-ES"/>
        </w:rPr>
        <w:t xml:space="preserve">Journal of Biomedical Informatics. </w:t>
      </w:r>
      <w:r w:rsidRPr="00077D1F">
        <w:rPr>
          <w:b w:val="0"/>
          <w:bCs w:val="0"/>
          <w:sz w:val="20"/>
          <w:szCs w:val="20"/>
          <w:lang w:val="es-ES"/>
        </w:rPr>
        <w:t>51:287-298.</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Kwan, M-P. (2000). Analysis of human spatial behavior in a GIS environment: Recent developments and future prospects</w:t>
      </w:r>
      <w:r w:rsidRPr="00077D1F">
        <w:rPr>
          <w:b w:val="0"/>
          <w:i/>
          <w:sz w:val="20"/>
          <w:szCs w:val="20"/>
        </w:rPr>
        <w:t>.</w:t>
      </w:r>
      <w:r w:rsidRPr="00077D1F">
        <w:rPr>
          <w:b w:val="0"/>
          <w:sz w:val="20"/>
          <w:szCs w:val="20"/>
        </w:rPr>
        <w:t xml:space="preserve"> </w:t>
      </w:r>
      <w:r w:rsidRPr="00077D1F">
        <w:rPr>
          <w:b w:val="0"/>
          <w:i/>
          <w:sz w:val="20"/>
          <w:szCs w:val="20"/>
        </w:rPr>
        <w:t>Journal of Geographical Systems</w:t>
      </w:r>
      <w:r w:rsidRPr="00077D1F">
        <w:rPr>
          <w:b w:val="0"/>
          <w:sz w:val="20"/>
          <w:szCs w:val="20"/>
        </w:rPr>
        <w:t xml:space="preserve"> 2: 85-90.</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Elebead, F.M., Hamid, A., Hilmi, H. S. M. and Galal, H. (2012). Mapping cáncer disease using geographical information system (GIS) in Gezira state-sudan. </w:t>
      </w:r>
      <w:r w:rsidRPr="00077D1F">
        <w:rPr>
          <w:b w:val="0"/>
          <w:bCs w:val="0"/>
          <w:i/>
          <w:sz w:val="20"/>
          <w:szCs w:val="20"/>
          <w:lang w:val="es-ES"/>
        </w:rPr>
        <w:t xml:space="preserve">Journal Community Health </w:t>
      </w:r>
      <w:r w:rsidRPr="00077D1F">
        <w:rPr>
          <w:b w:val="0"/>
          <w:bCs w:val="0"/>
          <w:sz w:val="20"/>
          <w:szCs w:val="20"/>
          <w:lang w:val="es-ES"/>
        </w:rPr>
        <w:t xml:space="preserve">37: 830-839.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Rasidi, M. N. M., Sahani, M., Othman, H., Hod, R., Idrus, S., Ali, M. Z., Choy E. A. and Rosli. M. H. (2013). Aplikasi sistem maklumat geografi untuk pemetaan reruang masa suatu kajian kes denggi di daerah Seremban, Negeri Sembilan, Malaysia.</w:t>
      </w:r>
      <w:r w:rsidRPr="00077D1F">
        <w:rPr>
          <w:b w:val="0"/>
          <w:bCs w:val="0"/>
          <w:i/>
          <w:sz w:val="20"/>
          <w:szCs w:val="20"/>
          <w:lang w:val="es-ES"/>
        </w:rPr>
        <w:t xml:space="preserve"> Sains Malaysiana</w:t>
      </w:r>
      <w:r w:rsidRPr="00077D1F">
        <w:rPr>
          <w:b w:val="0"/>
          <w:bCs w:val="0"/>
          <w:sz w:val="20"/>
          <w:szCs w:val="20"/>
          <w:lang w:val="es-ES"/>
        </w:rPr>
        <w:t xml:space="preserve"> 42 (8):1073-1080.</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Brownstein, J. S., Green T. C., Cassidy T. A. and Buttler, S. F. (2010). Geographic Information Systems and Pharmacoepidemiology, usng spatial cluster detection to monitor local patterns of prescription opioid abuse. </w:t>
      </w:r>
      <w:r w:rsidRPr="00077D1F">
        <w:rPr>
          <w:b w:val="0"/>
          <w:bCs w:val="0"/>
          <w:i/>
          <w:sz w:val="20"/>
          <w:szCs w:val="20"/>
          <w:lang w:val="es-ES"/>
        </w:rPr>
        <w:t>Pharmacoepidemiol Drug Safety</w:t>
      </w:r>
      <w:r w:rsidRPr="00077D1F">
        <w:rPr>
          <w:b w:val="0"/>
          <w:bCs w:val="0"/>
          <w:sz w:val="20"/>
          <w:szCs w:val="20"/>
          <w:lang w:val="es-ES"/>
        </w:rPr>
        <w:t xml:space="preserve"> 19:627-637.</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 xml:space="preserve">Mitchell, A. (2005). </w:t>
      </w:r>
      <w:r w:rsidRPr="00077D1F">
        <w:rPr>
          <w:b w:val="0"/>
          <w:i/>
          <w:sz w:val="20"/>
          <w:szCs w:val="20"/>
          <w:lang w:val="es-ES"/>
        </w:rPr>
        <w:t>The ESRI guide to GIS analysis: Spatial measurements &amp; statistics. V 2. Redlands</w:t>
      </w:r>
      <w:r w:rsidRPr="00077D1F">
        <w:rPr>
          <w:b w:val="0"/>
          <w:sz w:val="20"/>
          <w:szCs w:val="20"/>
          <w:lang w:val="es-ES"/>
        </w:rPr>
        <w:t xml:space="preserve">, California: ESRI Press.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Kannel, P.R., Lee, S., Kanel, S.R. and Khan, S.P. (2007). Chemometric application in classification and assessment of monitoring locations of urban river system. </w:t>
      </w:r>
      <w:r w:rsidRPr="00077D1F">
        <w:rPr>
          <w:b w:val="0"/>
          <w:i/>
          <w:sz w:val="20"/>
          <w:szCs w:val="20"/>
        </w:rPr>
        <w:t>Analytica. Chim Acta</w:t>
      </w:r>
      <w:r w:rsidRPr="00077D1F">
        <w:rPr>
          <w:b w:val="0"/>
          <w:sz w:val="20"/>
          <w:szCs w:val="20"/>
        </w:rPr>
        <w:t xml:space="preserve"> 582: 390-399.</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i/>
          <w:sz w:val="20"/>
          <w:szCs w:val="20"/>
        </w:rPr>
        <w:t>Official Portal Terengganu State</w:t>
      </w:r>
      <w:r w:rsidRPr="00077D1F">
        <w:rPr>
          <w:b w:val="0"/>
          <w:sz w:val="20"/>
          <w:szCs w:val="20"/>
        </w:rPr>
        <w:t>.(</w:t>
      </w:r>
      <w:r w:rsidRPr="00077D1F">
        <w:rPr>
          <w:b w:val="0"/>
          <w:sz w:val="20"/>
          <w:szCs w:val="20"/>
          <w:lang w:val="en-MY" w:eastAsia="en-MY"/>
        </w:rPr>
        <w:t>2015). Terengganu http: //jheatweb. terengganu. gov. my/ maxc2020 /agensi/article2.php?sectionid=1&amp;cid=1&amp;aid=6997. Accessed on 21 December 2014.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Population and </w:t>
      </w:r>
      <w:r w:rsidRPr="00077D1F">
        <w:rPr>
          <w:b w:val="0"/>
          <w:bCs w:val="0"/>
          <w:sz w:val="20"/>
          <w:szCs w:val="20"/>
          <w:lang w:val="es-ES"/>
        </w:rPr>
        <w:t>Housing Census Report, Population and Housing Census of Malaysia</w:t>
      </w:r>
      <w:r w:rsidRPr="00077D1F">
        <w:rPr>
          <w:b w:val="0"/>
          <w:bCs w:val="0"/>
          <w:i/>
          <w:sz w:val="20"/>
          <w:szCs w:val="20"/>
          <w:lang w:val="es-ES"/>
        </w:rPr>
        <w:t xml:space="preserve"> </w:t>
      </w:r>
      <w:r w:rsidRPr="00077D1F">
        <w:rPr>
          <w:b w:val="0"/>
          <w:bCs w:val="0"/>
          <w:sz w:val="20"/>
          <w:szCs w:val="20"/>
          <w:lang w:val="es-ES"/>
        </w:rPr>
        <w:t xml:space="preserve">(2014) Oficial Website.https://www.statistics.gov.my/mycensus2010/index.php?option=com_content&amp;view=frontpage&amp;Itemid=1&amp;lang=en. </w:t>
      </w:r>
      <w:r w:rsidRPr="00077D1F">
        <w:rPr>
          <w:b w:val="0"/>
          <w:sz w:val="20"/>
          <w:szCs w:val="20"/>
          <w:lang w:val="en-MY" w:eastAsia="en-MY"/>
        </w:rPr>
        <w:t>Accessed on 21 Dicember 2014.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Imam,  E. (2011). Use of geospatial technology in evaluating landscape cover type changes in Chandoli National Park, India. </w:t>
      </w:r>
      <w:r w:rsidRPr="00077D1F">
        <w:rPr>
          <w:b w:val="0"/>
          <w:i/>
          <w:sz w:val="20"/>
          <w:szCs w:val="20"/>
        </w:rPr>
        <w:t>Computational Ecology and Software</w:t>
      </w:r>
      <w:r w:rsidRPr="00077D1F">
        <w:rPr>
          <w:b w:val="0"/>
          <w:sz w:val="20"/>
          <w:szCs w:val="20"/>
        </w:rPr>
        <w:t xml:space="preserve"> 1 (2): 95-111.</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 xml:space="preserve">Shrestha, S. and Kazama, F. (2007). Assessment of Surface wáter quality Using Multivariated Statistical Techniques: a case study of the Fuji River Basin, Japan. </w:t>
      </w:r>
      <w:r w:rsidRPr="00077D1F">
        <w:rPr>
          <w:b w:val="0"/>
          <w:i/>
          <w:sz w:val="20"/>
          <w:szCs w:val="20"/>
          <w:lang w:val="es-ES"/>
        </w:rPr>
        <w:t>Environment Modelling Software</w:t>
      </w:r>
      <w:r w:rsidRPr="00077D1F">
        <w:rPr>
          <w:b w:val="0"/>
          <w:sz w:val="20"/>
          <w:szCs w:val="20"/>
          <w:lang w:val="es-ES"/>
        </w:rPr>
        <w:t xml:space="preserve"> 22 (4): 464-475.</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ms-MY" w:eastAsia="ms-MY"/>
        </w:rPr>
        <w:t xml:space="preserve">Sulong, I. and Ismail, A. (2002). Mangrove mapping using landsat imagery and aerial photographs : kemaman district . </w:t>
      </w:r>
      <w:r w:rsidRPr="00077D1F">
        <w:rPr>
          <w:b w:val="0"/>
          <w:i/>
          <w:sz w:val="20"/>
          <w:szCs w:val="20"/>
          <w:lang w:val="ms-MY" w:eastAsia="ms-MY"/>
        </w:rPr>
        <w:t xml:space="preserve">Environment, Development and Sustainability </w:t>
      </w:r>
      <w:r w:rsidRPr="00077D1F">
        <w:rPr>
          <w:b w:val="0"/>
          <w:sz w:val="20"/>
          <w:szCs w:val="20"/>
          <w:lang w:val="ms-MY" w:eastAsia="ms-MY"/>
        </w:rPr>
        <w:t>4: 135–152.</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Yusoff, F., Sahril, N., Rasidi, N. M., Zaki, N. A. M., Muhamad, N., and Ahmad, N. (2014). Illicit Drug Use among School-Going Adolescents in Malaysia. </w:t>
      </w:r>
      <w:r w:rsidRPr="00077D1F">
        <w:rPr>
          <w:b w:val="0"/>
          <w:i/>
          <w:iCs/>
          <w:sz w:val="20"/>
          <w:szCs w:val="20"/>
          <w:lang w:val="en-MY" w:eastAsia="en-MY"/>
        </w:rPr>
        <w:t>Asia-Pacific Journal of Public Health</w:t>
      </w:r>
      <w:r w:rsidRPr="00077D1F">
        <w:rPr>
          <w:b w:val="0"/>
          <w:sz w:val="20"/>
          <w:szCs w:val="20"/>
          <w:lang w:val="en-MY" w:eastAsia="en-MY"/>
        </w:rPr>
        <w:t xml:space="preserve"> </w:t>
      </w:r>
      <w:r w:rsidRPr="00077D1F">
        <w:rPr>
          <w:b w:val="0"/>
          <w:i/>
          <w:iCs/>
          <w:sz w:val="20"/>
          <w:szCs w:val="20"/>
          <w:lang w:val="en-MY" w:eastAsia="en-MY"/>
        </w:rPr>
        <w:t>26</w:t>
      </w:r>
      <w:r w:rsidRPr="00077D1F">
        <w:rPr>
          <w:b w:val="0"/>
          <w:sz w:val="20"/>
          <w:szCs w:val="20"/>
          <w:lang w:val="en-MY" w:eastAsia="en-MY"/>
        </w:rPr>
        <w:t xml:space="preserve">(5 Suppl): 100S–107S.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Colasante, E., Molinaro, S. and Mariani, F. (2008). Italian of public health spatial analysis of drug-related hospital admissions : an auto-Gaussian model to estimate the hospitalization rates in Italy. </w:t>
      </w:r>
      <w:r w:rsidRPr="00077D1F">
        <w:rPr>
          <w:b w:val="0"/>
          <w:i/>
          <w:sz w:val="20"/>
          <w:szCs w:val="20"/>
          <w:lang w:val="en-MY" w:eastAsia="en-MY"/>
        </w:rPr>
        <w:t>Italian Journal of Public Health</w:t>
      </w:r>
      <w:r w:rsidRPr="00077D1F">
        <w:rPr>
          <w:b w:val="0"/>
          <w:sz w:val="20"/>
          <w:szCs w:val="20"/>
          <w:lang w:val="en-MY" w:eastAsia="en-MY"/>
        </w:rPr>
        <w:t xml:space="preserve"> </w:t>
      </w:r>
      <w:r w:rsidRPr="00077D1F">
        <w:rPr>
          <w:b w:val="0"/>
          <w:i/>
          <w:iCs/>
          <w:sz w:val="20"/>
          <w:szCs w:val="20"/>
          <w:lang w:val="en-MY" w:eastAsia="en-MY"/>
        </w:rPr>
        <w:t>5</w:t>
      </w:r>
      <w:r w:rsidRPr="00077D1F">
        <w:rPr>
          <w:b w:val="0"/>
          <w:sz w:val="20"/>
          <w:szCs w:val="20"/>
          <w:lang w:val="en-MY" w:eastAsia="en-MY"/>
        </w:rPr>
        <w:t>(4): 253–260.</w:t>
      </w:r>
      <w:r w:rsidRPr="00077D1F">
        <w:rPr>
          <w:b w:val="0"/>
          <w:sz w:val="20"/>
          <w:szCs w:val="20"/>
        </w:rPr>
        <w:tab/>
      </w:r>
      <w:r w:rsidRPr="00077D1F">
        <w:rPr>
          <w:b w:val="0"/>
          <w:sz w:val="20"/>
          <w:szCs w:val="20"/>
          <w:lang w:val="en-MY" w:eastAsia="en-MY"/>
        </w:rPr>
        <w:t xml:space="preserve">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National Antidrug Agency, (2010). </w:t>
      </w:r>
      <w:r w:rsidRPr="00077D1F">
        <w:rPr>
          <w:b w:val="0"/>
          <w:i/>
          <w:sz w:val="20"/>
          <w:szCs w:val="20"/>
          <w:lang w:val="en-MY" w:eastAsia="en-MY"/>
        </w:rPr>
        <w:t>Laporan Dadah Bulan Disember 2010</w:t>
      </w:r>
      <w:r w:rsidRPr="00077D1F">
        <w:rPr>
          <w:b w:val="0"/>
          <w:sz w:val="20"/>
          <w:szCs w:val="20"/>
          <w:lang w:val="en-MY" w:eastAsia="en-MY"/>
        </w:rPr>
        <w:t xml:space="preserve">. National Antidrug Agency </w:t>
      </w:r>
    </w:p>
    <w:p w:rsidR="00397CF0" w:rsidRPr="00397CF0" w:rsidRDefault="00397CF0" w:rsidP="00397CF0">
      <w:pPr>
        <w:spacing w:after="0" w:line="240" w:lineRule="auto"/>
        <w:jc w:val="both"/>
        <w:rPr>
          <w:rFonts w:ascii="Times New Roman" w:hAnsi="Times New Roman"/>
          <w:bCs/>
          <w:sz w:val="20"/>
          <w:szCs w:val="20"/>
        </w:rPr>
      </w:pPr>
    </w:p>
    <w:sectPr w:rsidR="00397CF0" w:rsidRPr="00397CF0" w:rsidSect="00397CF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49A3"/>
    <w:multiLevelType w:val="hybridMultilevel"/>
    <w:tmpl w:val="73BE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F0"/>
    <w:rsid w:val="00014C64"/>
    <w:rsid w:val="00397CF0"/>
    <w:rsid w:val="006A5872"/>
    <w:rsid w:val="00B103F3"/>
    <w:rsid w:val="00CE11E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F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rsid w:val="00397CF0"/>
    <w:rPr>
      <w:rFonts w:ascii="Times New Roman" w:eastAsia="Times New Roman" w:hAnsi="Times New Roman"/>
      <w:b/>
      <w:bCs/>
      <w:sz w:val="24"/>
      <w:szCs w:val="24"/>
      <w:lang w:val="en-GB"/>
    </w:rPr>
  </w:style>
  <w:style w:type="paragraph" w:styleId="BodyText3">
    <w:name w:val="Body Text 3"/>
    <w:basedOn w:val="Normal"/>
    <w:link w:val="BodyText3Char"/>
    <w:rsid w:val="00397CF0"/>
    <w:pPr>
      <w:spacing w:after="0" w:line="240" w:lineRule="auto"/>
      <w:jc w:val="center"/>
    </w:pPr>
    <w:rPr>
      <w:rFonts w:ascii="Times New Roman" w:hAnsi="Times New Roman" w:cstheme="minorBidi"/>
      <w:b/>
      <w:bCs/>
      <w:sz w:val="24"/>
      <w:szCs w:val="24"/>
      <w:lang w:val="en-GB" w:bidi="ar-SA"/>
    </w:rPr>
  </w:style>
  <w:style w:type="character" w:customStyle="1" w:styleId="BodyText3Char1">
    <w:name w:val="Body Text 3 Char1"/>
    <w:basedOn w:val="DefaultParagraphFont"/>
    <w:uiPriority w:val="99"/>
    <w:semiHidden/>
    <w:rsid w:val="00397CF0"/>
    <w:rPr>
      <w:rFonts w:ascii="Cambria" w:eastAsia="Times New Roman" w:hAnsi="Cambria" w:cs="Times New Roman"/>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F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rsid w:val="00397CF0"/>
    <w:rPr>
      <w:rFonts w:ascii="Times New Roman" w:eastAsia="Times New Roman" w:hAnsi="Times New Roman"/>
      <w:b/>
      <w:bCs/>
      <w:sz w:val="24"/>
      <w:szCs w:val="24"/>
      <w:lang w:val="en-GB"/>
    </w:rPr>
  </w:style>
  <w:style w:type="paragraph" w:styleId="BodyText3">
    <w:name w:val="Body Text 3"/>
    <w:basedOn w:val="Normal"/>
    <w:link w:val="BodyText3Char"/>
    <w:rsid w:val="00397CF0"/>
    <w:pPr>
      <w:spacing w:after="0" w:line="240" w:lineRule="auto"/>
      <w:jc w:val="center"/>
    </w:pPr>
    <w:rPr>
      <w:rFonts w:ascii="Times New Roman" w:hAnsi="Times New Roman" w:cstheme="minorBidi"/>
      <w:b/>
      <w:bCs/>
      <w:sz w:val="24"/>
      <w:szCs w:val="24"/>
      <w:lang w:val="en-GB" w:bidi="ar-SA"/>
    </w:rPr>
  </w:style>
  <w:style w:type="character" w:customStyle="1" w:styleId="BodyText3Char1">
    <w:name w:val="Body Text 3 Char1"/>
    <w:basedOn w:val="DefaultParagraphFont"/>
    <w:uiPriority w:val="99"/>
    <w:semiHidden/>
    <w:rsid w:val="00397CF0"/>
    <w:rPr>
      <w:rFonts w:ascii="Cambria" w:eastAsia="Times New Roman" w:hAnsi="Cambria" w:cs="Times New Roman"/>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2015-10-06T06:34:00Z</dcterms:created>
  <dcterms:modified xsi:type="dcterms:W3CDTF">2015-12-01T15:31:00Z</dcterms:modified>
</cp:coreProperties>
</file>