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45" w:rsidRDefault="00D92F45" w:rsidP="00D92F45">
      <w:pPr>
        <w:pStyle w:val="TTPTitle"/>
        <w:spacing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Malaysian Journal of Analytical Sciences Vol 19 No 6 (2015): 1284 - 1289</w:t>
      </w:r>
    </w:p>
    <w:p w:rsidR="00D92F45" w:rsidRPr="00D92F45" w:rsidRDefault="00D92F45" w:rsidP="00D92F45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92F45" w:rsidRPr="00D92F45" w:rsidRDefault="00D92F45" w:rsidP="00D92F45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92F45" w:rsidRPr="00D92F45" w:rsidRDefault="00D92F45" w:rsidP="00D92F45">
      <w:pPr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</w:p>
    <w:p w:rsidR="00D92F45" w:rsidRPr="00F946FB" w:rsidRDefault="00D92F45" w:rsidP="00D92F45">
      <w:pPr>
        <w:pStyle w:val="TTPTitle"/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CF2A72">
        <w:rPr>
          <w:rFonts w:ascii="Times New Roman" w:hAnsi="Times New Roman" w:cs="Times New Roman"/>
          <w:b w:val="0"/>
          <w:sz w:val="28"/>
          <w:szCs w:val="28"/>
        </w:rPr>
        <w:t>ANALYSIS OF THERMOGRAVIMETRIC (TG) AND INFRA-RED (FTIR) ON Dy SUBSTITUTION IN Bi(Pb)-2223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46FB">
        <w:rPr>
          <w:rFonts w:ascii="Times New Roman" w:hAnsi="Times New Roman" w:cs="Times New Roman"/>
          <w:b w:val="0"/>
          <w:sz w:val="28"/>
          <w:szCs w:val="28"/>
        </w:rPr>
        <w:t>SUPERCONDUCTOR</w:t>
      </w:r>
    </w:p>
    <w:p w:rsid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D92F45" w:rsidRPr="00CF2A72" w:rsidRDefault="00D92F45" w:rsidP="00D92F45">
      <w:pPr>
        <w:pStyle w:val="TTPAuthors"/>
        <w:spacing w:before="0"/>
        <w:rPr>
          <w:rFonts w:ascii="Times New Roman" w:hAnsi="Times New Roman" w:cs="Times New Roman"/>
          <w:sz w:val="24"/>
          <w:szCs w:val="24"/>
        </w:rPr>
      </w:pPr>
      <w:r w:rsidRPr="002F7F8D">
        <w:rPr>
          <w:rFonts w:ascii="Times New Roman" w:hAnsi="Times New Roman" w:cs="Times New Roman"/>
        </w:rPr>
        <w:t>(</w:t>
      </w:r>
      <w:r w:rsidRPr="00CF2A7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nalisis</w:t>
      </w:r>
      <w:r w:rsidRPr="00CF2A72">
        <w:rPr>
          <w:rFonts w:ascii="Times New Roman" w:hAnsi="Times New Roman" w:cs="Times New Roman"/>
          <w:sz w:val="24"/>
          <w:szCs w:val="24"/>
        </w:rPr>
        <w:t xml:space="preserve"> Termogravimetri (TG) dan Infra-Merah (FTIR)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ke</w:t>
      </w:r>
      <w:r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atas</w:t>
      </w:r>
      <w:r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pemasukan</w:t>
      </w:r>
      <w:r w:rsidRPr="00CF2A72">
        <w:rPr>
          <w:rFonts w:ascii="Times New Roman" w:hAnsi="Times New Roman" w:cs="Times New Roman"/>
          <w:sz w:val="24"/>
          <w:szCs w:val="24"/>
        </w:rPr>
        <w:t xml:space="preserve"> Dy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dalam</w:t>
      </w:r>
      <w:r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Superkonduktor</w:t>
      </w:r>
      <w:r w:rsidRPr="00CF2A72">
        <w:rPr>
          <w:rFonts w:ascii="Times New Roman" w:hAnsi="Times New Roman" w:cs="Times New Roman"/>
          <w:sz w:val="24"/>
          <w:szCs w:val="24"/>
        </w:rPr>
        <w:t xml:space="preserve"> Bi(Pb)-2223)</w:t>
      </w:r>
    </w:p>
    <w:p w:rsidR="00D92F45" w:rsidRPr="00F447A7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2F45" w:rsidRPr="00C40F3A" w:rsidRDefault="00D92F45" w:rsidP="00D92F45">
      <w:pPr>
        <w:pStyle w:val="TTPAuthors"/>
        <w:spacing w:before="0"/>
        <w:rPr>
          <w:rFonts w:ascii="Times New Roman" w:hAnsi="Times New Roman" w:cs="Times New Roman"/>
          <w:sz w:val="20"/>
          <w:szCs w:val="18"/>
        </w:rPr>
      </w:pPr>
      <w:r w:rsidRPr="00C40F3A">
        <w:rPr>
          <w:rFonts w:ascii="Times New Roman" w:hAnsi="Times New Roman" w:cs="Times New Roman"/>
          <w:sz w:val="20"/>
          <w:szCs w:val="18"/>
        </w:rPr>
        <w:t>Siti Hawa Jamil</w:t>
      </w:r>
      <w:r w:rsidRPr="00C40F3A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C40F3A">
        <w:rPr>
          <w:rFonts w:ascii="Times New Roman" w:hAnsi="Times New Roman" w:cs="Times New Roman"/>
          <w:bCs/>
          <w:sz w:val="20"/>
          <w:szCs w:val="18"/>
        </w:rPr>
        <w:t>,</w:t>
      </w:r>
      <w:r w:rsidRPr="00C40F3A">
        <w:rPr>
          <w:rFonts w:ascii="Times New Roman" w:hAnsi="Times New Roman" w:cs="Times New Roman"/>
          <w:sz w:val="20"/>
          <w:szCs w:val="18"/>
        </w:rPr>
        <w:t xml:space="preserve"> </w:t>
      </w:r>
      <w:r w:rsidRPr="00C40F3A">
        <w:rPr>
          <w:rFonts w:ascii="Times New Roman" w:hAnsi="Times New Roman" w:cs="Times New Roman"/>
          <w:noProof/>
          <w:sz w:val="20"/>
          <w:szCs w:val="18"/>
        </w:rPr>
        <w:t>Azhan</w:t>
      </w:r>
      <w:r w:rsidRPr="00C40F3A">
        <w:rPr>
          <w:rFonts w:ascii="Times New Roman" w:hAnsi="Times New Roman" w:cs="Times New Roman"/>
          <w:sz w:val="20"/>
          <w:szCs w:val="18"/>
        </w:rPr>
        <w:t xml:space="preserve"> Hashim</w:t>
      </w:r>
      <w:r w:rsidRPr="00C40F3A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3220E8">
        <w:rPr>
          <w:rFonts w:ascii="Times New Roman" w:hAnsi="Times New Roman" w:cs="Times New Roman"/>
          <w:sz w:val="20"/>
          <w:szCs w:val="18"/>
        </w:rPr>
        <w:t>*</w:t>
      </w:r>
      <w:r w:rsidRPr="00C40F3A">
        <w:rPr>
          <w:rFonts w:ascii="Times New Roman" w:hAnsi="Times New Roman" w:cs="Times New Roman"/>
          <w:sz w:val="20"/>
          <w:szCs w:val="18"/>
        </w:rPr>
        <w:t>, Syed Yusainee Syed Yahya</w:t>
      </w:r>
      <w:r w:rsidRPr="00C40F3A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C40F3A">
        <w:rPr>
          <w:rFonts w:ascii="Times New Roman" w:hAnsi="Times New Roman" w:cs="Times New Roman"/>
          <w:sz w:val="20"/>
          <w:szCs w:val="18"/>
        </w:rPr>
        <w:t>, Azman Kasim</w:t>
      </w:r>
      <w:r w:rsidRPr="00C40F3A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C40F3A">
        <w:rPr>
          <w:rFonts w:ascii="Times New Roman" w:hAnsi="Times New Roman" w:cs="Times New Roman"/>
          <w:sz w:val="20"/>
          <w:szCs w:val="18"/>
        </w:rPr>
        <w:t>, Nurul Hidayah Hasan</w:t>
      </w:r>
      <w:r w:rsidRPr="00C40F3A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C40F3A">
        <w:rPr>
          <w:rFonts w:ascii="Times New Roman" w:hAnsi="Times New Roman" w:cs="Times New Roman"/>
          <w:sz w:val="20"/>
          <w:szCs w:val="18"/>
        </w:rPr>
        <w:t xml:space="preserve">, </w:t>
      </w:r>
    </w:p>
    <w:p w:rsidR="00D92F45" w:rsidRPr="00C40F3A" w:rsidRDefault="00D92F45" w:rsidP="00D92F45">
      <w:pPr>
        <w:pStyle w:val="TTPAuthors"/>
        <w:spacing w:before="0"/>
        <w:rPr>
          <w:rFonts w:ascii="Times New Roman" w:hAnsi="Times New Roman" w:cs="Times New Roman"/>
          <w:sz w:val="20"/>
          <w:szCs w:val="18"/>
        </w:rPr>
      </w:pPr>
      <w:r w:rsidRPr="00C40F3A">
        <w:rPr>
          <w:rFonts w:ascii="Times New Roman" w:hAnsi="Times New Roman" w:cs="Times New Roman"/>
          <w:noProof/>
          <w:sz w:val="20"/>
          <w:szCs w:val="18"/>
        </w:rPr>
        <w:t>Norazidah</w:t>
      </w:r>
      <w:r w:rsidRPr="00C40F3A">
        <w:rPr>
          <w:rFonts w:ascii="Times New Roman" w:hAnsi="Times New Roman" w:cs="Times New Roman"/>
          <w:sz w:val="20"/>
          <w:szCs w:val="18"/>
        </w:rPr>
        <w:t xml:space="preserve"> Abdul Wahab</w:t>
      </w:r>
      <w:r w:rsidRPr="00C40F3A">
        <w:rPr>
          <w:rFonts w:ascii="Times New Roman" w:hAnsi="Times New Roman" w:cs="Times New Roman"/>
          <w:sz w:val="20"/>
          <w:szCs w:val="18"/>
          <w:vertAlign w:val="superscript"/>
        </w:rPr>
        <w:t xml:space="preserve">1 </w:t>
      </w: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2F45" w:rsidRPr="00D92F45" w:rsidRDefault="00D92F45" w:rsidP="00D92F45">
      <w:pPr>
        <w:pStyle w:val="TTPAddress"/>
        <w:spacing w:before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92F45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D92F45">
        <w:rPr>
          <w:rFonts w:ascii="Times New Roman" w:hAnsi="Times New Roman" w:cs="Times New Roman"/>
          <w:i/>
          <w:sz w:val="20"/>
          <w:szCs w:val="20"/>
          <w:lang w:val="en-GB"/>
        </w:rPr>
        <w:t xml:space="preserve">Faculty of Applied Sciences, </w:t>
      </w:r>
    </w:p>
    <w:p w:rsidR="00D92F45" w:rsidRPr="00D92F45" w:rsidRDefault="00D92F45" w:rsidP="00D92F45">
      <w:pPr>
        <w:pStyle w:val="TTPAddress"/>
        <w:spacing w:before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92F45">
        <w:rPr>
          <w:rFonts w:ascii="Times New Roman" w:hAnsi="Times New Roman" w:cs="Times New Roman"/>
          <w:i/>
          <w:noProof/>
          <w:sz w:val="20"/>
          <w:szCs w:val="20"/>
          <w:lang w:val="en-GB"/>
        </w:rPr>
        <w:t>Universiti Teknologi MARA, 40450 Shah Alam, Selangor, Malaysia</w:t>
      </w:r>
    </w:p>
    <w:p w:rsidR="00D92F45" w:rsidRPr="00D92F45" w:rsidRDefault="00D92F45" w:rsidP="00D92F45">
      <w:pPr>
        <w:pStyle w:val="TTPAddress"/>
        <w:spacing w:before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92F45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D92F45">
        <w:rPr>
          <w:rFonts w:ascii="Times New Roman" w:hAnsi="Times New Roman" w:cs="Times New Roman"/>
          <w:i/>
          <w:sz w:val="20"/>
          <w:szCs w:val="20"/>
          <w:lang w:val="en-GB"/>
        </w:rPr>
        <w:t xml:space="preserve">Faculty of Applied Sciences, </w:t>
      </w:r>
    </w:p>
    <w:p w:rsidR="00D92F45" w:rsidRPr="00D92F45" w:rsidRDefault="00D92F45" w:rsidP="00D92F45">
      <w:pPr>
        <w:pStyle w:val="TTPAddress"/>
        <w:spacing w:before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92F45">
        <w:rPr>
          <w:rFonts w:ascii="Times New Roman" w:hAnsi="Times New Roman" w:cs="Times New Roman"/>
          <w:i/>
          <w:sz w:val="20"/>
          <w:szCs w:val="20"/>
          <w:lang w:val="en-GB"/>
        </w:rPr>
        <w:t>Universiti Teknologi MARA Pahang, 26400 Jengka, Pahang, Malaysia</w:t>
      </w: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2F45" w:rsidRPr="00D92F45" w:rsidRDefault="00D92F45" w:rsidP="00D92F45">
      <w:pPr>
        <w:pStyle w:val="TTPAddress"/>
        <w:spacing w:before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92F45">
        <w:rPr>
          <w:rFonts w:ascii="Times New Roman" w:hAnsi="Times New Roman"/>
          <w:i/>
          <w:noProof/>
          <w:sz w:val="20"/>
          <w:szCs w:val="20"/>
        </w:rPr>
        <w:t xml:space="preserve">*Corresponding author: </w:t>
      </w:r>
      <w:r w:rsidRPr="00D92F45">
        <w:rPr>
          <w:rFonts w:ascii="Times New Roman" w:hAnsi="Times New Roman" w:cs="Times New Roman"/>
          <w:i/>
          <w:sz w:val="20"/>
          <w:szCs w:val="20"/>
          <w:lang w:val="en-GB"/>
        </w:rPr>
        <w:t>dazhan@pahang.uitm.edu.my</w:t>
      </w: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D92F45">
        <w:rPr>
          <w:rFonts w:ascii="Times New Roman" w:hAnsi="Times New Roman"/>
          <w:noProof/>
          <w:sz w:val="20"/>
          <w:szCs w:val="20"/>
          <w:lang w:bidi="ar-SA"/>
        </w:rPr>
        <w:t>Received: 23 November 2014; Accepted: 3 September 2015</w:t>
      </w: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92F45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D92F45" w:rsidRPr="00D92F45" w:rsidRDefault="00D92F45" w:rsidP="00D92F45">
      <w:pPr>
        <w:pStyle w:val="TTPAbstract"/>
        <w:spacing w:before="0"/>
        <w:rPr>
          <w:sz w:val="20"/>
          <w:szCs w:val="20"/>
        </w:rPr>
      </w:pPr>
      <w:r w:rsidRPr="00D92F45">
        <w:rPr>
          <w:bCs/>
          <w:iCs/>
          <w:sz w:val="20"/>
          <w:szCs w:val="20"/>
        </w:rPr>
        <w:t xml:space="preserve">In this paper, the results </w:t>
      </w:r>
      <w:r w:rsidRPr="00D92F45">
        <w:rPr>
          <w:bCs/>
          <w:iCs/>
          <w:noProof/>
          <w:sz w:val="20"/>
          <w:szCs w:val="20"/>
        </w:rPr>
        <w:t>of the</w:t>
      </w:r>
      <w:r w:rsidRPr="00D92F45">
        <w:rPr>
          <w:bCs/>
          <w:iCs/>
          <w:sz w:val="20"/>
          <w:szCs w:val="20"/>
        </w:rPr>
        <w:t xml:space="preserve"> </w:t>
      </w:r>
      <w:r w:rsidRPr="00D92F45">
        <w:rPr>
          <w:bCs/>
          <w:iCs/>
          <w:noProof/>
          <w:sz w:val="20"/>
          <w:szCs w:val="20"/>
        </w:rPr>
        <w:t>thermal</w:t>
      </w:r>
      <w:r w:rsidRPr="00D92F45">
        <w:rPr>
          <w:bCs/>
          <w:iCs/>
          <w:sz w:val="20"/>
          <w:szCs w:val="20"/>
        </w:rPr>
        <w:t xml:space="preserve"> and infra-red analysis of Dy substituted in Bi (Pb)-2223 superconductor have been studied by thermogravimetric (TG) and Fourier transform infrared (FTIR). The samples with nominal composition of </w:t>
      </w:r>
      <w:r w:rsidRPr="00D92F45">
        <w:rPr>
          <w:sz w:val="20"/>
          <w:szCs w:val="20"/>
          <w:lang w:val="en-GB"/>
        </w:rPr>
        <w:t>Bi</w:t>
      </w:r>
      <w:r w:rsidRPr="00D92F45">
        <w:rPr>
          <w:sz w:val="20"/>
          <w:szCs w:val="20"/>
          <w:vertAlign w:val="subscript"/>
          <w:lang w:val="en-GB"/>
        </w:rPr>
        <w:t>1.6</w:t>
      </w:r>
      <w:r w:rsidRPr="00D92F45">
        <w:rPr>
          <w:sz w:val="20"/>
          <w:szCs w:val="20"/>
          <w:lang w:val="en-GB"/>
        </w:rPr>
        <w:t>Pb</w:t>
      </w:r>
      <w:r w:rsidRPr="00D92F45">
        <w:rPr>
          <w:sz w:val="20"/>
          <w:szCs w:val="20"/>
          <w:vertAlign w:val="subscript"/>
          <w:lang w:val="en-GB"/>
        </w:rPr>
        <w:t>0.4</w:t>
      </w:r>
      <w:r w:rsidRPr="00D92F45">
        <w:rPr>
          <w:sz w:val="20"/>
          <w:szCs w:val="20"/>
          <w:lang w:val="en-GB"/>
        </w:rPr>
        <w:t>Sr</w:t>
      </w:r>
      <w:r w:rsidRPr="00D92F45">
        <w:rPr>
          <w:sz w:val="20"/>
          <w:szCs w:val="20"/>
          <w:vertAlign w:val="subscript"/>
          <w:lang w:val="en-GB"/>
        </w:rPr>
        <w:t>2</w:t>
      </w:r>
      <w:r w:rsidRPr="00D92F45">
        <w:rPr>
          <w:sz w:val="20"/>
          <w:szCs w:val="20"/>
          <w:lang w:val="en-GB"/>
        </w:rPr>
        <w:t>Ca</w:t>
      </w:r>
      <w:r w:rsidRPr="00D92F45">
        <w:rPr>
          <w:sz w:val="20"/>
          <w:szCs w:val="20"/>
          <w:vertAlign w:val="subscript"/>
          <w:lang w:val="en-GB"/>
        </w:rPr>
        <w:t>2-</w:t>
      </w:r>
      <w:r w:rsidRPr="00D92F45">
        <w:rPr>
          <w:i/>
          <w:sz w:val="20"/>
          <w:szCs w:val="20"/>
          <w:vertAlign w:val="subscript"/>
          <w:lang w:val="en-GB"/>
        </w:rPr>
        <w:t>x</w:t>
      </w:r>
      <w:r w:rsidRPr="00D92F45">
        <w:rPr>
          <w:sz w:val="20"/>
          <w:szCs w:val="20"/>
          <w:lang w:val="en-GB"/>
        </w:rPr>
        <w:t>Dy</w:t>
      </w:r>
      <w:r w:rsidRPr="00D92F45">
        <w:rPr>
          <w:i/>
          <w:sz w:val="20"/>
          <w:szCs w:val="20"/>
          <w:vertAlign w:val="subscript"/>
          <w:lang w:val="en-GB"/>
        </w:rPr>
        <w:t>x</w:t>
      </w:r>
      <w:r w:rsidRPr="00D92F45">
        <w:rPr>
          <w:sz w:val="20"/>
          <w:szCs w:val="20"/>
          <w:lang w:val="en-GB"/>
        </w:rPr>
        <w:t>Cu</w:t>
      </w:r>
      <w:r w:rsidRPr="00D92F45">
        <w:rPr>
          <w:sz w:val="20"/>
          <w:szCs w:val="20"/>
          <w:vertAlign w:val="subscript"/>
          <w:lang w:val="en-GB"/>
        </w:rPr>
        <w:t>3</w:t>
      </w:r>
      <w:r w:rsidRPr="00D92F45">
        <w:rPr>
          <w:sz w:val="20"/>
          <w:szCs w:val="20"/>
          <w:lang w:val="en-GB"/>
        </w:rPr>
        <w:t>O</w:t>
      </w:r>
      <w:r w:rsidRPr="00D92F45">
        <w:rPr>
          <w:i/>
          <w:sz w:val="20"/>
          <w:szCs w:val="20"/>
          <w:vertAlign w:val="subscript"/>
          <w:lang w:val="en-GB"/>
        </w:rPr>
        <w:t>y</w:t>
      </w:r>
      <w:r w:rsidRPr="00D92F45">
        <w:rPr>
          <w:sz w:val="20"/>
          <w:szCs w:val="20"/>
          <w:vertAlign w:val="subscript"/>
          <w:lang w:val="en-GB"/>
        </w:rPr>
        <w:t xml:space="preserve"> </w:t>
      </w:r>
      <w:r w:rsidRPr="00D92F45">
        <w:rPr>
          <w:noProof/>
          <w:sz w:val="20"/>
          <w:szCs w:val="20"/>
          <w:lang w:val="en-GB"/>
        </w:rPr>
        <w:t xml:space="preserve">where </w:t>
      </w:r>
      <w:r w:rsidRPr="00D92F45">
        <w:rPr>
          <w:i/>
          <w:noProof/>
          <w:sz w:val="20"/>
          <w:szCs w:val="20"/>
          <w:lang w:val="en-GB"/>
        </w:rPr>
        <w:t>x</w:t>
      </w:r>
      <w:r w:rsidRPr="00D92F45">
        <w:rPr>
          <w:noProof/>
          <w:sz w:val="20"/>
          <w:szCs w:val="20"/>
          <w:lang w:val="en-GB"/>
        </w:rPr>
        <w:t xml:space="preserve"> = 0.000, 0.025, 0.050, 0.100, and 0.200 were prepared by</w:t>
      </w:r>
      <w:r w:rsidRPr="00D92F45">
        <w:rPr>
          <w:sz w:val="20"/>
          <w:szCs w:val="20"/>
          <w:lang w:val="en-GB"/>
        </w:rPr>
        <w:t xml:space="preserve"> co-precipitation (COP) method using metal acetate as the starting salts. The mechanism of thermal analysis of the precursor powder for each </w:t>
      </w:r>
      <w:r w:rsidRPr="00D92F45">
        <w:rPr>
          <w:noProof/>
          <w:sz w:val="20"/>
          <w:szCs w:val="20"/>
          <w:lang w:val="en-GB"/>
        </w:rPr>
        <w:t>stage</w:t>
      </w:r>
      <w:r w:rsidRPr="00D92F45">
        <w:rPr>
          <w:sz w:val="20"/>
          <w:szCs w:val="20"/>
          <w:lang w:val="en-GB"/>
        </w:rPr>
        <w:t xml:space="preserve"> (drying, </w:t>
      </w:r>
      <w:r w:rsidRPr="00D92F45">
        <w:rPr>
          <w:noProof/>
          <w:sz w:val="20"/>
          <w:szCs w:val="20"/>
          <w:lang w:val="en-GB"/>
        </w:rPr>
        <w:t>precalcine</w:t>
      </w:r>
      <w:r w:rsidRPr="00D92F45">
        <w:rPr>
          <w:sz w:val="20"/>
          <w:szCs w:val="20"/>
          <w:lang w:val="en-GB"/>
        </w:rPr>
        <w:t xml:space="preserve">, and calcine) were studied from 20 °C to 920 °C by 5 °C/min of heating rate. Interestingly, the thermal decomposition proceeds in the </w:t>
      </w:r>
      <w:r w:rsidRPr="00D92F45">
        <w:rPr>
          <w:noProof/>
          <w:sz w:val="20"/>
          <w:szCs w:val="20"/>
          <w:lang w:val="en-GB"/>
        </w:rPr>
        <w:t>almost</w:t>
      </w:r>
      <w:r w:rsidRPr="00D92F45">
        <w:rPr>
          <w:sz w:val="20"/>
          <w:szCs w:val="20"/>
          <w:lang w:val="en-GB"/>
        </w:rPr>
        <w:t xml:space="preserve"> similar way regardless of the Dy substitution level with five major drops at the </w:t>
      </w:r>
      <w:r w:rsidRPr="00D92F45">
        <w:rPr>
          <w:noProof/>
          <w:sz w:val="20"/>
          <w:szCs w:val="20"/>
          <w:lang w:val="en-GB"/>
        </w:rPr>
        <w:t>drying</w:t>
      </w:r>
      <w:r w:rsidRPr="00D92F45">
        <w:rPr>
          <w:sz w:val="20"/>
          <w:szCs w:val="20"/>
          <w:lang w:val="en-GB"/>
        </w:rPr>
        <w:t xml:space="preserve"> stage. Based on TG curves results, the temperature range from 840 °C to 850 </w:t>
      </w:r>
      <w:r w:rsidRPr="00D92F45">
        <w:rPr>
          <w:sz w:val="20"/>
          <w:szCs w:val="20"/>
          <w:lang w:val="en-GB"/>
        </w:rPr>
        <w:sym w:font="Symbol" w:char="F0B0"/>
      </w:r>
      <w:r w:rsidRPr="00D92F45">
        <w:rPr>
          <w:sz w:val="20"/>
          <w:szCs w:val="20"/>
          <w:lang w:val="en-GB"/>
        </w:rPr>
        <w:t xml:space="preserve">C can be suggested as an optimum </w:t>
      </w:r>
      <w:r w:rsidRPr="00D92F45">
        <w:rPr>
          <w:noProof/>
          <w:sz w:val="20"/>
          <w:szCs w:val="20"/>
          <w:lang w:val="en-GB"/>
        </w:rPr>
        <w:t>calcination</w:t>
      </w:r>
      <w:r w:rsidRPr="00D92F45">
        <w:rPr>
          <w:sz w:val="20"/>
          <w:szCs w:val="20"/>
          <w:lang w:val="en-GB"/>
        </w:rPr>
        <w:t xml:space="preserve"> and sintering temperature. </w:t>
      </w:r>
      <w:r w:rsidRPr="00D92F45">
        <w:rPr>
          <w:noProof/>
          <w:sz w:val="20"/>
          <w:szCs w:val="20"/>
          <w:lang w:val="en-GB"/>
        </w:rPr>
        <w:t xml:space="preserve">The majority of decomposition step which related to the loss of water from oxalate was in the range of 100 °C to 200 </w:t>
      </w:r>
      <w:r w:rsidRPr="00D92F45">
        <w:rPr>
          <w:noProof/>
          <w:sz w:val="20"/>
          <w:szCs w:val="20"/>
          <w:lang w:val="en-GB"/>
        </w:rPr>
        <w:sym w:font="Symbol" w:char="F0B0"/>
      </w:r>
      <w:r w:rsidRPr="00D92F45">
        <w:rPr>
          <w:noProof/>
          <w:sz w:val="20"/>
          <w:szCs w:val="20"/>
          <w:lang w:val="en-GB"/>
        </w:rPr>
        <w:t xml:space="preserve">C while the formation of precipitation into </w:t>
      </w:r>
      <w:r w:rsidRPr="00D92F45">
        <w:rPr>
          <w:noProof/>
          <w:sz w:val="20"/>
          <w:szCs w:val="20"/>
        </w:rPr>
        <w:t>Bi</w:t>
      </w:r>
      <w:r w:rsidRPr="00D92F45">
        <w:rPr>
          <w:noProof/>
          <w:sz w:val="20"/>
          <w:szCs w:val="20"/>
          <w:vertAlign w:val="subscript"/>
        </w:rPr>
        <w:t>2</w:t>
      </w:r>
      <w:r w:rsidRPr="00D92F45">
        <w:rPr>
          <w:noProof/>
          <w:sz w:val="20"/>
          <w:szCs w:val="20"/>
        </w:rPr>
        <w:t>O</w:t>
      </w:r>
      <w:r w:rsidRPr="00D92F45">
        <w:rPr>
          <w:noProof/>
          <w:sz w:val="20"/>
          <w:szCs w:val="20"/>
          <w:vertAlign w:val="subscript"/>
        </w:rPr>
        <w:t>3</w:t>
      </w:r>
      <w:r w:rsidRPr="00D92F45">
        <w:rPr>
          <w:noProof/>
          <w:sz w:val="20"/>
          <w:szCs w:val="20"/>
        </w:rPr>
        <w:t>, PbO, SrCO</w:t>
      </w:r>
      <w:r w:rsidRPr="00D92F45">
        <w:rPr>
          <w:noProof/>
          <w:sz w:val="20"/>
          <w:szCs w:val="20"/>
          <w:vertAlign w:val="subscript"/>
        </w:rPr>
        <w:t>3</w:t>
      </w:r>
      <w:r w:rsidRPr="00D92F45">
        <w:rPr>
          <w:noProof/>
          <w:sz w:val="20"/>
          <w:szCs w:val="20"/>
        </w:rPr>
        <w:t>, CaCO</w:t>
      </w:r>
      <w:r w:rsidRPr="00D92F45">
        <w:rPr>
          <w:noProof/>
          <w:sz w:val="20"/>
          <w:szCs w:val="20"/>
          <w:vertAlign w:val="subscript"/>
        </w:rPr>
        <w:t>3</w:t>
      </w:r>
      <w:r w:rsidRPr="00D92F45">
        <w:rPr>
          <w:noProof/>
          <w:sz w:val="20"/>
          <w:szCs w:val="20"/>
        </w:rPr>
        <w:t>, CuO, and Dy</w:t>
      </w:r>
      <w:r w:rsidRPr="00D92F45">
        <w:rPr>
          <w:noProof/>
          <w:sz w:val="20"/>
          <w:szCs w:val="20"/>
          <w:vertAlign w:val="subscript"/>
        </w:rPr>
        <w:t>2</w:t>
      </w:r>
      <w:r w:rsidRPr="00D92F45">
        <w:rPr>
          <w:noProof/>
          <w:sz w:val="20"/>
          <w:szCs w:val="20"/>
        </w:rPr>
        <w:t>O</w:t>
      </w:r>
      <w:r w:rsidRPr="00D92F45">
        <w:rPr>
          <w:noProof/>
          <w:sz w:val="20"/>
          <w:szCs w:val="20"/>
          <w:vertAlign w:val="subscript"/>
        </w:rPr>
        <w:t>3</w:t>
      </w:r>
      <w:r w:rsidRPr="00D92F45">
        <w:rPr>
          <w:noProof/>
          <w:sz w:val="20"/>
          <w:szCs w:val="20"/>
        </w:rPr>
        <w:t xml:space="preserve"> were in the range of 210 </w:t>
      </w:r>
      <w:r w:rsidRPr="00D92F45">
        <w:rPr>
          <w:noProof/>
          <w:sz w:val="20"/>
          <w:szCs w:val="20"/>
          <w:lang w:val="en-GB"/>
        </w:rPr>
        <w:t>°C</w:t>
      </w:r>
      <w:r w:rsidRPr="00D92F45">
        <w:rPr>
          <w:noProof/>
          <w:sz w:val="20"/>
          <w:szCs w:val="20"/>
        </w:rPr>
        <w:t xml:space="preserve"> to 360 </w:t>
      </w:r>
      <w:r w:rsidRPr="00D92F45">
        <w:rPr>
          <w:noProof/>
          <w:sz w:val="20"/>
          <w:szCs w:val="20"/>
        </w:rPr>
        <w:sym w:font="Symbol" w:char="F0B0"/>
      </w:r>
      <w:r w:rsidRPr="00D92F45">
        <w:rPr>
          <w:noProof/>
          <w:sz w:val="20"/>
          <w:szCs w:val="20"/>
        </w:rPr>
        <w:t>C.</w:t>
      </w:r>
      <w:r w:rsidRPr="00D92F45">
        <w:rPr>
          <w:sz w:val="20"/>
          <w:szCs w:val="20"/>
        </w:rPr>
        <w:t xml:space="preserve"> From the FTIR result, all the precursor powders qualitatively showed four main regions and the existence of –OH group </w:t>
      </w:r>
      <w:r w:rsidRPr="00D92F45">
        <w:rPr>
          <w:noProof/>
          <w:sz w:val="20"/>
          <w:szCs w:val="20"/>
        </w:rPr>
        <w:t>can</w:t>
      </w:r>
      <w:r w:rsidRPr="00D92F45">
        <w:rPr>
          <w:sz w:val="20"/>
          <w:szCs w:val="20"/>
        </w:rPr>
        <w:t xml:space="preserve"> increase the diffusion rate between metals during the </w:t>
      </w:r>
      <w:r w:rsidRPr="00D92F45">
        <w:rPr>
          <w:noProof/>
          <w:sz w:val="20"/>
          <w:szCs w:val="20"/>
        </w:rPr>
        <w:t>synthesis</w:t>
      </w:r>
      <w:r w:rsidRPr="00D92F45">
        <w:rPr>
          <w:sz w:val="20"/>
          <w:szCs w:val="20"/>
        </w:rPr>
        <w:t xml:space="preserve"> process.</w:t>
      </w:r>
    </w:p>
    <w:p w:rsidR="00D92F45" w:rsidRPr="00D92F45" w:rsidRDefault="00D92F45" w:rsidP="00D92F45">
      <w:pPr>
        <w:pStyle w:val="TTPSectionHeading"/>
        <w:spacing w:before="0" w:line="240" w:lineRule="auto"/>
        <w:rPr>
          <w:sz w:val="20"/>
          <w:szCs w:val="20"/>
        </w:rPr>
      </w:pPr>
    </w:p>
    <w:p w:rsidR="00D92F45" w:rsidRPr="00D92F45" w:rsidRDefault="00D92F45" w:rsidP="00D92F45">
      <w:pPr>
        <w:pStyle w:val="TTPSectionHeading"/>
        <w:spacing w:before="0" w:line="240" w:lineRule="auto"/>
        <w:rPr>
          <w:b w:val="0"/>
          <w:sz w:val="20"/>
          <w:szCs w:val="20"/>
        </w:rPr>
      </w:pPr>
      <w:r w:rsidRPr="00D92F45">
        <w:rPr>
          <w:caps w:val="0"/>
          <w:sz w:val="20"/>
          <w:szCs w:val="20"/>
        </w:rPr>
        <w:t>Keywords:</w:t>
      </w:r>
      <w:r w:rsidRPr="00D92F45">
        <w:rPr>
          <w:b w:val="0"/>
          <w:caps w:val="0"/>
          <w:sz w:val="20"/>
          <w:szCs w:val="20"/>
        </w:rPr>
        <w:t xml:space="preserve"> </w:t>
      </w:r>
      <w:r w:rsidRPr="00D92F45">
        <w:rPr>
          <w:b w:val="0"/>
          <w:caps w:val="0"/>
          <w:noProof/>
          <w:sz w:val="20"/>
          <w:szCs w:val="20"/>
        </w:rPr>
        <w:t>dy</w:t>
      </w:r>
      <w:r w:rsidRPr="00D92F45">
        <w:rPr>
          <w:b w:val="0"/>
          <w:caps w:val="0"/>
          <w:sz w:val="20"/>
          <w:szCs w:val="20"/>
        </w:rPr>
        <w:t>-substitution, BSCCO, superconductor, FTIR, thermogravimetric analysis</w:t>
      </w: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D92F45" w:rsidRPr="00D92F45" w:rsidRDefault="00D92F45" w:rsidP="00D92F4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92F45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D92F45" w:rsidRPr="00D92F45" w:rsidRDefault="00D92F45" w:rsidP="00D92F45">
      <w:pPr>
        <w:pStyle w:val="TTPSectionHeading"/>
        <w:spacing w:before="0" w:line="240" w:lineRule="auto"/>
        <w:rPr>
          <w:b w:val="0"/>
          <w:caps w:val="0"/>
          <w:sz w:val="20"/>
          <w:szCs w:val="20"/>
          <w:lang w:val="en-MY"/>
        </w:rPr>
      </w:pPr>
      <w:r w:rsidRPr="00D92F45">
        <w:rPr>
          <w:b w:val="0"/>
          <w:caps w:val="0"/>
          <w:sz w:val="20"/>
          <w:szCs w:val="20"/>
        </w:rPr>
        <w:t>Dalam laporan ini, keputusan analisa terma dan infra-merah terhadap pemasukan Dy di dalam superkonduktor Bi (Pb)-2223 telah dikaji melalui termogravimetri dan transformasi fourier infra-merah (FTIR). Semua sampel dengan komposisi nominal Bi</w:t>
      </w:r>
      <w:r w:rsidRPr="00D92F45">
        <w:rPr>
          <w:b w:val="0"/>
          <w:caps w:val="0"/>
          <w:sz w:val="20"/>
          <w:szCs w:val="20"/>
          <w:vertAlign w:val="subscript"/>
        </w:rPr>
        <w:t>1.6</w:t>
      </w:r>
      <w:r w:rsidRPr="00D92F45">
        <w:rPr>
          <w:b w:val="0"/>
          <w:caps w:val="0"/>
          <w:sz w:val="20"/>
          <w:szCs w:val="20"/>
        </w:rPr>
        <w:t>Pb</w:t>
      </w:r>
      <w:r w:rsidRPr="00D92F45">
        <w:rPr>
          <w:b w:val="0"/>
          <w:caps w:val="0"/>
          <w:sz w:val="20"/>
          <w:szCs w:val="20"/>
          <w:vertAlign w:val="subscript"/>
        </w:rPr>
        <w:t>0.4</w:t>
      </w:r>
      <w:r w:rsidRPr="00D92F45">
        <w:rPr>
          <w:b w:val="0"/>
          <w:caps w:val="0"/>
          <w:sz w:val="20"/>
          <w:szCs w:val="20"/>
        </w:rPr>
        <w:t>Sr</w:t>
      </w:r>
      <w:r w:rsidRPr="00D92F45">
        <w:rPr>
          <w:b w:val="0"/>
          <w:caps w:val="0"/>
          <w:sz w:val="20"/>
          <w:szCs w:val="20"/>
          <w:vertAlign w:val="subscript"/>
        </w:rPr>
        <w:t>2</w:t>
      </w:r>
      <w:r w:rsidRPr="00D92F45">
        <w:rPr>
          <w:b w:val="0"/>
          <w:caps w:val="0"/>
          <w:sz w:val="20"/>
          <w:szCs w:val="20"/>
        </w:rPr>
        <w:t>Ca</w:t>
      </w:r>
      <w:r w:rsidRPr="00D92F45">
        <w:rPr>
          <w:b w:val="0"/>
          <w:caps w:val="0"/>
          <w:sz w:val="20"/>
          <w:szCs w:val="20"/>
          <w:vertAlign w:val="subscript"/>
        </w:rPr>
        <w:t>2-x</w:t>
      </w:r>
      <w:r w:rsidRPr="00D92F45">
        <w:rPr>
          <w:b w:val="0"/>
          <w:caps w:val="0"/>
          <w:sz w:val="20"/>
          <w:szCs w:val="20"/>
        </w:rPr>
        <w:t>Dy</w:t>
      </w:r>
      <w:r w:rsidRPr="00D92F45">
        <w:rPr>
          <w:b w:val="0"/>
          <w:caps w:val="0"/>
          <w:sz w:val="20"/>
          <w:szCs w:val="20"/>
          <w:vertAlign w:val="subscript"/>
        </w:rPr>
        <w:t>x</w:t>
      </w:r>
      <w:r w:rsidRPr="00D92F45">
        <w:rPr>
          <w:b w:val="0"/>
          <w:caps w:val="0"/>
          <w:sz w:val="20"/>
          <w:szCs w:val="20"/>
        </w:rPr>
        <w:t>Cu</w:t>
      </w:r>
      <w:r w:rsidRPr="00D92F45">
        <w:rPr>
          <w:b w:val="0"/>
          <w:caps w:val="0"/>
          <w:sz w:val="20"/>
          <w:szCs w:val="20"/>
          <w:vertAlign w:val="subscript"/>
        </w:rPr>
        <w:t>3</w:t>
      </w:r>
      <w:r w:rsidRPr="00D92F45">
        <w:rPr>
          <w:b w:val="0"/>
          <w:caps w:val="0"/>
          <w:sz w:val="20"/>
          <w:szCs w:val="20"/>
        </w:rPr>
        <w:t>O</w:t>
      </w:r>
      <w:r w:rsidRPr="00D92F45">
        <w:rPr>
          <w:b w:val="0"/>
          <w:caps w:val="0"/>
          <w:sz w:val="20"/>
          <w:szCs w:val="20"/>
          <w:vertAlign w:val="subscript"/>
        </w:rPr>
        <w:t>y</w:t>
      </w:r>
      <w:r w:rsidRPr="00D92F45">
        <w:rPr>
          <w:b w:val="0"/>
          <w:caps w:val="0"/>
          <w:sz w:val="20"/>
          <w:szCs w:val="20"/>
        </w:rPr>
        <w:t xml:space="preserve"> dimana x = 0.000, 0.025, 0.050, 0.100 dan 0.200 telah disediakan melalui kaedah ko-pemendakan (COP) dengan menggunakan logam asetat sebagai garam pemula. Mekanisma analis terma terhadap serbuk pelopor untuk setiap peringkat (pengeringan, pra-pengkalsinan dan pengkalsinan) telah dikaji dari suhu 20 </w:t>
      </w:r>
      <w:r w:rsidRPr="00D92F45">
        <w:rPr>
          <w:b w:val="0"/>
          <w:sz w:val="20"/>
          <w:szCs w:val="20"/>
          <w:lang w:val="en-GB"/>
        </w:rPr>
        <w:sym w:font="Symbol" w:char="F0B0"/>
      </w:r>
      <w:r w:rsidRPr="00D92F45">
        <w:rPr>
          <w:b w:val="0"/>
          <w:caps w:val="0"/>
          <w:sz w:val="20"/>
          <w:szCs w:val="20"/>
        </w:rPr>
        <w:t xml:space="preserve">C hingga 920 </w:t>
      </w:r>
      <w:r w:rsidRPr="00D92F45">
        <w:rPr>
          <w:b w:val="0"/>
          <w:sz w:val="20"/>
          <w:szCs w:val="20"/>
          <w:lang w:val="en-GB"/>
        </w:rPr>
        <w:sym w:font="Symbol" w:char="F0B0"/>
      </w:r>
      <w:r w:rsidRPr="00D92F45">
        <w:rPr>
          <w:b w:val="0"/>
          <w:caps w:val="0"/>
          <w:sz w:val="20"/>
          <w:szCs w:val="20"/>
        </w:rPr>
        <w:t>C dengan kadar pemanasan 5</w:t>
      </w:r>
      <w:r w:rsidRPr="00D92F45">
        <w:rPr>
          <w:b w:val="0"/>
          <w:sz w:val="20"/>
          <w:szCs w:val="20"/>
          <w:lang w:val="en-GB"/>
        </w:rPr>
        <w:sym w:font="Symbol" w:char="F0B0"/>
      </w:r>
      <w:r w:rsidRPr="00D92F45">
        <w:rPr>
          <w:b w:val="0"/>
          <w:caps w:val="0"/>
          <w:sz w:val="20"/>
          <w:szCs w:val="20"/>
        </w:rPr>
        <w:t xml:space="preserve">C/min. Menariknya, penguraian terma berlaku agak sama tanpa menghiraukan aras pemasukan Dy iaitu dengan lima jatuhan pada peringkat pengeringan. Berdasarkan kepada keputusan keluk TG, dicadangkan bahawa julat suhu dari 840 °C hingga 850 </w:t>
      </w:r>
      <w:r w:rsidRPr="00D92F45">
        <w:rPr>
          <w:b w:val="0"/>
          <w:sz w:val="20"/>
          <w:szCs w:val="20"/>
          <w:lang w:val="en-GB"/>
        </w:rPr>
        <w:sym w:font="Symbol" w:char="F0B0"/>
      </w:r>
      <w:r w:rsidRPr="00D92F45">
        <w:rPr>
          <w:b w:val="0"/>
          <w:caps w:val="0"/>
          <w:sz w:val="20"/>
          <w:szCs w:val="20"/>
        </w:rPr>
        <w:t xml:space="preserve">C  merupakan suhu pengkalsinan dan suhu sinteran optimum. Majoriti langkah penguraian yang berhubungkait dengan kehilangan </w:t>
      </w:r>
      <w:r w:rsidRPr="00D92F45">
        <w:rPr>
          <w:b w:val="0"/>
          <w:caps w:val="0"/>
          <w:sz w:val="20"/>
          <w:szCs w:val="20"/>
        </w:rPr>
        <w:lastRenderedPageBreak/>
        <w:t xml:space="preserve">air dari oksalat, berlaku dalam julat </w:t>
      </w:r>
      <w:r w:rsidRPr="00D92F45">
        <w:rPr>
          <w:b w:val="0"/>
          <w:caps w:val="0"/>
          <w:sz w:val="20"/>
          <w:szCs w:val="20"/>
          <w:lang w:val="en-MY"/>
        </w:rPr>
        <w:t xml:space="preserve">210 </w:t>
      </w:r>
      <w:r w:rsidRPr="00D92F45">
        <w:rPr>
          <w:b w:val="0"/>
          <w:caps w:val="0"/>
          <w:sz w:val="20"/>
          <w:szCs w:val="20"/>
          <w:lang w:val="en-GB"/>
        </w:rPr>
        <w:t>°C</w:t>
      </w:r>
      <w:r w:rsidRPr="00D92F45">
        <w:rPr>
          <w:b w:val="0"/>
          <w:caps w:val="0"/>
          <w:sz w:val="20"/>
          <w:szCs w:val="20"/>
          <w:lang w:val="en-MY"/>
        </w:rPr>
        <w:t xml:space="preserve"> hingga 360 </w:t>
      </w:r>
      <w:r w:rsidRPr="00D92F45">
        <w:rPr>
          <w:b w:val="0"/>
          <w:caps w:val="0"/>
          <w:sz w:val="20"/>
          <w:szCs w:val="20"/>
          <w:lang w:val="en-MY"/>
        </w:rPr>
        <w:sym w:font="Symbol" w:char="F0B0"/>
      </w:r>
      <w:r w:rsidRPr="00D92F45">
        <w:rPr>
          <w:b w:val="0"/>
          <w:caps w:val="0"/>
          <w:sz w:val="20"/>
          <w:szCs w:val="20"/>
          <w:lang w:val="en-MY"/>
        </w:rPr>
        <w:t>C manakala pembentukan pemendakan dalam Bi</w:t>
      </w:r>
      <w:r w:rsidRPr="00D92F45">
        <w:rPr>
          <w:b w:val="0"/>
          <w:caps w:val="0"/>
          <w:sz w:val="20"/>
          <w:szCs w:val="20"/>
          <w:vertAlign w:val="subscript"/>
          <w:lang w:val="en-MY"/>
        </w:rPr>
        <w:t>2</w:t>
      </w:r>
      <w:r w:rsidRPr="00D92F45">
        <w:rPr>
          <w:b w:val="0"/>
          <w:caps w:val="0"/>
          <w:sz w:val="20"/>
          <w:szCs w:val="20"/>
          <w:lang w:val="en-MY"/>
        </w:rPr>
        <w:t>O</w:t>
      </w:r>
      <w:r w:rsidRPr="00D92F45">
        <w:rPr>
          <w:b w:val="0"/>
          <w:caps w:val="0"/>
          <w:sz w:val="20"/>
          <w:szCs w:val="20"/>
          <w:vertAlign w:val="subscript"/>
          <w:lang w:val="en-MY"/>
        </w:rPr>
        <w:t>3</w:t>
      </w:r>
      <w:r w:rsidRPr="00D92F45">
        <w:rPr>
          <w:b w:val="0"/>
          <w:caps w:val="0"/>
          <w:sz w:val="20"/>
          <w:szCs w:val="20"/>
          <w:lang w:val="en-MY"/>
        </w:rPr>
        <w:t>, PbO, SrCO</w:t>
      </w:r>
      <w:r w:rsidRPr="00D92F45">
        <w:rPr>
          <w:b w:val="0"/>
          <w:caps w:val="0"/>
          <w:sz w:val="20"/>
          <w:szCs w:val="20"/>
          <w:vertAlign w:val="subscript"/>
          <w:lang w:val="en-MY"/>
        </w:rPr>
        <w:t>3</w:t>
      </w:r>
      <w:r w:rsidRPr="00D92F45">
        <w:rPr>
          <w:b w:val="0"/>
          <w:caps w:val="0"/>
          <w:sz w:val="20"/>
          <w:szCs w:val="20"/>
          <w:lang w:val="en-MY"/>
        </w:rPr>
        <w:t>, CaCO</w:t>
      </w:r>
      <w:r w:rsidRPr="00D92F45">
        <w:rPr>
          <w:b w:val="0"/>
          <w:caps w:val="0"/>
          <w:sz w:val="20"/>
          <w:szCs w:val="20"/>
          <w:vertAlign w:val="subscript"/>
          <w:lang w:val="en-MY"/>
        </w:rPr>
        <w:t>3</w:t>
      </w:r>
      <w:r w:rsidRPr="00D92F45">
        <w:rPr>
          <w:b w:val="0"/>
          <w:caps w:val="0"/>
          <w:sz w:val="20"/>
          <w:szCs w:val="20"/>
          <w:lang w:val="en-MY"/>
        </w:rPr>
        <w:t>, CuO, dan Dy</w:t>
      </w:r>
      <w:r w:rsidRPr="00D92F45">
        <w:rPr>
          <w:b w:val="0"/>
          <w:caps w:val="0"/>
          <w:sz w:val="20"/>
          <w:szCs w:val="20"/>
          <w:vertAlign w:val="subscript"/>
          <w:lang w:val="en-MY"/>
        </w:rPr>
        <w:t>2</w:t>
      </w:r>
      <w:r w:rsidRPr="00D92F45">
        <w:rPr>
          <w:b w:val="0"/>
          <w:caps w:val="0"/>
          <w:sz w:val="20"/>
          <w:szCs w:val="20"/>
          <w:lang w:val="en-MY"/>
        </w:rPr>
        <w:t>O</w:t>
      </w:r>
      <w:r w:rsidRPr="00D92F45">
        <w:rPr>
          <w:b w:val="0"/>
          <w:caps w:val="0"/>
          <w:sz w:val="20"/>
          <w:szCs w:val="20"/>
          <w:vertAlign w:val="subscript"/>
          <w:lang w:val="en-MY"/>
        </w:rPr>
        <w:t>3</w:t>
      </w:r>
      <w:r w:rsidRPr="00D92F45">
        <w:rPr>
          <w:b w:val="0"/>
          <w:caps w:val="0"/>
          <w:sz w:val="20"/>
          <w:szCs w:val="20"/>
          <w:lang w:val="en-MY"/>
        </w:rPr>
        <w:t xml:space="preserve"> adalah dalam julat 210 </w:t>
      </w:r>
      <w:r w:rsidRPr="00D92F45">
        <w:rPr>
          <w:b w:val="0"/>
          <w:caps w:val="0"/>
          <w:sz w:val="20"/>
          <w:szCs w:val="20"/>
          <w:lang w:val="en-GB"/>
        </w:rPr>
        <w:t>°C</w:t>
      </w:r>
      <w:r w:rsidRPr="00D92F45">
        <w:rPr>
          <w:b w:val="0"/>
          <w:caps w:val="0"/>
          <w:sz w:val="20"/>
          <w:szCs w:val="20"/>
          <w:lang w:val="en-MY"/>
        </w:rPr>
        <w:t xml:space="preserve"> hingga 360 </w:t>
      </w:r>
      <w:r w:rsidRPr="00D92F45">
        <w:rPr>
          <w:b w:val="0"/>
          <w:caps w:val="0"/>
          <w:sz w:val="20"/>
          <w:szCs w:val="20"/>
          <w:lang w:val="en-MY"/>
        </w:rPr>
        <w:sym w:font="Symbol" w:char="F0B0"/>
      </w:r>
      <w:r w:rsidRPr="00D92F45">
        <w:rPr>
          <w:b w:val="0"/>
          <w:caps w:val="0"/>
          <w:sz w:val="20"/>
          <w:szCs w:val="20"/>
          <w:lang w:val="en-MY"/>
        </w:rPr>
        <w:t>C. Dari keputusan FTIR, semua serbuk pelopor secara kualitatifnya menunjukkan empat daerah utama dan keujudan kumpulan –OH boleh meningkatkan kadar peresapan antara logam semasa proses sintesis.</w:t>
      </w:r>
    </w:p>
    <w:p w:rsidR="00D92F45" w:rsidRPr="00D92F45" w:rsidRDefault="00D92F45" w:rsidP="00D92F45">
      <w:pPr>
        <w:pStyle w:val="TTPSectionHeading"/>
        <w:spacing w:before="0" w:line="240" w:lineRule="auto"/>
        <w:rPr>
          <w:b w:val="0"/>
          <w:caps w:val="0"/>
          <w:sz w:val="20"/>
          <w:szCs w:val="20"/>
          <w:lang w:val="en-MY"/>
        </w:rPr>
      </w:pPr>
    </w:p>
    <w:p w:rsidR="009950FF" w:rsidRDefault="00D92F45" w:rsidP="00D92F45">
      <w:pPr>
        <w:pStyle w:val="TTPSectionHeading"/>
        <w:spacing w:before="0" w:line="240" w:lineRule="auto"/>
        <w:rPr>
          <w:b w:val="0"/>
          <w:caps w:val="0"/>
          <w:sz w:val="20"/>
          <w:szCs w:val="20"/>
          <w:lang w:val="en-MY"/>
        </w:rPr>
      </w:pPr>
      <w:r w:rsidRPr="00D92F45">
        <w:rPr>
          <w:caps w:val="0"/>
          <w:sz w:val="20"/>
          <w:szCs w:val="20"/>
          <w:lang w:val="en-MY"/>
        </w:rPr>
        <w:t xml:space="preserve">Kata kunci: </w:t>
      </w:r>
      <w:r w:rsidRPr="00D92F45">
        <w:rPr>
          <w:b w:val="0"/>
          <w:caps w:val="0"/>
          <w:sz w:val="20"/>
          <w:szCs w:val="20"/>
          <w:lang w:val="en-MY"/>
        </w:rPr>
        <w:t>pemasukan Dy, BSCCO, superkonduktor, FTIR, analisis termogravimetri</w:t>
      </w:r>
    </w:p>
    <w:p w:rsidR="00D92F45" w:rsidRDefault="00D92F45" w:rsidP="00D92F45">
      <w:pPr>
        <w:pStyle w:val="TTPSectionHeading"/>
        <w:spacing w:before="0" w:line="240" w:lineRule="auto"/>
        <w:rPr>
          <w:b w:val="0"/>
          <w:caps w:val="0"/>
          <w:sz w:val="20"/>
          <w:szCs w:val="20"/>
          <w:lang w:val="en-MY"/>
        </w:rPr>
      </w:pPr>
    </w:p>
    <w:p w:rsidR="00D92F45" w:rsidRPr="00F447A7" w:rsidRDefault="00D92F45" w:rsidP="00D92F4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D92F45" w:rsidRPr="007C66F1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 w:rsidRPr="007C66F1">
        <w:rPr>
          <w:sz w:val="20"/>
          <w:szCs w:val="18"/>
        </w:rPr>
        <w:t>Hama</w:t>
      </w:r>
      <w:bookmarkStart w:id="0" w:name="_GoBack"/>
      <w:bookmarkEnd w:id="0"/>
      <w:r w:rsidRPr="007C66F1">
        <w:rPr>
          <w:sz w:val="20"/>
          <w:szCs w:val="18"/>
        </w:rPr>
        <w:t>dneh, I., Halim, S. A. and Lee, C. K.  (2006). Characterization of Bi</w:t>
      </w:r>
      <w:r w:rsidRPr="007C66F1">
        <w:rPr>
          <w:sz w:val="20"/>
          <w:szCs w:val="18"/>
          <w:vertAlign w:val="subscript"/>
        </w:rPr>
        <w:t>1.6</w:t>
      </w:r>
      <w:r w:rsidRPr="007C66F1">
        <w:rPr>
          <w:sz w:val="20"/>
          <w:szCs w:val="18"/>
        </w:rPr>
        <w:t>Pb</w:t>
      </w:r>
      <w:r w:rsidRPr="007C66F1">
        <w:rPr>
          <w:sz w:val="20"/>
          <w:szCs w:val="18"/>
          <w:vertAlign w:val="subscript"/>
        </w:rPr>
        <w:t>0.4</w:t>
      </w:r>
      <w:r w:rsidRPr="007C66F1">
        <w:rPr>
          <w:sz w:val="20"/>
          <w:szCs w:val="18"/>
        </w:rPr>
        <w:t>Sr</w:t>
      </w:r>
      <w:r w:rsidRPr="007C66F1">
        <w:rPr>
          <w:sz w:val="20"/>
          <w:szCs w:val="18"/>
          <w:vertAlign w:val="subscript"/>
        </w:rPr>
        <w:t>2</w:t>
      </w:r>
      <w:r w:rsidRPr="007C66F1">
        <w:rPr>
          <w:sz w:val="20"/>
          <w:szCs w:val="18"/>
        </w:rPr>
        <w:t>Ca</w:t>
      </w:r>
      <w:r w:rsidRPr="007C66F1">
        <w:rPr>
          <w:sz w:val="20"/>
          <w:szCs w:val="18"/>
          <w:vertAlign w:val="subscript"/>
        </w:rPr>
        <w:t>2</w:t>
      </w:r>
      <w:r w:rsidRPr="007C66F1">
        <w:rPr>
          <w:sz w:val="20"/>
          <w:szCs w:val="18"/>
        </w:rPr>
        <w:t>Cu</w:t>
      </w:r>
      <w:r w:rsidRPr="007C66F1">
        <w:rPr>
          <w:sz w:val="20"/>
          <w:szCs w:val="18"/>
          <w:vertAlign w:val="subscript"/>
        </w:rPr>
        <w:t>3</w:t>
      </w:r>
      <w:r w:rsidRPr="007C66F1">
        <w:rPr>
          <w:sz w:val="20"/>
          <w:szCs w:val="18"/>
        </w:rPr>
        <w:t>O</w:t>
      </w:r>
      <w:r w:rsidRPr="007C66F1">
        <w:rPr>
          <w:sz w:val="20"/>
          <w:szCs w:val="18"/>
          <w:vertAlign w:val="subscript"/>
        </w:rPr>
        <w:t>y</w:t>
      </w:r>
      <w:r w:rsidRPr="007C66F1">
        <w:rPr>
          <w:sz w:val="20"/>
          <w:szCs w:val="18"/>
        </w:rPr>
        <w:t xml:space="preserve"> ceramic superconductor prepared via coprecipitation method at different sintering</w:t>
      </w:r>
      <w:r>
        <w:rPr>
          <w:sz w:val="20"/>
          <w:szCs w:val="18"/>
        </w:rPr>
        <w:t xml:space="preserve"> time. </w:t>
      </w:r>
      <w:r w:rsidRPr="007C66F1">
        <w:rPr>
          <w:i/>
          <w:sz w:val="20"/>
          <w:szCs w:val="18"/>
        </w:rPr>
        <w:t>Journal of Materials Science</w:t>
      </w:r>
      <w:r w:rsidRPr="007C66F1">
        <w:rPr>
          <w:sz w:val="20"/>
          <w:szCs w:val="18"/>
        </w:rPr>
        <w:t xml:space="preserve"> 41:  5526 – 5530.</w:t>
      </w:r>
    </w:p>
    <w:p w:rsidR="00D92F45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 w:rsidRPr="007C66F1">
        <w:rPr>
          <w:sz w:val="20"/>
          <w:szCs w:val="18"/>
        </w:rPr>
        <w:t>Hawa, J. S., Azhan, H., Yahya, S.Y., Azman, K., Hidayah, H. N. and Norazidah, A. W.</w:t>
      </w:r>
      <w:r>
        <w:rPr>
          <w:sz w:val="20"/>
          <w:szCs w:val="18"/>
        </w:rPr>
        <w:t xml:space="preserve"> </w:t>
      </w:r>
      <w:r w:rsidRPr="007C66F1">
        <w:rPr>
          <w:sz w:val="20"/>
          <w:szCs w:val="18"/>
        </w:rPr>
        <w:t xml:space="preserve">(2012). Influence of Na, Mg and Yb Substitution for Ca in Bi (Pb)-2223 </w:t>
      </w:r>
      <w:r>
        <w:rPr>
          <w:sz w:val="20"/>
          <w:szCs w:val="18"/>
        </w:rPr>
        <w:t xml:space="preserve">Superconductor. </w:t>
      </w:r>
      <w:r w:rsidRPr="007C66F1">
        <w:rPr>
          <w:i/>
          <w:iCs/>
          <w:sz w:val="20"/>
          <w:szCs w:val="18"/>
        </w:rPr>
        <w:t>Advanced Materials Research.</w:t>
      </w:r>
      <w:r w:rsidRPr="007C66F1">
        <w:rPr>
          <w:sz w:val="20"/>
          <w:szCs w:val="18"/>
        </w:rPr>
        <w:t xml:space="preserve"> 501:  289 – 293.</w:t>
      </w:r>
    </w:p>
    <w:p w:rsidR="00D92F45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 w:rsidRPr="007C66F1">
        <w:rPr>
          <w:sz w:val="20"/>
          <w:szCs w:val="18"/>
        </w:rPr>
        <w:t>Bahmani, A., Sellami, M.</w:t>
      </w:r>
      <w:r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 xml:space="preserve">Betthahar, N. (2012). </w:t>
      </w:r>
      <w:r w:rsidRPr="007C66F1">
        <w:rPr>
          <w:rStyle w:val="apple-converted-space"/>
          <w:sz w:val="20"/>
          <w:szCs w:val="18"/>
          <w:shd w:val="clear" w:color="auto" w:fill="FFFFFF"/>
        </w:rPr>
        <w:t>Synthesis of bismuth mixed oxide by thermal decompositi</w:t>
      </w:r>
      <w:r>
        <w:rPr>
          <w:rStyle w:val="apple-converted-space"/>
          <w:sz w:val="20"/>
          <w:szCs w:val="18"/>
          <w:shd w:val="clear" w:color="auto" w:fill="FFFFFF"/>
        </w:rPr>
        <w:t xml:space="preserve">on of a coprecipitate precursor. </w:t>
      </w:r>
      <w:r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 w:rsidRPr="007C66F1">
        <w:rPr>
          <w:sz w:val="20"/>
          <w:szCs w:val="18"/>
        </w:rPr>
        <w:t xml:space="preserve"> 107: 955 – 962.</w:t>
      </w:r>
    </w:p>
    <w:p w:rsidR="00D92F45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 w:rsidRPr="007C66F1">
        <w:rPr>
          <w:sz w:val="20"/>
          <w:szCs w:val="18"/>
        </w:rPr>
        <w:t xml:space="preserve">Wahid, M. H., Zainal, Z., Hamadneh, I., Tan, K. B., Halim, S. A., Rosli, A. M., Alaghbari, E. S., Nazarudin, </w:t>
      </w:r>
      <w:r w:rsidRPr="007C66F1">
        <w:rPr>
          <w:sz w:val="20"/>
          <w:szCs w:val="18"/>
          <w:lang w:val="en-MY"/>
        </w:rPr>
        <w:t xml:space="preserve">M. F. and </w:t>
      </w:r>
      <w:r w:rsidRPr="007C66F1">
        <w:rPr>
          <w:sz w:val="20"/>
          <w:szCs w:val="18"/>
        </w:rPr>
        <w:t>Kadri, E. F. (2012). Phase formation of REBa</w:t>
      </w:r>
      <w:r w:rsidRPr="007C66F1">
        <w:rPr>
          <w:sz w:val="20"/>
          <w:szCs w:val="18"/>
          <w:vertAlign w:val="subscript"/>
        </w:rPr>
        <w:t>2</w:t>
      </w:r>
      <w:r w:rsidRPr="007C66F1">
        <w:rPr>
          <w:sz w:val="20"/>
          <w:szCs w:val="18"/>
        </w:rPr>
        <w:t>Cu</w:t>
      </w:r>
      <w:r w:rsidRPr="007C66F1">
        <w:rPr>
          <w:sz w:val="20"/>
          <w:szCs w:val="18"/>
          <w:vertAlign w:val="subscript"/>
        </w:rPr>
        <w:t>3</w:t>
      </w:r>
      <w:r w:rsidRPr="007C66F1">
        <w:rPr>
          <w:sz w:val="20"/>
          <w:szCs w:val="18"/>
        </w:rPr>
        <w:t>O</w:t>
      </w:r>
      <w:r w:rsidRPr="007C66F1">
        <w:rPr>
          <w:sz w:val="20"/>
          <w:szCs w:val="18"/>
          <w:vertAlign w:val="subscript"/>
        </w:rPr>
        <w:t>7−δ</w:t>
      </w:r>
      <w:r w:rsidRPr="007C66F1">
        <w:rPr>
          <w:sz w:val="20"/>
          <w:szCs w:val="18"/>
        </w:rPr>
        <w:t xml:space="preserve"> (RE: Y</w:t>
      </w:r>
      <w:r w:rsidRPr="007C66F1">
        <w:rPr>
          <w:sz w:val="20"/>
          <w:szCs w:val="18"/>
          <w:vertAlign w:val="subscript"/>
        </w:rPr>
        <w:t>0.5</w:t>
      </w:r>
      <w:r w:rsidRPr="007C66F1">
        <w:rPr>
          <w:sz w:val="20"/>
          <w:szCs w:val="18"/>
        </w:rPr>
        <w:t>Gd</w:t>
      </w:r>
      <w:r w:rsidRPr="007C66F1">
        <w:rPr>
          <w:sz w:val="20"/>
          <w:szCs w:val="18"/>
          <w:vertAlign w:val="subscript"/>
        </w:rPr>
        <w:t>0.5</w:t>
      </w:r>
      <w:r w:rsidRPr="007C66F1">
        <w:rPr>
          <w:sz w:val="20"/>
          <w:szCs w:val="18"/>
        </w:rPr>
        <w:t>, Y</w:t>
      </w:r>
      <w:r w:rsidRPr="007C66F1">
        <w:rPr>
          <w:sz w:val="20"/>
          <w:szCs w:val="18"/>
          <w:vertAlign w:val="subscript"/>
        </w:rPr>
        <w:t>0.5</w:t>
      </w:r>
      <w:r w:rsidRPr="007C66F1">
        <w:rPr>
          <w:sz w:val="20"/>
          <w:szCs w:val="18"/>
        </w:rPr>
        <w:t>Nd</w:t>
      </w:r>
      <w:r w:rsidRPr="007C66F1">
        <w:rPr>
          <w:sz w:val="20"/>
          <w:szCs w:val="18"/>
          <w:vertAlign w:val="subscript"/>
        </w:rPr>
        <w:t>0.5</w:t>
      </w:r>
      <w:r w:rsidRPr="007C66F1">
        <w:rPr>
          <w:sz w:val="20"/>
          <w:szCs w:val="18"/>
        </w:rPr>
        <w:t>, Nd</w:t>
      </w:r>
      <w:r w:rsidRPr="007C66F1">
        <w:rPr>
          <w:sz w:val="20"/>
          <w:szCs w:val="18"/>
          <w:vertAlign w:val="subscript"/>
        </w:rPr>
        <w:t>0.5</w:t>
      </w:r>
      <w:r w:rsidRPr="007C66F1">
        <w:rPr>
          <w:sz w:val="20"/>
          <w:szCs w:val="18"/>
        </w:rPr>
        <w:t>Gd</w:t>
      </w:r>
      <w:r w:rsidRPr="007C66F1">
        <w:rPr>
          <w:sz w:val="20"/>
          <w:szCs w:val="18"/>
          <w:vertAlign w:val="subscript"/>
        </w:rPr>
        <w:t>0.5</w:t>
      </w:r>
      <w:r w:rsidRPr="007C66F1">
        <w:rPr>
          <w:sz w:val="20"/>
          <w:szCs w:val="18"/>
        </w:rPr>
        <w:t>) superconductors from nanopowders s</w:t>
      </w:r>
      <w:r>
        <w:rPr>
          <w:sz w:val="20"/>
          <w:szCs w:val="18"/>
        </w:rPr>
        <w:t xml:space="preserve">ynthesised via co-precipitation. </w:t>
      </w:r>
      <w:r w:rsidRPr="007C66F1">
        <w:rPr>
          <w:i/>
          <w:sz w:val="20"/>
          <w:szCs w:val="18"/>
        </w:rPr>
        <w:t>Ceramic International</w:t>
      </w:r>
      <w:r w:rsidRPr="007C66F1">
        <w:rPr>
          <w:sz w:val="20"/>
          <w:szCs w:val="18"/>
        </w:rPr>
        <w:t xml:space="preserve"> 38: 1187 – 1193.</w:t>
      </w:r>
    </w:p>
    <w:p w:rsidR="00D92F45" w:rsidRPr="007C66F1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 w:rsidRPr="007C66F1">
        <w:rPr>
          <w:sz w:val="20"/>
          <w:szCs w:val="18"/>
        </w:rPr>
        <w:t>Popa, M., Calderon-Moreno, J., Crisan, D.</w:t>
      </w:r>
      <w:r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 xml:space="preserve">Zaharescu, M. (2000). </w:t>
      </w:r>
      <w:r>
        <w:rPr>
          <w:sz w:val="20"/>
          <w:szCs w:val="18"/>
        </w:rPr>
        <w:t>Study of Fe a</w:t>
      </w:r>
      <w:r w:rsidRPr="007C66F1">
        <w:rPr>
          <w:sz w:val="20"/>
          <w:szCs w:val="18"/>
        </w:rPr>
        <w:t>ddition on the thermal decomposition of coprecipitated oxalates for the Bi</w:t>
      </w:r>
      <w:r>
        <w:rPr>
          <w:sz w:val="20"/>
          <w:szCs w:val="18"/>
        </w:rPr>
        <w:t xml:space="preserve">-based superconductor synthesis. </w:t>
      </w:r>
      <w:r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 w:rsidRPr="007C66F1">
        <w:rPr>
          <w:bCs/>
          <w:sz w:val="20"/>
          <w:szCs w:val="18"/>
          <w:shd w:val="clear" w:color="auto" w:fill="FFFFFF"/>
          <w:lang w:val="en-MY"/>
        </w:rPr>
        <w:t xml:space="preserve"> </w:t>
      </w:r>
      <w:r w:rsidRPr="007C66F1">
        <w:rPr>
          <w:sz w:val="20"/>
          <w:szCs w:val="18"/>
        </w:rPr>
        <w:t>62: 633 – 645</w:t>
      </w:r>
      <w:r>
        <w:rPr>
          <w:sz w:val="20"/>
          <w:szCs w:val="18"/>
        </w:rPr>
        <w:t>.</w:t>
      </w:r>
    </w:p>
    <w:p w:rsidR="00D92F45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 w:rsidRPr="007C66F1">
        <w:rPr>
          <w:sz w:val="20"/>
          <w:szCs w:val="18"/>
        </w:rPr>
        <w:t>Nenartaviciene, G., Tõnsuaadu, K., Jasaitis, D., Beganskiene, A.</w:t>
      </w:r>
      <w:r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>Kareiva, A. (2007). Preparation and characterization of superconducting YBa</w:t>
      </w:r>
      <w:r w:rsidRPr="007C66F1">
        <w:rPr>
          <w:sz w:val="20"/>
          <w:szCs w:val="18"/>
          <w:vertAlign w:val="subscript"/>
        </w:rPr>
        <w:t>2</w:t>
      </w:r>
      <w:r w:rsidRPr="007C66F1">
        <w:rPr>
          <w:sz w:val="20"/>
          <w:szCs w:val="18"/>
        </w:rPr>
        <w:t>(Cu</w:t>
      </w:r>
      <w:r w:rsidRPr="007C66F1">
        <w:rPr>
          <w:sz w:val="20"/>
          <w:szCs w:val="18"/>
          <w:vertAlign w:val="subscript"/>
        </w:rPr>
        <w:t>1−x</w:t>
      </w:r>
      <w:r w:rsidRPr="007C66F1">
        <w:rPr>
          <w:sz w:val="20"/>
          <w:szCs w:val="18"/>
        </w:rPr>
        <w:t>Cr</w:t>
      </w:r>
      <w:r w:rsidRPr="007C66F1">
        <w:rPr>
          <w:sz w:val="20"/>
          <w:szCs w:val="18"/>
          <w:vertAlign w:val="subscript"/>
        </w:rPr>
        <w:t>x</w:t>
      </w:r>
      <w:r w:rsidRPr="007C66F1">
        <w:rPr>
          <w:sz w:val="20"/>
          <w:szCs w:val="18"/>
        </w:rPr>
        <w:t>)</w:t>
      </w:r>
      <w:r w:rsidRPr="007C66F1">
        <w:rPr>
          <w:sz w:val="20"/>
          <w:szCs w:val="18"/>
          <w:vertAlign w:val="subscript"/>
        </w:rPr>
        <w:t>4</w:t>
      </w:r>
      <w:r w:rsidRPr="007C66F1">
        <w:rPr>
          <w:sz w:val="20"/>
          <w:szCs w:val="18"/>
        </w:rPr>
        <w:t>O</w:t>
      </w:r>
      <w:r w:rsidRPr="007C66F1">
        <w:rPr>
          <w:sz w:val="20"/>
          <w:szCs w:val="18"/>
          <w:vertAlign w:val="subscript"/>
        </w:rPr>
        <w:t>8</w:t>
      </w:r>
      <w:r>
        <w:rPr>
          <w:sz w:val="20"/>
          <w:szCs w:val="18"/>
        </w:rPr>
        <w:t xml:space="preserve"> oxides by thermal analysis. </w:t>
      </w:r>
      <w:r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>
        <w:rPr>
          <w:bCs/>
          <w:i/>
          <w:sz w:val="20"/>
          <w:szCs w:val="18"/>
          <w:shd w:val="clear" w:color="auto" w:fill="FFFFFF"/>
          <w:lang w:val="en-MY"/>
        </w:rPr>
        <w:t xml:space="preserve"> </w:t>
      </w:r>
      <w:r w:rsidRPr="007C66F1">
        <w:rPr>
          <w:sz w:val="20"/>
          <w:szCs w:val="18"/>
        </w:rPr>
        <w:t>90: 173 –178.</w:t>
      </w:r>
    </w:p>
    <w:p w:rsidR="00D92F45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 w:rsidRPr="007C66F1">
        <w:rPr>
          <w:sz w:val="20"/>
          <w:szCs w:val="18"/>
        </w:rPr>
        <w:t>Arshad, M., Qureshi, A. H., Masud, K.</w:t>
      </w:r>
      <w:r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>Qazi, N. K. (2007). Production of BSCCO bulk high T</w:t>
      </w:r>
      <w:r w:rsidRPr="007C66F1">
        <w:rPr>
          <w:sz w:val="20"/>
          <w:szCs w:val="18"/>
          <w:vertAlign w:val="subscript"/>
        </w:rPr>
        <w:t>C</w:t>
      </w:r>
      <w:r w:rsidRPr="007C66F1">
        <w:rPr>
          <w:sz w:val="20"/>
          <w:szCs w:val="18"/>
        </w:rPr>
        <w:t xml:space="preserve"> superconductors by sol-gel method and their characteriza</w:t>
      </w:r>
      <w:r>
        <w:rPr>
          <w:sz w:val="20"/>
          <w:szCs w:val="18"/>
        </w:rPr>
        <w:t xml:space="preserve">tion by FTIR and XRD techniques. </w:t>
      </w:r>
      <w:r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 w:rsidRPr="007C66F1">
        <w:rPr>
          <w:sz w:val="20"/>
          <w:szCs w:val="18"/>
        </w:rPr>
        <w:t xml:space="preserve"> 89: 595 – 600.</w:t>
      </w:r>
    </w:p>
    <w:p w:rsidR="00D92F45" w:rsidRPr="007C66F1" w:rsidRDefault="00D92F45" w:rsidP="00D92F45">
      <w:pPr>
        <w:pStyle w:val="TTPReference"/>
        <w:numPr>
          <w:ilvl w:val="0"/>
          <w:numId w:val="1"/>
        </w:numPr>
        <w:spacing w:before="0" w:line="240" w:lineRule="auto"/>
        <w:ind w:left="360"/>
        <w:rPr>
          <w:sz w:val="20"/>
          <w:szCs w:val="18"/>
        </w:rPr>
      </w:pPr>
      <w:r>
        <w:rPr>
          <w:sz w:val="20"/>
          <w:szCs w:val="18"/>
        </w:rPr>
        <w:t>Tran T. T.</w:t>
      </w:r>
      <w:r w:rsidRPr="007C66F1">
        <w:rPr>
          <w:sz w:val="20"/>
          <w:szCs w:val="18"/>
        </w:rPr>
        <w:t>, Hoste, S., Herman, G. G., De Buysser, K., Lommens, P., Feys, J.</w:t>
      </w:r>
      <w:r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>Vandeput, D.  (2009). Van Driessche, I. Sol–gel chemistry of an aqueous precurs</w:t>
      </w:r>
      <w:r>
        <w:rPr>
          <w:sz w:val="20"/>
          <w:szCs w:val="18"/>
        </w:rPr>
        <w:t xml:space="preserve">or solution for YBCO thin films. </w:t>
      </w:r>
      <w:r w:rsidRPr="007C66F1">
        <w:rPr>
          <w:i/>
          <w:sz w:val="20"/>
          <w:szCs w:val="18"/>
        </w:rPr>
        <w:t>Journal of Sol-Gel Science and Technology</w:t>
      </w:r>
      <w:r w:rsidRPr="007C66F1">
        <w:rPr>
          <w:sz w:val="20"/>
          <w:szCs w:val="18"/>
        </w:rPr>
        <w:t xml:space="preserve"> 52: 124 – 133.</w:t>
      </w:r>
    </w:p>
    <w:p w:rsidR="00D92F45" w:rsidRPr="00D92F45" w:rsidRDefault="00D92F45" w:rsidP="00D92F45">
      <w:pPr>
        <w:pStyle w:val="TTPSectionHeading"/>
        <w:spacing w:before="0" w:line="240" w:lineRule="auto"/>
        <w:rPr>
          <w:b w:val="0"/>
          <w:caps w:val="0"/>
          <w:sz w:val="20"/>
          <w:szCs w:val="20"/>
        </w:rPr>
      </w:pPr>
    </w:p>
    <w:sectPr w:rsidR="00D92F45" w:rsidRPr="00D92F45" w:rsidSect="00D92F45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2E9A"/>
    <w:multiLevelType w:val="hybridMultilevel"/>
    <w:tmpl w:val="05388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45"/>
    <w:rsid w:val="009950FF"/>
    <w:rsid w:val="00D0718B"/>
    <w:rsid w:val="00D40B1F"/>
    <w:rsid w:val="00D9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4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Normal"/>
    <w:uiPriority w:val="99"/>
    <w:rsid w:val="00D92F45"/>
    <w:pPr>
      <w:autoSpaceDE w:val="0"/>
      <w:autoSpaceDN w:val="0"/>
      <w:spacing w:after="120" w:line="240" w:lineRule="auto"/>
      <w:jc w:val="center"/>
    </w:pPr>
    <w:rPr>
      <w:rFonts w:ascii="Arial" w:hAnsi="Arial" w:cs="Arial"/>
      <w:b/>
      <w:bCs/>
      <w:sz w:val="30"/>
      <w:szCs w:val="30"/>
      <w:lang w:bidi="ar-SA"/>
    </w:rPr>
  </w:style>
  <w:style w:type="paragraph" w:customStyle="1" w:styleId="TTPAuthors">
    <w:name w:val="TTP Author(s)"/>
    <w:basedOn w:val="Normal"/>
    <w:next w:val="Normal"/>
    <w:uiPriority w:val="99"/>
    <w:rsid w:val="00D92F45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bidi="ar-SA"/>
    </w:rPr>
  </w:style>
  <w:style w:type="paragraph" w:customStyle="1" w:styleId="TTPAddress">
    <w:name w:val="TTP Address"/>
    <w:basedOn w:val="Normal"/>
    <w:uiPriority w:val="99"/>
    <w:rsid w:val="00D92F45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lang w:bidi="ar-SA"/>
    </w:rPr>
  </w:style>
  <w:style w:type="paragraph" w:customStyle="1" w:styleId="TTPSectionHeading">
    <w:name w:val="TTP Section Heading"/>
    <w:basedOn w:val="Normal"/>
    <w:uiPriority w:val="99"/>
    <w:rsid w:val="00D92F45"/>
    <w:pPr>
      <w:tabs>
        <w:tab w:val="left" w:pos="567"/>
        <w:tab w:val="left" w:pos="1134"/>
      </w:tabs>
      <w:autoSpaceDE w:val="0"/>
      <w:autoSpaceDN w:val="0"/>
      <w:spacing w:before="360" w:after="0" w:line="340" w:lineRule="exact"/>
      <w:jc w:val="both"/>
    </w:pPr>
    <w:rPr>
      <w:rFonts w:ascii="Times New Roman" w:hAnsi="Times New Roman"/>
      <w:b/>
      <w:bCs/>
      <w:caps/>
      <w:sz w:val="26"/>
      <w:szCs w:val="24"/>
      <w:lang w:bidi="ar-SA"/>
    </w:rPr>
  </w:style>
  <w:style w:type="paragraph" w:customStyle="1" w:styleId="TTPAbstract">
    <w:name w:val="TTP Abstract"/>
    <w:basedOn w:val="Normal"/>
    <w:next w:val="TTPSectionHeading"/>
    <w:uiPriority w:val="99"/>
    <w:rsid w:val="00D92F45"/>
    <w:pPr>
      <w:autoSpaceDE w:val="0"/>
      <w:autoSpaceDN w:val="0"/>
      <w:spacing w:before="360"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Reference">
    <w:name w:val="TTP Reference"/>
    <w:basedOn w:val="Normal"/>
    <w:uiPriority w:val="99"/>
    <w:rsid w:val="00D92F45"/>
    <w:pPr>
      <w:autoSpaceDE w:val="0"/>
      <w:autoSpaceDN w:val="0"/>
      <w:spacing w:before="120" w:after="0" w:line="340" w:lineRule="exact"/>
      <w:ind w:left="709" w:hanging="709"/>
      <w:jc w:val="both"/>
    </w:pPr>
    <w:rPr>
      <w:rFonts w:ascii="Times New Roman" w:hAnsi="Times New Roman"/>
      <w:sz w:val="26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D92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4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Normal"/>
    <w:uiPriority w:val="99"/>
    <w:rsid w:val="00D92F45"/>
    <w:pPr>
      <w:autoSpaceDE w:val="0"/>
      <w:autoSpaceDN w:val="0"/>
      <w:spacing w:after="120" w:line="240" w:lineRule="auto"/>
      <w:jc w:val="center"/>
    </w:pPr>
    <w:rPr>
      <w:rFonts w:ascii="Arial" w:hAnsi="Arial" w:cs="Arial"/>
      <w:b/>
      <w:bCs/>
      <w:sz w:val="30"/>
      <w:szCs w:val="30"/>
      <w:lang w:bidi="ar-SA"/>
    </w:rPr>
  </w:style>
  <w:style w:type="paragraph" w:customStyle="1" w:styleId="TTPAuthors">
    <w:name w:val="TTP Author(s)"/>
    <w:basedOn w:val="Normal"/>
    <w:next w:val="Normal"/>
    <w:uiPriority w:val="99"/>
    <w:rsid w:val="00D92F45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bidi="ar-SA"/>
    </w:rPr>
  </w:style>
  <w:style w:type="paragraph" w:customStyle="1" w:styleId="TTPAddress">
    <w:name w:val="TTP Address"/>
    <w:basedOn w:val="Normal"/>
    <w:uiPriority w:val="99"/>
    <w:rsid w:val="00D92F45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lang w:bidi="ar-SA"/>
    </w:rPr>
  </w:style>
  <w:style w:type="paragraph" w:customStyle="1" w:styleId="TTPSectionHeading">
    <w:name w:val="TTP Section Heading"/>
    <w:basedOn w:val="Normal"/>
    <w:uiPriority w:val="99"/>
    <w:rsid w:val="00D92F45"/>
    <w:pPr>
      <w:tabs>
        <w:tab w:val="left" w:pos="567"/>
        <w:tab w:val="left" w:pos="1134"/>
      </w:tabs>
      <w:autoSpaceDE w:val="0"/>
      <w:autoSpaceDN w:val="0"/>
      <w:spacing w:before="360" w:after="0" w:line="340" w:lineRule="exact"/>
      <w:jc w:val="both"/>
    </w:pPr>
    <w:rPr>
      <w:rFonts w:ascii="Times New Roman" w:hAnsi="Times New Roman"/>
      <w:b/>
      <w:bCs/>
      <w:caps/>
      <w:sz w:val="26"/>
      <w:szCs w:val="24"/>
      <w:lang w:bidi="ar-SA"/>
    </w:rPr>
  </w:style>
  <w:style w:type="paragraph" w:customStyle="1" w:styleId="TTPAbstract">
    <w:name w:val="TTP Abstract"/>
    <w:basedOn w:val="Normal"/>
    <w:next w:val="TTPSectionHeading"/>
    <w:uiPriority w:val="99"/>
    <w:rsid w:val="00D92F45"/>
    <w:pPr>
      <w:autoSpaceDE w:val="0"/>
      <w:autoSpaceDN w:val="0"/>
      <w:spacing w:before="360"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Reference">
    <w:name w:val="TTP Reference"/>
    <w:basedOn w:val="Normal"/>
    <w:uiPriority w:val="99"/>
    <w:rsid w:val="00D92F45"/>
    <w:pPr>
      <w:autoSpaceDE w:val="0"/>
      <w:autoSpaceDN w:val="0"/>
      <w:spacing w:before="120" w:after="0" w:line="340" w:lineRule="exact"/>
      <w:ind w:left="709" w:hanging="709"/>
      <w:jc w:val="both"/>
    </w:pPr>
    <w:rPr>
      <w:rFonts w:ascii="Times New Roman" w:hAnsi="Times New Roman"/>
      <w:sz w:val="26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D9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2015-11-24T14:15:00Z</dcterms:created>
  <dcterms:modified xsi:type="dcterms:W3CDTF">2015-11-24T14:18:00Z</dcterms:modified>
</cp:coreProperties>
</file>