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val="en-GB" w:eastAsia="ko-KR"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ko-KR"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val="en-GB" w:eastAsia="ko-KR"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E34388" w:rsidRDefault="00E34388" w:rsidP="00E34388">
      <w:pPr>
        <w:widowControl w:val="0"/>
        <w:wordWrap w:val="0"/>
        <w:autoSpaceDE w:val="0"/>
        <w:autoSpaceDN w:val="0"/>
        <w:spacing w:after="0" w:line="240" w:lineRule="auto"/>
        <w:jc w:val="center"/>
        <w:outlineLvl w:val="0"/>
        <w:rPr>
          <w:rFonts w:ascii="Times New Roman" w:hAnsi="Times New Roman"/>
          <w:kern w:val="2"/>
          <w:sz w:val="28"/>
          <w:lang w:eastAsia="ko-KR"/>
        </w:rPr>
      </w:pPr>
      <w:r w:rsidRPr="00EA408C">
        <w:rPr>
          <w:rFonts w:ascii="Times New Roman" w:hAnsi="Times New Roman"/>
          <w:kern w:val="2"/>
          <w:sz w:val="28"/>
          <w:lang w:eastAsia="ko-KR"/>
        </w:rPr>
        <w:t xml:space="preserve">DEVELOPMENT AND VALIDATION OF UV SPECTROPHOTOMETRIC </w:t>
      </w:r>
    </w:p>
    <w:p w:rsidR="00E34388" w:rsidRDefault="00E34388" w:rsidP="00E34388">
      <w:pPr>
        <w:widowControl w:val="0"/>
        <w:wordWrap w:val="0"/>
        <w:autoSpaceDE w:val="0"/>
        <w:autoSpaceDN w:val="0"/>
        <w:spacing w:after="0" w:line="240" w:lineRule="auto"/>
        <w:jc w:val="center"/>
        <w:outlineLvl w:val="0"/>
        <w:rPr>
          <w:rFonts w:ascii="Times New Roman" w:hAnsi="Times New Roman"/>
          <w:b/>
          <w:color w:val="000000"/>
          <w:sz w:val="28"/>
          <w:szCs w:val="28"/>
        </w:rPr>
      </w:pPr>
      <w:r>
        <w:rPr>
          <w:rFonts w:ascii="Times New Roman" w:hAnsi="Times New Roman"/>
          <w:kern w:val="2"/>
          <w:sz w:val="28"/>
          <w:lang w:eastAsia="ko-KR"/>
        </w:rPr>
        <w:t>METHOD</w:t>
      </w:r>
      <w:r w:rsidRPr="00EA408C">
        <w:rPr>
          <w:rFonts w:ascii="Times New Roman" w:hAnsi="Times New Roman"/>
          <w:kern w:val="2"/>
          <w:sz w:val="28"/>
          <w:lang w:eastAsia="ko-KR"/>
        </w:rPr>
        <w:t xml:space="preserve"> FOR ESTIMATION OF DOLUTEGR</w:t>
      </w:r>
      <w:r>
        <w:rPr>
          <w:rFonts w:ascii="Times New Roman" w:hAnsi="Times New Roman"/>
          <w:kern w:val="2"/>
          <w:sz w:val="28"/>
          <w:lang w:eastAsia="ko-KR"/>
        </w:rPr>
        <w:t>AVIR SODIUM IN TABLET DO</w:t>
      </w:r>
      <w:r w:rsidRPr="00EA408C">
        <w:rPr>
          <w:rFonts w:ascii="Times New Roman" w:hAnsi="Times New Roman"/>
          <w:kern w:val="2"/>
          <w:sz w:val="28"/>
          <w:lang w:eastAsia="ko-KR"/>
        </w:rPr>
        <w:t>SAGE FORM</w:t>
      </w:r>
    </w:p>
    <w:p w:rsidR="006768E9" w:rsidRPr="00F447A7" w:rsidRDefault="006768E9" w:rsidP="00E34388">
      <w:pPr>
        <w:spacing w:after="0" w:line="240" w:lineRule="auto"/>
        <w:jc w:val="center"/>
        <w:rPr>
          <w:rFonts w:ascii="Times New Roman" w:hAnsi="Times New Roman"/>
          <w:noProof/>
          <w:sz w:val="24"/>
          <w:szCs w:val="24"/>
          <w:lang w:bidi="ar-SA"/>
        </w:rPr>
      </w:pPr>
    </w:p>
    <w:p w:rsidR="00E34388" w:rsidRPr="0045775F" w:rsidRDefault="00E34388" w:rsidP="00E34388">
      <w:pPr>
        <w:widowControl w:val="0"/>
        <w:wordWrap w:val="0"/>
        <w:autoSpaceDE w:val="0"/>
        <w:autoSpaceDN w:val="0"/>
        <w:spacing w:after="0" w:line="240" w:lineRule="auto"/>
        <w:jc w:val="center"/>
        <w:outlineLvl w:val="0"/>
        <w:rPr>
          <w:rFonts w:ascii="Times New Roman" w:hAnsi="Times New Roman"/>
          <w:kern w:val="2"/>
          <w:sz w:val="24"/>
          <w:szCs w:val="24"/>
          <w:lang w:eastAsia="ko-KR"/>
        </w:rPr>
      </w:pPr>
      <w:r w:rsidRPr="0045775F">
        <w:rPr>
          <w:rFonts w:ascii="Times New Roman" w:hAnsi="Times New Roman"/>
          <w:kern w:val="2"/>
          <w:sz w:val="24"/>
          <w:szCs w:val="24"/>
          <w:lang w:eastAsia="ko-KR"/>
        </w:rPr>
        <w:t>(Pembangunan dan Pengesahsahihan Kaedah Spektrofotometri UV bagi Anggaran Dolutegravir sodium dalam Bentuk Dos Tablet)</w:t>
      </w:r>
    </w:p>
    <w:p w:rsidR="006768E9" w:rsidRPr="00F447A7" w:rsidRDefault="006768E9" w:rsidP="00E34388">
      <w:pPr>
        <w:spacing w:after="0" w:line="240" w:lineRule="auto"/>
        <w:jc w:val="center"/>
        <w:rPr>
          <w:rFonts w:ascii="Times New Roman" w:hAnsi="Times New Roman"/>
          <w:noProof/>
          <w:sz w:val="20"/>
          <w:szCs w:val="20"/>
          <w:lang w:bidi="ar-SA"/>
        </w:rPr>
      </w:pPr>
    </w:p>
    <w:p w:rsidR="00E34388" w:rsidRDefault="00E34388" w:rsidP="00E34388">
      <w:pPr>
        <w:widowControl w:val="0"/>
        <w:wordWrap w:val="0"/>
        <w:autoSpaceDE w:val="0"/>
        <w:autoSpaceDN w:val="0"/>
        <w:spacing w:after="0" w:line="240" w:lineRule="auto"/>
        <w:jc w:val="center"/>
        <w:outlineLvl w:val="0"/>
        <w:rPr>
          <w:rFonts w:ascii="Times New Roman" w:hAnsi="Times New Roman"/>
          <w:kern w:val="2"/>
          <w:sz w:val="20"/>
          <w:szCs w:val="20"/>
          <w:lang w:eastAsia="ko-KR"/>
        </w:rPr>
      </w:pPr>
      <w:r w:rsidRPr="00397627">
        <w:rPr>
          <w:rFonts w:ascii="Times New Roman" w:hAnsi="Times New Roman"/>
          <w:kern w:val="2"/>
          <w:sz w:val="20"/>
          <w:szCs w:val="20"/>
          <w:lang w:eastAsia="ko-KR"/>
        </w:rPr>
        <w:t>Bhavar Girija Balasaheb</w:t>
      </w:r>
      <w:r w:rsidRPr="00397627">
        <w:rPr>
          <w:rFonts w:ascii="Times New Roman" w:hAnsi="Times New Roman"/>
          <w:kern w:val="2"/>
          <w:sz w:val="20"/>
          <w:szCs w:val="20"/>
          <w:vertAlign w:val="superscript"/>
          <w:lang w:eastAsia="ko-KR"/>
        </w:rPr>
        <w:t>1</w:t>
      </w:r>
      <w:r w:rsidRPr="00397627">
        <w:rPr>
          <w:rFonts w:ascii="Times New Roman" w:hAnsi="Times New Roman"/>
          <w:kern w:val="2"/>
          <w:sz w:val="20"/>
          <w:szCs w:val="20"/>
          <w:lang w:eastAsia="ko-KR"/>
        </w:rPr>
        <w:t>*, Aher Kiran Balasaheb</w:t>
      </w:r>
      <w:r w:rsidRPr="00397627">
        <w:rPr>
          <w:rFonts w:ascii="Times New Roman" w:hAnsi="Times New Roman"/>
          <w:kern w:val="2"/>
          <w:sz w:val="20"/>
          <w:szCs w:val="20"/>
          <w:vertAlign w:val="superscript"/>
          <w:lang w:eastAsia="ko-KR"/>
        </w:rPr>
        <w:t>2</w:t>
      </w:r>
      <w:r w:rsidRPr="00397627">
        <w:rPr>
          <w:rFonts w:ascii="Times New Roman" w:hAnsi="Times New Roman"/>
          <w:kern w:val="2"/>
          <w:sz w:val="20"/>
          <w:szCs w:val="20"/>
          <w:lang w:eastAsia="ko-KR"/>
        </w:rPr>
        <w:t>, Thorat Ravindra Subhash</w:t>
      </w:r>
      <w:r w:rsidRPr="00397627">
        <w:rPr>
          <w:rFonts w:ascii="Times New Roman" w:hAnsi="Times New Roman"/>
          <w:kern w:val="2"/>
          <w:sz w:val="20"/>
          <w:szCs w:val="20"/>
          <w:vertAlign w:val="superscript"/>
          <w:lang w:eastAsia="ko-KR"/>
        </w:rPr>
        <w:t>2</w:t>
      </w:r>
      <w:r w:rsidRPr="00397627">
        <w:rPr>
          <w:rFonts w:ascii="Times New Roman" w:hAnsi="Times New Roman"/>
          <w:kern w:val="2"/>
          <w:sz w:val="20"/>
          <w:szCs w:val="20"/>
          <w:lang w:eastAsia="ko-KR"/>
        </w:rPr>
        <w:t xml:space="preserve">, </w:t>
      </w:r>
      <w:r>
        <w:rPr>
          <w:rFonts w:ascii="Times New Roman" w:hAnsi="Times New Roman"/>
          <w:kern w:val="2"/>
          <w:sz w:val="20"/>
          <w:szCs w:val="20"/>
          <w:lang w:eastAsia="ko-KR"/>
        </w:rPr>
        <w:t>Kakad</w:t>
      </w:r>
      <w:r w:rsidRPr="00397627">
        <w:rPr>
          <w:rFonts w:ascii="Times New Roman" w:hAnsi="Times New Roman"/>
          <w:kern w:val="2"/>
          <w:sz w:val="20"/>
          <w:szCs w:val="20"/>
          <w:lang w:eastAsia="ko-KR"/>
        </w:rPr>
        <w:t>sachin Jijabapu</w:t>
      </w:r>
      <w:r w:rsidRPr="00397627">
        <w:rPr>
          <w:rFonts w:ascii="Times New Roman" w:hAnsi="Times New Roman"/>
          <w:kern w:val="2"/>
          <w:sz w:val="20"/>
          <w:szCs w:val="20"/>
          <w:vertAlign w:val="superscript"/>
          <w:lang w:eastAsia="ko-KR"/>
        </w:rPr>
        <w:t>2</w:t>
      </w:r>
      <w:r w:rsidRPr="00397627">
        <w:rPr>
          <w:rFonts w:ascii="Times New Roman" w:hAnsi="Times New Roman"/>
          <w:kern w:val="2"/>
          <w:sz w:val="20"/>
          <w:szCs w:val="20"/>
          <w:lang w:eastAsia="ko-KR"/>
        </w:rPr>
        <w:t xml:space="preserve">, </w:t>
      </w:r>
    </w:p>
    <w:p w:rsidR="00E34388" w:rsidRPr="00397627" w:rsidRDefault="00E34388" w:rsidP="00E34388">
      <w:pPr>
        <w:widowControl w:val="0"/>
        <w:wordWrap w:val="0"/>
        <w:autoSpaceDE w:val="0"/>
        <w:autoSpaceDN w:val="0"/>
        <w:spacing w:after="0" w:line="240" w:lineRule="auto"/>
        <w:jc w:val="center"/>
        <w:outlineLvl w:val="0"/>
        <w:rPr>
          <w:rFonts w:ascii="Times New Roman" w:hAnsi="Times New Roman"/>
          <w:kern w:val="2"/>
          <w:sz w:val="20"/>
          <w:szCs w:val="20"/>
          <w:lang w:eastAsia="ko-KR"/>
        </w:rPr>
      </w:pPr>
      <w:r w:rsidRPr="00397627">
        <w:rPr>
          <w:rFonts w:ascii="Times New Roman" w:hAnsi="Times New Roman"/>
          <w:kern w:val="2"/>
          <w:sz w:val="20"/>
          <w:szCs w:val="20"/>
          <w:lang w:eastAsia="ko-KR"/>
        </w:rPr>
        <w:t>Pekamwar Sanjay Sudhakar</w:t>
      </w:r>
      <w:r w:rsidRPr="00397627">
        <w:rPr>
          <w:rFonts w:ascii="Times New Roman" w:hAnsi="Times New Roman"/>
          <w:kern w:val="2"/>
          <w:sz w:val="20"/>
          <w:szCs w:val="20"/>
          <w:vertAlign w:val="superscript"/>
          <w:lang w:eastAsia="ko-KR"/>
        </w:rPr>
        <w:t>3</w:t>
      </w:r>
    </w:p>
    <w:p w:rsidR="006768E9" w:rsidRPr="00F447A7" w:rsidRDefault="006768E9" w:rsidP="00E34388">
      <w:pPr>
        <w:spacing w:after="0" w:line="240" w:lineRule="auto"/>
        <w:jc w:val="center"/>
        <w:rPr>
          <w:rFonts w:ascii="Times New Roman" w:hAnsi="Times New Roman"/>
          <w:noProof/>
          <w:sz w:val="18"/>
          <w:szCs w:val="18"/>
          <w:lang w:bidi="ar-SA"/>
        </w:rPr>
      </w:pPr>
    </w:p>
    <w:p w:rsidR="00E34388" w:rsidRPr="00EA408C" w:rsidRDefault="00E34388" w:rsidP="00E34388">
      <w:pPr>
        <w:widowControl w:val="0"/>
        <w:wordWrap w:val="0"/>
        <w:autoSpaceDE w:val="0"/>
        <w:autoSpaceDN w:val="0"/>
        <w:spacing w:after="0" w:line="240" w:lineRule="auto"/>
        <w:jc w:val="center"/>
        <w:outlineLvl w:val="0"/>
        <w:rPr>
          <w:rFonts w:ascii="Times New Roman" w:hAnsi="Times New Roman"/>
          <w:i/>
          <w:kern w:val="2"/>
          <w:sz w:val="18"/>
          <w:szCs w:val="18"/>
          <w:lang w:eastAsia="ko-KR"/>
        </w:rPr>
      </w:pPr>
      <w:r w:rsidRPr="00A415C1">
        <w:rPr>
          <w:rFonts w:ascii="Times New Roman" w:hAnsi="Times New Roman"/>
          <w:i/>
          <w:sz w:val="18"/>
          <w:szCs w:val="18"/>
          <w:vertAlign w:val="superscript"/>
        </w:rPr>
        <w:t>1</w:t>
      </w:r>
      <w:r w:rsidRPr="00EA408C">
        <w:rPr>
          <w:rFonts w:ascii="Times New Roman" w:hAnsi="Times New Roman"/>
          <w:i/>
          <w:kern w:val="2"/>
          <w:sz w:val="18"/>
          <w:szCs w:val="18"/>
          <w:lang w:eastAsia="ko-KR"/>
        </w:rPr>
        <w:t>Departm</w:t>
      </w:r>
      <w:r>
        <w:rPr>
          <w:rFonts w:ascii="Times New Roman" w:hAnsi="Times New Roman"/>
          <w:i/>
          <w:kern w:val="2"/>
          <w:sz w:val="18"/>
          <w:szCs w:val="18"/>
          <w:lang w:eastAsia="ko-KR"/>
        </w:rPr>
        <w:t>ent of Pharmaceutical Chemistry</w:t>
      </w:r>
    </w:p>
    <w:p w:rsidR="00E34388" w:rsidRPr="00EA408C" w:rsidRDefault="00E34388" w:rsidP="00E34388">
      <w:pPr>
        <w:widowControl w:val="0"/>
        <w:wordWrap w:val="0"/>
        <w:autoSpaceDE w:val="0"/>
        <w:autoSpaceDN w:val="0"/>
        <w:spacing w:after="0" w:line="240" w:lineRule="auto"/>
        <w:jc w:val="center"/>
        <w:outlineLvl w:val="0"/>
        <w:rPr>
          <w:rFonts w:ascii="Times New Roman" w:hAnsi="Times New Roman"/>
          <w:i/>
          <w:kern w:val="2"/>
          <w:sz w:val="18"/>
          <w:szCs w:val="18"/>
          <w:lang w:eastAsia="ko-KR"/>
        </w:rPr>
      </w:pPr>
      <w:r>
        <w:rPr>
          <w:rFonts w:ascii="Times New Roman" w:hAnsi="Times New Roman"/>
          <w:i/>
          <w:sz w:val="18"/>
          <w:szCs w:val="18"/>
          <w:vertAlign w:val="superscript"/>
        </w:rPr>
        <w:t>2</w:t>
      </w:r>
      <w:r w:rsidRPr="00EA408C">
        <w:rPr>
          <w:rFonts w:ascii="Times New Roman" w:hAnsi="Times New Roman"/>
          <w:i/>
          <w:kern w:val="2"/>
          <w:sz w:val="18"/>
          <w:szCs w:val="18"/>
          <w:lang w:eastAsia="ko-KR"/>
        </w:rPr>
        <w:t xml:space="preserve">Department of Quality </w:t>
      </w:r>
      <w:r>
        <w:rPr>
          <w:rFonts w:ascii="Times New Roman" w:hAnsi="Times New Roman"/>
          <w:i/>
          <w:kern w:val="2"/>
          <w:sz w:val="18"/>
          <w:szCs w:val="18"/>
          <w:lang w:eastAsia="ko-KR"/>
        </w:rPr>
        <w:t>Assurance Techniques</w:t>
      </w:r>
    </w:p>
    <w:p w:rsidR="00E34388" w:rsidRPr="00EA408C" w:rsidRDefault="00E34388" w:rsidP="00E34388">
      <w:pPr>
        <w:widowControl w:val="0"/>
        <w:wordWrap w:val="0"/>
        <w:autoSpaceDE w:val="0"/>
        <w:autoSpaceDN w:val="0"/>
        <w:spacing w:after="0" w:line="240" w:lineRule="auto"/>
        <w:jc w:val="center"/>
        <w:outlineLvl w:val="0"/>
        <w:rPr>
          <w:rFonts w:ascii="Times New Roman" w:hAnsi="Times New Roman"/>
          <w:i/>
          <w:kern w:val="2"/>
          <w:sz w:val="18"/>
          <w:szCs w:val="18"/>
          <w:lang w:eastAsia="ko-KR"/>
        </w:rPr>
      </w:pPr>
      <w:r w:rsidRPr="00EA408C">
        <w:rPr>
          <w:rFonts w:ascii="Times New Roman" w:hAnsi="Times New Roman"/>
          <w:i/>
          <w:kern w:val="2"/>
          <w:sz w:val="18"/>
          <w:szCs w:val="18"/>
          <w:lang w:eastAsia="ko-KR"/>
        </w:rPr>
        <w:t>Amrutvahini College of Pharmacy,</w:t>
      </w:r>
      <w:r>
        <w:rPr>
          <w:rFonts w:ascii="Times New Roman" w:hAnsi="Times New Roman"/>
          <w:i/>
          <w:kern w:val="2"/>
          <w:sz w:val="18"/>
          <w:szCs w:val="18"/>
          <w:lang w:eastAsia="ko-KR"/>
        </w:rPr>
        <w:t xml:space="preserve"> Sangamner, Maharashtra, India </w:t>
      </w:r>
      <w:r w:rsidRPr="00EA408C">
        <w:rPr>
          <w:rFonts w:ascii="Times New Roman" w:hAnsi="Times New Roman"/>
          <w:i/>
          <w:kern w:val="2"/>
          <w:sz w:val="18"/>
          <w:szCs w:val="18"/>
          <w:lang w:eastAsia="ko-KR"/>
        </w:rPr>
        <w:t>422608.</w:t>
      </w:r>
    </w:p>
    <w:p w:rsidR="00E34388" w:rsidRDefault="00E34388" w:rsidP="00E34388">
      <w:pPr>
        <w:widowControl w:val="0"/>
        <w:wordWrap w:val="0"/>
        <w:autoSpaceDE w:val="0"/>
        <w:autoSpaceDN w:val="0"/>
        <w:spacing w:after="0" w:line="240" w:lineRule="auto"/>
        <w:jc w:val="center"/>
        <w:outlineLvl w:val="0"/>
        <w:rPr>
          <w:rFonts w:ascii="Times New Roman" w:hAnsi="Times New Roman"/>
          <w:i/>
          <w:kern w:val="2"/>
          <w:sz w:val="18"/>
          <w:szCs w:val="18"/>
          <w:lang w:eastAsia="ko-KR"/>
        </w:rPr>
      </w:pPr>
      <w:r>
        <w:rPr>
          <w:rFonts w:ascii="Times New Roman" w:hAnsi="Times New Roman"/>
          <w:i/>
          <w:sz w:val="18"/>
          <w:szCs w:val="18"/>
          <w:vertAlign w:val="superscript"/>
        </w:rPr>
        <w:t>3</w:t>
      </w:r>
      <w:r w:rsidRPr="00EA408C">
        <w:rPr>
          <w:rFonts w:ascii="Times New Roman" w:hAnsi="Times New Roman"/>
          <w:i/>
          <w:kern w:val="2"/>
          <w:sz w:val="18"/>
          <w:szCs w:val="18"/>
          <w:lang w:eastAsia="ko-KR"/>
        </w:rPr>
        <w:t xml:space="preserve">School of Pharmacy, </w:t>
      </w:r>
    </w:p>
    <w:p w:rsidR="00E34388" w:rsidRPr="00EA408C" w:rsidRDefault="00E34388" w:rsidP="00E34388">
      <w:pPr>
        <w:widowControl w:val="0"/>
        <w:wordWrap w:val="0"/>
        <w:autoSpaceDE w:val="0"/>
        <w:autoSpaceDN w:val="0"/>
        <w:spacing w:after="0" w:line="240" w:lineRule="auto"/>
        <w:jc w:val="center"/>
        <w:outlineLvl w:val="0"/>
        <w:rPr>
          <w:rFonts w:ascii="Times New Roman" w:hAnsi="Times New Roman"/>
          <w:i/>
          <w:kern w:val="2"/>
          <w:sz w:val="18"/>
          <w:szCs w:val="18"/>
          <w:lang w:eastAsia="ko-KR"/>
        </w:rPr>
      </w:pPr>
      <w:r w:rsidRPr="00EA408C">
        <w:rPr>
          <w:rFonts w:ascii="Times New Roman" w:hAnsi="Times New Roman"/>
          <w:i/>
          <w:kern w:val="2"/>
          <w:sz w:val="18"/>
          <w:szCs w:val="18"/>
          <w:lang w:eastAsia="ko-KR"/>
        </w:rPr>
        <w:t>Swami Ramanand Teerth</w:t>
      </w:r>
      <w:r>
        <w:rPr>
          <w:rFonts w:ascii="Times New Roman" w:hAnsi="Times New Roman"/>
          <w:i/>
          <w:kern w:val="2"/>
          <w:sz w:val="18"/>
          <w:szCs w:val="18"/>
          <w:lang w:eastAsia="ko-KR"/>
        </w:rPr>
        <w:t xml:space="preserve"> Marathwada University, Nanded</w:t>
      </w:r>
      <w:r w:rsidRPr="00EA408C">
        <w:rPr>
          <w:rFonts w:ascii="Times New Roman" w:hAnsi="Times New Roman"/>
          <w:i/>
          <w:kern w:val="2"/>
          <w:sz w:val="18"/>
          <w:szCs w:val="18"/>
          <w:lang w:eastAsia="ko-KR"/>
        </w:rPr>
        <w:t xml:space="preserve"> Maharashtra, India </w:t>
      </w:r>
      <w:r>
        <w:rPr>
          <w:rFonts w:ascii="Times New Roman" w:hAnsi="Times New Roman"/>
          <w:i/>
          <w:kern w:val="2"/>
          <w:sz w:val="18"/>
          <w:szCs w:val="18"/>
          <w:lang w:eastAsia="ko-KR"/>
        </w:rPr>
        <w:t>431606</w:t>
      </w:r>
      <w:r w:rsidRPr="00EA408C">
        <w:rPr>
          <w:rFonts w:ascii="Times New Roman" w:hAnsi="Times New Roman"/>
          <w:i/>
          <w:kern w:val="2"/>
          <w:sz w:val="18"/>
          <w:szCs w:val="18"/>
          <w:lang w:eastAsia="ko-KR"/>
        </w:rPr>
        <w:t xml:space="preserve"> </w:t>
      </w:r>
    </w:p>
    <w:p w:rsidR="006768E9" w:rsidRPr="00F447A7" w:rsidRDefault="006768E9" w:rsidP="00E34388">
      <w:pPr>
        <w:spacing w:after="0" w:line="240" w:lineRule="auto"/>
        <w:jc w:val="center"/>
        <w:rPr>
          <w:rFonts w:ascii="Times New Roman" w:hAnsi="Times New Roman"/>
          <w:noProof/>
          <w:sz w:val="18"/>
          <w:szCs w:val="18"/>
          <w:lang w:bidi="ar-SA"/>
        </w:rPr>
      </w:pPr>
    </w:p>
    <w:p w:rsidR="006768E9" w:rsidRPr="00F447A7" w:rsidRDefault="006768E9" w:rsidP="00E34388">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hyperlink r:id="rId11" w:history="1">
        <w:r w:rsidR="00E34388" w:rsidRPr="00455495">
          <w:rPr>
            <w:rFonts w:ascii="Times New Roman" w:hAnsi="Times New Roman"/>
            <w:i/>
            <w:sz w:val="18"/>
            <w:szCs w:val="18"/>
            <w:lang w:val="pt-BR"/>
          </w:rPr>
          <w:t>girijabhavar@gmail.com</w:t>
        </w:r>
      </w:hyperlink>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D76BB">
        <w:rPr>
          <w:rFonts w:ascii="Times New Roman" w:hAnsi="Times New Roman"/>
          <w:noProof/>
          <w:sz w:val="18"/>
          <w:szCs w:val="18"/>
          <w:lang w:bidi="ar-SA"/>
        </w:rPr>
        <w:t>12 July 2015</w:t>
      </w:r>
      <w:r>
        <w:rPr>
          <w:rFonts w:ascii="Times New Roman" w:hAnsi="Times New Roman"/>
          <w:noProof/>
          <w:sz w:val="18"/>
          <w:szCs w:val="18"/>
          <w:lang w:bidi="ar-SA"/>
        </w:rPr>
        <w:t xml:space="preserve">; Accepted: </w:t>
      </w:r>
      <w:r w:rsidR="00507490">
        <w:rPr>
          <w:rFonts w:ascii="Times New Roman" w:hAnsi="Times New Roman"/>
          <w:noProof/>
          <w:sz w:val="18"/>
          <w:szCs w:val="18"/>
          <w:lang w:bidi="ar-SA"/>
        </w:rPr>
        <w:t>8</w:t>
      </w:r>
      <w:r w:rsidR="003D76BB">
        <w:rPr>
          <w:rFonts w:ascii="Times New Roman" w:hAnsi="Times New Roman"/>
          <w:noProof/>
          <w:sz w:val="18"/>
          <w:szCs w:val="18"/>
          <w:lang w:bidi="ar-SA"/>
        </w:rPr>
        <w:t xml:space="preserve">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913929" w:rsidRPr="00913929" w:rsidRDefault="00913929" w:rsidP="00913929">
      <w:pPr>
        <w:widowControl w:val="0"/>
        <w:wordWrap w:val="0"/>
        <w:autoSpaceDE w:val="0"/>
        <w:autoSpaceDN w:val="0"/>
        <w:spacing w:after="0" w:line="240" w:lineRule="auto"/>
        <w:jc w:val="center"/>
        <w:outlineLvl w:val="0"/>
        <w:rPr>
          <w:rFonts w:ascii="Times New Roman" w:hAnsi="Times New Roman"/>
          <w:b/>
          <w:kern w:val="2"/>
          <w:sz w:val="18"/>
          <w:szCs w:val="18"/>
          <w:lang w:eastAsia="ko-KR"/>
        </w:rPr>
      </w:pPr>
      <w:r w:rsidRPr="00913929">
        <w:rPr>
          <w:rFonts w:ascii="Times New Roman" w:hAnsi="Times New Roman"/>
          <w:b/>
          <w:kern w:val="2"/>
          <w:sz w:val="18"/>
          <w:szCs w:val="18"/>
          <w:lang w:eastAsia="ko-KR"/>
        </w:rPr>
        <w:t>Abstract</w:t>
      </w:r>
    </w:p>
    <w:p w:rsidR="00E34388" w:rsidRPr="00455495" w:rsidRDefault="00E34388" w:rsidP="00E34388">
      <w:pPr>
        <w:widowControl w:val="0"/>
        <w:wordWrap w:val="0"/>
        <w:autoSpaceDE w:val="0"/>
        <w:autoSpaceDN w:val="0"/>
        <w:spacing w:after="0" w:line="240" w:lineRule="auto"/>
        <w:jc w:val="both"/>
        <w:outlineLvl w:val="0"/>
        <w:rPr>
          <w:rFonts w:ascii="Times New Roman" w:hAnsi="Times New Roman"/>
          <w:kern w:val="2"/>
          <w:sz w:val="18"/>
          <w:szCs w:val="18"/>
          <w:lang w:eastAsia="ko-KR"/>
        </w:rPr>
      </w:pPr>
      <w:r w:rsidRPr="00455495">
        <w:rPr>
          <w:rFonts w:ascii="Times New Roman" w:hAnsi="Times New Roman"/>
          <w:kern w:val="2"/>
          <w:sz w:val="18"/>
          <w:szCs w:val="18"/>
          <w:lang w:eastAsia="ko-KR"/>
        </w:rPr>
        <w:t xml:space="preserve">A simple, rapid, precise and accurate spectrophotometric method has been developed for quantitative analysis of Dolutegravir sodium in tablet formulations. The initial stock solution of Dolutegravir sodium was prepared in methanol solvent and subsequent dilution was done in water. The standard solution of Dolutegravir sodium in water showed maximum absorption at </w:t>
      </w:r>
      <w:r>
        <w:rPr>
          <w:rFonts w:ascii="Times New Roman" w:hAnsi="Times New Roman"/>
          <w:kern w:val="2"/>
          <w:sz w:val="18"/>
          <w:szCs w:val="18"/>
          <w:lang w:eastAsia="ko-KR"/>
        </w:rPr>
        <w:t xml:space="preserve">wavelength </w:t>
      </w:r>
      <w:r w:rsidRPr="00455495">
        <w:rPr>
          <w:rFonts w:ascii="Times New Roman" w:hAnsi="Times New Roman"/>
          <w:kern w:val="2"/>
          <w:sz w:val="18"/>
          <w:szCs w:val="18"/>
          <w:lang w:eastAsia="ko-KR"/>
        </w:rPr>
        <w:t>259.80 nm. The drug obeyed Beer–Lambert’s law in the concentration range of 5–40 μg/mL with coefficient of correlation (R</w:t>
      </w:r>
      <w:r w:rsidRPr="00F14DAB">
        <w:rPr>
          <w:rFonts w:ascii="Times New Roman" w:hAnsi="Times New Roman"/>
          <w:kern w:val="2"/>
          <w:sz w:val="18"/>
          <w:szCs w:val="18"/>
          <w:vertAlign w:val="superscript"/>
          <w:lang w:eastAsia="ko-KR"/>
        </w:rPr>
        <w:t>2</w:t>
      </w:r>
      <w:r w:rsidRPr="00455495">
        <w:rPr>
          <w:rFonts w:ascii="Times New Roman" w:hAnsi="Times New Roman"/>
          <w:kern w:val="2"/>
          <w:sz w:val="18"/>
          <w:szCs w:val="18"/>
          <w:lang w:eastAsia="ko-KR"/>
        </w:rPr>
        <w:t xml:space="preserve">) was 0.9992. The method was validated as per the ICH guidelines. The developed method can be adopted in routine analysis of </w:t>
      </w:r>
      <w:r>
        <w:rPr>
          <w:rFonts w:ascii="Times New Roman" w:hAnsi="Times New Roman"/>
          <w:kern w:val="2"/>
          <w:sz w:val="18"/>
          <w:szCs w:val="18"/>
          <w:lang w:eastAsia="ko-KR"/>
        </w:rPr>
        <w:t xml:space="preserve">Dolutegravir sodium in bulk or </w:t>
      </w:r>
      <w:r w:rsidRPr="00455495">
        <w:rPr>
          <w:rFonts w:ascii="Times New Roman" w:hAnsi="Times New Roman"/>
          <w:kern w:val="2"/>
          <w:sz w:val="18"/>
          <w:szCs w:val="18"/>
          <w:lang w:eastAsia="ko-KR"/>
        </w:rPr>
        <w:t>tablet dosage form and it involves relatively low cost solvents and no complex extraction techniques.</w:t>
      </w:r>
    </w:p>
    <w:p w:rsidR="00E34388" w:rsidRPr="00455495" w:rsidRDefault="00E34388" w:rsidP="00E34388">
      <w:pPr>
        <w:spacing w:after="0" w:line="240" w:lineRule="auto"/>
        <w:jc w:val="both"/>
        <w:rPr>
          <w:rFonts w:ascii="Times New Roman" w:hAnsi="Times New Roman"/>
          <w:sz w:val="18"/>
          <w:szCs w:val="18"/>
        </w:rPr>
      </w:pPr>
    </w:p>
    <w:p w:rsidR="00E34388" w:rsidRPr="00455495" w:rsidRDefault="00E34388" w:rsidP="00E34388">
      <w:pPr>
        <w:spacing w:after="0" w:line="240" w:lineRule="auto"/>
        <w:rPr>
          <w:rFonts w:ascii="Times New Roman" w:hAnsi="Times New Roman"/>
          <w:b/>
          <w:sz w:val="18"/>
          <w:szCs w:val="18"/>
        </w:rPr>
      </w:pPr>
      <w:r w:rsidRPr="00455495">
        <w:rPr>
          <w:rFonts w:ascii="Times New Roman" w:hAnsi="Times New Roman"/>
          <w:b/>
          <w:sz w:val="18"/>
          <w:szCs w:val="18"/>
        </w:rPr>
        <w:t>Keywords:</w:t>
      </w:r>
      <w:r>
        <w:rPr>
          <w:rFonts w:ascii="Times New Roman" w:hAnsi="Times New Roman"/>
          <w:sz w:val="18"/>
          <w:szCs w:val="18"/>
        </w:rPr>
        <w:t xml:space="preserve"> d</w:t>
      </w:r>
      <w:r w:rsidRPr="00455495">
        <w:rPr>
          <w:rFonts w:ascii="Times New Roman" w:hAnsi="Times New Roman"/>
          <w:sz w:val="18"/>
          <w:szCs w:val="18"/>
        </w:rPr>
        <w:t>olutegravir</w:t>
      </w:r>
      <w:r>
        <w:rPr>
          <w:rFonts w:ascii="Times New Roman" w:hAnsi="Times New Roman"/>
          <w:sz w:val="18"/>
          <w:szCs w:val="18"/>
        </w:rPr>
        <w:t xml:space="preserve"> sodium, UV spectrophotometry, validation, t</w:t>
      </w:r>
      <w:r w:rsidRPr="00455495">
        <w:rPr>
          <w:rFonts w:ascii="Times New Roman" w:hAnsi="Times New Roman"/>
          <w:sz w:val="18"/>
          <w:szCs w:val="18"/>
        </w:rPr>
        <w:t>ablets</w:t>
      </w:r>
    </w:p>
    <w:p w:rsidR="00DD377F" w:rsidRDefault="00DD377F" w:rsidP="00E34388">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E34388" w:rsidRPr="00F14DAB" w:rsidRDefault="00E34388" w:rsidP="00E34388">
      <w:pPr>
        <w:widowControl w:val="0"/>
        <w:wordWrap w:val="0"/>
        <w:autoSpaceDE w:val="0"/>
        <w:autoSpaceDN w:val="0"/>
        <w:spacing w:after="0" w:line="240" w:lineRule="auto"/>
        <w:jc w:val="both"/>
        <w:outlineLvl w:val="0"/>
        <w:rPr>
          <w:rFonts w:ascii="Times New Roman" w:hAnsi="Times New Roman"/>
          <w:kern w:val="2"/>
          <w:sz w:val="18"/>
          <w:szCs w:val="18"/>
          <w:lang w:eastAsia="ko-KR"/>
        </w:rPr>
      </w:pPr>
      <w:r w:rsidRPr="00F14DAB">
        <w:rPr>
          <w:rFonts w:ascii="Times New Roman" w:hAnsi="Times New Roman"/>
          <w:kern w:val="2"/>
          <w:sz w:val="18"/>
          <w:szCs w:val="18"/>
          <w:lang w:eastAsia="ko-KR"/>
        </w:rPr>
        <w:t>Satu kaedah spektrofotometri mudah, cepat, tepat dan jitu telah dibangunkan untuk analisis kuantitatif kandungan Dolutegravir sodium di dalam formulasi tablet. Larutan stok Dolutegravir sodium disediakan dalam pelarut methanol dan pencairan berikutnya dilakukan di dalam pelarut air. Larutan piawai Dolutegravir sodium di dalam air menunjukkan penyerapan maksimum pada jarak gelombang 259.80 nm. Ia  mematuhi hukum Beer - Lambert dalam julat kepekatan di antara 5 - 40 μg/mL dengan nilai pekali korelasi (R</w:t>
      </w:r>
      <w:r w:rsidRPr="00F14DAB">
        <w:rPr>
          <w:rFonts w:ascii="Times New Roman" w:hAnsi="Times New Roman"/>
          <w:kern w:val="2"/>
          <w:sz w:val="18"/>
          <w:szCs w:val="18"/>
          <w:vertAlign w:val="superscript"/>
          <w:lang w:eastAsia="ko-KR"/>
        </w:rPr>
        <w:t>2</w:t>
      </w:r>
      <w:r w:rsidRPr="00F14DAB">
        <w:rPr>
          <w:rFonts w:ascii="Times New Roman" w:hAnsi="Times New Roman"/>
          <w:kern w:val="2"/>
          <w:sz w:val="18"/>
          <w:szCs w:val="18"/>
          <w:lang w:eastAsia="ko-KR"/>
        </w:rPr>
        <w:t>) adalah 0.9992. Kaedah ini telah ditentusahkan mengikut garis panduan ICH. Kaedah ini boleh digunapakai dalam analisis rutin Dolutegravir sodium secara bentuk pukal atau juga dos tablet dan ia melibatkan pelarut kos yang rendah dan tidak memerlukan teknik pengekstrakan yang  kompleks.</w:t>
      </w:r>
    </w:p>
    <w:p w:rsidR="00E34388" w:rsidRPr="00F14DAB" w:rsidRDefault="00E34388" w:rsidP="00E34388">
      <w:pPr>
        <w:spacing w:after="0" w:line="240" w:lineRule="auto"/>
        <w:jc w:val="both"/>
        <w:rPr>
          <w:rFonts w:ascii="Times New Roman" w:hAnsi="Times New Roman"/>
          <w:sz w:val="18"/>
          <w:szCs w:val="18"/>
          <w:lang w:val="ms-MY"/>
        </w:rPr>
      </w:pPr>
    </w:p>
    <w:p w:rsidR="00E34388" w:rsidRPr="00F14DAB" w:rsidRDefault="00E34388" w:rsidP="00E34388">
      <w:pPr>
        <w:spacing w:after="0" w:line="240" w:lineRule="auto"/>
        <w:rPr>
          <w:rFonts w:ascii="Times New Roman" w:hAnsi="Times New Roman"/>
          <w:sz w:val="18"/>
          <w:szCs w:val="18"/>
        </w:rPr>
      </w:pPr>
      <w:r w:rsidRPr="00F14DAB">
        <w:rPr>
          <w:rFonts w:ascii="Times New Roman" w:hAnsi="Times New Roman"/>
          <w:b/>
          <w:sz w:val="18"/>
          <w:szCs w:val="18"/>
          <w:lang w:val="ms-MY"/>
        </w:rPr>
        <w:t>Kata kunci:</w:t>
      </w:r>
      <w:r>
        <w:rPr>
          <w:rFonts w:ascii="Times New Roman" w:hAnsi="Times New Roman"/>
          <w:sz w:val="18"/>
          <w:szCs w:val="18"/>
          <w:lang w:val="ms-MY"/>
        </w:rPr>
        <w:t xml:space="preserve"> dolutegravir sodium</w:t>
      </w:r>
      <w:r w:rsidRPr="00F14DAB">
        <w:rPr>
          <w:rFonts w:ascii="Times New Roman" w:hAnsi="Times New Roman"/>
          <w:sz w:val="18"/>
          <w:szCs w:val="18"/>
          <w:lang w:val="ms-MY"/>
        </w:rPr>
        <w:t xml:space="preserve">, </w:t>
      </w:r>
      <w:r>
        <w:rPr>
          <w:rFonts w:ascii="Times New Roman" w:hAnsi="Times New Roman"/>
          <w:sz w:val="18"/>
          <w:szCs w:val="18"/>
          <w:lang w:val="ms-MY"/>
        </w:rPr>
        <w:t>spektrofotometri UV, p</w:t>
      </w:r>
      <w:r w:rsidRPr="00F14DAB">
        <w:rPr>
          <w:rFonts w:ascii="Times New Roman" w:hAnsi="Times New Roman"/>
          <w:sz w:val="18"/>
          <w:szCs w:val="18"/>
          <w:lang w:val="ms-MY"/>
        </w:rPr>
        <w:t>engesahsahihan</w:t>
      </w:r>
      <w:r>
        <w:rPr>
          <w:rFonts w:ascii="Times New Roman" w:hAnsi="Times New Roman"/>
          <w:sz w:val="18"/>
          <w:szCs w:val="18"/>
          <w:lang w:val="ms-MY"/>
        </w:rPr>
        <w:t>, t</w:t>
      </w:r>
      <w:r w:rsidRPr="00F14DAB">
        <w:rPr>
          <w:rFonts w:ascii="Times New Roman" w:hAnsi="Times New Roman"/>
          <w:sz w:val="18"/>
          <w:szCs w:val="18"/>
          <w:lang w:val="ms-MY"/>
        </w:rPr>
        <w:t>ablet</w:t>
      </w:r>
    </w:p>
    <w:p w:rsidR="006768E9" w:rsidRDefault="006768E9" w:rsidP="00E34388">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E34388" w:rsidRDefault="00E34388" w:rsidP="00E34388">
      <w:pPr>
        <w:widowControl w:val="0"/>
        <w:wordWrap w:val="0"/>
        <w:autoSpaceDE w:val="0"/>
        <w:autoSpaceDN w:val="0"/>
        <w:spacing w:after="0" w:line="240" w:lineRule="auto"/>
        <w:jc w:val="both"/>
        <w:outlineLvl w:val="0"/>
        <w:rPr>
          <w:rFonts w:ascii="Times New Roman" w:hAnsi="Times New Roman"/>
          <w:kern w:val="2"/>
          <w:sz w:val="20"/>
          <w:szCs w:val="20"/>
          <w:lang w:eastAsia="ko-KR"/>
        </w:rPr>
      </w:pPr>
      <w:r w:rsidRPr="003656A9">
        <w:rPr>
          <w:rFonts w:ascii="Times New Roman" w:hAnsi="Times New Roman"/>
          <w:kern w:val="2"/>
          <w:sz w:val="20"/>
          <w:szCs w:val="20"/>
          <w:lang w:eastAsia="ko-KR"/>
        </w:rPr>
        <w:t xml:space="preserve">Dolutegravir sodium or formula name known as (4R,12aS)-9-{[(2,4-difluorophenyl)methyl]carbamoyl} -4-methyl-6,8-dioxo-3,4,6,8,12,12a- Hexahydro-2H-pyrido [1',2':4,5]pyrazino[2,1-b] [1,3]oxazin-7-olate, is a novel integrase </w:t>
      </w:r>
      <w:r w:rsidRPr="003656A9">
        <w:rPr>
          <w:rFonts w:ascii="Times New Roman" w:hAnsi="Times New Roman"/>
          <w:kern w:val="2"/>
          <w:sz w:val="20"/>
          <w:szCs w:val="20"/>
          <w:lang w:eastAsia="ko-KR"/>
        </w:rPr>
        <w:lastRenderedPageBreak/>
        <w:t>stand transfer inhibitor active against Human Immunodeficiency Virus. Dolutegravir (DTG) is active against HIV type 1 (HIV-1) and also has some in vitro activity against HIV type 2 (HIV-2) [1-3]. DTG is a prescription medicine approved by the U.S. Food and Drug Administration (FDA) for the treatment of HIV infection in adults and children 12 years of age and older and weighing at least 40 kilograms. DTG is always used in combination with other HIV medicines [4]. It is a discovery of the second-generation integrase stand transfer inhibitor as a result of the collaborative efforts of scientists working for Shionogi (Japan) and GlaxoSmithKline (UK) [5]</w:t>
      </w:r>
      <w:r>
        <w:rPr>
          <w:rFonts w:ascii="Times New Roman" w:hAnsi="Times New Roman"/>
          <w:kern w:val="2"/>
          <w:sz w:val="20"/>
          <w:szCs w:val="20"/>
          <w:lang w:eastAsia="ko-KR"/>
        </w:rPr>
        <w:t>.</w:t>
      </w:r>
    </w:p>
    <w:p w:rsidR="00E34388" w:rsidRDefault="00E34388" w:rsidP="00E34388">
      <w:pPr>
        <w:widowControl w:val="0"/>
        <w:wordWrap w:val="0"/>
        <w:autoSpaceDE w:val="0"/>
        <w:autoSpaceDN w:val="0"/>
        <w:spacing w:after="0" w:line="240" w:lineRule="auto"/>
        <w:jc w:val="both"/>
        <w:outlineLvl w:val="0"/>
        <w:rPr>
          <w:rFonts w:ascii="Times New Roman" w:hAnsi="Times New Roman"/>
          <w:kern w:val="2"/>
          <w:sz w:val="20"/>
          <w:szCs w:val="20"/>
          <w:lang w:eastAsia="ko-KR"/>
        </w:rPr>
      </w:pPr>
    </w:p>
    <w:p w:rsidR="00E34388" w:rsidRPr="003656A9" w:rsidRDefault="00E34388" w:rsidP="00E34388">
      <w:pPr>
        <w:widowControl w:val="0"/>
        <w:wordWrap w:val="0"/>
        <w:autoSpaceDE w:val="0"/>
        <w:autoSpaceDN w:val="0"/>
        <w:spacing w:after="0" w:line="240" w:lineRule="auto"/>
        <w:jc w:val="both"/>
        <w:outlineLvl w:val="0"/>
        <w:rPr>
          <w:rFonts w:ascii="Times New Roman" w:hAnsi="Times New Roman"/>
          <w:kern w:val="2"/>
          <w:sz w:val="20"/>
          <w:szCs w:val="20"/>
          <w:lang w:eastAsia="ko-KR"/>
        </w:rPr>
      </w:pPr>
      <w:r w:rsidRPr="003656A9">
        <w:rPr>
          <w:rFonts w:ascii="Times New Roman" w:hAnsi="Times New Roman"/>
          <w:kern w:val="2"/>
          <w:sz w:val="20"/>
          <w:szCs w:val="20"/>
          <w:lang w:eastAsia="ko-KR"/>
        </w:rPr>
        <w:t xml:space="preserve">Dolutegravir sodium is a white to light yellow powder and is slightly soluble in water. DTG is rapidly absorbed after oral administration. Its low apparent clearance and oral terminal half-life of approximately 13–15 h in healthy volunteers </w:t>
      </w:r>
      <w:hyperlink r:id="rId12" w:history="1">
        <w:r w:rsidRPr="003656A9">
          <w:rPr>
            <w:rFonts w:ascii="Times New Roman" w:hAnsi="Times New Roman"/>
            <w:kern w:val="2"/>
            <w:sz w:val="20"/>
            <w:szCs w:val="20"/>
            <w:lang w:eastAsia="ko-KR"/>
          </w:rPr>
          <w:t>[3]</w:t>
        </w:r>
      </w:hyperlink>
      <w:r w:rsidRPr="003656A9">
        <w:rPr>
          <w:rFonts w:ascii="Times New Roman" w:hAnsi="Times New Roman"/>
          <w:kern w:val="2"/>
          <w:sz w:val="20"/>
          <w:szCs w:val="20"/>
          <w:lang w:eastAsia="ko-KR"/>
        </w:rPr>
        <w:t xml:space="preserve"> and 11–12 h in HIV-positive adults </w:t>
      </w:r>
      <w:hyperlink r:id="rId13" w:history="1">
        <w:r w:rsidRPr="003656A9">
          <w:rPr>
            <w:rFonts w:ascii="Times New Roman" w:hAnsi="Times New Roman"/>
            <w:kern w:val="2"/>
            <w:sz w:val="20"/>
            <w:szCs w:val="20"/>
            <w:lang w:eastAsia="ko-KR"/>
          </w:rPr>
          <w:t>[6]</w:t>
        </w:r>
      </w:hyperlink>
      <w:r w:rsidRPr="003656A9">
        <w:rPr>
          <w:rFonts w:ascii="Times New Roman" w:hAnsi="Times New Roman"/>
          <w:kern w:val="2"/>
          <w:sz w:val="20"/>
          <w:szCs w:val="20"/>
          <w:lang w:eastAsia="ko-KR"/>
        </w:rPr>
        <w:t> supports once-daily dosing without the need for a boosting agent. In total, 34% of the DTG dose is absorbed and excreted with the feces and urine; another 33</w:t>
      </w:r>
      <w:r>
        <w:rPr>
          <w:rFonts w:ascii="Times New Roman" w:hAnsi="Times New Roman"/>
          <w:kern w:val="2"/>
          <w:sz w:val="20"/>
          <w:szCs w:val="20"/>
          <w:lang w:eastAsia="ko-KR"/>
        </w:rPr>
        <w:t xml:space="preserve"> </w:t>
      </w:r>
      <w:r w:rsidRPr="003656A9">
        <w:rPr>
          <w:rFonts w:ascii="Times New Roman" w:hAnsi="Times New Roman"/>
          <w:kern w:val="2"/>
          <w:sz w:val="20"/>
          <w:szCs w:val="20"/>
          <w:lang w:eastAsia="ko-KR"/>
        </w:rPr>
        <w:t>–</w:t>
      </w:r>
      <w:r>
        <w:rPr>
          <w:rFonts w:ascii="Times New Roman" w:hAnsi="Times New Roman"/>
          <w:kern w:val="2"/>
          <w:sz w:val="20"/>
          <w:szCs w:val="20"/>
          <w:lang w:eastAsia="ko-KR"/>
        </w:rPr>
        <w:t xml:space="preserve"> </w:t>
      </w:r>
      <w:r w:rsidRPr="003656A9">
        <w:rPr>
          <w:rFonts w:ascii="Times New Roman" w:hAnsi="Times New Roman"/>
          <w:kern w:val="2"/>
          <w:sz w:val="20"/>
          <w:szCs w:val="20"/>
          <w:lang w:eastAsia="ko-KR"/>
        </w:rPr>
        <w:t>48% is involved in enterohepatic recirculation; and a further portion is secreted in bile [7, 8].</w:t>
      </w:r>
    </w:p>
    <w:p w:rsidR="00E34388" w:rsidRPr="00783B22" w:rsidRDefault="00E34388" w:rsidP="00E34388">
      <w:pPr>
        <w:widowControl w:val="0"/>
        <w:wordWrap w:val="0"/>
        <w:autoSpaceDE w:val="0"/>
        <w:autoSpaceDN w:val="0"/>
        <w:spacing w:after="0" w:line="240" w:lineRule="auto"/>
        <w:jc w:val="both"/>
        <w:outlineLvl w:val="0"/>
        <w:rPr>
          <w:rFonts w:ascii="Times New Roman" w:hAnsi="Times New Roman"/>
          <w:kern w:val="2"/>
          <w:sz w:val="20"/>
          <w:szCs w:val="20"/>
          <w:lang w:eastAsia="ko-KR"/>
        </w:rPr>
      </w:pPr>
    </w:p>
    <w:p w:rsidR="00E34388" w:rsidRDefault="00E34388" w:rsidP="00E34388">
      <w:pPr>
        <w:spacing w:after="0" w:line="240" w:lineRule="auto"/>
        <w:jc w:val="both"/>
        <w:rPr>
          <w:rFonts w:ascii="Times New Roman" w:hAnsi="Times New Roman"/>
          <w:sz w:val="20"/>
          <w:szCs w:val="20"/>
        </w:rPr>
      </w:pPr>
      <w:r w:rsidRPr="00456D9A">
        <w:rPr>
          <w:rFonts w:ascii="Times New Roman" w:hAnsi="Times New Roman"/>
          <w:color w:val="000000"/>
          <w:sz w:val="20"/>
          <w:szCs w:val="20"/>
        </w:rPr>
        <w:t>The literature review revealed a liquid chromatography–tandem mass spectrometry method [</w:t>
      </w:r>
      <w:r>
        <w:rPr>
          <w:rFonts w:ascii="Times New Roman" w:hAnsi="Times New Roman"/>
          <w:color w:val="000000"/>
          <w:sz w:val="20"/>
          <w:szCs w:val="20"/>
        </w:rPr>
        <w:t>9</w:t>
      </w:r>
      <w:r w:rsidRPr="00456D9A">
        <w:rPr>
          <w:rFonts w:ascii="Times New Roman" w:hAnsi="Times New Roman"/>
          <w:color w:val="000000"/>
          <w:sz w:val="20"/>
          <w:szCs w:val="20"/>
        </w:rPr>
        <w:t xml:space="preserve">] and </w:t>
      </w:r>
      <w:r>
        <w:rPr>
          <w:rFonts w:ascii="Times New Roman" w:hAnsi="Times New Roman"/>
          <w:color w:val="000000"/>
          <w:sz w:val="20"/>
          <w:szCs w:val="20"/>
        </w:rPr>
        <w:t>a sensitive HPLC–MS/MS method [10</w:t>
      </w:r>
      <w:r w:rsidRPr="00456D9A">
        <w:rPr>
          <w:rFonts w:ascii="Times New Roman" w:hAnsi="Times New Roman"/>
          <w:color w:val="000000"/>
          <w:sz w:val="20"/>
          <w:szCs w:val="20"/>
        </w:rPr>
        <w:t xml:space="preserve">] for estimation of </w:t>
      </w:r>
      <w:r>
        <w:rPr>
          <w:rFonts w:ascii="Times New Roman" w:hAnsi="Times New Roman"/>
          <w:color w:val="000000"/>
          <w:sz w:val="20"/>
          <w:szCs w:val="20"/>
        </w:rPr>
        <w:t>DTG</w:t>
      </w:r>
      <w:r w:rsidRPr="00456D9A">
        <w:rPr>
          <w:rFonts w:ascii="Times New Roman" w:hAnsi="Times New Roman"/>
          <w:color w:val="000000"/>
          <w:sz w:val="20"/>
          <w:szCs w:val="20"/>
        </w:rPr>
        <w:t xml:space="preserve"> in human blood plasma</w:t>
      </w:r>
      <w:r>
        <w:rPr>
          <w:rFonts w:ascii="Times New Roman" w:hAnsi="Times New Roman"/>
          <w:color w:val="000000"/>
          <w:sz w:val="20"/>
          <w:szCs w:val="20"/>
        </w:rPr>
        <w:t xml:space="preserve"> has been carried out</w:t>
      </w:r>
      <w:r w:rsidRPr="00456D9A">
        <w:rPr>
          <w:rFonts w:ascii="Times New Roman" w:hAnsi="Times New Roman"/>
          <w:color w:val="000000"/>
          <w:sz w:val="20"/>
          <w:szCs w:val="20"/>
        </w:rPr>
        <w:t xml:space="preserve">. There is no </w:t>
      </w:r>
      <w:r>
        <w:rPr>
          <w:rFonts w:ascii="Times New Roman" w:hAnsi="Times New Roman"/>
          <w:color w:val="000000"/>
          <w:sz w:val="20"/>
          <w:szCs w:val="20"/>
        </w:rPr>
        <w:t>UV spectrophotometric</w:t>
      </w:r>
      <w:r w:rsidRPr="00456D9A">
        <w:rPr>
          <w:rFonts w:ascii="Times New Roman" w:hAnsi="Times New Roman"/>
          <w:color w:val="000000"/>
          <w:sz w:val="20"/>
          <w:szCs w:val="20"/>
        </w:rPr>
        <w:t xml:space="preserve"> method is available for quantitative determination of Dolutegravir in tablet formulation. Further, no official or draft monograph of Dolutegravir sodium was published in any of the pharmacopoeia for compendia applications.</w:t>
      </w:r>
      <w:r w:rsidRPr="00456D9A">
        <w:rPr>
          <w:rFonts w:ascii="Times New Roman" w:hAnsi="Times New Roman"/>
          <w:sz w:val="20"/>
          <w:szCs w:val="20"/>
        </w:rPr>
        <w:t xml:space="preserve"> </w:t>
      </w:r>
    </w:p>
    <w:p w:rsidR="00E34388" w:rsidRDefault="00E34388" w:rsidP="00E34388">
      <w:pPr>
        <w:spacing w:after="0" w:line="240" w:lineRule="auto"/>
        <w:jc w:val="both"/>
        <w:rPr>
          <w:rFonts w:ascii="Times New Roman" w:hAnsi="Times New Roman"/>
          <w:sz w:val="20"/>
          <w:szCs w:val="20"/>
        </w:rPr>
      </w:pPr>
    </w:p>
    <w:p w:rsidR="00E34388" w:rsidRPr="00456D9A" w:rsidRDefault="00E34388" w:rsidP="00E34388">
      <w:pPr>
        <w:spacing w:after="0" w:line="240" w:lineRule="auto"/>
        <w:jc w:val="both"/>
        <w:rPr>
          <w:rFonts w:ascii="Times New Roman" w:hAnsi="Times New Roman"/>
          <w:sz w:val="20"/>
          <w:szCs w:val="20"/>
        </w:rPr>
      </w:pPr>
    </w:p>
    <w:p w:rsidR="00E34388" w:rsidRDefault="00E34388" w:rsidP="00E34388">
      <w:pPr>
        <w:spacing w:after="0" w:line="240" w:lineRule="auto"/>
        <w:jc w:val="center"/>
        <w:rPr>
          <w:rFonts w:ascii="Times New Roman" w:hAnsi="Times New Roman"/>
          <w:b/>
          <w:sz w:val="20"/>
          <w:szCs w:val="20"/>
        </w:rPr>
      </w:pPr>
      <w:r w:rsidRPr="00456D9A">
        <w:rPr>
          <w:rFonts w:ascii="Times New Roman" w:hAnsi="Times New Roman"/>
          <w:b/>
          <w:noProof/>
          <w:sz w:val="20"/>
          <w:szCs w:val="20"/>
          <w:lang w:val="en-GB" w:eastAsia="ko-KR" w:bidi="ar-SA"/>
        </w:rPr>
        <w:drawing>
          <wp:anchor distT="0" distB="0" distL="114300" distR="114300" simplePos="0" relativeHeight="251660800" behindDoc="0" locked="0" layoutInCell="1" allowOverlap="1" wp14:anchorId="3EDE2A2D" wp14:editId="6C04D996">
            <wp:simplePos x="0" y="0"/>
            <wp:positionH relativeFrom="column">
              <wp:posOffset>1219200</wp:posOffset>
            </wp:positionH>
            <wp:positionV relativeFrom="paragraph">
              <wp:posOffset>19685</wp:posOffset>
            </wp:positionV>
            <wp:extent cx="3317240" cy="1619250"/>
            <wp:effectExtent l="19050" t="19050" r="0" b="0"/>
            <wp:wrapSquare wrapText="bothSides"/>
            <wp:docPr id="7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7240" cy="1619250"/>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E34388" w:rsidRDefault="00E34388" w:rsidP="00E34388">
      <w:pPr>
        <w:spacing w:after="0" w:line="240" w:lineRule="auto"/>
        <w:jc w:val="center"/>
        <w:rPr>
          <w:rFonts w:ascii="Times New Roman" w:hAnsi="Times New Roman"/>
          <w:sz w:val="20"/>
          <w:szCs w:val="20"/>
        </w:rPr>
      </w:pPr>
    </w:p>
    <w:p w:rsidR="00E34388" w:rsidRDefault="00E34388" w:rsidP="00E34388">
      <w:pPr>
        <w:spacing w:after="0" w:line="240" w:lineRule="auto"/>
        <w:jc w:val="center"/>
        <w:rPr>
          <w:rFonts w:ascii="Times New Roman" w:hAnsi="Times New Roman"/>
          <w:sz w:val="20"/>
          <w:szCs w:val="20"/>
        </w:rPr>
      </w:pPr>
    </w:p>
    <w:p w:rsidR="00E34388" w:rsidRDefault="00E34388" w:rsidP="00E34388">
      <w:pPr>
        <w:spacing w:after="0" w:line="240" w:lineRule="auto"/>
        <w:jc w:val="center"/>
        <w:rPr>
          <w:rFonts w:ascii="Times New Roman" w:hAnsi="Times New Roman"/>
          <w:sz w:val="20"/>
          <w:szCs w:val="20"/>
        </w:rPr>
      </w:pPr>
    </w:p>
    <w:p w:rsidR="00E34388" w:rsidRDefault="00E34388" w:rsidP="00E34388">
      <w:pPr>
        <w:spacing w:after="0" w:line="240" w:lineRule="auto"/>
        <w:jc w:val="center"/>
        <w:rPr>
          <w:rFonts w:ascii="Times New Roman" w:hAnsi="Times New Roman"/>
          <w:sz w:val="20"/>
          <w:szCs w:val="20"/>
        </w:rPr>
      </w:pPr>
    </w:p>
    <w:p w:rsidR="00E34388" w:rsidRDefault="00E34388" w:rsidP="00E34388">
      <w:pPr>
        <w:spacing w:after="0" w:line="240" w:lineRule="auto"/>
        <w:jc w:val="center"/>
        <w:rPr>
          <w:rFonts w:ascii="Times New Roman" w:hAnsi="Times New Roman"/>
          <w:sz w:val="20"/>
          <w:szCs w:val="20"/>
        </w:rPr>
      </w:pPr>
    </w:p>
    <w:p w:rsidR="00E34388" w:rsidRDefault="00E34388" w:rsidP="00E34388">
      <w:pPr>
        <w:spacing w:after="0" w:line="240" w:lineRule="auto"/>
        <w:jc w:val="center"/>
        <w:rPr>
          <w:rFonts w:ascii="Times New Roman" w:hAnsi="Times New Roman"/>
          <w:sz w:val="20"/>
          <w:szCs w:val="20"/>
        </w:rPr>
      </w:pPr>
    </w:p>
    <w:p w:rsidR="00E34388" w:rsidRDefault="00E34388" w:rsidP="00E34388">
      <w:pPr>
        <w:spacing w:after="0" w:line="240" w:lineRule="auto"/>
        <w:jc w:val="center"/>
        <w:rPr>
          <w:rFonts w:ascii="Times New Roman" w:hAnsi="Times New Roman"/>
          <w:sz w:val="20"/>
          <w:szCs w:val="20"/>
        </w:rPr>
      </w:pPr>
    </w:p>
    <w:p w:rsidR="00E34388" w:rsidRDefault="00E34388" w:rsidP="00E34388">
      <w:pPr>
        <w:spacing w:after="0" w:line="240" w:lineRule="auto"/>
        <w:jc w:val="center"/>
        <w:rPr>
          <w:rFonts w:ascii="Times New Roman" w:hAnsi="Times New Roman"/>
          <w:sz w:val="20"/>
          <w:szCs w:val="20"/>
        </w:rPr>
      </w:pPr>
    </w:p>
    <w:p w:rsidR="00E34388" w:rsidRDefault="00E34388" w:rsidP="00E34388">
      <w:pPr>
        <w:spacing w:after="0" w:line="240" w:lineRule="auto"/>
        <w:jc w:val="center"/>
        <w:rPr>
          <w:rFonts w:ascii="Times New Roman" w:hAnsi="Times New Roman"/>
          <w:sz w:val="20"/>
          <w:szCs w:val="20"/>
        </w:rPr>
      </w:pPr>
    </w:p>
    <w:p w:rsidR="00E34388" w:rsidRDefault="00E34388" w:rsidP="00E34388">
      <w:pPr>
        <w:spacing w:after="0" w:line="240" w:lineRule="auto"/>
        <w:jc w:val="center"/>
        <w:rPr>
          <w:rFonts w:ascii="Times New Roman" w:hAnsi="Times New Roman"/>
          <w:sz w:val="20"/>
          <w:szCs w:val="20"/>
        </w:rPr>
      </w:pPr>
    </w:p>
    <w:p w:rsidR="00E34388" w:rsidRDefault="00E34388" w:rsidP="00E34388">
      <w:pPr>
        <w:spacing w:after="0" w:line="240" w:lineRule="auto"/>
        <w:jc w:val="center"/>
        <w:rPr>
          <w:rFonts w:ascii="Times New Roman" w:hAnsi="Times New Roman"/>
          <w:sz w:val="20"/>
          <w:szCs w:val="20"/>
        </w:rPr>
      </w:pPr>
    </w:p>
    <w:p w:rsidR="00E34388" w:rsidRPr="003656A9" w:rsidRDefault="00E34388" w:rsidP="00E34388">
      <w:pPr>
        <w:spacing w:after="0" w:line="240" w:lineRule="auto"/>
        <w:jc w:val="center"/>
        <w:rPr>
          <w:rFonts w:ascii="Times New Roman" w:hAnsi="Times New Roman"/>
          <w:sz w:val="20"/>
          <w:szCs w:val="20"/>
        </w:rPr>
      </w:pPr>
      <w:r w:rsidRPr="003656A9">
        <w:rPr>
          <w:rFonts w:ascii="Times New Roman" w:hAnsi="Times New Roman"/>
          <w:sz w:val="20"/>
          <w:szCs w:val="20"/>
        </w:rPr>
        <w:t xml:space="preserve">Figure 1. </w:t>
      </w:r>
      <w:r>
        <w:rPr>
          <w:rFonts w:ascii="Times New Roman" w:hAnsi="Times New Roman"/>
          <w:sz w:val="20"/>
          <w:szCs w:val="20"/>
        </w:rPr>
        <w:t xml:space="preserve"> </w:t>
      </w:r>
      <w:r w:rsidRPr="003656A9">
        <w:rPr>
          <w:rFonts w:ascii="Times New Roman" w:hAnsi="Times New Roman"/>
          <w:sz w:val="20"/>
          <w:szCs w:val="20"/>
        </w:rPr>
        <w:t>Chemical Structure of DTG</w:t>
      </w:r>
    </w:p>
    <w:p w:rsidR="00E34388" w:rsidRDefault="00E34388" w:rsidP="00E34388">
      <w:pPr>
        <w:spacing w:after="0" w:line="240" w:lineRule="auto"/>
        <w:jc w:val="both"/>
        <w:rPr>
          <w:rFonts w:ascii="Times New Roman" w:eastAsiaTheme="minorHAnsi" w:hAnsi="Times New Roman"/>
          <w:b/>
          <w:sz w:val="20"/>
          <w:szCs w:val="20"/>
        </w:rPr>
      </w:pPr>
    </w:p>
    <w:p w:rsidR="00E34388" w:rsidRPr="00456D9A" w:rsidRDefault="00E34388" w:rsidP="00E34388">
      <w:pPr>
        <w:spacing w:after="0" w:line="240" w:lineRule="auto"/>
        <w:jc w:val="both"/>
        <w:rPr>
          <w:rFonts w:ascii="Times New Roman" w:eastAsiaTheme="minorHAnsi" w:hAnsi="Times New Roman"/>
          <w:b/>
          <w:sz w:val="20"/>
          <w:szCs w:val="20"/>
        </w:rPr>
      </w:pPr>
    </w:p>
    <w:p w:rsidR="00E34388" w:rsidRPr="00456D9A" w:rsidRDefault="00E34388" w:rsidP="00E34388">
      <w:pPr>
        <w:spacing w:after="0" w:line="240" w:lineRule="auto"/>
        <w:jc w:val="both"/>
        <w:rPr>
          <w:rFonts w:ascii="Times New Roman" w:hAnsi="Times New Roman"/>
          <w:sz w:val="20"/>
          <w:szCs w:val="20"/>
        </w:rPr>
      </w:pPr>
      <w:r w:rsidRPr="00456D9A">
        <w:rPr>
          <w:rFonts w:ascii="Times New Roman" w:eastAsiaTheme="minorHAnsi" w:hAnsi="Times New Roman"/>
          <w:sz w:val="20"/>
          <w:szCs w:val="20"/>
        </w:rPr>
        <w:t xml:space="preserve">The present work </w:t>
      </w:r>
      <w:r w:rsidRPr="00456D9A">
        <w:rPr>
          <w:rFonts w:ascii="Times New Roman" w:hAnsi="Times New Roman"/>
          <w:sz w:val="20"/>
          <w:szCs w:val="20"/>
        </w:rPr>
        <w:t xml:space="preserve">deals with the development of UV spectrophotometric method and its validation as per International Conference on Harmonisation (ICH) </w:t>
      </w:r>
      <w:r w:rsidRPr="00456D9A">
        <w:rPr>
          <w:rFonts w:ascii="Times New Roman" w:hAnsi="Times New Roman"/>
          <w:color w:val="000000"/>
          <w:sz w:val="20"/>
          <w:szCs w:val="20"/>
        </w:rPr>
        <w:t>guidelines</w:t>
      </w:r>
      <w:r>
        <w:rPr>
          <w:rFonts w:ascii="Times New Roman" w:hAnsi="Times New Roman"/>
          <w:color w:val="000000"/>
          <w:sz w:val="20"/>
          <w:szCs w:val="20"/>
        </w:rPr>
        <w:t xml:space="preserve"> [11-13]</w:t>
      </w:r>
      <w:r w:rsidRPr="00456D9A">
        <w:rPr>
          <w:rFonts w:ascii="Times New Roman" w:hAnsi="Times New Roman"/>
          <w:color w:val="000000"/>
          <w:sz w:val="20"/>
          <w:szCs w:val="20"/>
        </w:rPr>
        <w:t xml:space="preserve">. The developed method </w:t>
      </w:r>
      <w:r w:rsidRPr="00456D9A">
        <w:rPr>
          <w:rFonts w:ascii="Times New Roman" w:hAnsi="Times New Roman"/>
          <w:sz w:val="20"/>
          <w:szCs w:val="20"/>
        </w:rPr>
        <w:t>can be adopted in routine analysis of Dolutegravir sodium in bulk and tablet dosage form and it involves relatively low cost solvents and no complex extraction techniques.</w:t>
      </w:r>
    </w:p>
    <w:p w:rsidR="006768E9" w:rsidRPr="00F447A7" w:rsidRDefault="006768E9" w:rsidP="00E3438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E34388" w:rsidRPr="00A8045A" w:rsidRDefault="00E34388" w:rsidP="00E34388">
      <w:pPr>
        <w:spacing w:after="0" w:line="240" w:lineRule="auto"/>
        <w:jc w:val="both"/>
        <w:rPr>
          <w:rFonts w:ascii="Times New Roman" w:hAnsi="Times New Roman"/>
          <w:b/>
          <w:color w:val="000000"/>
          <w:sz w:val="20"/>
          <w:szCs w:val="20"/>
        </w:rPr>
      </w:pPr>
      <w:r w:rsidRPr="00A8045A">
        <w:rPr>
          <w:rFonts w:ascii="Times New Roman" w:hAnsi="Times New Roman"/>
          <w:b/>
          <w:color w:val="000000"/>
          <w:sz w:val="20"/>
          <w:szCs w:val="20"/>
        </w:rPr>
        <w:t xml:space="preserve">Materials and </w:t>
      </w:r>
      <w:r>
        <w:rPr>
          <w:rFonts w:ascii="Times New Roman" w:hAnsi="Times New Roman"/>
          <w:b/>
          <w:color w:val="000000"/>
          <w:sz w:val="20"/>
          <w:szCs w:val="20"/>
        </w:rPr>
        <w:t>R</w:t>
      </w:r>
      <w:r w:rsidRPr="00A8045A">
        <w:rPr>
          <w:rFonts w:ascii="Times New Roman" w:hAnsi="Times New Roman"/>
          <w:b/>
          <w:color w:val="000000"/>
          <w:sz w:val="20"/>
          <w:szCs w:val="20"/>
        </w:rPr>
        <w:t>eagents</w:t>
      </w:r>
    </w:p>
    <w:p w:rsidR="00E34388" w:rsidRPr="00456D9A" w:rsidRDefault="00E34388" w:rsidP="00E34388">
      <w:pPr>
        <w:spacing w:after="0" w:line="240" w:lineRule="auto"/>
        <w:jc w:val="both"/>
        <w:rPr>
          <w:rFonts w:ascii="Times New Roman" w:hAnsi="Times New Roman"/>
          <w:color w:val="000000"/>
          <w:sz w:val="20"/>
          <w:szCs w:val="20"/>
        </w:rPr>
      </w:pPr>
      <w:r w:rsidRPr="00456D9A">
        <w:rPr>
          <w:rFonts w:ascii="Times New Roman" w:hAnsi="Times New Roman"/>
          <w:color w:val="000000"/>
          <w:sz w:val="20"/>
          <w:szCs w:val="20"/>
        </w:rPr>
        <w:t xml:space="preserve">Dolutegravir </w:t>
      </w:r>
      <w:r>
        <w:rPr>
          <w:rFonts w:ascii="Times New Roman" w:hAnsi="Times New Roman"/>
          <w:color w:val="000000"/>
          <w:sz w:val="20"/>
          <w:szCs w:val="20"/>
        </w:rPr>
        <w:t>s</w:t>
      </w:r>
      <w:r w:rsidRPr="00456D9A">
        <w:rPr>
          <w:rFonts w:ascii="Times New Roman" w:hAnsi="Times New Roman"/>
          <w:color w:val="000000"/>
          <w:sz w:val="20"/>
          <w:szCs w:val="20"/>
        </w:rPr>
        <w:t xml:space="preserve">odium bulk drug was obtained from Mylan Labs Ltd, (Hyderabad, India), the commercially tablets of Dolutegravir </w:t>
      </w:r>
      <w:r>
        <w:rPr>
          <w:rFonts w:ascii="Times New Roman" w:hAnsi="Times New Roman"/>
          <w:color w:val="000000"/>
          <w:sz w:val="20"/>
          <w:szCs w:val="20"/>
        </w:rPr>
        <w:t>s</w:t>
      </w:r>
      <w:r w:rsidRPr="00456D9A">
        <w:rPr>
          <w:rFonts w:ascii="Times New Roman" w:hAnsi="Times New Roman"/>
          <w:color w:val="000000"/>
          <w:sz w:val="20"/>
          <w:szCs w:val="20"/>
        </w:rPr>
        <w:t xml:space="preserve">odium were not available in Indian market; hence we have manufactured immediate release tablet containing </w:t>
      </w:r>
      <w:r>
        <w:rPr>
          <w:rFonts w:ascii="Times New Roman" w:hAnsi="Times New Roman"/>
          <w:color w:val="000000"/>
          <w:sz w:val="20"/>
          <w:szCs w:val="20"/>
        </w:rPr>
        <w:t>D</w:t>
      </w:r>
      <w:r w:rsidRPr="00456D9A">
        <w:rPr>
          <w:rFonts w:ascii="Times New Roman" w:hAnsi="Times New Roman"/>
          <w:color w:val="000000"/>
          <w:sz w:val="20"/>
          <w:szCs w:val="20"/>
        </w:rPr>
        <w:t xml:space="preserve">olutegravir sodium equivalent to 50 mg </w:t>
      </w:r>
      <w:r>
        <w:rPr>
          <w:rFonts w:ascii="Times New Roman" w:hAnsi="Times New Roman"/>
          <w:color w:val="000000"/>
          <w:sz w:val="20"/>
          <w:szCs w:val="20"/>
        </w:rPr>
        <w:t>DTG</w:t>
      </w:r>
      <w:r w:rsidRPr="00456D9A">
        <w:rPr>
          <w:rFonts w:ascii="Times New Roman" w:hAnsi="Times New Roman"/>
          <w:color w:val="000000"/>
          <w:sz w:val="20"/>
          <w:szCs w:val="20"/>
        </w:rPr>
        <w:t xml:space="preserve"> as per cGMP guidelines.</w:t>
      </w:r>
      <w:r w:rsidRPr="007E6526">
        <w:rPr>
          <w:rFonts w:ascii="Arial" w:hAnsi="Arial" w:cs="Arial"/>
          <w:sz w:val="24"/>
          <w:szCs w:val="24"/>
        </w:rPr>
        <w:t xml:space="preserve"> </w:t>
      </w:r>
      <w:r w:rsidRPr="007E6526">
        <w:rPr>
          <w:rFonts w:ascii="Times New Roman" w:hAnsi="Times New Roman"/>
          <w:color w:val="000000"/>
          <w:sz w:val="20"/>
          <w:szCs w:val="20"/>
        </w:rPr>
        <w:t>The tablets contain</w:t>
      </w:r>
      <w:r>
        <w:rPr>
          <w:rFonts w:ascii="Times New Roman" w:hAnsi="Times New Roman"/>
          <w:color w:val="000000"/>
          <w:sz w:val="20"/>
          <w:szCs w:val="20"/>
        </w:rPr>
        <w:t>ed</w:t>
      </w:r>
      <w:r w:rsidRPr="007E6526">
        <w:rPr>
          <w:rFonts w:ascii="Times New Roman" w:hAnsi="Times New Roman"/>
          <w:color w:val="000000"/>
          <w:sz w:val="20"/>
          <w:szCs w:val="20"/>
        </w:rPr>
        <w:t xml:space="preserve"> lactose monohydrate, microcrystalline cellulose, starch and magnesium stearate with average weight of 250 mg. Water was obtained from a Milli-Q UF-Plus apparatus (Millipore) and was used to prepare all solutions for the method. </w:t>
      </w:r>
      <w:r w:rsidRPr="00456D9A">
        <w:rPr>
          <w:rFonts w:ascii="Times New Roman" w:hAnsi="Times New Roman"/>
          <w:color w:val="000000"/>
          <w:sz w:val="20"/>
          <w:szCs w:val="20"/>
        </w:rPr>
        <w:t xml:space="preserve"> Other chemicals used were analytical grade and glassware used was Class A grade. </w:t>
      </w:r>
    </w:p>
    <w:p w:rsidR="00E34388" w:rsidRPr="00E34388" w:rsidRDefault="00E34388" w:rsidP="00E34388">
      <w:pPr>
        <w:spacing w:after="0" w:line="240" w:lineRule="auto"/>
        <w:jc w:val="both"/>
        <w:rPr>
          <w:rFonts w:ascii="Times New Roman" w:hAnsi="Times New Roman"/>
          <w:color w:val="000000"/>
          <w:sz w:val="20"/>
          <w:szCs w:val="20"/>
        </w:rPr>
      </w:pPr>
    </w:p>
    <w:p w:rsidR="00E34388" w:rsidRPr="00456D9A" w:rsidRDefault="00E34388" w:rsidP="00E34388">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 xml:space="preserve">Instrument </w:t>
      </w:r>
    </w:p>
    <w:p w:rsidR="00E34388" w:rsidRPr="00456D9A" w:rsidRDefault="00E34388" w:rsidP="00E34388">
      <w:pPr>
        <w:spacing w:after="0" w:line="240" w:lineRule="auto"/>
        <w:jc w:val="both"/>
        <w:rPr>
          <w:rFonts w:ascii="Times New Roman" w:hAnsi="Times New Roman"/>
          <w:color w:val="000000"/>
          <w:sz w:val="20"/>
          <w:szCs w:val="20"/>
        </w:rPr>
      </w:pPr>
      <w:r w:rsidRPr="00456D9A">
        <w:rPr>
          <w:rFonts w:ascii="Times New Roman" w:hAnsi="Times New Roman"/>
          <w:color w:val="000000"/>
          <w:sz w:val="20"/>
          <w:szCs w:val="20"/>
        </w:rPr>
        <w:t>Shimadzu UV - 1700 UV/VISIBLE spectrophotometer with UV probe 2.10 software and 1 cm matched quartz cells were used for absorbance measurements. Analytical balance used for weighing standard and sample was Make-Mettler Toledo, Model- XP 105.</w:t>
      </w:r>
    </w:p>
    <w:p w:rsidR="00E34388" w:rsidRPr="00E34388" w:rsidRDefault="00E34388" w:rsidP="00E34388">
      <w:pPr>
        <w:tabs>
          <w:tab w:val="left" w:pos="90"/>
        </w:tabs>
        <w:spacing w:after="0" w:line="240" w:lineRule="auto"/>
        <w:ind w:right="29"/>
        <w:jc w:val="both"/>
        <w:rPr>
          <w:rFonts w:ascii="Times New Roman" w:hAnsi="Times New Roman"/>
          <w:bCs/>
          <w:sz w:val="20"/>
          <w:szCs w:val="20"/>
        </w:rPr>
      </w:pPr>
    </w:p>
    <w:p w:rsidR="00E34388" w:rsidRPr="00456D9A" w:rsidRDefault="00E34388" w:rsidP="00E34388">
      <w:pPr>
        <w:tabs>
          <w:tab w:val="left" w:pos="90"/>
        </w:tabs>
        <w:spacing w:after="0" w:line="240" w:lineRule="auto"/>
        <w:ind w:right="29"/>
        <w:jc w:val="both"/>
        <w:rPr>
          <w:rFonts w:ascii="Times New Roman" w:hAnsi="Times New Roman"/>
          <w:b/>
          <w:bCs/>
          <w:sz w:val="20"/>
          <w:szCs w:val="20"/>
        </w:rPr>
      </w:pPr>
      <w:r>
        <w:rPr>
          <w:rFonts w:ascii="Times New Roman" w:hAnsi="Times New Roman"/>
          <w:b/>
          <w:bCs/>
          <w:sz w:val="20"/>
          <w:szCs w:val="20"/>
        </w:rPr>
        <w:t>Selection of S</w:t>
      </w:r>
      <w:r w:rsidRPr="00456D9A">
        <w:rPr>
          <w:rFonts w:ascii="Times New Roman" w:hAnsi="Times New Roman"/>
          <w:b/>
          <w:bCs/>
          <w:sz w:val="20"/>
          <w:szCs w:val="20"/>
        </w:rPr>
        <w:t>olvent</w:t>
      </w:r>
    </w:p>
    <w:p w:rsidR="00E34388" w:rsidRPr="00456D9A" w:rsidRDefault="00E34388" w:rsidP="00E34388">
      <w:pPr>
        <w:tabs>
          <w:tab w:val="left" w:pos="90"/>
        </w:tabs>
        <w:spacing w:after="0" w:line="240" w:lineRule="auto"/>
        <w:ind w:right="29"/>
        <w:jc w:val="both"/>
        <w:rPr>
          <w:rFonts w:ascii="Times New Roman" w:hAnsi="Times New Roman"/>
          <w:bCs/>
          <w:sz w:val="20"/>
          <w:szCs w:val="20"/>
        </w:rPr>
      </w:pPr>
      <w:r w:rsidRPr="00456D9A">
        <w:rPr>
          <w:rFonts w:ascii="Times New Roman" w:hAnsi="Times New Roman"/>
          <w:bCs/>
          <w:sz w:val="20"/>
          <w:szCs w:val="20"/>
        </w:rPr>
        <w:t>The solubility of Dolutegravir sodium was checked in water, acetonitrile and methanol. It was found to be freely soluble in methanol, slightly soluble in water but insoluble in acetonitrile. Methanol was selected as the solvent for dissolving the drug.</w:t>
      </w:r>
    </w:p>
    <w:p w:rsidR="00E34388" w:rsidRPr="00E34388" w:rsidRDefault="00E34388" w:rsidP="00E34388">
      <w:pPr>
        <w:spacing w:after="0" w:line="240" w:lineRule="auto"/>
        <w:jc w:val="both"/>
        <w:rPr>
          <w:rFonts w:ascii="Times New Roman" w:hAnsi="Times New Roman"/>
          <w:color w:val="000000"/>
          <w:sz w:val="20"/>
          <w:szCs w:val="20"/>
        </w:rPr>
      </w:pPr>
    </w:p>
    <w:p w:rsidR="00E34388" w:rsidRPr="00456D9A" w:rsidRDefault="00E34388" w:rsidP="00E34388">
      <w:pPr>
        <w:spacing w:after="0" w:line="240" w:lineRule="auto"/>
        <w:jc w:val="both"/>
        <w:rPr>
          <w:rFonts w:ascii="Times New Roman" w:hAnsi="Times New Roman"/>
          <w:b/>
          <w:color w:val="000000"/>
          <w:sz w:val="20"/>
          <w:szCs w:val="20"/>
        </w:rPr>
      </w:pPr>
      <w:r w:rsidRPr="00456D9A">
        <w:rPr>
          <w:rFonts w:ascii="Times New Roman" w:hAnsi="Times New Roman"/>
          <w:b/>
          <w:color w:val="000000"/>
          <w:sz w:val="20"/>
          <w:szCs w:val="20"/>
        </w:rPr>
        <w:t xml:space="preserve">Preparation of Standard Stock Solution </w:t>
      </w:r>
    </w:p>
    <w:p w:rsidR="00E34388" w:rsidRPr="00456D9A" w:rsidRDefault="00E34388" w:rsidP="00E34388">
      <w:pPr>
        <w:spacing w:after="0" w:line="240" w:lineRule="auto"/>
        <w:jc w:val="both"/>
        <w:rPr>
          <w:rFonts w:ascii="Times New Roman" w:hAnsi="Times New Roman"/>
          <w:b/>
          <w:color w:val="000000"/>
          <w:sz w:val="20"/>
          <w:szCs w:val="20"/>
        </w:rPr>
      </w:pPr>
      <w:r w:rsidRPr="00456D9A">
        <w:rPr>
          <w:rFonts w:ascii="Times New Roman" w:hAnsi="Times New Roman"/>
          <w:color w:val="000000"/>
          <w:sz w:val="20"/>
          <w:szCs w:val="20"/>
        </w:rPr>
        <w:t xml:space="preserve">Accurately weighed </w:t>
      </w:r>
      <w:r>
        <w:rPr>
          <w:rFonts w:ascii="Times New Roman" w:hAnsi="Times New Roman"/>
          <w:color w:val="000000"/>
          <w:sz w:val="20"/>
          <w:szCs w:val="20"/>
        </w:rPr>
        <w:t xml:space="preserve">of </w:t>
      </w:r>
      <w:r w:rsidRPr="00456D9A">
        <w:rPr>
          <w:rFonts w:ascii="Times New Roman" w:hAnsi="Times New Roman"/>
          <w:color w:val="000000"/>
          <w:sz w:val="20"/>
          <w:szCs w:val="20"/>
        </w:rPr>
        <w:t>Dolutegravir sodium working standard equivalent to 10 mg of DTG was transferred</w:t>
      </w:r>
      <w:r>
        <w:rPr>
          <w:rFonts w:ascii="Times New Roman" w:hAnsi="Times New Roman"/>
          <w:color w:val="000000"/>
          <w:sz w:val="20"/>
          <w:szCs w:val="20"/>
        </w:rPr>
        <w:t xml:space="preserve"> into a 100 mL volumetric flask. I</w:t>
      </w:r>
      <w:r w:rsidRPr="00456D9A">
        <w:rPr>
          <w:rFonts w:ascii="Times New Roman" w:hAnsi="Times New Roman"/>
          <w:color w:val="000000"/>
          <w:sz w:val="20"/>
          <w:szCs w:val="20"/>
        </w:rPr>
        <w:t xml:space="preserve">t was dissolved in 20 mL </w:t>
      </w:r>
      <w:r>
        <w:rPr>
          <w:rFonts w:ascii="Times New Roman" w:hAnsi="Times New Roman"/>
          <w:color w:val="000000"/>
          <w:sz w:val="20"/>
          <w:szCs w:val="20"/>
        </w:rPr>
        <w:t>m</w:t>
      </w:r>
      <w:r w:rsidRPr="00456D9A">
        <w:rPr>
          <w:rFonts w:ascii="Times New Roman" w:hAnsi="Times New Roman"/>
          <w:color w:val="000000"/>
          <w:sz w:val="20"/>
          <w:szCs w:val="20"/>
        </w:rPr>
        <w:t>ethanol by sonication for</w:t>
      </w:r>
      <w:r>
        <w:rPr>
          <w:rFonts w:ascii="Times New Roman" w:hAnsi="Times New Roman"/>
          <w:color w:val="000000"/>
          <w:sz w:val="20"/>
          <w:szCs w:val="20"/>
        </w:rPr>
        <w:t xml:space="preserve"> </w:t>
      </w:r>
      <w:r w:rsidRPr="00456D9A">
        <w:rPr>
          <w:rFonts w:ascii="Times New Roman" w:hAnsi="Times New Roman"/>
          <w:color w:val="000000"/>
          <w:sz w:val="20"/>
          <w:szCs w:val="20"/>
        </w:rPr>
        <w:t>10 min</w:t>
      </w:r>
      <w:r>
        <w:rPr>
          <w:rFonts w:ascii="Times New Roman" w:hAnsi="Times New Roman"/>
          <w:color w:val="000000"/>
          <w:sz w:val="20"/>
          <w:szCs w:val="20"/>
        </w:rPr>
        <w:t>utes</w:t>
      </w:r>
      <w:r w:rsidRPr="00456D9A">
        <w:rPr>
          <w:rFonts w:ascii="Times New Roman" w:hAnsi="Times New Roman"/>
          <w:color w:val="000000"/>
          <w:sz w:val="20"/>
          <w:szCs w:val="20"/>
        </w:rPr>
        <w:t xml:space="preserve">. </w:t>
      </w:r>
      <w:r>
        <w:rPr>
          <w:rFonts w:ascii="Times New Roman" w:hAnsi="Times New Roman"/>
          <w:color w:val="000000"/>
          <w:sz w:val="20"/>
          <w:szCs w:val="20"/>
        </w:rPr>
        <w:t>Final</w:t>
      </w:r>
      <w:r w:rsidRPr="00456D9A">
        <w:rPr>
          <w:rFonts w:ascii="Times New Roman" w:hAnsi="Times New Roman"/>
          <w:color w:val="000000"/>
          <w:sz w:val="20"/>
          <w:szCs w:val="20"/>
        </w:rPr>
        <w:t xml:space="preserve"> volume was made up to 100 mL with </w:t>
      </w:r>
      <w:r>
        <w:rPr>
          <w:rFonts w:ascii="Times New Roman" w:hAnsi="Times New Roman"/>
          <w:color w:val="000000"/>
          <w:sz w:val="20"/>
          <w:szCs w:val="20"/>
        </w:rPr>
        <w:t>m</w:t>
      </w:r>
      <w:r w:rsidRPr="00456D9A">
        <w:rPr>
          <w:rFonts w:ascii="Times New Roman" w:hAnsi="Times New Roman"/>
          <w:color w:val="000000"/>
          <w:sz w:val="20"/>
          <w:szCs w:val="20"/>
        </w:rPr>
        <w:t>ethanol to give the solution containing 100 μg/</w:t>
      </w:r>
      <w:r w:rsidRPr="00456D9A">
        <w:rPr>
          <w:rFonts w:ascii="Times New Roman" w:hAnsi="Times New Roman"/>
          <w:sz w:val="20"/>
          <w:szCs w:val="20"/>
        </w:rPr>
        <w:t>mL</w:t>
      </w:r>
      <w:r w:rsidRPr="00456D9A">
        <w:rPr>
          <w:rFonts w:ascii="Times New Roman" w:hAnsi="Times New Roman"/>
          <w:color w:val="000000"/>
          <w:sz w:val="20"/>
          <w:szCs w:val="20"/>
        </w:rPr>
        <w:t xml:space="preserve"> of DTG. </w:t>
      </w:r>
    </w:p>
    <w:p w:rsidR="00E34388" w:rsidRPr="00E34388" w:rsidRDefault="00E34388" w:rsidP="00E34388">
      <w:pPr>
        <w:spacing w:after="0" w:line="240" w:lineRule="auto"/>
        <w:jc w:val="both"/>
        <w:rPr>
          <w:rFonts w:ascii="Times New Roman" w:hAnsi="Times New Roman"/>
          <w:color w:val="000000"/>
          <w:sz w:val="20"/>
          <w:szCs w:val="20"/>
        </w:rPr>
      </w:pPr>
    </w:p>
    <w:p w:rsidR="00E34388" w:rsidRPr="00456D9A" w:rsidRDefault="00E34388" w:rsidP="00E34388">
      <w:pPr>
        <w:spacing w:after="0" w:line="240" w:lineRule="auto"/>
        <w:jc w:val="both"/>
        <w:rPr>
          <w:rFonts w:ascii="Times New Roman" w:hAnsi="Times New Roman"/>
          <w:b/>
          <w:color w:val="000000"/>
          <w:sz w:val="20"/>
          <w:szCs w:val="20"/>
        </w:rPr>
      </w:pPr>
      <w:r w:rsidRPr="00456D9A">
        <w:rPr>
          <w:rFonts w:ascii="Times New Roman" w:hAnsi="Times New Roman"/>
          <w:b/>
          <w:color w:val="000000"/>
          <w:sz w:val="20"/>
          <w:szCs w:val="20"/>
        </w:rPr>
        <w:t>Selection of</w:t>
      </w:r>
      <w:r>
        <w:rPr>
          <w:rFonts w:ascii="Times New Roman" w:hAnsi="Times New Roman"/>
          <w:b/>
          <w:color w:val="000000"/>
          <w:sz w:val="20"/>
          <w:szCs w:val="20"/>
        </w:rPr>
        <w:t xml:space="preserve"> Maximum</w:t>
      </w:r>
      <w:r w:rsidRPr="00456D9A">
        <w:rPr>
          <w:rFonts w:ascii="Times New Roman" w:hAnsi="Times New Roman"/>
          <w:b/>
          <w:color w:val="000000"/>
          <w:sz w:val="20"/>
          <w:szCs w:val="20"/>
        </w:rPr>
        <w:t xml:space="preserve"> </w:t>
      </w:r>
      <w:r>
        <w:rPr>
          <w:rFonts w:ascii="Times New Roman" w:hAnsi="Times New Roman"/>
          <w:b/>
          <w:color w:val="000000"/>
          <w:sz w:val="20"/>
          <w:szCs w:val="20"/>
        </w:rPr>
        <w:t>Wavelength for Analysis</w:t>
      </w:r>
    </w:p>
    <w:p w:rsidR="00E34388" w:rsidRPr="00456D9A" w:rsidRDefault="00E34388" w:rsidP="00E34388">
      <w:pPr>
        <w:spacing w:after="0" w:line="240" w:lineRule="auto"/>
        <w:jc w:val="both"/>
        <w:rPr>
          <w:rFonts w:ascii="Times New Roman" w:hAnsi="Times New Roman"/>
          <w:color w:val="000000"/>
          <w:sz w:val="20"/>
          <w:szCs w:val="20"/>
        </w:rPr>
      </w:pPr>
      <w:r w:rsidRPr="00456D9A">
        <w:rPr>
          <w:rFonts w:ascii="Times New Roman" w:hAnsi="Times New Roman"/>
          <w:color w:val="000000"/>
          <w:sz w:val="20"/>
          <w:szCs w:val="20"/>
        </w:rPr>
        <w:t>The standard stock solution was f</w:t>
      </w:r>
      <w:r>
        <w:rPr>
          <w:rFonts w:ascii="Times New Roman" w:hAnsi="Times New Roman"/>
          <w:color w:val="000000"/>
          <w:sz w:val="20"/>
          <w:szCs w:val="20"/>
        </w:rPr>
        <w:t>urther diluted with water to obtain concentration level of DTG at 10 μg/mL</w:t>
      </w:r>
      <w:r w:rsidRPr="00456D9A">
        <w:rPr>
          <w:rFonts w:ascii="Times New Roman" w:hAnsi="Times New Roman"/>
          <w:color w:val="000000"/>
          <w:sz w:val="20"/>
          <w:szCs w:val="20"/>
        </w:rPr>
        <w:t xml:space="preserve">. The solution was scanned between 200 and 400 nm using water as blank. </w:t>
      </w:r>
    </w:p>
    <w:p w:rsidR="00E34388" w:rsidRPr="00E34388" w:rsidRDefault="00E34388" w:rsidP="00E34388">
      <w:pPr>
        <w:spacing w:after="0" w:line="240" w:lineRule="auto"/>
        <w:jc w:val="both"/>
        <w:rPr>
          <w:rFonts w:ascii="Times New Roman" w:hAnsi="Times New Roman"/>
          <w:color w:val="000000"/>
          <w:sz w:val="20"/>
          <w:szCs w:val="20"/>
        </w:rPr>
      </w:pPr>
    </w:p>
    <w:p w:rsidR="00E34388" w:rsidRDefault="00E34388" w:rsidP="00E34388">
      <w:pPr>
        <w:spacing w:after="0" w:line="240" w:lineRule="auto"/>
        <w:jc w:val="both"/>
        <w:rPr>
          <w:rFonts w:ascii="Times New Roman" w:hAnsi="Times New Roman"/>
          <w:b/>
          <w:color w:val="000000"/>
          <w:sz w:val="20"/>
          <w:szCs w:val="20"/>
        </w:rPr>
      </w:pPr>
      <w:r w:rsidRPr="00456D9A">
        <w:rPr>
          <w:rFonts w:ascii="Times New Roman" w:hAnsi="Times New Roman"/>
          <w:b/>
          <w:color w:val="000000"/>
          <w:sz w:val="20"/>
          <w:szCs w:val="20"/>
        </w:rPr>
        <w:t xml:space="preserve">Preparation of </w:t>
      </w:r>
      <w:r>
        <w:rPr>
          <w:rFonts w:ascii="Times New Roman" w:hAnsi="Times New Roman"/>
          <w:b/>
          <w:color w:val="000000"/>
          <w:sz w:val="20"/>
          <w:szCs w:val="20"/>
        </w:rPr>
        <w:t>t</w:t>
      </w:r>
      <w:r w:rsidRPr="00456D9A">
        <w:rPr>
          <w:rFonts w:ascii="Times New Roman" w:hAnsi="Times New Roman"/>
          <w:b/>
          <w:color w:val="000000"/>
          <w:sz w:val="20"/>
          <w:szCs w:val="20"/>
        </w:rPr>
        <w:t xml:space="preserve">he Calibration Curve </w:t>
      </w:r>
    </w:p>
    <w:p w:rsidR="00E34388" w:rsidRPr="003656A9" w:rsidRDefault="00E34388" w:rsidP="00E34388">
      <w:pPr>
        <w:spacing w:after="0" w:line="240" w:lineRule="auto"/>
        <w:jc w:val="both"/>
        <w:rPr>
          <w:rFonts w:ascii="Times New Roman" w:hAnsi="Times New Roman"/>
          <w:b/>
          <w:color w:val="000000"/>
          <w:sz w:val="20"/>
          <w:szCs w:val="20"/>
        </w:rPr>
      </w:pPr>
      <w:r>
        <w:rPr>
          <w:rFonts w:ascii="Times New Roman" w:hAnsi="Times New Roman"/>
          <w:color w:val="000000"/>
          <w:sz w:val="20"/>
          <w:szCs w:val="20"/>
        </w:rPr>
        <w:t>An aliquot</w:t>
      </w:r>
      <w:r w:rsidRPr="00456D9A">
        <w:rPr>
          <w:rFonts w:ascii="Times New Roman" w:hAnsi="Times New Roman"/>
          <w:color w:val="000000"/>
          <w:sz w:val="20"/>
          <w:szCs w:val="20"/>
        </w:rPr>
        <w:t xml:space="preserve"> of standard stock solution were further diluted with water to get the solutions of concentration </w:t>
      </w:r>
      <w:r>
        <w:rPr>
          <w:rFonts w:ascii="Times New Roman" w:hAnsi="Times New Roman"/>
          <w:color w:val="000000"/>
          <w:sz w:val="20"/>
          <w:szCs w:val="20"/>
        </w:rPr>
        <w:t xml:space="preserve">within range </w:t>
      </w:r>
      <w:r w:rsidRPr="00456D9A">
        <w:rPr>
          <w:rFonts w:ascii="Times New Roman" w:hAnsi="Times New Roman"/>
          <w:color w:val="000000"/>
          <w:sz w:val="20"/>
          <w:szCs w:val="20"/>
        </w:rPr>
        <w:t>5</w:t>
      </w:r>
      <w:r>
        <w:rPr>
          <w:rFonts w:ascii="Times New Roman" w:hAnsi="Times New Roman"/>
          <w:color w:val="000000"/>
          <w:sz w:val="20"/>
          <w:szCs w:val="20"/>
        </w:rPr>
        <w:t xml:space="preserve"> </w:t>
      </w:r>
      <w:r w:rsidRPr="00456D9A">
        <w:rPr>
          <w:rFonts w:ascii="Times New Roman" w:hAnsi="Times New Roman"/>
          <w:color w:val="000000"/>
          <w:sz w:val="20"/>
          <w:szCs w:val="20"/>
        </w:rPr>
        <w:t>–</w:t>
      </w:r>
      <w:r>
        <w:rPr>
          <w:rFonts w:ascii="Times New Roman" w:hAnsi="Times New Roman"/>
          <w:color w:val="000000"/>
          <w:sz w:val="20"/>
          <w:szCs w:val="20"/>
        </w:rPr>
        <w:t xml:space="preserve"> </w:t>
      </w:r>
      <w:r w:rsidRPr="00456D9A">
        <w:rPr>
          <w:rFonts w:ascii="Times New Roman" w:hAnsi="Times New Roman"/>
          <w:color w:val="000000"/>
          <w:sz w:val="20"/>
          <w:szCs w:val="20"/>
        </w:rPr>
        <w:t>40 μg/mL. The absorbance</w:t>
      </w:r>
      <w:r>
        <w:rPr>
          <w:rFonts w:ascii="Times New Roman" w:hAnsi="Times New Roman"/>
          <w:color w:val="000000"/>
          <w:sz w:val="20"/>
          <w:szCs w:val="20"/>
        </w:rPr>
        <w:t xml:space="preserve"> was</w:t>
      </w:r>
      <w:r w:rsidRPr="00456D9A">
        <w:rPr>
          <w:rFonts w:ascii="Times New Roman" w:hAnsi="Times New Roman"/>
          <w:color w:val="000000"/>
          <w:sz w:val="20"/>
          <w:szCs w:val="20"/>
        </w:rPr>
        <w:t xml:space="preserve"> measured at 259.80 nm against water as blank. All measurements were repeated three times for each concentration. </w:t>
      </w:r>
    </w:p>
    <w:p w:rsidR="00E34388" w:rsidRPr="00E34388" w:rsidRDefault="00E34388" w:rsidP="00E34388">
      <w:pPr>
        <w:spacing w:after="0" w:line="240" w:lineRule="auto"/>
        <w:jc w:val="both"/>
        <w:rPr>
          <w:rFonts w:ascii="Times New Roman" w:hAnsi="Times New Roman"/>
          <w:color w:val="000000"/>
          <w:sz w:val="20"/>
          <w:szCs w:val="20"/>
        </w:rPr>
      </w:pPr>
    </w:p>
    <w:p w:rsidR="00E34388" w:rsidRPr="00456D9A" w:rsidRDefault="00E34388" w:rsidP="00E34388">
      <w:pPr>
        <w:spacing w:after="0" w:line="240" w:lineRule="auto"/>
        <w:jc w:val="both"/>
        <w:rPr>
          <w:rFonts w:ascii="Times New Roman" w:hAnsi="Times New Roman"/>
          <w:b/>
          <w:color w:val="000000"/>
          <w:sz w:val="20"/>
          <w:szCs w:val="20"/>
        </w:rPr>
      </w:pPr>
      <w:r w:rsidRPr="00456D9A">
        <w:rPr>
          <w:rFonts w:ascii="Times New Roman" w:hAnsi="Times New Roman"/>
          <w:b/>
          <w:color w:val="000000"/>
          <w:sz w:val="20"/>
          <w:szCs w:val="20"/>
        </w:rPr>
        <w:t>Assay of DTG in Tablet</w:t>
      </w:r>
    </w:p>
    <w:p w:rsidR="00E34388" w:rsidRPr="00456D9A" w:rsidRDefault="00E34388" w:rsidP="00E34388">
      <w:pPr>
        <w:spacing w:after="0" w:line="240" w:lineRule="auto"/>
        <w:jc w:val="both"/>
        <w:rPr>
          <w:rFonts w:ascii="Times New Roman" w:hAnsi="Times New Roman"/>
          <w:color w:val="000000"/>
          <w:sz w:val="20"/>
          <w:szCs w:val="20"/>
        </w:rPr>
      </w:pPr>
      <w:r w:rsidRPr="00456D9A">
        <w:rPr>
          <w:rFonts w:ascii="Times New Roman" w:hAnsi="Times New Roman"/>
          <w:sz w:val="20"/>
          <w:szCs w:val="20"/>
        </w:rPr>
        <w:t xml:space="preserve">Twenty tablets were weighed; </w:t>
      </w:r>
      <w:r w:rsidRPr="00456D9A">
        <w:rPr>
          <w:rFonts w:ascii="Times New Roman" w:hAnsi="Times New Roman"/>
          <w:color w:val="000000"/>
          <w:sz w:val="20"/>
          <w:szCs w:val="20"/>
        </w:rPr>
        <w:t>their average weight was determined and finely powdered.</w:t>
      </w:r>
      <w:r w:rsidRPr="00456D9A">
        <w:rPr>
          <w:rFonts w:ascii="Times New Roman" w:hAnsi="Times New Roman"/>
          <w:sz w:val="20"/>
          <w:szCs w:val="20"/>
        </w:rPr>
        <w:t xml:space="preserve"> Powder equivalent to </w:t>
      </w:r>
      <w:r w:rsidRPr="00456D9A">
        <w:rPr>
          <w:rFonts w:ascii="Times New Roman" w:hAnsi="Times New Roman"/>
          <w:color w:val="000000"/>
          <w:sz w:val="20"/>
          <w:szCs w:val="20"/>
        </w:rPr>
        <w:t>50 mg DTG of was accurately weighed an</w:t>
      </w:r>
      <w:r>
        <w:rPr>
          <w:rFonts w:ascii="Times New Roman" w:hAnsi="Times New Roman"/>
          <w:color w:val="000000"/>
          <w:sz w:val="20"/>
          <w:szCs w:val="20"/>
        </w:rPr>
        <w:t>d dissolved in small amount of m</w:t>
      </w:r>
      <w:r w:rsidRPr="00456D9A">
        <w:rPr>
          <w:rFonts w:ascii="Times New Roman" w:hAnsi="Times New Roman"/>
          <w:color w:val="000000"/>
          <w:sz w:val="20"/>
          <w:szCs w:val="20"/>
        </w:rPr>
        <w:t xml:space="preserve">ethanol in 50 mL volumetric flask and then the volume was adjusted with </w:t>
      </w:r>
      <w:r>
        <w:rPr>
          <w:rFonts w:ascii="Times New Roman" w:hAnsi="Times New Roman"/>
          <w:color w:val="000000"/>
          <w:sz w:val="20"/>
          <w:szCs w:val="20"/>
        </w:rPr>
        <w:t>m</w:t>
      </w:r>
      <w:r w:rsidRPr="00456D9A">
        <w:rPr>
          <w:rFonts w:ascii="Times New Roman" w:hAnsi="Times New Roman"/>
          <w:color w:val="000000"/>
          <w:sz w:val="20"/>
          <w:szCs w:val="20"/>
        </w:rPr>
        <w:t>et</w:t>
      </w:r>
      <w:r>
        <w:rPr>
          <w:rFonts w:ascii="Times New Roman" w:hAnsi="Times New Roman"/>
          <w:color w:val="000000"/>
          <w:sz w:val="20"/>
          <w:szCs w:val="20"/>
        </w:rPr>
        <w:t xml:space="preserve">hanol to obtain the final </w:t>
      </w:r>
      <w:r w:rsidRPr="00456D9A">
        <w:rPr>
          <w:rFonts w:ascii="Times New Roman" w:hAnsi="Times New Roman"/>
          <w:color w:val="000000"/>
          <w:sz w:val="20"/>
          <w:szCs w:val="20"/>
        </w:rPr>
        <w:t xml:space="preserve">concentration </w:t>
      </w:r>
      <w:r>
        <w:rPr>
          <w:rFonts w:ascii="Times New Roman" w:hAnsi="Times New Roman"/>
          <w:color w:val="000000"/>
          <w:sz w:val="20"/>
          <w:szCs w:val="20"/>
        </w:rPr>
        <w:t>is 1000 µg/mL. Hence,</w:t>
      </w:r>
      <w:r w:rsidRPr="00456D9A">
        <w:rPr>
          <w:rFonts w:ascii="Times New Roman" w:hAnsi="Times New Roman"/>
          <w:color w:val="000000"/>
          <w:sz w:val="20"/>
          <w:szCs w:val="20"/>
        </w:rPr>
        <w:t xml:space="preserve"> 10 mL solution was taken and then diluted up to 100 mL with the same solvent in a volumetric flask to obtain the solution of concentration 100 µg/mL. From this solution</w:t>
      </w:r>
      <w:r>
        <w:rPr>
          <w:rFonts w:ascii="Times New Roman" w:hAnsi="Times New Roman"/>
          <w:color w:val="000000"/>
          <w:sz w:val="20"/>
          <w:szCs w:val="20"/>
        </w:rPr>
        <w:t>,</w:t>
      </w:r>
      <w:r w:rsidRPr="00456D9A">
        <w:rPr>
          <w:rFonts w:ascii="Times New Roman" w:hAnsi="Times New Roman"/>
          <w:color w:val="000000"/>
          <w:sz w:val="20"/>
          <w:szCs w:val="20"/>
        </w:rPr>
        <w:t xml:space="preserve"> aliquot of 1 mL was diluted to 10 mL using water. The absorbance of sample solution was measured at </w:t>
      </w:r>
      <w:r>
        <w:rPr>
          <w:rFonts w:ascii="Times New Roman" w:hAnsi="Times New Roman"/>
          <w:color w:val="000000"/>
          <w:sz w:val="20"/>
          <w:szCs w:val="20"/>
        </w:rPr>
        <w:t xml:space="preserve">wavelength </w:t>
      </w:r>
      <w:r w:rsidRPr="00456D9A">
        <w:rPr>
          <w:rFonts w:ascii="Times New Roman" w:hAnsi="Times New Roman"/>
          <w:color w:val="000000"/>
          <w:sz w:val="20"/>
          <w:szCs w:val="20"/>
        </w:rPr>
        <w:t>259.80 nm. This procedure was repeated for six times.</w:t>
      </w:r>
    </w:p>
    <w:p w:rsidR="00E34388" w:rsidRPr="00E34388" w:rsidRDefault="00E34388" w:rsidP="00E34388">
      <w:pPr>
        <w:spacing w:after="0" w:line="240" w:lineRule="auto"/>
        <w:jc w:val="both"/>
        <w:rPr>
          <w:rFonts w:ascii="Times New Roman" w:hAnsi="Times New Roman"/>
          <w:sz w:val="20"/>
          <w:szCs w:val="20"/>
        </w:rPr>
      </w:pPr>
    </w:p>
    <w:p w:rsidR="00E34388" w:rsidRPr="00456D9A" w:rsidRDefault="00E34388" w:rsidP="00E34388">
      <w:pPr>
        <w:spacing w:after="0" w:line="240" w:lineRule="auto"/>
        <w:jc w:val="both"/>
        <w:rPr>
          <w:rFonts w:ascii="Times New Roman" w:hAnsi="Times New Roman"/>
          <w:b/>
          <w:sz w:val="20"/>
          <w:szCs w:val="20"/>
        </w:rPr>
      </w:pPr>
      <w:r>
        <w:rPr>
          <w:rFonts w:ascii="Times New Roman" w:hAnsi="Times New Roman"/>
          <w:b/>
          <w:sz w:val="20"/>
          <w:szCs w:val="20"/>
        </w:rPr>
        <w:t>Method V</w:t>
      </w:r>
      <w:r w:rsidRPr="00456D9A">
        <w:rPr>
          <w:rFonts w:ascii="Times New Roman" w:hAnsi="Times New Roman"/>
          <w:b/>
          <w:sz w:val="20"/>
          <w:szCs w:val="20"/>
        </w:rPr>
        <w:t xml:space="preserve">alidation </w:t>
      </w:r>
    </w:p>
    <w:p w:rsidR="00E34388" w:rsidRPr="00456D9A" w:rsidRDefault="00E34388" w:rsidP="00E34388">
      <w:pPr>
        <w:spacing w:after="0" w:line="240" w:lineRule="auto"/>
        <w:jc w:val="both"/>
        <w:rPr>
          <w:rFonts w:ascii="Times New Roman" w:hAnsi="Times New Roman"/>
          <w:sz w:val="20"/>
          <w:szCs w:val="20"/>
        </w:rPr>
      </w:pPr>
      <w:r w:rsidRPr="00456D9A">
        <w:rPr>
          <w:rFonts w:ascii="Times New Roman" w:hAnsi="Times New Roman"/>
          <w:sz w:val="20"/>
          <w:szCs w:val="20"/>
        </w:rPr>
        <w:t>The developed method was validated as per ICH guidelines for following parameters</w:t>
      </w:r>
      <w:r>
        <w:rPr>
          <w:rFonts w:ascii="Times New Roman" w:hAnsi="Times New Roman"/>
          <w:sz w:val="20"/>
          <w:szCs w:val="20"/>
        </w:rPr>
        <w:t xml:space="preserve"> [7 – 9]</w:t>
      </w:r>
      <w:r w:rsidRPr="00456D9A">
        <w:rPr>
          <w:rFonts w:ascii="Times New Roman" w:hAnsi="Times New Roman"/>
          <w:sz w:val="20"/>
          <w:szCs w:val="20"/>
        </w:rPr>
        <w:t>.</w:t>
      </w:r>
    </w:p>
    <w:p w:rsidR="00E34388" w:rsidRPr="00E34388" w:rsidRDefault="00E34388" w:rsidP="00E34388">
      <w:pPr>
        <w:tabs>
          <w:tab w:val="left" w:pos="8550"/>
        </w:tabs>
        <w:spacing w:after="0" w:line="240" w:lineRule="auto"/>
        <w:jc w:val="both"/>
        <w:rPr>
          <w:rFonts w:ascii="Times New Roman" w:hAnsi="Times New Roman"/>
          <w:sz w:val="20"/>
          <w:szCs w:val="20"/>
        </w:rPr>
      </w:pPr>
    </w:p>
    <w:p w:rsidR="00E34388" w:rsidRPr="00456D9A" w:rsidRDefault="00E34388" w:rsidP="00E34388">
      <w:pPr>
        <w:tabs>
          <w:tab w:val="left" w:pos="8550"/>
        </w:tabs>
        <w:spacing w:after="0" w:line="240" w:lineRule="auto"/>
        <w:jc w:val="both"/>
        <w:rPr>
          <w:rFonts w:ascii="Times New Roman" w:hAnsi="Times New Roman"/>
          <w:b/>
          <w:sz w:val="20"/>
          <w:szCs w:val="20"/>
        </w:rPr>
      </w:pPr>
      <w:r w:rsidRPr="00456D9A">
        <w:rPr>
          <w:rFonts w:ascii="Times New Roman" w:hAnsi="Times New Roman"/>
          <w:b/>
          <w:sz w:val="20"/>
          <w:szCs w:val="20"/>
        </w:rPr>
        <w:t>Linearity</w:t>
      </w:r>
    </w:p>
    <w:p w:rsidR="00E34388" w:rsidRPr="00456D9A" w:rsidRDefault="00E34388" w:rsidP="00E34388">
      <w:pPr>
        <w:tabs>
          <w:tab w:val="left" w:pos="8550"/>
        </w:tabs>
        <w:spacing w:after="0" w:line="240" w:lineRule="auto"/>
        <w:jc w:val="both"/>
        <w:rPr>
          <w:rFonts w:ascii="Times New Roman" w:hAnsi="Times New Roman"/>
          <w:sz w:val="20"/>
          <w:szCs w:val="20"/>
        </w:rPr>
      </w:pPr>
      <w:r w:rsidRPr="00456D9A">
        <w:rPr>
          <w:rFonts w:ascii="Times New Roman" w:hAnsi="Times New Roman"/>
          <w:color w:val="000000"/>
          <w:sz w:val="20"/>
          <w:szCs w:val="20"/>
        </w:rPr>
        <w:t xml:space="preserve">Aliquots of standard stock solution were further diluted with water to get the solutions of concentration </w:t>
      </w:r>
      <w:r>
        <w:rPr>
          <w:rFonts w:ascii="Times New Roman" w:hAnsi="Times New Roman"/>
          <w:color w:val="000000"/>
          <w:sz w:val="20"/>
          <w:szCs w:val="20"/>
        </w:rPr>
        <w:t xml:space="preserve">within range from </w:t>
      </w:r>
      <w:r w:rsidRPr="00456D9A">
        <w:rPr>
          <w:rFonts w:ascii="Times New Roman" w:hAnsi="Times New Roman"/>
          <w:color w:val="000000"/>
          <w:sz w:val="20"/>
          <w:szCs w:val="20"/>
        </w:rPr>
        <w:t>5</w:t>
      </w:r>
      <w:r>
        <w:rPr>
          <w:rFonts w:ascii="Times New Roman" w:hAnsi="Times New Roman"/>
          <w:color w:val="000000"/>
          <w:sz w:val="20"/>
          <w:szCs w:val="20"/>
        </w:rPr>
        <w:t xml:space="preserve"> </w:t>
      </w:r>
      <w:r w:rsidRPr="00456D9A">
        <w:rPr>
          <w:rFonts w:ascii="Times New Roman" w:hAnsi="Times New Roman"/>
          <w:color w:val="000000"/>
          <w:sz w:val="20"/>
          <w:szCs w:val="20"/>
        </w:rPr>
        <w:t>–</w:t>
      </w:r>
      <w:r>
        <w:rPr>
          <w:rFonts w:ascii="Times New Roman" w:hAnsi="Times New Roman"/>
          <w:color w:val="000000"/>
          <w:sz w:val="20"/>
          <w:szCs w:val="20"/>
        </w:rPr>
        <w:t xml:space="preserve"> </w:t>
      </w:r>
      <w:r w:rsidRPr="00456D9A">
        <w:rPr>
          <w:rFonts w:ascii="Times New Roman" w:hAnsi="Times New Roman"/>
          <w:color w:val="000000"/>
          <w:sz w:val="20"/>
          <w:szCs w:val="20"/>
        </w:rPr>
        <w:t xml:space="preserve">40 μg/mL. The </w:t>
      </w:r>
      <w:r>
        <w:rPr>
          <w:rFonts w:ascii="Times New Roman" w:hAnsi="Times New Roman"/>
          <w:color w:val="000000"/>
          <w:sz w:val="20"/>
          <w:szCs w:val="20"/>
        </w:rPr>
        <w:t>absorbance was</w:t>
      </w:r>
      <w:r w:rsidRPr="00456D9A">
        <w:rPr>
          <w:rFonts w:ascii="Times New Roman" w:hAnsi="Times New Roman"/>
          <w:color w:val="000000"/>
          <w:sz w:val="20"/>
          <w:szCs w:val="20"/>
        </w:rPr>
        <w:t xml:space="preserve"> measured at </w:t>
      </w:r>
      <w:r>
        <w:rPr>
          <w:rFonts w:ascii="Times New Roman" w:hAnsi="Times New Roman"/>
          <w:color w:val="000000"/>
          <w:sz w:val="20"/>
          <w:szCs w:val="20"/>
        </w:rPr>
        <w:t>wavelength</w:t>
      </w:r>
      <w:r w:rsidRPr="00456D9A">
        <w:rPr>
          <w:rFonts w:ascii="Times New Roman" w:hAnsi="Times New Roman"/>
          <w:color w:val="000000"/>
          <w:sz w:val="20"/>
          <w:szCs w:val="20"/>
        </w:rPr>
        <w:t xml:space="preserve"> 259.80 nm.</w:t>
      </w:r>
      <w:r w:rsidRPr="00456D9A">
        <w:rPr>
          <w:rFonts w:ascii="Times New Roman" w:hAnsi="Times New Roman"/>
          <w:sz w:val="20"/>
          <w:szCs w:val="20"/>
        </w:rPr>
        <w:t xml:space="preserve"> Linear calibra</w:t>
      </w:r>
      <w:r>
        <w:rPr>
          <w:rFonts w:ascii="Times New Roman" w:hAnsi="Times New Roman"/>
          <w:sz w:val="20"/>
          <w:szCs w:val="20"/>
        </w:rPr>
        <w:t xml:space="preserve">tion graph was obtained by plotting the </w:t>
      </w:r>
      <w:r w:rsidRPr="00456D9A">
        <w:rPr>
          <w:rFonts w:ascii="Times New Roman" w:hAnsi="Times New Roman"/>
          <w:sz w:val="20"/>
          <w:szCs w:val="20"/>
        </w:rPr>
        <w:t xml:space="preserve">absorbance </w:t>
      </w:r>
      <w:r>
        <w:rPr>
          <w:rFonts w:ascii="Times New Roman" w:hAnsi="Times New Roman"/>
          <w:sz w:val="20"/>
          <w:szCs w:val="20"/>
        </w:rPr>
        <w:t xml:space="preserve">value </w:t>
      </w:r>
      <w:r w:rsidRPr="00456D9A">
        <w:rPr>
          <w:rFonts w:ascii="Times New Roman" w:hAnsi="Times New Roman"/>
          <w:sz w:val="20"/>
          <w:szCs w:val="20"/>
        </w:rPr>
        <w:t xml:space="preserve">versus concentration of DTG. </w:t>
      </w:r>
    </w:p>
    <w:p w:rsidR="00E34388" w:rsidRPr="00E34388" w:rsidRDefault="00E34388" w:rsidP="00E34388">
      <w:pPr>
        <w:autoSpaceDE w:val="0"/>
        <w:autoSpaceDN w:val="0"/>
        <w:adjustRightInd w:val="0"/>
        <w:spacing w:after="0" w:line="240" w:lineRule="auto"/>
        <w:jc w:val="both"/>
        <w:rPr>
          <w:rFonts w:ascii="Times New Roman" w:hAnsi="Times New Roman"/>
          <w:iCs/>
          <w:sz w:val="20"/>
          <w:szCs w:val="20"/>
        </w:rPr>
      </w:pPr>
    </w:p>
    <w:p w:rsidR="00E34388" w:rsidRPr="00456D9A" w:rsidRDefault="00E34388" w:rsidP="00E34388">
      <w:pPr>
        <w:autoSpaceDE w:val="0"/>
        <w:autoSpaceDN w:val="0"/>
        <w:adjustRightInd w:val="0"/>
        <w:spacing w:after="0" w:line="240" w:lineRule="auto"/>
        <w:jc w:val="both"/>
        <w:rPr>
          <w:rFonts w:ascii="Times New Roman" w:hAnsi="Times New Roman"/>
          <w:b/>
          <w:iCs/>
          <w:sz w:val="20"/>
          <w:szCs w:val="20"/>
        </w:rPr>
      </w:pPr>
      <w:r w:rsidRPr="00456D9A">
        <w:rPr>
          <w:rFonts w:ascii="Times New Roman" w:hAnsi="Times New Roman"/>
          <w:b/>
          <w:iCs/>
          <w:sz w:val="20"/>
          <w:szCs w:val="20"/>
        </w:rPr>
        <w:t xml:space="preserve">Specificity </w:t>
      </w:r>
    </w:p>
    <w:p w:rsidR="00E34388" w:rsidRPr="00C03911" w:rsidRDefault="00E34388" w:rsidP="00E34388">
      <w:pPr>
        <w:tabs>
          <w:tab w:val="left" w:pos="8550"/>
        </w:tabs>
        <w:spacing w:after="0" w:line="240" w:lineRule="auto"/>
        <w:jc w:val="both"/>
        <w:rPr>
          <w:rFonts w:ascii="Times New Roman" w:hAnsi="Times New Roman"/>
          <w:color w:val="000000"/>
          <w:sz w:val="20"/>
          <w:szCs w:val="20"/>
        </w:rPr>
      </w:pPr>
      <w:r w:rsidRPr="00C03911">
        <w:rPr>
          <w:rFonts w:ascii="Times New Roman" w:hAnsi="Times New Roman"/>
          <w:color w:val="000000"/>
          <w:sz w:val="20"/>
          <w:szCs w:val="20"/>
        </w:rPr>
        <w:t>Specificity is the ability to assess unequivocally the analyte in the presence of components which may be expected to be present. The specificity of the method</w:t>
      </w:r>
      <w:r>
        <w:rPr>
          <w:rFonts w:ascii="Times New Roman" w:hAnsi="Times New Roman"/>
          <w:color w:val="000000"/>
          <w:sz w:val="20"/>
          <w:szCs w:val="20"/>
        </w:rPr>
        <w:t xml:space="preserve"> for determination of DTG in tablet dosage form</w:t>
      </w:r>
      <w:r w:rsidRPr="00C03911">
        <w:rPr>
          <w:rFonts w:ascii="Times New Roman" w:hAnsi="Times New Roman"/>
          <w:color w:val="000000"/>
          <w:sz w:val="20"/>
          <w:szCs w:val="20"/>
        </w:rPr>
        <w:t xml:space="preserve"> was determined by comparing the spectrum of tablet solution with that of standard solution.</w:t>
      </w:r>
      <w:r>
        <w:rPr>
          <w:rFonts w:ascii="Times New Roman" w:hAnsi="Times New Roman"/>
          <w:color w:val="000000"/>
          <w:sz w:val="20"/>
          <w:szCs w:val="20"/>
        </w:rPr>
        <w:t xml:space="preserve"> The sample spectrum was checked for any interference from the excipients.</w:t>
      </w:r>
    </w:p>
    <w:p w:rsidR="00E34388" w:rsidRPr="00456D9A" w:rsidRDefault="00E34388" w:rsidP="00E34388">
      <w:pPr>
        <w:tabs>
          <w:tab w:val="left" w:pos="8550"/>
        </w:tabs>
        <w:spacing w:after="0" w:line="240" w:lineRule="auto"/>
        <w:jc w:val="both"/>
        <w:rPr>
          <w:rFonts w:ascii="Times New Roman" w:hAnsi="Times New Roman"/>
          <w:sz w:val="20"/>
          <w:szCs w:val="20"/>
        </w:rPr>
      </w:pPr>
    </w:p>
    <w:p w:rsidR="00E34388" w:rsidRPr="00456D9A" w:rsidRDefault="00E34388" w:rsidP="00E34388">
      <w:pPr>
        <w:spacing w:after="0" w:line="240" w:lineRule="auto"/>
        <w:jc w:val="both"/>
        <w:rPr>
          <w:rFonts w:ascii="Times New Roman" w:hAnsi="Times New Roman"/>
          <w:b/>
          <w:sz w:val="20"/>
          <w:szCs w:val="20"/>
        </w:rPr>
      </w:pPr>
      <w:r>
        <w:rPr>
          <w:rFonts w:ascii="Times New Roman" w:hAnsi="Times New Roman"/>
          <w:b/>
          <w:sz w:val="20"/>
          <w:szCs w:val="20"/>
        </w:rPr>
        <w:t>Recovery</w:t>
      </w:r>
    </w:p>
    <w:p w:rsidR="00E34388" w:rsidRDefault="00E34388" w:rsidP="00E34388">
      <w:pPr>
        <w:spacing w:after="0" w:line="240" w:lineRule="auto"/>
        <w:jc w:val="both"/>
        <w:rPr>
          <w:rFonts w:ascii="Times New Roman" w:hAnsi="Times New Roman"/>
          <w:sz w:val="20"/>
          <w:szCs w:val="20"/>
        </w:rPr>
      </w:pPr>
      <w:r w:rsidRPr="00456D9A">
        <w:rPr>
          <w:rFonts w:ascii="Times New Roman" w:hAnsi="Times New Roman"/>
          <w:sz w:val="20"/>
          <w:szCs w:val="20"/>
        </w:rPr>
        <w:t xml:space="preserve">To ensure accuracy of the method, recovery studies were performed by standard addition method at 80%, 100%, and 120% level to pre-analyzed samples (10µg/mL) and subsequent solutions were reanalyzed. At each level, three determinations were performed. </w:t>
      </w:r>
      <w:r>
        <w:rPr>
          <w:rFonts w:ascii="Times New Roman" w:hAnsi="Times New Roman"/>
          <w:sz w:val="20"/>
          <w:szCs w:val="20"/>
        </w:rPr>
        <w:t>Accuracy is reported as % recovery which was calculated from the expression as equation 1 below</w:t>
      </w:r>
    </w:p>
    <w:p w:rsidR="00E34388" w:rsidRDefault="00E34388" w:rsidP="00E34388">
      <w:pPr>
        <w:spacing w:after="0" w:line="240" w:lineRule="auto"/>
        <w:jc w:val="both"/>
        <w:rPr>
          <w:rFonts w:ascii="Times New Roman" w:hAnsi="Times New Roman"/>
          <w:sz w:val="20"/>
          <w:szCs w:val="20"/>
        </w:rPr>
      </w:pPr>
    </w:p>
    <w:p w:rsidR="00E34388" w:rsidRDefault="00E34388" w:rsidP="00E34388">
      <w:pPr>
        <w:spacing w:after="0" w:line="240" w:lineRule="auto"/>
        <w:ind w:firstLine="720"/>
        <w:jc w:val="both"/>
        <w:rPr>
          <w:rFonts w:ascii="Times New Roman" w:hAnsi="Times New Roman"/>
          <w:sz w:val="20"/>
          <w:szCs w:val="20"/>
        </w:rPr>
      </w:pPr>
      <w:r>
        <w:rPr>
          <w:rFonts w:ascii="Times New Roman" w:hAnsi="Times New Roman"/>
          <w:sz w:val="20"/>
          <w:szCs w:val="20"/>
        </w:rPr>
        <w:t>% Recovery= Observed value x 100 / True value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(1)</w:t>
      </w:r>
    </w:p>
    <w:p w:rsidR="00E34388" w:rsidRDefault="00E34388" w:rsidP="00E34388">
      <w:pPr>
        <w:spacing w:after="0" w:line="240" w:lineRule="auto"/>
        <w:jc w:val="both"/>
        <w:rPr>
          <w:rFonts w:ascii="Times New Roman" w:hAnsi="Times New Roman"/>
          <w:sz w:val="20"/>
          <w:szCs w:val="20"/>
        </w:rPr>
      </w:pPr>
    </w:p>
    <w:p w:rsidR="00913929" w:rsidRDefault="00913929" w:rsidP="00E34388">
      <w:pPr>
        <w:spacing w:after="0" w:line="240" w:lineRule="auto"/>
        <w:jc w:val="both"/>
        <w:rPr>
          <w:rFonts w:ascii="Times New Roman" w:hAnsi="Times New Roman"/>
          <w:sz w:val="20"/>
          <w:szCs w:val="20"/>
        </w:rPr>
      </w:pPr>
    </w:p>
    <w:p w:rsidR="00913929" w:rsidRDefault="00913929" w:rsidP="00E34388">
      <w:pPr>
        <w:spacing w:after="0" w:line="240" w:lineRule="auto"/>
        <w:jc w:val="both"/>
        <w:rPr>
          <w:rFonts w:ascii="Times New Roman" w:hAnsi="Times New Roman"/>
          <w:sz w:val="20"/>
          <w:szCs w:val="20"/>
        </w:rPr>
      </w:pPr>
    </w:p>
    <w:p w:rsidR="00913929" w:rsidRDefault="00913929" w:rsidP="00E34388">
      <w:pPr>
        <w:spacing w:after="0" w:line="240" w:lineRule="auto"/>
        <w:jc w:val="both"/>
        <w:rPr>
          <w:rFonts w:ascii="Times New Roman" w:hAnsi="Times New Roman"/>
          <w:sz w:val="20"/>
          <w:szCs w:val="20"/>
        </w:rPr>
      </w:pPr>
    </w:p>
    <w:p w:rsidR="00913929" w:rsidRDefault="00E34388" w:rsidP="00E34388">
      <w:pPr>
        <w:spacing w:after="0" w:line="240" w:lineRule="auto"/>
        <w:jc w:val="both"/>
        <w:rPr>
          <w:rFonts w:ascii="Times New Roman" w:hAnsi="Times New Roman"/>
          <w:color w:val="000000"/>
          <w:sz w:val="20"/>
          <w:szCs w:val="20"/>
        </w:rPr>
      </w:pPr>
      <w:r w:rsidRPr="00456D9A">
        <w:rPr>
          <w:rFonts w:ascii="Times New Roman" w:hAnsi="Times New Roman"/>
          <w:b/>
          <w:bCs/>
          <w:sz w:val="20"/>
          <w:szCs w:val="20"/>
        </w:rPr>
        <w:lastRenderedPageBreak/>
        <w:t>Precision</w:t>
      </w:r>
    </w:p>
    <w:p w:rsidR="00E34388" w:rsidRDefault="00E34388" w:rsidP="00E34388">
      <w:pPr>
        <w:spacing w:after="0" w:line="240" w:lineRule="auto"/>
        <w:jc w:val="both"/>
        <w:rPr>
          <w:rFonts w:ascii="Times New Roman" w:hAnsi="Times New Roman"/>
          <w:sz w:val="20"/>
          <w:szCs w:val="20"/>
        </w:rPr>
      </w:pPr>
      <w:r w:rsidRPr="00456D9A">
        <w:rPr>
          <w:rFonts w:ascii="Times New Roman" w:hAnsi="Times New Roman"/>
          <w:color w:val="000000"/>
          <w:sz w:val="20"/>
          <w:szCs w:val="20"/>
        </w:rPr>
        <w:t>The precision of an analytical procedure expresses the closeness of agreement (degree of scatter) between a series of measurements obtained from multiple sampling of the same homogeneous sample under the prescribed conditions</w:t>
      </w:r>
      <w:r w:rsidRPr="00456D9A">
        <w:rPr>
          <w:rFonts w:ascii="Times New Roman" w:hAnsi="Times New Roman"/>
          <w:sz w:val="20"/>
          <w:szCs w:val="20"/>
        </w:rPr>
        <w:t>. Precision of the method was determined in terms of repeatability and intraday and interday precisions.</w:t>
      </w:r>
    </w:p>
    <w:p w:rsidR="00913929" w:rsidRPr="00913929" w:rsidRDefault="00913929" w:rsidP="00E34388">
      <w:pPr>
        <w:spacing w:after="0" w:line="240" w:lineRule="auto"/>
        <w:jc w:val="both"/>
        <w:rPr>
          <w:rFonts w:ascii="Times New Roman" w:hAnsi="Times New Roman"/>
          <w:color w:val="000000"/>
          <w:sz w:val="20"/>
          <w:szCs w:val="20"/>
        </w:rPr>
      </w:pPr>
    </w:p>
    <w:p w:rsidR="00E34388" w:rsidRPr="003C5765" w:rsidRDefault="00E34388" w:rsidP="00E34388">
      <w:pPr>
        <w:spacing w:after="0" w:line="240" w:lineRule="auto"/>
        <w:jc w:val="both"/>
        <w:rPr>
          <w:rFonts w:ascii="Times New Roman" w:hAnsi="Times New Roman"/>
          <w:b/>
          <w:bCs/>
          <w:iCs/>
          <w:sz w:val="20"/>
          <w:szCs w:val="20"/>
        </w:rPr>
      </w:pPr>
      <w:r w:rsidRPr="003C5765">
        <w:rPr>
          <w:rFonts w:ascii="Times New Roman" w:hAnsi="Times New Roman"/>
          <w:b/>
          <w:bCs/>
          <w:iCs/>
          <w:sz w:val="20"/>
          <w:szCs w:val="20"/>
        </w:rPr>
        <w:t>Repeatability</w:t>
      </w:r>
    </w:p>
    <w:p w:rsidR="00E34388" w:rsidRDefault="00E34388" w:rsidP="00E34388">
      <w:pPr>
        <w:autoSpaceDE w:val="0"/>
        <w:autoSpaceDN w:val="0"/>
        <w:adjustRightInd w:val="0"/>
        <w:spacing w:after="0" w:line="240" w:lineRule="auto"/>
        <w:jc w:val="both"/>
        <w:rPr>
          <w:rFonts w:ascii="Times New Roman" w:hAnsi="Times New Roman"/>
          <w:sz w:val="20"/>
          <w:szCs w:val="20"/>
        </w:rPr>
      </w:pPr>
      <w:r w:rsidRPr="00456D9A">
        <w:rPr>
          <w:rFonts w:ascii="Times New Roman" w:hAnsi="Times New Roman"/>
          <w:sz w:val="20"/>
          <w:szCs w:val="20"/>
        </w:rPr>
        <w:t>Repeatability</w:t>
      </w:r>
      <w:r w:rsidRPr="00456D9A">
        <w:rPr>
          <w:rFonts w:ascii="Times New Roman" w:hAnsi="Times New Roman"/>
          <w:b/>
          <w:sz w:val="20"/>
          <w:szCs w:val="20"/>
        </w:rPr>
        <w:t xml:space="preserve"> </w:t>
      </w:r>
      <w:r w:rsidRPr="00456D9A">
        <w:rPr>
          <w:rFonts w:ascii="Times New Roman" w:hAnsi="Times New Roman"/>
          <w:sz w:val="20"/>
          <w:szCs w:val="20"/>
        </w:rPr>
        <w:t>of the method was determined by analyzing six samples of same concentrations of drug</w:t>
      </w:r>
      <w:r>
        <w:rPr>
          <w:rFonts w:ascii="Times New Roman" w:hAnsi="Times New Roman"/>
          <w:sz w:val="20"/>
          <w:szCs w:val="20"/>
        </w:rPr>
        <w:t xml:space="preserve"> (10 </w:t>
      </w:r>
      <w:r w:rsidRPr="00DF55BF">
        <w:rPr>
          <w:rFonts w:ascii="Times New Roman" w:hAnsi="Times New Roman"/>
          <w:color w:val="000000"/>
          <w:sz w:val="20"/>
          <w:szCs w:val="20"/>
        </w:rPr>
        <w:t>µg/mL</w:t>
      </w:r>
      <w:r>
        <w:rPr>
          <w:rFonts w:ascii="Times New Roman" w:hAnsi="Times New Roman"/>
          <w:b/>
          <w:color w:val="000000"/>
          <w:sz w:val="20"/>
          <w:szCs w:val="20"/>
        </w:rPr>
        <w:t>)</w:t>
      </w:r>
      <w:r w:rsidRPr="00456D9A">
        <w:rPr>
          <w:rFonts w:ascii="Times New Roman" w:hAnsi="Times New Roman"/>
          <w:sz w:val="20"/>
          <w:szCs w:val="20"/>
        </w:rPr>
        <w:t xml:space="preserve">. Spectra were recorded, and the area of each spectrum was measured. </w:t>
      </w:r>
    </w:p>
    <w:p w:rsidR="00E34388" w:rsidRPr="00456D9A" w:rsidRDefault="00E34388" w:rsidP="00E34388">
      <w:pPr>
        <w:autoSpaceDE w:val="0"/>
        <w:autoSpaceDN w:val="0"/>
        <w:adjustRightInd w:val="0"/>
        <w:spacing w:after="0" w:line="240" w:lineRule="auto"/>
        <w:jc w:val="both"/>
        <w:rPr>
          <w:rFonts w:ascii="Times New Roman" w:hAnsi="Times New Roman"/>
          <w:sz w:val="20"/>
          <w:szCs w:val="20"/>
        </w:rPr>
      </w:pPr>
    </w:p>
    <w:p w:rsidR="00E34388" w:rsidRPr="003C5765" w:rsidRDefault="00E34388" w:rsidP="00E34388">
      <w:pPr>
        <w:spacing w:after="0" w:line="240" w:lineRule="auto"/>
        <w:jc w:val="both"/>
        <w:rPr>
          <w:rFonts w:ascii="Times New Roman" w:hAnsi="Times New Roman"/>
          <w:b/>
          <w:bCs/>
          <w:iCs/>
          <w:sz w:val="20"/>
          <w:szCs w:val="20"/>
        </w:rPr>
      </w:pPr>
      <w:r w:rsidRPr="003C5765">
        <w:rPr>
          <w:rFonts w:ascii="Times New Roman" w:hAnsi="Times New Roman"/>
          <w:b/>
          <w:bCs/>
          <w:iCs/>
          <w:sz w:val="20"/>
          <w:szCs w:val="20"/>
        </w:rPr>
        <w:t>Intraday and Interday Precision (Intermediate Precision)</w:t>
      </w:r>
    </w:p>
    <w:p w:rsidR="00E34388" w:rsidRPr="00456D9A" w:rsidRDefault="00E34388" w:rsidP="00E34388">
      <w:pPr>
        <w:spacing w:after="0" w:line="240" w:lineRule="auto"/>
        <w:jc w:val="both"/>
        <w:rPr>
          <w:rFonts w:ascii="Times New Roman" w:hAnsi="Times New Roman"/>
          <w:sz w:val="20"/>
          <w:szCs w:val="20"/>
        </w:rPr>
      </w:pPr>
      <w:r w:rsidRPr="00456D9A">
        <w:rPr>
          <w:rFonts w:ascii="Times New Roman" w:hAnsi="Times New Roman"/>
          <w:sz w:val="20"/>
          <w:szCs w:val="20"/>
        </w:rPr>
        <w:t>Intraday precision was determined by analyzing the drugs at three different concentrations</w:t>
      </w:r>
      <w:r>
        <w:rPr>
          <w:rFonts w:ascii="Times New Roman" w:hAnsi="Times New Roman"/>
          <w:sz w:val="20"/>
          <w:szCs w:val="20"/>
        </w:rPr>
        <w:t xml:space="preserve"> (10, 20 and 30 </w:t>
      </w:r>
      <w:r w:rsidRPr="00DF55BF">
        <w:rPr>
          <w:rFonts w:ascii="Times New Roman" w:hAnsi="Times New Roman"/>
          <w:color w:val="000000"/>
          <w:sz w:val="20"/>
          <w:szCs w:val="20"/>
        </w:rPr>
        <w:t>µg/mL</w:t>
      </w:r>
      <w:r>
        <w:rPr>
          <w:rFonts w:ascii="Times New Roman" w:hAnsi="Times New Roman"/>
          <w:b/>
          <w:color w:val="000000"/>
          <w:sz w:val="20"/>
          <w:szCs w:val="20"/>
        </w:rPr>
        <w:t>)</w:t>
      </w:r>
      <w:r w:rsidRPr="00456D9A">
        <w:rPr>
          <w:rFonts w:ascii="Times New Roman" w:hAnsi="Times New Roman"/>
          <w:sz w:val="20"/>
          <w:szCs w:val="20"/>
        </w:rPr>
        <w:t xml:space="preserve"> and each concentration for three times, on the same day. Interday precision was determined similarly, but the analysis being carried out daily, for three consecutive days. </w:t>
      </w:r>
    </w:p>
    <w:p w:rsidR="00E34388" w:rsidRPr="00E34388" w:rsidRDefault="00E34388" w:rsidP="00E34388">
      <w:pPr>
        <w:autoSpaceDE w:val="0"/>
        <w:autoSpaceDN w:val="0"/>
        <w:adjustRightInd w:val="0"/>
        <w:spacing w:after="0" w:line="240" w:lineRule="auto"/>
        <w:jc w:val="both"/>
        <w:rPr>
          <w:rFonts w:ascii="Times New Roman" w:hAnsi="Times New Roman"/>
          <w:bCs/>
          <w:sz w:val="20"/>
          <w:szCs w:val="20"/>
        </w:rPr>
      </w:pPr>
    </w:p>
    <w:p w:rsidR="00E34388" w:rsidRPr="00456D9A" w:rsidRDefault="00E34388" w:rsidP="00E34388">
      <w:pPr>
        <w:autoSpaceDE w:val="0"/>
        <w:autoSpaceDN w:val="0"/>
        <w:adjustRightInd w:val="0"/>
        <w:spacing w:after="0" w:line="240" w:lineRule="auto"/>
        <w:jc w:val="both"/>
        <w:rPr>
          <w:rFonts w:ascii="Times New Roman" w:hAnsi="Times New Roman"/>
          <w:sz w:val="20"/>
          <w:szCs w:val="20"/>
        </w:rPr>
      </w:pPr>
      <w:r w:rsidRPr="00456D9A">
        <w:rPr>
          <w:rFonts w:ascii="Times New Roman" w:hAnsi="Times New Roman"/>
          <w:b/>
          <w:bCs/>
          <w:sz w:val="20"/>
          <w:szCs w:val="20"/>
        </w:rPr>
        <w:t>Robustness</w:t>
      </w:r>
    </w:p>
    <w:p w:rsidR="00E34388" w:rsidRPr="00E34388" w:rsidRDefault="00E34388" w:rsidP="00E34388">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The robustness of developed </w:t>
      </w:r>
      <w:r w:rsidRPr="00456D9A">
        <w:rPr>
          <w:rFonts w:ascii="Times New Roman" w:hAnsi="Times New Roman"/>
          <w:sz w:val="20"/>
          <w:szCs w:val="20"/>
        </w:rPr>
        <w:t xml:space="preserve">method is its capacity to remain unaffected by small changes in conditions. To determine the robustness of the method, the experimental conditions were deliberately altered and assay was evaluated. The effect of detection wavelength was studied at ±2 nm. </w:t>
      </w:r>
    </w:p>
    <w:p w:rsidR="00E34388" w:rsidRPr="00E34388" w:rsidRDefault="00E34388" w:rsidP="00E34388">
      <w:pPr>
        <w:autoSpaceDE w:val="0"/>
        <w:autoSpaceDN w:val="0"/>
        <w:adjustRightInd w:val="0"/>
        <w:spacing w:after="0" w:line="240" w:lineRule="auto"/>
        <w:jc w:val="both"/>
        <w:rPr>
          <w:rFonts w:ascii="Times New Roman" w:hAnsi="Times New Roman"/>
          <w:bCs/>
          <w:sz w:val="20"/>
          <w:szCs w:val="20"/>
        </w:rPr>
      </w:pPr>
    </w:p>
    <w:p w:rsidR="00E34388" w:rsidRPr="00456D9A" w:rsidRDefault="00E34388" w:rsidP="00E34388">
      <w:pPr>
        <w:autoSpaceDE w:val="0"/>
        <w:autoSpaceDN w:val="0"/>
        <w:adjustRightInd w:val="0"/>
        <w:spacing w:after="0" w:line="240" w:lineRule="auto"/>
        <w:jc w:val="both"/>
        <w:rPr>
          <w:rFonts w:ascii="Times New Roman" w:hAnsi="Times New Roman"/>
          <w:sz w:val="20"/>
          <w:szCs w:val="20"/>
        </w:rPr>
      </w:pPr>
      <w:r w:rsidRPr="00456D9A">
        <w:rPr>
          <w:rFonts w:ascii="Times New Roman" w:hAnsi="Times New Roman"/>
          <w:b/>
          <w:bCs/>
          <w:sz w:val="20"/>
          <w:szCs w:val="20"/>
        </w:rPr>
        <w:t>Solution Stability</w:t>
      </w:r>
    </w:p>
    <w:p w:rsidR="00E34388" w:rsidRPr="00456D9A" w:rsidRDefault="00E34388" w:rsidP="00E34388">
      <w:pPr>
        <w:autoSpaceDE w:val="0"/>
        <w:autoSpaceDN w:val="0"/>
        <w:adjustRightInd w:val="0"/>
        <w:spacing w:after="0" w:line="240" w:lineRule="auto"/>
        <w:jc w:val="both"/>
        <w:rPr>
          <w:rFonts w:ascii="Times New Roman" w:hAnsi="Times New Roman"/>
          <w:sz w:val="20"/>
          <w:szCs w:val="20"/>
        </w:rPr>
      </w:pPr>
      <w:r w:rsidRPr="00456D9A">
        <w:rPr>
          <w:rFonts w:ascii="Times New Roman" w:hAnsi="Times New Roman"/>
          <w:sz w:val="20"/>
          <w:szCs w:val="20"/>
        </w:rPr>
        <w:t xml:space="preserve">The stability of the solution was studied by analyzing the standard solution at 1, 6and 24 hour intervals. </w:t>
      </w:r>
    </w:p>
    <w:p w:rsidR="006768E9" w:rsidRPr="00F447A7" w:rsidRDefault="006768E9" w:rsidP="00E3438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34388" w:rsidRPr="00456D9A" w:rsidRDefault="00E34388" w:rsidP="00E34388">
      <w:pPr>
        <w:spacing w:after="0" w:line="240" w:lineRule="auto"/>
        <w:jc w:val="both"/>
        <w:rPr>
          <w:rFonts w:ascii="Times New Roman" w:hAnsi="Times New Roman"/>
          <w:b/>
          <w:color w:val="000000"/>
          <w:sz w:val="20"/>
          <w:szCs w:val="20"/>
        </w:rPr>
      </w:pPr>
      <w:r w:rsidRPr="00456D9A">
        <w:rPr>
          <w:rFonts w:ascii="Times New Roman" w:hAnsi="Times New Roman"/>
          <w:b/>
          <w:color w:val="000000"/>
          <w:sz w:val="20"/>
          <w:szCs w:val="20"/>
        </w:rPr>
        <w:t xml:space="preserve">Selection of </w:t>
      </w:r>
      <w:r>
        <w:rPr>
          <w:rFonts w:ascii="Times New Roman" w:hAnsi="Times New Roman"/>
          <w:b/>
          <w:color w:val="000000"/>
          <w:sz w:val="20"/>
          <w:szCs w:val="20"/>
        </w:rPr>
        <w:t>Wavelength for Analysis</w:t>
      </w:r>
    </w:p>
    <w:p w:rsidR="00E34388" w:rsidRDefault="00E34388" w:rsidP="00E34388">
      <w:pPr>
        <w:spacing w:after="0" w:line="240" w:lineRule="auto"/>
        <w:jc w:val="both"/>
        <w:rPr>
          <w:rFonts w:ascii="Times New Roman" w:hAnsi="Times New Roman"/>
          <w:color w:val="000000"/>
          <w:sz w:val="20"/>
          <w:szCs w:val="20"/>
        </w:rPr>
      </w:pPr>
      <w:r w:rsidRPr="00456D9A">
        <w:rPr>
          <w:rFonts w:ascii="Times New Roman" w:hAnsi="Times New Roman"/>
          <w:color w:val="000000"/>
          <w:sz w:val="20"/>
          <w:szCs w:val="20"/>
        </w:rPr>
        <w:t>The UV spectrum of DTG ha</w:t>
      </w:r>
      <w:r>
        <w:rPr>
          <w:rFonts w:ascii="Times New Roman" w:hAnsi="Times New Roman"/>
          <w:color w:val="000000"/>
          <w:sz w:val="20"/>
          <w:szCs w:val="20"/>
        </w:rPr>
        <w:t>s</w:t>
      </w:r>
      <w:r w:rsidRPr="00456D9A">
        <w:rPr>
          <w:rFonts w:ascii="Times New Roman" w:hAnsi="Times New Roman"/>
          <w:color w:val="000000"/>
          <w:sz w:val="20"/>
          <w:szCs w:val="20"/>
        </w:rPr>
        <w:t xml:space="preserve"> shown</w:t>
      </w:r>
      <w:r>
        <w:rPr>
          <w:rFonts w:ascii="Times New Roman" w:hAnsi="Times New Roman"/>
          <w:color w:val="000000"/>
          <w:sz w:val="20"/>
          <w:szCs w:val="20"/>
        </w:rPr>
        <w:t xml:space="preserve"> maximum absorbance </w:t>
      </w:r>
      <w:r w:rsidRPr="00456D9A">
        <w:rPr>
          <w:rFonts w:ascii="Times New Roman" w:hAnsi="Times New Roman"/>
          <w:color w:val="000000"/>
          <w:sz w:val="20"/>
          <w:szCs w:val="20"/>
        </w:rPr>
        <w:t xml:space="preserve">at </w:t>
      </w:r>
      <w:r>
        <w:rPr>
          <w:rFonts w:ascii="Times New Roman" w:hAnsi="Times New Roman"/>
          <w:color w:val="000000"/>
          <w:sz w:val="20"/>
          <w:szCs w:val="20"/>
        </w:rPr>
        <w:t xml:space="preserve">the wavelength </w:t>
      </w:r>
      <w:r w:rsidRPr="00456D9A">
        <w:rPr>
          <w:rFonts w:ascii="Times New Roman" w:hAnsi="Times New Roman"/>
          <w:color w:val="000000"/>
          <w:sz w:val="20"/>
          <w:szCs w:val="20"/>
        </w:rPr>
        <w:t>259.80 nm. It was selected for the analysis of DTG in bulk and tablet formulation (Figure 2).</w:t>
      </w:r>
    </w:p>
    <w:p w:rsidR="00E34388" w:rsidRDefault="00E34388" w:rsidP="00E34388">
      <w:pPr>
        <w:spacing w:after="0" w:line="240" w:lineRule="auto"/>
        <w:jc w:val="both"/>
        <w:rPr>
          <w:rFonts w:ascii="Times New Roman" w:hAnsi="Times New Roman"/>
          <w:color w:val="000000"/>
          <w:sz w:val="20"/>
          <w:szCs w:val="20"/>
        </w:rPr>
      </w:pPr>
    </w:p>
    <w:p w:rsidR="00E34388" w:rsidRPr="00456D9A" w:rsidRDefault="00E34388" w:rsidP="00E34388">
      <w:pPr>
        <w:spacing w:after="0" w:line="240" w:lineRule="auto"/>
        <w:jc w:val="both"/>
        <w:rPr>
          <w:rFonts w:ascii="Times New Roman" w:hAnsi="Times New Roman"/>
          <w:color w:val="000000"/>
          <w:sz w:val="20"/>
          <w:szCs w:val="20"/>
        </w:rPr>
      </w:pPr>
    </w:p>
    <w:p w:rsidR="00E34388" w:rsidRPr="00456D9A" w:rsidRDefault="00E34388" w:rsidP="00E34388">
      <w:pPr>
        <w:autoSpaceDE w:val="0"/>
        <w:autoSpaceDN w:val="0"/>
        <w:adjustRightInd w:val="0"/>
        <w:spacing w:after="0" w:line="240" w:lineRule="auto"/>
        <w:jc w:val="center"/>
        <w:rPr>
          <w:rFonts w:ascii="Times New Roman" w:hAnsi="Times New Roman"/>
          <w:b/>
          <w:bCs/>
          <w:sz w:val="20"/>
          <w:szCs w:val="20"/>
        </w:rPr>
      </w:pPr>
      <w:r w:rsidRPr="00456D9A">
        <w:rPr>
          <w:rFonts w:ascii="Times New Roman" w:hAnsi="Times New Roman"/>
          <w:b/>
          <w:bCs/>
          <w:noProof/>
          <w:sz w:val="20"/>
          <w:szCs w:val="20"/>
          <w:lang w:val="en-GB" w:eastAsia="ko-KR" w:bidi="ar-SA"/>
        </w:rPr>
        <w:drawing>
          <wp:anchor distT="0" distB="0" distL="114300" distR="114300" simplePos="0" relativeHeight="251662848" behindDoc="0" locked="0" layoutInCell="1" allowOverlap="1" wp14:anchorId="6A7C7438" wp14:editId="43836D6C">
            <wp:simplePos x="0" y="0"/>
            <wp:positionH relativeFrom="column">
              <wp:posOffset>1047750</wp:posOffset>
            </wp:positionH>
            <wp:positionV relativeFrom="paragraph">
              <wp:posOffset>22860</wp:posOffset>
            </wp:positionV>
            <wp:extent cx="3663950" cy="2096135"/>
            <wp:effectExtent l="19050" t="19050" r="0" b="0"/>
            <wp:wrapSquare wrapText="bothSides"/>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3950" cy="2096135"/>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E34388" w:rsidRDefault="00E34388" w:rsidP="00E34388">
      <w:pPr>
        <w:autoSpaceDE w:val="0"/>
        <w:autoSpaceDN w:val="0"/>
        <w:adjustRightInd w:val="0"/>
        <w:spacing w:after="0" w:line="240" w:lineRule="auto"/>
        <w:jc w:val="center"/>
        <w:rPr>
          <w:rFonts w:ascii="Times New Roman" w:hAnsi="Times New Roman"/>
          <w:b/>
          <w:bCs/>
          <w:sz w:val="20"/>
          <w:szCs w:val="20"/>
        </w:rPr>
      </w:pPr>
    </w:p>
    <w:p w:rsidR="00E34388" w:rsidRDefault="00E34388" w:rsidP="00E34388">
      <w:pPr>
        <w:autoSpaceDE w:val="0"/>
        <w:autoSpaceDN w:val="0"/>
        <w:adjustRightInd w:val="0"/>
        <w:spacing w:after="0" w:line="240" w:lineRule="auto"/>
        <w:jc w:val="center"/>
        <w:rPr>
          <w:rFonts w:ascii="Times New Roman" w:hAnsi="Times New Roman"/>
          <w:b/>
          <w:bCs/>
          <w:sz w:val="20"/>
          <w:szCs w:val="20"/>
        </w:rPr>
      </w:pPr>
    </w:p>
    <w:p w:rsidR="00E34388" w:rsidRDefault="00E34388" w:rsidP="00E34388">
      <w:pPr>
        <w:autoSpaceDE w:val="0"/>
        <w:autoSpaceDN w:val="0"/>
        <w:adjustRightInd w:val="0"/>
        <w:spacing w:after="0" w:line="240" w:lineRule="auto"/>
        <w:jc w:val="center"/>
        <w:rPr>
          <w:rFonts w:ascii="Times New Roman" w:hAnsi="Times New Roman"/>
          <w:b/>
          <w:bCs/>
          <w:sz w:val="20"/>
          <w:szCs w:val="20"/>
        </w:rPr>
      </w:pPr>
    </w:p>
    <w:p w:rsidR="00E34388" w:rsidRDefault="00E34388" w:rsidP="00E34388">
      <w:pPr>
        <w:autoSpaceDE w:val="0"/>
        <w:autoSpaceDN w:val="0"/>
        <w:adjustRightInd w:val="0"/>
        <w:spacing w:after="0" w:line="240" w:lineRule="auto"/>
        <w:jc w:val="center"/>
        <w:rPr>
          <w:rFonts w:ascii="Times New Roman" w:hAnsi="Times New Roman"/>
          <w:b/>
          <w:bCs/>
          <w:sz w:val="20"/>
          <w:szCs w:val="20"/>
        </w:rPr>
      </w:pPr>
    </w:p>
    <w:p w:rsidR="00E34388" w:rsidRDefault="00E34388" w:rsidP="00E34388">
      <w:pPr>
        <w:autoSpaceDE w:val="0"/>
        <w:autoSpaceDN w:val="0"/>
        <w:adjustRightInd w:val="0"/>
        <w:spacing w:after="0" w:line="240" w:lineRule="auto"/>
        <w:jc w:val="center"/>
        <w:rPr>
          <w:rFonts w:ascii="Times New Roman" w:hAnsi="Times New Roman"/>
          <w:b/>
          <w:bCs/>
          <w:sz w:val="20"/>
          <w:szCs w:val="20"/>
        </w:rPr>
      </w:pPr>
    </w:p>
    <w:p w:rsidR="00E34388" w:rsidRDefault="00E34388" w:rsidP="00E34388">
      <w:pPr>
        <w:autoSpaceDE w:val="0"/>
        <w:autoSpaceDN w:val="0"/>
        <w:adjustRightInd w:val="0"/>
        <w:spacing w:after="0" w:line="240" w:lineRule="auto"/>
        <w:jc w:val="center"/>
        <w:rPr>
          <w:rFonts w:ascii="Times New Roman" w:hAnsi="Times New Roman"/>
          <w:b/>
          <w:bCs/>
          <w:sz w:val="20"/>
          <w:szCs w:val="20"/>
        </w:rPr>
      </w:pPr>
    </w:p>
    <w:p w:rsidR="00E34388" w:rsidRDefault="00E34388" w:rsidP="00E34388">
      <w:pPr>
        <w:autoSpaceDE w:val="0"/>
        <w:autoSpaceDN w:val="0"/>
        <w:adjustRightInd w:val="0"/>
        <w:spacing w:after="0" w:line="240" w:lineRule="auto"/>
        <w:jc w:val="center"/>
        <w:rPr>
          <w:rFonts w:ascii="Times New Roman" w:hAnsi="Times New Roman"/>
          <w:b/>
          <w:bCs/>
          <w:sz w:val="20"/>
          <w:szCs w:val="20"/>
        </w:rPr>
      </w:pPr>
    </w:p>
    <w:p w:rsidR="00E34388" w:rsidRDefault="00E34388" w:rsidP="00E34388">
      <w:pPr>
        <w:autoSpaceDE w:val="0"/>
        <w:autoSpaceDN w:val="0"/>
        <w:adjustRightInd w:val="0"/>
        <w:spacing w:after="0" w:line="240" w:lineRule="auto"/>
        <w:jc w:val="center"/>
        <w:rPr>
          <w:rFonts w:ascii="Times New Roman" w:hAnsi="Times New Roman"/>
          <w:b/>
          <w:bCs/>
          <w:sz w:val="20"/>
          <w:szCs w:val="20"/>
        </w:rPr>
      </w:pPr>
    </w:p>
    <w:p w:rsidR="00E34388" w:rsidRDefault="00E34388" w:rsidP="00E34388">
      <w:pPr>
        <w:autoSpaceDE w:val="0"/>
        <w:autoSpaceDN w:val="0"/>
        <w:adjustRightInd w:val="0"/>
        <w:spacing w:after="0" w:line="240" w:lineRule="auto"/>
        <w:jc w:val="center"/>
        <w:rPr>
          <w:rFonts w:ascii="Times New Roman" w:hAnsi="Times New Roman"/>
          <w:b/>
          <w:bCs/>
          <w:sz w:val="20"/>
          <w:szCs w:val="20"/>
        </w:rPr>
      </w:pPr>
    </w:p>
    <w:p w:rsidR="00E34388" w:rsidRDefault="00E34388" w:rsidP="00E34388">
      <w:pPr>
        <w:autoSpaceDE w:val="0"/>
        <w:autoSpaceDN w:val="0"/>
        <w:adjustRightInd w:val="0"/>
        <w:spacing w:after="0" w:line="240" w:lineRule="auto"/>
        <w:jc w:val="center"/>
        <w:rPr>
          <w:rFonts w:ascii="Times New Roman" w:hAnsi="Times New Roman"/>
          <w:b/>
          <w:bCs/>
          <w:sz w:val="20"/>
          <w:szCs w:val="20"/>
        </w:rPr>
      </w:pPr>
    </w:p>
    <w:p w:rsidR="00E34388" w:rsidRDefault="00E34388" w:rsidP="00E34388">
      <w:pPr>
        <w:autoSpaceDE w:val="0"/>
        <w:autoSpaceDN w:val="0"/>
        <w:adjustRightInd w:val="0"/>
        <w:spacing w:after="0" w:line="240" w:lineRule="auto"/>
        <w:jc w:val="center"/>
        <w:rPr>
          <w:rFonts w:ascii="Times New Roman" w:hAnsi="Times New Roman"/>
          <w:b/>
          <w:bCs/>
          <w:sz w:val="20"/>
          <w:szCs w:val="20"/>
        </w:rPr>
      </w:pPr>
    </w:p>
    <w:p w:rsidR="00E34388" w:rsidRDefault="00E34388" w:rsidP="00E34388">
      <w:pPr>
        <w:autoSpaceDE w:val="0"/>
        <w:autoSpaceDN w:val="0"/>
        <w:adjustRightInd w:val="0"/>
        <w:spacing w:after="0" w:line="240" w:lineRule="auto"/>
        <w:jc w:val="center"/>
        <w:rPr>
          <w:rFonts w:ascii="Times New Roman" w:hAnsi="Times New Roman"/>
          <w:b/>
          <w:bCs/>
          <w:sz w:val="20"/>
          <w:szCs w:val="20"/>
        </w:rPr>
      </w:pPr>
    </w:p>
    <w:p w:rsidR="00E34388" w:rsidRDefault="00E34388" w:rsidP="00E34388">
      <w:pPr>
        <w:autoSpaceDE w:val="0"/>
        <w:autoSpaceDN w:val="0"/>
        <w:adjustRightInd w:val="0"/>
        <w:spacing w:after="0" w:line="240" w:lineRule="auto"/>
        <w:jc w:val="center"/>
        <w:rPr>
          <w:rFonts w:ascii="Times New Roman" w:hAnsi="Times New Roman"/>
          <w:b/>
          <w:bCs/>
          <w:sz w:val="20"/>
          <w:szCs w:val="20"/>
        </w:rPr>
      </w:pPr>
    </w:p>
    <w:p w:rsidR="00E34388" w:rsidRDefault="00E34388" w:rsidP="00E34388">
      <w:pPr>
        <w:autoSpaceDE w:val="0"/>
        <w:autoSpaceDN w:val="0"/>
        <w:adjustRightInd w:val="0"/>
        <w:spacing w:after="0" w:line="240" w:lineRule="auto"/>
        <w:jc w:val="center"/>
        <w:rPr>
          <w:rFonts w:ascii="Times New Roman" w:hAnsi="Times New Roman"/>
          <w:b/>
          <w:bCs/>
          <w:sz w:val="20"/>
          <w:szCs w:val="20"/>
        </w:rPr>
      </w:pPr>
    </w:p>
    <w:p w:rsidR="00E34388" w:rsidRPr="002E14F2" w:rsidRDefault="00E34388" w:rsidP="00E34388">
      <w:pPr>
        <w:autoSpaceDE w:val="0"/>
        <w:autoSpaceDN w:val="0"/>
        <w:adjustRightInd w:val="0"/>
        <w:spacing w:before="60" w:after="0" w:line="240" w:lineRule="auto"/>
        <w:jc w:val="center"/>
        <w:rPr>
          <w:rFonts w:ascii="Times New Roman" w:hAnsi="Times New Roman"/>
          <w:sz w:val="20"/>
          <w:szCs w:val="20"/>
        </w:rPr>
      </w:pPr>
      <w:r w:rsidRPr="002E14F2">
        <w:rPr>
          <w:rFonts w:ascii="Times New Roman" w:hAnsi="Times New Roman"/>
          <w:bCs/>
          <w:sz w:val="20"/>
          <w:szCs w:val="20"/>
        </w:rPr>
        <w:t>Figure 2</w:t>
      </w:r>
      <w:r>
        <w:rPr>
          <w:rFonts w:ascii="Times New Roman" w:hAnsi="Times New Roman"/>
          <w:bCs/>
          <w:sz w:val="20"/>
          <w:szCs w:val="20"/>
        </w:rPr>
        <w:t xml:space="preserve">.  </w:t>
      </w:r>
      <w:r w:rsidRPr="002E14F2">
        <w:rPr>
          <w:rFonts w:ascii="Times New Roman" w:hAnsi="Times New Roman"/>
          <w:bCs/>
          <w:sz w:val="20"/>
          <w:szCs w:val="20"/>
        </w:rPr>
        <w:t>UV spectrum of standard DTG</w:t>
      </w:r>
    </w:p>
    <w:p w:rsidR="00E34388" w:rsidRPr="00970B44" w:rsidRDefault="00E34388" w:rsidP="00E34388">
      <w:pPr>
        <w:spacing w:after="0" w:line="240" w:lineRule="auto"/>
        <w:jc w:val="both"/>
        <w:rPr>
          <w:rFonts w:ascii="Times New Roman" w:hAnsi="Times New Roman"/>
          <w:color w:val="000000"/>
          <w:sz w:val="20"/>
          <w:szCs w:val="20"/>
        </w:rPr>
      </w:pPr>
    </w:p>
    <w:p w:rsidR="00E34388" w:rsidRPr="00970B44" w:rsidRDefault="00E34388" w:rsidP="00E34388">
      <w:pPr>
        <w:spacing w:after="0" w:line="240" w:lineRule="auto"/>
        <w:jc w:val="both"/>
        <w:rPr>
          <w:rFonts w:ascii="Times New Roman" w:hAnsi="Times New Roman"/>
          <w:color w:val="000000"/>
          <w:sz w:val="20"/>
          <w:szCs w:val="20"/>
        </w:rPr>
      </w:pPr>
    </w:p>
    <w:p w:rsidR="00E34388" w:rsidRPr="00456D9A" w:rsidRDefault="00E34388" w:rsidP="00E34388">
      <w:pPr>
        <w:spacing w:after="0" w:line="240" w:lineRule="auto"/>
        <w:jc w:val="both"/>
        <w:rPr>
          <w:rFonts w:ascii="Times New Roman" w:hAnsi="Times New Roman"/>
          <w:b/>
          <w:color w:val="000000"/>
          <w:sz w:val="20"/>
          <w:szCs w:val="20"/>
        </w:rPr>
      </w:pPr>
      <w:r w:rsidRPr="00456D9A">
        <w:rPr>
          <w:rFonts w:ascii="Times New Roman" w:hAnsi="Times New Roman"/>
          <w:b/>
          <w:color w:val="000000"/>
          <w:sz w:val="20"/>
          <w:szCs w:val="20"/>
        </w:rPr>
        <w:t xml:space="preserve">Preparation </w:t>
      </w:r>
      <w:r>
        <w:rPr>
          <w:rFonts w:ascii="Times New Roman" w:hAnsi="Times New Roman"/>
          <w:b/>
          <w:color w:val="000000"/>
          <w:sz w:val="20"/>
          <w:szCs w:val="20"/>
        </w:rPr>
        <w:t>of t</w:t>
      </w:r>
      <w:r w:rsidRPr="00456D9A">
        <w:rPr>
          <w:rFonts w:ascii="Times New Roman" w:hAnsi="Times New Roman"/>
          <w:b/>
          <w:color w:val="000000"/>
          <w:sz w:val="20"/>
          <w:szCs w:val="20"/>
        </w:rPr>
        <w:t xml:space="preserve">he Calibration Curve </w:t>
      </w:r>
    </w:p>
    <w:p w:rsidR="00E34388" w:rsidRPr="00456D9A" w:rsidRDefault="00E34388" w:rsidP="00E34388">
      <w:pPr>
        <w:spacing w:after="0" w:line="240" w:lineRule="auto"/>
        <w:jc w:val="both"/>
        <w:rPr>
          <w:rFonts w:ascii="Times New Roman" w:hAnsi="Times New Roman"/>
          <w:color w:val="000000"/>
          <w:sz w:val="20"/>
          <w:szCs w:val="20"/>
        </w:rPr>
      </w:pPr>
      <w:r w:rsidRPr="00456D9A">
        <w:rPr>
          <w:rFonts w:ascii="Times New Roman" w:hAnsi="Times New Roman"/>
          <w:color w:val="000000"/>
          <w:sz w:val="20"/>
          <w:szCs w:val="20"/>
        </w:rPr>
        <w:t xml:space="preserve">The calibration curve was constructed by plotting absorbance against corresponding concentration. The calibration curve </w:t>
      </w:r>
      <w:r>
        <w:rPr>
          <w:rFonts w:ascii="Times New Roman" w:hAnsi="Times New Roman"/>
          <w:color w:val="000000"/>
          <w:sz w:val="20"/>
          <w:szCs w:val="20"/>
        </w:rPr>
        <w:t xml:space="preserve">for DTG </w:t>
      </w:r>
      <w:r w:rsidRPr="00456D9A">
        <w:rPr>
          <w:rFonts w:ascii="Times New Roman" w:hAnsi="Times New Roman"/>
          <w:color w:val="000000"/>
          <w:sz w:val="20"/>
          <w:szCs w:val="20"/>
        </w:rPr>
        <w:t>is shown in Figure 3.</w:t>
      </w:r>
      <w:r>
        <w:rPr>
          <w:rFonts w:ascii="Times New Roman" w:hAnsi="Times New Roman"/>
          <w:color w:val="000000"/>
          <w:sz w:val="20"/>
          <w:szCs w:val="20"/>
        </w:rPr>
        <w:t xml:space="preserve"> </w:t>
      </w:r>
      <w:r w:rsidRPr="00455495">
        <w:rPr>
          <w:rFonts w:ascii="Times New Roman" w:hAnsi="Times New Roman"/>
          <w:kern w:val="2"/>
          <w:sz w:val="18"/>
          <w:szCs w:val="18"/>
          <w:lang w:eastAsia="ko-KR"/>
        </w:rPr>
        <w:t xml:space="preserve">The drug </w:t>
      </w:r>
      <w:r>
        <w:rPr>
          <w:rFonts w:ascii="Times New Roman" w:hAnsi="Times New Roman"/>
          <w:kern w:val="2"/>
          <w:sz w:val="18"/>
          <w:szCs w:val="18"/>
          <w:lang w:eastAsia="ko-KR"/>
        </w:rPr>
        <w:t xml:space="preserve">was </w:t>
      </w:r>
      <w:r w:rsidRPr="00455495">
        <w:rPr>
          <w:rFonts w:ascii="Times New Roman" w:hAnsi="Times New Roman"/>
          <w:kern w:val="2"/>
          <w:sz w:val="18"/>
          <w:szCs w:val="18"/>
          <w:lang w:eastAsia="ko-KR"/>
        </w:rPr>
        <w:t>obeyed Beer–Lambert’s law in the concentration range of 5–40 μg/mL with coefficient of correlation (R</w:t>
      </w:r>
      <w:r w:rsidRPr="00F14DAB">
        <w:rPr>
          <w:rFonts w:ascii="Times New Roman" w:hAnsi="Times New Roman"/>
          <w:kern w:val="2"/>
          <w:sz w:val="18"/>
          <w:szCs w:val="18"/>
          <w:vertAlign w:val="superscript"/>
          <w:lang w:eastAsia="ko-KR"/>
        </w:rPr>
        <w:t>2</w:t>
      </w:r>
      <w:r w:rsidRPr="00455495">
        <w:rPr>
          <w:rFonts w:ascii="Times New Roman" w:hAnsi="Times New Roman"/>
          <w:kern w:val="2"/>
          <w:sz w:val="18"/>
          <w:szCs w:val="18"/>
          <w:lang w:eastAsia="ko-KR"/>
        </w:rPr>
        <w:t>) was 0.9992.</w:t>
      </w:r>
    </w:p>
    <w:p w:rsidR="00E34388" w:rsidRDefault="00E34388" w:rsidP="00E34388">
      <w:pPr>
        <w:tabs>
          <w:tab w:val="left" w:pos="1393"/>
        </w:tabs>
        <w:spacing w:after="0" w:line="240" w:lineRule="auto"/>
        <w:jc w:val="center"/>
        <w:rPr>
          <w:rFonts w:ascii="Times New Roman" w:hAnsi="Times New Roman"/>
          <w:sz w:val="20"/>
          <w:szCs w:val="20"/>
        </w:rPr>
      </w:pPr>
    </w:p>
    <w:p w:rsidR="00970B44" w:rsidRDefault="00970B44" w:rsidP="00E34388">
      <w:pPr>
        <w:tabs>
          <w:tab w:val="left" w:pos="1393"/>
        </w:tabs>
        <w:spacing w:after="0" w:line="240" w:lineRule="auto"/>
        <w:jc w:val="center"/>
        <w:rPr>
          <w:rFonts w:ascii="Times New Roman" w:hAnsi="Times New Roman"/>
          <w:sz w:val="20"/>
          <w:szCs w:val="20"/>
        </w:rPr>
      </w:pPr>
    </w:p>
    <w:p w:rsidR="00970B44" w:rsidRDefault="00970B44" w:rsidP="00E34388">
      <w:pPr>
        <w:tabs>
          <w:tab w:val="left" w:pos="1393"/>
        </w:tabs>
        <w:spacing w:after="0" w:line="240" w:lineRule="auto"/>
        <w:jc w:val="center"/>
        <w:rPr>
          <w:rFonts w:ascii="Times New Roman" w:hAnsi="Times New Roman"/>
          <w:sz w:val="20"/>
          <w:szCs w:val="20"/>
        </w:rPr>
      </w:pPr>
    </w:p>
    <w:p w:rsidR="00970B44" w:rsidRDefault="00970B44" w:rsidP="00E34388">
      <w:pPr>
        <w:tabs>
          <w:tab w:val="left" w:pos="1393"/>
        </w:tabs>
        <w:spacing w:after="0" w:line="240" w:lineRule="auto"/>
        <w:jc w:val="center"/>
        <w:rPr>
          <w:rFonts w:ascii="Times New Roman" w:hAnsi="Times New Roman"/>
          <w:sz w:val="20"/>
          <w:szCs w:val="20"/>
        </w:rPr>
      </w:pPr>
    </w:p>
    <w:p w:rsidR="00970B44" w:rsidRPr="00970B44" w:rsidRDefault="00970B44" w:rsidP="00E34388">
      <w:pPr>
        <w:tabs>
          <w:tab w:val="left" w:pos="1393"/>
        </w:tabs>
        <w:spacing w:after="0" w:line="240" w:lineRule="auto"/>
        <w:jc w:val="center"/>
        <w:rPr>
          <w:rFonts w:ascii="Times New Roman" w:hAnsi="Times New Roman"/>
          <w:sz w:val="20"/>
          <w:szCs w:val="20"/>
        </w:rPr>
      </w:pPr>
    </w:p>
    <w:p w:rsidR="00E34388" w:rsidRPr="00456D9A" w:rsidRDefault="00E34388" w:rsidP="00E34388">
      <w:pPr>
        <w:spacing w:after="0" w:line="240" w:lineRule="auto"/>
        <w:jc w:val="center"/>
        <w:rPr>
          <w:rFonts w:ascii="Times New Roman" w:hAnsi="Times New Roman"/>
          <w:b/>
          <w:sz w:val="20"/>
          <w:szCs w:val="20"/>
        </w:rPr>
      </w:pPr>
      <w:r w:rsidRPr="00EA3196">
        <w:rPr>
          <w:rFonts w:ascii="Times New Roman" w:hAnsi="Times New Roman"/>
          <w:b/>
          <w:noProof/>
          <w:color w:val="000000"/>
          <w:sz w:val="20"/>
          <w:szCs w:val="20"/>
          <w:bdr w:val="single" w:sz="4" w:space="0" w:color="auto"/>
          <w:lang w:val="en-GB" w:eastAsia="ko-KR" w:bidi="ar-SA"/>
        </w:rPr>
        <w:drawing>
          <wp:inline distT="0" distB="0" distL="0" distR="0" wp14:anchorId="2409A359" wp14:editId="20CC6261">
            <wp:extent cx="3733800" cy="2152650"/>
            <wp:effectExtent l="0" t="0" r="0" b="0"/>
            <wp:docPr id="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34388" w:rsidRPr="00456D9A" w:rsidRDefault="00E34388" w:rsidP="00E34388">
      <w:pPr>
        <w:spacing w:after="0" w:line="240" w:lineRule="auto"/>
        <w:jc w:val="center"/>
        <w:rPr>
          <w:rFonts w:ascii="Times New Roman" w:hAnsi="Times New Roman"/>
          <w:b/>
          <w:color w:val="000000"/>
          <w:sz w:val="20"/>
          <w:szCs w:val="20"/>
        </w:rPr>
      </w:pPr>
    </w:p>
    <w:p w:rsidR="00E34388" w:rsidRPr="002E14F2" w:rsidRDefault="00E34388" w:rsidP="00E3438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Figure 3.  </w:t>
      </w:r>
      <w:r w:rsidRPr="002E14F2">
        <w:rPr>
          <w:rFonts w:ascii="Times New Roman" w:hAnsi="Times New Roman"/>
          <w:color w:val="000000"/>
          <w:sz w:val="20"/>
          <w:szCs w:val="20"/>
        </w:rPr>
        <w:t>Calibration Plot for DTG</w:t>
      </w:r>
    </w:p>
    <w:p w:rsidR="00E34388" w:rsidRPr="00970B44" w:rsidRDefault="00E34388" w:rsidP="00E34388">
      <w:pPr>
        <w:spacing w:after="0" w:line="240" w:lineRule="auto"/>
        <w:jc w:val="both"/>
        <w:rPr>
          <w:rFonts w:ascii="Times New Roman" w:hAnsi="Times New Roman"/>
          <w:color w:val="000000"/>
          <w:sz w:val="20"/>
          <w:szCs w:val="20"/>
        </w:rPr>
      </w:pPr>
    </w:p>
    <w:p w:rsidR="00E34388" w:rsidRPr="00970B44" w:rsidRDefault="00E34388" w:rsidP="00E34388">
      <w:pPr>
        <w:spacing w:after="0" w:line="240" w:lineRule="auto"/>
        <w:jc w:val="both"/>
        <w:rPr>
          <w:rFonts w:ascii="Times New Roman" w:hAnsi="Times New Roman"/>
          <w:color w:val="000000"/>
          <w:sz w:val="20"/>
          <w:szCs w:val="20"/>
        </w:rPr>
      </w:pPr>
    </w:p>
    <w:p w:rsidR="00E34388" w:rsidRPr="00456D9A" w:rsidRDefault="00E34388" w:rsidP="00E34388">
      <w:pPr>
        <w:spacing w:after="0" w:line="240" w:lineRule="auto"/>
        <w:jc w:val="both"/>
        <w:rPr>
          <w:rFonts w:ascii="Times New Roman" w:hAnsi="Times New Roman"/>
          <w:b/>
          <w:color w:val="000000"/>
          <w:sz w:val="20"/>
          <w:szCs w:val="20"/>
        </w:rPr>
      </w:pPr>
      <w:r w:rsidRPr="00456D9A">
        <w:rPr>
          <w:rFonts w:ascii="Times New Roman" w:hAnsi="Times New Roman"/>
          <w:b/>
          <w:color w:val="000000"/>
          <w:sz w:val="20"/>
          <w:szCs w:val="20"/>
        </w:rPr>
        <w:t>Assay of DTG in Tablet</w:t>
      </w:r>
    </w:p>
    <w:p w:rsidR="00E34388" w:rsidRDefault="00E34388" w:rsidP="00E34388">
      <w:pPr>
        <w:spacing w:after="0" w:line="240" w:lineRule="auto"/>
        <w:jc w:val="both"/>
        <w:rPr>
          <w:rFonts w:ascii="Times New Roman" w:hAnsi="Times New Roman"/>
          <w:sz w:val="20"/>
          <w:szCs w:val="20"/>
        </w:rPr>
      </w:pPr>
      <w:r w:rsidRPr="00456D9A">
        <w:rPr>
          <w:rFonts w:ascii="Times New Roman" w:hAnsi="Times New Roman"/>
          <w:color w:val="000000"/>
          <w:sz w:val="20"/>
          <w:szCs w:val="20"/>
        </w:rPr>
        <w:t xml:space="preserve">The amount of DTG present in formulation was calculated by comparing the absorbance of sample with standard absorbance. </w:t>
      </w:r>
      <w:r>
        <w:rPr>
          <w:rFonts w:ascii="Times New Roman" w:hAnsi="Times New Roman"/>
          <w:color w:val="000000"/>
          <w:sz w:val="20"/>
          <w:szCs w:val="20"/>
        </w:rPr>
        <w:t xml:space="preserve">Content of DTG in tablet formulation determined by developed method was in good agreement with the label claim. </w:t>
      </w:r>
      <w:r w:rsidRPr="00456D9A">
        <w:rPr>
          <w:rFonts w:ascii="Times New Roman" w:hAnsi="Times New Roman"/>
          <w:sz w:val="20"/>
          <w:szCs w:val="20"/>
          <w:lang w:val="el-GR"/>
        </w:rPr>
        <w:t xml:space="preserve">The results obtained are shown in Table </w:t>
      </w:r>
      <w:r>
        <w:rPr>
          <w:rFonts w:ascii="Times New Roman" w:hAnsi="Times New Roman"/>
          <w:sz w:val="20"/>
          <w:szCs w:val="20"/>
        </w:rPr>
        <w:t>1</w:t>
      </w:r>
      <w:r w:rsidRPr="00456D9A">
        <w:rPr>
          <w:rFonts w:ascii="Times New Roman" w:hAnsi="Times New Roman"/>
          <w:sz w:val="20"/>
          <w:szCs w:val="20"/>
          <w:lang w:val="el-GR"/>
        </w:rPr>
        <w:t>.</w:t>
      </w:r>
    </w:p>
    <w:p w:rsidR="00E34388" w:rsidRPr="002E14F2" w:rsidRDefault="00E34388" w:rsidP="00E34388">
      <w:pPr>
        <w:spacing w:after="0" w:line="240" w:lineRule="auto"/>
        <w:jc w:val="both"/>
        <w:rPr>
          <w:rFonts w:ascii="Times New Roman" w:hAnsi="Times New Roman"/>
          <w:color w:val="000000"/>
          <w:sz w:val="20"/>
          <w:szCs w:val="20"/>
        </w:rPr>
      </w:pPr>
    </w:p>
    <w:p w:rsidR="00E34388" w:rsidRDefault="00E34388" w:rsidP="00E34388">
      <w:pPr>
        <w:autoSpaceDE w:val="0"/>
        <w:autoSpaceDN w:val="0"/>
        <w:adjustRightInd w:val="0"/>
        <w:spacing w:after="0" w:line="240" w:lineRule="auto"/>
        <w:jc w:val="center"/>
        <w:rPr>
          <w:rFonts w:ascii="Times New Roman" w:hAnsi="Times New Roman"/>
          <w:b/>
          <w:bCs/>
          <w:sz w:val="20"/>
          <w:szCs w:val="20"/>
        </w:rPr>
      </w:pPr>
    </w:p>
    <w:p w:rsidR="00E34388" w:rsidRPr="00E34388" w:rsidRDefault="00E34388" w:rsidP="00E34388">
      <w:pPr>
        <w:autoSpaceDE w:val="0"/>
        <w:autoSpaceDN w:val="0"/>
        <w:adjustRightInd w:val="0"/>
        <w:spacing w:after="120" w:line="240" w:lineRule="auto"/>
        <w:jc w:val="center"/>
        <w:rPr>
          <w:rFonts w:ascii="Times New Roman" w:hAnsi="Times New Roman"/>
          <w:bCs/>
          <w:sz w:val="20"/>
          <w:szCs w:val="20"/>
        </w:rPr>
      </w:pPr>
      <w:r w:rsidRPr="002E14F2">
        <w:rPr>
          <w:rFonts w:ascii="Times New Roman" w:hAnsi="Times New Roman"/>
          <w:bCs/>
          <w:sz w:val="20"/>
          <w:szCs w:val="20"/>
        </w:rPr>
        <w:t xml:space="preserve">Table 1. </w:t>
      </w:r>
      <w:r>
        <w:rPr>
          <w:rFonts w:ascii="Times New Roman" w:hAnsi="Times New Roman"/>
          <w:bCs/>
          <w:sz w:val="20"/>
          <w:szCs w:val="20"/>
        </w:rPr>
        <w:t xml:space="preserve"> </w:t>
      </w:r>
      <w:r w:rsidRPr="002E14F2">
        <w:rPr>
          <w:rFonts w:ascii="Times New Roman" w:hAnsi="Times New Roman"/>
          <w:bCs/>
          <w:sz w:val="20"/>
          <w:szCs w:val="20"/>
        </w:rPr>
        <w:t>Assay of Tablet Formulation</w:t>
      </w:r>
    </w:p>
    <w:tbl>
      <w:tblPr>
        <w:tblStyle w:val="TableGrid"/>
        <w:tblW w:w="5119"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342"/>
        <w:gridCol w:w="1777"/>
      </w:tblGrid>
      <w:tr w:rsidR="00E34388" w:rsidRPr="00456D9A" w:rsidTr="00FD0839">
        <w:trPr>
          <w:jc w:val="center"/>
        </w:trPr>
        <w:tc>
          <w:tcPr>
            <w:tcW w:w="3342" w:type="dxa"/>
          </w:tcPr>
          <w:p w:rsidR="00E34388" w:rsidRPr="00456D9A" w:rsidRDefault="00E34388" w:rsidP="00E34388">
            <w:pPr>
              <w:spacing w:before="60" w:after="60" w:line="240" w:lineRule="auto"/>
              <w:jc w:val="left"/>
              <w:rPr>
                <w:rFonts w:ascii="Times New Roman" w:hAnsi="Times New Roman" w:cs="Times New Roman"/>
                <w:b/>
                <w:sz w:val="20"/>
                <w:szCs w:val="20"/>
              </w:rPr>
            </w:pPr>
            <w:r w:rsidRPr="00456D9A">
              <w:rPr>
                <w:rFonts w:ascii="Times New Roman" w:hAnsi="Times New Roman" w:cs="Times New Roman"/>
                <w:b/>
                <w:sz w:val="20"/>
                <w:szCs w:val="20"/>
              </w:rPr>
              <w:t>Labeled claim (mg)</w:t>
            </w:r>
          </w:p>
        </w:tc>
        <w:tc>
          <w:tcPr>
            <w:tcW w:w="1777" w:type="dxa"/>
            <w:vAlign w:val="center"/>
          </w:tcPr>
          <w:p w:rsidR="00E34388" w:rsidRPr="00F07082" w:rsidRDefault="00E34388" w:rsidP="00E34388">
            <w:pPr>
              <w:spacing w:before="60" w:after="60" w:line="240" w:lineRule="auto"/>
              <w:rPr>
                <w:rFonts w:ascii="Times New Roman" w:hAnsi="Times New Roman" w:cs="Times New Roman"/>
                <w:sz w:val="20"/>
                <w:szCs w:val="20"/>
              </w:rPr>
            </w:pPr>
            <w:r w:rsidRPr="00F07082">
              <w:rPr>
                <w:rFonts w:ascii="Times New Roman" w:hAnsi="Times New Roman" w:cs="Times New Roman"/>
                <w:sz w:val="20"/>
                <w:szCs w:val="20"/>
              </w:rPr>
              <w:t>50</w:t>
            </w:r>
          </w:p>
        </w:tc>
      </w:tr>
      <w:tr w:rsidR="00E34388" w:rsidRPr="00456D9A" w:rsidTr="00FD0839">
        <w:trPr>
          <w:jc w:val="center"/>
        </w:trPr>
        <w:tc>
          <w:tcPr>
            <w:tcW w:w="3342" w:type="dxa"/>
          </w:tcPr>
          <w:p w:rsidR="00E34388" w:rsidRPr="00456D9A" w:rsidRDefault="00E34388" w:rsidP="00970B44">
            <w:pPr>
              <w:spacing w:before="60" w:after="60" w:line="240" w:lineRule="auto"/>
              <w:jc w:val="left"/>
              <w:rPr>
                <w:rFonts w:ascii="Times New Roman" w:hAnsi="Times New Roman" w:cs="Times New Roman"/>
                <w:b/>
                <w:sz w:val="20"/>
                <w:szCs w:val="20"/>
              </w:rPr>
            </w:pPr>
            <w:r w:rsidRPr="00456D9A">
              <w:rPr>
                <w:rFonts w:ascii="Times New Roman" w:hAnsi="Times New Roman" w:cs="Times New Roman"/>
                <w:b/>
                <w:sz w:val="20"/>
                <w:szCs w:val="20"/>
              </w:rPr>
              <w:t xml:space="preserve">Amount found* </w:t>
            </w:r>
            <w:r w:rsidRPr="00456D9A">
              <w:rPr>
                <w:rFonts w:ascii="Times New Roman" w:hAnsi="Times New Roman" w:cs="Times New Roman"/>
                <w:b/>
                <w:sz w:val="20"/>
                <w:szCs w:val="20"/>
              </w:rPr>
              <w:sym w:font="Symbol" w:char="F0B1"/>
            </w:r>
            <w:r w:rsidRPr="00456D9A">
              <w:rPr>
                <w:rFonts w:ascii="Times New Roman" w:hAnsi="Times New Roman" w:cs="Times New Roman"/>
                <w:b/>
                <w:sz w:val="20"/>
                <w:szCs w:val="20"/>
              </w:rPr>
              <w:t xml:space="preserve"> SD (mg)</w:t>
            </w:r>
          </w:p>
        </w:tc>
        <w:tc>
          <w:tcPr>
            <w:tcW w:w="1777" w:type="dxa"/>
            <w:vAlign w:val="center"/>
          </w:tcPr>
          <w:p w:rsidR="00E34388" w:rsidRPr="00F07082" w:rsidRDefault="00E34388" w:rsidP="00970B44">
            <w:pPr>
              <w:spacing w:before="60" w:after="60" w:line="240" w:lineRule="auto"/>
              <w:rPr>
                <w:rFonts w:ascii="Times New Roman" w:hAnsi="Times New Roman" w:cs="Times New Roman"/>
                <w:sz w:val="20"/>
                <w:szCs w:val="20"/>
              </w:rPr>
            </w:pPr>
            <w:r w:rsidRPr="00F07082">
              <w:rPr>
                <w:rFonts w:ascii="Times New Roman" w:hAnsi="Times New Roman" w:cs="Times New Roman"/>
                <w:sz w:val="20"/>
                <w:szCs w:val="20"/>
              </w:rPr>
              <w:t xml:space="preserve">50.18 </w:t>
            </w:r>
            <w:r w:rsidRPr="00F07082">
              <w:rPr>
                <w:rFonts w:ascii="Times New Roman" w:hAnsi="Times New Roman" w:cs="Times New Roman"/>
                <w:sz w:val="20"/>
                <w:szCs w:val="20"/>
              </w:rPr>
              <w:sym w:font="Symbol" w:char="F0B1"/>
            </w:r>
            <w:r w:rsidRPr="00F07082">
              <w:rPr>
                <w:rFonts w:ascii="Times New Roman" w:hAnsi="Times New Roman" w:cs="Times New Roman"/>
                <w:sz w:val="20"/>
                <w:szCs w:val="20"/>
              </w:rPr>
              <w:t xml:space="preserve"> 0.14</w:t>
            </w:r>
          </w:p>
        </w:tc>
      </w:tr>
      <w:tr w:rsidR="00E34388" w:rsidRPr="00456D9A" w:rsidTr="00FD0839">
        <w:trPr>
          <w:jc w:val="center"/>
        </w:trPr>
        <w:tc>
          <w:tcPr>
            <w:tcW w:w="3342" w:type="dxa"/>
          </w:tcPr>
          <w:p w:rsidR="00E34388" w:rsidRPr="00456D9A" w:rsidRDefault="00E34388" w:rsidP="00970B44">
            <w:pPr>
              <w:spacing w:before="60" w:after="60" w:line="240" w:lineRule="auto"/>
              <w:jc w:val="left"/>
              <w:rPr>
                <w:rFonts w:ascii="Times New Roman" w:hAnsi="Times New Roman" w:cs="Times New Roman"/>
                <w:b/>
                <w:sz w:val="20"/>
                <w:szCs w:val="20"/>
              </w:rPr>
            </w:pPr>
            <w:r w:rsidRPr="00456D9A">
              <w:rPr>
                <w:rFonts w:ascii="Times New Roman" w:hAnsi="Times New Roman" w:cs="Times New Roman"/>
                <w:b/>
                <w:sz w:val="20"/>
                <w:szCs w:val="20"/>
              </w:rPr>
              <w:t>% Labeled claim</w:t>
            </w:r>
          </w:p>
        </w:tc>
        <w:tc>
          <w:tcPr>
            <w:tcW w:w="1777" w:type="dxa"/>
            <w:vAlign w:val="center"/>
          </w:tcPr>
          <w:p w:rsidR="00E34388" w:rsidRPr="00F07082" w:rsidRDefault="00E34388" w:rsidP="00970B44">
            <w:pPr>
              <w:spacing w:before="60" w:after="60" w:line="240" w:lineRule="auto"/>
              <w:rPr>
                <w:rFonts w:ascii="Times New Roman" w:hAnsi="Times New Roman" w:cs="Times New Roman"/>
                <w:sz w:val="20"/>
                <w:szCs w:val="20"/>
              </w:rPr>
            </w:pPr>
            <w:r w:rsidRPr="00F07082">
              <w:rPr>
                <w:rFonts w:ascii="Times New Roman" w:hAnsi="Times New Roman" w:cs="Times New Roman"/>
                <w:sz w:val="20"/>
                <w:szCs w:val="20"/>
              </w:rPr>
              <w:t>100.37</w:t>
            </w:r>
          </w:p>
        </w:tc>
      </w:tr>
      <w:tr w:rsidR="00E34388" w:rsidRPr="00456D9A" w:rsidTr="00FD0839">
        <w:trPr>
          <w:jc w:val="center"/>
        </w:trPr>
        <w:tc>
          <w:tcPr>
            <w:tcW w:w="3342" w:type="dxa"/>
          </w:tcPr>
          <w:p w:rsidR="00E34388" w:rsidRPr="00456D9A" w:rsidRDefault="00E34388" w:rsidP="00970B44">
            <w:pPr>
              <w:spacing w:before="60" w:after="60" w:line="240" w:lineRule="auto"/>
              <w:jc w:val="left"/>
              <w:rPr>
                <w:rFonts w:ascii="Times New Roman" w:hAnsi="Times New Roman" w:cs="Times New Roman"/>
                <w:b/>
                <w:sz w:val="20"/>
                <w:szCs w:val="20"/>
              </w:rPr>
            </w:pPr>
            <w:r w:rsidRPr="00456D9A">
              <w:rPr>
                <w:rFonts w:ascii="Times New Roman" w:hAnsi="Times New Roman" w:cs="Times New Roman"/>
                <w:b/>
                <w:sz w:val="20"/>
                <w:szCs w:val="20"/>
              </w:rPr>
              <w:t>% RSD</w:t>
            </w:r>
          </w:p>
        </w:tc>
        <w:tc>
          <w:tcPr>
            <w:tcW w:w="1777" w:type="dxa"/>
            <w:vAlign w:val="center"/>
          </w:tcPr>
          <w:p w:rsidR="00E34388" w:rsidRPr="00F07082" w:rsidRDefault="00E34388" w:rsidP="00970B44">
            <w:pPr>
              <w:spacing w:before="60" w:after="60" w:line="240" w:lineRule="auto"/>
              <w:rPr>
                <w:rFonts w:ascii="Times New Roman" w:hAnsi="Times New Roman" w:cs="Times New Roman"/>
                <w:sz w:val="20"/>
                <w:szCs w:val="20"/>
              </w:rPr>
            </w:pPr>
            <w:r w:rsidRPr="00F07082">
              <w:rPr>
                <w:rFonts w:ascii="Times New Roman" w:hAnsi="Times New Roman" w:cs="Times New Roman"/>
                <w:sz w:val="20"/>
                <w:szCs w:val="20"/>
              </w:rPr>
              <w:t>0.28</w:t>
            </w:r>
          </w:p>
        </w:tc>
      </w:tr>
    </w:tbl>
    <w:p w:rsidR="00E34388" w:rsidRPr="00C77546" w:rsidRDefault="00E34388" w:rsidP="00970B44">
      <w:pPr>
        <w:autoSpaceDE w:val="0"/>
        <w:autoSpaceDN w:val="0"/>
        <w:adjustRightInd w:val="0"/>
        <w:spacing w:before="60" w:after="0" w:line="240" w:lineRule="auto"/>
        <w:ind w:firstLine="2074"/>
        <w:rPr>
          <w:rFonts w:ascii="Times New Roman" w:hAnsi="Times New Roman"/>
          <w:sz w:val="16"/>
          <w:szCs w:val="20"/>
        </w:rPr>
      </w:pPr>
      <w:r>
        <w:rPr>
          <w:rFonts w:ascii="Times New Roman" w:hAnsi="Times New Roman"/>
          <w:sz w:val="20"/>
          <w:szCs w:val="20"/>
        </w:rPr>
        <w:t xml:space="preserve"> </w:t>
      </w:r>
      <w:r w:rsidRPr="00C77546">
        <w:rPr>
          <w:rFonts w:ascii="Times New Roman" w:hAnsi="Times New Roman"/>
          <w:sz w:val="16"/>
          <w:szCs w:val="20"/>
        </w:rPr>
        <w:t>*Mean of six determinations</w:t>
      </w:r>
    </w:p>
    <w:p w:rsidR="00E34388" w:rsidRDefault="00E34388" w:rsidP="00E34388">
      <w:pPr>
        <w:tabs>
          <w:tab w:val="left" w:pos="8550"/>
        </w:tabs>
        <w:spacing w:after="0" w:line="240" w:lineRule="auto"/>
        <w:jc w:val="both"/>
        <w:rPr>
          <w:rFonts w:ascii="Times New Roman" w:hAnsi="Times New Roman"/>
          <w:sz w:val="20"/>
          <w:szCs w:val="20"/>
        </w:rPr>
      </w:pPr>
    </w:p>
    <w:p w:rsidR="00970B44" w:rsidRPr="00970B44" w:rsidRDefault="00970B44" w:rsidP="00E34388">
      <w:pPr>
        <w:tabs>
          <w:tab w:val="left" w:pos="8550"/>
        </w:tabs>
        <w:spacing w:after="0" w:line="240" w:lineRule="auto"/>
        <w:jc w:val="both"/>
        <w:rPr>
          <w:rFonts w:ascii="Times New Roman" w:hAnsi="Times New Roman"/>
          <w:sz w:val="20"/>
          <w:szCs w:val="20"/>
        </w:rPr>
      </w:pPr>
    </w:p>
    <w:p w:rsidR="00E34388" w:rsidRPr="00456D9A" w:rsidRDefault="00E34388" w:rsidP="00E34388">
      <w:pPr>
        <w:tabs>
          <w:tab w:val="left" w:pos="8550"/>
        </w:tabs>
        <w:spacing w:after="0" w:line="240" w:lineRule="auto"/>
        <w:jc w:val="both"/>
        <w:rPr>
          <w:rFonts w:ascii="Times New Roman" w:hAnsi="Times New Roman"/>
          <w:b/>
          <w:sz w:val="20"/>
          <w:szCs w:val="20"/>
        </w:rPr>
      </w:pPr>
      <w:r w:rsidRPr="00456D9A">
        <w:rPr>
          <w:rFonts w:ascii="Times New Roman" w:hAnsi="Times New Roman"/>
          <w:b/>
          <w:sz w:val="20"/>
          <w:szCs w:val="20"/>
        </w:rPr>
        <w:t>Method Validation</w:t>
      </w:r>
    </w:p>
    <w:p w:rsidR="00E34388" w:rsidRDefault="00E34388" w:rsidP="00E34388">
      <w:pPr>
        <w:tabs>
          <w:tab w:val="left" w:pos="8550"/>
        </w:tabs>
        <w:spacing w:after="0" w:line="240" w:lineRule="auto"/>
        <w:jc w:val="both"/>
        <w:rPr>
          <w:rFonts w:ascii="Times New Roman" w:hAnsi="Times New Roman"/>
          <w:sz w:val="20"/>
          <w:szCs w:val="20"/>
        </w:rPr>
      </w:pPr>
      <w:r w:rsidRPr="00456D9A">
        <w:rPr>
          <w:rFonts w:ascii="Times New Roman" w:hAnsi="Times New Roman"/>
          <w:sz w:val="20"/>
          <w:szCs w:val="20"/>
        </w:rPr>
        <w:t xml:space="preserve">DTG showed linear response in the concentration range of 5-40 </w:t>
      </w:r>
      <w:r w:rsidRPr="00456D9A">
        <w:rPr>
          <w:rFonts w:ascii="Times New Roman" w:hAnsi="Times New Roman"/>
          <w:bCs/>
          <w:sz w:val="20"/>
          <w:szCs w:val="20"/>
        </w:rPr>
        <w:t>µg/mL</w:t>
      </w:r>
      <w:r>
        <w:rPr>
          <w:rFonts w:ascii="Times New Roman" w:hAnsi="Times New Roman"/>
          <w:bCs/>
          <w:sz w:val="20"/>
          <w:szCs w:val="20"/>
        </w:rPr>
        <w:t xml:space="preserve"> with the correlation coefficient of 0.9992. </w:t>
      </w:r>
      <w:r w:rsidRPr="00456D9A">
        <w:rPr>
          <w:rFonts w:ascii="Times New Roman" w:hAnsi="Times New Roman"/>
          <w:sz w:val="20"/>
          <w:szCs w:val="20"/>
        </w:rPr>
        <w:t>The spectra obtained from tablet solutions were identical with that obtained from standard solution containing an equivalent concentration of DTG (Figure 4). This showed that there was no any interference from excipients. Therefore, it could be said that developed method is highly specific.</w:t>
      </w:r>
    </w:p>
    <w:p w:rsidR="00E34388" w:rsidRDefault="00E34388" w:rsidP="00E34388">
      <w:pPr>
        <w:tabs>
          <w:tab w:val="left" w:pos="8550"/>
        </w:tabs>
        <w:spacing w:after="0" w:line="240" w:lineRule="auto"/>
        <w:jc w:val="both"/>
        <w:rPr>
          <w:rFonts w:ascii="Times New Roman" w:hAnsi="Times New Roman"/>
          <w:b/>
          <w:bCs/>
          <w:sz w:val="20"/>
          <w:szCs w:val="20"/>
        </w:rPr>
      </w:pPr>
    </w:p>
    <w:p w:rsidR="00970B44" w:rsidRPr="00456D9A" w:rsidRDefault="00970B44" w:rsidP="00970B44">
      <w:pPr>
        <w:spacing w:after="0" w:line="240" w:lineRule="auto"/>
        <w:jc w:val="both"/>
        <w:rPr>
          <w:rFonts w:ascii="Times New Roman" w:hAnsi="Times New Roman"/>
          <w:sz w:val="20"/>
          <w:szCs w:val="20"/>
        </w:rPr>
      </w:pPr>
      <w:r>
        <w:rPr>
          <w:rFonts w:ascii="Times New Roman" w:hAnsi="Times New Roman"/>
          <w:sz w:val="20"/>
          <w:szCs w:val="20"/>
        </w:rPr>
        <w:t xml:space="preserve">The percentage </w:t>
      </w:r>
      <w:r w:rsidRPr="00CE303A">
        <w:rPr>
          <w:rFonts w:ascii="Times New Roman" w:hAnsi="Times New Roman"/>
          <w:sz w:val="20"/>
          <w:szCs w:val="20"/>
        </w:rPr>
        <w:t>recovery of standard drug, determined by developed method at 80, 100 and 120 % of sample concentration was ranged from 98.22 to 99.71%. The values of % recovery and % RSD shown in Table 2 indicate that the method is accurate.</w:t>
      </w:r>
      <w:r>
        <w:rPr>
          <w:rFonts w:ascii="Times New Roman" w:hAnsi="Times New Roman"/>
          <w:sz w:val="20"/>
          <w:szCs w:val="20"/>
        </w:rPr>
        <w:t xml:space="preserve"> </w:t>
      </w:r>
      <w:r w:rsidRPr="00456D9A">
        <w:rPr>
          <w:rFonts w:ascii="Times New Roman" w:hAnsi="Times New Roman"/>
          <w:sz w:val="20"/>
          <w:szCs w:val="20"/>
        </w:rPr>
        <w:t>The %</w:t>
      </w:r>
      <w:r>
        <w:rPr>
          <w:rFonts w:ascii="Times New Roman" w:hAnsi="Times New Roman"/>
          <w:sz w:val="20"/>
          <w:szCs w:val="20"/>
        </w:rPr>
        <w:t xml:space="preserve"> </w:t>
      </w:r>
      <w:r w:rsidRPr="00456D9A">
        <w:rPr>
          <w:rFonts w:ascii="Times New Roman" w:hAnsi="Times New Roman"/>
          <w:sz w:val="20"/>
          <w:szCs w:val="20"/>
        </w:rPr>
        <w:t>RSD values for repeatability and intermediate precision were found to be less than 2%.</w:t>
      </w:r>
      <w:r>
        <w:rPr>
          <w:rFonts w:ascii="Times New Roman" w:hAnsi="Times New Roman"/>
          <w:sz w:val="20"/>
          <w:szCs w:val="20"/>
        </w:rPr>
        <w:t xml:space="preserve">The low % RSD value indicate the precision of the method. </w:t>
      </w:r>
      <w:r w:rsidRPr="00456D9A">
        <w:rPr>
          <w:rFonts w:ascii="Times New Roman" w:hAnsi="Times New Roman"/>
          <w:sz w:val="20"/>
          <w:szCs w:val="20"/>
        </w:rPr>
        <w:t xml:space="preserve"> The results are summarized in Table </w:t>
      </w:r>
      <w:r>
        <w:rPr>
          <w:rFonts w:ascii="Times New Roman" w:hAnsi="Times New Roman"/>
          <w:sz w:val="20"/>
          <w:szCs w:val="20"/>
        </w:rPr>
        <w:t xml:space="preserve">3 </w:t>
      </w:r>
      <w:r w:rsidRPr="00456D9A">
        <w:rPr>
          <w:rFonts w:ascii="Times New Roman" w:hAnsi="Times New Roman"/>
          <w:sz w:val="20"/>
          <w:szCs w:val="20"/>
        </w:rPr>
        <w:t xml:space="preserve">and Table </w:t>
      </w:r>
      <w:r>
        <w:rPr>
          <w:rFonts w:ascii="Times New Roman" w:hAnsi="Times New Roman"/>
          <w:sz w:val="20"/>
          <w:szCs w:val="20"/>
        </w:rPr>
        <w:t>4</w:t>
      </w:r>
      <w:r w:rsidRPr="00456D9A">
        <w:rPr>
          <w:rFonts w:ascii="Times New Roman" w:hAnsi="Times New Roman"/>
          <w:sz w:val="20"/>
          <w:szCs w:val="20"/>
        </w:rPr>
        <w:t xml:space="preserve"> respectively. </w:t>
      </w:r>
    </w:p>
    <w:p w:rsidR="00970B44" w:rsidRDefault="00970B44" w:rsidP="00E34388">
      <w:pPr>
        <w:tabs>
          <w:tab w:val="left" w:pos="8550"/>
        </w:tabs>
        <w:spacing w:after="0" w:line="240" w:lineRule="auto"/>
        <w:jc w:val="both"/>
        <w:rPr>
          <w:rFonts w:ascii="Times New Roman" w:hAnsi="Times New Roman"/>
          <w:b/>
          <w:bCs/>
          <w:sz w:val="20"/>
          <w:szCs w:val="20"/>
        </w:rPr>
      </w:pPr>
    </w:p>
    <w:p w:rsidR="00970B44" w:rsidRPr="002E14F2" w:rsidRDefault="00970B44" w:rsidP="00E34388">
      <w:pPr>
        <w:tabs>
          <w:tab w:val="left" w:pos="8550"/>
        </w:tabs>
        <w:spacing w:after="0" w:line="240" w:lineRule="auto"/>
        <w:jc w:val="both"/>
        <w:rPr>
          <w:rFonts w:ascii="Times New Roman" w:hAnsi="Times New Roman"/>
          <w:b/>
          <w:bCs/>
          <w:sz w:val="20"/>
          <w:szCs w:val="20"/>
        </w:rPr>
      </w:pPr>
    </w:p>
    <w:p w:rsidR="00E34388" w:rsidRPr="00456D9A" w:rsidRDefault="00E34388" w:rsidP="00E34388">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noProof/>
          <w:sz w:val="20"/>
          <w:szCs w:val="20"/>
          <w:lang w:val="en-GB" w:eastAsia="ko-KR" w:bidi="ar-SA"/>
        </w:rPr>
        <w:lastRenderedPageBreak/>
        <w:drawing>
          <wp:anchor distT="0" distB="0" distL="114300" distR="114300" simplePos="0" relativeHeight="251663872" behindDoc="0" locked="0" layoutInCell="1" allowOverlap="1" wp14:anchorId="5BE6DCEF" wp14:editId="42B6916B">
            <wp:simplePos x="0" y="0"/>
            <wp:positionH relativeFrom="column">
              <wp:posOffset>1266825</wp:posOffset>
            </wp:positionH>
            <wp:positionV relativeFrom="paragraph">
              <wp:posOffset>23495</wp:posOffset>
            </wp:positionV>
            <wp:extent cx="3209925" cy="2571750"/>
            <wp:effectExtent l="19050" t="19050" r="9525" b="0"/>
            <wp:wrapSquare wrapText="bothSides"/>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9925" cy="2571750"/>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E34388" w:rsidRDefault="00E34388" w:rsidP="00E34388">
      <w:pPr>
        <w:autoSpaceDE w:val="0"/>
        <w:autoSpaceDN w:val="0"/>
        <w:adjustRightInd w:val="0"/>
        <w:spacing w:after="0" w:line="240" w:lineRule="auto"/>
        <w:jc w:val="center"/>
        <w:rPr>
          <w:rFonts w:ascii="Times New Roman" w:hAnsi="Times New Roman"/>
          <w:bCs/>
          <w:sz w:val="20"/>
          <w:szCs w:val="20"/>
        </w:rPr>
      </w:pPr>
    </w:p>
    <w:p w:rsidR="00E34388" w:rsidRDefault="00E34388" w:rsidP="00E34388">
      <w:pPr>
        <w:autoSpaceDE w:val="0"/>
        <w:autoSpaceDN w:val="0"/>
        <w:adjustRightInd w:val="0"/>
        <w:spacing w:after="0" w:line="240" w:lineRule="auto"/>
        <w:jc w:val="center"/>
        <w:rPr>
          <w:rFonts w:ascii="Times New Roman" w:hAnsi="Times New Roman"/>
          <w:bCs/>
          <w:sz w:val="20"/>
          <w:szCs w:val="20"/>
        </w:rPr>
      </w:pPr>
    </w:p>
    <w:p w:rsidR="00E34388" w:rsidRDefault="00E34388" w:rsidP="00E34388">
      <w:pPr>
        <w:autoSpaceDE w:val="0"/>
        <w:autoSpaceDN w:val="0"/>
        <w:adjustRightInd w:val="0"/>
        <w:spacing w:after="0" w:line="240" w:lineRule="auto"/>
        <w:jc w:val="center"/>
        <w:rPr>
          <w:rFonts w:ascii="Times New Roman" w:hAnsi="Times New Roman"/>
          <w:bCs/>
          <w:sz w:val="20"/>
          <w:szCs w:val="20"/>
        </w:rPr>
      </w:pPr>
    </w:p>
    <w:p w:rsidR="00E34388" w:rsidRDefault="00E34388" w:rsidP="00E34388">
      <w:pPr>
        <w:autoSpaceDE w:val="0"/>
        <w:autoSpaceDN w:val="0"/>
        <w:adjustRightInd w:val="0"/>
        <w:spacing w:after="0" w:line="240" w:lineRule="auto"/>
        <w:jc w:val="center"/>
        <w:rPr>
          <w:rFonts w:ascii="Times New Roman" w:hAnsi="Times New Roman"/>
          <w:bCs/>
          <w:sz w:val="20"/>
          <w:szCs w:val="20"/>
        </w:rPr>
      </w:pPr>
    </w:p>
    <w:p w:rsidR="00E34388" w:rsidRDefault="00E34388" w:rsidP="00E34388">
      <w:pPr>
        <w:autoSpaceDE w:val="0"/>
        <w:autoSpaceDN w:val="0"/>
        <w:adjustRightInd w:val="0"/>
        <w:spacing w:after="0" w:line="240" w:lineRule="auto"/>
        <w:jc w:val="center"/>
        <w:rPr>
          <w:rFonts w:ascii="Times New Roman" w:hAnsi="Times New Roman"/>
          <w:bCs/>
          <w:sz w:val="20"/>
          <w:szCs w:val="20"/>
        </w:rPr>
      </w:pPr>
    </w:p>
    <w:p w:rsidR="00E34388" w:rsidRDefault="00E34388" w:rsidP="00E34388">
      <w:pPr>
        <w:autoSpaceDE w:val="0"/>
        <w:autoSpaceDN w:val="0"/>
        <w:adjustRightInd w:val="0"/>
        <w:spacing w:after="0" w:line="240" w:lineRule="auto"/>
        <w:jc w:val="center"/>
        <w:rPr>
          <w:rFonts w:ascii="Times New Roman" w:hAnsi="Times New Roman"/>
          <w:bCs/>
          <w:sz w:val="20"/>
          <w:szCs w:val="20"/>
        </w:rPr>
      </w:pPr>
    </w:p>
    <w:p w:rsidR="00E34388" w:rsidRDefault="00E34388" w:rsidP="00E34388">
      <w:pPr>
        <w:autoSpaceDE w:val="0"/>
        <w:autoSpaceDN w:val="0"/>
        <w:adjustRightInd w:val="0"/>
        <w:spacing w:after="0" w:line="240" w:lineRule="auto"/>
        <w:jc w:val="center"/>
        <w:rPr>
          <w:rFonts w:ascii="Times New Roman" w:hAnsi="Times New Roman"/>
          <w:bCs/>
          <w:sz w:val="20"/>
          <w:szCs w:val="20"/>
        </w:rPr>
      </w:pPr>
    </w:p>
    <w:p w:rsidR="00E34388" w:rsidRDefault="00E34388" w:rsidP="00E34388">
      <w:pPr>
        <w:autoSpaceDE w:val="0"/>
        <w:autoSpaceDN w:val="0"/>
        <w:adjustRightInd w:val="0"/>
        <w:spacing w:after="0" w:line="240" w:lineRule="auto"/>
        <w:jc w:val="center"/>
        <w:rPr>
          <w:rFonts w:ascii="Times New Roman" w:hAnsi="Times New Roman"/>
          <w:bCs/>
          <w:sz w:val="20"/>
          <w:szCs w:val="20"/>
        </w:rPr>
      </w:pPr>
    </w:p>
    <w:p w:rsidR="00E34388" w:rsidRDefault="00E34388" w:rsidP="00E34388">
      <w:pPr>
        <w:autoSpaceDE w:val="0"/>
        <w:autoSpaceDN w:val="0"/>
        <w:adjustRightInd w:val="0"/>
        <w:spacing w:after="0" w:line="240" w:lineRule="auto"/>
        <w:jc w:val="center"/>
        <w:rPr>
          <w:rFonts w:ascii="Times New Roman" w:hAnsi="Times New Roman"/>
          <w:bCs/>
          <w:sz w:val="20"/>
          <w:szCs w:val="20"/>
        </w:rPr>
      </w:pPr>
    </w:p>
    <w:p w:rsidR="00E34388" w:rsidRDefault="00E34388" w:rsidP="00E34388">
      <w:pPr>
        <w:autoSpaceDE w:val="0"/>
        <w:autoSpaceDN w:val="0"/>
        <w:adjustRightInd w:val="0"/>
        <w:spacing w:after="0" w:line="240" w:lineRule="auto"/>
        <w:jc w:val="center"/>
        <w:rPr>
          <w:rFonts w:ascii="Times New Roman" w:hAnsi="Times New Roman"/>
          <w:bCs/>
          <w:sz w:val="20"/>
          <w:szCs w:val="20"/>
        </w:rPr>
      </w:pPr>
    </w:p>
    <w:p w:rsidR="00E34388" w:rsidRDefault="00E34388" w:rsidP="00E34388">
      <w:pPr>
        <w:autoSpaceDE w:val="0"/>
        <w:autoSpaceDN w:val="0"/>
        <w:adjustRightInd w:val="0"/>
        <w:spacing w:after="0" w:line="240" w:lineRule="auto"/>
        <w:jc w:val="center"/>
        <w:rPr>
          <w:rFonts w:ascii="Times New Roman" w:hAnsi="Times New Roman"/>
          <w:bCs/>
          <w:sz w:val="20"/>
          <w:szCs w:val="20"/>
        </w:rPr>
      </w:pPr>
    </w:p>
    <w:p w:rsidR="00E34388" w:rsidRDefault="00E34388" w:rsidP="00E34388">
      <w:pPr>
        <w:autoSpaceDE w:val="0"/>
        <w:autoSpaceDN w:val="0"/>
        <w:adjustRightInd w:val="0"/>
        <w:spacing w:after="0" w:line="240" w:lineRule="auto"/>
        <w:jc w:val="center"/>
        <w:rPr>
          <w:rFonts w:ascii="Times New Roman" w:hAnsi="Times New Roman"/>
          <w:bCs/>
          <w:sz w:val="20"/>
          <w:szCs w:val="20"/>
        </w:rPr>
      </w:pPr>
    </w:p>
    <w:p w:rsidR="00E34388" w:rsidRDefault="00E34388" w:rsidP="00E34388">
      <w:pPr>
        <w:autoSpaceDE w:val="0"/>
        <w:autoSpaceDN w:val="0"/>
        <w:adjustRightInd w:val="0"/>
        <w:spacing w:after="0" w:line="240" w:lineRule="auto"/>
        <w:jc w:val="center"/>
        <w:rPr>
          <w:rFonts w:ascii="Times New Roman" w:hAnsi="Times New Roman"/>
          <w:bCs/>
          <w:sz w:val="20"/>
          <w:szCs w:val="20"/>
        </w:rPr>
      </w:pPr>
    </w:p>
    <w:p w:rsidR="00E34388" w:rsidRDefault="00E34388" w:rsidP="00E34388">
      <w:pPr>
        <w:autoSpaceDE w:val="0"/>
        <w:autoSpaceDN w:val="0"/>
        <w:adjustRightInd w:val="0"/>
        <w:spacing w:after="0" w:line="240" w:lineRule="auto"/>
        <w:jc w:val="center"/>
        <w:rPr>
          <w:rFonts w:ascii="Times New Roman" w:hAnsi="Times New Roman"/>
          <w:bCs/>
          <w:sz w:val="20"/>
          <w:szCs w:val="20"/>
        </w:rPr>
      </w:pPr>
    </w:p>
    <w:p w:rsidR="00E34388" w:rsidRDefault="00E34388" w:rsidP="00E34388">
      <w:pPr>
        <w:autoSpaceDE w:val="0"/>
        <w:autoSpaceDN w:val="0"/>
        <w:adjustRightInd w:val="0"/>
        <w:spacing w:after="0" w:line="240" w:lineRule="auto"/>
        <w:jc w:val="center"/>
        <w:rPr>
          <w:rFonts w:ascii="Times New Roman" w:hAnsi="Times New Roman"/>
          <w:bCs/>
          <w:sz w:val="20"/>
          <w:szCs w:val="20"/>
        </w:rPr>
      </w:pPr>
    </w:p>
    <w:p w:rsidR="00E34388" w:rsidRDefault="00E34388" w:rsidP="00E34388">
      <w:pPr>
        <w:autoSpaceDE w:val="0"/>
        <w:autoSpaceDN w:val="0"/>
        <w:adjustRightInd w:val="0"/>
        <w:spacing w:after="0" w:line="240" w:lineRule="auto"/>
        <w:jc w:val="center"/>
        <w:rPr>
          <w:rFonts w:ascii="Times New Roman" w:hAnsi="Times New Roman"/>
          <w:bCs/>
          <w:sz w:val="20"/>
          <w:szCs w:val="20"/>
        </w:rPr>
      </w:pPr>
    </w:p>
    <w:p w:rsidR="00E34388" w:rsidRDefault="00E34388" w:rsidP="00E34388">
      <w:pPr>
        <w:autoSpaceDE w:val="0"/>
        <w:autoSpaceDN w:val="0"/>
        <w:adjustRightInd w:val="0"/>
        <w:spacing w:after="0" w:line="240" w:lineRule="auto"/>
        <w:jc w:val="center"/>
        <w:rPr>
          <w:rFonts w:ascii="Times New Roman" w:hAnsi="Times New Roman"/>
          <w:bCs/>
          <w:sz w:val="20"/>
          <w:szCs w:val="20"/>
        </w:rPr>
      </w:pPr>
    </w:p>
    <w:p w:rsidR="00E34388" w:rsidRDefault="00E34388" w:rsidP="00E34388">
      <w:pPr>
        <w:autoSpaceDE w:val="0"/>
        <w:autoSpaceDN w:val="0"/>
        <w:adjustRightInd w:val="0"/>
        <w:spacing w:after="0" w:line="240" w:lineRule="auto"/>
        <w:jc w:val="center"/>
        <w:rPr>
          <w:rFonts w:ascii="Times New Roman" w:hAnsi="Times New Roman"/>
          <w:bCs/>
          <w:sz w:val="20"/>
          <w:szCs w:val="20"/>
        </w:rPr>
      </w:pPr>
    </w:p>
    <w:p w:rsidR="00E34388" w:rsidRPr="002E14F2" w:rsidRDefault="00E34388" w:rsidP="00E34388">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 xml:space="preserve">Figure 4. </w:t>
      </w:r>
      <w:r w:rsidR="00970B44">
        <w:rPr>
          <w:rFonts w:ascii="Times New Roman" w:hAnsi="Times New Roman"/>
          <w:bCs/>
          <w:sz w:val="20"/>
          <w:szCs w:val="20"/>
        </w:rPr>
        <w:t xml:space="preserve"> </w:t>
      </w:r>
      <w:r w:rsidRPr="002E14F2">
        <w:rPr>
          <w:rFonts w:ascii="Times New Roman" w:hAnsi="Times New Roman"/>
          <w:bCs/>
          <w:sz w:val="20"/>
          <w:szCs w:val="20"/>
        </w:rPr>
        <w:t>Overlain Spectra of Standard and Sample DTG</w:t>
      </w:r>
    </w:p>
    <w:p w:rsidR="00E34388" w:rsidRDefault="00E34388" w:rsidP="00E34388">
      <w:pPr>
        <w:spacing w:after="0" w:line="240" w:lineRule="auto"/>
        <w:jc w:val="both"/>
        <w:rPr>
          <w:rFonts w:ascii="Times New Roman" w:hAnsi="Times New Roman"/>
          <w:b/>
          <w:sz w:val="20"/>
          <w:szCs w:val="20"/>
        </w:rPr>
      </w:pPr>
    </w:p>
    <w:p w:rsidR="00E34388" w:rsidRDefault="00E34388" w:rsidP="00E34388">
      <w:pPr>
        <w:spacing w:after="0" w:line="240" w:lineRule="auto"/>
        <w:rPr>
          <w:rFonts w:ascii="Times New Roman" w:hAnsi="Times New Roman"/>
          <w:b/>
          <w:sz w:val="20"/>
          <w:szCs w:val="20"/>
        </w:rPr>
      </w:pPr>
    </w:p>
    <w:p w:rsidR="00E34388" w:rsidRPr="00970B44" w:rsidRDefault="00E34388" w:rsidP="00970B44">
      <w:pPr>
        <w:spacing w:after="120" w:line="240" w:lineRule="auto"/>
        <w:jc w:val="center"/>
        <w:rPr>
          <w:rFonts w:ascii="Times New Roman" w:hAnsi="Times New Roman"/>
          <w:sz w:val="20"/>
          <w:szCs w:val="20"/>
        </w:rPr>
      </w:pPr>
      <w:r w:rsidRPr="00C77546">
        <w:rPr>
          <w:rFonts w:ascii="Times New Roman" w:hAnsi="Times New Roman"/>
          <w:sz w:val="20"/>
          <w:szCs w:val="20"/>
        </w:rPr>
        <w:t xml:space="preserve">Table 2. </w:t>
      </w:r>
      <w:r w:rsidR="00970B44">
        <w:rPr>
          <w:rFonts w:ascii="Times New Roman" w:hAnsi="Times New Roman"/>
          <w:sz w:val="20"/>
          <w:szCs w:val="20"/>
        </w:rPr>
        <w:t xml:space="preserve"> </w:t>
      </w:r>
      <w:r w:rsidRPr="00C77546">
        <w:rPr>
          <w:rFonts w:ascii="Times New Roman" w:hAnsi="Times New Roman"/>
          <w:sz w:val="20"/>
          <w:szCs w:val="20"/>
        </w:rPr>
        <w:t>Results of recovery studies</w:t>
      </w:r>
    </w:p>
    <w:tbl>
      <w:tblPr>
        <w:tblW w:w="7634" w:type="dxa"/>
        <w:jc w:val="center"/>
        <w:tblLook w:val="04A0" w:firstRow="1" w:lastRow="0" w:firstColumn="1" w:lastColumn="0" w:noHBand="0" w:noVBand="1"/>
      </w:tblPr>
      <w:tblGrid>
        <w:gridCol w:w="1506"/>
        <w:gridCol w:w="2115"/>
        <w:gridCol w:w="2122"/>
        <w:gridCol w:w="1145"/>
        <w:gridCol w:w="746"/>
      </w:tblGrid>
      <w:tr w:rsidR="00E34388" w:rsidRPr="00456D9A" w:rsidTr="00FD0839">
        <w:trPr>
          <w:trHeight w:val="729"/>
          <w:jc w:val="center"/>
        </w:trPr>
        <w:tc>
          <w:tcPr>
            <w:tcW w:w="0" w:type="auto"/>
            <w:tcBorders>
              <w:top w:val="single" w:sz="4" w:space="0" w:color="auto"/>
              <w:bottom w:val="single" w:sz="4" w:space="0" w:color="auto"/>
            </w:tcBorders>
            <w:vAlign w:val="center"/>
          </w:tcPr>
          <w:p w:rsidR="00E34388" w:rsidRPr="00456D9A" w:rsidRDefault="00E34388" w:rsidP="00970B44">
            <w:pPr>
              <w:autoSpaceDE w:val="0"/>
              <w:autoSpaceDN w:val="0"/>
              <w:adjustRightInd w:val="0"/>
              <w:spacing w:after="0" w:line="240" w:lineRule="auto"/>
              <w:jc w:val="center"/>
              <w:rPr>
                <w:rFonts w:ascii="Times New Roman" w:hAnsi="Times New Roman"/>
                <w:b/>
                <w:bCs/>
                <w:sz w:val="20"/>
                <w:szCs w:val="20"/>
              </w:rPr>
            </w:pPr>
            <w:r w:rsidRPr="00456D9A">
              <w:rPr>
                <w:rFonts w:ascii="Times New Roman" w:hAnsi="Times New Roman"/>
                <w:b/>
                <w:bCs/>
                <w:sz w:val="20"/>
                <w:szCs w:val="20"/>
              </w:rPr>
              <w:t>Level of addition (%)</w:t>
            </w:r>
          </w:p>
        </w:tc>
        <w:tc>
          <w:tcPr>
            <w:tcW w:w="0" w:type="auto"/>
            <w:tcBorders>
              <w:top w:val="single" w:sz="4" w:space="0" w:color="auto"/>
              <w:bottom w:val="single" w:sz="4" w:space="0" w:color="auto"/>
            </w:tcBorders>
            <w:shd w:val="clear" w:color="auto" w:fill="auto"/>
            <w:vAlign w:val="center"/>
          </w:tcPr>
          <w:p w:rsidR="00E34388" w:rsidRPr="00456D9A" w:rsidRDefault="00E34388" w:rsidP="00970B44">
            <w:pPr>
              <w:autoSpaceDE w:val="0"/>
              <w:autoSpaceDN w:val="0"/>
              <w:adjustRightInd w:val="0"/>
              <w:spacing w:after="0" w:line="240" w:lineRule="auto"/>
              <w:jc w:val="center"/>
              <w:rPr>
                <w:rFonts w:ascii="Times New Roman" w:hAnsi="Times New Roman"/>
                <w:b/>
                <w:bCs/>
                <w:sz w:val="20"/>
                <w:szCs w:val="20"/>
              </w:rPr>
            </w:pPr>
            <w:r w:rsidRPr="00456D9A">
              <w:rPr>
                <w:rFonts w:ascii="Times New Roman" w:hAnsi="Times New Roman"/>
                <w:b/>
                <w:bCs/>
                <w:sz w:val="20"/>
                <w:szCs w:val="20"/>
              </w:rPr>
              <w:t>Amount of std drug added (</w:t>
            </w:r>
            <w:r w:rsidRPr="00456D9A">
              <w:rPr>
                <w:rFonts w:ascii="Times New Roman" w:hAnsi="Times New Roman"/>
                <w:b/>
                <w:sz w:val="20"/>
                <w:szCs w:val="20"/>
              </w:rPr>
              <w:t>µ</w:t>
            </w:r>
            <w:r w:rsidRPr="00456D9A">
              <w:rPr>
                <w:rFonts w:ascii="Times New Roman" w:hAnsi="Times New Roman"/>
                <w:b/>
                <w:bCs/>
                <w:sz w:val="20"/>
                <w:szCs w:val="20"/>
              </w:rPr>
              <w:t>g/mL)</w:t>
            </w:r>
          </w:p>
        </w:tc>
        <w:tc>
          <w:tcPr>
            <w:tcW w:w="0" w:type="auto"/>
            <w:tcBorders>
              <w:top w:val="single" w:sz="4" w:space="0" w:color="auto"/>
              <w:bottom w:val="single" w:sz="4" w:space="0" w:color="auto"/>
            </w:tcBorders>
            <w:shd w:val="clear" w:color="auto" w:fill="auto"/>
            <w:vAlign w:val="center"/>
          </w:tcPr>
          <w:p w:rsidR="00E34388" w:rsidRPr="00456D9A" w:rsidRDefault="00E34388" w:rsidP="00970B44">
            <w:pPr>
              <w:autoSpaceDE w:val="0"/>
              <w:autoSpaceDN w:val="0"/>
              <w:adjustRightInd w:val="0"/>
              <w:spacing w:after="0" w:line="240" w:lineRule="auto"/>
              <w:jc w:val="center"/>
              <w:rPr>
                <w:rFonts w:ascii="Times New Roman" w:hAnsi="Times New Roman"/>
                <w:sz w:val="20"/>
                <w:szCs w:val="20"/>
              </w:rPr>
            </w:pPr>
            <w:r w:rsidRPr="00456D9A">
              <w:rPr>
                <w:rFonts w:ascii="Times New Roman" w:hAnsi="Times New Roman"/>
                <w:b/>
                <w:bCs/>
                <w:sz w:val="20"/>
                <w:szCs w:val="20"/>
              </w:rPr>
              <w:t>Amount recovered</w:t>
            </w:r>
            <w:r w:rsidRPr="00456D9A">
              <w:rPr>
                <w:rFonts w:ascii="Times New Roman" w:hAnsi="Times New Roman"/>
                <w:b/>
                <w:bCs/>
                <w:sz w:val="20"/>
                <w:szCs w:val="20"/>
                <w:vertAlign w:val="superscript"/>
              </w:rPr>
              <w:t xml:space="preserve"> </w:t>
            </w:r>
            <w:r w:rsidRPr="00456D9A">
              <w:rPr>
                <w:rFonts w:ascii="Times New Roman" w:hAnsi="Times New Roman"/>
                <w:b/>
                <w:bCs/>
                <w:sz w:val="20"/>
                <w:szCs w:val="20"/>
              </w:rPr>
              <w:t>*± SD (µg/mL)</w:t>
            </w:r>
          </w:p>
        </w:tc>
        <w:tc>
          <w:tcPr>
            <w:tcW w:w="0" w:type="auto"/>
            <w:tcBorders>
              <w:top w:val="single" w:sz="4" w:space="0" w:color="auto"/>
              <w:bottom w:val="single" w:sz="4" w:space="0" w:color="auto"/>
            </w:tcBorders>
            <w:shd w:val="clear" w:color="auto" w:fill="auto"/>
            <w:vAlign w:val="center"/>
          </w:tcPr>
          <w:p w:rsidR="00E34388" w:rsidRPr="00456D9A" w:rsidRDefault="00E34388" w:rsidP="00970B44">
            <w:pPr>
              <w:autoSpaceDE w:val="0"/>
              <w:autoSpaceDN w:val="0"/>
              <w:adjustRightInd w:val="0"/>
              <w:spacing w:after="0" w:line="240" w:lineRule="auto"/>
              <w:jc w:val="center"/>
              <w:rPr>
                <w:rFonts w:ascii="Times New Roman" w:hAnsi="Times New Roman"/>
                <w:sz w:val="20"/>
                <w:szCs w:val="20"/>
              </w:rPr>
            </w:pPr>
            <w:r w:rsidRPr="00456D9A">
              <w:rPr>
                <w:rFonts w:ascii="Times New Roman" w:hAnsi="Times New Roman"/>
                <w:b/>
                <w:bCs/>
                <w:sz w:val="20"/>
                <w:szCs w:val="20"/>
              </w:rPr>
              <w:t>% Recovery</w:t>
            </w:r>
          </w:p>
        </w:tc>
        <w:tc>
          <w:tcPr>
            <w:tcW w:w="0" w:type="auto"/>
            <w:tcBorders>
              <w:top w:val="single" w:sz="4" w:space="0" w:color="auto"/>
              <w:bottom w:val="single" w:sz="4" w:space="0" w:color="auto"/>
            </w:tcBorders>
            <w:vAlign w:val="center"/>
          </w:tcPr>
          <w:p w:rsidR="00E34388" w:rsidRPr="00456D9A" w:rsidRDefault="00E34388" w:rsidP="00970B44">
            <w:pPr>
              <w:autoSpaceDE w:val="0"/>
              <w:autoSpaceDN w:val="0"/>
              <w:adjustRightInd w:val="0"/>
              <w:spacing w:after="0" w:line="240" w:lineRule="auto"/>
              <w:jc w:val="center"/>
              <w:rPr>
                <w:rFonts w:ascii="Times New Roman" w:hAnsi="Times New Roman"/>
                <w:b/>
                <w:bCs/>
                <w:sz w:val="20"/>
                <w:szCs w:val="20"/>
              </w:rPr>
            </w:pPr>
            <w:r w:rsidRPr="00456D9A">
              <w:rPr>
                <w:rFonts w:ascii="Times New Roman" w:hAnsi="Times New Roman"/>
                <w:b/>
                <w:bCs/>
                <w:sz w:val="20"/>
                <w:szCs w:val="20"/>
              </w:rPr>
              <w:t>% RSD</w:t>
            </w:r>
          </w:p>
        </w:tc>
      </w:tr>
      <w:tr w:rsidR="00E34388" w:rsidRPr="00456D9A" w:rsidTr="00FD0839">
        <w:trPr>
          <w:trHeight w:val="65"/>
          <w:jc w:val="center"/>
        </w:trPr>
        <w:tc>
          <w:tcPr>
            <w:tcW w:w="0" w:type="auto"/>
            <w:tcBorders>
              <w:top w:val="single" w:sz="4" w:space="0" w:color="auto"/>
            </w:tcBorders>
            <w:vAlign w:val="center"/>
          </w:tcPr>
          <w:p w:rsidR="00E34388" w:rsidRPr="00456D9A" w:rsidRDefault="00E34388" w:rsidP="00970B44">
            <w:pPr>
              <w:autoSpaceDE w:val="0"/>
              <w:autoSpaceDN w:val="0"/>
              <w:adjustRightInd w:val="0"/>
              <w:spacing w:before="60" w:after="0" w:line="240" w:lineRule="auto"/>
              <w:jc w:val="center"/>
              <w:rPr>
                <w:rFonts w:ascii="Times New Roman" w:hAnsi="Times New Roman"/>
                <w:sz w:val="20"/>
                <w:szCs w:val="20"/>
              </w:rPr>
            </w:pPr>
            <w:r w:rsidRPr="00456D9A">
              <w:rPr>
                <w:rFonts w:ascii="Times New Roman" w:hAnsi="Times New Roman"/>
                <w:sz w:val="20"/>
                <w:szCs w:val="20"/>
              </w:rPr>
              <w:t>80</w:t>
            </w:r>
          </w:p>
        </w:tc>
        <w:tc>
          <w:tcPr>
            <w:tcW w:w="0" w:type="auto"/>
            <w:tcBorders>
              <w:top w:val="single" w:sz="4" w:space="0" w:color="auto"/>
            </w:tcBorders>
            <w:shd w:val="clear" w:color="auto" w:fill="auto"/>
            <w:vAlign w:val="center"/>
          </w:tcPr>
          <w:p w:rsidR="00E34388" w:rsidRPr="00456D9A" w:rsidRDefault="00E34388" w:rsidP="00970B44">
            <w:pPr>
              <w:autoSpaceDE w:val="0"/>
              <w:autoSpaceDN w:val="0"/>
              <w:adjustRightInd w:val="0"/>
              <w:spacing w:before="60" w:after="0" w:line="240" w:lineRule="auto"/>
              <w:jc w:val="center"/>
              <w:rPr>
                <w:rFonts w:ascii="Times New Roman" w:hAnsi="Times New Roman"/>
                <w:sz w:val="20"/>
                <w:szCs w:val="20"/>
              </w:rPr>
            </w:pPr>
            <w:r w:rsidRPr="00456D9A">
              <w:rPr>
                <w:rFonts w:ascii="Times New Roman" w:hAnsi="Times New Roman"/>
                <w:sz w:val="20"/>
                <w:szCs w:val="20"/>
              </w:rPr>
              <w:t>8</w:t>
            </w:r>
          </w:p>
        </w:tc>
        <w:tc>
          <w:tcPr>
            <w:tcW w:w="0" w:type="auto"/>
            <w:tcBorders>
              <w:top w:val="single" w:sz="4" w:space="0" w:color="auto"/>
            </w:tcBorders>
            <w:shd w:val="clear" w:color="auto" w:fill="auto"/>
            <w:vAlign w:val="center"/>
          </w:tcPr>
          <w:p w:rsidR="00E34388" w:rsidRPr="00456D9A" w:rsidRDefault="00E34388" w:rsidP="00970B44">
            <w:pPr>
              <w:autoSpaceDE w:val="0"/>
              <w:autoSpaceDN w:val="0"/>
              <w:adjustRightInd w:val="0"/>
              <w:spacing w:before="60" w:after="0" w:line="240" w:lineRule="auto"/>
              <w:jc w:val="center"/>
              <w:rPr>
                <w:rFonts w:ascii="Times New Roman" w:hAnsi="Times New Roman"/>
                <w:sz w:val="20"/>
                <w:szCs w:val="20"/>
              </w:rPr>
            </w:pPr>
            <w:r w:rsidRPr="00456D9A">
              <w:rPr>
                <w:rFonts w:ascii="Times New Roman" w:hAnsi="Times New Roman"/>
                <w:sz w:val="20"/>
                <w:szCs w:val="20"/>
              </w:rPr>
              <w:t>7.85 ± 0.13</w:t>
            </w:r>
          </w:p>
        </w:tc>
        <w:tc>
          <w:tcPr>
            <w:tcW w:w="0" w:type="auto"/>
            <w:tcBorders>
              <w:top w:val="single" w:sz="4" w:space="0" w:color="auto"/>
            </w:tcBorders>
            <w:shd w:val="clear" w:color="auto" w:fill="auto"/>
            <w:vAlign w:val="center"/>
          </w:tcPr>
          <w:p w:rsidR="00E34388" w:rsidRPr="00456D9A" w:rsidRDefault="00E34388" w:rsidP="00970B44">
            <w:pPr>
              <w:autoSpaceDE w:val="0"/>
              <w:autoSpaceDN w:val="0"/>
              <w:adjustRightInd w:val="0"/>
              <w:spacing w:before="60" w:after="0" w:line="240" w:lineRule="auto"/>
              <w:jc w:val="center"/>
              <w:rPr>
                <w:rFonts w:ascii="Times New Roman" w:hAnsi="Times New Roman"/>
                <w:sz w:val="20"/>
                <w:szCs w:val="20"/>
              </w:rPr>
            </w:pPr>
            <w:r w:rsidRPr="00456D9A">
              <w:rPr>
                <w:rFonts w:ascii="Times New Roman" w:hAnsi="Times New Roman"/>
                <w:sz w:val="20"/>
                <w:szCs w:val="20"/>
              </w:rPr>
              <w:t>98.22</w:t>
            </w:r>
          </w:p>
        </w:tc>
        <w:tc>
          <w:tcPr>
            <w:tcW w:w="0" w:type="auto"/>
            <w:tcBorders>
              <w:top w:val="single" w:sz="4" w:space="0" w:color="auto"/>
            </w:tcBorders>
            <w:vAlign w:val="center"/>
          </w:tcPr>
          <w:p w:rsidR="00E34388" w:rsidRPr="00456D9A" w:rsidRDefault="00E34388" w:rsidP="00970B44">
            <w:pPr>
              <w:autoSpaceDE w:val="0"/>
              <w:autoSpaceDN w:val="0"/>
              <w:adjustRightInd w:val="0"/>
              <w:spacing w:before="60" w:after="0" w:line="240" w:lineRule="auto"/>
              <w:jc w:val="center"/>
              <w:rPr>
                <w:rFonts w:ascii="Times New Roman" w:hAnsi="Times New Roman"/>
                <w:sz w:val="20"/>
                <w:szCs w:val="20"/>
              </w:rPr>
            </w:pPr>
            <w:r w:rsidRPr="00456D9A">
              <w:rPr>
                <w:rFonts w:ascii="Times New Roman" w:hAnsi="Times New Roman"/>
                <w:sz w:val="20"/>
                <w:szCs w:val="20"/>
              </w:rPr>
              <w:t>1.71</w:t>
            </w:r>
          </w:p>
        </w:tc>
      </w:tr>
      <w:tr w:rsidR="00E34388" w:rsidRPr="00456D9A" w:rsidTr="00FD0839">
        <w:trPr>
          <w:trHeight w:val="74"/>
          <w:jc w:val="center"/>
        </w:trPr>
        <w:tc>
          <w:tcPr>
            <w:tcW w:w="0" w:type="auto"/>
            <w:vAlign w:val="center"/>
          </w:tcPr>
          <w:p w:rsidR="00E34388" w:rsidRPr="00456D9A" w:rsidRDefault="00E34388" w:rsidP="00FD0839">
            <w:pPr>
              <w:autoSpaceDE w:val="0"/>
              <w:autoSpaceDN w:val="0"/>
              <w:adjustRightInd w:val="0"/>
              <w:spacing w:after="0" w:line="240" w:lineRule="auto"/>
              <w:jc w:val="center"/>
              <w:rPr>
                <w:rFonts w:ascii="Times New Roman" w:hAnsi="Times New Roman"/>
                <w:sz w:val="20"/>
                <w:szCs w:val="20"/>
              </w:rPr>
            </w:pPr>
            <w:r w:rsidRPr="00456D9A">
              <w:rPr>
                <w:rFonts w:ascii="Times New Roman" w:hAnsi="Times New Roman"/>
                <w:sz w:val="20"/>
                <w:szCs w:val="20"/>
              </w:rPr>
              <w:t>100</w:t>
            </w:r>
          </w:p>
        </w:tc>
        <w:tc>
          <w:tcPr>
            <w:tcW w:w="0" w:type="auto"/>
            <w:shd w:val="clear" w:color="auto" w:fill="auto"/>
            <w:vAlign w:val="center"/>
          </w:tcPr>
          <w:p w:rsidR="00E34388" w:rsidRPr="00456D9A" w:rsidRDefault="00E34388" w:rsidP="00FD0839">
            <w:pPr>
              <w:autoSpaceDE w:val="0"/>
              <w:autoSpaceDN w:val="0"/>
              <w:adjustRightInd w:val="0"/>
              <w:spacing w:after="0" w:line="240" w:lineRule="auto"/>
              <w:jc w:val="center"/>
              <w:rPr>
                <w:rFonts w:ascii="Times New Roman" w:hAnsi="Times New Roman"/>
                <w:sz w:val="20"/>
                <w:szCs w:val="20"/>
              </w:rPr>
            </w:pPr>
            <w:r w:rsidRPr="00456D9A">
              <w:rPr>
                <w:rFonts w:ascii="Times New Roman" w:hAnsi="Times New Roman"/>
                <w:sz w:val="20"/>
                <w:szCs w:val="20"/>
              </w:rPr>
              <w:t>10</w:t>
            </w:r>
          </w:p>
        </w:tc>
        <w:tc>
          <w:tcPr>
            <w:tcW w:w="0" w:type="auto"/>
            <w:shd w:val="clear" w:color="auto" w:fill="auto"/>
            <w:vAlign w:val="center"/>
          </w:tcPr>
          <w:p w:rsidR="00E34388" w:rsidRPr="00456D9A" w:rsidRDefault="00E34388" w:rsidP="00FD0839">
            <w:pPr>
              <w:autoSpaceDE w:val="0"/>
              <w:autoSpaceDN w:val="0"/>
              <w:adjustRightInd w:val="0"/>
              <w:spacing w:after="0" w:line="240" w:lineRule="auto"/>
              <w:jc w:val="center"/>
              <w:rPr>
                <w:rFonts w:ascii="Times New Roman" w:hAnsi="Times New Roman"/>
                <w:sz w:val="20"/>
                <w:szCs w:val="20"/>
              </w:rPr>
            </w:pPr>
            <w:r w:rsidRPr="00456D9A">
              <w:rPr>
                <w:rFonts w:ascii="Times New Roman" w:hAnsi="Times New Roman"/>
                <w:color w:val="000000"/>
                <w:sz w:val="20"/>
                <w:szCs w:val="20"/>
              </w:rPr>
              <w:t xml:space="preserve">9.97 </w:t>
            </w:r>
            <w:r w:rsidRPr="00456D9A">
              <w:rPr>
                <w:rFonts w:ascii="Times New Roman" w:hAnsi="Times New Roman"/>
                <w:sz w:val="20"/>
                <w:szCs w:val="20"/>
              </w:rPr>
              <w:t>± 0.13</w:t>
            </w:r>
          </w:p>
        </w:tc>
        <w:tc>
          <w:tcPr>
            <w:tcW w:w="0" w:type="auto"/>
            <w:shd w:val="clear" w:color="auto" w:fill="auto"/>
            <w:vAlign w:val="center"/>
          </w:tcPr>
          <w:p w:rsidR="00E34388" w:rsidRPr="00456D9A" w:rsidRDefault="00E34388" w:rsidP="00FD0839">
            <w:pPr>
              <w:autoSpaceDE w:val="0"/>
              <w:autoSpaceDN w:val="0"/>
              <w:adjustRightInd w:val="0"/>
              <w:spacing w:after="0" w:line="240" w:lineRule="auto"/>
              <w:jc w:val="center"/>
              <w:rPr>
                <w:rFonts w:ascii="Times New Roman" w:hAnsi="Times New Roman"/>
                <w:sz w:val="20"/>
                <w:szCs w:val="20"/>
              </w:rPr>
            </w:pPr>
            <w:r w:rsidRPr="00456D9A">
              <w:rPr>
                <w:rFonts w:ascii="Times New Roman" w:hAnsi="Times New Roman"/>
                <w:sz w:val="20"/>
                <w:szCs w:val="20"/>
              </w:rPr>
              <w:t>99.71</w:t>
            </w:r>
          </w:p>
        </w:tc>
        <w:tc>
          <w:tcPr>
            <w:tcW w:w="0" w:type="auto"/>
            <w:vAlign w:val="center"/>
          </w:tcPr>
          <w:p w:rsidR="00E34388" w:rsidRPr="00456D9A" w:rsidRDefault="00E34388" w:rsidP="00FD0839">
            <w:pPr>
              <w:autoSpaceDE w:val="0"/>
              <w:autoSpaceDN w:val="0"/>
              <w:adjustRightInd w:val="0"/>
              <w:spacing w:after="0" w:line="240" w:lineRule="auto"/>
              <w:jc w:val="center"/>
              <w:rPr>
                <w:rFonts w:ascii="Times New Roman" w:hAnsi="Times New Roman"/>
                <w:sz w:val="20"/>
                <w:szCs w:val="20"/>
              </w:rPr>
            </w:pPr>
            <w:r w:rsidRPr="00456D9A">
              <w:rPr>
                <w:rFonts w:ascii="Times New Roman" w:hAnsi="Times New Roman"/>
                <w:sz w:val="20"/>
                <w:szCs w:val="20"/>
              </w:rPr>
              <w:t>1.29</w:t>
            </w:r>
          </w:p>
        </w:tc>
      </w:tr>
      <w:tr w:rsidR="00E34388" w:rsidRPr="00456D9A" w:rsidTr="00FD0839">
        <w:trPr>
          <w:trHeight w:val="74"/>
          <w:jc w:val="center"/>
        </w:trPr>
        <w:tc>
          <w:tcPr>
            <w:tcW w:w="0" w:type="auto"/>
            <w:tcBorders>
              <w:bottom w:val="single" w:sz="4" w:space="0" w:color="auto"/>
            </w:tcBorders>
            <w:vAlign w:val="center"/>
          </w:tcPr>
          <w:p w:rsidR="00E34388" w:rsidRPr="00456D9A" w:rsidRDefault="00E34388" w:rsidP="00970B44">
            <w:pPr>
              <w:autoSpaceDE w:val="0"/>
              <w:autoSpaceDN w:val="0"/>
              <w:adjustRightInd w:val="0"/>
              <w:spacing w:after="60" w:line="240" w:lineRule="auto"/>
              <w:jc w:val="center"/>
              <w:rPr>
                <w:rFonts w:ascii="Times New Roman" w:hAnsi="Times New Roman"/>
                <w:sz w:val="20"/>
                <w:szCs w:val="20"/>
              </w:rPr>
            </w:pPr>
            <w:r w:rsidRPr="00456D9A">
              <w:rPr>
                <w:rFonts w:ascii="Times New Roman" w:hAnsi="Times New Roman"/>
                <w:sz w:val="20"/>
                <w:szCs w:val="20"/>
              </w:rPr>
              <w:t>120</w:t>
            </w:r>
          </w:p>
        </w:tc>
        <w:tc>
          <w:tcPr>
            <w:tcW w:w="0" w:type="auto"/>
            <w:tcBorders>
              <w:bottom w:val="single" w:sz="4" w:space="0" w:color="auto"/>
            </w:tcBorders>
            <w:shd w:val="clear" w:color="auto" w:fill="auto"/>
            <w:vAlign w:val="center"/>
          </w:tcPr>
          <w:p w:rsidR="00E34388" w:rsidRPr="00456D9A" w:rsidRDefault="00E34388" w:rsidP="00970B44">
            <w:pPr>
              <w:autoSpaceDE w:val="0"/>
              <w:autoSpaceDN w:val="0"/>
              <w:adjustRightInd w:val="0"/>
              <w:spacing w:after="60" w:line="240" w:lineRule="auto"/>
              <w:jc w:val="center"/>
              <w:rPr>
                <w:rFonts w:ascii="Times New Roman" w:hAnsi="Times New Roman"/>
                <w:sz w:val="20"/>
                <w:szCs w:val="20"/>
              </w:rPr>
            </w:pPr>
            <w:r w:rsidRPr="00456D9A">
              <w:rPr>
                <w:rFonts w:ascii="Times New Roman" w:hAnsi="Times New Roman"/>
                <w:sz w:val="20"/>
                <w:szCs w:val="20"/>
              </w:rPr>
              <w:t>12</w:t>
            </w:r>
          </w:p>
        </w:tc>
        <w:tc>
          <w:tcPr>
            <w:tcW w:w="0" w:type="auto"/>
            <w:tcBorders>
              <w:bottom w:val="single" w:sz="4" w:space="0" w:color="auto"/>
            </w:tcBorders>
            <w:shd w:val="clear" w:color="auto" w:fill="auto"/>
            <w:vAlign w:val="center"/>
          </w:tcPr>
          <w:p w:rsidR="00E34388" w:rsidRPr="00456D9A" w:rsidRDefault="00E34388" w:rsidP="00970B44">
            <w:pPr>
              <w:autoSpaceDE w:val="0"/>
              <w:autoSpaceDN w:val="0"/>
              <w:adjustRightInd w:val="0"/>
              <w:spacing w:after="60" w:line="240" w:lineRule="auto"/>
              <w:jc w:val="center"/>
              <w:rPr>
                <w:rFonts w:ascii="Times New Roman" w:hAnsi="Times New Roman"/>
                <w:sz w:val="20"/>
                <w:szCs w:val="20"/>
              </w:rPr>
            </w:pPr>
            <w:r w:rsidRPr="00456D9A">
              <w:rPr>
                <w:rFonts w:ascii="Times New Roman" w:hAnsi="Times New Roman"/>
                <w:sz w:val="20"/>
                <w:szCs w:val="20"/>
              </w:rPr>
              <w:t>11.89 ± 0.10</w:t>
            </w:r>
          </w:p>
        </w:tc>
        <w:tc>
          <w:tcPr>
            <w:tcW w:w="0" w:type="auto"/>
            <w:tcBorders>
              <w:bottom w:val="single" w:sz="4" w:space="0" w:color="auto"/>
            </w:tcBorders>
            <w:shd w:val="clear" w:color="auto" w:fill="auto"/>
            <w:vAlign w:val="center"/>
          </w:tcPr>
          <w:p w:rsidR="00E34388" w:rsidRPr="00456D9A" w:rsidRDefault="00E34388" w:rsidP="00970B44">
            <w:pPr>
              <w:autoSpaceDE w:val="0"/>
              <w:autoSpaceDN w:val="0"/>
              <w:adjustRightInd w:val="0"/>
              <w:spacing w:after="60" w:line="240" w:lineRule="auto"/>
              <w:jc w:val="center"/>
              <w:rPr>
                <w:rFonts w:ascii="Times New Roman" w:hAnsi="Times New Roman"/>
                <w:sz w:val="20"/>
                <w:szCs w:val="20"/>
              </w:rPr>
            </w:pPr>
            <w:r w:rsidRPr="00456D9A">
              <w:rPr>
                <w:rFonts w:ascii="Times New Roman" w:hAnsi="Times New Roman"/>
                <w:sz w:val="20"/>
                <w:szCs w:val="20"/>
              </w:rPr>
              <w:t>99.09</w:t>
            </w:r>
          </w:p>
        </w:tc>
        <w:tc>
          <w:tcPr>
            <w:tcW w:w="0" w:type="auto"/>
            <w:tcBorders>
              <w:bottom w:val="single" w:sz="4" w:space="0" w:color="auto"/>
            </w:tcBorders>
            <w:vAlign w:val="center"/>
          </w:tcPr>
          <w:p w:rsidR="00E34388" w:rsidRPr="00456D9A" w:rsidRDefault="00E34388" w:rsidP="00970B44">
            <w:pPr>
              <w:autoSpaceDE w:val="0"/>
              <w:autoSpaceDN w:val="0"/>
              <w:adjustRightInd w:val="0"/>
              <w:spacing w:after="60" w:line="240" w:lineRule="auto"/>
              <w:jc w:val="center"/>
              <w:rPr>
                <w:rFonts w:ascii="Times New Roman" w:hAnsi="Times New Roman"/>
                <w:sz w:val="20"/>
                <w:szCs w:val="20"/>
              </w:rPr>
            </w:pPr>
            <w:r w:rsidRPr="00456D9A">
              <w:rPr>
                <w:rFonts w:ascii="Times New Roman" w:hAnsi="Times New Roman"/>
                <w:sz w:val="20"/>
                <w:szCs w:val="20"/>
              </w:rPr>
              <w:t>0.85</w:t>
            </w:r>
          </w:p>
        </w:tc>
      </w:tr>
    </w:tbl>
    <w:p w:rsidR="00E34388" w:rsidRPr="00970B44" w:rsidRDefault="00E34388" w:rsidP="00970B44">
      <w:pPr>
        <w:autoSpaceDE w:val="0"/>
        <w:autoSpaceDN w:val="0"/>
        <w:adjustRightInd w:val="0"/>
        <w:spacing w:before="60" w:after="0" w:line="240" w:lineRule="auto"/>
        <w:rPr>
          <w:rFonts w:ascii="Times New Roman" w:hAnsi="Times New Roman"/>
          <w:sz w:val="18"/>
          <w:szCs w:val="18"/>
        </w:rPr>
      </w:pPr>
      <w:r w:rsidRPr="00970B44">
        <w:rPr>
          <w:rFonts w:ascii="Times New Roman" w:hAnsi="Times New Roman"/>
          <w:sz w:val="18"/>
          <w:szCs w:val="18"/>
        </w:rPr>
        <w:t xml:space="preserve">                </w:t>
      </w:r>
      <w:r w:rsidR="00970B44" w:rsidRPr="00970B44">
        <w:rPr>
          <w:rFonts w:ascii="Times New Roman" w:hAnsi="Times New Roman"/>
          <w:sz w:val="18"/>
          <w:szCs w:val="18"/>
        </w:rPr>
        <w:t xml:space="preserve">   </w:t>
      </w:r>
      <w:r w:rsidRPr="00970B44">
        <w:rPr>
          <w:rFonts w:ascii="Times New Roman" w:hAnsi="Times New Roman"/>
          <w:sz w:val="18"/>
          <w:szCs w:val="18"/>
        </w:rPr>
        <w:t xml:space="preserve"> *Mean of three determinations, SD- Standard Deviation</w:t>
      </w:r>
    </w:p>
    <w:p w:rsidR="00E34388" w:rsidRDefault="00E34388" w:rsidP="00E34388">
      <w:pPr>
        <w:spacing w:after="0" w:line="240" w:lineRule="auto"/>
        <w:jc w:val="both"/>
        <w:rPr>
          <w:rFonts w:ascii="Times New Roman" w:hAnsi="Times New Roman"/>
          <w:color w:val="000000"/>
          <w:sz w:val="20"/>
          <w:szCs w:val="20"/>
        </w:rPr>
      </w:pPr>
    </w:p>
    <w:p w:rsidR="00970B44" w:rsidRPr="00C77546" w:rsidRDefault="00970B44" w:rsidP="00E34388">
      <w:pPr>
        <w:spacing w:after="0" w:line="240" w:lineRule="auto"/>
        <w:jc w:val="both"/>
        <w:rPr>
          <w:rFonts w:ascii="Times New Roman" w:hAnsi="Times New Roman"/>
          <w:color w:val="000000"/>
          <w:sz w:val="20"/>
          <w:szCs w:val="20"/>
        </w:rPr>
      </w:pPr>
    </w:p>
    <w:p w:rsidR="00E34388" w:rsidRPr="00970B44" w:rsidRDefault="00E34388" w:rsidP="00970B44">
      <w:pPr>
        <w:autoSpaceDE w:val="0"/>
        <w:autoSpaceDN w:val="0"/>
        <w:adjustRightInd w:val="0"/>
        <w:spacing w:after="120" w:line="240" w:lineRule="auto"/>
        <w:jc w:val="center"/>
        <w:rPr>
          <w:rFonts w:ascii="Times New Roman" w:hAnsi="Times New Roman"/>
          <w:sz w:val="20"/>
          <w:szCs w:val="20"/>
        </w:rPr>
      </w:pPr>
      <w:r w:rsidRPr="00C77546">
        <w:rPr>
          <w:rFonts w:ascii="Times New Roman" w:hAnsi="Times New Roman"/>
          <w:bCs/>
          <w:sz w:val="20"/>
          <w:szCs w:val="20"/>
        </w:rPr>
        <w:t xml:space="preserve">Table 3. </w:t>
      </w:r>
      <w:r w:rsidR="00970B44">
        <w:rPr>
          <w:rFonts w:ascii="Times New Roman" w:hAnsi="Times New Roman"/>
          <w:bCs/>
          <w:sz w:val="20"/>
          <w:szCs w:val="20"/>
        </w:rPr>
        <w:t xml:space="preserve"> </w:t>
      </w:r>
      <w:r w:rsidRPr="00C77546">
        <w:rPr>
          <w:rFonts w:ascii="Times New Roman" w:hAnsi="Times New Roman"/>
          <w:sz w:val="20"/>
          <w:szCs w:val="20"/>
        </w:rPr>
        <w:t xml:space="preserve">Results of </w:t>
      </w:r>
      <w:r>
        <w:rPr>
          <w:rFonts w:ascii="Times New Roman" w:hAnsi="Times New Roman"/>
          <w:sz w:val="20"/>
          <w:szCs w:val="20"/>
        </w:rPr>
        <w:t>r</w:t>
      </w:r>
      <w:r w:rsidRPr="00C77546">
        <w:rPr>
          <w:rFonts w:ascii="Times New Roman" w:hAnsi="Times New Roman"/>
          <w:sz w:val="20"/>
          <w:szCs w:val="20"/>
        </w:rPr>
        <w:t>epeatability studies</w:t>
      </w:r>
    </w:p>
    <w:tbl>
      <w:tblPr>
        <w:tblStyle w:val="TableGrid"/>
        <w:tblW w:w="0" w:type="auto"/>
        <w:jc w:val="center"/>
        <w:tblInd w:w="110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1843"/>
      </w:tblGrid>
      <w:tr w:rsidR="00E34388" w:rsidRPr="00456D9A" w:rsidTr="00FD0839">
        <w:trPr>
          <w:jc w:val="center"/>
        </w:trPr>
        <w:tc>
          <w:tcPr>
            <w:tcW w:w="4252" w:type="dxa"/>
          </w:tcPr>
          <w:p w:rsidR="00E34388" w:rsidRPr="00456D9A" w:rsidRDefault="00E34388" w:rsidP="00970B44">
            <w:pPr>
              <w:autoSpaceDE w:val="0"/>
              <w:autoSpaceDN w:val="0"/>
              <w:adjustRightInd w:val="0"/>
              <w:spacing w:before="60" w:after="60" w:line="240" w:lineRule="auto"/>
              <w:jc w:val="left"/>
              <w:rPr>
                <w:rFonts w:ascii="Times New Roman" w:hAnsi="Times New Roman" w:cs="Times New Roman"/>
                <w:b/>
                <w:sz w:val="20"/>
                <w:szCs w:val="20"/>
              </w:rPr>
            </w:pPr>
            <w:r w:rsidRPr="00456D9A">
              <w:rPr>
                <w:rFonts w:ascii="Times New Roman" w:hAnsi="Times New Roman" w:cs="Times New Roman"/>
                <w:b/>
                <w:color w:val="000000"/>
                <w:sz w:val="20"/>
                <w:szCs w:val="20"/>
              </w:rPr>
              <w:t>Concentration applied (µg/mL)</w:t>
            </w:r>
          </w:p>
        </w:tc>
        <w:tc>
          <w:tcPr>
            <w:tcW w:w="1843" w:type="dxa"/>
          </w:tcPr>
          <w:p w:rsidR="00E34388" w:rsidRPr="00456D9A" w:rsidRDefault="00E34388" w:rsidP="00970B44">
            <w:pPr>
              <w:autoSpaceDE w:val="0"/>
              <w:autoSpaceDN w:val="0"/>
              <w:adjustRightInd w:val="0"/>
              <w:spacing w:before="60" w:after="60" w:line="240" w:lineRule="auto"/>
              <w:rPr>
                <w:rFonts w:ascii="Times New Roman" w:hAnsi="Times New Roman" w:cs="Times New Roman"/>
                <w:b/>
                <w:sz w:val="20"/>
                <w:szCs w:val="20"/>
              </w:rPr>
            </w:pPr>
            <w:r w:rsidRPr="00456D9A">
              <w:rPr>
                <w:rFonts w:ascii="Times New Roman" w:hAnsi="Times New Roman" w:cs="Times New Roman"/>
                <w:color w:val="000000"/>
                <w:sz w:val="20"/>
                <w:szCs w:val="20"/>
              </w:rPr>
              <w:t>10</w:t>
            </w:r>
          </w:p>
        </w:tc>
      </w:tr>
      <w:tr w:rsidR="00E34388" w:rsidRPr="00456D9A" w:rsidTr="00FD0839">
        <w:trPr>
          <w:jc w:val="center"/>
        </w:trPr>
        <w:tc>
          <w:tcPr>
            <w:tcW w:w="4252" w:type="dxa"/>
          </w:tcPr>
          <w:p w:rsidR="00E34388" w:rsidRPr="00456D9A" w:rsidRDefault="00E34388" w:rsidP="00970B44">
            <w:pPr>
              <w:autoSpaceDE w:val="0"/>
              <w:autoSpaceDN w:val="0"/>
              <w:adjustRightInd w:val="0"/>
              <w:spacing w:before="60" w:after="60" w:line="240" w:lineRule="auto"/>
              <w:jc w:val="left"/>
              <w:rPr>
                <w:rFonts w:ascii="Times New Roman" w:hAnsi="Times New Roman" w:cs="Times New Roman"/>
                <w:sz w:val="20"/>
                <w:szCs w:val="20"/>
              </w:rPr>
            </w:pPr>
            <w:r w:rsidRPr="00456D9A">
              <w:rPr>
                <w:rFonts w:ascii="Times New Roman" w:hAnsi="Times New Roman" w:cs="Times New Roman"/>
                <w:b/>
                <w:color w:val="000000"/>
                <w:sz w:val="20"/>
                <w:szCs w:val="20"/>
              </w:rPr>
              <w:t xml:space="preserve">Concentration </w:t>
            </w:r>
            <w:r w:rsidRPr="00456D9A">
              <w:rPr>
                <w:rFonts w:ascii="Times New Roman" w:hAnsi="Times New Roman" w:cs="Times New Roman"/>
                <w:b/>
                <w:bCs/>
                <w:color w:val="000000"/>
                <w:sz w:val="20"/>
                <w:szCs w:val="20"/>
              </w:rPr>
              <w:t>found</w:t>
            </w:r>
            <w:r w:rsidRPr="00456D9A">
              <w:rPr>
                <w:rFonts w:ascii="Times New Roman" w:hAnsi="Times New Roman" w:cs="Times New Roman"/>
                <w:b/>
                <w:bCs/>
                <w:sz w:val="20"/>
                <w:szCs w:val="20"/>
              </w:rPr>
              <w:t>* ± SD</w:t>
            </w:r>
            <w:r w:rsidRPr="00456D9A">
              <w:rPr>
                <w:rFonts w:ascii="Times New Roman" w:hAnsi="Times New Roman" w:cs="Times New Roman"/>
                <w:b/>
                <w:color w:val="000000"/>
                <w:sz w:val="20"/>
                <w:szCs w:val="20"/>
              </w:rPr>
              <w:t xml:space="preserve"> (</w:t>
            </w:r>
            <w:r w:rsidRPr="00456D9A">
              <w:rPr>
                <w:rFonts w:ascii="Times New Roman" w:hAnsi="Times New Roman" w:cs="Times New Roman"/>
                <w:b/>
                <w:bCs/>
                <w:color w:val="000000"/>
                <w:sz w:val="20"/>
                <w:szCs w:val="20"/>
              </w:rPr>
              <w:t>µg/mL)</w:t>
            </w:r>
          </w:p>
        </w:tc>
        <w:tc>
          <w:tcPr>
            <w:tcW w:w="1843" w:type="dxa"/>
          </w:tcPr>
          <w:p w:rsidR="00E34388" w:rsidRPr="00456D9A" w:rsidRDefault="00E34388" w:rsidP="00970B44">
            <w:pPr>
              <w:autoSpaceDE w:val="0"/>
              <w:autoSpaceDN w:val="0"/>
              <w:adjustRightInd w:val="0"/>
              <w:spacing w:before="60" w:after="60" w:line="240" w:lineRule="auto"/>
              <w:rPr>
                <w:rFonts w:ascii="Times New Roman" w:hAnsi="Times New Roman" w:cs="Times New Roman"/>
                <w:sz w:val="20"/>
                <w:szCs w:val="20"/>
              </w:rPr>
            </w:pPr>
            <w:r w:rsidRPr="00456D9A">
              <w:rPr>
                <w:rFonts w:ascii="Times New Roman" w:hAnsi="Times New Roman" w:cs="Times New Roman"/>
                <w:bCs/>
                <w:color w:val="000000"/>
                <w:sz w:val="20"/>
                <w:szCs w:val="20"/>
              </w:rPr>
              <w:t xml:space="preserve">9.98 </w:t>
            </w:r>
            <w:r w:rsidRPr="00456D9A">
              <w:rPr>
                <w:rFonts w:ascii="Times New Roman" w:hAnsi="Times New Roman" w:cs="Times New Roman"/>
                <w:bCs/>
                <w:sz w:val="20"/>
                <w:szCs w:val="20"/>
              </w:rPr>
              <w:t>±</w:t>
            </w:r>
            <w:r w:rsidRPr="00456D9A">
              <w:rPr>
                <w:rFonts w:ascii="Times New Roman" w:hAnsi="Times New Roman" w:cs="Times New Roman"/>
                <w:bCs/>
                <w:color w:val="000000"/>
                <w:sz w:val="20"/>
                <w:szCs w:val="20"/>
              </w:rPr>
              <w:t>0.05</w:t>
            </w:r>
          </w:p>
        </w:tc>
      </w:tr>
      <w:tr w:rsidR="00E34388" w:rsidRPr="00456D9A" w:rsidTr="00FD0839">
        <w:trPr>
          <w:jc w:val="center"/>
        </w:trPr>
        <w:tc>
          <w:tcPr>
            <w:tcW w:w="4252" w:type="dxa"/>
          </w:tcPr>
          <w:p w:rsidR="00E34388" w:rsidRPr="00456D9A" w:rsidRDefault="00E34388" w:rsidP="00970B44">
            <w:pPr>
              <w:autoSpaceDE w:val="0"/>
              <w:autoSpaceDN w:val="0"/>
              <w:adjustRightInd w:val="0"/>
              <w:spacing w:before="60" w:after="60" w:line="240" w:lineRule="auto"/>
              <w:jc w:val="left"/>
              <w:rPr>
                <w:rFonts w:ascii="Times New Roman" w:hAnsi="Times New Roman" w:cs="Times New Roman"/>
                <w:b/>
                <w:sz w:val="20"/>
                <w:szCs w:val="20"/>
              </w:rPr>
            </w:pPr>
            <w:r w:rsidRPr="00456D9A">
              <w:rPr>
                <w:rFonts w:ascii="Times New Roman" w:hAnsi="Times New Roman" w:cs="Times New Roman"/>
                <w:b/>
                <w:bCs/>
                <w:color w:val="000000"/>
                <w:sz w:val="20"/>
                <w:szCs w:val="20"/>
              </w:rPr>
              <w:t>% RSD</w:t>
            </w:r>
          </w:p>
        </w:tc>
        <w:tc>
          <w:tcPr>
            <w:tcW w:w="1843" w:type="dxa"/>
          </w:tcPr>
          <w:p w:rsidR="00E34388" w:rsidRPr="00456D9A" w:rsidRDefault="00E34388" w:rsidP="00970B44">
            <w:pPr>
              <w:autoSpaceDE w:val="0"/>
              <w:autoSpaceDN w:val="0"/>
              <w:adjustRightInd w:val="0"/>
              <w:spacing w:before="60" w:after="60" w:line="240" w:lineRule="auto"/>
              <w:rPr>
                <w:rFonts w:ascii="Times New Roman" w:hAnsi="Times New Roman" w:cs="Times New Roman"/>
                <w:sz w:val="20"/>
                <w:szCs w:val="20"/>
              </w:rPr>
            </w:pPr>
            <w:r w:rsidRPr="00456D9A">
              <w:rPr>
                <w:rFonts w:ascii="Times New Roman" w:hAnsi="Times New Roman" w:cs="Times New Roman"/>
                <w:bCs/>
                <w:color w:val="000000"/>
                <w:sz w:val="20"/>
                <w:szCs w:val="20"/>
              </w:rPr>
              <w:t>0.54</w:t>
            </w:r>
          </w:p>
        </w:tc>
      </w:tr>
    </w:tbl>
    <w:p w:rsidR="00E34388" w:rsidRPr="00970B44" w:rsidRDefault="00E34388" w:rsidP="00970B44">
      <w:pPr>
        <w:autoSpaceDE w:val="0"/>
        <w:autoSpaceDN w:val="0"/>
        <w:adjustRightInd w:val="0"/>
        <w:spacing w:before="60" w:after="0" w:line="240" w:lineRule="auto"/>
        <w:rPr>
          <w:rFonts w:ascii="Times New Roman" w:hAnsi="Times New Roman"/>
          <w:sz w:val="18"/>
          <w:szCs w:val="18"/>
        </w:rPr>
      </w:pPr>
      <w:r w:rsidRPr="00970B44">
        <w:rPr>
          <w:rFonts w:ascii="Times New Roman" w:hAnsi="Times New Roman"/>
          <w:sz w:val="18"/>
          <w:szCs w:val="18"/>
        </w:rPr>
        <w:t xml:space="preserve">                             </w:t>
      </w:r>
      <w:r w:rsidR="00970B44" w:rsidRPr="00970B44">
        <w:rPr>
          <w:rFonts w:ascii="Times New Roman" w:hAnsi="Times New Roman"/>
          <w:sz w:val="18"/>
          <w:szCs w:val="18"/>
        </w:rPr>
        <w:t xml:space="preserve"> </w:t>
      </w:r>
      <w:r w:rsidR="00970B44">
        <w:rPr>
          <w:rFonts w:ascii="Times New Roman" w:hAnsi="Times New Roman"/>
          <w:sz w:val="18"/>
          <w:szCs w:val="18"/>
        </w:rPr>
        <w:t xml:space="preserve">   </w:t>
      </w:r>
      <w:r w:rsidR="00970B44" w:rsidRPr="00970B44">
        <w:rPr>
          <w:rFonts w:ascii="Times New Roman" w:hAnsi="Times New Roman"/>
          <w:sz w:val="18"/>
          <w:szCs w:val="18"/>
        </w:rPr>
        <w:t xml:space="preserve"> </w:t>
      </w:r>
      <w:r w:rsidRPr="00970B44">
        <w:rPr>
          <w:rFonts w:ascii="Times New Roman" w:hAnsi="Times New Roman"/>
          <w:sz w:val="18"/>
          <w:szCs w:val="18"/>
        </w:rPr>
        <w:t>*Mean of six determinations</w:t>
      </w:r>
    </w:p>
    <w:p w:rsidR="00E34388" w:rsidRDefault="00E34388" w:rsidP="00E34388">
      <w:pPr>
        <w:autoSpaceDE w:val="0"/>
        <w:autoSpaceDN w:val="0"/>
        <w:adjustRightInd w:val="0"/>
        <w:spacing w:after="0" w:line="240" w:lineRule="auto"/>
        <w:jc w:val="center"/>
        <w:rPr>
          <w:rFonts w:ascii="Times New Roman" w:hAnsi="Times New Roman"/>
          <w:b/>
          <w:sz w:val="20"/>
          <w:szCs w:val="20"/>
        </w:rPr>
      </w:pPr>
    </w:p>
    <w:p w:rsidR="00970B44" w:rsidRPr="00456D9A" w:rsidRDefault="00970B44" w:rsidP="00E34388">
      <w:pPr>
        <w:autoSpaceDE w:val="0"/>
        <w:autoSpaceDN w:val="0"/>
        <w:adjustRightInd w:val="0"/>
        <w:spacing w:after="0" w:line="240" w:lineRule="auto"/>
        <w:jc w:val="center"/>
        <w:rPr>
          <w:rFonts w:ascii="Times New Roman" w:hAnsi="Times New Roman"/>
          <w:b/>
          <w:sz w:val="20"/>
          <w:szCs w:val="20"/>
        </w:rPr>
      </w:pPr>
    </w:p>
    <w:p w:rsidR="00E34388" w:rsidRPr="00970B44" w:rsidRDefault="00E34388" w:rsidP="00970B44">
      <w:pPr>
        <w:spacing w:after="120" w:line="240" w:lineRule="auto"/>
        <w:jc w:val="center"/>
        <w:rPr>
          <w:rFonts w:ascii="Times New Roman" w:hAnsi="Times New Roman"/>
          <w:sz w:val="20"/>
          <w:szCs w:val="20"/>
        </w:rPr>
      </w:pPr>
      <w:r w:rsidRPr="00C77546">
        <w:rPr>
          <w:rFonts w:ascii="Times New Roman" w:hAnsi="Times New Roman"/>
          <w:bCs/>
          <w:sz w:val="20"/>
          <w:szCs w:val="20"/>
        </w:rPr>
        <w:t>Table 4</w:t>
      </w:r>
      <w:r>
        <w:rPr>
          <w:rFonts w:ascii="Times New Roman" w:hAnsi="Times New Roman"/>
          <w:bCs/>
          <w:sz w:val="20"/>
          <w:szCs w:val="20"/>
        </w:rPr>
        <w:t xml:space="preserve">. </w:t>
      </w:r>
      <w:r w:rsidR="00970B44">
        <w:rPr>
          <w:rFonts w:ascii="Times New Roman" w:hAnsi="Times New Roman"/>
          <w:bCs/>
          <w:sz w:val="20"/>
          <w:szCs w:val="20"/>
        </w:rPr>
        <w:t xml:space="preserve"> </w:t>
      </w:r>
      <w:r w:rsidRPr="00C77546">
        <w:rPr>
          <w:rFonts w:ascii="Times New Roman" w:hAnsi="Times New Roman"/>
          <w:sz w:val="20"/>
          <w:szCs w:val="20"/>
        </w:rPr>
        <w:t>Results of Intermediate Precision Studies</w:t>
      </w:r>
    </w:p>
    <w:tbl>
      <w:tblPr>
        <w:tblW w:w="8110" w:type="dxa"/>
        <w:jc w:val="center"/>
        <w:tblInd w:w="999" w:type="dxa"/>
        <w:tblBorders>
          <w:top w:val="single" w:sz="4" w:space="0" w:color="auto"/>
          <w:bottom w:val="single" w:sz="4" w:space="0" w:color="auto"/>
        </w:tblBorders>
        <w:tblLook w:val="0000" w:firstRow="0" w:lastRow="0" w:firstColumn="0" w:lastColumn="0" w:noHBand="0" w:noVBand="0"/>
      </w:tblPr>
      <w:tblGrid>
        <w:gridCol w:w="1699"/>
        <w:gridCol w:w="2133"/>
        <w:gridCol w:w="1060"/>
        <w:gridCol w:w="2077"/>
        <w:gridCol w:w="1141"/>
      </w:tblGrid>
      <w:tr w:rsidR="00E34388" w:rsidRPr="00456D9A" w:rsidTr="00FD0839">
        <w:trPr>
          <w:cantSplit/>
          <w:jc w:val="center"/>
        </w:trPr>
        <w:tc>
          <w:tcPr>
            <w:tcW w:w="1699" w:type="dxa"/>
            <w:vMerge w:val="restart"/>
            <w:tcBorders>
              <w:top w:val="single" w:sz="4" w:space="0" w:color="auto"/>
              <w:bottom w:val="nil"/>
            </w:tcBorders>
          </w:tcPr>
          <w:p w:rsidR="00E34388" w:rsidRPr="00456D9A" w:rsidRDefault="00E34388" w:rsidP="00970B44">
            <w:pPr>
              <w:spacing w:before="60" w:after="0" w:line="240" w:lineRule="auto"/>
              <w:jc w:val="center"/>
              <w:rPr>
                <w:rFonts w:ascii="Times New Roman" w:hAnsi="Times New Roman"/>
                <w:b/>
                <w:sz w:val="20"/>
                <w:szCs w:val="20"/>
              </w:rPr>
            </w:pPr>
            <w:r w:rsidRPr="00456D9A">
              <w:rPr>
                <w:rFonts w:ascii="Times New Roman" w:hAnsi="Times New Roman"/>
                <w:b/>
                <w:sz w:val="20"/>
                <w:szCs w:val="20"/>
              </w:rPr>
              <w:t>Concentration (</w:t>
            </w:r>
            <w:r w:rsidRPr="00456D9A">
              <w:rPr>
                <w:rFonts w:ascii="Times New Roman" w:hAnsi="Times New Roman"/>
                <w:b/>
                <w:bCs/>
                <w:sz w:val="20"/>
                <w:szCs w:val="20"/>
              </w:rPr>
              <w:sym w:font="Symbol" w:char="F06D"/>
            </w:r>
            <w:r w:rsidRPr="00456D9A">
              <w:rPr>
                <w:rFonts w:ascii="Times New Roman" w:hAnsi="Times New Roman"/>
                <w:b/>
                <w:bCs/>
                <w:sz w:val="20"/>
                <w:szCs w:val="20"/>
              </w:rPr>
              <w:t>g/mL</w:t>
            </w:r>
            <w:r w:rsidRPr="00456D9A">
              <w:rPr>
                <w:rFonts w:ascii="Times New Roman" w:hAnsi="Times New Roman"/>
                <w:b/>
                <w:sz w:val="20"/>
                <w:szCs w:val="20"/>
              </w:rPr>
              <w:t>)</w:t>
            </w:r>
          </w:p>
        </w:tc>
        <w:tc>
          <w:tcPr>
            <w:tcW w:w="3193" w:type="dxa"/>
            <w:gridSpan w:val="2"/>
            <w:tcBorders>
              <w:top w:val="single" w:sz="4" w:space="0" w:color="auto"/>
              <w:bottom w:val="single" w:sz="4" w:space="0" w:color="auto"/>
            </w:tcBorders>
          </w:tcPr>
          <w:p w:rsidR="00E34388" w:rsidRPr="00456D9A" w:rsidRDefault="00E34388" w:rsidP="00970B44">
            <w:pPr>
              <w:spacing w:before="60" w:after="0" w:line="240" w:lineRule="auto"/>
              <w:jc w:val="center"/>
              <w:rPr>
                <w:rFonts w:ascii="Times New Roman" w:hAnsi="Times New Roman"/>
                <w:b/>
                <w:sz w:val="20"/>
                <w:szCs w:val="20"/>
              </w:rPr>
            </w:pPr>
            <w:r w:rsidRPr="00456D9A">
              <w:rPr>
                <w:rFonts w:ascii="Times New Roman" w:hAnsi="Times New Roman"/>
                <w:b/>
                <w:sz w:val="20"/>
                <w:szCs w:val="20"/>
              </w:rPr>
              <w:t>Intra-day precision</w:t>
            </w:r>
          </w:p>
        </w:tc>
        <w:tc>
          <w:tcPr>
            <w:tcW w:w="3218" w:type="dxa"/>
            <w:gridSpan w:val="2"/>
            <w:tcBorders>
              <w:top w:val="single" w:sz="4" w:space="0" w:color="auto"/>
              <w:bottom w:val="single" w:sz="4" w:space="0" w:color="auto"/>
            </w:tcBorders>
          </w:tcPr>
          <w:p w:rsidR="00E34388" w:rsidRPr="00456D9A" w:rsidRDefault="00E34388" w:rsidP="00970B44">
            <w:pPr>
              <w:spacing w:before="60" w:after="0" w:line="240" w:lineRule="auto"/>
              <w:jc w:val="center"/>
              <w:rPr>
                <w:rFonts w:ascii="Times New Roman" w:hAnsi="Times New Roman"/>
                <w:b/>
                <w:sz w:val="20"/>
                <w:szCs w:val="20"/>
              </w:rPr>
            </w:pPr>
            <w:r w:rsidRPr="00456D9A">
              <w:rPr>
                <w:rFonts w:ascii="Times New Roman" w:hAnsi="Times New Roman"/>
                <w:b/>
                <w:sz w:val="20"/>
                <w:szCs w:val="20"/>
              </w:rPr>
              <w:t>Inter-day precision</w:t>
            </w:r>
          </w:p>
        </w:tc>
      </w:tr>
      <w:tr w:rsidR="00E34388" w:rsidRPr="00456D9A" w:rsidTr="00FD0839">
        <w:trPr>
          <w:cantSplit/>
          <w:jc w:val="center"/>
        </w:trPr>
        <w:tc>
          <w:tcPr>
            <w:tcW w:w="1699" w:type="dxa"/>
            <w:vMerge/>
            <w:tcBorders>
              <w:top w:val="nil"/>
              <w:bottom w:val="single" w:sz="4" w:space="0" w:color="auto"/>
            </w:tcBorders>
          </w:tcPr>
          <w:p w:rsidR="00E34388" w:rsidRPr="00456D9A" w:rsidRDefault="00E34388" w:rsidP="00FD0839">
            <w:pPr>
              <w:spacing w:after="0" w:line="240" w:lineRule="auto"/>
              <w:jc w:val="center"/>
              <w:rPr>
                <w:rFonts w:ascii="Times New Roman" w:hAnsi="Times New Roman"/>
                <w:b/>
                <w:sz w:val="20"/>
                <w:szCs w:val="20"/>
              </w:rPr>
            </w:pPr>
          </w:p>
        </w:tc>
        <w:tc>
          <w:tcPr>
            <w:tcW w:w="2133" w:type="dxa"/>
            <w:tcBorders>
              <w:top w:val="single" w:sz="4" w:space="0" w:color="auto"/>
              <w:bottom w:val="single" w:sz="4" w:space="0" w:color="auto"/>
            </w:tcBorders>
          </w:tcPr>
          <w:p w:rsidR="00E34388" w:rsidRPr="00456D9A" w:rsidRDefault="00E34388" w:rsidP="00970B44">
            <w:pPr>
              <w:spacing w:after="60" w:line="240" w:lineRule="auto"/>
              <w:jc w:val="center"/>
              <w:rPr>
                <w:rFonts w:ascii="Times New Roman" w:hAnsi="Times New Roman"/>
                <w:b/>
                <w:sz w:val="20"/>
                <w:szCs w:val="20"/>
              </w:rPr>
            </w:pPr>
            <w:r w:rsidRPr="00456D9A">
              <w:rPr>
                <w:rFonts w:ascii="Times New Roman" w:hAnsi="Times New Roman"/>
                <w:b/>
                <w:color w:val="000000"/>
                <w:sz w:val="20"/>
                <w:szCs w:val="20"/>
              </w:rPr>
              <w:t xml:space="preserve">Concentration </w:t>
            </w:r>
            <w:r w:rsidRPr="00456D9A">
              <w:rPr>
                <w:rFonts w:ascii="Times New Roman" w:hAnsi="Times New Roman"/>
                <w:b/>
                <w:bCs/>
                <w:color w:val="000000"/>
                <w:sz w:val="20"/>
                <w:szCs w:val="20"/>
              </w:rPr>
              <w:t>found</w:t>
            </w:r>
            <w:r w:rsidRPr="00456D9A">
              <w:rPr>
                <w:rFonts w:ascii="Times New Roman" w:hAnsi="Times New Roman"/>
                <w:b/>
                <w:bCs/>
                <w:sz w:val="20"/>
                <w:szCs w:val="20"/>
              </w:rPr>
              <w:t>* ± SD</w:t>
            </w:r>
            <w:r w:rsidRPr="00456D9A">
              <w:rPr>
                <w:rFonts w:ascii="Times New Roman" w:hAnsi="Times New Roman"/>
                <w:b/>
                <w:color w:val="000000"/>
                <w:sz w:val="20"/>
                <w:szCs w:val="20"/>
              </w:rPr>
              <w:t xml:space="preserve"> (</w:t>
            </w:r>
            <w:r w:rsidRPr="00456D9A">
              <w:rPr>
                <w:rFonts w:ascii="Times New Roman" w:hAnsi="Times New Roman"/>
                <w:b/>
                <w:bCs/>
                <w:color w:val="000000"/>
                <w:sz w:val="20"/>
                <w:szCs w:val="20"/>
              </w:rPr>
              <w:t>µg/mL)</w:t>
            </w:r>
          </w:p>
        </w:tc>
        <w:tc>
          <w:tcPr>
            <w:tcW w:w="1060" w:type="dxa"/>
            <w:tcBorders>
              <w:top w:val="single" w:sz="4" w:space="0" w:color="auto"/>
              <w:bottom w:val="single" w:sz="4" w:space="0" w:color="auto"/>
            </w:tcBorders>
          </w:tcPr>
          <w:p w:rsidR="00E34388" w:rsidRPr="00456D9A" w:rsidRDefault="00E34388" w:rsidP="00FD0839">
            <w:pPr>
              <w:spacing w:after="0" w:line="240" w:lineRule="auto"/>
              <w:jc w:val="center"/>
              <w:rPr>
                <w:rFonts w:ascii="Times New Roman" w:hAnsi="Times New Roman"/>
                <w:b/>
                <w:sz w:val="20"/>
                <w:szCs w:val="20"/>
              </w:rPr>
            </w:pPr>
            <w:r w:rsidRPr="00456D9A">
              <w:rPr>
                <w:rFonts w:ascii="Times New Roman" w:hAnsi="Times New Roman"/>
                <w:b/>
                <w:sz w:val="20"/>
                <w:szCs w:val="20"/>
              </w:rPr>
              <w:t>%</w:t>
            </w:r>
            <w:r>
              <w:rPr>
                <w:rFonts w:ascii="Times New Roman" w:hAnsi="Times New Roman"/>
                <w:b/>
                <w:sz w:val="20"/>
                <w:szCs w:val="20"/>
              </w:rPr>
              <w:t xml:space="preserve"> </w:t>
            </w:r>
            <w:r w:rsidRPr="00456D9A">
              <w:rPr>
                <w:rFonts w:ascii="Times New Roman" w:hAnsi="Times New Roman"/>
                <w:b/>
                <w:sz w:val="20"/>
                <w:szCs w:val="20"/>
              </w:rPr>
              <w:t xml:space="preserve">RSD </w:t>
            </w:r>
          </w:p>
        </w:tc>
        <w:tc>
          <w:tcPr>
            <w:tcW w:w="2077" w:type="dxa"/>
            <w:tcBorders>
              <w:top w:val="single" w:sz="4" w:space="0" w:color="auto"/>
              <w:bottom w:val="single" w:sz="4" w:space="0" w:color="auto"/>
            </w:tcBorders>
          </w:tcPr>
          <w:p w:rsidR="00E34388" w:rsidRPr="00456D9A" w:rsidRDefault="00E34388" w:rsidP="00970B44">
            <w:pPr>
              <w:spacing w:after="60" w:line="240" w:lineRule="auto"/>
              <w:jc w:val="center"/>
              <w:rPr>
                <w:rFonts w:ascii="Times New Roman" w:hAnsi="Times New Roman"/>
                <w:b/>
                <w:sz w:val="20"/>
                <w:szCs w:val="20"/>
              </w:rPr>
            </w:pPr>
            <w:r w:rsidRPr="00456D9A">
              <w:rPr>
                <w:rFonts w:ascii="Times New Roman" w:hAnsi="Times New Roman"/>
                <w:b/>
                <w:color w:val="000000"/>
                <w:sz w:val="20"/>
                <w:szCs w:val="20"/>
              </w:rPr>
              <w:t xml:space="preserve">Concentration </w:t>
            </w:r>
            <w:r w:rsidRPr="00456D9A">
              <w:rPr>
                <w:rFonts w:ascii="Times New Roman" w:hAnsi="Times New Roman"/>
                <w:b/>
                <w:bCs/>
                <w:color w:val="000000"/>
                <w:sz w:val="20"/>
                <w:szCs w:val="20"/>
              </w:rPr>
              <w:t>found</w:t>
            </w:r>
            <w:r w:rsidRPr="00456D9A">
              <w:rPr>
                <w:rFonts w:ascii="Times New Roman" w:hAnsi="Times New Roman"/>
                <w:b/>
                <w:bCs/>
                <w:sz w:val="20"/>
                <w:szCs w:val="20"/>
              </w:rPr>
              <w:t>* ± SD</w:t>
            </w:r>
            <w:r w:rsidRPr="00456D9A">
              <w:rPr>
                <w:rFonts w:ascii="Times New Roman" w:hAnsi="Times New Roman"/>
                <w:b/>
                <w:color w:val="000000"/>
                <w:sz w:val="20"/>
                <w:szCs w:val="20"/>
              </w:rPr>
              <w:t xml:space="preserve"> (</w:t>
            </w:r>
            <w:r w:rsidRPr="00456D9A">
              <w:rPr>
                <w:rFonts w:ascii="Times New Roman" w:hAnsi="Times New Roman"/>
                <w:b/>
                <w:bCs/>
                <w:color w:val="000000"/>
                <w:sz w:val="20"/>
                <w:szCs w:val="20"/>
              </w:rPr>
              <w:t>µg/mL)</w:t>
            </w:r>
          </w:p>
        </w:tc>
        <w:tc>
          <w:tcPr>
            <w:tcW w:w="1141" w:type="dxa"/>
            <w:tcBorders>
              <w:top w:val="single" w:sz="4" w:space="0" w:color="auto"/>
              <w:bottom w:val="single" w:sz="4" w:space="0" w:color="auto"/>
            </w:tcBorders>
          </w:tcPr>
          <w:p w:rsidR="00E34388" w:rsidRPr="00456D9A" w:rsidRDefault="00E34388" w:rsidP="00FD0839">
            <w:pPr>
              <w:spacing w:after="0" w:line="240" w:lineRule="auto"/>
              <w:jc w:val="center"/>
              <w:rPr>
                <w:rFonts w:ascii="Times New Roman" w:hAnsi="Times New Roman"/>
                <w:b/>
                <w:sz w:val="20"/>
                <w:szCs w:val="20"/>
              </w:rPr>
            </w:pPr>
            <w:r w:rsidRPr="00456D9A">
              <w:rPr>
                <w:rFonts w:ascii="Times New Roman" w:hAnsi="Times New Roman"/>
                <w:b/>
                <w:sz w:val="20"/>
                <w:szCs w:val="20"/>
              </w:rPr>
              <w:t>%</w:t>
            </w:r>
            <w:r>
              <w:rPr>
                <w:rFonts w:ascii="Times New Roman" w:hAnsi="Times New Roman"/>
                <w:b/>
                <w:sz w:val="20"/>
                <w:szCs w:val="20"/>
              </w:rPr>
              <w:t xml:space="preserve"> </w:t>
            </w:r>
            <w:r w:rsidRPr="00456D9A">
              <w:rPr>
                <w:rFonts w:ascii="Times New Roman" w:hAnsi="Times New Roman"/>
                <w:b/>
                <w:sz w:val="20"/>
                <w:szCs w:val="20"/>
              </w:rPr>
              <w:t>RSD</w:t>
            </w:r>
          </w:p>
        </w:tc>
      </w:tr>
      <w:tr w:rsidR="00E34388" w:rsidRPr="00456D9A" w:rsidTr="00FD0839">
        <w:trPr>
          <w:jc w:val="center"/>
        </w:trPr>
        <w:tc>
          <w:tcPr>
            <w:tcW w:w="1699" w:type="dxa"/>
            <w:tcBorders>
              <w:top w:val="single" w:sz="4" w:space="0" w:color="auto"/>
            </w:tcBorders>
          </w:tcPr>
          <w:p w:rsidR="00E34388" w:rsidRPr="00456D9A" w:rsidRDefault="00E34388" w:rsidP="00970B44">
            <w:pPr>
              <w:spacing w:before="60" w:after="0" w:line="240" w:lineRule="auto"/>
              <w:jc w:val="center"/>
              <w:rPr>
                <w:rFonts w:ascii="Times New Roman" w:hAnsi="Times New Roman"/>
                <w:sz w:val="20"/>
                <w:szCs w:val="20"/>
              </w:rPr>
            </w:pPr>
            <w:r w:rsidRPr="00456D9A">
              <w:rPr>
                <w:rFonts w:ascii="Times New Roman" w:hAnsi="Times New Roman"/>
                <w:sz w:val="20"/>
                <w:szCs w:val="20"/>
              </w:rPr>
              <w:t>10</w:t>
            </w:r>
          </w:p>
        </w:tc>
        <w:tc>
          <w:tcPr>
            <w:tcW w:w="2133" w:type="dxa"/>
            <w:tcBorders>
              <w:top w:val="single" w:sz="4" w:space="0" w:color="auto"/>
            </w:tcBorders>
          </w:tcPr>
          <w:p w:rsidR="00E34388" w:rsidRPr="00456D9A" w:rsidRDefault="00E34388" w:rsidP="00970B44">
            <w:pPr>
              <w:spacing w:before="60" w:after="0" w:line="240" w:lineRule="auto"/>
              <w:jc w:val="center"/>
              <w:rPr>
                <w:rFonts w:ascii="Times New Roman" w:hAnsi="Times New Roman"/>
                <w:sz w:val="20"/>
                <w:szCs w:val="20"/>
              </w:rPr>
            </w:pPr>
            <w:r w:rsidRPr="00456D9A">
              <w:rPr>
                <w:rFonts w:ascii="Times New Roman" w:hAnsi="Times New Roman"/>
                <w:color w:val="000000"/>
                <w:sz w:val="20"/>
                <w:szCs w:val="20"/>
              </w:rPr>
              <w:t>9.98</w:t>
            </w:r>
            <w:r w:rsidRPr="00456D9A">
              <w:rPr>
                <w:rFonts w:ascii="Times New Roman" w:hAnsi="Times New Roman"/>
                <w:bCs/>
                <w:sz w:val="20"/>
                <w:szCs w:val="20"/>
              </w:rPr>
              <w:sym w:font="Symbol" w:char="F0B1"/>
            </w:r>
            <w:r w:rsidRPr="00456D9A">
              <w:rPr>
                <w:rFonts w:ascii="Times New Roman" w:hAnsi="Times New Roman"/>
                <w:bCs/>
                <w:sz w:val="20"/>
                <w:szCs w:val="20"/>
              </w:rPr>
              <w:t xml:space="preserve">  0.02</w:t>
            </w:r>
          </w:p>
        </w:tc>
        <w:tc>
          <w:tcPr>
            <w:tcW w:w="1060" w:type="dxa"/>
            <w:tcBorders>
              <w:top w:val="single" w:sz="4" w:space="0" w:color="auto"/>
            </w:tcBorders>
          </w:tcPr>
          <w:p w:rsidR="00E34388" w:rsidRPr="00456D9A" w:rsidRDefault="00E34388" w:rsidP="00970B44">
            <w:pPr>
              <w:spacing w:before="60" w:after="0" w:line="240" w:lineRule="auto"/>
              <w:jc w:val="center"/>
              <w:rPr>
                <w:rFonts w:ascii="Times New Roman" w:hAnsi="Times New Roman"/>
                <w:sz w:val="20"/>
                <w:szCs w:val="20"/>
              </w:rPr>
            </w:pPr>
            <w:r w:rsidRPr="00456D9A">
              <w:rPr>
                <w:rFonts w:ascii="Times New Roman" w:hAnsi="Times New Roman"/>
                <w:sz w:val="20"/>
                <w:szCs w:val="20"/>
              </w:rPr>
              <w:t>0.18</w:t>
            </w:r>
          </w:p>
        </w:tc>
        <w:tc>
          <w:tcPr>
            <w:tcW w:w="2077" w:type="dxa"/>
            <w:tcBorders>
              <w:top w:val="single" w:sz="4" w:space="0" w:color="auto"/>
            </w:tcBorders>
          </w:tcPr>
          <w:p w:rsidR="00E34388" w:rsidRPr="00456D9A" w:rsidRDefault="00E34388" w:rsidP="00970B44">
            <w:pPr>
              <w:spacing w:before="60" w:after="0" w:line="240" w:lineRule="auto"/>
              <w:jc w:val="center"/>
              <w:rPr>
                <w:rFonts w:ascii="Times New Roman" w:hAnsi="Times New Roman"/>
                <w:sz w:val="20"/>
                <w:szCs w:val="20"/>
              </w:rPr>
            </w:pPr>
            <w:r w:rsidRPr="00456D9A">
              <w:rPr>
                <w:rFonts w:ascii="Times New Roman" w:hAnsi="Times New Roman"/>
                <w:bCs/>
                <w:sz w:val="20"/>
                <w:szCs w:val="20"/>
              </w:rPr>
              <w:t xml:space="preserve">10.05 </w:t>
            </w:r>
            <w:r w:rsidRPr="00456D9A">
              <w:rPr>
                <w:rFonts w:ascii="Times New Roman" w:hAnsi="Times New Roman"/>
                <w:bCs/>
                <w:sz w:val="20"/>
                <w:szCs w:val="20"/>
              </w:rPr>
              <w:sym w:font="Symbol" w:char="F0B1"/>
            </w:r>
            <w:r w:rsidRPr="00456D9A">
              <w:rPr>
                <w:rFonts w:ascii="Times New Roman" w:hAnsi="Times New Roman"/>
                <w:bCs/>
                <w:sz w:val="20"/>
                <w:szCs w:val="20"/>
              </w:rPr>
              <w:t xml:space="preserve">0.03 </w:t>
            </w:r>
          </w:p>
        </w:tc>
        <w:tc>
          <w:tcPr>
            <w:tcW w:w="1141" w:type="dxa"/>
            <w:tcBorders>
              <w:top w:val="single" w:sz="4" w:space="0" w:color="auto"/>
            </w:tcBorders>
          </w:tcPr>
          <w:p w:rsidR="00E34388" w:rsidRPr="00456D9A" w:rsidRDefault="00E34388" w:rsidP="00970B44">
            <w:pPr>
              <w:spacing w:before="60" w:after="0" w:line="240" w:lineRule="auto"/>
              <w:jc w:val="center"/>
              <w:rPr>
                <w:rFonts w:ascii="Times New Roman" w:hAnsi="Times New Roman"/>
                <w:sz w:val="20"/>
                <w:szCs w:val="20"/>
              </w:rPr>
            </w:pPr>
            <w:r w:rsidRPr="00456D9A">
              <w:rPr>
                <w:rFonts w:ascii="Times New Roman" w:hAnsi="Times New Roman"/>
                <w:sz w:val="20"/>
                <w:szCs w:val="20"/>
              </w:rPr>
              <w:t>0.27</w:t>
            </w:r>
          </w:p>
        </w:tc>
      </w:tr>
      <w:tr w:rsidR="00E34388" w:rsidRPr="00456D9A" w:rsidTr="00FD0839">
        <w:trPr>
          <w:jc w:val="center"/>
        </w:trPr>
        <w:tc>
          <w:tcPr>
            <w:tcW w:w="1699" w:type="dxa"/>
          </w:tcPr>
          <w:p w:rsidR="00E34388" w:rsidRPr="00456D9A" w:rsidRDefault="00E34388" w:rsidP="00970B44">
            <w:pPr>
              <w:spacing w:before="60" w:after="0" w:line="240" w:lineRule="auto"/>
              <w:jc w:val="center"/>
              <w:rPr>
                <w:rFonts w:ascii="Times New Roman" w:hAnsi="Times New Roman"/>
                <w:sz w:val="20"/>
                <w:szCs w:val="20"/>
              </w:rPr>
            </w:pPr>
            <w:r w:rsidRPr="00456D9A">
              <w:rPr>
                <w:rFonts w:ascii="Times New Roman" w:hAnsi="Times New Roman"/>
                <w:sz w:val="20"/>
                <w:szCs w:val="20"/>
              </w:rPr>
              <w:t>20</w:t>
            </w:r>
          </w:p>
        </w:tc>
        <w:tc>
          <w:tcPr>
            <w:tcW w:w="2133" w:type="dxa"/>
          </w:tcPr>
          <w:p w:rsidR="00E34388" w:rsidRPr="00456D9A" w:rsidRDefault="00E34388" w:rsidP="00970B44">
            <w:pPr>
              <w:spacing w:before="60" w:after="0" w:line="240" w:lineRule="auto"/>
              <w:jc w:val="center"/>
              <w:rPr>
                <w:rFonts w:ascii="Times New Roman" w:hAnsi="Times New Roman"/>
                <w:sz w:val="20"/>
                <w:szCs w:val="20"/>
              </w:rPr>
            </w:pPr>
            <w:r w:rsidRPr="00456D9A">
              <w:rPr>
                <w:rFonts w:ascii="Times New Roman" w:hAnsi="Times New Roman"/>
                <w:color w:val="000000"/>
                <w:sz w:val="20"/>
                <w:szCs w:val="20"/>
              </w:rPr>
              <w:t>19.32</w:t>
            </w:r>
            <w:r w:rsidRPr="00456D9A">
              <w:rPr>
                <w:rFonts w:ascii="Times New Roman" w:hAnsi="Times New Roman"/>
                <w:bCs/>
                <w:sz w:val="20"/>
                <w:szCs w:val="20"/>
              </w:rPr>
              <w:sym w:font="Symbol" w:char="F0B1"/>
            </w:r>
            <w:r w:rsidRPr="00456D9A">
              <w:rPr>
                <w:rFonts w:ascii="Times New Roman" w:hAnsi="Times New Roman"/>
                <w:bCs/>
                <w:sz w:val="20"/>
                <w:szCs w:val="20"/>
              </w:rPr>
              <w:t xml:space="preserve"> 0.15</w:t>
            </w:r>
          </w:p>
        </w:tc>
        <w:tc>
          <w:tcPr>
            <w:tcW w:w="1060" w:type="dxa"/>
          </w:tcPr>
          <w:p w:rsidR="00E34388" w:rsidRPr="00456D9A" w:rsidRDefault="00E34388" w:rsidP="00970B44">
            <w:pPr>
              <w:spacing w:before="60" w:after="0" w:line="240" w:lineRule="auto"/>
              <w:jc w:val="center"/>
              <w:rPr>
                <w:rFonts w:ascii="Times New Roman" w:hAnsi="Times New Roman"/>
                <w:sz w:val="20"/>
                <w:szCs w:val="20"/>
              </w:rPr>
            </w:pPr>
            <w:r w:rsidRPr="00456D9A">
              <w:rPr>
                <w:rFonts w:ascii="Times New Roman" w:hAnsi="Times New Roman"/>
                <w:sz w:val="20"/>
                <w:szCs w:val="20"/>
              </w:rPr>
              <w:t>0.76</w:t>
            </w:r>
          </w:p>
        </w:tc>
        <w:tc>
          <w:tcPr>
            <w:tcW w:w="2077" w:type="dxa"/>
          </w:tcPr>
          <w:p w:rsidR="00E34388" w:rsidRPr="00456D9A" w:rsidRDefault="00E34388" w:rsidP="00970B44">
            <w:pPr>
              <w:spacing w:before="60" w:after="0" w:line="240" w:lineRule="auto"/>
              <w:jc w:val="center"/>
              <w:rPr>
                <w:rFonts w:ascii="Times New Roman" w:hAnsi="Times New Roman"/>
                <w:sz w:val="20"/>
                <w:szCs w:val="20"/>
              </w:rPr>
            </w:pPr>
            <w:r w:rsidRPr="00456D9A">
              <w:rPr>
                <w:rFonts w:ascii="Times New Roman" w:hAnsi="Times New Roman"/>
                <w:bCs/>
                <w:sz w:val="20"/>
                <w:szCs w:val="20"/>
              </w:rPr>
              <w:t xml:space="preserve">19.44 </w:t>
            </w:r>
            <w:r w:rsidRPr="00456D9A">
              <w:rPr>
                <w:rFonts w:ascii="Times New Roman" w:hAnsi="Times New Roman"/>
                <w:bCs/>
                <w:sz w:val="20"/>
                <w:szCs w:val="20"/>
              </w:rPr>
              <w:sym w:font="Symbol" w:char="F0B1"/>
            </w:r>
            <w:r w:rsidRPr="00456D9A">
              <w:rPr>
                <w:rFonts w:ascii="Times New Roman" w:hAnsi="Times New Roman"/>
                <w:bCs/>
                <w:sz w:val="20"/>
                <w:szCs w:val="20"/>
              </w:rPr>
              <w:t xml:space="preserve"> 0.16 </w:t>
            </w:r>
          </w:p>
        </w:tc>
        <w:tc>
          <w:tcPr>
            <w:tcW w:w="1141" w:type="dxa"/>
          </w:tcPr>
          <w:p w:rsidR="00E34388" w:rsidRPr="00456D9A" w:rsidRDefault="00E34388" w:rsidP="00970B44">
            <w:pPr>
              <w:spacing w:before="60" w:after="0" w:line="240" w:lineRule="auto"/>
              <w:jc w:val="center"/>
              <w:rPr>
                <w:rFonts w:ascii="Times New Roman" w:hAnsi="Times New Roman"/>
                <w:sz w:val="20"/>
                <w:szCs w:val="20"/>
              </w:rPr>
            </w:pPr>
            <w:r w:rsidRPr="00456D9A">
              <w:rPr>
                <w:rFonts w:ascii="Times New Roman" w:hAnsi="Times New Roman"/>
                <w:sz w:val="20"/>
                <w:szCs w:val="20"/>
              </w:rPr>
              <w:t>0.81</w:t>
            </w:r>
          </w:p>
        </w:tc>
      </w:tr>
      <w:tr w:rsidR="00E34388" w:rsidRPr="00456D9A" w:rsidTr="00FD0839">
        <w:trPr>
          <w:jc w:val="center"/>
        </w:trPr>
        <w:tc>
          <w:tcPr>
            <w:tcW w:w="1699" w:type="dxa"/>
          </w:tcPr>
          <w:p w:rsidR="00E34388" w:rsidRPr="00456D9A" w:rsidRDefault="00E34388" w:rsidP="00970B44">
            <w:pPr>
              <w:spacing w:before="60" w:after="60" w:line="240" w:lineRule="auto"/>
              <w:jc w:val="center"/>
              <w:rPr>
                <w:rFonts w:ascii="Times New Roman" w:hAnsi="Times New Roman"/>
                <w:sz w:val="20"/>
                <w:szCs w:val="20"/>
              </w:rPr>
            </w:pPr>
            <w:r w:rsidRPr="00456D9A">
              <w:rPr>
                <w:rFonts w:ascii="Times New Roman" w:hAnsi="Times New Roman"/>
                <w:sz w:val="20"/>
                <w:szCs w:val="20"/>
              </w:rPr>
              <w:t>30</w:t>
            </w:r>
          </w:p>
        </w:tc>
        <w:tc>
          <w:tcPr>
            <w:tcW w:w="2133" w:type="dxa"/>
          </w:tcPr>
          <w:p w:rsidR="00E34388" w:rsidRPr="00456D9A" w:rsidRDefault="00E34388" w:rsidP="00970B44">
            <w:pPr>
              <w:spacing w:before="60" w:after="60" w:line="240" w:lineRule="auto"/>
              <w:jc w:val="center"/>
              <w:rPr>
                <w:rFonts w:ascii="Times New Roman" w:hAnsi="Times New Roman"/>
                <w:sz w:val="20"/>
                <w:szCs w:val="20"/>
              </w:rPr>
            </w:pPr>
            <w:r w:rsidRPr="00456D9A">
              <w:rPr>
                <w:rFonts w:ascii="Times New Roman" w:hAnsi="Times New Roman"/>
                <w:color w:val="000000"/>
                <w:sz w:val="20"/>
                <w:szCs w:val="20"/>
              </w:rPr>
              <w:t>28.90</w:t>
            </w:r>
            <w:r w:rsidRPr="00456D9A">
              <w:rPr>
                <w:rFonts w:ascii="Times New Roman" w:hAnsi="Times New Roman"/>
                <w:bCs/>
                <w:sz w:val="20"/>
                <w:szCs w:val="20"/>
              </w:rPr>
              <w:sym w:font="Symbol" w:char="F0B1"/>
            </w:r>
            <w:r w:rsidRPr="00456D9A">
              <w:rPr>
                <w:rFonts w:ascii="Times New Roman" w:hAnsi="Times New Roman"/>
                <w:bCs/>
                <w:sz w:val="20"/>
                <w:szCs w:val="20"/>
              </w:rPr>
              <w:t xml:space="preserve">  0.06</w:t>
            </w:r>
          </w:p>
        </w:tc>
        <w:tc>
          <w:tcPr>
            <w:tcW w:w="1060" w:type="dxa"/>
          </w:tcPr>
          <w:p w:rsidR="00E34388" w:rsidRPr="00456D9A" w:rsidRDefault="00E34388" w:rsidP="00970B44">
            <w:pPr>
              <w:spacing w:before="60" w:after="60" w:line="240" w:lineRule="auto"/>
              <w:jc w:val="center"/>
              <w:rPr>
                <w:rFonts w:ascii="Times New Roman" w:hAnsi="Times New Roman"/>
                <w:sz w:val="20"/>
                <w:szCs w:val="20"/>
              </w:rPr>
            </w:pPr>
            <w:r w:rsidRPr="00456D9A">
              <w:rPr>
                <w:rFonts w:ascii="Times New Roman" w:hAnsi="Times New Roman"/>
                <w:sz w:val="20"/>
                <w:szCs w:val="20"/>
              </w:rPr>
              <w:t>0.20</w:t>
            </w:r>
          </w:p>
        </w:tc>
        <w:tc>
          <w:tcPr>
            <w:tcW w:w="2077" w:type="dxa"/>
          </w:tcPr>
          <w:p w:rsidR="00E34388" w:rsidRPr="00456D9A" w:rsidRDefault="00E34388" w:rsidP="00970B44">
            <w:pPr>
              <w:spacing w:before="60" w:after="60" w:line="240" w:lineRule="auto"/>
              <w:jc w:val="center"/>
              <w:rPr>
                <w:rFonts w:ascii="Times New Roman" w:hAnsi="Times New Roman"/>
                <w:sz w:val="20"/>
                <w:szCs w:val="20"/>
              </w:rPr>
            </w:pPr>
            <w:r w:rsidRPr="00456D9A">
              <w:rPr>
                <w:rFonts w:ascii="Times New Roman" w:hAnsi="Times New Roman"/>
                <w:bCs/>
                <w:sz w:val="20"/>
                <w:szCs w:val="20"/>
              </w:rPr>
              <w:t xml:space="preserve">28.93 </w:t>
            </w:r>
            <w:r w:rsidRPr="00456D9A">
              <w:rPr>
                <w:rFonts w:ascii="Times New Roman" w:hAnsi="Times New Roman"/>
                <w:bCs/>
                <w:sz w:val="20"/>
                <w:szCs w:val="20"/>
              </w:rPr>
              <w:sym w:font="Symbol" w:char="F0B1"/>
            </w:r>
            <w:r w:rsidRPr="00456D9A">
              <w:rPr>
                <w:rFonts w:ascii="Times New Roman" w:hAnsi="Times New Roman"/>
                <w:bCs/>
                <w:sz w:val="20"/>
                <w:szCs w:val="20"/>
              </w:rPr>
              <w:t xml:space="preserve"> 0.06</w:t>
            </w:r>
          </w:p>
        </w:tc>
        <w:tc>
          <w:tcPr>
            <w:tcW w:w="1141" w:type="dxa"/>
          </w:tcPr>
          <w:p w:rsidR="00E34388" w:rsidRPr="00456D9A" w:rsidRDefault="00E34388" w:rsidP="00970B44">
            <w:pPr>
              <w:spacing w:before="60" w:after="60" w:line="240" w:lineRule="auto"/>
              <w:jc w:val="center"/>
              <w:rPr>
                <w:rFonts w:ascii="Times New Roman" w:hAnsi="Times New Roman"/>
                <w:sz w:val="20"/>
                <w:szCs w:val="20"/>
              </w:rPr>
            </w:pPr>
            <w:r w:rsidRPr="00456D9A">
              <w:rPr>
                <w:rFonts w:ascii="Times New Roman" w:hAnsi="Times New Roman"/>
                <w:sz w:val="20"/>
                <w:szCs w:val="20"/>
              </w:rPr>
              <w:t>0.19</w:t>
            </w:r>
          </w:p>
        </w:tc>
      </w:tr>
    </w:tbl>
    <w:p w:rsidR="00E34388" w:rsidRPr="00970B44" w:rsidRDefault="00E34388" w:rsidP="00970B44">
      <w:pPr>
        <w:autoSpaceDE w:val="0"/>
        <w:autoSpaceDN w:val="0"/>
        <w:adjustRightInd w:val="0"/>
        <w:spacing w:before="60" w:after="0" w:line="240" w:lineRule="auto"/>
        <w:rPr>
          <w:rFonts w:ascii="Times New Roman" w:hAnsi="Times New Roman"/>
          <w:sz w:val="18"/>
          <w:szCs w:val="18"/>
        </w:rPr>
      </w:pPr>
      <w:r w:rsidRPr="00970B44">
        <w:rPr>
          <w:rFonts w:ascii="Times New Roman" w:hAnsi="Times New Roman"/>
          <w:sz w:val="18"/>
          <w:szCs w:val="18"/>
        </w:rPr>
        <w:t xml:space="preserve">       </w:t>
      </w:r>
      <w:r w:rsidR="00970B44">
        <w:rPr>
          <w:rFonts w:ascii="Times New Roman" w:hAnsi="Times New Roman"/>
          <w:sz w:val="18"/>
          <w:szCs w:val="18"/>
        </w:rPr>
        <w:t xml:space="preserve">    </w:t>
      </w:r>
      <w:r w:rsidRPr="00970B44">
        <w:rPr>
          <w:rFonts w:ascii="Times New Roman" w:hAnsi="Times New Roman"/>
          <w:sz w:val="18"/>
          <w:szCs w:val="18"/>
        </w:rPr>
        <w:t xml:space="preserve"> *Mean of three determinations</w:t>
      </w:r>
    </w:p>
    <w:p w:rsidR="00E34388" w:rsidRDefault="00E34388" w:rsidP="00E34388">
      <w:pPr>
        <w:autoSpaceDE w:val="0"/>
        <w:autoSpaceDN w:val="0"/>
        <w:adjustRightInd w:val="0"/>
        <w:spacing w:after="0" w:line="240" w:lineRule="auto"/>
        <w:jc w:val="both"/>
        <w:rPr>
          <w:rFonts w:ascii="Times New Roman" w:hAnsi="Times New Roman"/>
          <w:sz w:val="20"/>
          <w:szCs w:val="20"/>
        </w:rPr>
      </w:pPr>
      <w:r w:rsidRPr="00456D9A">
        <w:rPr>
          <w:rFonts w:ascii="Times New Roman" w:hAnsi="Times New Roman"/>
          <w:sz w:val="20"/>
          <w:szCs w:val="20"/>
        </w:rPr>
        <w:lastRenderedPageBreak/>
        <w:t xml:space="preserve">Assay of DTG for all deliberate changes of conditions was within 98.0–102.0 % as shown in Table </w:t>
      </w:r>
      <w:r>
        <w:rPr>
          <w:rFonts w:ascii="Times New Roman" w:hAnsi="Times New Roman"/>
          <w:sz w:val="20"/>
          <w:szCs w:val="20"/>
        </w:rPr>
        <w:t>5</w:t>
      </w:r>
      <w:r w:rsidRPr="00456D9A">
        <w:rPr>
          <w:rFonts w:ascii="Times New Roman" w:hAnsi="Times New Roman"/>
          <w:sz w:val="20"/>
          <w:szCs w:val="20"/>
        </w:rPr>
        <w:t>, which indicates robustness of the method.</w:t>
      </w:r>
      <w:r>
        <w:rPr>
          <w:rFonts w:ascii="Times New Roman" w:hAnsi="Times New Roman"/>
          <w:sz w:val="20"/>
          <w:szCs w:val="20"/>
        </w:rPr>
        <w:t xml:space="preserve"> Meanwhile, </w:t>
      </w:r>
      <w:r w:rsidRPr="00456D9A">
        <w:rPr>
          <w:rFonts w:ascii="Times New Roman" w:hAnsi="Times New Roman"/>
          <w:sz w:val="20"/>
          <w:szCs w:val="20"/>
        </w:rPr>
        <w:t>results of stability studies indicate that the solution was stable for 24 h</w:t>
      </w:r>
      <w:r>
        <w:rPr>
          <w:rFonts w:ascii="Times New Roman" w:hAnsi="Times New Roman"/>
          <w:sz w:val="20"/>
          <w:szCs w:val="20"/>
        </w:rPr>
        <w:t>ours</w:t>
      </w:r>
      <w:r w:rsidRPr="00456D9A">
        <w:rPr>
          <w:rFonts w:ascii="Times New Roman" w:hAnsi="Times New Roman"/>
          <w:sz w:val="20"/>
          <w:szCs w:val="20"/>
        </w:rPr>
        <w:t xml:space="preserve"> at ambient temperature. The %</w:t>
      </w:r>
      <w:r>
        <w:rPr>
          <w:rFonts w:ascii="Times New Roman" w:hAnsi="Times New Roman"/>
          <w:sz w:val="20"/>
          <w:szCs w:val="20"/>
        </w:rPr>
        <w:t xml:space="preserve"> </w:t>
      </w:r>
      <w:r w:rsidRPr="00456D9A">
        <w:rPr>
          <w:rFonts w:ascii="Times New Roman" w:hAnsi="Times New Roman"/>
          <w:sz w:val="20"/>
          <w:szCs w:val="20"/>
        </w:rPr>
        <w:t>RSD of assay was 0.65 % after 24 h</w:t>
      </w:r>
      <w:r>
        <w:rPr>
          <w:rFonts w:ascii="Times New Roman" w:hAnsi="Times New Roman"/>
          <w:sz w:val="20"/>
          <w:szCs w:val="20"/>
        </w:rPr>
        <w:t>ours</w:t>
      </w:r>
      <w:r w:rsidRPr="00456D9A">
        <w:rPr>
          <w:rFonts w:ascii="Times New Roman" w:hAnsi="Times New Roman"/>
          <w:sz w:val="20"/>
          <w:szCs w:val="20"/>
        </w:rPr>
        <w:t xml:space="preserve">. The results are shown in Table </w:t>
      </w:r>
      <w:r>
        <w:rPr>
          <w:rFonts w:ascii="Times New Roman" w:hAnsi="Times New Roman"/>
          <w:sz w:val="20"/>
          <w:szCs w:val="20"/>
        </w:rPr>
        <w:t>6</w:t>
      </w:r>
      <w:r w:rsidRPr="00456D9A">
        <w:rPr>
          <w:rFonts w:ascii="Times New Roman" w:hAnsi="Times New Roman"/>
          <w:sz w:val="20"/>
          <w:szCs w:val="20"/>
        </w:rPr>
        <w:t>.</w:t>
      </w:r>
    </w:p>
    <w:p w:rsidR="00E34388" w:rsidRDefault="00E34388" w:rsidP="00E34388">
      <w:pPr>
        <w:autoSpaceDE w:val="0"/>
        <w:autoSpaceDN w:val="0"/>
        <w:adjustRightInd w:val="0"/>
        <w:spacing w:after="0" w:line="240" w:lineRule="auto"/>
        <w:jc w:val="both"/>
        <w:rPr>
          <w:rFonts w:ascii="Times New Roman" w:hAnsi="Times New Roman"/>
          <w:sz w:val="20"/>
          <w:szCs w:val="20"/>
        </w:rPr>
      </w:pPr>
    </w:p>
    <w:p w:rsidR="00970B44" w:rsidRPr="00C77546" w:rsidRDefault="00970B44" w:rsidP="00E34388">
      <w:pPr>
        <w:autoSpaceDE w:val="0"/>
        <w:autoSpaceDN w:val="0"/>
        <w:adjustRightInd w:val="0"/>
        <w:spacing w:after="0" w:line="240" w:lineRule="auto"/>
        <w:jc w:val="both"/>
        <w:rPr>
          <w:rFonts w:ascii="Times New Roman" w:hAnsi="Times New Roman"/>
          <w:sz w:val="20"/>
          <w:szCs w:val="20"/>
        </w:rPr>
      </w:pPr>
    </w:p>
    <w:p w:rsidR="00E34388" w:rsidRPr="00970B44" w:rsidRDefault="00E34388" w:rsidP="00970B44">
      <w:pPr>
        <w:autoSpaceDE w:val="0"/>
        <w:autoSpaceDN w:val="0"/>
        <w:adjustRightInd w:val="0"/>
        <w:spacing w:after="120" w:line="240" w:lineRule="auto"/>
        <w:jc w:val="center"/>
        <w:rPr>
          <w:rFonts w:ascii="Times New Roman" w:hAnsi="Times New Roman"/>
          <w:bCs/>
          <w:sz w:val="20"/>
          <w:szCs w:val="20"/>
        </w:rPr>
      </w:pPr>
      <w:r w:rsidRPr="00C77546">
        <w:rPr>
          <w:rFonts w:ascii="Times New Roman" w:hAnsi="Times New Roman"/>
          <w:bCs/>
          <w:sz w:val="20"/>
          <w:szCs w:val="20"/>
        </w:rPr>
        <w:t xml:space="preserve">Table 5. </w:t>
      </w:r>
      <w:r w:rsidR="00970B44">
        <w:rPr>
          <w:rFonts w:ascii="Times New Roman" w:hAnsi="Times New Roman"/>
          <w:bCs/>
          <w:sz w:val="20"/>
          <w:szCs w:val="20"/>
        </w:rPr>
        <w:t xml:space="preserve"> </w:t>
      </w:r>
      <w:r w:rsidRPr="00C77546">
        <w:rPr>
          <w:rFonts w:ascii="Times New Roman" w:hAnsi="Times New Roman"/>
          <w:bCs/>
          <w:sz w:val="20"/>
          <w:szCs w:val="20"/>
        </w:rPr>
        <w:t>Result of Robustness Studies</w:t>
      </w:r>
    </w:p>
    <w:tbl>
      <w:tblPr>
        <w:tblStyle w:val="TableGrid"/>
        <w:tblW w:w="0" w:type="auto"/>
        <w:jc w:val="center"/>
        <w:tblInd w:w="152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2148"/>
        <w:gridCol w:w="1719"/>
      </w:tblGrid>
      <w:tr w:rsidR="00E34388" w:rsidRPr="00456D9A" w:rsidTr="00FD0839">
        <w:trPr>
          <w:trHeight w:val="258"/>
          <w:jc w:val="center"/>
        </w:trPr>
        <w:tc>
          <w:tcPr>
            <w:tcW w:w="1554" w:type="dxa"/>
            <w:tcBorders>
              <w:top w:val="single" w:sz="4" w:space="0" w:color="auto"/>
              <w:bottom w:val="single" w:sz="4" w:space="0" w:color="auto"/>
            </w:tcBorders>
            <w:vAlign w:val="bottom"/>
          </w:tcPr>
          <w:p w:rsidR="00E34388" w:rsidRPr="00456D9A" w:rsidRDefault="00E34388" w:rsidP="00507490">
            <w:pPr>
              <w:spacing w:before="60" w:after="60" w:line="240" w:lineRule="auto"/>
              <w:rPr>
                <w:rFonts w:ascii="Times New Roman" w:hAnsi="Times New Roman" w:cs="Times New Roman"/>
                <w:b/>
                <w:color w:val="000000"/>
                <w:sz w:val="20"/>
                <w:szCs w:val="20"/>
              </w:rPr>
            </w:pPr>
            <w:r w:rsidRPr="00456D9A">
              <w:rPr>
                <w:rFonts w:ascii="Times New Roman" w:hAnsi="Times New Roman" w:cs="Times New Roman"/>
                <w:b/>
                <w:color w:val="000000"/>
                <w:sz w:val="20"/>
                <w:szCs w:val="20"/>
              </w:rPr>
              <w:t>Wavelength</w:t>
            </w:r>
          </w:p>
        </w:tc>
        <w:tc>
          <w:tcPr>
            <w:tcW w:w="2148" w:type="dxa"/>
            <w:tcBorders>
              <w:top w:val="single" w:sz="4" w:space="0" w:color="auto"/>
              <w:bottom w:val="single" w:sz="4" w:space="0" w:color="auto"/>
            </w:tcBorders>
            <w:vAlign w:val="bottom"/>
          </w:tcPr>
          <w:p w:rsidR="00E34388" w:rsidRPr="00456D9A" w:rsidRDefault="00E34388" w:rsidP="00507490">
            <w:pPr>
              <w:spacing w:before="60" w:after="60" w:line="240" w:lineRule="auto"/>
              <w:rPr>
                <w:rFonts w:ascii="Times New Roman" w:hAnsi="Times New Roman" w:cs="Times New Roman"/>
                <w:b/>
                <w:color w:val="000000"/>
                <w:sz w:val="20"/>
                <w:szCs w:val="20"/>
              </w:rPr>
            </w:pPr>
            <w:r w:rsidRPr="00456D9A">
              <w:rPr>
                <w:rFonts w:ascii="Times New Roman" w:hAnsi="Times New Roman" w:cs="Times New Roman"/>
                <w:b/>
                <w:color w:val="000000"/>
                <w:sz w:val="20"/>
                <w:szCs w:val="20"/>
              </w:rPr>
              <w:t>% Assay* ± SD</w:t>
            </w:r>
          </w:p>
        </w:tc>
        <w:tc>
          <w:tcPr>
            <w:tcW w:w="1719" w:type="dxa"/>
            <w:tcBorders>
              <w:top w:val="single" w:sz="4" w:space="0" w:color="auto"/>
              <w:bottom w:val="single" w:sz="4" w:space="0" w:color="auto"/>
            </w:tcBorders>
            <w:vAlign w:val="bottom"/>
          </w:tcPr>
          <w:p w:rsidR="00E34388" w:rsidRPr="00456D9A" w:rsidRDefault="00E34388" w:rsidP="00507490">
            <w:pPr>
              <w:spacing w:before="60" w:after="60" w:line="240" w:lineRule="auto"/>
              <w:rPr>
                <w:rFonts w:ascii="Times New Roman" w:hAnsi="Times New Roman" w:cs="Times New Roman"/>
                <w:b/>
                <w:color w:val="000000"/>
                <w:sz w:val="20"/>
                <w:szCs w:val="20"/>
              </w:rPr>
            </w:pPr>
            <w:r w:rsidRPr="00456D9A">
              <w:rPr>
                <w:rFonts w:ascii="Times New Roman" w:hAnsi="Times New Roman" w:cs="Times New Roman"/>
                <w:b/>
                <w:color w:val="000000"/>
                <w:sz w:val="20"/>
                <w:szCs w:val="20"/>
              </w:rPr>
              <w:t>%RSD</w:t>
            </w:r>
          </w:p>
        </w:tc>
      </w:tr>
      <w:tr w:rsidR="00E34388" w:rsidRPr="00456D9A" w:rsidTr="00FD0839">
        <w:trPr>
          <w:trHeight w:val="258"/>
          <w:jc w:val="center"/>
        </w:trPr>
        <w:tc>
          <w:tcPr>
            <w:tcW w:w="1554" w:type="dxa"/>
            <w:tcBorders>
              <w:top w:val="single" w:sz="4" w:space="0" w:color="auto"/>
            </w:tcBorders>
          </w:tcPr>
          <w:p w:rsidR="00E34388" w:rsidRPr="00456D9A" w:rsidRDefault="00E34388" w:rsidP="00507490">
            <w:pPr>
              <w:autoSpaceDE w:val="0"/>
              <w:autoSpaceDN w:val="0"/>
              <w:adjustRightInd w:val="0"/>
              <w:spacing w:before="60" w:after="60" w:line="240" w:lineRule="auto"/>
              <w:rPr>
                <w:rFonts w:ascii="Times New Roman" w:hAnsi="Times New Roman" w:cs="Times New Roman"/>
                <w:b/>
                <w:bCs/>
                <w:sz w:val="20"/>
                <w:szCs w:val="20"/>
              </w:rPr>
            </w:pPr>
            <w:r w:rsidRPr="00456D9A">
              <w:rPr>
                <w:rFonts w:ascii="Times New Roman" w:hAnsi="Times New Roman" w:cs="Times New Roman"/>
                <w:sz w:val="20"/>
                <w:szCs w:val="20"/>
              </w:rPr>
              <w:t>261.40 nm</w:t>
            </w:r>
          </w:p>
        </w:tc>
        <w:tc>
          <w:tcPr>
            <w:tcW w:w="2148" w:type="dxa"/>
            <w:tcBorders>
              <w:top w:val="single" w:sz="4" w:space="0" w:color="auto"/>
            </w:tcBorders>
          </w:tcPr>
          <w:p w:rsidR="00E34388" w:rsidRPr="00456D9A" w:rsidRDefault="00E34388" w:rsidP="00507490">
            <w:pPr>
              <w:autoSpaceDE w:val="0"/>
              <w:autoSpaceDN w:val="0"/>
              <w:adjustRightInd w:val="0"/>
              <w:spacing w:before="60" w:after="60" w:line="240" w:lineRule="auto"/>
              <w:rPr>
                <w:rFonts w:ascii="Times New Roman" w:hAnsi="Times New Roman" w:cs="Times New Roman"/>
                <w:b/>
                <w:bCs/>
                <w:sz w:val="20"/>
                <w:szCs w:val="20"/>
              </w:rPr>
            </w:pPr>
            <w:r w:rsidRPr="00456D9A">
              <w:rPr>
                <w:rFonts w:ascii="Times New Roman" w:hAnsi="Times New Roman" w:cs="Times New Roman"/>
                <w:color w:val="000000"/>
                <w:sz w:val="20"/>
                <w:szCs w:val="20"/>
              </w:rPr>
              <w:t xml:space="preserve">98.16 </w:t>
            </w:r>
            <w:r w:rsidRPr="00456D9A">
              <w:rPr>
                <w:rFonts w:ascii="Times New Roman" w:hAnsi="Times New Roman" w:cs="Times New Roman"/>
                <w:b/>
                <w:color w:val="000000"/>
                <w:sz w:val="20"/>
                <w:szCs w:val="20"/>
              </w:rPr>
              <w:t xml:space="preserve">± </w:t>
            </w:r>
            <w:r w:rsidRPr="00456D9A">
              <w:rPr>
                <w:rFonts w:ascii="Times New Roman" w:hAnsi="Times New Roman" w:cs="Times New Roman"/>
                <w:bCs/>
                <w:sz w:val="20"/>
                <w:szCs w:val="20"/>
              </w:rPr>
              <w:t>0.77</w:t>
            </w:r>
          </w:p>
        </w:tc>
        <w:tc>
          <w:tcPr>
            <w:tcW w:w="1719" w:type="dxa"/>
            <w:tcBorders>
              <w:top w:val="single" w:sz="4" w:space="0" w:color="auto"/>
            </w:tcBorders>
          </w:tcPr>
          <w:p w:rsidR="00E34388" w:rsidRPr="00456D9A" w:rsidRDefault="00E34388" w:rsidP="00507490">
            <w:pPr>
              <w:autoSpaceDE w:val="0"/>
              <w:autoSpaceDN w:val="0"/>
              <w:adjustRightInd w:val="0"/>
              <w:spacing w:before="60" w:after="60" w:line="240" w:lineRule="auto"/>
              <w:rPr>
                <w:rFonts w:ascii="Times New Roman" w:hAnsi="Times New Roman" w:cs="Times New Roman"/>
                <w:b/>
                <w:bCs/>
                <w:sz w:val="20"/>
                <w:szCs w:val="20"/>
              </w:rPr>
            </w:pPr>
            <w:r w:rsidRPr="00456D9A">
              <w:rPr>
                <w:rFonts w:ascii="Times New Roman" w:hAnsi="Times New Roman" w:cs="Times New Roman"/>
                <w:bCs/>
                <w:sz w:val="20"/>
                <w:szCs w:val="20"/>
              </w:rPr>
              <w:t>0.77</w:t>
            </w:r>
          </w:p>
        </w:tc>
      </w:tr>
      <w:tr w:rsidR="00E34388" w:rsidRPr="00456D9A" w:rsidTr="00FD0839">
        <w:trPr>
          <w:trHeight w:val="275"/>
          <w:jc w:val="center"/>
        </w:trPr>
        <w:tc>
          <w:tcPr>
            <w:tcW w:w="1554" w:type="dxa"/>
          </w:tcPr>
          <w:p w:rsidR="00E34388" w:rsidRPr="00456D9A" w:rsidRDefault="00E34388" w:rsidP="00507490">
            <w:pPr>
              <w:autoSpaceDE w:val="0"/>
              <w:autoSpaceDN w:val="0"/>
              <w:adjustRightInd w:val="0"/>
              <w:spacing w:before="60" w:after="60" w:line="240" w:lineRule="auto"/>
              <w:rPr>
                <w:rFonts w:ascii="Times New Roman" w:hAnsi="Times New Roman" w:cs="Times New Roman"/>
                <w:b/>
                <w:bCs/>
                <w:sz w:val="20"/>
                <w:szCs w:val="20"/>
              </w:rPr>
            </w:pPr>
            <w:r w:rsidRPr="00456D9A">
              <w:rPr>
                <w:rFonts w:ascii="Times New Roman" w:hAnsi="Times New Roman" w:cs="Times New Roman"/>
                <w:sz w:val="20"/>
                <w:szCs w:val="20"/>
              </w:rPr>
              <w:t>257.40 nm</w:t>
            </w:r>
          </w:p>
        </w:tc>
        <w:tc>
          <w:tcPr>
            <w:tcW w:w="2148" w:type="dxa"/>
          </w:tcPr>
          <w:p w:rsidR="00E34388" w:rsidRPr="00456D9A" w:rsidRDefault="00E34388" w:rsidP="00507490">
            <w:pPr>
              <w:autoSpaceDE w:val="0"/>
              <w:autoSpaceDN w:val="0"/>
              <w:adjustRightInd w:val="0"/>
              <w:spacing w:before="60" w:after="60" w:line="240" w:lineRule="auto"/>
              <w:rPr>
                <w:rFonts w:ascii="Times New Roman" w:hAnsi="Times New Roman" w:cs="Times New Roman"/>
                <w:b/>
                <w:bCs/>
                <w:sz w:val="20"/>
                <w:szCs w:val="20"/>
              </w:rPr>
            </w:pPr>
            <w:r w:rsidRPr="00456D9A">
              <w:rPr>
                <w:rFonts w:ascii="Times New Roman" w:hAnsi="Times New Roman" w:cs="Times New Roman"/>
                <w:color w:val="000000"/>
                <w:sz w:val="20"/>
                <w:szCs w:val="20"/>
              </w:rPr>
              <w:t xml:space="preserve">99.44 </w:t>
            </w:r>
            <w:r w:rsidRPr="00456D9A">
              <w:rPr>
                <w:rFonts w:ascii="Times New Roman" w:hAnsi="Times New Roman" w:cs="Times New Roman"/>
                <w:b/>
                <w:color w:val="000000"/>
                <w:sz w:val="20"/>
                <w:szCs w:val="20"/>
              </w:rPr>
              <w:t xml:space="preserve">± </w:t>
            </w:r>
            <w:r w:rsidRPr="00456D9A">
              <w:rPr>
                <w:rFonts w:ascii="Times New Roman" w:hAnsi="Times New Roman" w:cs="Times New Roman"/>
                <w:bCs/>
                <w:sz w:val="20"/>
                <w:szCs w:val="20"/>
              </w:rPr>
              <w:t>0.80</w:t>
            </w:r>
          </w:p>
        </w:tc>
        <w:tc>
          <w:tcPr>
            <w:tcW w:w="1719" w:type="dxa"/>
          </w:tcPr>
          <w:p w:rsidR="00E34388" w:rsidRPr="00456D9A" w:rsidRDefault="00E34388" w:rsidP="00507490">
            <w:pPr>
              <w:autoSpaceDE w:val="0"/>
              <w:autoSpaceDN w:val="0"/>
              <w:adjustRightInd w:val="0"/>
              <w:spacing w:before="60" w:after="60" w:line="240" w:lineRule="auto"/>
              <w:rPr>
                <w:rFonts w:ascii="Times New Roman" w:hAnsi="Times New Roman" w:cs="Times New Roman"/>
                <w:b/>
                <w:bCs/>
                <w:sz w:val="20"/>
                <w:szCs w:val="20"/>
              </w:rPr>
            </w:pPr>
            <w:r w:rsidRPr="00456D9A">
              <w:rPr>
                <w:rFonts w:ascii="Times New Roman" w:hAnsi="Times New Roman" w:cs="Times New Roman"/>
                <w:bCs/>
                <w:sz w:val="20"/>
                <w:szCs w:val="20"/>
              </w:rPr>
              <w:t>0.80</w:t>
            </w:r>
          </w:p>
        </w:tc>
      </w:tr>
    </w:tbl>
    <w:p w:rsidR="00E34388" w:rsidRPr="00507490" w:rsidRDefault="00E34388" w:rsidP="00507490">
      <w:pPr>
        <w:autoSpaceDE w:val="0"/>
        <w:autoSpaceDN w:val="0"/>
        <w:adjustRightInd w:val="0"/>
        <w:spacing w:before="60" w:after="0" w:line="240" w:lineRule="auto"/>
        <w:rPr>
          <w:rFonts w:ascii="Times New Roman" w:hAnsi="Times New Roman"/>
          <w:sz w:val="18"/>
          <w:szCs w:val="18"/>
        </w:rPr>
      </w:pPr>
      <w:r w:rsidRPr="00507490">
        <w:rPr>
          <w:rFonts w:ascii="Times New Roman" w:hAnsi="Times New Roman"/>
          <w:sz w:val="18"/>
          <w:szCs w:val="18"/>
        </w:rPr>
        <w:t xml:space="preserve">                                  </w:t>
      </w:r>
      <w:r w:rsidR="00507490">
        <w:rPr>
          <w:rFonts w:ascii="Times New Roman" w:hAnsi="Times New Roman"/>
          <w:sz w:val="18"/>
          <w:szCs w:val="18"/>
        </w:rPr>
        <w:t xml:space="preserve">       </w:t>
      </w:r>
      <w:r w:rsidRPr="00507490">
        <w:rPr>
          <w:rFonts w:ascii="Times New Roman" w:hAnsi="Times New Roman"/>
          <w:sz w:val="18"/>
          <w:szCs w:val="18"/>
        </w:rPr>
        <w:t xml:space="preserve"> *Mean of three determinations</w:t>
      </w:r>
    </w:p>
    <w:p w:rsidR="00E34388" w:rsidRDefault="00E34388" w:rsidP="00E34388">
      <w:pPr>
        <w:tabs>
          <w:tab w:val="left" w:pos="1393"/>
          <w:tab w:val="left" w:pos="2949"/>
        </w:tabs>
        <w:autoSpaceDE w:val="0"/>
        <w:autoSpaceDN w:val="0"/>
        <w:adjustRightInd w:val="0"/>
        <w:spacing w:after="0" w:line="240" w:lineRule="auto"/>
        <w:rPr>
          <w:rFonts w:ascii="Times New Roman" w:hAnsi="Times New Roman"/>
          <w:b/>
          <w:bCs/>
          <w:sz w:val="20"/>
          <w:szCs w:val="20"/>
        </w:rPr>
      </w:pPr>
    </w:p>
    <w:p w:rsidR="00507490" w:rsidRDefault="00507490" w:rsidP="00E34388">
      <w:pPr>
        <w:tabs>
          <w:tab w:val="left" w:pos="1393"/>
          <w:tab w:val="left" w:pos="2949"/>
        </w:tabs>
        <w:autoSpaceDE w:val="0"/>
        <w:autoSpaceDN w:val="0"/>
        <w:adjustRightInd w:val="0"/>
        <w:spacing w:after="0" w:line="240" w:lineRule="auto"/>
        <w:rPr>
          <w:rFonts w:ascii="Times New Roman" w:hAnsi="Times New Roman"/>
          <w:b/>
          <w:bCs/>
          <w:sz w:val="20"/>
          <w:szCs w:val="20"/>
        </w:rPr>
      </w:pPr>
    </w:p>
    <w:p w:rsidR="00E34388" w:rsidRPr="00507490" w:rsidRDefault="00E34388" w:rsidP="00507490">
      <w:pPr>
        <w:tabs>
          <w:tab w:val="left" w:pos="1393"/>
          <w:tab w:val="left" w:pos="2949"/>
        </w:tabs>
        <w:autoSpaceDE w:val="0"/>
        <w:autoSpaceDN w:val="0"/>
        <w:adjustRightInd w:val="0"/>
        <w:spacing w:after="120" w:line="240" w:lineRule="auto"/>
        <w:jc w:val="center"/>
        <w:rPr>
          <w:rFonts w:ascii="Times New Roman" w:hAnsi="Times New Roman"/>
          <w:bCs/>
          <w:sz w:val="20"/>
          <w:szCs w:val="20"/>
        </w:rPr>
      </w:pPr>
      <w:r w:rsidRPr="00C77546">
        <w:rPr>
          <w:rFonts w:ascii="Times New Roman" w:hAnsi="Times New Roman"/>
          <w:bCs/>
          <w:sz w:val="20"/>
          <w:szCs w:val="20"/>
        </w:rPr>
        <w:t>Table 6</w:t>
      </w:r>
      <w:r>
        <w:rPr>
          <w:rFonts w:ascii="Times New Roman" w:hAnsi="Times New Roman"/>
          <w:bCs/>
          <w:sz w:val="20"/>
          <w:szCs w:val="20"/>
        </w:rPr>
        <w:t xml:space="preserve">. </w:t>
      </w:r>
      <w:r w:rsidRPr="00C77546">
        <w:rPr>
          <w:rFonts w:ascii="Times New Roman" w:hAnsi="Times New Roman"/>
          <w:bCs/>
          <w:sz w:val="20"/>
          <w:szCs w:val="20"/>
        </w:rPr>
        <w:t>Results of Solution Stability Studies</w:t>
      </w:r>
    </w:p>
    <w:tbl>
      <w:tblPr>
        <w:tblStyle w:val="TableGrid"/>
        <w:tblW w:w="0" w:type="auto"/>
        <w:tblInd w:w="16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2539"/>
        <w:gridCol w:w="1670"/>
      </w:tblGrid>
      <w:tr w:rsidR="00E34388" w:rsidRPr="00456D9A" w:rsidTr="00FD0839">
        <w:trPr>
          <w:trHeight w:val="257"/>
        </w:trPr>
        <w:tc>
          <w:tcPr>
            <w:tcW w:w="1496" w:type="dxa"/>
            <w:tcBorders>
              <w:top w:val="single" w:sz="4" w:space="0" w:color="auto"/>
              <w:bottom w:val="single" w:sz="4" w:space="0" w:color="auto"/>
            </w:tcBorders>
            <w:vAlign w:val="bottom"/>
          </w:tcPr>
          <w:p w:rsidR="00E34388" w:rsidRPr="00456D9A" w:rsidRDefault="00E34388" w:rsidP="00507490">
            <w:pPr>
              <w:spacing w:before="60" w:after="60" w:line="240" w:lineRule="auto"/>
              <w:rPr>
                <w:rFonts w:ascii="Times New Roman" w:hAnsi="Times New Roman" w:cs="Times New Roman"/>
                <w:b/>
                <w:color w:val="000000"/>
                <w:sz w:val="20"/>
                <w:szCs w:val="20"/>
              </w:rPr>
            </w:pPr>
            <w:r w:rsidRPr="00456D9A">
              <w:rPr>
                <w:rFonts w:ascii="Times New Roman" w:hAnsi="Times New Roman" w:cs="Times New Roman"/>
                <w:b/>
                <w:color w:val="000000"/>
                <w:sz w:val="20"/>
                <w:szCs w:val="20"/>
              </w:rPr>
              <w:t>Time (hour)</w:t>
            </w:r>
          </w:p>
        </w:tc>
        <w:tc>
          <w:tcPr>
            <w:tcW w:w="2539" w:type="dxa"/>
            <w:tcBorders>
              <w:top w:val="single" w:sz="4" w:space="0" w:color="auto"/>
              <w:bottom w:val="single" w:sz="4" w:space="0" w:color="auto"/>
            </w:tcBorders>
            <w:vAlign w:val="bottom"/>
          </w:tcPr>
          <w:p w:rsidR="00E34388" w:rsidRPr="00456D9A" w:rsidRDefault="00E34388" w:rsidP="00507490">
            <w:pPr>
              <w:spacing w:before="60" w:after="60" w:line="240" w:lineRule="auto"/>
              <w:rPr>
                <w:rFonts w:ascii="Times New Roman" w:hAnsi="Times New Roman" w:cs="Times New Roman"/>
                <w:b/>
                <w:color w:val="000000"/>
                <w:sz w:val="20"/>
                <w:szCs w:val="20"/>
              </w:rPr>
            </w:pPr>
            <w:r w:rsidRPr="00456D9A">
              <w:rPr>
                <w:rFonts w:ascii="Times New Roman" w:hAnsi="Times New Roman" w:cs="Times New Roman"/>
                <w:b/>
                <w:color w:val="000000"/>
                <w:sz w:val="20"/>
                <w:szCs w:val="20"/>
              </w:rPr>
              <w:t>% Assay* ± SD</w:t>
            </w:r>
          </w:p>
        </w:tc>
        <w:tc>
          <w:tcPr>
            <w:tcW w:w="1670" w:type="dxa"/>
            <w:tcBorders>
              <w:top w:val="single" w:sz="4" w:space="0" w:color="auto"/>
              <w:bottom w:val="single" w:sz="4" w:space="0" w:color="auto"/>
            </w:tcBorders>
            <w:vAlign w:val="bottom"/>
          </w:tcPr>
          <w:p w:rsidR="00E34388" w:rsidRPr="00456D9A" w:rsidRDefault="00E34388" w:rsidP="00507490">
            <w:pPr>
              <w:spacing w:before="60" w:after="60" w:line="240" w:lineRule="auto"/>
              <w:rPr>
                <w:rFonts w:ascii="Times New Roman" w:hAnsi="Times New Roman" w:cs="Times New Roman"/>
                <w:b/>
                <w:color w:val="000000"/>
                <w:sz w:val="20"/>
                <w:szCs w:val="20"/>
              </w:rPr>
            </w:pPr>
            <w:r w:rsidRPr="00456D9A">
              <w:rPr>
                <w:rFonts w:ascii="Times New Roman" w:hAnsi="Times New Roman" w:cs="Times New Roman"/>
                <w:b/>
                <w:color w:val="000000"/>
                <w:sz w:val="20"/>
                <w:szCs w:val="20"/>
              </w:rPr>
              <w:t>%RSD</w:t>
            </w:r>
          </w:p>
        </w:tc>
      </w:tr>
      <w:tr w:rsidR="00E34388" w:rsidRPr="00456D9A" w:rsidTr="00FD0839">
        <w:trPr>
          <w:trHeight w:val="257"/>
        </w:trPr>
        <w:tc>
          <w:tcPr>
            <w:tcW w:w="1496" w:type="dxa"/>
            <w:tcBorders>
              <w:top w:val="single" w:sz="4" w:space="0" w:color="auto"/>
            </w:tcBorders>
          </w:tcPr>
          <w:p w:rsidR="00E34388" w:rsidRPr="00456D9A" w:rsidRDefault="00E34388" w:rsidP="00507490">
            <w:pPr>
              <w:autoSpaceDE w:val="0"/>
              <w:autoSpaceDN w:val="0"/>
              <w:adjustRightInd w:val="0"/>
              <w:spacing w:before="60" w:after="60" w:line="240" w:lineRule="auto"/>
              <w:rPr>
                <w:rFonts w:ascii="Times New Roman" w:hAnsi="Times New Roman" w:cs="Times New Roman"/>
                <w:bCs/>
                <w:sz w:val="20"/>
                <w:szCs w:val="20"/>
              </w:rPr>
            </w:pPr>
            <w:r w:rsidRPr="00456D9A">
              <w:rPr>
                <w:rFonts w:ascii="Times New Roman" w:hAnsi="Times New Roman" w:cs="Times New Roman"/>
                <w:bCs/>
                <w:sz w:val="20"/>
                <w:szCs w:val="20"/>
              </w:rPr>
              <w:t>1</w:t>
            </w:r>
          </w:p>
        </w:tc>
        <w:tc>
          <w:tcPr>
            <w:tcW w:w="2539" w:type="dxa"/>
            <w:tcBorders>
              <w:top w:val="single" w:sz="4" w:space="0" w:color="auto"/>
            </w:tcBorders>
          </w:tcPr>
          <w:p w:rsidR="00E34388" w:rsidRPr="00456D9A" w:rsidRDefault="00E34388" w:rsidP="00507490">
            <w:pPr>
              <w:autoSpaceDE w:val="0"/>
              <w:autoSpaceDN w:val="0"/>
              <w:adjustRightInd w:val="0"/>
              <w:spacing w:before="60" w:after="60" w:line="240" w:lineRule="auto"/>
              <w:rPr>
                <w:rFonts w:ascii="Times New Roman" w:hAnsi="Times New Roman" w:cs="Times New Roman"/>
                <w:bCs/>
                <w:sz w:val="20"/>
                <w:szCs w:val="20"/>
              </w:rPr>
            </w:pPr>
            <w:r w:rsidRPr="00456D9A">
              <w:rPr>
                <w:rFonts w:ascii="Times New Roman" w:hAnsi="Times New Roman" w:cs="Times New Roman"/>
                <w:color w:val="000000"/>
                <w:sz w:val="20"/>
                <w:szCs w:val="20"/>
              </w:rPr>
              <w:t xml:space="preserve">99.02 ± </w:t>
            </w:r>
            <w:r w:rsidRPr="00456D9A">
              <w:rPr>
                <w:rFonts w:ascii="Times New Roman" w:hAnsi="Times New Roman" w:cs="Times New Roman"/>
                <w:bCs/>
                <w:sz w:val="20"/>
                <w:szCs w:val="20"/>
              </w:rPr>
              <w:t>0.46</w:t>
            </w:r>
          </w:p>
        </w:tc>
        <w:tc>
          <w:tcPr>
            <w:tcW w:w="1670" w:type="dxa"/>
            <w:tcBorders>
              <w:top w:val="single" w:sz="4" w:space="0" w:color="auto"/>
            </w:tcBorders>
          </w:tcPr>
          <w:p w:rsidR="00E34388" w:rsidRPr="00456D9A" w:rsidRDefault="00E34388" w:rsidP="00507490">
            <w:pPr>
              <w:autoSpaceDE w:val="0"/>
              <w:autoSpaceDN w:val="0"/>
              <w:adjustRightInd w:val="0"/>
              <w:spacing w:before="60" w:after="60" w:line="240" w:lineRule="auto"/>
              <w:rPr>
                <w:rFonts w:ascii="Times New Roman" w:hAnsi="Times New Roman" w:cs="Times New Roman"/>
                <w:bCs/>
                <w:sz w:val="20"/>
                <w:szCs w:val="20"/>
              </w:rPr>
            </w:pPr>
            <w:r w:rsidRPr="00456D9A">
              <w:rPr>
                <w:rFonts w:ascii="Times New Roman" w:hAnsi="Times New Roman" w:cs="Times New Roman"/>
                <w:bCs/>
                <w:sz w:val="20"/>
                <w:szCs w:val="20"/>
              </w:rPr>
              <w:t>0.47</w:t>
            </w:r>
          </w:p>
        </w:tc>
      </w:tr>
      <w:tr w:rsidR="00E34388" w:rsidRPr="00456D9A" w:rsidTr="00FD0839">
        <w:trPr>
          <w:trHeight w:val="274"/>
        </w:trPr>
        <w:tc>
          <w:tcPr>
            <w:tcW w:w="1496" w:type="dxa"/>
          </w:tcPr>
          <w:p w:rsidR="00E34388" w:rsidRPr="00456D9A" w:rsidRDefault="00E34388" w:rsidP="00507490">
            <w:pPr>
              <w:autoSpaceDE w:val="0"/>
              <w:autoSpaceDN w:val="0"/>
              <w:adjustRightInd w:val="0"/>
              <w:spacing w:before="60" w:after="60" w:line="240" w:lineRule="auto"/>
              <w:rPr>
                <w:rFonts w:ascii="Times New Roman" w:hAnsi="Times New Roman" w:cs="Times New Roman"/>
                <w:bCs/>
                <w:sz w:val="20"/>
                <w:szCs w:val="20"/>
              </w:rPr>
            </w:pPr>
            <w:r w:rsidRPr="00456D9A">
              <w:rPr>
                <w:rFonts w:ascii="Times New Roman" w:hAnsi="Times New Roman" w:cs="Times New Roman"/>
                <w:bCs/>
                <w:sz w:val="20"/>
                <w:szCs w:val="20"/>
              </w:rPr>
              <w:t>6</w:t>
            </w:r>
          </w:p>
        </w:tc>
        <w:tc>
          <w:tcPr>
            <w:tcW w:w="2539" w:type="dxa"/>
          </w:tcPr>
          <w:p w:rsidR="00E34388" w:rsidRPr="00456D9A" w:rsidRDefault="00E34388" w:rsidP="00507490">
            <w:pPr>
              <w:autoSpaceDE w:val="0"/>
              <w:autoSpaceDN w:val="0"/>
              <w:adjustRightInd w:val="0"/>
              <w:spacing w:before="60" w:after="60" w:line="240" w:lineRule="auto"/>
              <w:rPr>
                <w:rFonts w:ascii="Times New Roman" w:hAnsi="Times New Roman" w:cs="Times New Roman"/>
                <w:bCs/>
                <w:sz w:val="20"/>
                <w:szCs w:val="20"/>
              </w:rPr>
            </w:pPr>
            <w:r w:rsidRPr="00456D9A">
              <w:rPr>
                <w:rFonts w:ascii="Times New Roman" w:hAnsi="Times New Roman" w:cs="Times New Roman"/>
                <w:color w:val="000000"/>
                <w:sz w:val="20"/>
                <w:szCs w:val="20"/>
              </w:rPr>
              <w:t xml:space="preserve">100.31 ± </w:t>
            </w:r>
            <w:r w:rsidRPr="00456D9A">
              <w:rPr>
                <w:rFonts w:ascii="Times New Roman" w:hAnsi="Times New Roman" w:cs="Times New Roman"/>
                <w:bCs/>
                <w:sz w:val="20"/>
                <w:szCs w:val="20"/>
              </w:rPr>
              <w:t>0.28</w:t>
            </w:r>
          </w:p>
        </w:tc>
        <w:tc>
          <w:tcPr>
            <w:tcW w:w="1670" w:type="dxa"/>
          </w:tcPr>
          <w:p w:rsidR="00E34388" w:rsidRPr="00456D9A" w:rsidRDefault="00E34388" w:rsidP="00507490">
            <w:pPr>
              <w:autoSpaceDE w:val="0"/>
              <w:autoSpaceDN w:val="0"/>
              <w:adjustRightInd w:val="0"/>
              <w:spacing w:before="60" w:after="60" w:line="240" w:lineRule="auto"/>
              <w:rPr>
                <w:rFonts w:ascii="Times New Roman" w:hAnsi="Times New Roman" w:cs="Times New Roman"/>
                <w:bCs/>
                <w:sz w:val="20"/>
                <w:szCs w:val="20"/>
              </w:rPr>
            </w:pPr>
            <w:r w:rsidRPr="00456D9A">
              <w:rPr>
                <w:rFonts w:ascii="Times New Roman" w:hAnsi="Times New Roman" w:cs="Times New Roman"/>
                <w:bCs/>
                <w:sz w:val="20"/>
                <w:szCs w:val="20"/>
              </w:rPr>
              <w:t>0.28</w:t>
            </w:r>
          </w:p>
        </w:tc>
      </w:tr>
      <w:tr w:rsidR="00E34388" w:rsidRPr="00456D9A" w:rsidTr="00FD0839">
        <w:trPr>
          <w:trHeight w:val="274"/>
        </w:trPr>
        <w:tc>
          <w:tcPr>
            <w:tcW w:w="1496" w:type="dxa"/>
          </w:tcPr>
          <w:p w:rsidR="00E34388" w:rsidRPr="00456D9A" w:rsidRDefault="00E34388" w:rsidP="00507490">
            <w:pPr>
              <w:autoSpaceDE w:val="0"/>
              <w:autoSpaceDN w:val="0"/>
              <w:adjustRightInd w:val="0"/>
              <w:spacing w:before="60" w:after="60" w:line="240" w:lineRule="auto"/>
              <w:rPr>
                <w:rFonts w:ascii="Times New Roman" w:hAnsi="Times New Roman" w:cs="Times New Roman"/>
                <w:sz w:val="20"/>
                <w:szCs w:val="20"/>
              </w:rPr>
            </w:pPr>
            <w:r w:rsidRPr="00456D9A">
              <w:rPr>
                <w:rFonts w:ascii="Times New Roman" w:hAnsi="Times New Roman" w:cs="Times New Roman"/>
                <w:sz w:val="20"/>
                <w:szCs w:val="20"/>
              </w:rPr>
              <w:t>24</w:t>
            </w:r>
          </w:p>
        </w:tc>
        <w:tc>
          <w:tcPr>
            <w:tcW w:w="2539" w:type="dxa"/>
          </w:tcPr>
          <w:p w:rsidR="00E34388" w:rsidRPr="00456D9A" w:rsidRDefault="00E34388" w:rsidP="00507490">
            <w:pPr>
              <w:autoSpaceDE w:val="0"/>
              <w:autoSpaceDN w:val="0"/>
              <w:adjustRightInd w:val="0"/>
              <w:spacing w:before="60" w:after="60" w:line="240" w:lineRule="auto"/>
              <w:rPr>
                <w:rFonts w:ascii="Times New Roman" w:hAnsi="Times New Roman" w:cs="Times New Roman"/>
                <w:color w:val="000000"/>
                <w:sz w:val="20"/>
                <w:szCs w:val="20"/>
              </w:rPr>
            </w:pPr>
            <w:r w:rsidRPr="00456D9A">
              <w:rPr>
                <w:rFonts w:ascii="Times New Roman" w:hAnsi="Times New Roman" w:cs="Times New Roman"/>
                <w:color w:val="000000"/>
                <w:sz w:val="20"/>
                <w:szCs w:val="20"/>
              </w:rPr>
              <w:t>99.88 ± 1.33</w:t>
            </w:r>
          </w:p>
        </w:tc>
        <w:tc>
          <w:tcPr>
            <w:tcW w:w="1670" w:type="dxa"/>
          </w:tcPr>
          <w:p w:rsidR="00E34388" w:rsidRPr="00456D9A" w:rsidRDefault="00E34388" w:rsidP="00507490">
            <w:pPr>
              <w:autoSpaceDE w:val="0"/>
              <w:autoSpaceDN w:val="0"/>
              <w:adjustRightInd w:val="0"/>
              <w:spacing w:before="60" w:after="60" w:line="240" w:lineRule="auto"/>
              <w:rPr>
                <w:rFonts w:ascii="Times New Roman" w:hAnsi="Times New Roman" w:cs="Times New Roman"/>
                <w:sz w:val="20"/>
                <w:szCs w:val="20"/>
              </w:rPr>
            </w:pPr>
            <w:r w:rsidRPr="00456D9A">
              <w:rPr>
                <w:rFonts w:ascii="Times New Roman" w:hAnsi="Times New Roman" w:cs="Times New Roman"/>
                <w:bCs/>
                <w:sz w:val="20"/>
                <w:szCs w:val="20"/>
              </w:rPr>
              <w:t>1.32</w:t>
            </w:r>
          </w:p>
        </w:tc>
      </w:tr>
    </w:tbl>
    <w:p w:rsidR="00E34388" w:rsidRPr="00507490" w:rsidRDefault="00E34388" w:rsidP="00507490">
      <w:pPr>
        <w:autoSpaceDE w:val="0"/>
        <w:autoSpaceDN w:val="0"/>
        <w:adjustRightInd w:val="0"/>
        <w:spacing w:before="60" w:after="0" w:line="240" w:lineRule="auto"/>
        <w:rPr>
          <w:rFonts w:ascii="Times New Roman" w:hAnsi="Times New Roman"/>
          <w:sz w:val="18"/>
          <w:szCs w:val="18"/>
        </w:rPr>
      </w:pPr>
      <w:r w:rsidRPr="00507490">
        <w:rPr>
          <w:rFonts w:ascii="Times New Roman" w:hAnsi="Times New Roman"/>
          <w:sz w:val="18"/>
          <w:szCs w:val="18"/>
        </w:rPr>
        <w:t xml:space="preserve">                              </w:t>
      </w:r>
      <w:r w:rsidR="00507490">
        <w:rPr>
          <w:rFonts w:ascii="Times New Roman" w:hAnsi="Times New Roman"/>
          <w:sz w:val="18"/>
          <w:szCs w:val="18"/>
        </w:rPr>
        <w:t xml:space="preserve">    </w:t>
      </w:r>
      <w:r w:rsidRPr="00507490">
        <w:rPr>
          <w:rFonts w:ascii="Times New Roman" w:hAnsi="Times New Roman"/>
          <w:sz w:val="18"/>
          <w:szCs w:val="18"/>
        </w:rPr>
        <w:t>*Mean of three determinations</w:t>
      </w:r>
    </w:p>
    <w:p w:rsidR="00E34388" w:rsidRDefault="00E34388" w:rsidP="00E34388">
      <w:pPr>
        <w:tabs>
          <w:tab w:val="left" w:pos="1393"/>
          <w:tab w:val="left" w:pos="2949"/>
        </w:tabs>
        <w:autoSpaceDE w:val="0"/>
        <w:autoSpaceDN w:val="0"/>
        <w:adjustRightInd w:val="0"/>
        <w:spacing w:after="0" w:line="240" w:lineRule="auto"/>
        <w:rPr>
          <w:rFonts w:ascii="Times New Roman" w:hAnsi="Times New Roman"/>
          <w:b/>
          <w:bCs/>
          <w:sz w:val="20"/>
          <w:szCs w:val="20"/>
        </w:rPr>
      </w:pPr>
    </w:p>
    <w:p w:rsidR="006768E9" w:rsidRPr="00F447A7" w:rsidRDefault="006768E9" w:rsidP="00E3438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07490" w:rsidRPr="000575A8" w:rsidRDefault="00507490" w:rsidP="00507490">
      <w:pPr>
        <w:spacing w:after="0" w:line="240" w:lineRule="auto"/>
        <w:jc w:val="both"/>
        <w:rPr>
          <w:rFonts w:ascii="Times New Roman" w:hAnsi="Times New Roman"/>
          <w:sz w:val="20"/>
          <w:szCs w:val="20"/>
        </w:rPr>
      </w:pPr>
      <w:r w:rsidRPr="000575A8">
        <w:rPr>
          <w:rFonts w:ascii="Times New Roman" w:hAnsi="Times New Roman"/>
          <w:sz w:val="20"/>
          <w:szCs w:val="20"/>
        </w:rPr>
        <w:t xml:space="preserve">A simple and reliable </w:t>
      </w:r>
      <w:r>
        <w:rPr>
          <w:rFonts w:ascii="Times New Roman" w:hAnsi="Times New Roman"/>
          <w:sz w:val="20"/>
          <w:szCs w:val="20"/>
        </w:rPr>
        <w:t xml:space="preserve">UV Spectrophotometric </w:t>
      </w:r>
      <w:r w:rsidRPr="000575A8">
        <w:rPr>
          <w:rFonts w:ascii="Times New Roman" w:hAnsi="Times New Roman"/>
          <w:sz w:val="20"/>
          <w:szCs w:val="20"/>
        </w:rPr>
        <w:t xml:space="preserve">method has been developed and successfully validated for estimation of </w:t>
      </w:r>
      <w:r>
        <w:rPr>
          <w:rFonts w:ascii="Times New Roman" w:hAnsi="Times New Roman"/>
          <w:sz w:val="20"/>
          <w:szCs w:val="20"/>
        </w:rPr>
        <w:t>DTG in tablet dosage form</w:t>
      </w:r>
      <w:r w:rsidRPr="000575A8">
        <w:rPr>
          <w:rFonts w:ascii="Times New Roman" w:hAnsi="Times New Roman"/>
          <w:sz w:val="20"/>
          <w:szCs w:val="20"/>
        </w:rPr>
        <w:t xml:space="preserve">. The results of the validation tests indicated that the </w:t>
      </w:r>
      <w:r>
        <w:rPr>
          <w:rFonts w:ascii="Times New Roman" w:hAnsi="Times New Roman"/>
          <w:sz w:val="20"/>
          <w:szCs w:val="20"/>
        </w:rPr>
        <w:t xml:space="preserve">developed </w:t>
      </w:r>
      <w:r w:rsidRPr="000575A8">
        <w:rPr>
          <w:rFonts w:ascii="Times New Roman" w:hAnsi="Times New Roman"/>
          <w:sz w:val="20"/>
          <w:szCs w:val="20"/>
        </w:rPr>
        <w:t xml:space="preserve">method was accurate, precise, robust and reproducible. This assay system provides an accurate, precise, and sensitive method for </w:t>
      </w:r>
      <w:r>
        <w:rPr>
          <w:rFonts w:ascii="Times New Roman" w:hAnsi="Times New Roman"/>
          <w:sz w:val="20"/>
          <w:szCs w:val="20"/>
        </w:rPr>
        <w:t>DTG</w:t>
      </w:r>
      <w:r w:rsidRPr="000575A8">
        <w:rPr>
          <w:rFonts w:ascii="Times New Roman" w:hAnsi="Times New Roman"/>
          <w:sz w:val="20"/>
          <w:szCs w:val="20"/>
        </w:rPr>
        <w:t xml:space="preserve"> quantitation and was successfully applied </w:t>
      </w:r>
      <w:r>
        <w:rPr>
          <w:rFonts w:ascii="Times New Roman" w:hAnsi="Times New Roman"/>
          <w:sz w:val="20"/>
          <w:szCs w:val="20"/>
        </w:rPr>
        <w:t xml:space="preserve">to </w:t>
      </w:r>
      <w:r w:rsidRPr="000575A8">
        <w:rPr>
          <w:rFonts w:ascii="Times New Roman" w:hAnsi="Times New Roman"/>
          <w:sz w:val="20"/>
          <w:szCs w:val="20"/>
        </w:rPr>
        <w:t>ph</w:t>
      </w:r>
      <w:r>
        <w:rPr>
          <w:rFonts w:ascii="Times New Roman" w:hAnsi="Times New Roman"/>
          <w:sz w:val="20"/>
          <w:szCs w:val="20"/>
        </w:rPr>
        <w:t>armaceutical dosage form. Hence, the developed</w:t>
      </w:r>
      <w:r w:rsidRPr="000575A8">
        <w:rPr>
          <w:rFonts w:ascii="Times New Roman" w:hAnsi="Times New Roman"/>
          <w:sz w:val="20"/>
          <w:szCs w:val="20"/>
        </w:rPr>
        <w:t xml:space="preserve"> </w:t>
      </w:r>
      <w:r>
        <w:rPr>
          <w:rFonts w:ascii="Times New Roman" w:hAnsi="Times New Roman"/>
          <w:sz w:val="20"/>
          <w:szCs w:val="20"/>
        </w:rPr>
        <w:t>UV</w:t>
      </w:r>
      <w:r w:rsidRPr="000575A8">
        <w:rPr>
          <w:rFonts w:ascii="Times New Roman" w:hAnsi="Times New Roman"/>
          <w:sz w:val="20"/>
          <w:szCs w:val="20"/>
        </w:rPr>
        <w:t xml:space="preserve"> method is suitable for routine determination of </w:t>
      </w:r>
      <w:r>
        <w:rPr>
          <w:rFonts w:ascii="Times New Roman" w:hAnsi="Times New Roman"/>
          <w:sz w:val="20"/>
          <w:szCs w:val="20"/>
        </w:rPr>
        <w:t>DTG</w:t>
      </w:r>
      <w:r w:rsidRPr="000575A8">
        <w:rPr>
          <w:rFonts w:ascii="Times New Roman" w:hAnsi="Times New Roman"/>
          <w:sz w:val="20"/>
          <w:szCs w:val="20"/>
        </w:rPr>
        <w:t xml:space="preserve"> in pharmaceutical formulation in quality control laboratories, where economy and time are essential. </w:t>
      </w:r>
    </w:p>
    <w:p w:rsidR="006768E9" w:rsidRPr="00F447A7" w:rsidRDefault="006768E9" w:rsidP="00507490">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507490" w:rsidP="00507490">
      <w:pPr>
        <w:spacing w:after="0" w:line="240" w:lineRule="auto"/>
        <w:jc w:val="both"/>
        <w:rPr>
          <w:rFonts w:ascii="Times New Roman" w:hAnsi="Times New Roman"/>
          <w:sz w:val="20"/>
          <w:szCs w:val="20"/>
        </w:rPr>
      </w:pPr>
      <w:r w:rsidRPr="000575A8">
        <w:rPr>
          <w:rFonts w:ascii="Times New Roman" w:hAnsi="Times New Roman"/>
          <w:sz w:val="20"/>
          <w:szCs w:val="20"/>
        </w:rPr>
        <w:t xml:space="preserve">Authors are thankful to Mylan laboratories limited, Hyderabad, India, for providing pure drug samples for this study and the Amrutvahini Sheti and ShikshanVikas Sanstha, Sangamner, India </w:t>
      </w:r>
      <w:r>
        <w:rPr>
          <w:rFonts w:ascii="Times New Roman" w:hAnsi="Times New Roman"/>
          <w:sz w:val="20"/>
          <w:szCs w:val="20"/>
        </w:rPr>
        <w:t>f</w:t>
      </w:r>
      <w:r w:rsidRPr="000575A8">
        <w:rPr>
          <w:rFonts w:ascii="Times New Roman" w:hAnsi="Times New Roman"/>
          <w:sz w:val="20"/>
          <w:szCs w:val="20"/>
        </w:rPr>
        <w:t>or providing us the research facility.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07490" w:rsidRPr="00B24C7C" w:rsidRDefault="00507490" w:rsidP="00507490">
      <w:pPr>
        <w:pStyle w:val="ListParagraph"/>
        <w:numPr>
          <w:ilvl w:val="0"/>
          <w:numId w:val="2"/>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C77546">
        <w:rPr>
          <w:rFonts w:ascii="Times New Roman" w:hAnsi="Times New Roman"/>
          <w:bCs/>
          <w:color w:val="000000" w:themeColor="text1"/>
          <w:sz w:val="20"/>
          <w:szCs w:val="20"/>
        </w:rPr>
        <w:t>ViiV Healthcare</w:t>
      </w:r>
      <w:r w:rsidRPr="00B24C7C">
        <w:rPr>
          <w:rFonts w:ascii="Times New Roman" w:hAnsi="Times New Roman"/>
          <w:bCs/>
          <w:color w:val="000000" w:themeColor="text1"/>
          <w:sz w:val="20"/>
          <w:szCs w:val="20"/>
        </w:rPr>
        <w:t>, Tivicay® (dolute</w:t>
      </w:r>
      <w:r>
        <w:rPr>
          <w:rFonts w:ascii="Times New Roman" w:hAnsi="Times New Roman"/>
          <w:bCs/>
          <w:color w:val="000000" w:themeColor="text1"/>
          <w:sz w:val="20"/>
          <w:szCs w:val="20"/>
        </w:rPr>
        <w:t>gravir) prescribing information.</w:t>
      </w:r>
      <w:r w:rsidRPr="00B24C7C">
        <w:rPr>
          <w:rFonts w:ascii="Times New Roman" w:hAnsi="Times New Roman"/>
          <w:bCs/>
          <w:color w:val="000000" w:themeColor="text1"/>
          <w:sz w:val="20"/>
          <w:szCs w:val="20"/>
        </w:rPr>
        <w:t xml:space="preserve"> (2014), Research Triangle Park, NC.</w:t>
      </w:r>
    </w:p>
    <w:p w:rsidR="00507490" w:rsidRDefault="00507490" w:rsidP="00507490">
      <w:pPr>
        <w:pStyle w:val="ListParagraph"/>
        <w:numPr>
          <w:ilvl w:val="0"/>
          <w:numId w:val="2"/>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B24C7C">
        <w:rPr>
          <w:rFonts w:ascii="Times New Roman" w:hAnsi="Times New Roman"/>
          <w:bCs/>
          <w:color w:val="000000" w:themeColor="text1"/>
          <w:sz w:val="20"/>
          <w:szCs w:val="20"/>
        </w:rPr>
        <w:t>Castellino</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S</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Moss</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L</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Wagner</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D</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w:t>
      </w:r>
      <w:r>
        <w:rPr>
          <w:rFonts w:ascii="Times New Roman" w:hAnsi="Times New Roman"/>
          <w:bCs/>
          <w:color w:val="000000" w:themeColor="text1"/>
          <w:sz w:val="20"/>
          <w:szCs w:val="20"/>
        </w:rPr>
        <w:t xml:space="preserve">&amp; </w:t>
      </w:r>
      <w:r w:rsidRPr="00B24C7C">
        <w:rPr>
          <w:rFonts w:ascii="Times New Roman" w:hAnsi="Times New Roman"/>
          <w:bCs/>
          <w:color w:val="000000" w:themeColor="text1"/>
          <w:sz w:val="20"/>
          <w:szCs w:val="20"/>
        </w:rPr>
        <w:t>et</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al., </w:t>
      </w:r>
      <w:r>
        <w:rPr>
          <w:rFonts w:ascii="Times New Roman" w:hAnsi="Times New Roman"/>
          <w:bCs/>
          <w:color w:val="000000" w:themeColor="text1"/>
          <w:sz w:val="20"/>
          <w:szCs w:val="20"/>
        </w:rPr>
        <w:t>(2013).</w:t>
      </w:r>
      <w:r w:rsidRPr="00B24C7C">
        <w:rPr>
          <w:rFonts w:ascii="Times New Roman" w:hAnsi="Times New Roman"/>
          <w:bCs/>
          <w:color w:val="000000" w:themeColor="text1"/>
          <w:sz w:val="20"/>
          <w:szCs w:val="20"/>
        </w:rPr>
        <w:t xml:space="preserve"> Metabolism, excretion, and mass balance of the HIV-1 integrase inhibitor dolutegravir in humans. </w:t>
      </w:r>
      <w:r w:rsidRPr="00D65F0C">
        <w:rPr>
          <w:rFonts w:ascii="Times New Roman" w:hAnsi="Times New Roman"/>
          <w:bCs/>
          <w:i/>
          <w:color w:val="000000" w:themeColor="text1"/>
          <w:sz w:val="20"/>
          <w:szCs w:val="20"/>
        </w:rPr>
        <w:t>Antimicrobial Agents and Chemotherapy</w:t>
      </w:r>
      <w:r>
        <w:rPr>
          <w:rFonts w:ascii="Times New Roman" w:hAnsi="Times New Roman"/>
          <w:bCs/>
          <w:i/>
          <w:color w:val="000000" w:themeColor="text1"/>
          <w:sz w:val="20"/>
          <w:szCs w:val="20"/>
        </w:rPr>
        <w:t>,</w:t>
      </w:r>
      <w:r w:rsidRPr="00B24C7C">
        <w:rPr>
          <w:rFonts w:ascii="Times New Roman" w:hAnsi="Times New Roman"/>
          <w:bCs/>
          <w:color w:val="000000" w:themeColor="text1"/>
          <w:sz w:val="20"/>
          <w:szCs w:val="20"/>
        </w:rPr>
        <w:t xml:space="preserve"> 57</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3536</w:t>
      </w:r>
      <w:r>
        <w:rPr>
          <w:rFonts w:ascii="Times New Roman" w:hAnsi="Times New Roman"/>
          <w:bCs/>
          <w:color w:val="000000" w:themeColor="text1"/>
          <w:sz w:val="20"/>
          <w:szCs w:val="20"/>
        </w:rPr>
        <w:t xml:space="preserve"> </w:t>
      </w:r>
      <w:r w:rsidRPr="00B24C7C">
        <w:rPr>
          <w:rFonts w:ascii="Times New Roman" w:hAnsi="Times New Roman"/>
          <w:bCs/>
          <w:color w:val="000000" w:themeColor="text1"/>
          <w:sz w:val="20"/>
          <w:szCs w:val="20"/>
        </w:rPr>
        <w:t>-</w:t>
      </w:r>
      <w:r>
        <w:rPr>
          <w:rFonts w:ascii="Times New Roman" w:hAnsi="Times New Roman"/>
          <w:bCs/>
          <w:color w:val="000000" w:themeColor="text1"/>
          <w:sz w:val="20"/>
          <w:szCs w:val="20"/>
        </w:rPr>
        <w:t xml:space="preserve"> </w:t>
      </w:r>
      <w:r w:rsidRPr="00B24C7C">
        <w:rPr>
          <w:rFonts w:ascii="Times New Roman" w:hAnsi="Times New Roman"/>
          <w:bCs/>
          <w:color w:val="000000" w:themeColor="text1"/>
          <w:sz w:val="20"/>
          <w:szCs w:val="20"/>
        </w:rPr>
        <w:t>3546.</w:t>
      </w:r>
    </w:p>
    <w:p w:rsidR="00507490" w:rsidRDefault="00507490" w:rsidP="00507490">
      <w:pPr>
        <w:pStyle w:val="ListParagraph"/>
        <w:numPr>
          <w:ilvl w:val="0"/>
          <w:numId w:val="2"/>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013152">
        <w:rPr>
          <w:rFonts w:ascii="Times New Roman" w:hAnsi="Times New Roman"/>
          <w:bCs/>
          <w:color w:val="000000" w:themeColor="text1"/>
          <w:sz w:val="20"/>
          <w:szCs w:val="20"/>
        </w:rPr>
        <w:t>Min, S., Song, I., Borland, J. Song I, Chen</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xml:space="preserve"> S</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Lou</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xml:space="preserve"> Y</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Min</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xml:space="preserve"> S</w:t>
      </w:r>
      <w:r>
        <w:rPr>
          <w:rFonts w:ascii="Times New Roman" w:hAnsi="Times New Roman"/>
          <w:bCs/>
          <w:color w:val="000000" w:themeColor="text1"/>
          <w:sz w:val="20"/>
          <w:szCs w:val="20"/>
        </w:rPr>
        <w:t xml:space="preserve">. </w:t>
      </w:r>
      <w:r w:rsidRPr="00013152">
        <w:rPr>
          <w:rFonts w:ascii="Times New Roman" w:hAnsi="Times New Roman"/>
          <w:bCs/>
          <w:color w:val="000000" w:themeColor="text1"/>
          <w:sz w:val="20"/>
          <w:szCs w:val="20"/>
        </w:rPr>
        <w:t>S</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Goljer</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xml:space="preserve"> I</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Culp</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xml:space="preserve"> A</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Piscitelli</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xml:space="preserve"> S</w:t>
      </w:r>
      <w:r>
        <w:rPr>
          <w:rFonts w:ascii="Times New Roman" w:hAnsi="Times New Roman"/>
          <w:bCs/>
          <w:color w:val="000000" w:themeColor="text1"/>
          <w:sz w:val="20"/>
          <w:szCs w:val="20"/>
        </w:rPr>
        <w:t xml:space="preserve">. </w:t>
      </w:r>
      <w:r w:rsidRPr="00013152">
        <w:rPr>
          <w:rFonts w:ascii="Times New Roman" w:hAnsi="Times New Roman"/>
          <w:bCs/>
          <w:color w:val="000000" w:themeColor="text1"/>
          <w:sz w:val="20"/>
          <w:szCs w:val="20"/>
        </w:rPr>
        <w:t>C</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Savina</w:t>
      </w:r>
      <w:r>
        <w:rPr>
          <w:rFonts w:ascii="Times New Roman" w:hAnsi="Times New Roman"/>
          <w:bCs/>
          <w:color w:val="000000" w:themeColor="text1"/>
          <w:sz w:val="20"/>
          <w:szCs w:val="20"/>
        </w:rPr>
        <w:t>,</w:t>
      </w:r>
      <w:r w:rsidRPr="00013152">
        <w:rPr>
          <w:rFonts w:ascii="Times New Roman" w:hAnsi="Times New Roman"/>
          <w:bCs/>
          <w:color w:val="000000" w:themeColor="text1"/>
          <w:sz w:val="20"/>
          <w:szCs w:val="20"/>
        </w:rPr>
        <w:t xml:space="preserve"> P</w:t>
      </w:r>
      <w:r>
        <w:rPr>
          <w:rFonts w:ascii="Times New Roman" w:hAnsi="Times New Roman"/>
          <w:bCs/>
          <w:color w:val="000000" w:themeColor="text1"/>
          <w:sz w:val="20"/>
          <w:szCs w:val="20"/>
        </w:rPr>
        <w:t xml:space="preserve">. </w:t>
      </w:r>
      <w:r w:rsidRPr="00013152">
        <w:rPr>
          <w:rFonts w:ascii="Times New Roman" w:hAnsi="Times New Roman"/>
          <w:bCs/>
          <w:color w:val="000000" w:themeColor="text1"/>
          <w:sz w:val="20"/>
          <w:szCs w:val="20"/>
        </w:rPr>
        <w:t xml:space="preserve">M. (2010), Pharmacokinetics and safety of S/GSK1349572, a next-generation HIV integrase inhibitor, in healthy volunteers. </w:t>
      </w:r>
      <w:r w:rsidRPr="00013152">
        <w:rPr>
          <w:rFonts w:ascii="Times New Roman" w:hAnsi="Times New Roman"/>
          <w:bCs/>
          <w:i/>
          <w:color w:val="000000" w:themeColor="text1"/>
          <w:sz w:val="20"/>
          <w:szCs w:val="20"/>
        </w:rPr>
        <w:t>Antimicrobial Agents and Chemotherapy</w:t>
      </w:r>
      <w:r w:rsidRPr="00013152">
        <w:rPr>
          <w:rFonts w:ascii="Times New Roman" w:hAnsi="Times New Roman"/>
          <w:bCs/>
          <w:color w:val="000000" w:themeColor="text1"/>
          <w:sz w:val="20"/>
          <w:szCs w:val="20"/>
        </w:rPr>
        <w:t>, 54: 254 – 258.</w:t>
      </w:r>
    </w:p>
    <w:p w:rsidR="00507490" w:rsidRPr="00013152" w:rsidRDefault="00507490" w:rsidP="00507490">
      <w:pPr>
        <w:pStyle w:val="ListParagraph"/>
        <w:numPr>
          <w:ilvl w:val="0"/>
          <w:numId w:val="2"/>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United State </w:t>
      </w:r>
      <w:r w:rsidRPr="00013152">
        <w:rPr>
          <w:rFonts w:ascii="Times New Roman" w:hAnsi="Times New Roman"/>
          <w:color w:val="000000" w:themeColor="text1"/>
          <w:sz w:val="20"/>
          <w:szCs w:val="20"/>
          <w:shd w:val="clear" w:color="auto" w:fill="FFFFFF"/>
        </w:rPr>
        <w:t>Food and Drug Administration</w:t>
      </w:r>
      <w:r>
        <w:rPr>
          <w:rFonts w:ascii="Times New Roman" w:hAnsi="Times New Roman"/>
          <w:color w:val="000000" w:themeColor="text1"/>
          <w:sz w:val="20"/>
          <w:szCs w:val="20"/>
          <w:shd w:val="clear" w:color="auto" w:fill="FFFFFF"/>
        </w:rPr>
        <w:t xml:space="preserve">, </w:t>
      </w:r>
      <w:r w:rsidRPr="00013152">
        <w:rPr>
          <w:rFonts w:ascii="Times New Roman" w:hAnsi="Times New Roman"/>
          <w:color w:val="000000" w:themeColor="text1"/>
          <w:sz w:val="20"/>
          <w:szCs w:val="20"/>
          <w:shd w:val="clear" w:color="auto" w:fill="FFFFFF"/>
        </w:rPr>
        <w:t>FDA (2013). Approves new drug to treat HIV infection http://www.fda.gov/NewsEvents/Newsroom/PressAnnouncements/ucm364744.htm [Access Online Aug. 12 2013].</w:t>
      </w:r>
    </w:p>
    <w:p w:rsidR="00507490" w:rsidRPr="00913929" w:rsidRDefault="00507490" w:rsidP="00507490">
      <w:pPr>
        <w:pStyle w:val="ListParagraph"/>
        <w:numPr>
          <w:ilvl w:val="0"/>
          <w:numId w:val="2"/>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013152">
        <w:rPr>
          <w:rFonts w:ascii="Times New Roman" w:hAnsi="Times New Roman"/>
          <w:color w:val="000000" w:themeColor="text1"/>
          <w:sz w:val="20"/>
          <w:szCs w:val="20"/>
          <w:shd w:val="clear" w:color="auto" w:fill="FFFFFF"/>
        </w:rPr>
        <w:t>Kobayashi, M., Yoshinaga, T., Seki, T. Wakasa-Morimoto</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C</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Brown</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K</w:t>
      </w:r>
      <w:r>
        <w:rPr>
          <w:rFonts w:ascii="Times New Roman" w:hAnsi="Times New Roman"/>
          <w:color w:val="000000" w:themeColor="text1"/>
          <w:sz w:val="20"/>
          <w:szCs w:val="20"/>
          <w:shd w:val="clear" w:color="auto" w:fill="FFFFFF"/>
        </w:rPr>
        <w:t xml:space="preserve">. </w:t>
      </w:r>
      <w:r w:rsidRPr="00013152">
        <w:rPr>
          <w:rFonts w:ascii="Times New Roman" w:hAnsi="Times New Roman"/>
          <w:color w:val="000000" w:themeColor="text1"/>
          <w:sz w:val="20"/>
          <w:szCs w:val="20"/>
          <w:shd w:val="clear" w:color="auto" w:fill="FFFFFF"/>
        </w:rPr>
        <w:t>W</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Ferris</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R</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Foster</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S</w:t>
      </w:r>
      <w:r>
        <w:rPr>
          <w:rFonts w:ascii="Times New Roman" w:hAnsi="Times New Roman"/>
          <w:color w:val="000000" w:themeColor="text1"/>
          <w:sz w:val="20"/>
          <w:szCs w:val="20"/>
          <w:shd w:val="clear" w:color="auto" w:fill="FFFFFF"/>
        </w:rPr>
        <w:t xml:space="preserve">. </w:t>
      </w:r>
      <w:r w:rsidRPr="00013152">
        <w:rPr>
          <w:rFonts w:ascii="Times New Roman" w:hAnsi="Times New Roman"/>
          <w:color w:val="000000" w:themeColor="text1"/>
          <w:sz w:val="20"/>
          <w:szCs w:val="20"/>
          <w:shd w:val="clear" w:color="auto" w:fill="FFFFFF"/>
        </w:rPr>
        <w:t>A</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Hazen</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R</w:t>
      </w:r>
      <w:r>
        <w:rPr>
          <w:rFonts w:ascii="Times New Roman" w:hAnsi="Times New Roman"/>
          <w:color w:val="000000" w:themeColor="text1"/>
          <w:sz w:val="20"/>
          <w:szCs w:val="20"/>
          <w:shd w:val="clear" w:color="auto" w:fill="FFFFFF"/>
        </w:rPr>
        <w:t xml:space="preserve">. </w:t>
      </w:r>
      <w:r w:rsidRPr="00013152">
        <w:rPr>
          <w:rFonts w:ascii="Times New Roman" w:hAnsi="Times New Roman"/>
          <w:color w:val="000000" w:themeColor="text1"/>
          <w:sz w:val="20"/>
          <w:szCs w:val="20"/>
          <w:shd w:val="clear" w:color="auto" w:fill="FFFFFF"/>
        </w:rPr>
        <w:t>J</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Miki</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S</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Suyama-Kagitani</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A</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Kawauchi-Miki</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S</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Taishi</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T</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Kawasuji</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T</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Johns</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B</w:t>
      </w:r>
      <w:r>
        <w:rPr>
          <w:rFonts w:ascii="Times New Roman" w:hAnsi="Times New Roman"/>
          <w:color w:val="000000" w:themeColor="text1"/>
          <w:sz w:val="20"/>
          <w:szCs w:val="20"/>
          <w:shd w:val="clear" w:color="auto" w:fill="FFFFFF"/>
        </w:rPr>
        <w:t xml:space="preserve">. </w:t>
      </w:r>
      <w:r w:rsidRPr="00013152">
        <w:rPr>
          <w:rFonts w:ascii="Times New Roman" w:hAnsi="Times New Roman"/>
          <w:color w:val="000000" w:themeColor="text1"/>
          <w:sz w:val="20"/>
          <w:szCs w:val="20"/>
          <w:shd w:val="clear" w:color="auto" w:fill="FFFFFF"/>
        </w:rPr>
        <w:t>A</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Underwood</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M</w:t>
      </w:r>
      <w:r>
        <w:rPr>
          <w:rFonts w:ascii="Times New Roman" w:hAnsi="Times New Roman"/>
          <w:color w:val="000000" w:themeColor="text1"/>
          <w:sz w:val="20"/>
          <w:szCs w:val="20"/>
          <w:shd w:val="clear" w:color="auto" w:fill="FFFFFF"/>
        </w:rPr>
        <w:t xml:space="preserve">. </w:t>
      </w:r>
      <w:r w:rsidRPr="00013152">
        <w:rPr>
          <w:rFonts w:ascii="Times New Roman" w:hAnsi="Times New Roman"/>
          <w:color w:val="000000" w:themeColor="text1"/>
          <w:sz w:val="20"/>
          <w:szCs w:val="20"/>
          <w:shd w:val="clear" w:color="auto" w:fill="FFFFFF"/>
        </w:rPr>
        <w:t>R</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Garvey</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E</w:t>
      </w:r>
      <w:r>
        <w:rPr>
          <w:rFonts w:ascii="Times New Roman" w:hAnsi="Times New Roman"/>
          <w:color w:val="000000" w:themeColor="text1"/>
          <w:sz w:val="20"/>
          <w:szCs w:val="20"/>
          <w:shd w:val="clear" w:color="auto" w:fill="FFFFFF"/>
        </w:rPr>
        <w:t xml:space="preserve">. </w:t>
      </w:r>
      <w:r w:rsidRPr="00013152">
        <w:rPr>
          <w:rFonts w:ascii="Times New Roman" w:hAnsi="Times New Roman"/>
          <w:color w:val="000000" w:themeColor="text1"/>
          <w:sz w:val="20"/>
          <w:szCs w:val="20"/>
          <w:shd w:val="clear" w:color="auto" w:fill="FFFFFF"/>
        </w:rPr>
        <w:t>P</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Sato</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A</w:t>
      </w:r>
      <w:r>
        <w:rPr>
          <w:rFonts w:ascii="Times New Roman" w:hAnsi="Times New Roman"/>
          <w:color w:val="000000" w:themeColor="text1"/>
          <w:sz w:val="20"/>
          <w:szCs w:val="20"/>
          <w:shd w:val="clear" w:color="auto" w:fill="FFFFFF"/>
        </w:rPr>
        <w:t xml:space="preserve">. and </w:t>
      </w:r>
      <w:r w:rsidRPr="00013152">
        <w:rPr>
          <w:rFonts w:ascii="Times New Roman" w:hAnsi="Times New Roman"/>
          <w:color w:val="000000" w:themeColor="text1"/>
          <w:sz w:val="20"/>
          <w:szCs w:val="20"/>
          <w:shd w:val="clear" w:color="auto" w:fill="FFFFFF"/>
        </w:rPr>
        <w:t>Fujiwara</w:t>
      </w:r>
      <w:r>
        <w:rPr>
          <w:rFonts w:ascii="Times New Roman" w:hAnsi="Times New Roman"/>
          <w:color w:val="000000" w:themeColor="text1"/>
          <w:sz w:val="20"/>
          <w:szCs w:val="20"/>
          <w:shd w:val="clear" w:color="auto" w:fill="FFFFFF"/>
        </w:rPr>
        <w:t>,</w:t>
      </w:r>
      <w:r w:rsidRPr="00013152">
        <w:rPr>
          <w:rFonts w:ascii="Times New Roman" w:hAnsi="Times New Roman"/>
          <w:color w:val="000000" w:themeColor="text1"/>
          <w:sz w:val="20"/>
          <w:szCs w:val="20"/>
          <w:shd w:val="clear" w:color="auto" w:fill="FFFFFF"/>
        </w:rPr>
        <w:t xml:space="preserve"> T. (2011).</w:t>
      </w:r>
      <w:r w:rsidRPr="00013152">
        <w:rPr>
          <w:rStyle w:val="apple-converted-space"/>
          <w:rFonts w:ascii="Times New Roman" w:hAnsi="Times New Roman"/>
          <w:color w:val="000000" w:themeColor="text1"/>
          <w:sz w:val="20"/>
          <w:szCs w:val="20"/>
          <w:shd w:val="clear" w:color="auto" w:fill="FFFFFF"/>
        </w:rPr>
        <w:t> </w:t>
      </w:r>
      <w:r w:rsidRPr="00013152">
        <w:rPr>
          <w:rStyle w:val="Emphasis"/>
          <w:rFonts w:ascii="Times New Roman" w:hAnsi="Times New Roman"/>
          <w:color w:val="000000" w:themeColor="text1"/>
          <w:sz w:val="20"/>
          <w:szCs w:val="20"/>
          <w:shd w:val="clear" w:color="auto" w:fill="FFFFFF"/>
        </w:rPr>
        <w:t>In vitro</w:t>
      </w:r>
      <w:r w:rsidRPr="00013152">
        <w:rPr>
          <w:rStyle w:val="apple-converted-space"/>
          <w:rFonts w:ascii="Times New Roman" w:hAnsi="Times New Roman"/>
          <w:color w:val="000000" w:themeColor="text1"/>
          <w:sz w:val="20"/>
          <w:szCs w:val="20"/>
          <w:shd w:val="clear" w:color="auto" w:fill="FFFFFF"/>
        </w:rPr>
        <w:t> </w:t>
      </w:r>
      <w:r w:rsidRPr="00013152">
        <w:rPr>
          <w:rFonts w:ascii="Times New Roman" w:hAnsi="Times New Roman"/>
          <w:color w:val="000000" w:themeColor="text1"/>
          <w:sz w:val="20"/>
          <w:szCs w:val="20"/>
          <w:shd w:val="clear" w:color="auto" w:fill="FFFFFF"/>
        </w:rPr>
        <w:t>antiretroviral properties of S/GSK1349572, a next-generation HIV integrase inhibitor.</w:t>
      </w:r>
      <w:r w:rsidRPr="00013152">
        <w:rPr>
          <w:rStyle w:val="apple-converted-space"/>
          <w:rFonts w:ascii="Times New Roman" w:hAnsi="Times New Roman"/>
          <w:color w:val="000000" w:themeColor="text1"/>
          <w:sz w:val="20"/>
          <w:szCs w:val="20"/>
          <w:shd w:val="clear" w:color="auto" w:fill="FFFFFF"/>
        </w:rPr>
        <w:t> </w:t>
      </w:r>
      <w:r w:rsidRPr="00013152">
        <w:rPr>
          <w:rFonts w:ascii="Times New Roman" w:hAnsi="Times New Roman"/>
          <w:bCs/>
          <w:i/>
          <w:color w:val="000000" w:themeColor="text1"/>
          <w:sz w:val="20"/>
          <w:szCs w:val="20"/>
        </w:rPr>
        <w:t>Antimicrobial Agents and Chemotherapy</w:t>
      </w:r>
      <w:r w:rsidRPr="00013152">
        <w:rPr>
          <w:rStyle w:val="Emphasis"/>
          <w:rFonts w:ascii="Times New Roman" w:hAnsi="Times New Roman"/>
          <w:color w:val="000000" w:themeColor="text1"/>
          <w:sz w:val="20"/>
          <w:szCs w:val="20"/>
          <w:shd w:val="clear" w:color="auto" w:fill="FFFFFF"/>
        </w:rPr>
        <w:t>,</w:t>
      </w:r>
      <w:r w:rsidRPr="00013152">
        <w:rPr>
          <w:rStyle w:val="apple-converted-space"/>
          <w:rFonts w:ascii="Times New Roman" w:hAnsi="Times New Roman"/>
          <w:color w:val="000000" w:themeColor="text1"/>
          <w:sz w:val="20"/>
          <w:szCs w:val="20"/>
          <w:shd w:val="clear" w:color="auto" w:fill="FFFFFF"/>
        </w:rPr>
        <w:t> </w:t>
      </w:r>
      <w:r w:rsidRPr="00013152">
        <w:rPr>
          <w:rFonts w:ascii="Times New Roman" w:hAnsi="Times New Roman"/>
          <w:color w:val="000000" w:themeColor="text1"/>
          <w:sz w:val="20"/>
          <w:szCs w:val="20"/>
          <w:shd w:val="clear" w:color="auto" w:fill="FFFFFF"/>
        </w:rPr>
        <w:t xml:space="preserve">55: 813 – 821. </w:t>
      </w:r>
    </w:p>
    <w:p w:rsidR="00913929" w:rsidRDefault="00913929" w:rsidP="00913929">
      <w:pPr>
        <w:tabs>
          <w:tab w:val="left" w:pos="1393"/>
          <w:tab w:val="left" w:pos="2949"/>
        </w:tabs>
        <w:autoSpaceDE w:val="0"/>
        <w:autoSpaceDN w:val="0"/>
        <w:adjustRightInd w:val="0"/>
        <w:spacing w:after="0" w:line="240" w:lineRule="auto"/>
        <w:jc w:val="both"/>
        <w:rPr>
          <w:rFonts w:ascii="Times New Roman" w:hAnsi="Times New Roman"/>
          <w:bCs/>
          <w:color w:val="000000" w:themeColor="text1"/>
          <w:sz w:val="20"/>
          <w:szCs w:val="20"/>
        </w:rPr>
      </w:pPr>
    </w:p>
    <w:p w:rsidR="00913929" w:rsidRPr="00913929" w:rsidRDefault="00913929" w:rsidP="00913929">
      <w:pPr>
        <w:tabs>
          <w:tab w:val="left" w:pos="1393"/>
          <w:tab w:val="left" w:pos="2949"/>
        </w:tabs>
        <w:autoSpaceDE w:val="0"/>
        <w:autoSpaceDN w:val="0"/>
        <w:adjustRightInd w:val="0"/>
        <w:spacing w:after="0" w:line="240" w:lineRule="auto"/>
        <w:jc w:val="both"/>
        <w:rPr>
          <w:rFonts w:ascii="Times New Roman" w:hAnsi="Times New Roman"/>
          <w:bCs/>
          <w:color w:val="000000" w:themeColor="text1"/>
          <w:sz w:val="20"/>
          <w:szCs w:val="20"/>
        </w:rPr>
      </w:pPr>
      <w:bookmarkStart w:id="0" w:name="_GoBack"/>
      <w:bookmarkEnd w:id="0"/>
    </w:p>
    <w:p w:rsidR="00507490" w:rsidRPr="00013152" w:rsidRDefault="00507490" w:rsidP="00507490">
      <w:pPr>
        <w:pStyle w:val="ListParagraph"/>
        <w:numPr>
          <w:ilvl w:val="0"/>
          <w:numId w:val="2"/>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013152">
        <w:rPr>
          <w:rFonts w:ascii="Times New Roman" w:hAnsi="Times New Roman"/>
          <w:color w:val="000000" w:themeColor="text1"/>
          <w:sz w:val="20"/>
          <w:szCs w:val="20"/>
        </w:rPr>
        <w:lastRenderedPageBreak/>
        <w:t>Min, S., Sloan, L., De Jesus, E., Hawkins</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xml:space="preserve"> T</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McCurdy</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xml:space="preserve"> L</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Song</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xml:space="preserve"> I</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Stroder</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xml:space="preserve"> R</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Chen</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xml:space="preserve"> S</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Underwood</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xml:space="preserve"> M</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Fujiwara</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xml:space="preserve"> T</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Piscitelli</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xml:space="preserve"> S</w:t>
      </w:r>
      <w:r>
        <w:rPr>
          <w:rFonts w:ascii="Times New Roman" w:hAnsi="Times New Roman"/>
          <w:color w:val="000000" w:themeColor="text1"/>
          <w:sz w:val="20"/>
          <w:szCs w:val="20"/>
        </w:rPr>
        <w:t xml:space="preserve">. and </w:t>
      </w:r>
      <w:r w:rsidRPr="00013152">
        <w:rPr>
          <w:rFonts w:ascii="Times New Roman" w:hAnsi="Times New Roman"/>
          <w:color w:val="000000" w:themeColor="text1"/>
          <w:sz w:val="20"/>
          <w:szCs w:val="20"/>
        </w:rPr>
        <w:t>Lalezari J. (2011). Antiviral activity, safety, and pharmacokinetics/pharmacodynamics of dolutegravir as 10-day monotherapy in HIV-1-infected adults.</w:t>
      </w:r>
      <w:r w:rsidRPr="00013152">
        <w:rPr>
          <w:rStyle w:val="apple-converted-space"/>
          <w:rFonts w:ascii="Times New Roman" w:hAnsi="Times New Roman"/>
          <w:color w:val="000000" w:themeColor="text1"/>
          <w:sz w:val="20"/>
          <w:szCs w:val="20"/>
        </w:rPr>
        <w:t> </w:t>
      </w:r>
      <w:r w:rsidRPr="00507490">
        <w:rPr>
          <w:rStyle w:val="Emphasis"/>
          <w:rFonts w:ascii="Times New Roman" w:hAnsi="Times New Roman"/>
          <w:b w:val="0"/>
          <w:color w:val="000000" w:themeColor="text1"/>
          <w:sz w:val="20"/>
          <w:szCs w:val="20"/>
        </w:rPr>
        <w:t>AIDS,</w:t>
      </w:r>
      <w:r w:rsidRPr="00013152">
        <w:rPr>
          <w:rStyle w:val="apple-converted-space"/>
          <w:rFonts w:ascii="Times New Roman" w:hAnsi="Times New Roman"/>
          <w:color w:val="000000" w:themeColor="text1"/>
          <w:sz w:val="20"/>
          <w:szCs w:val="20"/>
        </w:rPr>
        <w:t> </w:t>
      </w:r>
      <w:r w:rsidRPr="00013152">
        <w:rPr>
          <w:rFonts w:ascii="Times New Roman" w:hAnsi="Times New Roman"/>
          <w:color w:val="000000" w:themeColor="text1"/>
          <w:sz w:val="20"/>
          <w:szCs w:val="20"/>
        </w:rPr>
        <w:t>25(14): 1737 – 1745.</w:t>
      </w:r>
    </w:p>
    <w:p w:rsidR="00507490" w:rsidRPr="003949F3" w:rsidRDefault="00507490" w:rsidP="00507490">
      <w:pPr>
        <w:pStyle w:val="ListParagraph"/>
        <w:numPr>
          <w:ilvl w:val="0"/>
          <w:numId w:val="2"/>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013152">
        <w:rPr>
          <w:rFonts w:ascii="Times New Roman" w:hAnsi="Times New Roman"/>
          <w:color w:val="000000" w:themeColor="text1"/>
          <w:sz w:val="20"/>
          <w:szCs w:val="20"/>
        </w:rPr>
        <w:t>Reese, M. J., Savina, P. M., Generaux, G. T. and Tracey, H., Humphreys, J. E., Kanaoka, E., Webster, L. O., Harmon</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xml:space="preserve"> K</w:t>
      </w:r>
      <w:r>
        <w:rPr>
          <w:rFonts w:ascii="Times New Roman" w:hAnsi="Times New Roman"/>
          <w:color w:val="000000" w:themeColor="text1"/>
          <w:sz w:val="20"/>
          <w:szCs w:val="20"/>
        </w:rPr>
        <w:t xml:space="preserve">. </w:t>
      </w:r>
      <w:r w:rsidRPr="00013152">
        <w:rPr>
          <w:rFonts w:ascii="Times New Roman" w:hAnsi="Times New Roman"/>
          <w:color w:val="000000" w:themeColor="text1"/>
          <w:sz w:val="20"/>
          <w:szCs w:val="20"/>
        </w:rPr>
        <w:t>A</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Clarke</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xml:space="preserve"> J</w:t>
      </w:r>
      <w:r>
        <w:rPr>
          <w:rFonts w:ascii="Times New Roman" w:hAnsi="Times New Roman"/>
          <w:color w:val="000000" w:themeColor="text1"/>
          <w:sz w:val="20"/>
          <w:szCs w:val="20"/>
        </w:rPr>
        <w:t xml:space="preserve">. </w:t>
      </w:r>
      <w:r w:rsidRPr="00013152">
        <w:rPr>
          <w:rFonts w:ascii="Times New Roman" w:hAnsi="Times New Roman"/>
          <w:color w:val="000000" w:themeColor="text1"/>
          <w:sz w:val="20"/>
          <w:szCs w:val="20"/>
        </w:rPr>
        <w:t>D</w:t>
      </w:r>
      <w:r>
        <w:rPr>
          <w:rFonts w:ascii="Times New Roman" w:hAnsi="Times New Roman"/>
          <w:color w:val="000000" w:themeColor="text1"/>
          <w:sz w:val="20"/>
          <w:szCs w:val="20"/>
        </w:rPr>
        <w:t xml:space="preserve">. and </w:t>
      </w:r>
      <w:r w:rsidRPr="00013152">
        <w:rPr>
          <w:rFonts w:ascii="Times New Roman" w:hAnsi="Times New Roman"/>
          <w:color w:val="000000" w:themeColor="text1"/>
          <w:sz w:val="20"/>
          <w:szCs w:val="20"/>
        </w:rPr>
        <w:t>Polli</w:t>
      </w:r>
      <w:r>
        <w:rPr>
          <w:rFonts w:ascii="Times New Roman" w:hAnsi="Times New Roman"/>
          <w:color w:val="000000" w:themeColor="text1"/>
          <w:sz w:val="20"/>
          <w:szCs w:val="20"/>
        </w:rPr>
        <w:t>,</w:t>
      </w:r>
      <w:r w:rsidRPr="00013152">
        <w:rPr>
          <w:rFonts w:ascii="Times New Roman" w:hAnsi="Times New Roman"/>
          <w:color w:val="000000" w:themeColor="text1"/>
          <w:sz w:val="20"/>
          <w:szCs w:val="20"/>
        </w:rPr>
        <w:t xml:space="preserve"> J</w:t>
      </w:r>
      <w:r>
        <w:rPr>
          <w:rFonts w:ascii="Times New Roman" w:hAnsi="Times New Roman"/>
          <w:color w:val="000000" w:themeColor="text1"/>
          <w:sz w:val="20"/>
          <w:szCs w:val="20"/>
        </w:rPr>
        <w:t xml:space="preserve">. </w:t>
      </w:r>
      <w:r w:rsidRPr="00013152">
        <w:rPr>
          <w:rFonts w:ascii="Times New Roman" w:hAnsi="Times New Roman"/>
          <w:color w:val="000000" w:themeColor="text1"/>
          <w:sz w:val="20"/>
          <w:szCs w:val="20"/>
        </w:rPr>
        <w:t xml:space="preserve">W. (2013). </w:t>
      </w:r>
      <w:r w:rsidRPr="00013152">
        <w:rPr>
          <w:rStyle w:val="Emphasis"/>
          <w:rFonts w:ascii="Times New Roman" w:hAnsi="Times New Roman"/>
          <w:color w:val="000000" w:themeColor="text1"/>
          <w:sz w:val="20"/>
          <w:szCs w:val="20"/>
        </w:rPr>
        <w:t>In vitro</w:t>
      </w:r>
      <w:r w:rsidRPr="00013152">
        <w:rPr>
          <w:rStyle w:val="apple-converted-space"/>
          <w:rFonts w:ascii="Times New Roman" w:hAnsi="Times New Roman"/>
          <w:color w:val="000000" w:themeColor="text1"/>
          <w:sz w:val="20"/>
          <w:szCs w:val="20"/>
        </w:rPr>
        <w:t> </w:t>
      </w:r>
      <w:r w:rsidRPr="00013152">
        <w:rPr>
          <w:rFonts w:ascii="Times New Roman" w:hAnsi="Times New Roman"/>
          <w:color w:val="000000" w:themeColor="text1"/>
          <w:sz w:val="20"/>
          <w:szCs w:val="20"/>
        </w:rPr>
        <w:t>investigations into the roles of drug transporters and metabolizing enzymes in the disposition and drug interactions of dolutegravir, a HIV integrase inhibitor.</w:t>
      </w:r>
      <w:r w:rsidRPr="00013152">
        <w:rPr>
          <w:rStyle w:val="apple-converted-space"/>
          <w:rFonts w:ascii="Times New Roman" w:hAnsi="Times New Roman"/>
          <w:color w:val="000000" w:themeColor="text1"/>
          <w:sz w:val="20"/>
          <w:szCs w:val="20"/>
        </w:rPr>
        <w:t> </w:t>
      </w:r>
      <w:r w:rsidRPr="00507490">
        <w:rPr>
          <w:rStyle w:val="Emphasis"/>
          <w:rFonts w:ascii="Times New Roman" w:hAnsi="Times New Roman"/>
          <w:b w:val="0"/>
          <w:color w:val="000000" w:themeColor="text1"/>
          <w:sz w:val="20"/>
          <w:szCs w:val="20"/>
        </w:rPr>
        <w:t>Drug Metabolism and Disposition</w:t>
      </w:r>
      <w:r w:rsidRPr="00013152">
        <w:rPr>
          <w:rStyle w:val="Emphasis"/>
          <w:rFonts w:ascii="Times New Roman" w:hAnsi="Times New Roman"/>
          <w:color w:val="000000" w:themeColor="text1"/>
          <w:sz w:val="20"/>
          <w:szCs w:val="20"/>
        </w:rPr>
        <w:t>,</w:t>
      </w:r>
      <w:r w:rsidRPr="00013152">
        <w:rPr>
          <w:rStyle w:val="apple-converted-space"/>
          <w:rFonts w:ascii="Times New Roman" w:hAnsi="Times New Roman"/>
          <w:color w:val="000000" w:themeColor="text1"/>
          <w:sz w:val="20"/>
          <w:szCs w:val="20"/>
        </w:rPr>
        <w:t> </w:t>
      </w:r>
      <w:r w:rsidRPr="00013152">
        <w:rPr>
          <w:rFonts w:ascii="Times New Roman" w:hAnsi="Times New Roman"/>
          <w:color w:val="000000" w:themeColor="text1"/>
          <w:sz w:val="20"/>
          <w:szCs w:val="20"/>
        </w:rPr>
        <w:t>41: 353 – 361.</w:t>
      </w:r>
    </w:p>
    <w:p w:rsidR="00507490" w:rsidRPr="003949F3" w:rsidRDefault="00507490" w:rsidP="00507490">
      <w:pPr>
        <w:pStyle w:val="ListParagraph"/>
        <w:numPr>
          <w:ilvl w:val="0"/>
          <w:numId w:val="2"/>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3949F3">
        <w:rPr>
          <w:rFonts w:ascii="Times New Roman" w:hAnsi="Times New Roman"/>
          <w:color w:val="000000" w:themeColor="text1"/>
          <w:sz w:val="20"/>
          <w:szCs w:val="20"/>
        </w:rPr>
        <w:t>Castellino, S., Moss, L., Wagner, D</w:t>
      </w:r>
      <w:r>
        <w:rPr>
          <w:rFonts w:ascii="Times New Roman" w:hAnsi="Times New Roman"/>
          <w:color w:val="000000" w:themeColor="text1"/>
          <w:sz w:val="20"/>
          <w:szCs w:val="20"/>
        </w:rPr>
        <w:t xml:space="preserve">., Borland, J. Song, I., Chen, S., Lou, Y., Min, S. S., Goljer, I., Culp, A., Piscitelli, S. C. and Savina, P. M. </w:t>
      </w:r>
      <w:r w:rsidRPr="003949F3">
        <w:rPr>
          <w:rFonts w:ascii="Times New Roman" w:hAnsi="Times New Roman"/>
          <w:color w:val="000000" w:themeColor="text1"/>
          <w:sz w:val="20"/>
          <w:szCs w:val="20"/>
        </w:rPr>
        <w:t>(2013). Metabolism, excretion, and mass balance of the HIV-1 integrase inhibitor, dolutegravir, in humans.</w:t>
      </w:r>
      <w:r w:rsidRPr="003949F3">
        <w:rPr>
          <w:rStyle w:val="apple-converted-space"/>
          <w:rFonts w:ascii="Times New Roman" w:hAnsi="Times New Roman"/>
          <w:color w:val="000000" w:themeColor="text1"/>
          <w:sz w:val="20"/>
          <w:szCs w:val="20"/>
        </w:rPr>
        <w:t> </w:t>
      </w:r>
      <w:r w:rsidRPr="003949F3">
        <w:rPr>
          <w:rFonts w:ascii="Times New Roman" w:hAnsi="Times New Roman"/>
          <w:bCs/>
          <w:i/>
          <w:color w:val="000000" w:themeColor="text1"/>
          <w:sz w:val="20"/>
          <w:szCs w:val="20"/>
        </w:rPr>
        <w:t>Antimicrobial Agents and Chemotherapy</w:t>
      </w:r>
      <w:r w:rsidRPr="003949F3">
        <w:rPr>
          <w:rStyle w:val="Emphasis"/>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57(8): </w:t>
      </w:r>
      <w:r w:rsidRPr="003949F3">
        <w:rPr>
          <w:rFonts w:ascii="Times New Roman" w:hAnsi="Times New Roman"/>
          <w:color w:val="000000" w:themeColor="text1"/>
          <w:sz w:val="20"/>
          <w:szCs w:val="20"/>
        </w:rPr>
        <w:t xml:space="preserve">3536 – 3546. </w:t>
      </w:r>
    </w:p>
    <w:p w:rsidR="00507490" w:rsidRPr="003949F3" w:rsidRDefault="00507490" w:rsidP="00507490">
      <w:pPr>
        <w:pStyle w:val="ListParagraph"/>
        <w:numPr>
          <w:ilvl w:val="0"/>
          <w:numId w:val="2"/>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B24C7C">
        <w:rPr>
          <w:rFonts w:ascii="Times New Roman" w:hAnsi="Times New Roman"/>
          <w:bCs/>
          <w:color w:val="000000" w:themeColor="text1"/>
          <w:sz w:val="20"/>
          <w:szCs w:val="20"/>
        </w:rPr>
        <w:t>Bennetto-Hood</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C</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Tabolt</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G</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Savina</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P</w:t>
      </w:r>
      <w:r>
        <w:rPr>
          <w:rFonts w:ascii="Times New Roman" w:hAnsi="Times New Roman"/>
          <w:bCs/>
          <w:color w:val="000000" w:themeColor="text1"/>
          <w:sz w:val="20"/>
          <w:szCs w:val="20"/>
        </w:rPr>
        <w:t>. and</w:t>
      </w:r>
      <w:r w:rsidRPr="00B24C7C">
        <w:rPr>
          <w:rFonts w:ascii="Times New Roman" w:hAnsi="Times New Roman"/>
          <w:bCs/>
          <w:color w:val="000000" w:themeColor="text1"/>
          <w:sz w:val="20"/>
          <w:szCs w:val="20"/>
        </w:rPr>
        <w:t xml:space="preserve"> Acos</w:t>
      </w:r>
      <w:r>
        <w:rPr>
          <w:rFonts w:ascii="Times New Roman" w:hAnsi="Times New Roman"/>
          <w:bCs/>
          <w:color w:val="000000" w:themeColor="text1"/>
          <w:sz w:val="20"/>
          <w:szCs w:val="20"/>
        </w:rPr>
        <w:t>ta, E. P. (2014).</w:t>
      </w:r>
      <w:r w:rsidRPr="00B24C7C">
        <w:rPr>
          <w:rFonts w:ascii="Times New Roman" w:hAnsi="Times New Roman"/>
          <w:bCs/>
          <w:color w:val="000000" w:themeColor="text1"/>
          <w:sz w:val="20"/>
          <w:szCs w:val="20"/>
        </w:rPr>
        <w:t xml:space="preserve"> A sensitive HPLC-MS/MS method for the determination of dolutegravir in human plasma. </w:t>
      </w:r>
      <w:r w:rsidRPr="00E973E9">
        <w:rPr>
          <w:rFonts w:ascii="Times New Roman" w:hAnsi="Times New Roman"/>
          <w:bCs/>
          <w:i/>
          <w:color w:val="000000" w:themeColor="text1"/>
          <w:sz w:val="20"/>
          <w:szCs w:val="20"/>
        </w:rPr>
        <w:t>Journal of Chromatography B- Analytical Technologies in the Biomedical and Life Sciences</w:t>
      </w:r>
      <w:r>
        <w:rPr>
          <w:rFonts w:ascii="Times New Roman" w:hAnsi="Times New Roman"/>
          <w:bCs/>
          <w:i/>
          <w:color w:val="000000" w:themeColor="text1"/>
          <w:sz w:val="20"/>
          <w:szCs w:val="20"/>
        </w:rPr>
        <w:t>,</w:t>
      </w:r>
      <w:r w:rsidRPr="00E973E9">
        <w:rPr>
          <w:rFonts w:ascii="Times New Roman" w:hAnsi="Times New Roman"/>
          <w:bCs/>
          <w:i/>
          <w:color w:val="000000" w:themeColor="text1"/>
          <w:sz w:val="20"/>
          <w:szCs w:val="20"/>
        </w:rPr>
        <w:t xml:space="preserve"> </w:t>
      </w:r>
      <w:r>
        <w:rPr>
          <w:rFonts w:ascii="Times New Roman" w:hAnsi="Times New Roman"/>
          <w:bCs/>
          <w:color w:val="000000" w:themeColor="text1"/>
          <w:sz w:val="20"/>
          <w:szCs w:val="20"/>
        </w:rPr>
        <w:t xml:space="preserve">945 – </w:t>
      </w:r>
      <w:r w:rsidRPr="003949F3">
        <w:rPr>
          <w:rFonts w:ascii="Times New Roman" w:hAnsi="Times New Roman"/>
          <w:bCs/>
          <w:color w:val="000000" w:themeColor="text1"/>
          <w:sz w:val="20"/>
          <w:szCs w:val="20"/>
        </w:rPr>
        <w:t xml:space="preserve">946: 225 - 232. </w:t>
      </w:r>
    </w:p>
    <w:p w:rsidR="00507490" w:rsidRPr="00B24C7C" w:rsidRDefault="00507490" w:rsidP="00507490">
      <w:pPr>
        <w:pStyle w:val="ListParagraph"/>
        <w:numPr>
          <w:ilvl w:val="0"/>
          <w:numId w:val="2"/>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B24C7C">
        <w:rPr>
          <w:rFonts w:ascii="Times New Roman" w:hAnsi="Times New Roman"/>
          <w:bCs/>
          <w:color w:val="000000" w:themeColor="text1"/>
          <w:sz w:val="20"/>
          <w:szCs w:val="20"/>
        </w:rPr>
        <w:t>Grégoirea</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M</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Deslandesa</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G</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Renauda</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C</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Bouquiéa</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R</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A</w:t>
      </w:r>
      <w:r>
        <w:rPr>
          <w:rFonts w:ascii="Times New Roman" w:hAnsi="Times New Roman"/>
          <w:bCs/>
          <w:color w:val="000000" w:themeColor="text1"/>
          <w:sz w:val="20"/>
          <w:szCs w:val="20"/>
        </w:rPr>
        <w:t xml:space="preserve">llaenac, C., Raffic, F., Jollieta, P. and Dailly E. </w:t>
      </w:r>
      <w:r w:rsidRPr="00B24C7C">
        <w:rPr>
          <w:rFonts w:ascii="Times New Roman" w:hAnsi="Times New Roman"/>
          <w:bCs/>
          <w:color w:val="000000" w:themeColor="text1"/>
          <w:sz w:val="20"/>
          <w:szCs w:val="20"/>
        </w:rPr>
        <w:t>(2014), A liquid chromatography–tandem mass spectrometry assay for quantification of rilpivirine and dolutegravir in human plasma</w:t>
      </w:r>
      <w:r>
        <w:rPr>
          <w:rFonts w:ascii="Times New Roman" w:hAnsi="Times New Roman"/>
          <w:bCs/>
          <w:color w:val="000000" w:themeColor="text1"/>
          <w:sz w:val="20"/>
          <w:szCs w:val="20"/>
        </w:rPr>
        <w:t>.</w:t>
      </w:r>
      <w:r w:rsidRPr="00B24C7C">
        <w:rPr>
          <w:rFonts w:ascii="Times New Roman" w:hAnsi="Times New Roman"/>
          <w:bCs/>
          <w:color w:val="000000" w:themeColor="text1"/>
          <w:sz w:val="20"/>
          <w:szCs w:val="20"/>
        </w:rPr>
        <w:t xml:space="preserve"> </w:t>
      </w:r>
      <w:r w:rsidRPr="00E973E9">
        <w:rPr>
          <w:rFonts w:ascii="Times New Roman" w:hAnsi="Times New Roman"/>
          <w:bCs/>
          <w:i/>
          <w:color w:val="000000" w:themeColor="text1"/>
          <w:sz w:val="20"/>
          <w:szCs w:val="20"/>
        </w:rPr>
        <w:t>Journal of Chromatography B- Analytical Technologies in the Biomedical and Life Sciences</w:t>
      </w:r>
      <w:r>
        <w:rPr>
          <w:rFonts w:ascii="Times New Roman" w:hAnsi="Times New Roman"/>
          <w:bCs/>
          <w:i/>
          <w:color w:val="000000" w:themeColor="text1"/>
          <w:sz w:val="20"/>
          <w:szCs w:val="20"/>
        </w:rPr>
        <w:t xml:space="preserve">, </w:t>
      </w:r>
      <w:r w:rsidRPr="003949F3">
        <w:rPr>
          <w:rFonts w:ascii="Times New Roman" w:hAnsi="Times New Roman"/>
          <w:bCs/>
          <w:color w:val="000000" w:themeColor="text1"/>
          <w:sz w:val="20"/>
          <w:szCs w:val="20"/>
        </w:rPr>
        <w:t>971:</w:t>
      </w:r>
      <w:r w:rsidRPr="00B24C7C">
        <w:rPr>
          <w:rFonts w:ascii="Times New Roman" w:hAnsi="Times New Roman"/>
          <w:bCs/>
          <w:color w:val="000000" w:themeColor="text1"/>
          <w:sz w:val="20"/>
          <w:szCs w:val="20"/>
        </w:rPr>
        <w:t xml:space="preserve"> 1</w:t>
      </w:r>
      <w:r>
        <w:rPr>
          <w:rFonts w:ascii="Times New Roman" w:hAnsi="Times New Roman"/>
          <w:bCs/>
          <w:color w:val="000000" w:themeColor="text1"/>
          <w:sz w:val="20"/>
          <w:szCs w:val="20"/>
        </w:rPr>
        <w:t xml:space="preserve"> </w:t>
      </w:r>
      <w:r w:rsidRPr="00B24C7C">
        <w:rPr>
          <w:rFonts w:ascii="Times New Roman" w:hAnsi="Times New Roman"/>
          <w:bCs/>
          <w:color w:val="000000" w:themeColor="text1"/>
          <w:sz w:val="20"/>
          <w:szCs w:val="20"/>
        </w:rPr>
        <w:t>–</w:t>
      </w:r>
      <w:r>
        <w:rPr>
          <w:rFonts w:ascii="Times New Roman" w:hAnsi="Times New Roman"/>
          <w:bCs/>
          <w:color w:val="000000" w:themeColor="text1"/>
          <w:sz w:val="20"/>
          <w:szCs w:val="20"/>
        </w:rPr>
        <w:t xml:space="preserve"> </w:t>
      </w:r>
      <w:r w:rsidRPr="00B24C7C">
        <w:rPr>
          <w:rFonts w:ascii="Times New Roman" w:hAnsi="Times New Roman"/>
          <w:bCs/>
          <w:color w:val="000000" w:themeColor="text1"/>
          <w:sz w:val="20"/>
          <w:szCs w:val="20"/>
        </w:rPr>
        <w:t>9.</w:t>
      </w:r>
    </w:p>
    <w:p w:rsidR="00507490" w:rsidRPr="00B24C7C" w:rsidRDefault="00507490" w:rsidP="00507490">
      <w:pPr>
        <w:pStyle w:val="ListParagraph"/>
        <w:numPr>
          <w:ilvl w:val="0"/>
          <w:numId w:val="2"/>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B24C7C">
        <w:rPr>
          <w:rFonts w:ascii="Times New Roman" w:hAnsi="Times New Roman"/>
          <w:bCs/>
          <w:color w:val="000000" w:themeColor="text1"/>
          <w:sz w:val="20"/>
          <w:szCs w:val="20"/>
        </w:rPr>
        <w:t xml:space="preserve">International Conference on Harmonisation. ICH. (2005). ICH – Q2 (R1): Guideline on Validation of Analytical Procedure: Text and Methodology. </w:t>
      </w:r>
    </w:p>
    <w:p w:rsidR="00507490" w:rsidRPr="00B24C7C" w:rsidRDefault="00507490" w:rsidP="00507490">
      <w:pPr>
        <w:pStyle w:val="ListParagraph"/>
        <w:numPr>
          <w:ilvl w:val="0"/>
          <w:numId w:val="2"/>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B24C7C">
        <w:rPr>
          <w:rFonts w:ascii="Times New Roman" w:hAnsi="Times New Roman"/>
          <w:bCs/>
          <w:color w:val="000000" w:themeColor="text1"/>
          <w:sz w:val="20"/>
          <w:szCs w:val="20"/>
        </w:rPr>
        <w:t>International Conference on Harmonization, ICH. (2003). Q1A(</w:t>
      </w:r>
      <w:r>
        <w:rPr>
          <w:rFonts w:ascii="Times New Roman" w:hAnsi="Times New Roman"/>
          <w:bCs/>
          <w:color w:val="000000" w:themeColor="text1"/>
          <w:sz w:val="20"/>
          <w:szCs w:val="20"/>
        </w:rPr>
        <w:t xml:space="preserve"> </w:t>
      </w:r>
      <w:r w:rsidRPr="00B24C7C">
        <w:rPr>
          <w:rFonts w:ascii="Times New Roman" w:hAnsi="Times New Roman"/>
          <w:bCs/>
          <w:color w:val="000000" w:themeColor="text1"/>
          <w:sz w:val="20"/>
          <w:szCs w:val="20"/>
        </w:rPr>
        <w:t xml:space="preserve">R2): Stability testing of new drug substances and products. </w:t>
      </w:r>
    </w:p>
    <w:p w:rsidR="00507490" w:rsidRPr="00B24C7C" w:rsidRDefault="00507490" w:rsidP="00507490">
      <w:pPr>
        <w:pStyle w:val="ListParagraph"/>
        <w:numPr>
          <w:ilvl w:val="0"/>
          <w:numId w:val="2"/>
        </w:numPr>
        <w:tabs>
          <w:tab w:val="left" w:pos="1393"/>
          <w:tab w:val="left" w:pos="2949"/>
        </w:tabs>
        <w:autoSpaceDE w:val="0"/>
        <w:autoSpaceDN w:val="0"/>
        <w:adjustRightInd w:val="0"/>
        <w:spacing w:after="0" w:line="240" w:lineRule="auto"/>
        <w:ind w:left="360"/>
        <w:jc w:val="both"/>
        <w:rPr>
          <w:rFonts w:ascii="Times New Roman" w:hAnsi="Times New Roman"/>
          <w:bCs/>
          <w:color w:val="000000" w:themeColor="text1"/>
          <w:sz w:val="20"/>
          <w:szCs w:val="20"/>
        </w:rPr>
      </w:pPr>
      <w:r w:rsidRPr="00B24C7C">
        <w:rPr>
          <w:rFonts w:ascii="Times New Roman" w:hAnsi="Times New Roman"/>
          <w:bCs/>
          <w:color w:val="000000" w:themeColor="text1"/>
          <w:sz w:val="20"/>
          <w:szCs w:val="20"/>
        </w:rPr>
        <w:t>International Conference on Harmonization, ICH (2003). Q2</w:t>
      </w:r>
      <w:r>
        <w:rPr>
          <w:rFonts w:ascii="Times New Roman" w:hAnsi="Times New Roman"/>
          <w:bCs/>
          <w:color w:val="000000" w:themeColor="text1"/>
          <w:sz w:val="20"/>
          <w:szCs w:val="20"/>
        </w:rPr>
        <w:t xml:space="preserve"> </w:t>
      </w:r>
      <w:r w:rsidRPr="00B24C7C">
        <w:rPr>
          <w:rFonts w:ascii="Times New Roman" w:hAnsi="Times New Roman"/>
          <w:bCs/>
          <w:color w:val="000000" w:themeColor="text1"/>
          <w:sz w:val="20"/>
          <w:szCs w:val="20"/>
        </w:rPr>
        <w:t xml:space="preserve">(R1): Validation of analytical procedures: test and methodology. </w:t>
      </w:r>
    </w:p>
    <w:p w:rsidR="00A74A7E" w:rsidRDefault="00A74A7E" w:rsidP="00507490">
      <w:pPr>
        <w:spacing w:after="0" w:line="240" w:lineRule="auto"/>
        <w:ind w:left="360" w:hanging="360"/>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844C72">
      <w:headerReference w:type="even" r:id="rId18"/>
      <w:headerReference w:type="default" r:id="rId19"/>
      <w:footerReference w:type="even" r:id="rId20"/>
      <w:footerReference w:type="default" r:id="rId21"/>
      <w:pgSz w:w="12240" w:h="15840" w:code="1"/>
      <w:pgMar w:top="1800" w:right="1469" w:bottom="1699" w:left="1440" w:header="706" w:footer="706" w:gutter="0"/>
      <w:pgNumType w:start="115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13929">
          <w:rPr>
            <w:rFonts w:ascii="Times New Roman" w:hAnsi="Times New Roman"/>
            <w:noProof/>
          </w:rPr>
          <w:t>1158</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13929">
          <w:rPr>
            <w:rFonts w:ascii="Times New Roman" w:hAnsi="Times New Roman"/>
            <w:noProof/>
          </w:rPr>
          <w:t>1159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C0756D">
      <w:rPr>
        <w:rFonts w:ascii="Times New Roman" w:hAnsi="Times New Roman"/>
        <w:i/>
        <w:lang w:val="en-US"/>
      </w:rPr>
      <w:t>No 6</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844C72">
      <w:rPr>
        <w:rFonts w:ascii="Times New Roman" w:hAnsi="Times New Roman"/>
        <w:i/>
        <w:lang w:val="en-US"/>
      </w:rPr>
      <w:t>1156  - 1163</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490" w:rsidRPr="00507490" w:rsidRDefault="00507490" w:rsidP="00507490">
    <w:pPr>
      <w:widowControl w:val="0"/>
      <w:wordWrap w:val="0"/>
      <w:autoSpaceDE w:val="0"/>
      <w:autoSpaceDN w:val="0"/>
      <w:spacing w:after="0" w:line="240" w:lineRule="auto"/>
      <w:ind w:left="1440" w:hanging="1440"/>
      <w:outlineLvl w:val="0"/>
      <w:rPr>
        <w:rFonts w:ascii="Times New Roman" w:hAnsi="Times New Roman"/>
        <w:kern w:val="2"/>
        <w:sz w:val="20"/>
        <w:szCs w:val="20"/>
        <w:lang w:eastAsia="ko-KR"/>
      </w:rPr>
    </w:pPr>
    <w:r>
      <w:rPr>
        <w:rFonts w:ascii="Times New Roman" w:hAnsi="Times New Roman"/>
        <w:sz w:val="20"/>
        <w:szCs w:val="20"/>
      </w:rPr>
      <w:t>Balasaheb et al</w:t>
    </w:r>
    <w:r w:rsidR="008E6968" w:rsidRPr="00507490">
      <w:rPr>
        <w:rFonts w:ascii="Times New Roman" w:hAnsi="Times New Roman"/>
        <w:sz w:val="20"/>
        <w:szCs w:val="20"/>
      </w:rPr>
      <w:t xml:space="preserve">:  </w:t>
    </w:r>
    <w:r>
      <w:rPr>
        <w:rFonts w:ascii="Times New Roman" w:hAnsi="Times New Roman"/>
        <w:sz w:val="20"/>
        <w:szCs w:val="20"/>
      </w:rPr>
      <w:tab/>
    </w:r>
    <w:r w:rsidRPr="00507490">
      <w:rPr>
        <w:rFonts w:ascii="Times New Roman" w:hAnsi="Times New Roman"/>
        <w:kern w:val="2"/>
        <w:sz w:val="20"/>
        <w:szCs w:val="20"/>
        <w:lang w:eastAsia="ko-KR"/>
      </w:rPr>
      <w:t>DEVELOPMENT AND VALIDATION OF UV SPECTROPHOTOMETRIC METHOD FOR ESTIMATION OF DOLUTEGRAVIR SODIUM IN TABLET DOSAGE FORM</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41732"/>
    <w:multiLevelType w:val="hybridMultilevel"/>
    <w:tmpl w:val="3E049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17BCD"/>
    <w:rsid w:val="001D035A"/>
    <w:rsid w:val="001D3855"/>
    <w:rsid w:val="001D6F2C"/>
    <w:rsid w:val="002B188F"/>
    <w:rsid w:val="002B3BD8"/>
    <w:rsid w:val="002F3F91"/>
    <w:rsid w:val="00304767"/>
    <w:rsid w:val="00304B34"/>
    <w:rsid w:val="00361BAF"/>
    <w:rsid w:val="00367D1F"/>
    <w:rsid w:val="00383F26"/>
    <w:rsid w:val="003D585B"/>
    <w:rsid w:val="003D76BB"/>
    <w:rsid w:val="003E7DA6"/>
    <w:rsid w:val="003F12FF"/>
    <w:rsid w:val="004760D4"/>
    <w:rsid w:val="00494C46"/>
    <w:rsid w:val="004B43FF"/>
    <w:rsid w:val="00502641"/>
    <w:rsid w:val="00507490"/>
    <w:rsid w:val="005C6768"/>
    <w:rsid w:val="00634C25"/>
    <w:rsid w:val="006416AB"/>
    <w:rsid w:val="006768E9"/>
    <w:rsid w:val="00687982"/>
    <w:rsid w:val="006B3EC8"/>
    <w:rsid w:val="006D695E"/>
    <w:rsid w:val="00725A6A"/>
    <w:rsid w:val="007943F3"/>
    <w:rsid w:val="007A738C"/>
    <w:rsid w:val="007B1349"/>
    <w:rsid w:val="007E25BD"/>
    <w:rsid w:val="00802C35"/>
    <w:rsid w:val="0082181A"/>
    <w:rsid w:val="00844C72"/>
    <w:rsid w:val="008B470E"/>
    <w:rsid w:val="008E1211"/>
    <w:rsid w:val="008E5BBF"/>
    <w:rsid w:val="008E6968"/>
    <w:rsid w:val="00913929"/>
    <w:rsid w:val="00946477"/>
    <w:rsid w:val="00970B44"/>
    <w:rsid w:val="00A14DB9"/>
    <w:rsid w:val="00A4762A"/>
    <w:rsid w:val="00A74A7E"/>
    <w:rsid w:val="00AD1B8A"/>
    <w:rsid w:val="00AE713F"/>
    <w:rsid w:val="00B1121C"/>
    <w:rsid w:val="00B25B65"/>
    <w:rsid w:val="00B2770A"/>
    <w:rsid w:val="00B314AD"/>
    <w:rsid w:val="00B75BF6"/>
    <w:rsid w:val="00B91A34"/>
    <w:rsid w:val="00BA1F7B"/>
    <w:rsid w:val="00BB58AF"/>
    <w:rsid w:val="00BE7C30"/>
    <w:rsid w:val="00C055BF"/>
    <w:rsid w:val="00C0756D"/>
    <w:rsid w:val="00C2226A"/>
    <w:rsid w:val="00C94D92"/>
    <w:rsid w:val="00C97340"/>
    <w:rsid w:val="00CA513F"/>
    <w:rsid w:val="00CF05FF"/>
    <w:rsid w:val="00D340BB"/>
    <w:rsid w:val="00D505D5"/>
    <w:rsid w:val="00D75B35"/>
    <w:rsid w:val="00D76E09"/>
    <w:rsid w:val="00D9736F"/>
    <w:rsid w:val="00D9792A"/>
    <w:rsid w:val="00DD377F"/>
    <w:rsid w:val="00E25547"/>
    <w:rsid w:val="00E3287E"/>
    <w:rsid w:val="00E34388"/>
    <w:rsid w:val="00E66197"/>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E34388"/>
    <w:pPr>
      <w:jc w:val="center"/>
    </w:pPr>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5074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E34388"/>
    <w:pPr>
      <w:jc w:val="center"/>
    </w:pPr>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507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newshowcontent('active','referenc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javascript:newshowcontent('active','references');"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rijabhavar@gmail.com"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G:\Girija-JNTU%20thesis%2023-06-2015\final%20calculations%2021-06-2015\dolutegravir%20UV%20-%2001-06-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71548117154865"/>
          <c:y val="5.2240137103248929E-2"/>
          <c:w val="0.80365411436541245"/>
          <c:h val="0.67245434036262952"/>
        </c:manualLayout>
      </c:layout>
      <c:scatterChart>
        <c:scatterStyle val="smoothMarker"/>
        <c:varyColors val="0"/>
        <c:ser>
          <c:idx val="0"/>
          <c:order val="0"/>
          <c:trendline>
            <c:trendlineType val="linear"/>
            <c:dispRSqr val="0"/>
            <c:dispEq val="0"/>
          </c:trendline>
          <c:trendline>
            <c:spPr>
              <a:ln>
                <a:solidFill>
                  <a:schemeClr val="tx1"/>
                </a:solidFill>
              </a:ln>
            </c:spPr>
            <c:trendlineType val="linear"/>
            <c:dispRSqr val="1"/>
            <c:dispEq val="1"/>
            <c:trendlineLbl>
              <c:layout>
                <c:manualLayout>
                  <c:x val="-0.23408092738407688"/>
                  <c:y val="-1.3390201224846901E-2"/>
                </c:manualLayout>
              </c:layout>
              <c:numFmt formatCode="#,##0.0000" sourceLinked="0"/>
              <c:txPr>
                <a:bodyPr/>
                <a:lstStyle/>
                <a:p>
                  <a:pPr>
                    <a:defRPr lang="en-US"/>
                  </a:pPr>
                  <a:endParaRPr lang="en-US"/>
                </a:p>
              </c:txPr>
            </c:trendlineLbl>
          </c:trendline>
          <c:xVal>
            <c:numRef>
              <c:f>Sheet1!$A$2:$A$9</c:f>
              <c:numCache>
                <c:formatCode>General</c:formatCode>
                <c:ptCount val="8"/>
                <c:pt idx="0">
                  <c:v>5</c:v>
                </c:pt>
                <c:pt idx="1">
                  <c:v>10</c:v>
                </c:pt>
                <c:pt idx="2">
                  <c:v>15</c:v>
                </c:pt>
                <c:pt idx="3">
                  <c:v>20</c:v>
                </c:pt>
                <c:pt idx="4">
                  <c:v>25</c:v>
                </c:pt>
                <c:pt idx="5">
                  <c:v>30</c:v>
                </c:pt>
                <c:pt idx="6">
                  <c:v>35</c:v>
                </c:pt>
                <c:pt idx="7">
                  <c:v>40</c:v>
                </c:pt>
              </c:numCache>
            </c:numRef>
          </c:xVal>
          <c:yVal>
            <c:numRef>
              <c:f>Sheet1!$B$2:$B$9</c:f>
              <c:numCache>
                <c:formatCode>General</c:formatCode>
                <c:ptCount val="8"/>
                <c:pt idx="0">
                  <c:v>0.31300000000000061</c:v>
                </c:pt>
                <c:pt idx="1">
                  <c:v>0.54400000000000004</c:v>
                </c:pt>
                <c:pt idx="2">
                  <c:v>0.80500000000000005</c:v>
                </c:pt>
                <c:pt idx="3">
                  <c:v>1.0549999999999975</c:v>
                </c:pt>
                <c:pt idx="4">
                  <c:v>1.3280000000000001</c:v>
                </c:pt>
                <c:pt idx="5">
                  <c:v>1.577</c:v>
                </c:pt>
                <c:pt idx="6">
                  <c:v>1.821</c:v>
                </c:pt>
                <c:pt idx="7">
                  <c:v>2.1319999999999997</c:v>
                </c:pt>
              </c:numCache>
            </c:numRef>
          </c:yVal>
          <c:smooth val="1"/>
        </c:ser>
        <c:dLbls>
          <c:showLegendKey val="0"/>
          <c:showVal val="0"/>
          <c:showCatName val="0"/>
          <c:showSerName val="0"/>
          <c:showPercent val="0"/>
          <c:showBubbleSize val="0"/>
        </c:dLbls>
        <c:axId val="49909760"/>
        <c:axId val="49911680"/>
      </c:scatterChart>
      <c:valAx>
        <c:axId val="49909760"/>
        <c:scaling>
          <c:orientation val="minMax"/>
        </c:scaling>
        <c:delete val="0"/>
        <c:axPos val="b"/>
        <c:title>
          <c:tx>
            <c:rich>
              <a:bodyPr/>
              <a:lstStyle/>
              <a:p>
                <a:pPr>
                  <a:defRPr lang="en-US"/>
                </a:pPr>
                <a:r>
                  <a:rPr lang="en-US"/>
                  <a:t>Concentration (µg/mL)</a:t>
                </a:r>
              </a:p>
            </c:rich>
          </c:tx>
          <c:layout/>
          <c:overlay val="0"/>
        </c:title>
        <c:numFmt formatCode="General" sourceLinked="1"/>
        <c:majorTickMark val="out"/>
        <c:minorTickMark val="none"/>
        <c:tickLblPos val="nextTo"/>
        <c:txPr>
          <a:bodyPr/>
          <a:lstStyle/>
          <a:p>
            <a:pPr>
              <a:defRPr lang="en-US"/>
            </a:pPr>
            <a:endParaRPr lang="en-US"/>
          </a:p>
        </c:txPr>
        <c:crossAx val="49911680"/>
        <c:crosses val="autoZero"/>
        <c:crossBetween val="midCat"/>
      </c:valAx>
      <c:valAx>
        <c:axId val="49911680"/>
        <c:scaling>
          <c:orientation val="minMax"/>
        </c:scaling>
        <c:delete val="0"/>
        <c:axPos val="l"/>
        <c:title>
          <c:tx>
            <c:rich>
              <a:bodyPr rot="0" vert="wordArtVert"/>
              <a:lstStyle/>
              <a:p>
                <a:pPr>
                  <a:defRPr lang="en-US"/>
                </a:pPr>
                <a:r>
                  <a:rPr lang="en-US"/>
                  <a:t>Absorbance</a:t>
                </a:r>
              </a:p>
            </c:rich>
          </c:tx>
          <c:layout/>
          <c:overlay val="0"/>
        </c:title>
        <c:numFmt formatCode="General" sourceLinked="1"/>
        <c:majorTickMark val="out"/>
        <c:minorTickMark val="none"/>
        <c:tickLblPos val="nextTo"/>
        <c:txPr>
          <a:bodyPr/>
          <a:lstStyle/>
          <a:p>
            <a:pPr>
              <a:defRPr lang="en-US"/>
            </a:pPr>
            <a:endParaRPr lang="en-US"/>
          </a:p>
        </c:txPr>
        <c:crossAx val="49909760"/>
        <c:crosses val="autoZero"/>
        <c:crossBetween val="midCat"/>
      </c:valAx>
    </c:plotArea>
    <c:plotVisOnly val="1"/>
    <c:dispBlanksAs val="gap"/>
    <c:showDLblsOverMax val="0"/>
  </c:chart>
  <c:spPr>
    <a:noFill/>
    <a:ln w="0">
      <a:no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C1687-C6A2-4CA4-8106-76C84498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2704</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user</cp:lastModifiedBy>
  <cp:revision>5</cp:revision>
  <cp:lastPrinted>2015-11-16T02:30:00Z</cp:lastPrinted>
  <dcterms:created xsi:type="dcterms:W3CDTF">2015-11-16T01:48:00Z</dcterms:created>
  <dcterms:modified xsi:type="dcterms:W3CDTF">2015-12-13T03:20:00Z</dcterms:modified>
</cp:coreProperties>
</file>