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2.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drawings/drawing4.xml" ContentType="application/vnd.openxmlformats-officedocument.drawingml.chartshapes+xml"/>
  <Override PartName="/word/charts/chart10.xml" ContentType="application/vnd.openxmlformats-officedocument.drawingml.chart+xml"/>
  <Override PartName="/word/drawings/drawing5.xml" ContentType="application/vnd.openxmlformats-officedocument.drawingml.chartshapes+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097F95"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2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2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097F95"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yrLrQIAALo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O7yrLrQIAALo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3D1DC1" w:rsidRPr="004C58D7" w:rsidRDefault="003D1DC1" w:rsidP="003D1DC1">
      <w:pPr>
        <w:spacing w:after="0" w:line="240" w:lineRule="auto"/>
        <w:jc w:val="center"/>
        <w:rPr>
          <w:rFonts w:ascii="Times New Roman" w:hAnsi="Times New Roman"/>
          <w:color w:val="000000"/>
          <w:sz w:val="28"/>
          <w:szCs w:val="28"/>
        </w:rPr>
      </w:pPr>
      <w:r w:rsidRPr="004C58D7">
        <w:rPr>
          <w:rFonts w:ascii="Times New Roman" w:hAnsi="Times New Roman"/>
          <w:color w:val="000000"/>
          <w:sz w:val="28"/>
          <w:szCs w:val="28"/>
        </w:rPr>
        <w:t>THE INFLUENCE OF TIDAL ACTIVITIES ON WATER QUALITY OF PAKA RIVER TERENGGANU,</w:t>
      </w:r>
      <w:r w:rsidR="006B5278">
        <w:rPr>
          <w:rFonts w:ascii="Times New Roman" w:hAnsi="Times New Roman"/>
          <w:color w:val="000000"/>
          <w:sz w:val="28"/>
          <w:szCs w:val="28"/>
        </w:rPr>
        <w:t xml:space="preserve"> </w:t>
      </w:r>
      <w:r w:rsidRPr="004C58D7">
        <w:rPr>
          <w:rFonts w:ascii="Times New Roman" w:hAnsi="Times New Roman"/>
          <w:color w:val="000000"/>
          <w:sz w:val="28"/>
          <w:szCs w:val="28"/>
        </w:rPr>
        <w:t>MALAYSIA</w:t>
      </w:r>
    </w:p>
    <w:p w:rsidR="006768E9" w:rsidRPr="00F447A7" w:rsidRDefault="006768E9" w:rsidP="003D1DC1">
      <w:pPr>
        <w:spacing w:after="0" w:line="240" w:lineRule="auto"/>
        <w:jc w:val="center"/>
        <w:rPr>
          <w:rFonts w:ascii="Times New Roman" w:hAnsi="Times New Roman"/>
          <w:noProof/>
          <w:sz w:val="24"/>
          <w:szCs w:val="24"/>
          <w:lang w:bidi="ar-SA"/>
        </w:rPr>
      </w:pPr>
    </w:p>
    <w:p w:rsidR="003D1DC1" w:rsidRDefault="003D1DC1" w:rsidP="003D1D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212121"/>
          <w:sz w:val="24"/>
          <w:szCs w:val="24"/>
          <w:lang w:eastAsia="ms-MY"/>
        </w:rPr>
      </w:pPr>
      <w:r w:rsidRPr="00450991">
        <w:rPr>
          <w:rFonts w:ascii="Times New Roman" w:hAnsi="Times New Roman"/>
          <w:color w:val="212121"/>
          <w:sz w:val="24"/>
          <w:szCs w:val="24"/>
          <w:lang w:eastAsia="ms-MY"/>
        </w:rPr>
        <w:t>(Pengaruh Aktiviti Pasang S</w:t>
      </w:r>
      <w:r>
        <w:rPr>
          <w:rFonts w:ascii="Times New Roman" w:hAnsi="Times New Roman"/>
          <w:color w:val="212121"/>
          <w:sz w:val="24"/>
          <w:szCs w:val="24"/>
          <w:lang w:eastAsia="ms-MY"/>
        </w:rPr>
        <w:t>urut Kepada Kualiti Air Sungai Paka Terengganu, M</w:t>
      </w:r>
      <w:r w:rsidRPr="00450991">
        <w:rPr>
          <w:rFonts w:ascii="Times New Roman" w:hAnsi="Times New Roman"/>
          <w:color w:val="212121"/>
          <w:sz w:val="24"/>
          <w:szCs w:val="24"/>
          <w:lang w:eastAsia="ms-MY"/>
        </w:rPr>
        <w:t>alaysia)</w:t>
      </w:r>
    </w:p>
    <w:p w:rsidR="00F83777" w:rsidRPr="00F83777" w:rsidRDefault="00F83777" w:rsidP="003D1DC1">
      <w:pPr>
        <w:spacing w:after="0" w:line="240" w:lineRule="auto"/>
        <w:jc w:val="center"/>
        <w:rPr>
          <w:rFonts w:ascii="Times New Roman" w:hAnsi="Times New Roman"/>
          <w:noProof/>
          <w:sz w:val="20"/>
          <w:szCs w:val="20"/>
          <w:lang w:bidi="ar-SA"/>
        </w:rPr>
      </w:pPr>
    </w:p>
    <w:p w:rsidR="006768E9" w:rsidRPr="00F83777" w:rsidRDefault="00F83777" w:rsidP="003D1DC1">
      <w:pPr>
        <w:spacing w:after="0" w:line="240" w:lineRule="auto"/>
        <w:jc w:val="center"/>
        <w:rPr>
          <w:rFonts w:ascii="Times New Roman" w:hAnsi="Times New Roman"/>
          <w:sz w:val="20"/>
          <w:szCs w:val="20"/>
          <w:vertAlign w:val="superscript"/>
        </w:rPr>
      </w:pPr>
      <w:r w:rsidRPr="000F1119">
        <w:rPr>
          <w:rFonts w:ascii="Times New Roman" w:hAnsi="Times New Roman"/>
          <w:sz w:val="20"/>
          <w:szCs w:val="20"/>
        </w:rPr>
        <w:t>Mohd Ekhwan Toriman</w:t>
      </w:r>
      <w:r w:rsidRPr="000F1119">
        <w:rPr>
          <w:rFonts w:ascii="Times New Roman" w:hAnsi="Times New Roman"/>
          <w:sz w:val="20"/>
          <w:szCs w:val="20"/>
          <w:vertAlign w:val="superscript"/>
        </w:rPr>
        <w:t>1,2</w:t>
      </w:r>
      <w:r w:rsidRPr="000F1119">
        <w:rPr>
          <w:rFonts w:ascii="Times New Roman" w:hAnsi="Times New Roman"/>
          <w:sz w:val="20"/>
          <w:szCs w:val="20"/>
        </w:rPr>
        <w:t xml:space="preserve">, </w:t>
      </w:r>
      <w:r w:rsidR="002D709B" w:rsidRPr="00F00C0B">
        <w:rPr>
          <w:rFonts w:ascii="Times New Roman" w:hAnsi="Times New Roman"/>
          <w:sz w:val="20"/>
          <w:szCs w:val="20"/>
        </w:rPr>
        <w:t>Muhammad Barzani Gasim</w:t>
      </w:r>
      <w:r w:rsidRPr="00F83777">
        <w:rPr>
          <w:rFonts w:ascii="Times New Roman" w:hAnsi="Times New Roman"/>
          <w:sz w:val="20"/>
          <w:szCs w:val="20"/>
          <w:vertAlign w:val="superscript"/>
        </w:rPr>
        <w:t>1</w:t>
      </w:r>
      <w:r w:rsidR="002D709B" w:rsidRPr="00F00C0B">
        <w:rPr>
          <w:rFonts w:ascii="Times New Roman" w:hAnsi="Times New Roman"/>
          <w:sz w:val="20"/>
          <w:szCs w:val="20"/>
        </w:rPr>
        <w:t xml:space="preserve">*, </w:t>
      </w:r>
      <w:r w:rsidR="003D1DC1" w:rsidRPr="00F00C0B">
        <w:rPr>
          <w:rFonts w:ascii="Times New Roman" w:hAnsi="Times New Roman"/>
          <w:color w:val="131413"/>
          <w:sz w:val="20"/>
          <w:szCs w:val="20"/>
        </w:rPr>
        <w:t>Haniff Muhamad</w:t>
      </w:r>
      <w:r w:rsidRPr="00F83777">
        <w:rPr>
          <w:rFonts w:ascii="Times New Roman" w:hAnsi="Times New Roman"/>
          <w:color w:val="131413"/>
          <w:sz w:val="20"/>
          <w:szCs w:val="20"/>
          <w:vertAlign w:val="superscript"/>
        </w:rPr>
        <w:t>1</w:t>
      </w:r>
    </w:p>
    <w:p w:rsidR="00F83777" w:rsidRDefault="00F83777" w:rsidP="003D1DC1">
      <w:pPr>
        <w:widowControl w:val="0"/>
        <w:tabs>
          <w:tab w:val="left" w:pos="9090"/>
          <w:tab w:val="left" w:pos="9180"/>
        </w:tabs>
        <w:wordWrap w:val="0"/>
        <w:autoSpaceDE w:val="0"/>
        <w:autoSpaceDN w:val="0"/>
        <w:spacing w:after="0" w:line="240" w:lineRule="auto"/>
        <w:ind w:right="23"/>
        <w:jc w:val="center"/>
        <w:rPr>
          <w:rFonts w:ascii="Times New Roman" w:hAnsi="Times New Roman"/>
          <w:i/>
          <w:kern w:val="2"/>
          <w:sz w:val="18"/>
          <w:szCs w:val="18"/>
          <w:lang w:eastAsia="ko-KR"/>
        </w:rPr>
      </w:pPr>
    </w:p>
    <w:p w:rsidR="003D1DC1" w:rsidRDefault="00F83777" w:rsidP="003D1DC1">
      <w:pPr>
        <w:widowControl w:val="0"/>
        <w:tabs>
          <w:tab w:val="left" w:pos="9090"/>
          <w:tab w:val="left" w:pos="9180"/>
        </w:tabs>
        <w:wordWrap w:val="0"/>
        <w:autoSpaceDE w:val="0"/>
        <w:autoSpaceDN w:val="0"/>
        <w:spacing w:after="0" w:line="240" w:lineRule="auto"/>
        <w:ind w:right="23"/>
        <w:jc w:val="center"/>
        <w:rPr>
          <w:rFonts w:ascii="Times New Roman" w:hAnsi="Times New Roman"/>
          <w:i/>
          <w:kern w:val="2"/>
          <w:sz w:val="18"/>
          <w:szCs w:val="18"/>
          <w:lang w:eastAsia="ko-KR"/>
        </w:rPr>
      </w:pPr>
      <w:r w:rsidRPr="00F83777">
        <w:rPr>
          <w:rFonts w:ascii="Times New Roman" w:hAnsi="Times New Roman"/>
          <w:i/>
          <w:kern w:val="2"/>
          <w:sz w:val="18"/>
          <w:szCs w:val="18"/>
          <w:vertAlign w:val="superscript"/>
          <w:lang w:eastAsia="ko-KR"/>
        </w:rPr>
        <w:t>1</w:t>
      </w:r>
      <w:r w:rsidR="003D1DC1" w:rsidRPr="00AA73D6">
        <w:rPr>
          <w:rFonts w:ascii="Times New Roman" w:hAnsi="Times New Roman"/>
          <w:i/>
          <w:kern w:val="2"/>
          <w:sz w:val="18"/>
          <w:szCs w:val="18"/>
          <w:lang w:eastAsia="ko-KR"/>
        </w:rPr>
        <w:t xml:space="preserve">East Coast Environmental Research Institute (ESERI), </w:t>
      </w:r>
    </w:p>
    <w:p w:rsidR="003D1DC1" w:rsidRDefault="003D1DC1" w:rsidP="003D1DC1">
      <w:pPr>
        <w:widowControl w:val="0"/>
        <w:tabs>
          <w:tab w:val="left" w:pos="9090"/>
          <w:tab w:val="left" w:pos="9180"/>
        </w:tabs>
        <w:wordWrap w:val="0"/>
        <w:autoSpaceDE w:val="0"/>
        <w:autoSpaceDN w:val="0"/>
        <w:spacing w:after="0" w:line="240" w:lineRule="auto"/>
        <w:ind w:right="23"/>
        <w:jc w:val="center"/>
        <w:rPr>
          <w:rFonts w:ascii="Times New Roman" w:hAnsi="Times New Roman"/>
          <w:i/>
          <w:kern w:val="2"/>
          <w:sz w:val="18"/>
          <w:szCs w:val="18"/>
          <w:lang w:eastAsia="ko-KR"/>
        </w:rPr>
      </w:pPr>
      <w:r w:rsidRPr="00AA73D6">
        <w:rPr>
          <w:rFonts w:ascii="Times New Roman" w:hAnsi="Times New Roman"/>
          <w:i/>
          <w:kern w:val="2"/>
          <w:sz w:val="18"/>
          <w:szCs w:val="18"/>
          <w:lang w:eastAsia="ko-KR"/>
        </w:rPr>
        <w:t>Universiti Sultan Zaina</w:t>
      </w:r>
      <w:r w:rsidR="002D709B">
        <w:rPr>
          <w:rFonts w:ascii="Times New Roman" w:hAnsi="Times New Roman"/>
          <w:i/>
          <w:kern w:val="2"/>
          <w:sz w:val="18"/>
          <w:szCs w:val="18"/>
          <w:lang w:eastAsia="ko-KR"/>
        </w:rPr>
        <w:t>l Abidin, Gong Badak Campus, 21</w:t>
      </w:r>
      <w:r w:rsidRPr="00AA73D6">
        <w:rPr>
          <w:rFonts w:ascii="Times New Roman" w:hAnsi="Times New Roman"/>
          <w:i/>
          <w:kern w:val="2"/>
          <w:sz w:val="18"/>
          <w:szCs w:val="18"/>
          <w:lang w:eastAsia="ko-KR"/>
        </w:rPr>
        <w:t>3</w:t>
      </w:r>
      <w:r w:rsidR="002D709B">
        <w:rPr>
          <w:rFonts w:ascii="Times New Roman" w:hAnsi="Times New Roman"/>
          <w:i/>
          <w:kern w:val="2"/>
          <w:sz w:val="18"/>
          <w:szCs w:val="18"/>
          <w:lang w:eastAsia="ko-KR"/>
        </w:rPr>
        <w:t>0</w:t>
      </w:r>
      <w:r w:rsidRPr="00AA73D6">
        <w:rPr>
          <w:rFonts w:ascii="Times New Roman" w:hAnsi="Times New Roman"/>
          <w:i/>
          <w:kern w:val="2"/>
          <w:sz w:val="18"/>
          <w:szCs w:val="18"/>
          <w:lang w:eastAsia="ko-KR"/>
        </w:rPr>
        <w:t>0 Kuala Terengganu, Terengganu, Malaysia</w:t>
      </w:r>
    </w:p>
    <w:p w:rsidR="00F83777" w:rsidRDefault="00F83777" w:rsidP="00F83777">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2</w:t>
      </w:r>
      <w:r>
        <w:rPr>
          <w:rFonts w:ascii="Times New Roman" w:hAnsi="Times New Roman"/>
          <w:i/>
          <w:sz w:val="18"/>
          <w:szCs w:val="18"/>
        </w:rPr>
        <w:t xml:space="preserve">School  of Social, Development and Environmental Studies, Faculty of Social Sciences and Humanities, </w:t>
      </w:r>
      <w:bookmarkStart w:id="0" w:name="_GoBack"/>
      <w:bookmarkEnd w:id="0"/>
    </w:p>
    <w:p w:rsidR="00F83777" w:rsidRDefault="00F83777" w:rsidP="00F83777">
      <w:pPr>
        <w:spacing w:after="0" w:line="240" w:lineRule="auto"/>
        <w:jc w:val="center"/>
        <w:outlineLvl w:val="0"/>
        <w:rPr>
          <w:rFonts w:ascii="Times New Roman" w:hAnsi="Times New Roman"/>
          <w:i/>
          <w:sz w:val="18"/>
          <w:szCs w:val="18"/>
        </w:rPr>
      </w:pPr>
      <w:r>
        <w:rPr>
          <w:rFonts w:ascii="Times New Roman" w:hAnsi="Times New Roman"/>
          <w:i/>
          <w:sz w:val="18"/>
          <w:szCs w:val="18"/>
        </w:rPr>
        <w:t>Universiti Kebangsaan Malaysia, 43600 UKM Bangi, Selangor, Malaysia</w:t>
      </w:r>
    </w:p>
    <w:p w:rsidR="00F83777" w:rsidRPr="00AA73D6" w:rsidRDefault="00F83777" w:rsidP="003D1DC1">
      <w:pPr>
        <w:widowControl w:val="0"/>
        <w:tabs>
          <w:tab w:val="left" w:pos="9090"/>
          <w:tab w:val="left" w:pos="9180"/>
        </w:tabs>
        <w:wordWrap w:val="0"/>
        <w:autoSpaceDE w:val="0"/>
        <w:autoSpaceDN w:val="0"/>
        <w:spacing w:after="0" w:line="240" w:lineRule="auto"/>
        <w:ind w:right="23"/>
        <w:jc w:val="center"/>
        <w:rPr>
          <w:rFonts w:ascii="Times New Roman" w:hAnsi="Times New Roman"/>
          <w:i/>
          <w:kern w:val="2"/>
          <w:sz w:val="18"/>
          <w:szCs w:val="18"/>
          <w:lang w:eastAsia="ko-KR"/>
        </w:rPr>
      </w:pPr>
    </w:p>
    <w:p w:rsidR="006768E9" w:rsidRPr="002D709B" w:rsidRDefault="006768E9" w:rsidP="003D1DC1">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3D1DC1" w:rsidRPr="003D1DC1">
        <w:rPr>
          <w:rFonts w:ascii="Times New Roman" w:hAnsi="Times New Roman"/>
          <w:i/>
          <w:sz w:val="18"/>
          <w:szCs w:val="18"/>
        </w:rPr>
        <w:t>drbarzani@gmail.com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3D1DC1">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3D1DC1">
        <w:rPr>
          <w:rFonts w:ascii="Times New Roman" w:hAnsi="Times New Roman"/>
          <w:noProof/>
          <w:sz w:val="18"/>
          <w:szCs w:val="18"/>
          <w:lang w:bidi="ar-SA"/>
        </w:rPr>
        <w:t>9 July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3D1DC1" w:rsidRPr="00F00C0B" w:rsidRDefault="003D1DC1" w:rsidP="003D1D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18"/>
          <w:szCs w:val="18"/>
          <w:lang w:eastAsia="ms-MY"/>
        </w:rPr>
      </w:pPr>
      <w:r w:rsidRPr="00F00C0B">
        <w:rPr>
          <w:rFonts w:ascii="Times New Roman" w:hAnsi="Times New Roman"/>
          <w:color w:val="212121"/>
          <w:sz w:val="18"/>
          <w:szCs w:val="18"/>
          <w:lang w:eastAsia="ms-MY"/>
        </w:rPr>
        <w:t>A study to determine the water quality at seven stations was carried out on the Paka River, Terengganu between two tides. Sampling begins from the estuary of the Paka River, and ended about 14 km from the mouth by a distance 2 km for each station. Sampling was carried out between two tides (high and low tides) and within two variations of time representing the first sampling (wet period) and the second sampling (dries period). Water quality parameters such as temperature, dissolved oxygen, conductivity, salinity, pH and total dissolved solids (TDS) were measured directly in the field using multiparameter the YSI 556. Analysis of sodium, magnesium sulfate was carried out according to the APHA and HACH methods. Determination of primary data and physicochemical characteristics of the River Paka are measured and analyzed for each sampling station. Physicochemical parameters such as temperature, pH, dissolved oxygen, total dissolved solids, salinity, electrical conductivity, sodium, and magnesium sulphate concentration were used to determine its relationship of the movement of tides and other factors that affect water quality. Station 1 shows the highest reading physicochemical parameters than station 7 during the first and second samplings. The higher reading most of physicochemical parameters was also observed during the dry season, this is because the river flow from upstream was decline due to low rainfall intensity.</w:t>
      </w:r>
    </w:p>
    <w:p w:rsidR="003D1DC1" w:rsidRPr="00F00C0B" w:rsidRDefault="003D1DC1" w:rsidP="003D1D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hAnsi="inherit" w:cs="Courier New"/>
          <w:color w:val="212121"/>
          <w:sz w:val="18"/>
          <w:szCs w:val="18"/>
          <w:lang w:eastAsia="ms-MY"/>
        </w:rPr>
      </w:pPr>
    </w:p>
    <w:p w:rsidR="003D1DC1" w:rsidRPr="00F00C0B" w:rsidRDefault="003D1DC1" w:rsidP="003D1DC1">
      <w:pPr>
        <w:pStyle w:val="Default"/>
        <w:jc w:val="both"/>
        <w:rPr>
          <w:sz w:val="18"/>
          <w:szCs w:val="18"/>
        </w:rPr>
      </w:pPr>
      <w:r w:rsidRPr="00F00C0B">
        <w:rPr>
          <w:b/>
          <w:sz w:val="18"/>
          <w:szCs w:val="18"/>
        </w:rPr>
        <w:t>Keywords</w:t>
      </w:r>
      <w:r w:rsidRPr="00F00C0B">
        <w:rPr>
          <w:sz w:val="18"/>
          <w:szCs w:val="18"/>
        </w:rPr>
        <w:t>: Paka River</w:t>
      </w:r>
      <w:r>
        <w:rPr>
          <w:sz w:val="18"/>
          <w:szCs w:val="18"/>
        </w:rPr>
        <w:t>, monsoon s</w:t>
      </w:r>
      <w:r w:rsidRPr="00F00C0B">
        <w:rPr>
          <w:sz w:val="18"/>
          <w:szCs w:val="18"/>
        </w:rPr>
        <w:t>e</w:t>
      </w:r>
      <w:r>
        <w:rPr>
          <w:sz w:val="18"/>
          <w:szCs w:val="18"/>
        </w:rPr>
        <w:t>ason, water quality parameter, sea water i</w:t>
      </w:r>
      <w:r w:rsidRPr="00F00C0B">
        <w:rPr>
          <w:sz w:val="18"/>
          <w:szCs w:val="18"/>
        </w:rPr>
        <w:t>ntrusion</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3D1DC1" w:rsidRPr="00F00C0B" w:rsidRDefault="003D1DC1" w:rsidP="003D1D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18"/>
          <w:szCs w:val="18"/>
          <w:lang w:eastAsia="ms-MY"/>
        </w:rPr>
      </w:pPr>
      <w:r w:rsidRPr="00F00C0B">
        <w:rPr>
          <w:rFonts w:ascii="Times New Roman" w:hAnsi="Times New Roman"/>
          <w:color w:val="212121"/>
          <w:sz w:val="18"/>
          <w:szCs w:val="18"/>
          <w:lang w:eastAsia="ms-MY"/>
        </w:rPr>
        <w:t>Satu kajian penentuan kualiti air di tujuh stesen pensampelan telah dijalankan di Sungai Paka, Terengganu di antara  keadaan laut pasang dan surut. Persampelan bermula dari muara Sungai Paka, dan berakhir kira-kira 14 km dari muara berdasarkan jarak 2 km setiap stesen. Persampelan telah dijalankan berdasarkan keadaan pasang surut (air laut pasang dan air surut) dalam dua variasi masa yang mewakili pensampelan pertama (tempoh basah) dan persampelan kedua (tempoh kering). Parameter kualiti air seperti suhu, oksigen terlarut, kekonduksian, kemasinan, pH dan jumlah pepejal terlarut (TDS) diukur langsung di lapangan dengan menggunakan multiparameter YSI 556. Analisis bagi natrium, magnesium sulfat telah dijalankan mengikut kaedah APHA dan HACH. Penentuan data primer dan ciri-ciri fizikokimia Sungai Paka diukur dan dianalisis bagi setiap stesen persampelan. Parameter fizikokimia yang terdiri daripada suhu, pH, oksigen terlarut, jumlah pepejal terlarut, kemasinan, kekonduksian elektrik, natrium, kepekatan sulfat dan magnesium telah digunakan bagi menentukan hubungannya dengan pergerakan air laut dan faktor-faktor lain yang mempengaruhi kualiti air. Stesen 1 menunjukkan bacaan tertinggi parameter fizikokimia tertinggi berbanding stesen 7bagi kebanyakan parameter fizikokimia semasa pasang dan surut dalam pensampelan pertama dan kedua. Bacaan yang lebih tinggi bagi kebanyakan parameter fizikokimia juga ditunjukkan semasa musim kering, ini adalah kerana aliran sungai dari hulu menurun disebabkan keamatan hujan yang rendah.</w:t>
      </w:r>
    </w:p>
    <w:p w:rsidR="003D1DC1" w:rsidRPr="00F00C0B" w:rsidRDefault="003D1DC1" w:rsidP="003D1D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18"/>
          <w:szCs w:val="18"/>
          <w:lang w:eastAsia="ms-MY"/>
        </w:rPr>
      </w:pPr>
    </w:p>
    <w:p w:rsidR="003D1DC1" w:rsidRPr="00F00C0B" w:rsidRDefault="003D1DC1" w:rsidP="003D1D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18"/>
          <w:szCs w:val="18"/>
          <w:lang w:eastAsia="ms-MY"/>
        </w:rPr>
      </w:pPr>
      <w:r w:rsidRPr="00F00C0B">
        <w:rPr>
          <w:rFonts w:ascii="Times New Roman" w:hAnsi="Times New Roman"/>
          <w:b/>
          <w:color w:val="212121"/>
          <w:sz w:val="18"/>
          <w:szCs w:val="18"/>
          <w:lang w:eastAsia="ms-MY"/>
        </w:rPr>
        <w:lastRenderedPageBreak/>
        <w:t>Kata kunci</w:t>
      </w:r>
      <w:r w:rsidRPr="00F00C0B">
        <w:rPr>
          <w:rFonts w:ascii="Times New Roman" w:hAnsi="Times New Roman"/>
          <w:color w:val="212121"/>
          <w:sz w:val="18"/>
          <w:szCs w:val="18"/>
          <w:lang w:eastAsia="ms-MY"/>
        </w:rPr>
        <w:t>: Sungai Paka</w:t>
      </w:r>
      <w:r>
        <w:rPr>
          <w:rFonts w:ascii="Times New Roman" w:hAnsi="Times New Roman"/>
          <w:color w:val="212121"/>
          <w:sz w:val="18"/>
          <w:szCs w:val="18"/>
          <w:lang w:eastAsia="ms-MY"/>
        </w:rPr>
        <w:t>, musim tengkujuh, p</w:t>
      </w:r>
      <w:r w:rsidRPr="00F00C0B">
        <w:rPr>
          <w:rFonts w:ascii="Times New Roman" w:hAnsi="Times New Roman"/>
          <w:color w:val="212121"/>
          <w:sz w:val="18"/>
          <w:szCs w:val="18"/>
          <w:lang w:eastAsia="ms-MY"/>
        </w:rPr>
        <w:t>arameter</w:t>
      </w:r>
      <w:r>
        <w:rPr>
          <w:rFonts w:ascii="Times New Roman" w:hAnsi="Times New Roman"/>
          <w:color w:val="212121"/>
          <w:sz w:val="18"/>
          <w:szCs w:val="18"/>
          <w:lang w:eastAsia="ms-MY"/>
        </w:rPr>
        <w:t xml:space="preserve"> kualiti air, intrusi air l</w:t>
      </w:r>
      <w:r w:rsidRPr="00F00C0B">
        <w:rPr>
          <w:rFonts w:ascii="Times New Roman" w:hAnsi="Times New Roman"/>
          <w:color w:val="212121"/>
          <w:sz w:val="18"/>
          <w:szCs w:val="18"/>
          <w:lang w:eastAsia="ms-MY"/>
        </w:rPr>
        <w:t>aut</w:t>
      </w:r>
    </w:p>
    <w:p w:rsidR="006768E9" w:rsidRDefault="006768E9" w:rsidP="003D1DC1">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3D1DC1" w:rsidRDefault="003D1DC1" w:rsidP="003D1DC1">
      <w:pPr>
        <w:spacing w:after="0" w:line="240" w:lineRule="auto"/>
        <w:jc w:val="both"/>
        <w:rPr>
          <w:rFonts w:ascii="Times New Roman" w:hAnsi="Times New Roman"/>
          <w:bCs/>
          <w:sz w:val="20"/>
          <w:szCs w:val="20"/>
        </w:rPr>
      </w:pPr>
      <w:r w:rsidRPr="00450991">
        <w:rPr>
          <w:rFonts w:ascii="Times New Roman" w:hAnsi="Times New Roman"/>
          <w:bCs/>
          <w:sz w:val="20"/>
          <w:szCs w:val="20"/>
        </w:rPr>
        <w:t xml:space="preserve">A semi-enclosed tropical continental shelf sea that situated between east and west of Malaysia is called the southern South China Sea. Sea surface temperature of South Sea China is affected by monsoons as stated by [1]. Northeast monsoon during winter season enhances a low and high pressure system over Australia and Asia, respectively. This monsoon causes discharge of heavy precipitation and fresh water due to extreme rainfall, which later lower the salinity of water mass in Peninsular Malaysia eastern coast. Besides, sea surface temperature also declines around 1ºC as reported by </w:t>
      </w:r>
      <w:r>
        <w:rPr>
          <w:rFonts w:ascii="Times New Roman" w:hAnsi="Times New Roman"/>
          <w:color w:val="000000"/>
          <w:sz w:val="20"/>
          <w:szCs w:val="20"/>
        </w:rPr>
        <w:t>[2,</w:t>
      </w:r>
      <w:r w:rsidRPr="00450991">
        <w:rPr>
          <w:rFonts w:ascii="Times New Roman" w:hAnsi="Times New Roman"/>
          <w:color w:val="000000"/>
          <w:sz w:val="20"/>
          <w:szCs w:val="20"/>
        </w:rPr>
        <w:t>3]</w:t>
      </w:r>
      <w:r w:rsidRPr="00450991">
        <w:rPr>
          <w:rFonts w:ascii="Times New Roman" w:hAnsi="Times New Roman"/>
          <w:bCs/>
          <w:sz w:val="20"/>
          <w:szCs w:val="20"/>
        </w:rPr>
        <w:t xml:space="preserve">, as cloudy skies during this season reducing the penetration of solar radiation to the sea surface. </w:t>
      </w:r>
    </w:p>
    <w:p w:rsidR="003D1DC1" w:rsidRDefault="003D1DC1" w:rsidP="003D1DC1">
      <w:pPr>
        <w:spacing w:after="0" w:line="240" w:lineRule="auto"/>
        <w:jc w:val="both"/>
        <w:rPr>
          <w:rFonts w:ascii="Times New Roman" w:hAnsi="Times New Roman"/>
          <w:bCs/>
          <w:sz w:val="20"/>
          <w:szCs w:val="20"/>
        </w:rPr>
      </w:pPr>
    </w:p>
    <w:p w:rsidR="003D1DC1" w:rsidRDefault="003D1DC1" w:rsidP="003D1DC1">
      <w:pPr>
        <w:spacing w:after="0" w:line="240" w:lineRule="auto"/>
        <w:jc w:val="both"/>
        <w:rPr>
          <w:rFonts w:ascii="Times New Roman" w:eastAsia="Batang" w:hAnsi="Times New Roman"/>
          <w:bCs/>
          <w:sz w:val="20"/>
          <w:szCs w:val="20"/>
          <w:lang w:eastAsia="ko-KR"/>
        </w:rPr>
      </w:pPr>
      <w:r w:rsidRPr="00450991">
        <w:rPr>
          <w:rFonts w:ascii="Times New Roman" w:hAnsi="Times New Roman"/>
          <w:bCs/>
          <w:sz w:val="20"/>
          <w:szCs w:val="20"/>
        </w:rPr>
        <w:t xml:space="preserve">On the other hand, southwest monsoon caused by a high pressure system over Australia and a low pressure system over Asia during northern summer. This is because the intensity of solar heating rises during the summer that leads to blistering temperature over the Asian landmass. As hot air expands and rises upwards, a semi-permanent low-pressure area develops. In addition, there is a lack of clouds during this season, which causes the salinity field pattern and sea surface temperature is rising due to increasing the penetration of solar radiation into sea surface. </w:t>
      </w:r>
      <w:r w:rsidRPr="00450991">
        <w:rPr>
          <w:rFonts w:ascii="Times New Roman" w:hAnsi="Times New Roman"/>
          <w:sz w:val="20"/>
          <w:szCs w:val="20"/>
        </w:rPr>
        <w:t>However, increase exposure of solar radiation caused by global warming, becomes a critical issue as the sea surface temperature gradually increases.</w:t>
      </w:r>
      <w:r w:rsidRPr="00450991">
        <w:rPr>
          <w:rFonts w:ascii="Times New Roman" w:eastAsia="Batang" w:hAnsi="Times New Roman"/>
          <w:bCs/>
          <w:sz w:val="20"/>
          <w:szCs w:val="20"/>
          <w:lang w:eastAsia="ko-KR"/>
        </w:rPr>
        <w:t xml:space="preserve">Sea level rise interrupts the freshwater properties as the projection of salinization towards groundwater and estuaries reservoirs. </w:t>
      </w:r>
    </w:p>
    <w:p w:rsidR="003D1DC1" w:rsidRDefault="003D1DC1" w:rsidP="003D1DC1">
      <w:pPr>
        <w:spacing w:after="0" w:line="240" w:lineRule="auto"/>
        <w:jc w:val="both"/>
        <w:rPr>
          <w:rFonts w:ascii="Times New Roman" w:eastAsia="Batang" w:hAnsi="Times New Roman"/>
          <w:bCs/>
          <w:sz w:val="20"/>
          <w:szCs w:val="20"/>
          <w:lang w:eastAsia="ko-KR"/>
        </w:rPr>
      </w:pPr>
    </w:p>
    <w:p w:rsidR="003D1DC1" w:rsidRDefault="003D1DC1" w:rsidP="003D1DC1">
      <w:pPr>
        <w:spacing w:after="0" w:line="240" w:lineRule="auto"/>
        <w:jc w:val="both"/>
        <w:rPr>
          <w:rFonts w:ascii="Times New Roman" w:eastAsia="Batang" w:hAnsi="Times New Roman"/>
          <w:bCs/>
          <w:sz w:val="20"/>
          <w:szCs w:val="20"/>
          <w:lang w:eastAsia="ko-KR"/>
        </w:rPr>
      </w:pPr>
      <w:r w:rsidRPr="00450991">
        <w:rPr>
          <w:rFonts w:ascii="Times New Roman" w:eastAsia="Batang" w:hAnsi="Times New Roman"/>
          <w:bCs/>
          <w:sz w:val="20"/>
          <w:szCs w:val="20"/>
          <w:lang w:eastAsia="ko-KR"/>
        </w:rPr>
        <w:t xml:space="preserve">Thus, disturbance in water quality of freshwater such as rivers by the influx of saline water might cause a certain fish in stress condition, as some species, especiallyin juvenile and egg stages which cannot tolerate the change in water quality. For example, eggs of trout cod have limited survival rate of 50% when exposes to changing salinity level of fresh water around 450 mg/L [4]. </w:t>
      </w:r>
    </w:p>
    <w:p w:rsidR="003D1DC1" w:rsidRDefault="003D1DC1" w:rsidP="003D1DC1">
      <w:pPr>
        <w:spacing w:after="0" w:line="240" w:lineRule="auto"/>
        <w:jc w:val="both"/>
        <w:rPr>
          <w:rFonts w:ascii="Times New Roman" w:eastAsia="Batang" w:hAnsi="Times New Roman"/>
          <w:bCs/>
          <w:sz w:val="20"/>
          <w:szCs w:val="20"/>
          <w:lang w:eastAsia="ko-KR"/>
        </w:rPr>
      </w:pPr>
    </w:p>
    <w:p w:rsidR="003D1DC1" w:rsidRDefault="003D1DC1" w:rsidP="003D1DC1">
      <w:pPr>
        <w:spacing w:after="0" w:line="240" w:lineRule="auto"/>
        <w:jc w:val="both"/>
        <w:rPr>
          <w:rFonts w:ascii="Times New Roman" w:hAnsi="Times New Roman"/>
          <w:bCs/>
          <w:color w:val="000000"/>
          <w:sz w:val="20"/>
          <w:szCs w:val="20"/>
        </w:rPr>
      </w:pPr>
      <w:r w:rsidRPr="00450991">
        <w:rPr>
          <w:rFonts w:ascii="Times New Roman" w:eastAsia="Batang" w:hAnsi="Times New Roman"/>
          <w:bCs/>
          <w:sz w:val="20"/>
          <w:szCs w:val="20"/>
          <w:lang w:eastAsia="ko-KR"/>
        </w:rPr>
        <w:t xml:space="preserve">Besides, deformation occurs due to differences in propagation velocities at low and high water, since wave cannot propagate at the same pattern as the water depth decreases from deep water to shallow water. The high tidal water becomes a sharply peaked event and low water become a long flat events are the result of wave deformation. Damping also one of the phenomena that can influences wave propagation. </w:t>
      </w:r>
      <w:r w:rsidRPr="00450991">
        <w:rPr>
          <w:rFonts w:ascii="Times New Roman" w:hAnsi="Times New Roman"/>
          <w:bCs/>
          <w:color w:val="000000"/>
          <w:sz w:val="20"/>
          <w:szCs w:val="20"/>
        </w:rPr>
        <w:t xml:space="preserve">A river flowing down a steep slope or gradient has higher velocity than one which flows down a gentler gradient, higher water velocity at the upstream during low tide may due to the greater volume of freshwater drainage, as compared to the downstream </w:t>
      </w:r>
      <w:r>
        <w:rPr>
          <w:rFonts w:ascii="Times New Roman" w:hAnsi="Times New Roman"/>
          <w:bCs/>
          <w:color w:val="000000"/>
          <w:sz w:val="20"/>
          <w:szCs w:val="20"/>
        </w:rPr>
        <w:t>[5,</w:t>
      </w:r>
      <w:r w:rsidRPr="00450991">
        <w:rPr>
          <w:rFonts w:ascii="Times New Roman" w:hAnsi="Times New Roman"/>
          <w:bCs/>
          <w:sz w:val="20"/>
          <w:szCs w:val="20"/>
        </w:rPr>
        <w:t>6]</w:t>
      </w:r>
      <w:r w:rsidRPr="00450991">
        <w:rPr>
          <w:rFonts w:ascii="Times New Roman" w:hAnsi="Times New Roman"/>
          <w:bCs/>
          <w:color w:val="000000"/>
          <w:sz w:val="20"/>
          <w:szCs w:val="20"/>
        </w:rPr>
        <w:t xml:space="preserve">. </w:t>
      </w:r>
    </w:p>
    <w:p w:rsidR="003D1DC1" w:rsidRDefault="003D1DC1" w:rsidP="003D1DC1">
      <w:pPr>
        <w:spacing w:after="0" w:line="240" w:lineRule="auto"/>
        <w:jc w:val="both"/>
        <w:rPr>
          <w:rFonts w:ascii="Times New Roman" w:hAnsi="Times New Roman"/>
          <w:bCs/>
          <w:color w:val="000000"/>
          <w:sz w:val="20"/>
          <w:szCs w:val="20"/>
        </w:rPr>
      </w:pPr>
    </w:p>
    <w:p w:rsidR="003D1DC1" w:rsidRDefault="003D1DC1" w:rsidP="003D1DC1">
      <w:pPr>
        <w:spacing w:after="0" w:line="240" w:lineRule="auto"/>
        <w:jc w:val="both"/>
        <w:rPr>
          <w:rFonts w:ascii="Times New Roman" w:eastAsia="Batang" w:hAnsi="Times New Roman"/>
          <w:bCs/>
          <w:sz w:val="20"/>
          <w:szCs w:val="20"/>
          <w:lang w:eastAsia="ko-KR"/>
        </w:rPr>
      </w:pPr>
      <w:r w:rsidRPr="00450991">
        <w:rPr>
          <w:rFonts w:ascii="Times New Roman" w:eastAsia="Batang" w:hAnsi="Times New Roman"/>
          <w:bCs/>
          <w:sz w:val="20"/>
          <w:szCs w:val="20"/>
          <w:lang w:eastAsia="ko-KR"/>
        </w:rPr>
        <w:t>Damping occurs when the friction between flowing water and the bottom, especially in the shallower parts of the estuary cause energy loss and as a result the wave height will be reduced.</w:t>
      </w:r>
      <w:r w:rsidRPr="00450991">
        <w:rPr>
          <w:rFonts w:ascii="Times New Roman" w:hAnsi="Times New Roman"/>
          <w:color w:val="000000"/>
          <w:sz w:val="20"/>
          <w:szCs w:val="20"/>
        </w:rPr>
        <w:t>A study conducted by [7] stated that coastal populations and ecosystems can be affected by sea level rise through coastal inundation, flooding and saline intrusion. A study by [8] showed that sea level rise cause sodium concentration in excess of 50 mg/L to be present in aquifer recharge water of Delaware River, Philadelphia.</w:t>
      </w:r>
      <w:r w:rsidRPr="00450991">
        <w:rPr>
          <w:rFonts w:ascii="Times New Roman" w:eastAsia="Batang" w:hAnsi="Times New Roman"/>
          <w:bCs/>
          <w:sz w:val="20"/>
          <w:szCs w:val="20"/>
          <w:lang w:eastAsia="ko-KR"/>
        </w:rPr>
        <w:t>A study conducted by [9] showed that most of the tidal ranges are usually highest during spring tides, while low tides are typically higher and high tides are lower during neap tides. In the mixed tide, the diurnal and semidiurnal oscillations are both important factors and the tide is characterized by a large inequality in the high water heights, low water heights, or both. There are usually two high and two low waters each day, but occasionally the tide may become diurnal [10]</w:t>
      </w:r>
      <w:r>
        <w:rPr>
          <w:rFonts w:ascii="Times New Roman" w:eastAsia="Batang" w:hAnsi="Times New Roman"/>
          <w:bCs/>
          <w:sz w:val="20"/>
          <w:szCs w:val="20"/>
          <w:lang w:eastAsia="ko-KR"/>
        </w:rPr>
        <w:t>.</w:t>
      </w:r>
    </w:p>
    <w:p w:rsidR="003D1DC1" w:rsidRDefault="003D1DC1" w:rsidP="003D1DC1">
      <w:pPr>
        <w:spacing w:after="0" w:line="240" w:lineRule="auto"/>
        <w:jc w:val="both"/>
        <w:rPr>
          <w:rFonts w:ascii="Times New Roman" w:eastAsia="Batang" w:hAnsi="Times New Roman"/>
          <w:bCs/>
          <w:sz w:val="20"/>
          <w:szCs w:val="20"/>
          <w:lang w:eastAsia="ko-KR"/>
        </w:rPr>
      </w:pPr>
    </w:p>
    <w:p w:rsidR="003D1DC1" w:rsidRPr="00FF6CB3" w:rsidRDefault="003D1DC1" w:rsidP="003D1DC1">
      <w:pPr>
        <w:spacing w:after="0" w:line="240" w:lineRule="auto"/>
        <w:jc w:val="both"/>
        <w:rPr>
          <w:rFonts w:ascii="Times New Roman" w:eastAsia="Batang" w:hAnsi="Times New Roman"/>
          <w:bCs/>
          <w:sz w:val="20"/>
          <w:szCs w:val="20"/>
          <w:lang w:eastAsia="ko-KR"/>
        </w:rPr>
      </w:pPr>
      <w:r>
        <w:rPr>
          <w:rFonts w:ascii="Times New Roman" w:eastAsia="Batang" w:hAnsi="Times New Roman"/>
          <w:bCs/>
          <w:sz w:val="20"/>
          <w:szCs w:val="20"/>
          <w:lang w:eastAsia="ko-KR"/>
        </w:rPr>
        <w:t>C</w:t>
      </w:r>
      <w:r w:rsidRPr="00450991">
        <w:rPr>
          <w:rFonts w:ascii="Times New Roman" w:eastAsia="Batang" w:hAnsi="Times New Roman"/>
          <w:bCs/>
          <w:sz w:val="20"/>
          <w:szCs w:val="20"/>
          <w:lang w:eastAsia="ko-KR"/>
        </w:rPr>
        <w:t xml:space="preserve">oncluded that conductivity alone should be sufficient to establish whether a seawater intrusion is occurring or not. However, other parameters such as calcium, chloride, magnesium, potassium, sodium and sulphate are useful chemical analyses to confirm conductivity readings. </w:t>
      </w:r>
      <w:r w:rsidRPr="00450991">
        <w:rPr>
          <w:rFonts w:ascii="Times New Roman" w:hAnsi="Times New Roman"/>
          <w:sz w:val="20"/>
          <w:szCs w:val="20"/>
        </w:rPr>
        <w:t xml:space="preserve">High tides increase the movement of seawater further in the upstream and affected TDS concentration in the river, this is due to the concentration of high dissolved salts, mainly consisting of sodium, chloride and magnesium composition in the seawater, which later also increase water’s ability to conduct electricity since salts and other inorganic chemicals will break into tiny, electrically charged ions when dissolve in water [11]. </w:t>
      </w:r>
      <w:r w:rsidRPr="00450991">
        <w:rPr>
          <w:rFonts w:ascii="Times New Roman" w:eastAsia="Batang" w:hAnsi="Times New Roman"/>
          <w:bCs/>
          <w:sz w:val="20"/>
          <w:szCs w:val="20"/>
          <w:lang w:eastAsia="ko-KR"/>
        </w:rPr>
        <w:t>Besides, monitor several parameters can be used to detect whether there might be other reasons such as the effects from natural strata, connate water or contaminated sites that cause an elevated conductivity.</w:t>
      </w:r>
    </w:p>
    <w:p w:rsidR="003D1DC1" w:rsidRPr="00450991" w:rsidRDefault="003D1DC1" w:rsidP="003D1DC1">
      <w:pPr>
        <w:spacing w:after="0" w:line="240" w:lineRule="auto"/>
        <w:jc w:val="both"/>
        <w:rPr>
          <w:rFonts w:ascii="Times New Roman" w:hAnsi="Times New Roman"/>
          <w:bCs/>
          <w:color w:val="000000"/>
          <w:sz w:val="20"/>
          <w:szCs w:val="20"/>
        </w:rPr>
      </w:pPr>
    </w:p>
    <w:p w:rsidR="003D1DC1" w:rsidRPr="00450991" w:rsidRDefault="00097F95" w:rsidP="003E5E55">
      <w:pPr>
        <w:spacing w:after="0" w:line="240" w:lineRule="auto"/>
        <w:ind w:left="1276"/>
        <w:contextualSpacing/>
        <w:jc w:val="both"/>
        <w:rPr>
          <w:rFonts w:ascii="Times New Roman" w:hAnsi="Times New Roman"/>
          <w:color w:val="000000"/>
          <w:sz w:val="20"/>
          <w:szCs w:val="20"/>
        </w:rPr>
      </w:pPr>
      <w:r>
        <w:rPr>
          <w:noProof/>
          <w:lang w:bidi="ar-SA"/>
        </w:rPr>
        <w:lastRenderedPageBreak/>
        <mc:AlternateContent>
          <mc:Choice Requires="wps">
            <w:drawing>
              <wp:anchor distT="0" distB="0" distL="114300" distR="114300" simplePos="0" relativeHeight="251662848" behindDoc="0" locked="0" layoutInCell="1" allowOverlap="1">
                <wp:simplePos x="0" y="0"/>
                <wp:positionH relativeFrom="column">
                  <wp:posOffset>3196590</wp:posOffset>
                </wp:positionH>
                <wp:positionV relativeFrom="paragraph">
                  <wp:posOffset>1995170</wp:posOffset>
                </wp:positionV>
                <wp:extent cx="1980565" cy="1143635"/>
                <wp:effectExtent l="0" t="0" r="19685" b="18415"/>
                <wp:wrapNone/>
                <wp:docPr id="1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565" cy="1143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51.7pt;margin-top:157.1pt;width:155.95pt;height:90.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"/>
            </w:pict>
          </mc:Fallback>
        </mc:AlternateContent>
      </w:r>
      <w:r>
        <w:rPr>
          <w:noProof/>
          <w:lang w:bidi="ar-SA"/>
        </w:rPr>
        <mc:AlternateContent>
          <mc:Choice Requires="wps">
            <w:drawing>
              <wp:anchor distT="0" distB="0" distL="114300" distR="114300" simplePos="0" relativeHeight="251661824" behindDoc="0" locked="0" layoutInCell="1" allowOverlap="1">
                <wp:simplePos x="0" y="0"/>
                <wp:positionH relativeFrom="column">
                  <wp:posOffset>557530</wp:posOffset>
                </wp:positionH>
                <wp:positionV relativeFrom="paragraph">
                  <wp:posOffset>1995170</wp:posOffset>
                </wp:positionV>
                <wp:extent cx="2127250" cy="1143635"/>
                <wp:effectExtent l="0" t="0" r="25400" b="18415"/>
                <wp:wrapNone/>
                <wp:docPr id="1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27250" cy="1143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43.9pt;margin-top:157.1pt;width:167.5pt;height:90.0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"/>
            </w:pict>
          </mc:Fallback>
        </mc:AlternateContent>
      </w:r>
      <w:r>
        <w:rPr>
          <w:noProof/>
          <w:lang w:bidi="ar-SA"/>
        </w:rPr>
        <mc:AlternateContent>
          <mc:Choice Requires="wps">
            <w:drawing>
              <wp:anchor distT="0" distB="0" distL="114300" distR="114300" simplePos="0" relativeHeight="251660800" behindDoc="0" locked="0" layoutInCell="1" allowOverlap="1">
                <wp:simplePos x="0" y="0"/>
                <wp:positionH relativeFrom="column">
                  <wp:posOffset>2684780</wp:posOffset>
                </wp:positionH>
                <wp:positionV relativeFrom="paragraph">
                  <wp:posOffset>1510665</wp:posOffset>
                </wp:positionV>
                <wp:extent cx="511810" cy="484505"/>
                <wp:effectExtent l="19050" t="19050" r="21590" b="10795"/>
                <wp:wrapNone/>
                <wp:docPr id="13"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 cy="48450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o:spid="_x0000_s1026" style="position:absolute;margin-left:211.4pt;margin-top:118.95pt;width:40.3pt;height:38.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" filled="f" strokeweight="2.25pt"/>
            </w:pict>
          </mc:Fallback>
        </mc:AlternateContent>
      </w:r>
      <w:r>
        <w:rPr>
          <w:rFonts w:ascii="Times New Roman" w:hAnsi="Times New Roman"/>
          <w:noProof/>
          <w:color w:val="000000"/>
          <w:sz w:val="20"/>
          <w:szCs w:val="20"/>
          <w:lang w:bidi="ar-SA"/>
        </w:rPr>
        <w:drawing>
          <wp:inline distT="0" distB="0" distL="0" distR="0">
            <wp:extent cx="3629025" cy="2743200"/>
            <wp:effectExtent l="0" t="0" r="9525" b="0"/>
            <wp:docPr id="6" name="Picture 297" descr="ma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map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9025" cy="2743200"/>
                    </a:xfrm>
                    <a:prstGeom prst="rect">
                      <a:avLst/>
                    </a:prstGeom>
                    <a:noFill/>
                    <a:ln>
                      <a:noFill/>
                    </a:ln>
                  </pic:spPr>
                </pic:pic>
              </a:graphicData>
            </a:graphic>
          </wp:inline>
        </w:drawing>
      </w:r>
    </w:p>
    <w:p w:rsidR="003D1DC1" w:rsidRPr="00450991" w:rsidRDefault="003D1DC1" w:rsidP="003D1DC1">
      <w:pPr>
        <w:spacing w:after="0" w:line="240" w:lineRule="auto"/>
        <w:contextualSpacing/>
        <w:jc w:val="center"/>
        <w:rPr>
          <w:rFonts w:ascii="Times New Roman" w:hAnsi="Times New Roman"/>
          <w:color w:val="000000"/>
          <w:sz w:val="20"/>
          <w:szCs w:val="20"/>
        </w:rPr>
      </w:pPr>
    </w:p>
    <w:p w:rsidR="003D1DC1" w:rsidRPr="00450991" w:rsidRDefault="003D1DC1" w:rsidP="003D1DC1">
      <w:pPr>
        <w:spacing w:after="0" w:line="240" w:lineRule="auto"/>
        <w:ind w:left="1276"/>
        <w:contextualSpacing/>
        <w:jc w:val="both"/>
        <w:rPr>
          <w:rFonts w:ascii="Times New Roman" w:hAnsi="Times New Roman"/>
          <w:color w:val="000000"/>
          <w:sz w:val="20"/>
          <w:szCs w:val="20"/>
        </w:rPr>
      </w:pPr>
    </w:p>
    <w:p w:rsidR="003D1DC1" w:rsidRPr="00450991" w:rsidRDefault="00097F95" w:rsidP="003D1DC1">
      <w:pPr>
        <w:spacing w:after="0" w:line="240" w:lineRule="auto"/>
        <w:contextualSpacing/>
        <w:jc w:val="center"/>
        <w:rPr>
          <w:rFonts w:ascii="Times New Roman" w:hAnsi="Times New Roman"/>
          <w:color w:val="000000"/>
          <w:sz w:val="20"/>
          <w:szCs w:val="20"/>
        </w:rPr>
      </w:pPr>
      <w:r>
        <w:rPr>
          <w:rFonts w:ascii="Times New Roman" w:hAnsi="Times New Roman"/>
          <w:noProof/>
          <w:color w:val="000000"/>
          <w:sz w:val="20"/>
          <w:szCs w:val="20"/>
          <w:lang w:bidi="ar-SA"/>
        </w:rPr>
        <w:drawing>
          <wp:inline distT="0" distB="0" distL="0" distR="0">
            <wp:extent cx="5276850" cy="4029075"/>
            <wp:effectExtent l="0" t="0" r="0" b="9525"/>
            <wp:docPr id="5" name="Picture 293" descr="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s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6850" cy="4029075"/>
                    </a:xfrm>
                    <a:prstGeom prst="rect">
                      <a:avLst/>
                    </a:prstGeom>
                    <a:noFill/>
                    <a:ln>
                      <a:noFill/>
                    </a:ln>
                  </pic:spPr>
                </pic:pic>
              </a:graphicData>
            </a:graphic>
          </wp:inline>
        </w:drawing>
      </w:r>
    </w:p>
    <w:p w:rsidR="003D1DC1" w:rsidRPr="00450991" w:rsidRDefault="003D1DC1" w:rsidP="003D1DC1">
      <w:pPr>
        <w:spacing w:after="0" w:line="240" w:lineRule="auto"/>
        <w:ind w:left="142"/>
        <w:contextualSpacing/>
        <w:jc w:val="both"/>
        <w:rPr>
          <w:rFonts w:ascii="Times New Roman" w:hAnsi="Times New Roman"/>
          <w:bCs/>
          <w:color w:val="000000"/>
          <w:sz w:val="20"/>
          <w:szCs w:val="20"/>
        </w:rPr>
      </w:pPr>
    </w:p>
    <w:p w:rsidR="003D1DC1" w:rsidRPr="00450991" w:rsidRDefault="003D1DC1" w:rsidP="003D1DC1">
      <w:pPr>
        <w:spacing w:after="0" w:line="240" w:lineRule="auto"/>
        <w:contextualSpacing/>
        <w:jc w:val="center"/>
        <w:rPr>
          <w:rFonts w:ascii="Times New Roman" w:hAnsi="Times New Roman"/>
          <w:color w:val="000000"/>
          <w:sz w:val="20"/>
          <w:szCs w:val="20"/>
        </w:rPr>
      </w:pPr>
      <w:r w:rsidRPr="00450991">
        <w:rPr>
          <w:rFonts w:ascii="Times New Roman" w:hAnsi="Times New Roman"/>
          <w:bCs/>
          <w:color w:val="000000"/>
          <w:sz w:val="20"/>
          <w:szCs w:val="20"/>
        </w:rPr>
        <w:t>Figure 1</w:t>
      </w:r>
      <w:r>
        <w:rPr>
          <w:rFonts w:ascii="Times New Roman" w:hAnsi="Times New Roman"/>
          <w:bCs/>
          <w:color w:val="000000"/>
          <w:sz w:val="20"/>
          <w:szCs w:val="20"/>
        </w:rPr>
        <w:t xml:space="preserve">.  </w:t>
      </w:r>
      <w:r w:rsidRPr="00450991">
        <w:rPr>
          <w:rFonts w:ascii="Times New Roman" w:hAnsi="Times New Roman"/>
          <w:color w:val="000000"/>
          <w:sz w:val="20"/>
          <w:szCs w:val="20"/>
        </w:rPr>
        <w:t>A map showing flow of Paka River in Terengganu</w:t>
      </w:r>
    </w:p>
    <w:p w:rsidR="006768E9" w:rsidRDefault="006768E9" w:rsidP="003D1DC1">
      <w:pPr>
        <w:spacing w:after="0" w:line="240" w:lineRule="auto"/>
        <w:jc w:val="both"/>
        <w:rPr>
          <w:rFonts w:ascii="Times New Roman" w:hAnsi="Times New Roman"/>
          <w:noProof/>
          <w:sz w:val="20"/>
          <w:szCs w:val="20"/>
          <w:lang w:bidi="ar-SA"/>
        </w:rPr>
      </w:pPr>
    </w:p>
    <w:p w:rsidR="003D1DC1" w:rsidRPr="00FF6CB3" w:rsidRDefault="003D1DC1" w:rsidP="003D1DC1">
      <w:pPr>
        <w:spacing w:after="0" w:line="240" w:lineRule="auto"/>
        <w:jc w:val="both"/>
        <w:rPr>
          <w:rFonts w:ascii="Times New Roman" w:hAnsi="Times New Roman"/>
          <w:bCs/>
          <w:color w:val="000000"/>
          <w:sz w:val="20"/>
          <w:szCs w:val="20"/>
        </w:rPr>
      </w:pPr>
      <w:r w:rsidRPr="00450991">
        <w:rPr>
          <w:rFonts w:ascii="Times New Roman" w:eastAsia="Batang" w:hAnsi="Times New Roman"/>
          <w:bCs/>
          <w:color w:val="000000"/>
          <w:sz w:val="20"/>
          <w:szCs w:val="20"/>
          <w:lang w:eastAsia="ko-KR"/>
        </w:rPr>
        <w:t>Paka River is situated in the Dungun district in the south of Kuala Terengganu, Malaysia, it has flowed about 87 km long before reaching the South China Sea and with a total catchment area of 830 km2 (Fig</w:t>
      </w:r>
      <w:r>
        <w:rPr>
          <w:rFonts w:ascii="Times New Roman" w:eastAsia="Batang" w:hAnsi="Times New Roman"/>
          <w:bCs/>
          <w:color w:val="000000"/>
          <w:sz w:val="20"/>
          <w:szCs w:val="20"/>
          <w:lang w:eastAsia="ko-KR"/>
        </w:rPr>
        <w:t>ure</w:t>
      </w:r>
      <w:r w:rsidRPr="00450991">
        <w:rPr>
          <w:rFonts w:ascii="Times New Roman" w:eastAsia="Batang" w:hAnsi="Times New Roman"/>
          <w:bCs/>
          <w:color w:val="000000"/>
          <w:sz w:val="20"/>
          <w:szCs w:val="20"/>
          <w:lang w:eastAsia="ko-KR"/>
        </w:rPr>
        <w:t xml:space="preserve"> 1). </w:t>
      </w:r>
      <w:r w:rsidRPr="00450991">
        <w:rPr>
          <w:rFonts w:ascii="Times New Roman" w:hAnsi="Times New Roman"/>
          <w:bCs/>
          <w:color w:val="000000"/>
          <w:sz w:val="20"/>
          <w:szCs w:val="20"/>
        </w:rPr>
        <w:t xml:space="preserve">Some activities </w:t>
      </w:r>
      <w:r w:rsidRPr="00450991">
        <w:rPr>
          <w:rFonts w:ascii="Times New Roman" w:hAnsi="Times New Roman"/>
          <w:bCs/>
          <w:color w:val="000000"/>
          <w:sz w:val="20"/>
          <w:szCs w:val="20"/>
        </w:rPr>
        <w:lastRenderedPageBreak/>
        <w:t xml:space="preserve">along the river were recognise such as sand mining process  removal of sand and gravel from the riverbed; the development of fishing villages, freshwater fish culture cages; housings and  jetty.  </w:t>
      </w:r>
    </w:p>
    <w:p w:rsidR="003D1DC1" w:rsidRDefault="003D1DC1" w:rsidP="003D1DC1">
      <w:pPr>
        <w:spacing w:after="0" w:line="240" w:lineRule="auto"/>
        <w:jc w:val="both"/>
        <w:rPr>
          <w:rFonts w:ascii="Times New Roman" w:hAnsi="Times New Roman"/>
          <w:noProof/>
          <w:sz w:val="20"/>
          <w:szCs w:val="20"/>
          <w:lang w:bidi="ar-SA"/>
        </w:rPr>
      </w:pPr>
    </w:p>
    <w:p w:rsidR="003D1DC1" w:rsidRPr="003D1DC1" w:rsidRDefault="003D1DC1" w:rsidP="003D1DC1">
      <w:pPr>
        <w:spacing w:after="0" w:line="240" w:lineRule="auto"/>
        <w:jc w:val="both"/>
        <w:rPr>
          <w:rFonts w:ascii="Times New Roman" w:hAnsi="Times New Roman"/>
          <w:bCs/>
          <w:color w:val="000000"/>
          <w:sz w:val="20"/>
          <w:szCs w:val="20"/>
          <w:lang w:val="en-GB"/>
        </w:rPr>
      </w:pPr>
      <w:r w:rsidRPr="00450991">
        <w:rPr>
          <w:rFonts w:ascii="Times New Roman" w:hAnsi="Times New Roman"/>
          <w:bCs/>
          <w:color w:val="000000"/>
          <w:sz w:val="20"/>
          <w:szCs w:val="20"/>
        </w:rPr>
        <w:t>Based on [12</w:t>
      </w:r>
      <w:r>
        <w:rPr>
          <w:rFonts w:ascii="Times New Roman" w:hAnsi="Times New Roman"/>
          <w:bCs/>
          <w:color w:val="000000"/>
          <w:sz w:val="20"/>
          <w:szCs w:val="20"/>
        </w:rPr>
        <w:t>,</w:t>
      </w:r>
      <w:r w:rsidRPr="00450991">
        <w:rPr>
          <w:rFonts w:ascii="Times New Roman" w:hAnsi="Times New Roman"/>
          <w:bCs/>
          <w:color w:val="000000"/>
          <w:sz w:val="20"/>
          <w:szCs w:val="20"/>
        </w:rPr>
        <w:t>13] reports, there were erosion cases had been occurringin the area of Paka River estuary due to development and reducing vegetation at the river banks along the river and eventually increase the rate of erosion.The main objective in this study is</w:t>
      </w:r>
      <w:r w:rsidRPr="00450991">
        <w:rPr>
          <w:rFonts w:ascii="Times New Roman" w:hAnsi="Times New Roman"/>
          <w:bCs/>
          <w:color w:val="000000"/>
          <w:sz w:val="20"/>
          <w:szCs w:val="20"/>
          <w:lang w:val="en-GB"/>
        </w:rPr>
        <w:t>to determine the selected water quality parameter conditions of the study area during water tides of dry and wet periods.</w:t>
      </w:r>
    </w:p>
    <w:p w:rsidR="003D1DC1" w:rsidRPr="00F447A7" w:rsidRDefault="003D1DC1"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FF6CB3" w:rsidRPr="008C3E26" w:rsidRDefault="00FF6CB3" w:rsidP="00FF6CB3">
      <w:pPr>
        <w:tabs>
          <w:tab w:val="num" w:pos="567"/>
        </w:tabs>
        <w:spacing w:after="0" w:line="240" w:lineRule="auto"/>
        <w:contextualSpacing/>
        <w:jc w:val="both"/>
        <w:rPr>
          <w:rFonts w:ascii="Times New Roman" w:hAnsi="Times New Roman"/>
          <w:b/>
          <w:color w:val="000000"/>
          <w:sz w:val="20"/>
          <w:szCs w:val="20"/>
        </w:rPr>
      </w:pPr>
      <w:r w:rsidRPr="008C3E26">
        <w:rPr>
          <w:rFonts w:ascii="Times New Roman" w:hAnsi="Times New Roman"/>
          <w:b/>
          <w:color w:val="000000"/>
          <w:sz w:val="20"/>
          <w:szCs w:val="20"/>
        </w:rPr>
        <w:t>Sampling Methods</w:t>
      </w:r>
    </w:p>
    <w:p w:rsidR="00FF6CB3" w:rsidRPr="00450991" w:rsidRDefault="00FF6CB3" w:rsidP="00FF6CB3">
      <w:pPr>
        <w:spacing w:after="0" w:line="240" w:lineRule="auto"/>
        <w:jc w:val="both"/>
        <w:rPr>
          <w:rFonts w:ascii="Times New Roman" w:hAnsi="Times New Roman"/>
          <w:color w:val="000000"/>
          <w:sz w:val="20"/>
          <w:szCs w:val="20"/>
        </w:rPr>
      </w:pPr>
      <w:r w:rsidRPr="00450991">
        <w:rPr>
          <w:rFonts w:ascii="Times New Roman" w:hAnsi="Times New Roman"/>
          <w:color w:val="000000"/>
          <w:sz w:val="20"/>
          <w:szCs w:val="20"/>
        </w:rPr>
        <w:t>Samplings were carried out two times during the study period, involving the dry and rainy periods,</w:t>
      </w:r>
      <w:r w:rsidRPr="00450991">
        <w:rPr>
          <w:rFonts w:ascii="Times New Roman" w:hAnsi="Times New Roman"/>
          <w:bCs/>
          <w:color w:val="000000"/>
          <w:sz w:val="20"/>
          <w:szCs w:val="20"/>
        </w:rPr>
        <w:t xml:space="preserve"> the first sampling was done in the month of November 2012 which represented the Northeast monsoon (wet period), meanwhile the second sampling was done in the month of February 2013 which represented the Southeast monsoon (dry period).</w:t>
      </w:r>
      <w:r w:rsidRPr="00450991">
        <w:rPr>
          <w:rFonts w:ascii="Times New Roman" w:hAnsi="Times New Roman"/>
          <w:color w:val="000000"/>
          <w:sz w:val="20"/>
          <w:szCs w:val="20"/>
        </w:rPr>
        <w:t xml:space="preserve"> The study site was divided into seven stations which 2 km apart, starting at the estuary of the river. Sampling station was ended where value of water salinity nearly or exactly reaches zero. Prior to </w:t>
      </w:r>
      <w:r w:rsidRPr="00450991">
        <w:rPr>
          <w:rFonts w:ascii="Times New Roman" w:hAnsi="Times New Roman"/>
          <w:i/>
          <w:color w:val="000000"/>
          <w:sz w:val="20"/>
          <w:szCs w:val="20"/>
        </w:rPr>
        <w:t>in situ</w:t>
      </w:r>
      <w:r w:rsidRPr="00450991">
        <w:rPr>
          <w:rFonts w:ascii="Times New Roman" w:hAnsi="Times New Roman"/>
          <w:color w:val="000000"/>
          <w:sz w:val="20"/>
          <w:szCs w:val="20"/>
        </w:rPr>
        <w:t xml:space="preserve"> parameter measurements and water sample collection, a Global Positioning System (GPS) was used to locate the exact coordinate for each sampling station. Sample of surface water was collected about 10 cm below the surface using 500 ml HDPE bottles. Three replicate samples were collected from the respective sampling stations using specific bottles according to the </w:t>
      </w:r>
      <w:r>
        <w:rPr>
          <w:rFonts w:ascii="Times New Roman" w:hAnsi="Times New Roman"/>
          <w:color w:val="000000"/>
          <w:sz w:val="20"/>
          <w:szCs w:val="20"/>
        </w:rPr>
        <w:t>[14,</w:t>
      </w:r>
      <w:r w:rsidRPr="00450991">
        <w:rPr>
          <w:rFonts w:ascii="Times New Roman" w:hAnsi="Times New Roman"/>
          <w:color w:val="000000"/>
          <w:sz w:val="20"/>
          <w:szCs w:val="20"/>
        </w:rPr>
        <w:t>15] and labelled according to sampling station. Plastic bottles containing water samples were preserved using nitric acid, were stored at 4ºC in an icebox instantaneously after sampling and were used for laboratory analysis.</w:t>
      </w:r>
    </w:p>
    <w:p w:rsidR="00FF6CB3" w:rsidRPr="00450991" w:rsidRDefault="00FF6CB3" w:rsidP="00FF6CB3">
      <w:pPr>
        <w:tabs>
          <w:tab w:val="num" w:pos="567"/>
        </w:tabs>
        <w:spacing w:after="0" w:line="240" w:lineRule="auto"/>
        <w:contextualSpacing/>
        <w:jc w:val="both"/>
        <w:rPr>
          <w:rFonts w:ascii="Times New Roman" w:hAnsi="Times New Roman"/>
          <w:color w:val="000000"/>
          <w:sz w:val="20"/>
          <w:szCs w:val="20"/>
        </w:rPr>
      </w:pPr>
    </w:p>
    <w:p w:rsidR="00FF6CB3" w:rsidRPr="008C3E26" w:rsidRDefault="00FF6CB3" w:rsidP="00FF6CB3">
      <w:pPr>
        <w:tabs>
          <w:tab w:val="num" w:pos="567"/>
        </w:tabs>
        <w:spacing w:after="0" w:line="240" w:lineRule="auto"/>
        <w:contextualSpacing/>
        <w:jc w:val="both"/>
        <w:rPr>
          <w:rFonts w:ascii="Times New Roman" w:hAnsi="Times New Roman"/>
          <w:b/>
          <w:color w:val="000000"/>
          <w:sz w:val="20"/>
          <w:szCs w:val="20"/>
        </w:rPr>
      </w:pPr>
      <w:r w:rsidRPr="008C3E26">
        <w:rPr>
          <w:rFonts w:ascii="Times New Roman" w:hAnsi="Times New Roman"/>
          <w:b/>
          <w:color w:val="000000"/>
          <w:sz w:val="20"/>
          <w:szCs w:val="20"/>
        </w:rPr>
        <w:t xml:space="preserve">Measurement of </w:t>
      </w:r>
      <w:r w:rsidRPr="008C3E26">
        <w:rPr>
          <w:rFonts w:ascii="Times New Roman" w:hAnsi="Times New Roman"/>
          <w:b/>
          <w:i/>
          <w:color w:val="000000"/>
          <w:sz w:val="20"/>
          <w:szCs w:val="20"/>
        </w:rPr>
        <w:t>In Situ</w:t>
      </w:r>
      <w:r w:rsidRPr="008C3E26">
        <w:rPr>
          <w:rFonts w:ascii="Times New Roman" w:hAnsi="Times New Roman"/>
          <w:b/>
          <w:color w:val="000000"/>
          <w:sz w:val="20"/>
          <w:szCs w:val="20"/>
        </w:rPr>
        <w:t xml:space="preserve"> Parameters</w:t>
      </w:r>
    </w:p>
    <w:p w:rsidR="00FF6CB3" w:rsidRPr="00450991" w:rsidRDefault="00FF6CB3" w:rsidP="00FF6CB3">
      <w:pPr>
        <w:spacing w:after="0" w:line="240" w:lineRule="auto"/>
        <w:contextualSpacing/>
        <w:jc w:val="both"/>
        <w:rPr>
          <w:rFonts w:ascii="Times New Roman" w:hAnsi="Times New Roman"/>
          <w:color w:val="000000"/>
          <w:sz w:val="20"/>
          <w:szCs w:val="20"/>
        </w:rPr>
      </w:pPr>
      <w:r w:rsidRPr="00450991">
        <w:rPr>
          <w:rFonts w:ascii="Times New Roman" w:hAnsi="Times New Roman"/>
          <w:color w:val="000000"/>
          <w:sz w:val="20"/>
          <w:szCs w:val="20"/>
        </w:rPr>
        <w:t>Parameters such as temperature, dissolved oxygen, conductivity, salinity, pH and total dissolved solids (TDS) were directly measured in the field by using Multiparameter YSI 556 meter. All of these equipments were calibrated before taking any measurements in the field sampling.</w:t>
      </w:r>
    </w:p>
    <w:p w:rsidR="00FF6CB3" w:rsidRDefault="00FF6CB3" w:rsidP="00FF6CB3">
      <w:pPr>
        <w:tabs>
          <w:tab w:val="num" w:pos="567"/>
        </w:tabs>
        <w:spacing w:after="0" w:line="240" w:lineRule="auto"/>
        <w:contextualSpacing/>
        <w:jc w:val="both"/>
        <w:rPr>
          <w:rFonts w:ascii="Times New Roman" w:hAnsi="Times New Roman"/>
          <w:color w:val="000000"/>
          <w:sz w:val="20"/>
          <w:szCs w:val="20"/>
        </w:rPr>
      </w:pPr>
    </w:p>
    <w:p w:rsidR="00FF6CB3" w:rsidRPr="008C3E26" w:rsidRDefault="00FF6CB3" w:rsidP="00FF6CB3">
      <w:pPr>
        <w:tabs>
          <w:tab w:val="num" w:pos="567"/>
        </w:tabs>
        <w:spacing w:after="0" w:line="240" w:lineRule="auto"/>
        <w:contextualSpacing/>
        <w:jc w:val="both"/>
        <w:rPr>
          <w:rFonts w:ascii="Times New Roman" w:hAnsi="Times New Roman"/>
          <w:b/>
          <w:color w:val="000000"/>
          <w:sz w:val="20"/>
          <w:szCs w:val="20"/>
        </w:rPr>
      </w:pPr>
      <w:r w:rsidRPr="008C3E26">
        <w:rPr>
          <w:rFonts w:ascii="Times New Roman" w:hAnsi="Times New Roman"/>
          <w:b/>
          <w:color w:val="000000"/>
          <w:sz w:val="20"/>
          <w:szCs w:val="20"/>
        </w:rPr>
        <w:t>Laboratory Analysis</w:t>
      </w:r>
    </w:p>
    <w:p w:rsidR="00FF6CB3" w:rsidRPr="00450991" w:rsidRDefault="00FF6CB3" w:rsidP="00FF6CB3">
      <w:pPr>
        <w:spacing w:after="0" w:line="240" w:lineRule="auto"/>
        <w:contextualSpacing/>
        <w:jc w:val="both"/>
        <w:rPr>
          <w:rFonts w:ascii="Times New Roman" w:hAnsi="Times New Roman"/>
          <w:color w:val="000000"/>
          <w:sz w:val="20"/>
          <w:szCs w:val="20"/>
        </w:rPr>
      </w:pPr>
      <w:r w:rsidRPr="00450991">
        <w:rPr>
          <w:rFonts w:ascii="Times New Roman" w:hAnsi="Times New Roman"/>
          <w:color w:val="000000"/>
          <w:sz w:val="20"/>
          <w:szCs w:val="20"/>
        </w:rPr>
        <w:t xml:space="preserve">Analyses of water quality parameters such as </w:t>
      </w:r>
      <w:r w:rsidRPr="00450991">
        <w:rPr>
          <w:rFonts w:ascii="Times New Roman" w:hAnsi="Times New Roman"/>
          <w:sz w:val="20"/>
          <w:szCs w:val="20"/>
        </w:rPr>
        <w:t>sodium and magnesium conconcentrations in water sample had been analysed by using Atomic Absorption Spectrophotometer (AAS).</w:t>
      </w:r>
      <w:r w:rsidRPr="00450991">
        <w:rPr>
          <w:rFonts w:ascii="Times New Roman" w:hAnsi="Times New Roman"/>
          <w:color w:val="000000"/>
          <w:sz w:val="20"/>
          <w:szCs w:val="20"/>
        </w:rPr>
        <w:t>Analyses of sulphate was performed according to the standard method of analysis [14</w:t>
      </w:r>
      <w:r>
        <w:rPr>
          <w:rFonts w:ascii="Times New Roman" w:hAnsi="Times New Roman"/>
          <w:color w:val="000000"/>
          <w:sz w:val="20"/>
          <w:szCs w:val="20"/>
        </w:rPr>
        <w:t>,</w:t>
      </w:r>
      <w:r w:rsidRPr="00450991">
        <w:rPr>
          <w:rFonts w:ascii="Times New Roman" w:hAnsi="Times New Roman"/>
          <w:color w:val="000000"/>
          <w:sz w:val="20"/>
          <w:szCs w:val="20"/>
        </w:rPr>
        <w:t>15</w:t>
      </w:r>
      <w:r>
        <w:rPr>
          <w:rFonts w:ascii="Times New Roman" w:hAnsi="Times New Roman"/>
          <w:color w:val="000000"/>
          <w:sz w:val="20"/>
          <w:szCs w:val="20"/>
        </w:rPr>
        <w:t>,</w:t>
      </w:r>
      <w:r w:rsidRPr="00450991">
        <w:rPr>
          <w:rFonts w:ascii="Times New Roman" w:hAnsi="Times New Roman"/>
          <w:color w:val="000000"/>
          <w:sz w:val="20"/>
          <w:szCs w:val="20"/>
        </w:rPr>
        <w:t>16]. Reading for each physicochemical parameter was replicated three times for each station in order to minimize the errors.</w:t>
      </w:r>
    </w:p>
    <w:p w:rsidR="006768E9" w:rsidRPr="00F447A7" w:rsidRDefault="006768E9" w:rsidP="00FF6CB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F6CB3" w:rsidRPr="008C3E26" w:rsidRDefault="00FF6CB3" w:rsidP="00FF6CB3">
      <w:pPr>
        <w:spacing w:after="0" w:line="240" w:lineRule="auto"/>
        <w:jc w:val="both"/>
        <w:rPr>
          <w:rFonts w:ascii="Times New Roman" w:hAnsi="Times New Roman"/>
          <w:b/>
          <w:bCs/>
          <w:color w:val="000000"/>
          <w:sz w:val="20"/>
          <w:szCs w:val="20"/>
        </w:rPr>
      </w:pPr>
      <w:r>
        <w:rPr>
          <w:rFonts w:ascii="Times New Roman" w:hAnsi="Times New Roman"/>
          <w:b/>
          <w:bCs/>
          <w:color w:val="000000"/>
          <w:sz w:val="20"/>
          <w:szCs w:val="20"/>
        </w:rPr>
        <w:t>Water Q</w:t>
      </w:r>
      <w:r w:rsidRPr="008C3E26">
        <w:rPr>
          <w:rFonts w:ascii="Times New Roman" w:hAnsi="Times New Roman"/>
          <w:b/>
          <w:bCs/>
          <w:color w:val="000000"/>
          <w:sz w:val="20"/>
          <w:szCs w:val="20"/>
        </w:rPr>
        <w:t>uality Analysis</w:t>
      </w:r>
    </w:p>
    <w:p w:rsidR="00FF6CB3" w:rsidRPr="00450991" w:rsidRDefault="00FF6CB3" w:rsidP="00FF6CB3">
      <w:pPr>
        <w:pStyle w:val="ListParagraph"/>
        <w:spacing w:after="0" w:line="240" w:lineRule="auto"/>
        <w:ind w:left="0"/>
        <w:jc w:val="both"/>
        <w:rPr>
          <w:rFonts w:ascii="Times New Roman" w:hAnsi="Times New Roman"/>
          <w:bCs/>
          <w:color w:val="000000"/>
          <w:sz w:val="20"/>
          <w:szCs w:val="20"/>
        </w:rPr>
      </w:pPr>
      <w:r w:rsidRPr="00450991">
        <w:rPr>
          <w:rFonts w:ascii="Times New Roman" w:eastAsia="Batang" w:hAnsi="Times New Roman"/>
          <w:bCs/>
          <w:color w:val="000000"/>
          <w:sz w:val="20"/>
          <w:szCs w:val="20"/>
          <w:lang w:eastAsia="ko-KR"/>
        </w:rPr>
        <w:t xml:space="preserve">There are eight parameters have clear correlations with the influence of seawater movement in the river. Eight  parameters are including pH, dissolved oxygen, total dissolved solids, electrical conductivity (EC), salinity, sodium, sulphate and magnesium. The results for the physicochemical analysis of the river water samples from seven different sampling points in Paka River were analysed and recorded. </w:t>
      </w:r>
    </w:p>
    <w:p w:rsidR="00FF6CB3" w:rsidRPr="00450991" w:rsidRDefault="00FF6CB3" w:rsidP="00FF6CB3">
      <w:pPr>
        <w:spacing w:after="0" w:line="240" w:lineRule="auto"/>
        <w:rPr>
          <w:rFonts w:ascii="Times New Roman" w:hAnsi="Times New Roman"/>
          <w:sz w:val="20"/>
          <w:szCs w:val="20"/>
        </w:rPr>
      </w:pPr>
    </w:p>
    <w:p w:rsidR="00FF6CB3" w:rsidRPr="00D91E15" w:rsidRDefault="00FF6CB3" w:rsidP="00FF6CB3">
      <w:pPr>
        <w:spacing w:after="0" w:line="240" w:lineRule="auto"/>
        <w:rPr>
          <w:rFonts w:ascii="Times New Roman" w:hAnsi="Times New Roman"/>
          <w:b/>
          <w:sz w:val="20"/>
          <w:szCs w:val="20"/>
        </w:rPr>
      </w:pPr>
      <w:r w:rsidRPr="00D91E15">
        <w:rPr>
          <w:rFonts w:ascii="Times New Roman" w:hAnsi="Times New Roman"/>
          <w:b/>
          <w:sz w:val="20"/>
          <w:szCs w:val="20"/>
        </w:rPr>
        <w:t>pH</w:t>
      </w:r>
    </w:p>
    <w:p w:rsidR="00FF6CB3" w:rsidRDefault="00FF6CB3" w:rsidP="00FF6CB3">
      <w:pPr>
        <w:spacing w:after="0" w:line="240" w:lineRule="auto"/>
        <w:jc w:val="both"/>
        <w:rPr>
          <w:rFonts w:ascii="Times New Roman" w:hAnsi="Times New Roman"/>
          <w:color w:val="000000"/>
          <w:sz w:val="20"/>
          <w:szCs w:val="20"/>
        </w:rPr>
      </w:pPr>
      <w:r w:rsidRPr="00450991">
        <w:rPr>
          <w:rFonts w:ascii="Times New Roman" w:hAnsi="Times New Roman"/>
          <w:color w:val="000000"/>
          <w:sz w:val="20"/>
          <w:szCs w:val="20"/>
        </w:rPr>
        <w:t xml:space="preserve">The pH for seven stations was recorded and illustrated in graphs. The pH of Paka River at seven stations during the first sampling for high and low water tides were ranging from 5.19 to 6.80 </w:t>
      </w:r>
      <w:r>
        <w:rPr>
          <w:rFonts w:ascii="Times New Roman" w:hAnsi="Times New Roman"/>
          <w:color w:val="000000"/>
          <w:sz w:val="20"/>
          <w:szCs w:val="20"/>
        </w:rPr>
        <w:t>(</w:t>
      </w:r>
      <w:r w:rsidRPr="00450991">
        <w:rPr>
          <w:rFonts w:ascii="Times New Roman" w:hAnsi="Times New Roman"/>
          <w:bCs/>
          <w:color w:val="000000"/>
          <w:sz w:val="20"/>
          <w:szCs w:val="20"/>
        </w:rPr>
        <w:t xml:space="preserve">Figure </w:t>
      </w:r>
      <w:r w:rsidRPr="00450991">
        <w:rPr>
          <w:rFonts w:ascii="Times New Roman" w:hAnsi="Times New Roman"/>
          <w:color w:val="000000"/>
          <w:sz w:val="20"/>
          <w:szCs w:val="20"/>
        </w:rPr>
        <w:t>2a). Station 1 showed the highest reading of pH for both water tides, which are 6.43 during low tide and 6.80 during high tide. Whereas, the lowest pH was recorded at station 7 during low tide with a value of 5.19, and station 5 recorded the lowest pH during high tide with a value of 5.55</w:t>
      </w:r>
      <w:r>
        <w:rPr>
          <w:rFonts w:ascii="Times New Roman" w:hAnsi="Times New Roman"/>
          <w:color w:val="000000"/>
          <w:sz w:val="20"/>
          <w:szCs w:val="20"/>
        </w:rPr>
        <w:t xml:space="preserve"> (</w:t>
      </w:r>
      <w:r w:rsidRPr="00450991">
        <w:rPr>
          <w:rFonts w:ascii="Times New Roman" w:hAnsi="Times New Roman"/>
          <w:bCs/>
          <w:color w:val="000000"/>
          <w:sz w:val="20"/>
          <w:szCs w:val="20"/>
        </w:rPr>
        <w:t>Figure</w:t>
      </w:r>
      <w:r w:rsidRPr="00450991">
        <w:rPr>
          <w:rFonts w:ascii="Times New Roman" w:hAnsi="Times New Roman"/>
          <w:color w:val="000000"/>
          <w:sz w:val="20"/>
          <w:szCs w:val="20"/>
        </w:rPr>
        <w:t xml:space="preserve"> </w:t>
      </w:r>
      <w:r>
        <w:rPr>
          <w:rFonts w:ascii="Times New Roman" w:hAnsi="Times New Roman"/>
          <w:color w:val="000000"/>
          <w:sz w:val="20"/>
          <w:szCs w:val="20"/>
        </w:rPr>
        <w:t>2</w:t>
      </w:r>
      <w:r w:rsidRPr="00450991">
        <w:rPr>
          <w:rFonts w:ascii="Times New Roman" w:hAnsi="Times New Roman"/>
          <w:color w:val="000000"/>
          <w:sz w:val="20"/>
          <w:szCs w:val="20"/>
        </w:rPr>
        <w:t>a). Statistical analysis of one-way ANOVA revealed that there are significant differences (P &lt; 0.05) in pH between stations during the first sampling (df = 13, F = 8.585, P = 0.006).</w:t>
      </w:r>
    </w:p>
    <w:p w:rsidR="00FF6CB3" w:rsidRPr="00450991" w:rsidRDefault="00FF6CB3" w:rsidP="00FF6CB3">
      <w:pPr>
        <w:spacing w:after="0" w:line="240" w:lineRule="auto"/>
        <w:jc w:val="both"/>
        <w:rPr>
          <w:rFonts w:ascii="Times New Roman" w:hAnsi="Times New Roman"/>
          <w:color w:val="000000"/>
          <w:sz w:val="20"/>
          <w:szCs w:val="20"/>
        </w:rPr>
      </w:pPr>
    </w:p>
    <w:p w:rsidR="00FF6CB3" w:rsidRDefault="00FF6CB3" w:rsidP="00FF6CB3">
      <w:pPr>
        <w:spacing w:after="0" w:line="240" w:lineRule="auto"/>
        <w:jc w:val="both"/>
        <w:rPr>
          <w:rFonts w:ascii="Times New Roman" w:hAnsi="Times New Roman"/>
          <w:color w:val="000000"/>
          <w:sz w:val="20"/>
          <w:szCs w:val="20"/>
        </w:rPr>
      </w:pPr>
      <w:r w:rsidRPr="00450991">
        <w:rPr>
          <w:rFonts w:ascii="Times New Roman" w:hAnsi="Times New Roman"/>
          <w:color w:val="000000"/>
          <w:sz w:val="20"/>
          <w:szCs w:val="20"/>
        </w:rPr>
        <w:t>The pH of Paka River at seven stations during the second sampling for high and low water tides were ranging from 4.92 to 7.80 (</w:t>
      </w:r>
      <w:r w:rsidRPr="00450991">
        <w:rPr>
          <w:rFonts w:ascii="Times New Roman" w:hAnsi="Times New Roman"/>
          <w:bCs/>
          <w:color w:val="000000"/>
          <w:sz w:val="20"/>
          <w:szCs w:val="20"/>
        </w:rPr>
        <w:t xml:space="preserve">Figure </w:t>
      </w:r>
      <w:r w:rsidRPr="00450991">
        <w:rPr>
          <w:rFonts w:ascii="Times New Roman" w:hAnsi="Times New Roman"/>
          <w:color w:val="000000"/>
          <w:sz w:val="20"/>
          <w:szCs w:val="20"/>
        </w:rPr>
        <w:t>2b). The highest pH was recorded at station 1 for both water tides, which are 6.68 during low tide and 7.80 during high tide. Station 7 showed the lowest pH value of 5.02 during low tide, and station 6 showed the lowest pH value of 4.92 during high tide. The higher of pH value at station 1 is due to domestic water use and drainages from development areas near station 1 (</w:t>
      </w:r>
      <w:r w:rsidRPr="00450991">
        <w:rPr>
          <w:rFonts w:ascii="Times New Roman" w:hAnsi="Times New Roman"/>
          <w:bCs/>
          <w:color w:val="000000"/>
          <w:sz w:val="20"/>
          <w:szCs w:val="20"/>
        </w:rPr>
        <w:t xml:space="preserve">Figure </w:t>
      </w:r>
      <w:r>
        <w:rPr>
          <w:rFonts w:ascii="Times New Roman" w:hAnsi="Times New Roman"/>
          <w:color w:val="000000"/>
          <w:sz w:val="20"/>
          <w:szCs w:val="20"/>
        </w:rPr>
        <w:t>2</w:t>
      </w:r>
      <w:r w:rsidRPr="00450991">
        <w:rPr>
          <w:rFonts w:ascii="Times New Roman" w:hAnsi="Times New Roman"/>
          <w:color w:val="000000"/>
          <w:sz w:val="20"/>
          <w:szCs w:val="20"/>
        </w:rPr>
        <w:t xml:space="preserve">b). Statistical analysis of one-way ANOVA revealed that </w:t>
      </w:r>
      <w:r w:rsidRPr="00450991">
        <w:rPr>
          <w:rFonts w:ascii="Times New Roman" w:hAnsi="Times New Roman"/>
          <w:color w:val="000000"/>
          <w:sz w:val="20"/>
          <w:szCs w:val="20"/>
        </w:rPr>
        <w:lastRenderedPageBreak/>
        <w:t>there are significant differences (P &lt; 0.05) in pH between stations during the second sampling (df = 13, F = 8.685, P = 0.006).</w:t>
      </w:r>
    </w:p>
    <w:p w:rsidR="00955D88" w:rsidRPr="005E17E5" w:rsidRDefault="00097F95" w:rsidP="005E17E5">
      <w:pPr>
        <w:spacing w:after="0" w:line="240" w:lineRule="auto"/>
        <w:jc w:val="both"/>
        <w:rPr>
          <w:rFonts w:ascii="Times New Roman" w:hAnsi="Times New Roman"/>
          <w:color w:val="000000"/>
          <w:sz w:val="20"/>
          <w:szCs w:val="20"/>
        </w:rPr>
      </w:pPr>
      <w:r>
        <w:rPr>
          <w:noProof/>
          <w:lang w:bidi="ar-SA"/>
        </w:rPr>
        <mc:AlternateContent>
          <mc:Choice Requires="wps">
            <w:drawing>
              <wp:anchor distT="0" distB="0" distL="114300" distR="114300" simplePos="0" relativeHeight="251686912" behindDoc="0" locked="0" layoutInCell="1" allowOverlap="1" wp14:anchorId="53C915D7" wp14:editId="6457CDB1">
                <wp:simplePos x="0" y="0"/>
                <wp:positionH relativeFrom="column">
                  <wp:posOffset>238760</wp:posOffset>
                </wp:positionH>
                <wp:positionV relativeFrom="paragraph">
                  <wp:posOffset>326390</wp:posOffset>
                </wp:positionV>
                <wp:extent cx="256540" cy="249555"/>
                <wp:effectExtent l="0" t="0" r="10160" b="17145"/>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49555"/>
                        </a:xfrm>
                        <a:prstGeom prst="rect">
                          <a:avLst/>
                        </a:prstGeom>
                        <a:solidFill>
                          <a:sysClr val="window" lastClr="FFFFFF"/>
                        </a:solidFill>
                        <a:ln w="6350">
                          <a:solidFill>
                            <a:prstClr val="black"/>
                          </a:solidFill>
                        </a:ln>
                        <a:effectLst/>
                      </wps:spPr>
                      <wps:txbx>
                        <w:txbxContent>
                          <w:p w:rsidR="00955D88" w:rsidRPr="003E6CC9" w:rsidRDefault="00955D88" w:rsidP="00955D88">
                            <w:pPr>
                              <w:rPr>
                                <w:b/>
                              </w:rPr>
                            </w:pPr>
                            <w:r w:rsidRPr="003E6CC9">
                              <w:rPr>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21" o:spid="_x0000_s1027" type="#_x0000_t202" style="position:absolute;left:0;text-align:left;margin-left:18.8pt;margin-top:25.7pt;width:20.2pt;height:19.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" fillcolor="window" strokeweight=".5pt">
                <v:path arrowok="t"/>
                <v:textbox>
                  <w:txbxContent>
                    <w:p w:rsidR="00955D88" w:rsidRPr="003E6CC9" w:rsidRDefault="00955D88" w:rsidP="00955D88">
                      <w:pPr>
                        <w:rPr>
                          <w:b/>
                        </w:rPr>
                      </w:pPr>
                      <w:r w:rsidRPr="003E6CC9">
                        <w:rPr>
                          <w:b/>
                        </w:rPr>
                        <w:t>a</w:t>
                      </w:r>
                    </w:p>
                  </w:txbxContent>
                </v:textbox>
              </v:shape>
            </w:pict>
          </mc:Fallback>
        </mc:AlternateContent>
      </w:r>
      <w:r>
        <w:rPr>
          <w:noProof/>
          <w:lang w:bidi="ar-SA"/>
        </w:rPr>
        <w:drawing>
          <wp:anchor distT="6096" distB="8763" distL="120396" distR="122682" simplePos="0" relativeHeight="251679744" behindDoc="0" locked="0" layoutInCell="1" allowOverlap="1" wp14:anchorId="177AF16B" wp14:editId="628C61D9">
            <wp:simplePos x="0" y="0"/>
            <wp:positionH relativeFrom="column">
              <wp:posOffset>152146</wp:posOffset>
            </wp:positionH>
            <wp:positionV relativeFrom="paragraph">
              <wp:posOffset>244856</wp:posOffset>
            </wp:positionV>
            <wp:extent cx="5581650" cy="1380490"/>
            <wp:effectExtent l="0" t="0" r="19050" b="10160"/>
            <wp:wrapSquare wrapText="bothSides"/>
            <wp:docPr id="11"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78208" behindDoc="0" locked="0" layoutInCell="1" allowOverlap="1" wp14:anchorId="3E92A2B7" wp14:editId="1A791B01">
                <wp:simplePos x="0" y="0"/>
                <wp:positionH relativeFrom="column">
                  <wp:posOffset>180975</wp:posOffset>
                </wp:positionH>
                <wp:positionV relativeFrom="paragraph">
                  <wp:posOffset>1847215</wp:posOffset>
                </wp:positionV>
                <wp:extent cx="256540" cy="249555"/>
                <wp:effectExtent l="0" t="0" r="10160" b="1714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49555"/>
                        </a:xfrm>
                        <a:prstGeom prst="rect">
                          <a:avLst/>
                        </a:prstGeom>
                        <a:solidFill>
                          <a:sysClr val="window" lastClr="FFFFFF"/>
                        </a:solidFill>
                        <a:ln w="6350">
                          <a:solidFill>
                            <a:prstClr val="black"/>
                          </a:solidFill>
                        </a:ln>
                        <a:effectLst/>
                      </wps:spPr>
                      <wps:txbx>
                        <w:txbxContent>
                          <w:p w:rsidR="00955D88" w:rsidRPr="003E6CC9" w:rsidRDefault="00955D88" w:rsidP="00955D88">
                            <w:pPr>
                              <w:rPr>
                                <w:b/>
                              </w:rPr>
                            </w:pPr>
                            <w:r>
                              <w:rPr>
                                <w: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 o:spid="_x0000_s1028" type="#_x0000_t202" style="position:absolute;left:0;text-align:left;margin-left:14.25pt;margin-top:145.45pt;width:20.2pt;height:19.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" fillcolor="window" strokeweight=".5pt">
                <v:path arrowok="t"/>
                <v:textbox>
                  <w:txbxContent>
                    <w:p w:rsidR="00955D88" w:rsidRPr="003E6CC9" w:rsidRDefault="00955D88" w:rsidP="00955D88">
                      <w:pPr>
                        <w:rPr>
                          <w:b/>
                        </w:rPr>
                      </w:pPr>
                      <w:r>
                        <w:rPr>
                          <w:b/>
                        </w:rPr>
                        <w:t>b</w:t>
                      </w:r>
                    </w:p>
                  </w:txbxContent>
                </v:textbox>
              </v:shape>
            </w:pict>
          </mc:Fallback>
        </mc:AlternateContent>
      </w:r>
      <w:r>
        <w:rPr>
          <w:noProof/>
          <w:lang w:bidi="ar-SA"/>
        </w:rPr>
        <w:drawing>
          <wp:anchor distT="6096" distB="7620" distL="120396" distR="122682" simplePos="0" relativeHeight="251684864" behindDoc="0" locked="0" layoutInCell="1" allowOverlap="1" wp14:anchorId="330DA4A5" wp14:editId="2D721905">
            <wp:simplePos x="0" y="0"/>
            <wp:positionH relativeFrom="column">
              <wp:posOffset>152146</wp:posOffset>
            </wp:positionH>
            <wp:positionV relativeFrom="paragraph">
              <wp:posOffset>1773936</wp:posOffset>
            </wp:positionV>
            <wp:extent cx="5581650" cy="1333500"/>
            <wp:effectExtent l="0" t="0" r="19050" b="19050"/>
            <wp:wrapSquare wrapText="bothSides"/>
            <wp:docPr id="9"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955D88" w:rsidRDefault="005E17E5" w:rsidP="005E17E5">
      <w:pPr>
        <w:spacing w:after="0" w:line="240" w:lineRule="auto"/>
        <w:rPr>
          <w:rFonts w:ascii="Times New Roman" w:hAnsi="Times New Roman"/>
          <w:sz w:val="20"/>
          <w:szCs w:val="20"/>
        </w:rPr>
      </w:pPr>
      <w:r>
        <w:rPr>
          <w:noProof/>
          <w:lang w:bidi="ar-SA"/>
        </w:rPr>
        <mc:AlternateContent>
          <mc:Choice Requires="wps">
            <w:drawing>
              <wp:anchor distT="0" distB="0" distL="114300" distR="114300" simplePos="0" relativeHeight="251688960" behindDoc="0" locked="0" layoutInCell="1" allowOverlap="1" wp14:anchorId="12BCF039" wp14:editId="75586603">
                <wp:simplePos x="0" y="0"/>
                <wp:positionH relativeFrom="column">
                  <wp:posOffset>238125</wp:posOffset>
                </wp:positionH>
                <wp:positionV relativeFrom="paragraph">
                  <wp:posOffset>203200</wp:posOffset>
                </wp:positionV>
                <wp:extent cx="256540" cy="249555"/>
                <wp:effectExtent l="0" t="0" r="10160" b="17145"/>
                <wp:wrapNone/>
                <wp:docPr id="2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49555"/>
                        </a:xfrm>
                        <a:prstGeom prst="rect">
                          <a:avLst/>
                        </a:prstGeom>
                        <a:solidFill>
                          <a:sysClr val="window" lastClr="FFFFFF"/>
                        </a:solidFill>
                        <a:ln w="6350">
                          <a:solidFill>
                            <a:prstClr val="black"/>
                          </a:solidFill>
                        </a:ln>
                        <a:effectLst/>
                      </wps:spPr>
                      <wps:txbx>
                        <w:txbxContent>
                          <w:p w:rsidR="005E17E5" w:rsidRPr="003E6CC9" w:rsidRDefault="005E17E5" w:rsidP="005E17E5">
                            <w:pPr>
                              <w:rPr>
                                <w:b/>
                              </w:rPr>
                            </w:pPr>
                            <w:r>
                              <w:rPr>
                                <w: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margin-left:18.75pt;margin-top:16pt;width:20.2pt;height:19.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" fillcolor="window" strokeweight=".5pt">
                <v:path arrowok="t"/>
                <v:textbox>
                  <w:txbxContent>
                    <w:p w:rsidR="005E17E5" w:rsidRPr="003E6CC9" w:rsidRDefault="005E17E5" w:rsidP="005E17E5">
                      <w:pPr>
                        <w:rPr>
                          <w:b/>
                        </w:rPr>
                      </w:pPr>
                      <w:r>
                        <w:rPr>
                          <w:b/>
                        </w:rPr>
                        <w:t>b</w:t>
                      </w:r>
                    </w:p>
                  </w:txbxContent>
                </v:textbox>
              </v:shape>
            </w:pict>
          </mc:Fallback>
        </mc:AlternateContent>
      </w:r>
    </w:p>
    <w:p w:rsidR="00FF6CB3" w:rsidRPr="00FF6CB3" w:rsidRDefault="00FF6CB3" w:rsidP="00FF6CB3">
      <w:pPr>
        <w:spacing w:after="0" w:line="240" w:lineRule="auto"/>
        <w:jc w:val="center"/>
        <w:rPr>
          <w:rFonts w:ascii="Times New Roman" w:hAnsi="Times New Roman"/>
          <w:bCs/>
          <w:color w:val="000000"/>
          <w:sz w:val="20"/>
          <w:szCs w:val="20"/>
        </w:rPr>
      </w:pPr>
      <w:r w:rsidRPr="00450991">
        <w:rPr>
          <w:rFonts w:ascii="Times New Roman" w:hAnsi="Times New Roman"/>
          <w:sz w:val="20"/>
          <w:szCs w:val="20"/>
        </w:rPr>
        <w:t>Figure 2</w:t>
      </w:r>
      <w:r>
        <w:rPr>
          <w:rFonts w:ascii="Times New Roman" w:hAnsi="Times New Roman"/>
          <w:sz w:val="20"/>
          <w:szCs w:val="20"/>
        </w:rPr>
        <w:t xml:space="preserve">. </w:t>
      </w:r>
      <w:r w:rsidRPr="00450991">
        <w:rPr>
          <w:rFonts w:ascii="Times New Roman" w:hAnsi="Times New Roman"/>
          <w:sz w:val="20"/>
          <w:szCs w:val="20"/>
        </w:rPr>
        <w:t xml:space="preserve"> </w:t>
      </w:r>
      <w:r>
        <w:rPr>
          <w:rFonts w:ascii="Times New Roman" w:hAnsi="Times New Roman"/>
          <w:sz w:val="20"/>
          <w:szCs w:val="20"/>
        </w:rPr>
        <w:t xml:space="preserve"> </w:t>
      </w:r>
      <w:r w:rsidRPr="00450991">
        <w:rPr>
          <w:rFonts w:ascii="Times New Roman" w:hAnsi="Times New Roman"/>
          <w:bCs/>
          <w:color w:val="000000"/>
          <w:sz w:val="20"/>
          <w:szCs w:val="20"/>
        </w:rPr>
        <w:t>pH values at seven sampling stations during first (a) and second (b) samplings</w:t>
      </w:r>
    </w:p>
    <w:p w:rsidR="00FF6CB3" w:rsidRDefault="00FF6CB3" w:rsidP="00FF6CB3">
      <w:pPr>
        <w:spacing w:after="0" w:line="240" w:lineRule="auto"/>
        <w:rPr>
          <w:rFonts w:ascii="Times New Roman" w:hAnsi="Times New Roman"/>
          <w:sz w:val="20"/>
          <w:szCs w:val="20"/>
        </w:rPr>
      </w:pPr>
    </w:p>
    <w:p w:rsidR="00FF6CB3" w:rsidRPr="00450991" w:rsidRDefault="00FF6CB3" w:rsidP="00FF6CB3">
      <w:pPr>
        <w:spacing w:after="0" w:line="240" w:lineRule="auto"/>
        <w:rPr>
          <w:rFonts w:ascii="Times New Roman" w:hAnsi="Times New Roman"/>
          <w:sz w:val="20"/>
          <w:szCs w:val="20"/>
        </w:rPr>
      </w:pPr>
    </w:p>
    <w:p w:rsidR="00FF6CB3" w:rsidRPr="00D91E15" w:rsidRDefault="00FF6CB3" w:rsidP="00FF6CB3">
      <w:pPr>
        <w:spacing w:after="0" w:line="240" w:lineRule="auto"/>
        <w:rPr>
          <w:rFonts w:ascii="Times New Roman" w:hAnsi="Times New Roman"/>
          <w:b/>
          <w:sz w:val="20"/>
          <w:szCs w:val="20"/>
        </w:rPr>
      </w:pPr>
      <w:r w:rsidRPr="00D91E15">
        <w:rPr>
          <w:rFonts w:ascii="Times New Roman" w:eastAsia="Batang" w:hAnsi="Times New Roman"/>
          <w:b/>
          <w:color w:val="000000"/>
          <w:sz w:val="20"/>
          <w:szCs w:val="20"/>
          <w:lang w:val="en-SG" w:eastAsia="ko-KR"/>
        </w:rPr>
        <w:t xml:space="preserve">Total Dissolved Solids (TDS) </w:t>
      </w:r>
    </w:p>
    <w:p w:rsidR="00FF6CB3" w:rsidRPr="00450991" w:rsidRDefault="00FF6CB3" w:rsidP="00FF6CB3">
      <w:pPr>
        <w:pStyle w:val="Default"/>
        <w:jc w:val="both"/>
        <w:rPr>
          <w:sz w:val="20"/>
          <w:szCs w:val="20"/>
        </w:rPr>
      </w:pPr>
      <w:r w:rsidRPr="00450991">
        <w:rPr>
          <w:sz w:val="20"/>
          <w:szCs w:val="20"/>
        </w:rPr>
        <w:t>Common dissolved solids in freshwaters include calcium, nitrates, phosphates, irons and also soluble salts that yield ions such as sodium (Na</w:t>
      </w:r>
      <w:r w:rsidRPr="00450991">
        <w:rPr>
          <w:sz w:val="20"/>
          <w:szCs w:val="20"/>
          <w:vertAlign w:val="superscript"/>
        </w:rPr>
        <w:t>+</w:t>
      </w:r>
      <w:r w:rsidRPr="00450991">
        <w:rPr>
          <w:sz w:val="20"/>
          <w:szCs w:val="20"/>
        </w:rPr>
        <w:t>), chloride (Cl</w:t>
      </w:r>
      <w:r w:rsidRPr="00450991">
        <w:rPr>
          <w:sz w:val="20"/>
          <w:szCs w:val="20"/>
          <w:vertAlign w:val="superscript"/>
        </w:rPr>
        <w:t>-</w:t>
      </w:r>
      <w:r w:rsidRPr="00450991">
        <w:rPr>
          <w:sz w:val="20"/>
          <w:szCs w:val="20"/>
        </w:rPr>
        <w:t>), sulphate (SO</w:t>
      </w:r>
      <w:r w:rsidRPr="00450991">
        <w:rPr>
          <w:sz w:val="20"/>
          <w:szCs w:val="20"/>
          <w:vertAlign w:val="subscript"/>
        </w:rPr>
        <w:t>4</w:t>
      </w:r>
      <w:r w:rsidRPr="00450991">
        <w:rPr>
          <w:sz w:val="20"/>
          <w:szCs w:val="20"/>
          <w:vertAlign w:val="superscript"/>
        </w:rPr>
        <w:t>2-</w:t>
      </w:r>
      <w:r w:rsidRPr="00450991">
        <w:rPr>
          <w:sz w:val="20"/>
          <w:szCs w:val="20"/>
        </w:rPr>
        <w:t>), bicarbonate (HCO</w:t>
      </w:r>
      <w:r w:rsidRPr="00450991">
        <w:rPr>
          <w:sz w:val="20"/>
          <w:szCs w:val="20"/>
          <w:vertAlign w:val="superscript"/>
        </w:rPr>
        <w:t>3-</w:t>
      </w:r>
      <w:r w:rsidRPr="00450991">
        <w:rPr>
          <w:sz w:val="20"/>
          <w:szCs w:val="20"/>
        </w:rPr>
        <w:t>) and magnesium (Mg</w:t>
      </w:r>
      <w:r w:rsidRPr="00450991">
        <w:rPr>
          <w:sz w:val="20"/>
          <w:szCs w:val="20"/>
          <w:vertAlign w:val="superscript"/>
        </w:rPr>
        <w:t>2+</w:t>
      </w:r>
      <w:r w:rsidRPr="00450991">
        <w:rPr>
          <w:sz w:val="20"/>
          <w:szCs w:val="20"/>
        </w:rPr>
        <w:t>). Besides, water with high concentration of dissolved solids is usually salty water, while water with low concentrations of dissolved solids is commonly found in freshwater. The total dissolved solids of Paka River at seven stations during the first sampling for high and low water tides, with a range between 0.02 mg/L to 4.17 mg/L</w:t>
      </w:r>
      <w:r>
        <w:rPr>
          <w:sz w:val="20"/>
          <w:szCs w:val="20"/>
        </w:rPr>
        <w:t xml:space="preserve"> (</w:t>
      </w:r>
      <w:r w:rsidRPr="00450991">
        <w:rPr>
          <w:bCs/>
          <w:sz w:val="20"/>
          <w:szCs w:val="20"/>
        </w:rPr>
        <w:t>Figure</w:t>
      </w:r>
      <w:r w:rsidRPr="00450991">
        <w:rPr>
          <w:sz w:val="20"/>
          <w:szCs w:val="20"/>
        </w:rPr>
        <w:t xml:space="preserve"> 3a). The highest TDS was recorded at station 1 for both water tides, with values of 2.10 mg/L during low tide and 4.17 mg/L during high tide, respectively. The lowest TDS was recorded with an equal value of 0.02 mg/L at station 7 during low tide; and station 6 and station 7 during high tide (</w:t>
      </w:r>
      <w:r w:rsidRPr="00450991">
        <w:rPr>
          <w:bCs/>
          <w:sz w:val="20"/>
          <w:szCs w:val="20"/>
        </w:rPr>
        <w:t xml:space="preserve">Figure </w:t>
      </w:r>
      <w:r w:rsidRPr="00450991">
        <w:rPr>
          <w:sz w:val="20"/>
          <w:szCs w:val="20"/>
        </w:rPr>
        <w:t>3a). Station 1 was located at the nearest area to the estuaries of Paka River where the mixing process of seawater and freshwater commonly occurs. Statistical analysis of one-way ANOVA revealed that there are significant differences (P &lt; 0.05) in TDS between stations during the first sampling (df = 13, F = 5.053, P = 0.026).</w:t>
      </w:r>
    </w:p>
    <w:p w:rsidR="00FF6CB3" w:rsidRDefault="00FF6CB3" w:rsidP="00FF6CB3">
      <w:pPr>
        <w:spacing w:after="0" w:line="240" w:lineRule="auto"/>
        <w:jc w:val="both"/>
        <w:rPr>
          <w:rFonts w:ascii="Times New Roman" w:hAnsi="Times New Roman"/>
          <w:sz w:val="20"/>
          <w:szCs w:val="20"/>
        </w:rPr>
      </w:pPr>
    </w:p>
    <w:p w:rsidR="00955D88" w:rsidRDefault="00FF6CB3" w:rsidP="00FF6CB3">
      <w:pPr>
        <w:spacing w:after="0" w:line="240" w:lineRule="auto"/>
        <w:jc w:val="both"/>
        <w:rPr>
          <w:rFonts w:ascii="Times New Roman" w:hAnsi="Times New Roman"/>
          <w:sz w:val="20"/>
          <w:szCs w:val="20"/>
        </w:rPr>
      </w:pPr>
      <w:r w:rsidRPr="00450991">
        <w:rPr>
          <w:rFonts w:ascii="Times New Roman" w:hAnsi="Times New Roman"/>
          <w:sz w:val="20"/>
          <w:szCs w:val="20"/>
        </w:rPr>
        <w:t>During the second sampling, high and low water tides varied from 0.03 mg/L to 21.89 mg/L (</w:t>
      </w:r>
      <w:r w:rsidRPr="00450991">
        <w:rPr>
          <w:rFonts w:ascii="Times New Roman" w:hAnsi="Times New Roman"/>
          <w:bCs/>
          <w:color w:val="000000"/>
          <w:sz w:val="20"/>
          <w:szCs w:val="20"/>
        </w:rPr>
        <w:t xml:space="preserve">Figure </w:t>
      </w:r>
      <w:r w:rsidRPr="00450991">
        <w:rPr>
          <w:rFonts w:ascii="Times New Roman" w:hAnsi="Times New Roman"/>
          <w:sz w:val="20"/>
          <w:szCs w:val="20"/>
        </w:rPr>
        <w:t>3b). The highest TDS was at station 1 (2.75 mg/L) during low tide and 21.89 mg/L during high tide. Despite of that, water samples from both station 6 and station 7 showed the lowest TDS readings with a same value of 0.03 mg/L during low and high water tides (</w:t>
      </w:r>
      <w:r w:rsidRPr="00450991">
        <w:rPr>
          <w:rFonts w:ascii="Times New Roman" w:hAnsi="Times New Roman"/>
          <w:bCs/>
          <w:color w:val="000000"/>
          <w:sz w:val="20"/>
          <w:szCs w:val="20"/>
        </w:rPr>
        <w:t xml:space="preserve">Figure </w:t>
      </w:r>
      <w:r w:rsidRPr="00450991">
        <w:rPr>
          <w:rFonts w:ascii="Times New Roman" w:hAnsi="Times New Roman"/>
          <w:sz w:val="20"/>
          <w:szCs w:val="20"/>
        </w:rPr>
        <w:t>3b). Lower TDS found at stations located at the upstream mainly due to higher freshwater availability at the upstream and less salinity presents in the area since very little seawater intrudes to the upstream.Upstream area, especially at station 7 have lower waste discharges due to minimal human activities as compared to downstream areas, especially at station 1, which also one of the major contributors that affect of the high TDS concentrations.Statistical analysis of one-way ANOVA revealed that there are no significant differences (P &gt; 0.05) in TDS between stations during the second sampling.</w:t>
      </w:r>
    </w:p>
    <w:p w:rsidR="005E17E5" w:rsidRDefault="005E17E5" w:rsidP="00FF6CB3">
      <w:pPr>
        <w:spacing w:after="0" w:line="240" w:lineRule="auto"/>
        <w:jc w:val="both"/>
        <w:rPr>
          <w:rFonts w:ascii="Times New Roman" w:hAnsi="Times New Roman"/>
          <w:sz w:val="20"/>
          <w:szCs w:val="20"/>
        </w:rPr>
      </w:pPr>
      <w:r>
        <w:rPr>
          <w:noProof/>
          <w:lang w:bidi="ar-SA"/>
        </w:rPr>
        <w:lastRenderedPageBreak/>
        <w:drawing>
          <wp:anchor distT="6096" distB="8382" distL="120396" distR="123063" simplePos="0" relativeHeight="251693056" behindDoc="0" locked="0" layoutInCell="1" allowOverlap="1" wp14:anchorId="0E9AFFA2" wp14:editId="6B4D95FB">
            <wp:simplePos x="0" y="0"/>
            <wp:positionH relativeFrom="column">
              <wp:posOffset>190500</wp:posOffset>
            </wp:positionH>
            <wp:positionV relativeFrom="paragraph">
              <wp:posOffset>1531620</wp:posOffset>
            </wp:positionV>
            <wp:extent cx="5647690" cy="1466850"/>
            <wp:effectExtent l="0" t="0" r="10160" b="19050"/>
            <wp:wrapSquare wrapText="bothSides"/>
            <wp:docPr id="8" name="Chart 30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lang w:bidi="ar-SA"/>
        </w:rPr>
        <w:drawing>
          <wp:anchor distT="6096" distB="6096" distL="120396" distR="123063" simplePos="0" relativeHeight="251691008" behindDoc="0" locked="0" layoutInCell="1" allowOverlap="1" wp14:anchorId="1A7FBDDD" wp14:editId="31A38E8B">
            <wp:simplePos x="0" y="0"/>
            <wp:positionH relativeFrom="column">
              <wp:posOffset>191135</wp:posOffset>
            </wp:positionH>
            <wp:positionV relativeFrom="paragraph">
              <wp:posOffset>43815</wp:posOffset>
            </wp:positionV>
            <wp:extent cx="5647690" cy="1370965"/>
            <wp:effectExtent l="0" t="0" r="10160" b="19685"/>
            <wp:wrapSquare wrapText="bothSides"/>
            <wp:docPr id="27"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5E17E5" w:rsidRDefault="005E17E5" w:rsidP="005E17E5">
      <w:pPr>
        <w:spacing w:after="0" w:line="240" w:lineRule="auto"/>
        <w:jc w:val="center"/>
        <w:rPr>
          <w:rFonts w:ascii="Times New Roman" w:hAnsi="Times New Roman"/>
          <w:sz w:val="20"/>
          <w:szCs w:val="20"/>
        </w:rPr>
      </w:pPr>
      <w:r w:rsidRPr="004C58D7">
        <w:rPr>
          <w:rFonts w:ascii="Times New Roman" w:hAnsi="Times New Roman"/>
          <w:sz w:val="20"/>
          <w:szCs w:val="20"/>
          <w:lang w:val="ms-MY"/>
        </w:rPr>
        <w:t xml:space="preserve">Figure 3. </w:t>
      </w:r>
      <w:r w:rsidRPr="004C58D7">
        <w:rPr>
          <w:rFonts w:ascii="Times New Roman" w:hAnsi="Times New Roman"/>
          <w:bCs/>
          <w:color w:val="000000"/>
          <w:sz w:val="20"/>
          <w:szCs w:val="20"/>
          <w:lang w:val="ms-MY"/>
        </w:rPr>
        <w:t xml:space="preserve"> Total dissolved solid values at seven sampling stations during first (a) and second (b) samplings</w:t>
      </w:r>
    </w:p>
    <w:p w:rsidR="005E17E5" w:rsidRDefault="005E17E5" w:rsidP="00FF6CB3">
      <w:pPr>
        <w:spacing w:after="0" w:line="240" w:lineRule="auto"/>
        <w:jc w:val="both"/>
        <w:rPr>
          <w:rFonts w:ascii="Times New Roman" w:hAnsi="Times New Roman"/>
          <w:sz w:val="20"/>
          <w:szCs w:val="20"/>
        </w:rPr>
      </w:pPr>
    </w:p>
    <w:p w:rsidR="005E17E5" w:rsidRDefault="005E17E5" w:rsidP="00FF6CB3">
      <w:pPr>
        <w:spacing w:after="0" w:line="240" w:lineRule="auto"/>
        <w:jc w:val="both"/>
        <w:rPr>
          <w:rFonts w:ascii="Times New Roman" w:hAnsi="Times New Roman"/>
          <w:sz w:val="20"/>
          <w:szCs w:val="20"/>
        </w:rPr>
      </w:pPr>
    </w:p>
    <w:p w:rsidR="00FF6CB3" w:rsidRPr="00D91E15" w:rsidRDefault="00FF6CB3" w:rsidP="00FF6CB3">
      <w:pPr>
        <w:spacing w:after="0" w:line="240" w:lineRule="auto"/>
        <w:rPr>
          <w:rFonts w:ascii="Times New Roman" w:hAnsi="Times New Roman"/>
          <w:b/>
          <w:sz w:val="20"/>
          <w:szCs w:val="20"/>
        </w:rPr>
      </w:pPr>
      <w:r w:rsidRPr="00D91E15">
        <w:rPr>
          <w:rFonts w:ascii="Times New Roman" w:hAnsi="Times New Roman"/>
          <w:b/>
          <w:sz w:val="20"/>
          <w:szCs w:val="20"/>
        </w:rPr>
        <w:t>Salinity</w:t>
      </w:r>
    </w:p>
    <w:p w:rsidR="00FF6CB3" w:rsidRDefault="00FF6CB3" w:rsidP="00FF6CB3">
      <w:pPr>
        <w:spacing w:after="0" w:line="240" w:lineRule="auto"/>
        <w:jc w:val="both"/>
        <w:rPr>
          <w:rFonts w:ascii="Times New Roman" w:hAnsi="Times New Roman"/>
          <w:color w:val="000000"/>
          <w:sz w:val="20"/>
          <w:szCs w:val="20"/>
        </w:rPr>
      </w:pPr>
      <w:r w:rsidRPr="00450991">
        <w:rPr>
          <w:rFonts w:ascii="Times New Roman" w:hAnsi="Times New Roman"/>
          <w:color w:val="000000"/>
          <w:sz w:val="20"/>
          <w:szCs w:val="20"/>
        </w:rPr>
        <w:t>Salinity of the seven stations during the first sampling for high and low water tides were  ranging from 0.01 ppt to 3.48 ppt (Fig</w:t>
      </w:r>
      <w:r>
        <w:rPr>
          <w:rFonts w:ascii="Times New Roman" w:hAnsi="Times New Roman"/>
          <w:color w:val="000000"/>
          <w:sz w:val="20"/>
          <w:szCs w:val="20"/>
        </w:rPr>
        <w:t>ure</w:t>
      </w:r>
      <w:r w:rsidRPr="00450991">
        <w:rPr>
          <w:rFonts w:ascii="Times New Roman" w:hAnsi="Times New Roman"/>
          <w:color w:val="000000"/>
          <w:sz w:val="20"/>
          <w:szCs w:val="20"/>
        </w:rPr>
        <w:t xml:space="preserve"> 4a). The highest salinity was recorded at station 1 for both water tides, which are 1.68 ppt during low tide and 3.48 ppt during high tide. Meanwhile, station 6 and station 7 showed the lowest salinity during low tide with the same value of 0.01 ppt, and only station 7 showed the lowest salinity during high tide with a value of 0.01 ppt (Fig. 4a). </w:t>
      </w:r>
    </w:p>
    <w:p w:rsidR="00FF6CB3" w:rsidRDefault="00FF6CB3" w:rsidP="00FF6CB3">
      <w:pPr>
        <w:spacing w:after="0" w:line="240" w:lineRule="auto"/>
        <w:jc w:val="both"/>
        <w:rPr>
          <w:rFonts w:ascii="Times New Roman" w:hAnsi="Times New Roman"/>
          <w:color w:val="000000"/>
          <w:sz w:val="20"/>
          <w:szCs w:val="20"/>
        </w:rPr>
      </w:pPr>
    </w:p>
    <w:p w:rsidR="00FF6CB3" w:rsidRDefault="00FF6CB3" w:rsidP="00FF6CB3">
      <w:pPr>
        <w:spacing w:after="0" w:line="240" w:lineRule="auto"/>
        <w:jc w:val="both"/>
        <w:rPr>
          <w:rFonts w:ascii="Times New Roman" w:hAnsi="Times New Roman"/>
          <w:color w:val="000000"/>
          <w:sz w:val="20"/>
          <w:szCs w:val="20"/>
        </w:rPr>
      </w:pPr>
      <w:r w:rsidRPr="00450991">
        <w:rPr>
          <w:rFonts w:ascii="Times New Roman" w:hAnsi="Times New Roman"/>
          <w:color w:val="000000"/>
          <w:sz w:val="20"/>
          <w:szCs w:val="20"/>
        </w:rPr>
        <w:t>This is due to the higher discharge of freshwater from the upstream during the low tide. La Fond (1954) explained that the influence of freshwater discharge affects significantly on the salinity profile by declining the salinity of the surface water. However, salinity started to increase at station 6 during high tide, since seawater from the sea enter the present estuarine zone towards the upstream thus raise the salinity of surface water. This common type of salinity variation with the tide was also documented by several studies in the Bay of Bengal and deltaic Sundarbans (Mitra 2000) and in the tropical river Hooghly, India [17]. Statistical analysis of one-way ANOVA revealed that there are significant differences (P &lt; 0.05) in salinity between stations during the first sampling (df = 13, F = 4.776, P = 0.030).</w:t>
      </w:r>
    </w:p>
    <w:p w:rsidR="00FF6CB3" w:rsidRPr="00450991" w:rsidRDefault="00FF6CB3" w:rsidP="00FF6CB3">
      <w:pPr>
        <w:spacing w:after="0" w:line="240" w:lineRule="auto"/>
        <w:jc w:val="both"/>
        <w:rPr>
          <w:rFonts w:ascii="Times New Roman" w:hAnsi="Times New Roman"/>
          <w:color w:val="000000"/>
          <w:sz w:val="20"/>
          <w:szCs w:val="20"/>
        </w:rPr>
      </w:pPr>
    </w:p>
    <w:p w:rsidR="00FF6CB3" w:rsidRDefault="00FF6CB3" w:rsidP="00FF6CB3">
      <w:pPr>
        <w:spacing w:after="0" w:line="240" w:lineRule="auto"/>
        <w:jc w:val="both"/>
        <w:rPr>
          <w:rFonts w:ascii="Times New Roman" w:hAnsi="Times New Roman"/>
          <w:color w:val="000000"/>
          <w:sz w:val="20"/>
          <w:szCs w:val="20"/>
        </w:rPr>
      </w:pPr>
      <w:r w:rsidRPr="00450991">
        <w:rPr>
          <w:rFonts w:ascii="Times New Roman" w:hAnsi="Times New Roman"/>
          <w:color w:val="000000"/>
          <w:sz w:val="20"/>
          <w:szCs w:val="20"/>
        </w:rPr>
        <w:t>The salinity of Paka River at seven stations during the second sampling for high and low water tides were ranging from 0.02 ppt to 21.02 ppt (</w:t>
      </w:r>
      <w:r w:rsidRPr="00450991">
        <w:rPr>
          <w:rFonts w:ascii="Times New Roman" w:hAnsi="Times New Roman"/>
          <w:bCs/>
          <w:color w:val="000000"/>
          <w:sz w:val="20"/>
          <w:szCs w:val="20"/>
        </w:rPr>
        <w:t xml:space="preserve">Figure </w:t>
      </w:r>
      <w:r w:rsidRPr="00450991">
        <w:rPr>
          <w:rFonts w:ascii="Times New Roman" w:hAnsi="Times New Roman"/>
          <w:color w:val="000000"/>
          <w:sz w:val="20"/>
          <w:szCs w:val="20"/>
        </w:rPr>
        <w:t>4b). The highest salinity (21.02 ppt)  was recorded at station 1 during high tide and the lowest (2.23 ppt) during low tide for both water tides. Meanwhile, station 6 and 7 showed the lowest salinity for both water tides with the value of 0.02 ppt (</w:t>
      </w:r>
      <w:r w:rsidRPr="00450991">
        <w:rPr>
          <w:rFonts w:ascii="Times New Roman" w:hAnsi="Times New Roman"/>
          <w:bCs/>
          <w:color w:val="000000"/>
          <w:sz w:val="20"/>
          <w:szCs w:val="20"/>
        </w:rPr>
        <w:t xml:space="preserve">Figure </w:t>
      </w:r>
      <w:r w:rsidRPr="00450991">
        <w:rPr>
          <w:rFonts w:ascii="Times New Roman" w:hAnsi="Times New Roman"/>
          <w:color w:val="000000"/>
          <w:sz w:val="20"/>
          <w:szCs w:val="20"/>
        </w:rPr>
        <w:t xml:space="preserve">4b). Stations that are closer to the upstream shown a low salinity reading for low water tide, since higher freshwater discharge from the upstream, thus showing a negative relationship between salinity and freshwater discharge. </w:t>
      </w:r>
    </w:p>
    <w:p w:rsidR="00FF6CB3" w:rsidRDefault="00FF6CB3" w:rsidP="00FF6CB3">
      <w:pPr>
        <w:spacing w:after="0" w:line="240" w:lineRule="auto"/>
        <w:jc w:val="both"/>
        <w:rPr>
          <w:rFonts w:ascii="Times New Roman" w:hAnsi="Times New Roman"/>
          <w:color w:val="000000"/>
          <w:sz w:val="20"/>
          <w:szCs w:val="20"/>
        </w:rPr>
      </w:pPr>
    </w:p>
    <w:p w:rsidR="00E81873" w:rsidRPr="00450991" w:rsidRDefault="00E81873" w:rsidP="00E81873">
      <w:pPr>
        <w:spacing w:after="0" w:line="240" w:lineRule="auto"/>
        <w:jc w:val="both"/>
        <w:rPr>
          <w:rFonts w:ascii="Times New Roman" w:hAnsi="Times New Roman"/>
          <w:color w:val="000000"/>
          <w:sz w:val="20"/>
          <w:szCs w:val="20"/>
        </w:rPr>
      </w:pPr>
      <w:r w:rsidRPr="00450991">
        <w:rPr>
          <w:rFonts w:ascii="Times New Roman" w:hAnsi="Times New Roman"/>
          <w:color w:val="000000"/>
          <w:sz w:val="20"/>
          <w:szCs w:val="20"/>
        </w:rPr>
        <w:t>However, salinity readings at station 6 and station 7 at Paka River were similar for both water tides. This is because the seawater flow along the bottom of the river with incoming tides due to the higher density of seawater as compared to fresh water, thus a longer time required for the salinity of surface water to be affected during high tide. Statistical analysis of one-way ANOVA revealed that there are no significant differences (P &gt; 0.05) in salinity between stations during the second sampling.</w:t>
      </w:r>
      <w:r>
        <w:rPr>
          <w:rFonts w:ascii="Times New Roman" w:hAnsi="Times New Roman"/>
          <w:color w:val="000000"/>
          <w:sz w:val="20"/>
          <w:szCs w:val="20"/>
        </w:rPr>
        <w:t xml:space="preserve"> </w:t>
      </w:r>
    </w:p>
    <w:p w:rsidR="00E81873" w:rsidRDefault="00E81873" w:rsidP="00E81873">
      <w:pPr>
        <w:spacing w:after="0" w:line="240" w:lineRule="auto"/>
        <w:jc w:val="both"/>
        <w:rPr>
          <w:rFonts w:ascii="Times New Roman" w:hAnsi="Times New Roman"/>
          <w:color w:val="000000"/>
          <w:sz w:val="20"/>
          <w:szCs w:val="20"/>
        </w:rPr>
      </w:pPr>
      <w:r>
        <w:rPr>
          <w:noProof/>
          <w:lang w:bidi="ar-SA"/>
        </w:rPr>
        <w:lastRenderedPageBreak/>
        <mc:AlternateContent>
          <mc:Choice Requires="wps">
            <w:drawing>
              <wp:anchor distT="0" distB="0" distL="114300" distR="114300" simplePos="0" relativeHeight="251702272" behindDoc="0" locked="0" layoutInCell="1" allowOverlap="1" wp14:anchorId="2A3ED8B8" wp14:editId="480CDB17">
                <wp:simplePos x="0" y="0"/>
                <wp:positionH relativeFrom="column">
                  <wp:posOffset>210185</wp:posOffset>
                </wp:positionH>
                <wp:positionV relativeFrom="paragraph">
                  <wp:posOffset>215265</wp:posOffset>
                </wp:positionV>
                <wp:extent cx="256540" cy="249555"/>
                <wp:effectExtent l="0" t="0" r="10160" b="17145"/>
                <wp:wrapNone/>
                <wp:docPr id="28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49555"/>
                        </a:xfrm>
                        <a:prstGeom prst="rect">
                          <a:avLst/>
                        </a:prstGeom>
                        <a:solidFill>
                          <a:sysClr val="window" lastClr="FFFFFF"/>
                        </a:solidFill>
                        <a:ln w="6350">
                          <a:solidFill>
                            <a:prstClr val="black"/>
                          </a:solidFill>
                        </a:ln>
                        <a:effectLst/>
                      </wps:spPr>
                      <wps:txbx>
                        <w:txbxContent>
                          <w:p w:rsidR="00E81873" w:rsidRPr="003E6CC9" w:rsidRDefault="00E81873" w:rsidP="00E81873">
                            <w:pPr>
                              <w:rPr>
                                <w:b/>
                              </w:rPr>
                            </w:pPr>
                            <w:r>
                              <w:rPr>
                                <w:b/>
                              </w:rPr>
                              <w:t>b</w:t>
                            </w:r>
                            <w:r>
                              <w:rPr>
                                <w:b/>
                                <w:noProof/>
                                <w:lang w:bidi="ar-SA"/>
                              </w:rPr>
                              <w:drawing>
                                <wp:inline distT="0" distB="0" distL="0" distR="0" wp14:anchorId="42A3CDC1" wp14:editId="2119494B">
                                  <wp:extent cx="67310" cy="64906"/>
                                  <wp:effectExtent l="0" t="0" r="889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310" cy="649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0" type="#_x0000_t202" style="position:absolute;left:0;text-align:left;margin-left:16.55pt;margin-top:16.95pt;width:20.2pt;height:19.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" fillcolor="window" strokeweight=".5pt">
                <v:path arrowok="t"/>
                <v:textbox>
                  <w:txbxContent>
                    <w:p w:rsidR="00E81873" w:rsidRPr="003E6CC9" w:rsidRDefault="00E81873" w:rsidP="00E81873">
                      <w:pPr>
                        <w:rPr>
                          <w:b/>
                        </w:rPr>
                      </w:pPr>
                      <w:r>
                        <w:rPr>
                          <w:b/>
                        </w:rPr>
                        <w:t>b</w:t>
                      </w:r>
                      <w:r>
                        <w:rPr>
                          <w:b/>
                          <w:noProof/>
                          <w:lang w:bidi="ar-SA"/>
                        </w:rPr>
                        <w:drawing>
                          <wp:inline distT="0" distB="0" distL="0" distR="0" wp14:anchorId="42A3CDC1" wp14:editId="2119494B">
                            <wp:extent cx="67310" cy="64906"/>
                            <wp:effectExtent l="0" t="0" r="889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310" cy="64906"/>
                                    </a:xfrm>
                                    <a:prstGeom prst="rect">
                                      <a:avLst/>
                                    </a:prstGeom>
                                    <a:noFill/>
                                    <a:ln>
                                      <a:noFill/>
                                    </a:ln>
                                  </pic:spPr>
                                </pic:pic>
                              </a:graphicData>
                            </a:graphic>
                          </wp:inline>
                        </w:drawing>
                      </w:r>
                    </w:p>
                  </w:txbxContent>
                </v:textbox>
              </v:shape>
            </w:pict>
          </mc:Fallback>
        </mc:AlternateContent>
      </w:r>
      <w:r>
        <w:rPr>
          <w:noProof/>
          <w:lang w:bidi="ar-SA"/>
        </w:rPr>
        <mc:AlternateContent>
          <mc:Choice Requires="wps">
            <w:drawing>
              <wp:anchor distT="0" distB="0" distL="114300" distR="114300" simplePos="0" relativeHeight="251700224" behindDoc="0" locked="0" layoutInCell="1" allowOverlap="1" wp14:anchorId="5CEB4508" wp14:editId="48C431D3">
                <wp:simplePos x="0" y="0"/>
                <wp:positionH relativeFrom="column">
                  <wp:posOffset>180975</wp:posOffset>
                </wp:positionH>
                <wp:positionV relativeFrom="paragraph">
                  <wp:posOffset>-1480185</wp:posOffset>
                </wp:positionV>
                <wp:extent cx="256540" cy="249555"/>
                <wp:effectExtent l="0" t="0" r="10160" b="17145"/>
                <wp:wrapNone/>
                <wp:docPr id="3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49555"/>
                        </a:xfrm>
                        <a:prstGeom prst="rect">
                          <a:avLst/>
                        </a:prstGeom>
                        <a:solidFill>
                          <a:sysClr val="window" lastClr="FFFFFF"/>
                        </a:solidFill>
                        <a:ln w="6350">
                          <a:solidFill>
                            <a:prstClr val="black"/>
                          </a:solidFill>
                        </a:ln>
                        <a:effectLst/>
                      </wps:spPr>
                      <wps:txbx>
                        <w:txbxContent>
                          <w:p w:rsidR="00E81873" w:rsidRPr="003E6CC9" w:rsidRDefault="00E81873" w:rsidP="00E81873">
                            <w:pPr>
                              <w:rPr>
                                <w:b/>
                              </w:rPr>
                            </w:pPr>
                            <w:r w:rsidRPr="003E6CC9">
                              <w:rPr>
                                <w:b/>
                              </w:rPr>
                              <w:t>a</w:t>
                            </w:r>
                            <w:r>
                              <w:rPr>
                                <w:b/>
                                <w:noProof/>
                                <w:lang w:bidi="ar-SA"/>
                              </w:rPr>
                              <w:drawing>
                                <wp:inline distT="0" distB="0" distL="0" distR="0" wp14:anchorId="227E585D" wp14:editId="6410A945">
                                  <wp:extent cx="67310" cy="64906"/>
                                  <wp:effectExtent l="0" t="0" r="889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310" cy="649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1" type="#_x0000_t202" style="position:absolute;left:0;text-align:left;margin-left:14.25pt;margin-top:-116.55pt;width:20.2pt;height:19.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" fillcolor="window" strokeweight=".5pt">
                <v:path arrowok="t"/>
                <v:textbox>
                  <w:txbxContent>
                    <w:p w:rsidR="00E81873" w:rsidRPr="003E6CC9" w:rsidRDefault="00E81873" w:rsidP="00E81873">
                      <w:pPr>
                        <w:rPr>
                          <w:b/>
                        </w:rPr>
                      </w:pPr>
                      <w:r w:rsidRPr="003E6CC9">
                        <w:rPr>
                          <w:b/>
                        </w:rPr>
                        <w:t>a</w:t>
                      </w:r>
                      <w:r>
                        <w:rPr>
                          <w:b/>
                          <w:noProof/>
                          <w:lang w:bidi="ar-SA"/>
                        </w:rPr>
                        <w:drawing>
                          <wp:inline distT="0" distB="0" distL="0" distR="0" wp14:anchorId="227E585D" wp14:editId="6410A945">
                            <wp:extent cx="67310" cy="64906"/>
                            <wp:effectExtent l="0" t="0" r="889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310" cy="64906"/>
                                    </a:xfrm>
                                    <a:prstGeom prst="rect">
                                      <a:avLst/>
                                    </a:prstGeom>
                                    <a:noFill/>
                                    <a:ln>
                                      <a:noFill/>
                                    </a:ln>
                                  </pic:spPr>
                                </pic:pic>
                              </a:graphicData>
                            </a:graphic>
                          </wp:inline>
                        </w:drawing>
                      </w:r>
                    </w:p>
                  </w:txbxContent>
                </v:textbox>
              </v:shape>
            </w:pict>
          </mc:Fallback>
        </mc:AlternateContent>
      </w:r>
      <w:r w:rsidRPr="005E17E5">
        <w:rPr>
          <w:rFonts w:ascii="Times New Roman" w:hAnsi="Times New Roman"/>
          <w:noProof/>
          <w:sz w:val="20"/>
          <w:szCs w:val="20"/>
          <w:lang w:bidi="ar-SA"/>
        </w:rPr>
        <w:drawing>
          <wp:anchor distT="0" distB="0" distL="114300" distR="114300" simplePos="0" relativeHeight="251698176" behindDoc="0" locked="0" layoutInCell="1" allowOverlap="1" wp14:anchorId="270F7A97" wp14:editId="17DEC880">
            <wp:simplePos x="0" y="0"/>
            <wp:positionH relativeFrom="column">
              <wp:posOffset>133350</wp:posOffset>
            </wp:positionH>
            <wp:positionV relativeFrom="paragraph">
              <wp:posOffset>1755775</wp:posOffset>
            </wp:positionV>
            <wp:extent cx="5638800" cy="1571625"/>
            <wp:effectExtent l="0" t="0" r="19050" b="9525"/>
            <wp:wrapSquare wrapText="bothSides"/>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Pr="005E17E5">
        <w:rPr>
          <w:rFonts w:ascii="Times New Roman" w:hAnsi="Times New Roman"/>
          <w:noProof/>
          <w:sz w:val="20"/>
          <w:szCs w:val="20"/>
          <w:lang w:bidi="ar-SA"/>
        </w:rPr>
        <w:drawing>
          <wp:anchor distT="0" distB="0" distL="114300" distR="114300" simplePos="0" relativeHeight="251696128" behindDoc="0" locked="0" layoutInCell="1" allowOverlap="1" wp14:anchorId="0C14C439" wp14:editId="13B8793B">
            <wp:simplePos x="0" y="0"/>
            <wp:positionH relativeFrom="column">
              <wp:posOffset>133350</wp:posOffset>
            </wp:positionH>
            <wp:positionV relativeFrom="paragraph">
              <wp:posOffset>44450</wp:posOffset>
            </wp:positionV>
            <wp:extent cx="5638800" cy="1562100"/>
            <wp:effectExtent l="0" t="0" r="19050" b="19050"/>
            <wp:wrapSquare wrapText="bothSides"/>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E81873" w:rsidRDefault="00E81873" w:rsidP="00E81873">
      <w:pPr>
        <w:spacing w:after="0" w:line="240" w:lineRule="auto"/>
        <w:jc w:val="center"/>
        <w:rPr>
          <w:rFonts w:ascii="Times New Roman" w:hAnsi="Times New Roman"/>
          <w:bCs/>
          <w:color w:val="000000"/>
          <w:sz w:val="20"/>
          <w:szCs w:val="20"/>
        </w:rPr>
      </w:pPr>
      <w:r w:rsidRPr="00450991">
        <w:rPr>
          <w:rFonts w:ascii="Times New Roman" w:hAnsi="Times New Roman"/>
          <w:sz w:val="20"/>
          <w:szCs w:val="20"/>
        </w:rPr>
        <w:t>Figure 4</w:t>
      </w:r>
      <w:r>
        <w:rPr>
          <w:rFonts w:ascii="Times New Roman" w:hAnsi="Times New Roman"/>
          <w:sz w:val="20"/>
          <w:szCs w:val="20"/>
        </w:rPr>
        <w:t>.</w:t>
      </w:r>
      <w:r w:rsidRPr="00450991">
        <w:rPr>
          <w:rFonts w:ascii="Times New Roman" w:hAnsi="Times New Roman"/>
          <w:bCs/>
          <w:color w:val="000000"/>
          <w:sz w:val="20"/>
          <w:szCs w:val="20"/>
        </w:rPr>
        <w:t xml:space="preserve"> </w:t>
      </w:r>
      <w:r>
        <w:rPr>
          <w:rFonts w:ascii="Times New Roman" w:hAnsi="Times New Roman"/>
          <w:bCs/>
          <w:color w:val="000000"/>
          <w:sz w:val="20"/>
          <w:szCs w:val="20"/>
        </w:rPr>
        <w:t xml:space="preserve"> </w:t>
      </w:r>
      <w:r w:rsidRPr="00450991">
        <w:rPr>
          <w:rFonts w:ascii="Times New Roman" w:hAnsi="Times New Roman"/>
          <w:bCs/>
          <w:color w:val="000000"/>
          <w:sz w:val="20"/>
          <w:szCs w:val="20"/>
        </w:rPr>
        <w:t>Salinity values at seven sampling stations during first (a) and second (b) samplings</w:t>
      </w:r>
    </w:p>
    <w:p w:rsidR="006768E9" w:rsidRDefault="006768E9" w:rsidP="00E81873">
      <w:pPr>
        <w:spacing w:after="0" w:line="240" w:lineRule="auto"/>
        <w:jc w:val="both"/>
        <w:rPr>
          <w:rFonts w:ascii="Times New Roman" w:hAnsi="Times New Roman"/>
          <w:noProof/>
          <w:sz w:val="20"/>
          <w:szCs w:val="20"/>
          <w:lang w:bidi="ar-SA"/>
        </w:rPr>
      </w:pPr>
    </w:p>
    <w:p w:rsidR="006B5278" w:rsidRDefault="006B5278" w:rsidP="00E81873">
      <w:pPr>
        <w:spacing w:after="0" w:line="240" w:lineRule="auto"/>
        <w:jc w:val="both"/>
        <w:rPr>
          <w:rFonts w:ascii="Times New Roman" w:hAnsi="Times New Roman"/>
          <w:noProof/>
          <w:sz w:val="20"/>
          <w:szCs w:val="20"/>
          <w:lang w:bidi="ar-SA"/>
        </w:rPr>
      </w:pPr>
    </w:p>
    <w:p w:rsidR="00E81873" w:rsidRPr="00F636D2" w:rsidRDefault="00E81873" w:rsidP="00E81873">
      <w:pPr>
        <w:spacing w:after="0" w:line="240" w:lineRule="auto"/>
        <w:rPr>
          <w:rFonts w:ascii="Times New Roman" w:hAnsi="Times New Roman"/>
          <w:b/>
          <w:sz w:val="20"/>
          <w:szCs w:val="20"/>
        </w:rPr>
      </w:pPr>
      <w:r w:rsidRPr="00F636D2">
        <w:rPr>
          <w:rFonts w:ascii="Times New Roman" w:hAnsi="Times New Roman"/>
          <w:b/>
          <w:sz w:val="20"/>
          <w:szCs w:val="20"/>
        </w:rPr>
        <w:t>Conductivity</w:t>
      </w:r>
    </w:p>
    <w:p w:rsidR="00E81873" w:rsidRDefault="00E81873" w:rsidP="00E81873">
      <w:pPr>
        <w:spacing w:after="0" w:line="240" w:lineRule="auto"/>
        <w:jc w:val="both"/>
        <w:rPr>
          <w:rFonts w:ascii="Times New Roman" w:hAnsi="Times New Roman"/>
          <w:color w:val="000000"/>
          <w:sz w:val="20"/>
          <w:szCs w:val="20"/>
        </w:rPr>
      </w:pPr>
      <w:r w:rsidRPr="00450991">
        <w:rPr>
          <w:rFonts w:ascii="Times New Roman" w:hAnsi="Times New Roman"/>
          <w:color w:val="000000"/>
          <w:sz w:val="20"/>
          <w:szCs w:val="20"/>
        </w:rPr>
        <w:t>Conductivity in natural waters is a normalized measure of the ability of water to conduct an electric current, which mostly influenced by dissolving salts such as sodium chloride and potassium chloride. The conductivity of Paka River at seven stations during the first sampling for high and low tides were recorded and illustrated in Figure 5a. The conductivity of stations was varied, ranging from 33.00 µs/cm to 6809.67 µs/cm. Station 1 showed the highest reading of conductivity for both water tides, which are 3470.67 µs/cm during low tide and 6809.67 µs/cm during high tide. Meanwhile, the lowest conductivity showed by station 7 with values of 33.00 µs/cm during low tide and 35.00 µs/cm during high tide (</w:t>
      </w:r>
      <w:r w:rsidRPr="00450991">
        <w:rPr>
          <w:rFonts w:ascii="Times New Roman" w:hAnsi="Times New Roman"/>
          <w:bCs/>
          <w:color w:val="000000"/>
          <w:sz w:val="20"/>
          <w:szCs w:val="20"/>
        </w:rPr>
        <w:t xml:space="preserve">Figure </w:t>
      </w:r>
      <w:r w:rsidRPr="00450991">
        <w:rPr>
          <w:rFonts w:ascii="Times New Roman" w:hAnsi="Times New Roman"/>
          <w:color w:val="000000"/>
          <w:sz w:val="20"/>
          <w:szCs w:val="20"/>
        </w:rPr>
        <w:t>5a).  Statistical analysis of one-way ANOVA revealed that there are significant differences (P &lt; 0.05) in conductivity between stations during the first sampling (df = 13, F = 5.184, P = 0.024).</w:t>
      </w:r>
    </w:p>
    <w:p w:rsidR="00E81873" w:rsidRPr="00450991" w:rsidRDefault="00E81873" w:rsidP="00E81873">
      <w:pPr>
        <w:spacing w:after="0" w:line="240" w:lineRule="auto"/>
        <w:jc w:val="both"/>
        <w:rPr>
          <w:rFonts w:ascii="Times New Roman" w:hAnsi="Times New Roman"/>
          <w:color w:val="000000"/>
          <w:sz w:val="20"/>
          <w:szCs w:val="20"/>
        </w:rPr>
      </w:pPr>
    </w:p>
    <w:p w:rsidR="00E81873" w:rsidRDefault="00E81873" w:rsidP="00E81873">
      <w:pPr>
        <w:spacing w:after="0" w:line="240" w:lineRule="auto"/>
        <w:jc w:val="both"/>
        <w:rPr>
          <w:rFonts w:ascii="Times New Roman" w:hAnsi="Times New Roman"/>
          <w:color w:val="000000"/>
          <w:sz w:val="20"/>
          <w:szCs w:val="20"/>
        </w:rPr>
      </w:pPr>
      <w:r w:rsidRPr="00450991">
        <w:rPr>
          <w:rFonts w:ascii="Times New Roman" w:hAnsi="Times New Roman"/>
          <w:color w:val="000000"/>
          <w:sz w:val="20"/>
          <w:szCs w:val="20"/>
        </w:rPr>
        <w:t>The conductivity during the dry season for high and low water tides for the seven stations were ranging from 42.00 µs/cm to 35835.33 µs/cm (</w:t>
      </w:r>
      <w:r w:rsidRPr="00450991">
        <w:rPr>
          <w:rFonts w:ascii="Times New Roman" w:hAnsi="Times New Roman"/>
          <w:bCs/>
          <w:color w:val="000000"/>
          <w:sz w:val="20"/>
          <w:szCs w:val="20"/>
        </w:rPr>
        <w:t xml:space="preserve">Figure </w:t>
      </w:r>
      <w:r w:rsidRPr="00450991">
        <w:rPr>
          <w:rFonts w:ascii="Times New Roman" w:hAnsi="Times New Roman"/>
          <w:color w:val="000000"/>
          <w:sz w:val="20"/>
          <w:szCs w:val="20"/>
        </w:rPr>
        <w:t>5b). The highest conductivity was recorded at station 1 for both water tides, which are 4461.00 µs/cm during low tide and 35835.33 µs/cm during high tide. Whereas, station 7 showed the lowest conductivity with a value of 42.00 µs/cm during low tide, and station 6 showed the lowest conductivity with a value of 54.33 µs/cm during high tide. Higher conductivity can be found at station 1 especially during high tide since the rising tide enhances the seawater intrusion towards the river mouth, which station 1 was located. Statistical analysis of one-way ANOVA revealed that there are no significant differences (P &gt; 0.05) in conductivity between stations during the second sampling.</w:t>
      </w:r>
    </w:p>
    <w:p w:rsidR="00E81873" w:rsidRDefault="00E81873" w:rsidP="00E81873">
      <w:pPr>
        <w:spacing w:after="0" w:line="240" w:lineRule="auto"/>
        <w:jc w:val="both"/>
        <w:rPr>
          <w:rFonts w:ascii="Times New Roman" w:hAnsi="Times New Roman"/>
          <w:color w:val="000000"/>
          <w:sz w:val="20"/>
          <w:szCs w:val="20"/>
        </w:rPr>
      </w:pPr>
    </w:p>
    <w:p w:rsidR="00E81873" w:rsidRDefault="00E81873" w:rsidP="00E81873">
      <w:pPr>
        <w:spacing w:after="0" w:line="240" w:lineRule="auto"/>
        <w:jc w:val="both"/>
        <w:rPr>
          <w:rFonts w:ascii="Times New Roman" w:hAnsi="Times New Roman"/>
          <w:color w:val="000000"/>
          <w:sz w:val="20"/>
          <w:szCs w:val="20"/>
        </w:rPr>
      </w:pPr>
    </w:p>
    <w:p w:rsidR="006B5278" w:rsidRDefault="006B5278" w:rsidP="00E81873">
      <w:pPr>
        <w:spacing w:after="0" w:line="240" w:lineRule="auto"/>
        <w:jc w:val="both"/>
        <w:rPr>
          <w:rFonts w:ascii="Times New Roman" w:hAnsi="Times New Roman"/>
          <w:color w:val="000000"/>
          <w:sz w:val="20"/>
          <w:szCs w:val="20"/>
        </w:rPr>
      </w:pPr>
    </w:p>
    <w:p w:rsidR="006B5278" w:rsidRDefault="006B5278" w:rsidP="00E81873">
      <w:pPr>
        <w:spacing w:after="0" w:line="240" w:lineRule="auto"/>
        <w:jc w:val="both"/>
        <w:rPr>
          <w:rFonts w:ascii="Times New Roman" w:hAnsi="Times New Roman"/>
          <w:color w:val="000000"/>
          <w:sz w:val="20"/>
          <w:szCs w:val="20"/>
        </w:rPr>
      </w:pPr>
    </w:p>
    <w:p w:rsidR="006B5278" w:rsidRDefault="006B5278" w:rsidP="00E81873">
      <w:pPr>
        <w:spacing w:after="0" w:line="240" w:lineRule="auto"/>
        <w:jc w:val="both"/>
        <w:rPr>
          <w:rFonts w:ascii="Times New Roman" w:hAnsi="Times New Roman"/>
          <w:color w:val="000000"/>
          <w:sz w:val="20"/>
          <w:szCs w:val="20"/>
        </w:rPr>
      </w:pPr>
    </w:p>
    <w:p w:rsidR="006B5278" w:rsidRDefault="006B5278" w:rsidP="00E81873">
      <w:pPr>
        <w:spacing w:after="0" w:line="240" w:lineRule="auto"/>
        <w:jc w:val="both"/>
        <w:rPr>
          <w:rFonts w:ascii="Times New Roman" w:hAnsi="Times New Roman"/>
          <w:color w:val="000000"/>
          <w:sz w:val="20"/>
          <w:szCs w:val="20"/>
        </w:rPr>
      </w:pPr>
    </w:p>
    <w:p w:rsidR="006B5278" w:rsidRDefault="006B5278" w:rsidP="00E81873">
      <w:pPr>
        <w:spacing w:after="0" w:line="240" w:lineRule="auto"/>
        <w:jc w:val="both"/>
        <w:rPr>
          <w:rFonts w:ascii="Times New Roman" w:hAnsi="Times New Roman"/>
          <w:color w:val="000000"/>
          <w:sz w:val="20"/>
          <w:szCs w:val="20"/>
        </w:rPr>
      </w:pPr>
    </w:p>
    <w:p w:rsidR="00E81873" w:rsidRPr="00450991" w:rsidRDefault="00E77E39" w:rsidP="00E81873">
      <w:pPr>
        <w:spacing w:after="0" w:line="240" w:lineRule="auto"/>
        <w:jc w:val="both"/>
        <w:rPr>
          <w:rFonts w:ascii="Times New Roman" w:hAnsi="Times New Roman"/>
          <w:color w:val="000000"/>
          <w:sz w:val="20"/>
          <w:szCs w:val="20"/>
        </w:rPr>
      </w:pPr>
      <w:r>
        <w:rPr>
          <w:rFonts w:ascii="Times New Roman" w:hAnsi="Times New Roman"/>
          <w:noProof/>
          <w:sz w:val="20"/>
          <w:szCs w:val="20"/>
          <w:lang w:bidi="ar-SA"/>
        </w:rPr>
        <w:lastRenderedPageBreak/>
        <mc:AlternateContent>
          <mc:Choice Requires="wps">
            <w:drawing>
              <wp:anchor distT="0" distB="0" distL="114300" distR="114300" simplePos="0" relativeHeight="251713536" behindDoc="0" locked="0" layoutInCell="1" allowOverlap="1" wp14:anchorId="78DB68AF" wp14:editId="144C0CDE">
                <wp:simplePos x="0" y="0"/>
                <wp:positionH relativeFrom="column">
                  <wp:posOffset>238125</wp:posOffset>
                </wp:positionH>
                <wp:positionV relativeFrom="paragraph">
                  <wp:posOffset>177165</wp:posOffset>
                </wp:positionV>
                <wp:extent cx="267335" cy="267335"/>
                <wp:effectExtent l="0" t="0" r="18415" b="18415"/>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673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5E55" w:rsidRPr="00200A48" w:rsidRDefault="003E5E55" w:rsidP="003E5E55">
                            <w:pPr>
                              <w:rPr>
                                <w:b/>
                              </w:rPr>
                            </w:pPr>
                            <w:r w:rsidRPr="00200A48">
                              <w:rPr>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4" o:spid="_x0000_s1032" type="#_x0000_t202" style="position:absolute;left:0;text-align:left;margin-left:18.75pt;margin-top:13.95pt;width:21.05pt;height:21.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" fillcolor="white [3201]" strokeweight=".5pt">
                <v:path arrowok="t"/>
                <v:textbox>
                  <w:txbxContent>
                    <w:p w:rsidR="003E5E55" w:rsidRPr="00200A48" w:rsidRDefault="003E5E55" w:rsidP="003E5E55">
                      <w:pPr>
                        <w:rPr>
                          <w:b/>
                        </w:rPr>
                      </w:pPr>
                      <w:r w:rsidRPr="00200A48">
                        <w:rPr>
                          <w:b/>
                        </w:rPr>
                        <w:t>a</w:t>
                      </w:r>
                    </w:p>
                  </w:txbxContent>
                </v:textbox>
              </v:shape>
            </w:pict>
          </mc:Fallback>
        </mc:AlternateContent>
      </w:r>
      <w:r w:rsidR="003E5E55">
        <w:rPr>
          <w:rFonts w:ascii="Times New Roman" w:hAnsi="Times New Roman"/>
          <w:noProof/>
          <w:sz w:val="20"/>
          <w:szCs w:val="20"/>
          <w:lang w:bidi="ar-SA"/>
        </w:rPr>
        <mc:AlternateContent>
          <mc:Choice Requires="wps">
            <w:drawing>
              <wp:anchor distT="0" distB="0" distL="114300" distR="114300" simplePos="0" relativeHeight="251715584" behindDoc="0" locked="0" layoutInCell="1" allowOverlap="1" wp14:anchorId="41D61441" wp14:editId="4CD3EA96">
                <wp:simplePos x="0" y="0"/>
                <wp:positionH relativeFrom="column">
                  <wp:posOffset>238125</wp:posOffset>
                </wp:positionH>
                <wp:positionV relativeFrom="paragraph">
                  <wp:posOffset>2183130</wp:posOffset>
                </wp:positionV>
                <wp:extent cx="267335" cy="267335"/>
                <wp:effectExtent l="0" t="0" r="18415" b="18415"/>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673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5E55" w:rsidRPr="00200A48" w:rsidRDefault="003E5E55" w:rsidP="003E5E55">
                            <w:pPr>
                              <w:rPr>
                                <w:b/>
                              </w:rPr>
                            </w:pPr>
                            <w:r w:rsidRPr="00200A48">
                              <w:rPr>
                                <w: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2" o:spid="_x0000_s1033" type="#_x0000_t202" style="position:absolute;left:0;text-align:left;margin-left:18.75pt;margin-top:171.9pt;width:21.05pt;height:21.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" fillcolor="white [3201]" strokeweight=".5pt">
                <v:path arrowok="t"/>
                <v:textbox>
                  <w:txbxContent>
                    <w:p w:rsidR="003E5E55" w:rsidRPr="00200A48" w:rsidRDefault="003E5E55" w:rsidP="003E5E55">
                      <w:pPr>
                        <w:rPr>
                          <w:b/>
                        </w:rPr>
                      </w:pPr>
                      <w:r w:rsidRPr="00200A48">
                        <w:rPr>
                          <w:b/>
                        </w:rPr>
                        <w:t>b</w:t>
                      </w:r>
                    </w:p>
                  </w:txbxContent>
                </v:textbox>
              </v:shape>
            </w:pict>
          </mc:Fallback>
        </mc:AlternateContent>
      </w:r>
      <w:r w:rsidR="003E5E55" w:rsidRPr="00450991">
        <w:rPr>
          <w:rFonts w:ascii="Times New Roman" w:hAnsi="Times New Roman"/>
          <w:noProof/>
          <w:sz w:val="20"/>
          <w:szCs w:val="20"/>
          <w:lang w:bidi="ar-SA"/>
        </w:rPr>
        <w:drawing>
          <wp:anchor distT="0" distB="0" distL="114300" distR="114300" simplePos="0" relativeHeight="251711488" behindDoc="0" locked="0" layoutInCell="1" allowOverlap="1" wp14:anchorId="0B84BC64" wp14:editId="7E3C03D1">
            <wp:simplePos x="0" y="0"/>
            <wp:positionH relativeFrom="column">
              <wp:posOffset>180975</wp:posOffset>
            </wp:positionH>
            <wp:positionV relativeFrom="paragraph">
              <wp:posOffset>2075815</wp:posOffset>
            </wp:positionV>
            <wp:extent cx="5553075" cy="1762125"/>
            <wp:effectExtent l="0" t="0" r="9525" b="9525"/>
            <wp:wrapSquare wrapText="bothSides"/>
            <wp:docPr id="291" name="Chart 29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3E5E55" w:rsidRPr="00450991">
        <w:rPr>
          <w:rFonts w:ascii="Times New Roman" w:hAnsi="Times New Roman"/>
          <w:noProof/>
          <w:sz w:val="20"/>
          <w:szCs w:val="20"/>
          <w:lang w:bidi="ar-SA"/>
        </w:rPr>
        <w:drawing>
          <wp:anchor distT="0" distB="0" distL="114300" distR="114300" simplePos="0" relativeHeight="251709440" behindDoc="0" locked="0" layoutInCell="1" allowOverlap="1" wp14:anchorId="5F6B71AB" wp14:editId="37F499FE">
            <wp:simplePos x="0" y="0"/>
            <wp:positionH relativeFrom="column">
              <wp:posOffset>180975</wp:posOffset>
            </wp:positionH>
            <wp:positionV relativeFrom="paragraph">
              <wp:posOffset>95250</wp:posOffset>
            </wp:positionV>
            <wp:extent cx="5553075" cy="1866900"/>
            <wp:effectExtent l="0" t="0" r="9525" b="1905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6B5278">
        <w:rPr>
          <w:rFonts w:ascii="Times New Roman" w:hAnsi="Times New Roman"/>
          <w:color w:val="000000"/>
          <w:sz w:val="20"/>
          <w:szCs w:val="20"/>
        </w:rPr>
        <w:t xml:space="preserve"> </w:t>
      </w:r>
      <w:r w:rsidR="003E5E55">
        <w:rPr>
          <w:rFonts w:ascii="Times New Roman" w:hAnsi="Times New Roman"/>
          <w:color w:val="000000"/>
          <w:sz w:val="20"/>
          <w:szCs w:val="20"/>
        </w:rPr>
        <w:t xml:space="preserve">   </w:t>
      </w:r>
    </w:p>
    <w:p w:rsidR="00E81873" w:rsidRDefault="00E81873" w:rsidP="00E81873">
      <w:pPr>
        <w:spacing w:after="0" w:line="240" w:lineRule="auto"/>
        <w:jc w:val="center"/>
        <w:rPr>
          <w:rFonts w:ascii="Times New Roman" w:hAnsi="Times New Roman"/>
          <w:bCs/>
          <w:color w:val="000000"/>
          <w:sz w:val="20"/>
          <w:szCs w:val="20"/>
        </w:rPr>
      </w:pPr>
      <w:r w:rsidRPr="00450991">
        <w:rPr>
          <w:rFonts w:ascii="Times New Roman" w:hAnsi="Times New Roman"/>
          <w:sz w:val="20"/>
          <w:szCs w:val="20"/>
        </w:rPr>
        <w:t>Figure 5</w:t>
      </w:r>
      <w:r>
        <w:rPr>
          <w:rFonts w:ascii="Times New Roman" w:hAnsi="Times New Roman"/>
          <w:sz w:val="20"/>
          <w:szCs w:val="20"/>
        </w:rPr>
        <w:t>.</w:t>
      </w:r>
      <w:r w:rsidRPr="00450991">
        <w:rPr>
          <w:rFonts w:ascii="Times New Roman" w:hAnsi="Times New Roman"/>
          <w:bCs/>
          <w:color w:val="000000"/>
          <w:sz w:val="20"/>
          <w:szCs w:val="20"/>
        </w:rPr>
        <w:t xml:space="preserve"> Conductivity values at seven sampling stations during first (a) and second (b) samplings</w:t>
      </w:r>
    </w:p>
    <w:p w:rsidR="00E81873" w:rsidRDefault="00E81873" w:rsidP="003E5E55">
      <w:pPr>
        <w:spacing w:after="0" w:line="240" w:lineRule="auto"/>
        <w:jc w:val="both"/>
        <w:rPr>
          <w:rFonts w:ascii="Times New Roman" w:hAnsi="Times New Roman"/>
          <w:bCs/>
          <w:color w:val="000000"/>
          <w:sz w:val="20"/>
          <w:szCs w:val="20"/>
        </w:rPr>
      </w:pPr>
    </w:p>
    <w:p w:rsidR="003E5E55" w:rsidRPr="00450991" w:rsidRDefault="003E5E55" w:rsidP="003E5E55">
      <w:pPr>
        <w:spacing w:after="0" w:line="240" w:lineRule="auto"/>
        <w:jc w:val="both"/>
        <w:rPr>
          <w:rFonts w:ascii="Times New Roman" w:hAnsi="Times New Roman"/>
          <w:bCs/>
          <w:color w:val="000000"/>
          <w:sz w:val="20"/>
          <w:szCs w:val="20"/>
        </w:rPr>
      </w:pPr>
    </w:p>
    <w:p w:rsidR="00E81873" w:rsidRPr="00F636D2" w:rsidRDefault="00E81873" w:rsidP="00E81873">
      <w:pPr>
        <w:spacing w:after="0" w:line="240" w:lineRule="auto"/>
        <w:rPr>
          <w:rFonts w:ascii="Times New Roman" w:hAnsi="Times New Roman"/>
          <w:b/>
          <w:sz w:val="20"/>
          <w:szCs w:val="20"/>
        </w:rPr>
      </w:pPr>
      <w:r w:rsidRPr="00F636D2">
        <w:rPr>
          <w:rFonts w:ascii="Times New Roman" w:hAnsi="Times New Roman"/>
          <w:b/>
          <w:sz w:val="20"/>
          <w:szCs w:val="20"/>
        </w:rPr>
        <w:t>Sodium (Na)</w:t>
      </w:r>
    </w:p>
    <w:p w:rsidR="00E81873" w:rsidRDefault="00E81873" w:rsidP="00E81873">
      <w:pPr>
        <w:pStyle w:val="ListParagraph"/>
        <w:spacing w:after="0" w:line="240" w:lineRule="auto"/>
        <w:ind w:left="0" w:hanging="11"/>
        <w:jc w:val="both"/>
        <w:rPr>
          <w:rFonts w:ascii="Times New Roman" w:hAnsi="Times New Roman"/>
          <w:color w:val="000000"/>
          <w:sz w:val="20"/>
          <w:szCs w:val="20"/>
        </w:rPr>
      </w:pPr>
      <w:r w:rsidRPr="00450991">
        <w:rPr>
          <w:rFonts w:ascii="Times New Roman" w:hAnsi="Times New Roman"/>
          <w:color w:val="000000"/>
          <w:sz w:val="20"/>
          <w:szCs w:val="20"/>
        </w:rPr>
        <w:t>The sodium concentration of Paka River for high and low water tides at seven stations during  first sampling were ranging from 2.44 mg/L to 395.10 mg/L (</w:t>
      </w:r>
      <w:r w:rsidRPr="00450991">
        <w:rPr>
          <w:rFonts w:ascii="Times New Roman" w:hAnsi="Times New Roman"/>
          <w:bCs/>
          <w:color w:val="000000"/>
          <w:sz w:val="20"/>
          <w:szCs w:val="20"/>
        </w:rPr>
        <w:t xml:space="preserve">Figure </w:t>
      </w:r>
      <w:r w:rsidRPr="00450991">
        <w:rPr>
          <w:rFonts w:ascii="Times New Roman" w:hAnsi="Times New Roman"/>
          <w:color w:val="000000"/>
          <w:sz w:val="20"/>
          <w:szCs w:val="20"/>
        </w:rPr>
        <w:t xml:space="preserve">6a). The highest sodium concentration was recorded with the same values of 395.10 mg/L at station 1 and 2 during low tide and high tide. Sodium concentrations became lower when the distance of the station from the mouth river was increasing. Meanwhile, the lowest sodium concentration for both water tides was recorded at station 7 with the values of 2.77 mg/L (low tide) and 2.44 mg/L (high tide). </w:t>
      </w:r>
    </w:p>
    <w:p w:rsidR="00E81873" w:rsidRDefault="00E81873" w:rsidP="00E81873">
      <w:pPr>
        <w:pStyle w:val="ListParagraph"/>
        <w:spacing w:after="0" w:line="240" w:lineRule="auto"/>
        <w:ind w:left="0" w:hanging="11"/>
        <w:jc w:val="both"/>
        <w:rPr>
          <w:rFonts w:ascii="Times New Roman" w:hAnsi="Times New Roman"/>
          <w:color w:val="000000"/>
          <w:sz w:val="20"/>
          <w:szCs w:val="20"/>
        </w:rPr>
      </w:pPr>
    </w:p>
    <w:p w:rsidR="00E81873" w:rsidRDefault="00E81873" w:rsidP="00E81873">
      <w:pPr>
        <w:pStyle w:val="ListParagraph"/>
        <w:spacing w:after="0" w:line="240" w:lineRule="auto"/>
        <w:ind w:left="0" w:hanging="11"/>
        <w:jc w:val="both"/>
        <w:rPr>
          <w:rFonts w:ascii="Times New Roman" w:hAnsi="Times New Roman"/>
          <w:color w:val="000000"/>
          <w:sz w:val="20"/>
          <w:szCs w:val="20"/>
        </w:rPr>
      </w:pPr>
      <w:r w:rsidRPr="00450991">
        <w:rPr>
          <w:rFonts w:ascii="Times New Roman" w:hAnsi="Times New Roman"/>
          <w:color w:val="000000"/>
          <w:sz w:val="20"/>
          <w:szCs w:val="20"/>
        </w:rPr>
        <w:t>Downstream commonly has higher sodium concentrations due to the continual inflow of seawater from the sea, especially during high tide. Whereas, upstream having lower sodium concentration due to a minimum of seawater can reach the station since high freshwater flow from the upper part of the river.  Higher the water level and discharge the lower the value of any dissolved solute in the water, including sodium. Statistical analysis of one-way ANOVA revealed that there are significant differences (P &lt; 0.05) in sodium concentration between stations during the first sampling (df = 13, F = 68126.623, P = 0.000).</w:t>
      </w:r>
    </w:p>
    <w:p w:rsidR="00E81873" w:rsidRPr="00450991" w:rsidRDefault="00E81873" w:rsidP="00E81873">
      <w:pPr>
        <w:pStyle w:val="ListParagraph"/>
        <w:spacing w:after="0" w:line="240" w:lineRule="auto"/>
        <w:ind w:left="0" w:hanging="11"/>
        <w:jc w:val="both"/>
        <w:rPr>
          <w:rFonts w:ascii="Times New Roman" w:hAnsi="Times New Roman"/>
          <w:color w:val="000000"/>
          <w:sz w:val="20"/>
          <w:szCs w:val="20"/>
        </w:rPr>
      </w:pPr>
    </w:p>
    <w:p w:rsidR="00E81873" w:rsidRDefault="00E81873" w:rsidP="00E81873">
      <w:pPr>
        <w:pStyle w:val="ListParagraph"/>
        <w:spacing w:after="0" w:line="240" w:lineRule="auto"/>
        <w:ind w:left="0"/>
        <w:jc w:val="both"/>
        <w:rPr>
          <w:rFonts w:ascii="Times New Roman" w:hAnsi="Times New Roman"/>
          <w:color w:val="000000"/>
          <w:sz w:val="20"/>
          <w:szCs w:val="20"/>
        </w:rPr>
      </w:pPr>
      <w:r w:rsidRPr="00450991">
        <w:rPr>
          <w:rFonts w:ascii="Times New Roman" w:hAnsi="Times New Roman"/>
          <w:color w:val="000000"/>
          <w:sz w:val="20"/>
          <w:szCs w:val="20"/>
        </w:rPr>
        <w:t>The sodium concentration of high and low water tides during the second sampling were varied, ranging from 3.44 mg/L to 732.80 mg/L (</w:t>
      </w:r>
      <w:r w:rsidRPr="00450991">
        <w:rPr>
          <w:rFonts w:ascii="Times New Roman" w:hAnsi="Times New Roman"/>
          <w:bCs/>
          <w:color w:val="000000"/>
          <w:sz w:val="20"/>
          <w:szCs w:val="20"/>
        </w:rPr>
        <w:t xml:space="preserve">Figure </w:t>
      </w:r>
      <w:r w:rsidRPr="00450991">
        <w:rPr>
          <w:rFonts w:ascii="Times New Roman" w:hAnsi="Times New Roman"/>
          <w:color w:val="000000"/>
          <w:sz w:val="20"/>
          <w:szCs w:val="20"/>
        </w:rPr>
        <w:t xml:space="preserve">6b). The highest sodium concentration was recorded at station 1, 2 and 3 with a value of 732.80 mg/L during low tide. However, station 2, 3 and 4 showed the highest sodium concentration with a value of 732.80 mg/L during high tide. Meanwhile, station 7 showed the lowest sodium concentration for both water tides with values of 3.43 mg/L during low tide and 3.54 mg/L during high tide. </w:t>
      </w:r>
    </w:p>
    <w:p w:rsidR="003E5E55" w:rsidRDefault="003E5E55" w:rsidP="00E81873">
      <w:pPr>
        <w:pStyle w:val="ListParagraph"/>
        <w:spacing w:after="0" w:line="240" w:lineRule="auto"/>
        <w:ind w:left="0"/>
        <w:jc w:val="both"/>
        <w:rPr>
          <w:rFonts w:ascii="Times New Roman" w:hAnsi="Times New Roman"/>
          <w:color w:val="000000"/>
          <w:sz w:val="20"/>
          <w:szCs w:val="20"/>
        </w:rPr>
      </w:pPr>
    </w:p>
    <w:p w:rsidR="003E5E55" w:rsidRPr="00E77E39" w:rsidRDefault="003E5E55" w:rsidP="00E77E39">
      <w:pPr>
        <w:pStyle w:val="ListParagraph"/>
        <w:spacing w:after="0" w:line="240" w:lineRule="auto"/>
        <w:ind w:left="0"/>
        <w:jc w:val="both"/>
        <w:rPr>
          <w:rFonts w:ascii="Times New Roman" w:hAnsi="Times New Roman"/>
          <w:color w:val="000000"/>
          <w:sz w:val="20"/>
          <w:szCs w:val="20"/>
        </w:rPr>
      </w:pPr>
      <w:r w:rsidRPr="00450991">
        <w:rPr>
          <w:rFonts w:ascii="Times New Roman" w:hAnsi="Times New Roman"/>
          <w:color w:val="000000"/>
          <w:sz w:val="20"/>
          <w:szCs w:val="20"/>
        </w:rPr>
        <w:t xml:space="preserve">Station 1 did not show the highest sodium concentration during high tide due to natural disturbance which is the occurrence of heavy rainfall during the sampling of surface water at station 1, thus rainfall intensity influences the </w:t>
      </w:r>
      <w:r w:rsidRPr="00450991">
        <w:rPr>
          <w:rFonts w:ascii="Times New Roman" w:hAnsi="Times New Roman"/>
          <w:color w:val="000000"/>
          <w:sz w:val="20"/>
          <w:szCs w:val="20"/>
        </w:rPr>
        <w:lastRenderedPageBreak/>
        <w:t>sodium concentration of surface water. Statistical analysis of one-way ANOVA revealed that there are significant differences (P &lt; 0.05) in sodium between stations during the second sampling (df = 13, F = 8.407, P = 0.006).</w:t>
      </w:r>
    </w:p>
    <w:p w:rsidR="003E5E55" w:rsidRDefault="00E77E39" w:rsidP="00FF6CB3">
      <w:pPr>
        <w:spacing w:after="0" w:line="240" w:lineRule="auto"/>
        <w:jc w:val="center"/>
        <w:rPr>
          <w:rFonts w:ascii="Times New Roman" w:hAnsi="Times New Roman"/>
          <w:noProof/>
          <w:sz w:val="20"/>
          <w:szCs w:val="20"/>
          <w:lang w:bidi="ar-SA"/>
        </w:rPr>
      </w:pPr>
      <w:r w:rsidRPr="00450991">
        <w:rPr>
          <w:rFonts w:ascii="Times New Roman" w:hAnsi="Times New Roman"/>
          <w:noProof/>
          <w:sz w:val="20"/>
          <w:szCs w:val="20"/>
          <w:lang w:bidi="ar-SA"/>
        </w:rPr>
        <w:drawing>
          <wp:anchor distT="0" distB="0" distL="114300" distR="114300" simplePos="0" relativeHeight="251717632" behindDoc="0" locked="0" layoutInCell="1" allowOverlap="1" wp14:anchorId="38ED8383" wp14:editId="0ADB05C5">
            <wp:simplePos x="0" y="0"/>
            <wp:positionH relativeFrom="column">
              <wp:posOffset>247650</wp:posOffset>
            </wp:positionH>
            <wp:positionV relativeFrom="paragraph">
              <wp:posOffset>273050</wp:posOffset>
            </wp:positionV>
            <wp:extent cx="5505450" cy="1847850"/>
            <wp:effectExtent l="0" t="0" r="19050" b="19050"/>
            <wp:wrapSquare wrapText="bothSides"/>
            <wp:docPr id="295" name="Chart 29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rsidR="00E77E39" w:rsidRDefault="00E77E39" w:rsidP="00FF6CB3">
      <w:pPr>
        <w:spacing w:after="0" w:line="240" w:lineRule="auto"/>
        <w:jc w:val="center"/>
        <w:rPr>
          <w:rFonts w:ascii="Times New Roman" w:hAnsi="Times New Roman"/>
          <w:noProof/>
          <w:sz w:val="20"/>
          <w:szCs w:val="20"/>
          <w:lang w:bidi="ar-SA"/>
        </w:rPr>
      </w:pPr>
      <w:r w:rsidRPr="00450991">
        <w:rPr>
          <w:rFonts w:ascii="Times New Roman" w:hAnsi="Times New Roman"/>
          <w:noProof/>
          <w:sz w:val="20"/>
          <w:szCs w:val="20"/>
          <w:lang w:bidi="ar-SA"/>
        </w:rPr>
        <w:drawing>
          <wp:anchor distT="0" distB="0" distL="114300" distR="114300" simplePos="0" relativeHeight="251719680" behindDoc="0" locked="0" layoutInCell="1" allowOverlap="1" wp14:anchorId="0F790D7E" wp14:editId="320753B8">
            <wp:simplePos x="0" y="0"/>
            <wp:positionH relativeFrom="column">
              <wp:posOffset>247650</wp:posOffset>
            </wp:positionH>
            <wp:positionV relativeFrom="paragraph">
              <wp:posOffset>2082800</wp:posOffset>
            </wp:positionV>
            <wp:extent cx="5505450" cy="2000250"/>
            <wp:effectExtent l="0" t="0" r="19050" b="19050"/>
            <wp:wrapSquare wrapText="bothSides"/>
            <wp:docPr id="296" name="Chart 29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rsidR="00E77E39" w:rsidRDefault="00E77E39" w:rsidP="00E77E39">
      <w:pPr>
        <w:spacing w:after="0" w:line="240" w:lineRule="auto"/>
        <w:jc w:val="center"/>
        <w:rPr>
          <w:rFonts w:ascii="Times New Roman" w:hAnsi="Times New Roman"/>
          <w:bCs/>
          <w:color w:val="000000"/>
          <w:sz w:val="20"/>
          <w:szCs w:val="20"/>
        </w:rPr>
      </w:pPr>
      <w:r w:rsidRPr="00450991">
        <w:rPr>
          <w:rFonts w:ascii="Times New Roman" w:hAnsi="Times New Roman"/>
          <w:sz w:val="20"/>
          <w:szCs w:val="20"/>
        </w:rPr>
        <w:t>Figure 6</w:t>
      </w:r>
      <w:r>
        <w:rPr>
          <w:rFonts w:ascii="Times New Roman" w:hAnsi="Times New Roman"/>
          <w:sz w:val="20"/>
          <w:szCs w:val="20"/>
        </w:rPr>
        <w:t xml:space="preserve">.  </w:t>
      </w:r>
      <w:r w:rsidRPr="00450991">
        <w:rPr>
          <w:rFonts w:ascii="Times New Roman" w:hAnsi="Times New Roman"/>
          <w:bCs/>
          <w:color w:val="000000"/>
          <w:sz w:val="20"/>
          <w:szCs w:val="20"/>
        </w:rPr>
        <w:t>Sodium values at seven sampling stations during first (a) and second (b) samplings</w:t>
      </w:r>
    </w:p>
    <w:p w:rsidR="003E5E55" w:rsidRDefault="003E5E55" w:rsidP="00E77E39">
      <w:pPr>
        <w:spacing w:after="0" w:line="240" w:lineRule="auto"/>
        <w:jc w:val="both"/>
        <w:rPr>
          <w:rFonts w:ascii="Times New Roman" w:hAnsi="Times New Roman"/>
          <w:noProof/>
          <w:sz w:val="20"/>
          <w:szCs w:val="20"/>
          <w:lang w:bidi="ar-SA"/>
        </w:rPr>
      </w:pPr>
    </w:p>
    <w:p w:rsidR="003E5E55" w:rsidRDefault="003E5E55" w:rsidP="00E77E39">
      <w:pPr>
        <w:spacing w:after="0" w:line="240" w:lineRule="auto"/>
        <w:jc w:val="both"/>
        <w:rPr>
          <w:rFonts w:ascii="Times New Roman" w:hAnsi="Times New Roman"/>
          <w:noProof/>
          <w:sz w:val="20"/>
          <w:szCs w:val="20"/>
          <w:lang w:bidi="ar-SA"/>
        </w:rPr>
      </w:pPr>
    </w:p>
    <w:p w:rsidR="00E77E39" w:rsidRPr="00F636D2" w:rsidRDefault="00E77E39" w:rsidP="00E77E39">
      <w:pPr>
        <w:spacing w:after="0" w:line="240" w:lineRule="auto"/>
        <w:jc w:val="both"/>
        <w:rPr>
          <w:rFonts w:ascii="Times New Roman" w:hAnsi="Times New Roman"/>
          <w:b/>
          <w:sz w:val="20"/>
          <w:szCs w:val="20"/>
        </w:rPr>
      </w:pPr>
      <w:r w:rsidRPr="00F636D2">
        <w:rPr>
          <w:rFonts w:ascii="Times New Roman" w:hAnsi="Times New Roman"/>
          <w:b/>
          <w:sz w:val="20"/>
          <w:szCs w:val="20"/>
        </w:rPr>
        <w:t>Sulphate</w:t>
      </w:r>
    </w:p>
    <w:p w:rsidR="00E77E39" w:rsidRDefault="00E77E39" w:rsidP="00E77E39">
      <w:pPr>
        <w:spacing w:after="0" w:line="240" w:lineRule="auto"/>
        <w:jc w:val="both"/>
        <w:rPr>
          <w:rFonts w:ascii="Times New Roman" w:hAnsi="Times New Roman"/>
          <w:color w:val="000000"/>
          <w:sz w:val="20"/>
          <w:szCs w:val="20"/>
        </w:rPr>
      </w:pPr>
      <w:r w:rsidRPr="00450991">
        <w:rPr>
          <w:rFonts w:ascii="Times New Roman" w:hAnsi="Times New Roman"/>
          <w:color w:val="000000"/>
          <w:sz w:val="20"/>
          <w:szCs w:val="20"/>
        </w:rPr>
        <w:t>The sulphate concentration for seven stations of Paka River was recorded during first sampling between high and low water tides were ranging from 2.00 mg/L to 230.00 mg/L (</w:t>
      </w:r>
      <w:r w:rsidRPr="00450991">
        <w:rPr>
          <w:rFonts w:ascii="Times New Roman" w:hAnsi="Times New Roman"/>
          <w:bCs/>
          <w:color w:val="000000"/>
          <w:sz w:val="20"/>
          <w:szCs w:val="20"/>
        </w:rPr>
        <w:t xml:space="preserve">Figure </w:t>
      </w:r>
      <w:r w:rsidRPr="00450991">
        <w:rPr>
          <w:rFonts w:ascii="Times New Roman" w:hAnsi="Times New Roman"/>
          <w:color w:val="000000"/>
          <w:sz w:val="20"/>
          <w:szCs w:val="20"/>
        </w:rPr>
        <w:t>7a). The highest sulphate concentration was recorded at station 1 for both water tides, which are 26.00 mg/L during low tide and 230.00 mg/L during high tide. Meanwhile, station 7 showed the lowest sulphate concentration with a value of 2.00 mg/L during low tide, and station 6 showed the lowest sulphate concentration with a value of 3.00 mg/L during high tide (</w:t>
      </w:r>
      <w:r w:rsidRPr="00450991">
        <w:rPr>
          <w:rFonts w:ascii="Times New Roman" w:hAnsi="Times New Roman"/>
          <w:bCs/>
          <w:color w:val="000000"/>
          <w:sz w:val="20"/>
          <w:szCs w:val="20"/>
        </w:rPr>
        <w:t xml:space="preserve">Figure </w:t>
      </w:r>
      <w:r w:rsidRPr="00450991">
        <w:rPr>
          <w:rFonts w:ascii="Times New Roman" w:hAnsi="Times New Roman"/>
          <w:color w:val="000000"/>
          <w:sz w:val="20"/>
          <w:szCs w:val="20"/>
        </w:rPr>
        <w:t xml:space="preserve">7a). </w:t>
      </w:r>
    </w:p>
    <w:p w:rsidR="00E77E39" w:rsidRDefault="00E77E39" w:rsidP="00E77E39">
      <w:pPr>
        <w:spacing w:after="0" w:line="240" w:lineRule="auto"/>
        <w:jc w:val="both"/>
        <w:rPr>
          <w:rFonts w:ascii="Times New Roman" w:hAnsi="Times New Roman"/>
          <w:color w:val="000000"/>
          <w:sz w:val="20"/>
          <w:szCs w:val="20"/>
        </w:rPr>
      </w:pPr>
    </w:p>
    <w:p w:rsidR="00E77E39" w:rsidRDefault="00E77E39" w:rsidP="00E77E39">
      <w:pPr>
        <w:spacing w:after="0" w:line="240" w:lineRule="auto"/>
        <w:jc w:val="both"/>
        <w:rPr>
          <w:rFonts w:ascii="Times New Roman" w:hAnsi="Times New Roman"/>
          <w:color w:val="000000"/>
          <w:sz w:val="20"/>
          <w:szCs w:val="20"/>
        </w:rPr>
      </w:pPr>
      <w:r w:rsidRPr="00450991">
        <w:rPr>
          <w:rFonts w:ascii="Times New Roman" w:hAnsi="Times New Roman"/>
          <w:color w:val="000000"/>
          <w:sz w:val="20"/>
          <w:szCs w:val="20"/>
        </w:rPr>
        <w:t>Higher sulphate concentration at station 1 is mainly due to the inflow of seawater, especially during high tide, which can affect the ionic composition of the river. Statistical analysis of one-way ANOVA revealed that there are no significant differences (P &gt; 0.05) in sulphate concentration between stations during the first sampling.</w:t>
      </w:r>
    </w:p>
    <w:p w:rsidR="00E77E39" w:rsidRPr="00450991" w:rsidRDefault="00E77E39" w:rsidP="00E77E39">
      <w:pPr>
        <w:spacing w:after="0" w:line="240" w:lineRule="auto"/>
        <w:jc w:val="both"/>
        <w:rPr>
          <w:rFonts w:ascii="Times New Roman" w:hAnsi="Times New Roman"/>
          <w:color w:val="000000"/>
          <w:sz w:val="20"/>
          <w:szCs w:val="20"/>
        </w:rPr>
      </w:pPr>
    </w:p>
    <w:p w:rsidR="00E77E39" w:rsidRDefault="00E77E39" w:rsidP="00E77E39">
      <w:pPr>
        <w:spacing w:after="0" w:line="240" w:lineRule="auto"/>
        <w:jc w:val="both"/>
        <w:rPr>
          <w:rFonts w:ascii="Times New Roman" w:hAnsi="Times New Roman"/>
          <w:color w:val="000000"/>
          <w:sz w:val="20"/>
          <w:szCs w:val="20"/>
        </w:rPr>
      </w:pPr>
      <w:r w:rsidRPr="00450991">
        <w:rPr>
          <w:rFonts w:ascii="Times New Roman" w:hAnsi="Times New Roman"/>
          <w:color w:val="000000"/>
          <w:sz w:val="20"/>
          <w:szCs w:val="20"/>
        </w:rPr>
        <w:t>Sulphate concentration during the dry season for high and low water tides were ranging from 0.00 mg/L to 1800.00 mg/L (</w:t>
      </w:r>
      <w:r w:rsidRPr="00450991">
        <w:rPr>
          <w:rFonts w:ascii="Times New Roman" w:hAnsi="Times New Roman"/>
          <w:bCs/>
          <w:color w:val="000000"/>
          <w:sz w:val="20"/>
          <w:szCs w:val="20"/>
        </w:rPr>
        <w:t xml:space="preserve">Figure </w:t>
      </w:r>
      <w:r w:rsidRPr="00450991">
        <w:rPr>
          <w:rFonts w:ascii="Times New Roman" w:hAnsi="Times New Roman"/>
          <w:color w:val="000000"/>
          <w:sz w:val="20"/>
          <w:szCs w:val="20"/>
        </w:rPr>
        <w:t xml:space="preserve">7b). The highest sulphate concentration was recorded at station 1 for both water tides are 182.50 mg/L (low tide) and 1800.00 mg/L (high tide). Whereas, the lowest sulphate concentration during low tide with a value of 2.00 mg/L was shown at station 6, and the lowest sulphate concentration during high tide with a value of 0.00 mg/L was shown at station 7. </w:t>
      </w:r>
    </w:p>
    <w:p w:rsidR="00E77E39" w:rsidRDefault="00E77E39" w:rsidP="00E77E39">
      <w:pPr>
        <w:spacing w:after="0" w:line="240" w:lineRule="auto"/>
        <w:jc w:val="both"/>
        <w:rPr>
          <w:rFonts w:ascii="Times New Roman" w:hAnsi="Times New Roman"/>
          <w:color w:val="000000"/>
          <w:sz w:val="20"/>
          <w:szCs w:val="20"/>
        </w:rPr>
      </w:pPr>
    </w:p>
    <w:p w:rsidR="00E77E39" w:rsidRPr="00450991" w:rsidRDefault="00E77E39" w:rsidP="00E77E39">
      <w:pPr>
        <w:spacing w:after="0" w:line="240" w:lineRule="auto"/>
        <w:jc w:val="both"/>
        <w:rPr>
          <w:rFonts w:ascii="Times New Roman" w:hAnsi="Times New Roman"/>
          <w:color w:val="000000"/>
          <w:sz w:val="20"/>
          <w:szCs w:val="20"/>
        </w:rPr>
      </w:pPr>
      <w:r w:rsidRPr="00450991">
        <w:rPr>
          <w:rFonts w:ascii="Times New Roman" w:hAnsi="Times New Roman"/>
          <w:color w:val="000000"/>
          <w:sz w:val="20"/>
          <w:szCs w:val="20"/>
        </w:rPr>
        <w:lastRenderedPageBreak/>
        <w:t>Low sulphate composition at the upstream is due to higher freshwater discharge which can influence the dilution of sulphate composition at the study site, especially during low tide and seasonal fluctuation when there is high rainfall intensity. Sulphate levels upstream of Paka River ranged between 2.00 to 2.50 mg/l during low tide and from 0.00 to 2.50 mg/l during high tide for stations 5, 6 and 7 (</w:t>
      </w:r>
      <w:r w:rsidRPr="00450991">
        <w:rPr>
          <w:rFonts w:ascii="Times New Roman" w:hAnsi="Times New Roman"/>
          <w:bCs/>
          <w:color w:val="000000"/>
          <w:sz w:val="20"/>
          <w:szCs w:val="20"/>
        </w:rPr>
        <w:t xml:space="preserve">Figure </w:t>
      </w:r>
      <w:r w:rsidRPr="00450991">
        <w:rPr>
          <w:rFonts w:ascii="Times New Roman" w:hAnsi="Times New Roman"/>
          <w:color w:val="000000"/>
          <w:sz w:val="20"/>
          <w:szCs w:val="20"/>
        </w:rPr>
        <w:t>7b). Statistical analysis of one-way ANOVA revealed that there are no significant differences (P &gt; 0.05) in sulphate between stations during the second sampling.</w:t>
      </w:r>
    </w:p>
    <w:p w:rsidR="00E77E39" w:rsidRDefault="00E77E39" w:rsidP="00E77E39">
      <w:pPr>
        <w:spacing w:after="0" w:line="240" w:lineRule="auto"/>
        <w:rPr>
          <w:rFonts w:ascii="Times New Roman" w:hAnsi="Times New Roman"/>
          <w:sz w:val="20"/>
          <w:szCs w:val="20"/>
        </w:rPr>
      </w:pPr>
    </w:p>
    <w:p w:rsidR="00E77E39" w:rsidRDefault="00E77E39" w:rsidP="00E77E39">
      <w:pPr>
        <w:spacing w:after="0" w:line="240" w:lineRule="auto"/>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724800" behindDoc="0" locked="0" layoutInCell="1" allowOverlap="1" wp14:anchorId="3C57F5F8" wp14:editId="158403BD">
                <wp:simplePos x="0" y="0"/>
                <wp:positionH relativeFrom="column">
                  <wp:posOffset>332740</wp:posOffset>
                </wp:positionH>
                <wp:positionV relativeFrom="paragraph">
                  <wp:posOffset>215265</wp:posOffset>
                </wp:positionV>
                <wp:extent cx="267335" cy="267335"/>
                <wp:effectExtent l="0" t="0" r="18415" b="1841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673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77E39" w:rsidRPr="00200A48" w:rsidRDefault="00E77E39" w:rsidP="00E77E39">
                            <w:pPr>
                              <w:rPr>
                                <w:b/>
                              </w:rPr>
                            </w:pPr>
                            <w:r w:rsidRPr="00200A48">
                              <w:rPr>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2" o:spid="_x0000_s1034" type="#_x0000_t202" style="position:absolute;margin-left:26.2pt;margin-top:16.95pt;width:21.05pt;height:21.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" fillcolor="white [3201]" strokeweight=".5pt">
                <v:path arrowok="t"/>
                <v:textbox>
                  <w:txbxContent>
                    <w:p w:rsidR="00E77E39" w:rsidRPr="00200A48" w:rsidRDefault="00E77E39" w:rsidP="00E77E39">
                      <w:pPr>
                        <w:rPr>
                          <w:b/>
                        </w:rPr>
                      </w:pPr>
                      <w:r w:rsidRPr="00200A48">
                        <w:rPr>
                          <w:b/>
                        </w:rPr>
                        <w:t>a</w:t>
                      </w:r>
                    </w:p>
                  </w:txbxContent>
                </v:textbox>
              </v:shape>
            </w:pict>
          </mc:Fallback>
        </mc:AlternateContent>
      </w:r>
    </w:p>
    <w:p w:rsidR="00E77E39" w:rsidRDefault="00E77E39" w:rsidP="00E77E39">
      <w:pPr>
        <w:spacing w:after="0" w:line="240" w:lineRule="auto"/>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726848" behindDoc="0" locked="0" layoutInCell="1" allowOverlap="1" wp14:anchorId="2610A211" wp14:editId="67263C44">
                <wp:simplePos x="0" y="0"/>
                <wp:positionH relativeFrom="column">
                  <wp:posOffset>275590</wp:posOffset>
                </wp:positionH>
                <wp:positionV relativeFrom="paragraph">
                  <wp:posOffset>145415</wp:posOffset>
                </wp:positionV>
                <wp:extent cx="267335" cy="267335"/>
                <wp:effectExtent l="0" t="0" r="18415" b="1841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673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77E39" w:rsidRPr="00200A48" w:rsidRDefault="00E77E39" w:rsidP="00E77E39">
                            <w:pPr>
                              <w:rPr>
                                <w:b/>
                              </w:rPr>
                            </w:pPr>
                            <w:r>
                              <w:rPr>
                                <w: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4" o:spid="_x0000_s1035" type="#_x0000_t202" style="position:absolute;margin-left:21.7pt;margin-top:11.45pt;width:21.05pt;height:21.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" fillcolor="white [3201]" strokeweight=".5pt">
                <v:path arrowok="t"/>
                <v:textbox>
                  <w:txbxContent>
                    <w:p w:rsidR="00E77E39" w:rsidRPr="00200A48" w:rsidRDefault="00E77E39" w:rsidP="00E77E39">
                      <w:pPr>
                        <w:rPr>
                          <w:b/>
                        </w:rPr>
                      </w:pPr>
                      <w:r>
                        <w:rPr>
                          <w:b/>
                        </w:rPr>
                        <w:t>b</w:t>
                      </w:r>
                    </w:p>
                  </w:txbxContent>
                </v:textbox>
              </v:shape>
            </w:pict>
          </mc:Fallback>
        </mc:AlternateContent>
      </w:r>
      <w:r w:rsidRPr="00E77E39">
        <w:rPr>
          <w:rFonts w:ascii="Times New Roman" w:hAnsi="Times New Roman"/>
          <w:noProof/>
          <w:sz w:val="20"/>
          <w:szCs w:val="20"/>
          <w:lang w:bidi="ar-SA"/>
        </w:rPr>
        <w:drawing>
          <wp:anchor distT="0" distB="0" distL="114300" distR="114300" simplePos="0" relativeHeight="251721728" behindDoc="0" locked="0" layoutInCell="1" allowOverlap="1" wp14:anchorId="40E2F197" wp14:editId="5D5B157B">
            <wp:simplePos x="0" y="0"/>
            <wp:positionH relativeFrom="column">
              <wp:posOffset>200025</wp:posOffset>
            </wp:positionH>
            <wp:positionV relativeFrom="paragraph">
              <wp:posOffset>1682750</wp:posOffset>
            </wp:positionV>
            <wp:extent cx="5476875" cy="1628775"/>
            <wp:effectExtent l="0" t="0" r="9525" b="952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Pr="00E77E39">
        <w:rPr>
          <w:rFonts w:ascii="Times New Roman" w:hAnsi="Times New Roman"/>
          <w:noProof/>
          <w:sz w:val="20"/>
          <w:szCs w:val="20"/>
          <w:lang w:bidi="ar-SA"/>
        </w:rPr>
        <w:drawing>
          <wp:anchor distT="0" distB="0" distL="114300" distR="114300" simplePos="0" relativeHeight="251722752" behindDoc="0" locked="0" layoutInCell="1" allowOverlap="1" wp14:anchorId="0A53F18B" wp14:editId="51661D83">
            <wp:simplePos x="0" y="0"/>
            <wp:positionH relativeFrom="column">
              <wp:posOffset>200025</wp:posOffset>
            </wp:positionH>
            <wp:positionV relativeFrom="paragraph">
              <wp:posOffset>9525</wp:posOffset>
            </wp:positionV>
            <wp:extent cx="5476875" cy="1581150"/>
            <wp:effectExtent l="0" t="0" r="9525" b="19050"/>
            <wp:wrapSquare wrapText="bothSides"/>
            <wp:docPr id="299" name="Chart 29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rsidR="00E77E39" w:rsidRPr="00450991" w:rsidRDefault="00E77E39" w:rsidP="00E77E39">
      <w:pPr>
        <w:spacing w:after="0" w:line="240" w:lineRule="auto"/>
        <w:jc w:val="center"/>
        <w:rPr>
          <w:rFonts w:ascii="Times New Roman" w:hAnsi="Times New Roman"/>
          <w:bCs/>
          <w:color w:val="000000"/>
          <w:sz w:val="20"/>
          <w:szCs w:val="20"/>
        </w:rPr>
      </w:pPr>
      <w:r w:rsidRPr="00450991">
        <w:rPr>
          <w:rFonts w:ascii="Times New Roman" w:hAnsi="Times New Roman"/>
          <w:sz w:val="20"/>
          <w:szCs w:val="20"/>
        </w:rPr>
        <w:t>Figure 7</w:t>
      </w:r>
      <w:r>
        <w:rPr>
          <w:rFonts w:ascii="Times New Roman" w:hAnsi="Times New Roman"/>
          <w:sz w:val="20"/>
          <w:szCs w:val="20"/>
        </w:rPr>
        <w:t>.</w:t>
      </w:r>
      <w:r w:rsidRPr="00450991">
        <w:rPr>
          <w:rFonts w:ascii="Times New Roman" w:hAnsi="Times New Roman"/>
          <w:sz w:val="20"/>
          <w:szCs w:val="20"/>
        </w:rPr>
        <w:t xml:space="preserve"> </w:t>
      </w:r>
      <w:r w:rsidRPr="00450991">
        <w:rPr>
          <w:rFonts w:ascii="Times New Roman" w:hAnsi="Times New Roman"/>
          <w:bCs/>
          <w:color w:val="000000"/>
          <w:sz w:val="20"/>
          <w:szCs w:val="20"/>
        </w:rPr>
        <w:t xml:space="preserve"> </w:t>
      </w:r>
      <w:r>
        <w:rPr>
          <w:rFonts w:ascii="Times New Roman" w:hAnsi="Times New Roman"/>
          <w:bCs/>
          <w:color w:val="000000"/>
          <w:sz w:val="20"/>
          <w:szCs w:val="20"/>
        </w:rPr>
        <w:t xml:space="preserve"> </w:t>
      </w:r>
      <w:r w:rsidRPr="00450991">
        <w:rPr>
          <w:rFonts w:ascii="Times New Roman" w:hAnsi="Times New Roman"/>
          <w:bCs/>
          <w:color w:val="000000"/>
          <w:sz w:val="20"/>
          <w:szCs w:val="20"/>
        </w:rPr>
        <w:t>Sulphate values at seven sampling stations during first (a) and second (b) samplings</w:t>
      </w:r>
    </w:p>
    <w:p w:rsidR="003E5E55" w:rsidRDefault="003E5E55" w:rsidP="00E77E39">
      <w:pPr>
        <w:spacing w:after="0" w:line="240" w:lineRule="auto"/>
        <w:jc w:val="both"/>
        <w:rPr>
          <w:rFonts w:ascii="Times New Roman" w:hAnsi="Times New Roman"/>
          <w:noProof/>
          <w:sz w:val="20"/>
          <w:szCs w:val="20"/>
          <w:lang w:bidi="ar-SA"/>
        </w:rPr>
      </w:pPr>
    </w:p>
    <w:p w:rsidR="006D4AB4" w:rsidRDefault="006D4AB4" w:rsidP="00E77E39">
      <w:pPr>
        <w:spacing w:after="0" w:line="240" w:lineRule="auto"/>
        <w:jc w:val="both"/>
        <w:rPr>
          <w:rFonts w:ascii="Times New Roman" w:hAnsi="Times New Roman"/>
          <w:noProof/>
          <w:sz w:val="20"/>
          <w:szCs w:val="20"/>
          <w:lang w:bidi="ar-SA"/>
        </w:rPr>
      </w:pPr>
    </w:p>
    <w:p w:rsidR="006D4AB4" w:rsidRPr="00F636D2" w:rsidRDefault="006D4AB4" w:rsidP="006D4AB4">
      <w:pPr>
        <w:spacing w:after="0" w:line="240" w:lineRule="auto"/>
        <w:rPr>
          <w:rFonts w:ascii="Times New Roman" w:hAnsi="Times New Roman"/>
          <w:b/>
          <w:sz w:val="20"/>
          <w:szCs w:val="20"/>
        </w:rPr>
      </w:pPr>
      <w:r w:rsidRPr="00F636D2">
        <w:rPr>
          <w:rFonts w:ascii="Times New Roman" w:hAnsi="Times New Roman"/>
          <w:b/>
          <w:sz w:val="20"/>
          <w:szCs w:val="20"/>
        </w:rPr>
        <w:t>Magnesium</w:t>
      </w:r>
    </w:p>
    <w:p w:rsidR="006D4AB4" w:rsidRDefault="006D4AB4" w:rsidP="006D4AB4">
      <w:pPr>
        <w:spacing w:after="0" w:line="240" w:lineRule="auto"/>
        <w:jc w:val="both"/>
        <w:rPr>
          <w:rFonts w:ascii="Times New Roman" w:hAnsi="Times New Roman"/>
          <w:color w:val="000000"/>
          <w:sz w:val="20"/>
          <w:szCs w:val="20"/>
        </w:rPr>
      </w:pPr>
      <w:r w:rsidRPr="00450991">
        <w:rPr>
          <w:rFonts w:ascii="Times New Roman" w:hAnsi="Times New Roman"/>
          <w:color w:val="000000"/>
          <w:sz w:val="20"/>
          <w:szCs w:val="20"/>
        </w:rPr>
        <w:t>The concentration of magnesium ions of Paka River at seven stations for low and high water tides during first sampling were ranging between 0.66 mg/L to 131.13 mg/L (</w:t>
      </w:r>
      <w:r w:rsidRPr="00450991">
        <w:rPr>
          <w:rFonts w:ascii="Times New Roman" w:hAnsi="Times New Roman"/>
          <w:bCs/>
          <w:color w:val="000000"/>
          <w:sz w:val="20"/>
          <w:szCs w:val="20"/>
        </w:rPr>
        <w:t xml:space="preserve">Figure </w:t>
      </w:r>
      <w:r w:rsidRPr="00450991">
        <w:rPr>
          <w:rFonts w:ascii="Times New Roman" w:hAnsi="Times New Roman"/>
          <w:color w:val="000000"/>
          <w:sz w:val="20"/>
          <w:szCs w:val="20"/>
        </w:rPr>
        <w:t>8a). The highest magnesium ions were recorded at station 1 for both water tides, with values of 55.27 mg/L during low tide and 131.13 mg/L during high tide, respectively. Whereas, station 6 and station 7 recorded the lowest magnesium ions during low water tide with a similar value of 0.71 mg/L, and only station 7 showed the lowest magnesium ions during high water tide with a value of 0.66 mg/L (</w:t>
      </w:r>
      <w:r w:rsidRPr="00450991">
        <w:rPr>
          <w:rFonts w:ascii="Times New Roman" w:hAnsi="Times New Roman"/>
          <w:bCs/>
          <w:color w:val="000000"/>
          <w:sz w:val="20"/>
          <w:szCs w:val="20"/>
        </w:rPr>
        <w:t xml:space="preserve">Figure </w:t>
      </w:r>
      <w:r w:rsidRPr="00450991">
        <w:rPr>
          <w:rFonts w:ascii="Times New Roman" w:hAnsi="Times New Roman"/>
          <w:color w:val="000000"/>
          <w:sz w:val="20"/>
          <w:szCs w:val="20"/>
        </w:rPr>
        <w:t>8a). Statistical analysis of one-way ANOVA revealed that there are significant differences (P &lt; 0.05) in river width between stations during  the first sampling (df = 13, F = 4.146, P = 0.040).</w:t>
      </w:r>
    </w:p>
    <w:p w:rsidR="006D4AB4" w:rsidRPr="00450991" w:rsidRDefault="006D4AB4" w:rsidP="006D4AB4">
      <w:pPr>
        <w:spacing w:after="0" w:line="240" w:lineRule="auto"/>
        <w:jc w:val="both"/>
        <w:rPr>
          <w:rFonts w:ascii="Times New Roman" w:hAnsi="Times New Roman"/>
          <w:color w:val="000000"/>
          <w:sz w:val="20"/>
          <w:szCs w:val="20"/>
        </w:rPr>
      </w:pPr>
    </w:p>
    <w:p w:rsidR="006D4AB4" w:rsidRDefault="006D4AB4" w:rsidP="006D4AB4">
      <w:pPr>
        <w:spacing w:after="0" w:line="240" w:lineRule="auto"/>
        <w:jc w:val="both"/>
        <w:rPr>
          <w:rFonts w:ascii="Times New Roman" w:hAnsi="Times New Roman"/>
          <w:color w:val="000000"/>
          <w:sz w:val="20"/>
          <w:szCs w:val="20"/>
        </w:rPr>
      </w:pPr>
      <w:r w:rsidRPr="00450991">
        <w:rPr>
          <w:rFonts w:ascii="Times New Roman" w:hAnsi="Times New Roman"/>
          <w:color w:val="000000"/>
          <w:sz w:val="20"/>
          <w:szCs w:val="20"/>
        </w:rPr>
        <w:t>The magnesium concentration during the second sampling of low and high water tides were ranging from 0.86 mg/L to 1114.69 mg/L (</w:t>
      </w:r>
      <w:r w:rsidRPr="00450991">
        <w:rPr>
          <w:rFonts w:ascii="Times New Roman" w:hAnsi="Times New Roman"/>
          <w:bCs/>
          <w:color w:val="000000"/>
          <w:sz w:val="20"/>
          <w:szCs w:val="20"/>
        </w:rPr>
        <w:t xml:space="preserve">Figure </w:t>
      </w:r>
      <w:r w:rsidRPr="00450991">
        <w:rPr>
          <w:rFonts w:ascii="Times New Roman" w:hAnsi="Times New Roman"/>
          <w:color w:val="000000"/>
          <w:sz w:val="20"/>
          <w:szCs w:val="20"/>
        </w:rPr>
        <w:t>8b). Station 1 showed the highest magnesium concentration for both water tides with values of 89.01 mg/L during low tide and 1114.69 mg/L during high tide. The lowest magnesium concentration for both water tides was recorded at station 7 with 0.88 mg/L during low tide and 0.86 mg/L during high tide (</w:t>
      </w:r>
      <w:r w:rsidRPr="00450991">
        <w:rPr>
          <w:rFonts w:ascii="Times New Roman" w:hAnsi="Times New Roman"/>
          <w:bCs/>
          <w:color w:val="000000"/>
          <w:sz w:val="20"/>
          <w:szCs w:val="20"/>
        </w:rPr>
        <w:t xml:space="preserve">Figure </w:t>
      </w:r>
      <w:r w:rsidRPr="00450991">
        <w:rPr>
          <w:rFonts w:ascii="Times New Roman" w:hAnsi="Times New Roman"/>
          <w:color w:val="000000"/>
          <w:sz w:val="20"/>
          <w:szCs w:val="20"/>
        </w:rPr>
        <w:t>8b). Stations at upstream, especially station 7 showed lowest magnesium concentration due to these stations is less disturbed by the sea water intrusion from the estuary. Statistical analysis of one-way ANOVA revealed that there are no significant differences (P &gt; 0.05) in magnesium between stations during the second sampling.</w:t>
      </w:r>
    </w:p>
    <w:p w:rsidR="006D4AB4" w:rsidRDefault="006D4AB4" w:rsidP="006D4AB4">
      <w:pPr>
        <w:spacing w:after="0" w:line="240" w:lineRule="auto"/>
        <w:jc w:val="both"/>
        <w:rPr>
          <w:rFonts w:ascii="Times New Roman" w:hAnsi="Times New Roman"/>
          <w:color w:val="000000"/>
          <w:sz w:val="20"/>
          <w:szCs w:val="20"/>
        </w:rPr>
      </w:pPr>
    </w:p>
    <w:p w:rsidR="006D4AB4" w:rsidRDefault="006D4AB4" w:rsidP="006D4AB4">
      <w:pPr>
        <w:spacing w:after="0" w:line="240" w:lineRule="auto"/>
        <w:jc w:val="both"/>
        <w:rPr>
          <w:rFonts w:ascii="Times New Roman" w:hAnsi="Times New Roman"/>
          <w:color w:val="000000"/>
          <w:sz w:val="20"/>
          <w:szCs w:val="20"/>
        </w:rPr>
      </w:pPr>
    </w:p>
    <w:p w:rsidR="006D4AB4" w:rsidRDefault="006D4AB4" w:rsidP="006D4AB4">
      <w:pPr>
        <w:spacing w:after="0" w:line="240" w:lineRule="auto"/>
        <w:jc w:val="both"/>
        <w:rPr>
          <w:rFonts w:ascii="Times New Roman" w:hAnsi="Times New Roman"/>
          <w:color w:val="000000"/>
          <w:sz w:val="20"/>
          <w:szCs w:val="20"/>
        </w:rPr>
      </w:pPr>
    </w:p>
    <w:p w:rsidR="003E5E55" w:rsidRDefault="006D4AB4" w:rsidP="006D4AB4">
      <w:pPr>
        <w:spacing w:after="0" w:line="240" w:lineRule="auto"/>
        <w:jc w:val="both"/>
        <w:rPr>
          <w:rFonts w:ascii="Times New Roman" w:hAnsi="Times New Roman"/>
          <w:noProof/>
          <w:sz w:val="20"/>
          <w:szCs w:val="20"/>
          <w:lang w:bidi="ar-SA"/>
        </w:rPr>
      </w:pPr>
      <w:r>
        <w:rPr>
          <w:rFonts w:ascii="Times New Roman" w:hAnsi="Times New Roman"/>
          <w:noProof/>
          <w:sz w:val="20"/>
          <w:szCs w:val="20"/>
          <w:lang w:bidi="ar-SA"/>
        </w:rPr>
        <w:lastRenderedPageBreak/>
        <mc:AlternateContent>
          <mc:Choice Requires="wps">
            <w:drawing>
              <wp:anchor distT="0" distB="0" distL="114300" distR="114300" simplePos="0" relativeHeight="251734016" behindDoc="0" locked="0" layoutInCell="1" allowOverlap="1" wp14:anchorId="33124F88" wp14:editId="6081D9CA">
                <wp:simplePos x="0" y="0"/>
                <wp:positionH relativeFrom="column">
                  <wp:posOffset>275590</wp:posOffset>
                </wp:positionH>
                <wp:positionV relativeFrom="paragraph">
                  <wp:posOffset>193040</wp:posOffset>
                </wp:positionV>
                <wp:extent cx="267335" cy="267335"/>
                <wp:effectExtent l="0" t="0" r="18415" b="18415"/>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673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4AB4" w:rsidRPr="00200A48" w:rsidRDefault="006D4AB4" w:rsidP="006D4AB4">
                            <w:pPr>
                              <w:rPr>
                                <w:b/>
                              </w:rPr>
                            </w:pPr>
                            <w:r>
                              <w:rPr>
                                <w: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8" o:spid="_x0000_s1036" type="#_x0000_t202" style="position:absolute;left:0;text-align:left;margin-left:21.7pt;margin-top:15.2pt;width:21.05pt;height:21.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" fillcolor="white [3201]" strokeweight=".5pt">
                <v:path arrowok="t"/>
                <v:textbox>
                  <w:txbxContent>
                    <w:p w:rsidR="006D4AB4" w:rsidRPr="00200A48" w:rsidRDefault="006D4AB4" w:rsidP="006D4AB4">
                      <w:pPr>
                        <w:rPr>
                          <w:b/>
                        </w:rPr>
                      </w:pPr>
                      <w:r>
                        <w:rPr>
                          <w:b/>
                        </w:rPr>
                        <w:t>b</w:t>
                      </w:r>
                    </w:p>
                  </w:txbxContent>
                </v:textbox>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731968" behindDoc="0" locked="0" layoutInCell="1" allowOverlap="1" wp14:anchorId="3EE150A9" wp14:editId="64E039A3">
                <wp:simplePos x="0" y="0"/>
                <wp:positionH relativeFrom="column">
                  <wp:posOffset>275590</wp:posOffset>
                </wp:positionH>
                <wp:positionV relativeFrom="paragraph">
                  <wp:posOffset>-1397635</wp:posOffset>
                </wp:positionV>
                <wp:extent cx="267335" cy="267335"/>
                <wp:effectExtent l="0" t="0" r="18415" b="1841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673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4AB4" w:rsidRPr="00200A48" w:rsidRDefault="006D4AB4" w:rsidP="006D4AB4">
                            <w:pPr>
                              <w:rPr>
                                <w:b/>
                              </w:rPr>
                            </w:pPr>
                            <w:r w:rsidRPr="00200A48">
                              <w:rPr>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7" o:spid="_x0000_s1037" type="#_x0000_t202" style="position:absolute;left:0;text-align:left;margin-left:21.7pt;margin-top:-110.05pt;width:21.05pt;height:21.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" fillcolor="white [3201]" strokeweight=".5pt">
                <v:path arrowok="t"/>
                <v:textbox>
                  <w:txbxContent>
                    <w:p w:rsidR="006D4AB4" w:rsidRPr="00200A48" w:rsidRDefault="006D4AB4" w:rsidP="006D4AB4">
                      <w:pPr>
                        <w:rPr>
                          <w:b/>
                        </w:rPr>
                      </w:pPr>
                      <w:r w:rsidRPr="00200A48">
                        <w:rPr>
                          <w:b/>
                        </w:rPr>
                        <w:t>a</w:t>
                      </w:r>
                    </w:p>
                  </w:txbxContent>
                </v:textbox>
              </v:shape>
            </w:pict>
          </mc:Fallback>
        </mc:AlternateContent>
      </w:r>
      <w:r w:rsidRPr="006D4AB4">
        <w:rPr>
          <w:rFonts w:ascii="Times New Roman" w:hAnsi="Times New Roman"/>
          <w:noProof/>
          <w:sz w:val="20"/>
          <w:szCs w:val="20"/>
          <w:lang w:bidi="ar-SA"/>
        </w:rPr>
        <w:drawing>
          <wp:anchor distT="0" distB="0" distL="114300" distR="114300" simplePos="0" relativeHeight="251729920" behindDoc="0" locked="0" layoutInCell="1" allowOverlap="1" wp14:anchorId="4AA247FD" wp14:editId="4EB086A8">
            <wp:simplePos x="0" y="0"/>
            <wp:positionH relativeFrom="column">
              <wp:posOffset>219075</wp:posOffset>
            </wp:positionH>
            <wp:positionV relativeFrom="paragraph">
              <wp:posOffset>22225</wp:posOffset>
            </wp:positionV>
            <wp:extent cx="5543550" cy="1447800"/>
            <wp:effectExtent l="0" t="0" r="19050" b="19050"/>
            <wp:wrapSquare wrapText="bothSides"/>
            <wp:docPr id="306" name="Chart 30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r w:rsidRPr="006D4AB4">
        <w:rPr>
          <w:rFonts w:ascii="Times New Roman" w:hAnsi="Times New Roman"/>
          <w:noProof/>
          <w:sz w:val="20"/>
          <w:szCs w:val="20"/>
          <w:lang w:bidi="ar-SA"/>
        </w:rPr>
        <w:drawing>
          <wp:anchor distT="0" distB="0" distL="114300" distR="114300" simplePos="0" relativeHeight="251728896" behindDoc="0" locked="0" layoutInCell="1" allowOverlap="1" wp14:anchorId="63F52569" wp14:editId="4EA9294D">
            <wp:simplePos x="0" y="0"/>
            <wp:positionH relativeFrom="column">
              <wp:posOffset>219075</wp:posOffset>
            </wp:positionH>
            <wp:positionV relativeFrom="paragraph">
              <wp:posOffset>1616075</wp:posOffset>
            </wp:positionV>
            <wp:extent cx="5543550" cy="1371600"/>
            <wp:effectExtent l="0" t="0" r="19050" b="19050"/>
            <wp:wrapSquare wrapText="bothSides"/>
            <wp:docPr id="305" name="Chart 30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p>
    <w:p w:rsidR="006D4AB4" w:rsidRDefault="006D4AB4" w:rsidP="006D4AB4">
      <w:pPr>
        <w:spacing w:after="0" w:line="240" w:lineRule="auto"/>
        <w:ind w:hanging="142"/>
        <w:jc w:val="center"/>
        <w:rPr>
          <w:rFonts w:ascii="Times New Roman" w:hAnsi="Times New Roman"/>
          <w:sz w:val="20"/>
          <w:szCs w:val="20"/>
        </w:rPr>
      </w:pPr>
      <w:r w:rsidRPr="00450991">
        <w:rPr>
          <w:rFonts w:ascii="Times New Roman" w:hAnsi="Times New Roman"/>
          <w:sz w:val="20"/>
          <w:szCs w:val="20"/>
        </w:rPr>
        <w:t>Figure 8</w:t>
      </w:r>
      <w:r>
        <w:rPr>
          <w:rFonts w:ascii="Times New Roman" w:hAnsi="Times New Roman"/>
          <w:sz w:val="20"/>
          <w:szCs w:val="20"/>
        </w:rPr>
        <w:t>.</w:t>
      </w:r>
      <w:r w:rsidRPr="00450991">
        <w:rPr>
          <w:rFonts w:ascii="Times New Roman" w:hAnsi="Times New Roman"/>
          <w:sz w:val="20"/>
          <w:szCs w:val="20"/>
        </w:rPr>
        <w:t xml:space="preserve"> </w:t>
      </w:r>
      <w:r w:rsidRPr="00450991">
        <w:rPr>
          <w:rFonts w:ascii="Times New Roman" w:hAnsi="Times New Roman"/>
          <w:bCs/>
          <w:color w:val="000000"/>
          <w:sz w:val="20"/>
          <w:szCs w:val="20"/>
        </w:rPr>
        <w:t xml:space="preserve"> </w:t>
      </w:r>
      <w:r>
        <w:rPr>
          <w:rFonts w:ascii="Times New Roman" w:hAnsi="Times New Roman"/>
          <w:bCs/>
          <w:color w:val="000000"/>
          <w:sz w:val="20"/>
          <w:szCs w:val="20"/>
        </w:rPr>
        <w:t xml:space="preserve"> </w:t>
      </w:r>
      <w:r w:rsidRPr="00450991">
        <w:rPr>
          <w:rFonts w:ascii="Times New Roman" w:hAnsi="Times New Roman"/>
          <w:bCs/>
          <w:color w:val="000000"/>
          <w:sz w:val="20"/>
          <w:szCs w:val="20"/>
        </w:rPr>
        <w:t>Magnesium values at seven sampling stations during first (a) and second (b) samplings</w:t>
      </w:r>
    </w:p>
    <w:p w:rsidR="006D4AB4" w:rsidRDefault="006D4AB4" w:rsidP="006D4AB4">
      <w:pPr>
        <w:spacing w:after="0" w:line="240" w:lineRule="auto"/>
        <w:jc w:val="center"/>
        <w:rPr>
          <w:rFonts w:ascii="Times New Roman" w:hAnsi="Times New Roman"/>
          <w:noProof/>
          <w:sz w:val="20"/>
          <w:szCs w:val="20"/>
          <w:lang w:bidi="ar-SA"/>
        </w:rPr>
      </w:pPr>
    </w:p>
    <w:p w:rsidR="006D4AB4" w:rsidRPr="00F447A7" w:rsidRDefault="006D4AB4" w:rsidP="00FF6CB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D4AB4" w:rsidRPr="00450991" w:rsidRDefault="006D4AB4" w:rsidP="006D4AB4">
      <w:pPr>
        <w:spacing w:after="0" w:line="240" w:lineRule="auto"/>
        <w:jc w:val="both"/>
        <w:rPr>
          <w:rFonts w:ascii="Times New Roman" w:hAnsi="Times New Roman"/>
          <w:sz w:val="20"/>
          <w:szCs w:val="20"/>
        </w:rPr>
      </w:pPr>
      <w:r w:rsidRPr="00450991">
        <w:rPr>
          <w:rFonts w:ascii="Times New Roman" w:hAnsi="Times New Roman"/>
          <w:bCs/>
          <w:color w:val="000000"/>
          <w:sz w:val="20"/>
          <w:szCs w:val="20"/>
        </w:rPr>
        <w:t xml:space="preserve">Areas around station 1 are the most highly developed among other stations, the development of fishing villages, housings, jetty and other activities cause erosion and deposition along the river bank, greater runoff, and mass movements of releasing sediments into the river. Presence of sand dunes and sand bars along the side of the river due to serious silting at station 1 also could explain the shallow of the area. </w:t>
      </w:r>
      <w:r w:rsidRPr="00450991">
        <w:rPr>
          <w:rFonts w:ascii="Times New Roman" w:hAnsi="Times New Roman"/>
          <w:sz w:val="20"/>
          <w:szCs w:val="20"/>
        </w:rPr>
        <w:t>High tides increase the movement of seawater further to the upstream and affected pH, salinity, TDS concentration in the river, this is due to the concentration of high dissolved salts, mainly consisting of sodium, sulphate, chloride and magnesium composition in the seawater, which later also increase water’s ability to conduct electricity since salts and other inorganic chemicals will break into tiny, electrically charged ions when dissolve in water.</w:t>
      </w:r>
    </w:p>
    <w:p w:rsidR="006D4AB4" w:rsidRPr="00450991" w:rsidRDefault="006D4AB4" w:rsidP="006D4AB4">
      <w:pPr>
        <w:spacing w:after="0" w:line="240" w:lineRule="auto"/>
        <w:rPr>
          <w:rFonts w:ascii="Times New Roman" w:hAnsi="Times New Roman"/>
          <w:color w:val="000000"/>
          <w:sz w:val="20"/>
          <w:szCs w:val="20"/>
        </w:rPr>
      </w:pPr>
    </w:p>
    <w:p w:rsidR="006D4AB4" w:rsidRDefault="006D4AB4" w:rsidP="006D4AB4">
      <w:pPr>
        <w:spacing w:after="0" w:line="240" w:lineRule="auto"/>
        <w:jc w:val="both"/>
        <w:rPr>
          <w:rFonts w:ascii="Times New Roman" w:hAnsi="Times New Roman"/>
          <w:color w:val="000000"/>
          <w:sz w:val="20"/>
          <w:szCs w:val="20"/>
        </w:rPr>
      </w:pPr>
      <w:r w:rsidRPr="00450991">
        <w:rPr>
          <w:rFonts w:ascii="Times New Roman" w:hAnsi="Times New Roman"/>
          <w:color w:val="000000"/>
          <w:sz w:val="20"/>
          <w:szCs w:val="20"/>
        </w:rPr>
        <w:t xml:space="preserve">Conductivity during the second sampling showed extremely higher as compared to the first sampling, because during the second sampling is in the dry season and the rainfall intensity is less during this season, since the storms and rainwater lower conductivity and salinity values because they dilute surface water. Normally, climate change may increase the saltiness of freshwater sources if warmer conditions increase evaporation, which later increasing electrical conductivity due to the high presence of charged ions. </w:t>
      </w:r>
    </w:p>
    <w:p w:rsidR="006D4AB4" w:rsidRDefault="006D4AB4" w:rsidP="006D4AB4">
      <w:pPr>
        <w:spacing w:after="0" w:line="240" w:lineRule="auto"/>
        <w:jc w:val="both"/>
        <w:rPr>
          <w:rFonts w:ascii="Times New Roman" w:hAnsi="Times New Roman"/>
          <w:color w:val="000000"/>
          <w:sz w:val="20"/>
          <w:szCs w:val="20"/>
        </w:rPr>
      </w:pPr>
    </w:p>
    <w:p w:rsidR="006D4AB4" w:rsidRDefault="006D4AB4" w:rsidP="006D4AB4">
      <w:pPr>
        <w:spacing w:after="0" w:line="240" w:lineRule="auto"/>
        <w:jc w:val="both"/>
        <w:rPr>
          <w:rFonts w:ascii="Times New Roman" w:hAnsi="Times New Roman"/>
          <w:color w:val="000000"/>
          <w:sz w:val="20"/>
          <w:szCs w:val="20"/>
        </w:rPr>
      </w:pPr>
      <w:r w:rsidRPr="00450991">
        <w:rPr>
          <w:rFonts w:ascii="Times New Roman" w:hAnsi="Times New Roman"/>
          <w:color w:val="000000"/>
          <w:sz w:val="20"/>
          <w:szCs w:val="20"/>
        </w:rPr>
        <w:t xml:space="preserve">The conductivity of water depended on water temperature and showed a maximum conductance at 45°C. Correspondingly, seawater movement was further towards the upstream during high tides due to the effect of the tidal fluctuation during high tides. Seawater movement is also greater during the dry season since less freshwater flow from the upstream due to the minimal rainfall intensity during Southeast Monsoon. But during the rainy season, higher of water discharge due to the heavy rainfall intensity and also increases in the height of water tides,  this can explain why coastal areas are highly susceptible to flooding problems especially during Northeast Monsoon, </w:t>
      </w:r>
    </w:p>
    <w:p w:rsidR="006768E9" w:rsidRPr="00F447A7" w:rsidRDefault="006768E9" w:rsidP="006D4AB4">
      <w:pPr>
        <w:spacing w:after="0" w:line="240" w:lineRule="auto"/>
        <w:jc w:val="center"/>
        <w:rPr>
          <w:rFonts w:ascii="Times New Roman" w:hAnsi="Times New Roman"/>
          <w:noProof/>
          <w:sz w:val="20"/>
          <w:szCs w:val="20"/>
          <w:lang w:bidi="ar-SA"/>
        </w:rPr>
      </w:pPr>
    </w:p>
    <w:p w:rsidR="006768E9" w:rsidRPr="00F447A7" w:rsidRDefault="002B3BD8" w:rsidP="00E8187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D4AB4" w:rsidRDefault="006D4AB4" w:rsidP="006D4AB4">
      <w:pPr>
        <w:spacing w:after="0" w:line="240" w:lineRule="auto"/>
        <w:jc w:val="both"/>
        <w:rPr>
          <w:rFonts w:ascii="Times New Roman" w:hAnsi="Times New Roman"/>
          <w:sz w:val="20"/>
          <w:szCs w:val="20"/>
        </w:rPr>
      </w:pPr>
      <w:r w:rsidRPr="00450991">
        <w:rPr>
          <w:rFonts w:ascii="Times New Roman" w:hAnsi="Times New Roman"/>
          <w:sz w:val="20"/>
          <w:szCs w:val="20"/>
        </w:rPr>
        <w:t xml:space="preserve">The authors would also like to thank to the FRGS grant((FRGS/2/2014/STWN06/UNISZA/01/1) for funding us during this study carried out and express an appreciation to </w:t>
      </w:r>
      <w:r w:rsidRPr="00450991">
        <w:rPr>
          <w:rFonts w:ascii="Times New Roman" w:hAnsi="Times New Roman"/>
          <w:color w:val="131413"/>
          <w:sz w:val="20"/>
          <w:szCs w:val="20"/>
        </w:rPr>
        <w:t>East Coast Environmental Research Institute (ESERI, UNISZA)</w:t>
      </w:r>
      <w:r w:rsidRPr="00450991">
        <w:rPr>
          <w:rFonts w:ascii="Times New Roman" w:hAnsi="Times New Roman"/>
          <w:sz w:val="20"/>
          <w:szCs w:val="20"/>
        </w:rPr>
        <w:t xml:space="preserve"> for the use of their research facilities.</w:t>
      </w:r>
    </w:p>
    <w:p w:rsidR="006768E9" w:rsidRPr="00F447A7" w:rsidRDefault="006768E9" w:rsidP="006D4AB4">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D4AB4" w:rsidRPr="006D4AB4" w:rsidRDefault="006D4AB4" w:rsidP="006D4AB4">
      <w:pPr>
        <w:pStyle w:val="ListParagraph"/>
        <w:numPr>
          <w:ilvl w:val="0"/>
          <w:numId w:val="2"/>
        </w:numPr>
        <w:spacing w:after="0" w:line="240" w:lineRule="auto"/>
        <w:ind w:left="360"/>
        <w:jc w:val="both"/>
        <w:rPr>
          <w:rFonts w:ascii="Times New Roman" w:hAnsi="Times New Roman"/>
          <w:color w:val="000000"/>
          <w:sz w:val="20"/>
          <w:szCs w:val="20"/>
        </w:rPr>
      </w:pPr>
      <w:r w:rsidRPr="006D4AB4">
        <w:rPr>
          <w:rFonts w:ascii="Times New Roman" w:hAnsi="Times New Roman"/>
          <w:color w:val="000000"/>
          <w:sz w:val="20"/>
          <w:szCs w:val="20"/>
        </w:rPr>
        <w:t xml:space="preserve">Nasir, M. S. and Camerlengo, A. L. (1997). Response of the ocean mixed layer, off the east coast of Peninsular Malaysia during the northeast and southwest monsoons. </w:t>
      </w:r>
      <w:r w:rsidRPr="006D4AB4">
        <w:rPr>
          <w:rFonts w:ascii="Times New Roman" w:hAnsi="Times New Roman"/>
          <w:i/>
          <w:iCs/>
          <w:color w:val="000000"/>
          <w:sz w:val="20"/>
          <w:szCs w:val="20"/>
        </w:rPr>
        <w:t>Geoacta</w:t>
      </w:r>
      <w:r w:rsidRPr="006D4AB4">
        <w:rPr>
          <w:rFonts w:ascii="Times New Roman" w:hAnsi="Times New Roman"/>
          <w:color w:val="000000"/>
          <w:sz w:val="20"/>
          <w:szCs w:val="20"/>
        </w:rPr>
        <w:t xml:space="preserve"> 22: 134-143.</w:t>
      </w:r>
    </w:p>
    <w:p w:rsidR="006D4AB4" w:rsidRDefault="006D4AB4" w:rsidP="006D4AB4">
      <w:pPr>
        <w:pStyle w:val="ListParagraph"/>
        <w:numPr>
          <w:ilvl w:val="0"/>
          <w:numId w:val="2"/>
        </w:numPr>
        <w:spacing w:after="0" w:line="240" w:lineRule="auto"/>
        <w:ind w:left="360"/>
        <w:jc w:val="both"/>
        <w:rPr>
          <w:rFonts w:ascii="Times New Roman" w:hAnsi="Times New Roman"/>
          <w:color w:val="000000"/>
          <w:sz w:val="20"/>
          <w:szCs w:val="20"/>
        </w:rPr>
      </w:pPr>
      <w:r w:rsidRPr="006D4AB4">
        <w:rPr>
          <w:rFonts w:ascii="Times New Roman" w:hAnsi="Times New Roman"/>
          <w:color w:val="000000"/>
          <w:sz w:val="20"/>
          <w:szCs w:val="20"/>
        </w:rPr>
        <w:t xml:space="preserve">Camerlengo, A. and Ines Demmle, M. (1997). Wind driver circulation of Peninsular Malaysia’s eastern Continetal Shelf. </w:t>
      </w:r>
      <w:r w:rsidRPr="006D4AB4">
        <w:rPr>
          <w:rFonts w:ascii="Times New Roman" w:hAnsi="Times New Roman"/>
          <w:i/>
          <w:color w:val="000000"/>
          <w:sz w:val="20"/>
          <w:szCs w:val="20"/>
        </w:rPr>
        <w:t>Scientia Marina</w:t>
      </w:r>
      <w:r w:rsidRPr="006D4AB4">
        <w:rPr>
          <w:rFonts w:ascii="Times New Roman" w:hAnsi="Times New Roman"/>
          <w:color w:val="000000"/>
          <w:sz w:val="20"/>
          <w:szCs w:val="20"/>
        </w:rPr>
        <w:t xml:space="preserve"> 61(2): 2003-211.</w:t>
      </w:r>
    </w:p>
    <w:p w:rsidR="006D4AB4" w:rsidRDefault="006D4AB4" w:rsidP="006D4AB4">
      <w:pPr>
        <w:pStyle w:val="ListParagraph"/>
        <w:numPr>
          <w:ilvl w:val="0"/>
          <w:numId w:val="2"/>
        </w:numPr>
        <w:spacing w:after="0" w:line="240" w:lineRule="auto"/>
        <w:ind w:left="360"/>
        <w:jc w:val="both"/>
        <w:rPr>
          <w:rFonts w:ascii="Times New Roman" w:hAnsi="Times New Roman"/>
          <w:color w:val="000000"/>
          <w:sz w:val="20"/>
          <w:szCs w:val="20"/>
        </w:rPr>
      </w:pPr>
      <w:r w:rsidRPr="006D4AB4">
        <w:rPr>
          <w:rFonts w:ascii="Times New Roman" w:hAnsi="Times New Roman"/>
          <w:color w:val="000000"/>
          <w:sz w:val="20"/>
          <w:szCs w:val="20"/>
        </w:rPr>
        <w:t xml:space="preserve">Daryabor, F., Samah A. A. and S.H. Ooi. (2015). Dinamical structure of the sea off the east coast of PeninsularMalaysia. </w:t>
      </w:r>
      <w:r w:rsidRPr="006D4AB4">
        <w:rPr>
          <w:rFonts w:ascii="Times New Roman" w:hAnsi="Times New Roman"/>
          <w:i/>
          <w:color w:val="000000"/>
          <w:sz w:val="20"/>
          <w:szCs w:val="20"/>
        </w:rPr>
        <w:t>Ocean Dinamic</w:t>
      </w:r>
      <w:r w:rsidRPr="006D4AB4">
        <w:rPr>
          <w:rFonts w:ascii="Times New Roman" w:hAnsi="Times New Roman"/>
          <w:color w:val="000000"/>
          <w:sz w:val="20"/>
          <w:szCs w:val="20"/>
        </w:rPr>
        <w:t xml:space="preserve"> 65: 93-106.</w:t>
      </w:r>
    </w:p>
    <w:p w:rsidR="006D4AB4" w:rsidRPr="006D4AB4" w:rsidRDefault="006D4AB4" w:rsidP="006D4AB4">
      <w:pPr>
        <w:pStyle w:val="ListParagraph"/>
        <w:numPr>
          <w:ilvl w:val="0"/>
          <w:numId w:val="2"/>
        </w:numPr>
        <w:spacing w:after="0" w:line="240" w:lineRule="auto"/>
        <w:ind w:left="360"/>
        <w:jc w:val="both"/>
        <w:rPr>
          <w:rFonts w:ascii="Times New Roman" w:hAnsi="Times New Roman"/>
          <w:color w:val="000000"/>
          <w:sz w:val="20"/>
          <w:szCs w:val="20"/>
        </w:rPr>
      </w:pPr>
      <w:r w:rsidRPr="006D4AB4">
        <w:rPr>
          <w:rFonts w:ascii="Times New Roman" w:hAnsi="Times New Roman"/>
          <w:bCs/>
          <w:color w:val="000000"/>
          <w:sz w:val="20"/>
          <w:szCs w:val="20"/>
        </w:rPr>
        <w:t xml:space="preserve">O’Brien, T. (1995). </w:t>
      </w:r>
      <w:r w:rsidRPr="006D4AB4">
        <w:rPr>
          <w:rFonts w:ascii="Times New Roman" w:hAnsi="Times New Roman"/>
          <w:bCs/>
          <w:i/>
          <w:color w:val="000000"/>
          <w:sz w:val="20"/>
          <w:szCs w:val="20"/>
        </w:rPr>
        <w:t>Assessment of the impact of saline drainage on key fish species.</w:t>
      </w:r>
      <w:r w:rsidRPr="006D4AB4">
        <w:rPr>
          <w:rFonts w:ascii="Times New Roman" w:hAnsi="Times New Roman"/>
          <w:bCs/>
          <w:color w:val="000000"/>
          <w:sz w:val="20"/>
          <w:szCs w:val="20"/>
        </w:rPr>
        <w:t xml:space="preserve"> Banens, R.J. &amp; Lehane, R. 1995 Riverine Environment Research Forum. Eds. Canberra: Murray-Darling Basin Commission. 43-46.</w:t>
      </w:r>
    </w:p>
    <w:p w:rsidR="006D4AB4" w:rsidRDefault="006D4AB4" w:rsidP="006D4AB4">
      <w:pPr>
        <w:pStyle w:val="ListParagraph"/>
        <w:numPr>
          <w:ilvl w:val="0"/>
          <w:numId w:val="2"/>
        </w:numPr>
        <w:spacing w:after="0" w:line="240" w:lineRule="auto"/>
        <w:ind w:left="360"/>
        <w:jc w:val="both"/>
        <w:rPr>
          <w:rFonts w:ascii="Times New Roman" w:hAnsi="Times New Roman"/>
          <w:color w:val="000000"/>
          <w:sz w:val="20"/>
          <w:szCs w:val="20"/>
        </w:rPr>
      </w:pPr>
      <w:r w:rsidRPr="006D4AB4">
        <w:rPr>
          <w:rFonts w:ascii="Times New Roman" w:hAnsi="Times New Roman"/>
          <w:color w:val="000000"/>
          <w:sz w:val="20"/>
          <w:szCs w:val="20"/>
        </w:rPr>
        <w:t xml:space="preserve">Aberle, J. and Smart, G.M., (2003).The influence of roughness structure on flow resistance on steep slopes. </w:t>
      </w:r>
      <w:r w:rsidRPr="006D4AB4">
        <w:rPr>
          <w:rFonts w:ascii="Times New Roman" w:hAnsi="Times New Roman"/>
          <w:i/>
          <w:iCs/>
          <w:color w:val="000000"/>
          <w:sz w:val="20"/>
          <w:szCs w:val="20"/>
        </w:rPr>
        <w:t>Journal of Hydraulic Research</w:t>
      </w:r>
      <w:r w:rsidRPr="006D4AB4">
        <w:rPr>
          <w:rFonts w:ascii="Times New Roman" w:hAnsi="Times New Roman"/>
          <w:color w:val="000000"/>
          <w:sz w:val="20"/>
          <w:szCs w:val="20"/>
        </w:rPr>
        <w:t xml:space="preserve"> 41(3): 259-269.</w:t>
      </w:r>
    </w:p>
    <w:p w:rsidR="006D4AB4" w:rsidRDefault="006D4AB4" w:rsidP="006D4AB4">
      <w:pPr>
        <w:pStyle w:val="ListParagraph"/>
        <w:numPr>
          <w:ilvl w:val="0"/>
          <w:numId w:val="2"/>
        </w:numPr>
        <w:spacing w:after="0" w:line="240" w:lineRule="auto"/>
        <w:ind w:left="360"/>
        <w:jc w:val="both"/>
        <w:rPr>
          <w:rFonts w:ascii="Times New Roman" w:hAnsi="Times New Roman"/>
          <w:color w:val="000000"/>
          <w:sz w:val="20"/>
          <w:szCs w:val="20"/>
        </w:rPr>
      </w:pPr>
      <w:r w:rsidRPr="006D4AB4">
        <w:rPr>
          <w:rFonts w:ascii="Times New Roman" w:hAnsi="Times New Roman"/>
          <w:color w:val="000000"/>
          <w:sz w:val="20"/>
          <w:szCs w:val="20"/>
        </w:rPr>
        <w:t xml:space="preserve">Urish, D. W. and Qanbar, E. K. (1997). Hydraulic evaluation ofground water discharge, Nauset Marsh, Cape Cod National Seashore, Massachusetts. </w:t>
      </w:r>
      <w:r w:rsidRPr="006D4AB4">
        <w:rPr>
          <w:rFonts w:ascii="Times New Roman" w:hAnsi="Times New Roman"/>
          <w:i/>
          <w:color w:val="000000"/>
          <w:sz w:val="20"/>
          <w:szCs w:val="20"/>
        </w:rPr>
        <w:t>Technical Report</w:t>
      </w:r>
      <w:r w:rsidRPr="006D4AB4">
        <w:rPr>
          <w:rFonts w:ascii="Times New Roman" w:hAnsi="Times New Roman"/>
          <w:color w:val="000000"/>
          <w:sz w:val="20"/>
          <w:szCs w:val="20"/>
        </w:rPr>
        <w:t xml:space="preserve"> </w:t>
      </w:r>
      <w:r>
        <w:rPr>
          <w:rFonts w:ascii="Times New Roman" w:hAnsi="Times New Roman"/>
          <w:color w:val="000000"/>
          <w:sz w:val="20"/>
          <w:szCs w:val="20"/>
        </w:rPr>
        <w:t>NPS/NESO-RNR/NRT 97–07</w:t>
      </w:r>
    </w:p>
    <w:p w:rsidR="006D4AB4" w:rsidRPr="006D4AB4" w:rsidRDefault="006D4AB4" w:rsidP="006D4AB4">
      <w:pPr>
        <w:pStyle w:val="ListParagraph"/>
        <w:numPr>
          <w:ilvl w:val="0"/>
          <w:numId w:val="2"/>
        </w:numPr>
        <w:spacing w:after="0" w:line="240" w:lineRule="auto"/>
        <w:ind w:left="360"/>
        <w:jc w:val="both"/>
        <w:rPr>
          <w:rFonts w:ascii="Times New Roman" w:hAnsi="Times New Roman"/>
          <w:color w:val="000000"/>
          <w:sz w:val="20"/>
          <w:szCs w:val="20"/>
        </w:rPr>
      </w:pPr>
      <w:r w:rsidRPr="006D4AB4">
        <w:rPr>
          <w:rFonts w:ascii="Times New Roman" w:hAnsi="Times New Roman"/>
          <w:sz w:val="20"/>
          <w:szCs w:val="20"/>
        </w:rPr>
        <w:t>McLean, R. F., Tsyban, A., Burkett, V., Codignott, J. O., Forbes, D. L., Mimura, N., Beamish, R. J., and Ittekkot. V. (2001). Coastal Zones and Marine Ecosystems. In Climate Change 2001: Impacts, Adaptation, and Vulnerability. Contribution of Working Group II to the Third Assessment Report of the Intergovernmental Panel on Climate Change. Edited by James J. McCarthy Osvaldo F. Canziani, Neil A. Leary, David J. Dokken, and Kasey S. White, Cambridge University Press, Cambridge, UK, 343-379.</w:t>
      </w:r>
    </w:p>
    <w:p w:rsidR="006D4AB4" w:rsidRDefault="006D4AB4" w:rsidP="006D4AB4">
      <w:pPr>
        <w:pStyle w:val="ListParagraph"/>
        <w:numPr>
          <w:ilvl w:val="0"/>
          <w:numId w:val="2"/>
        </w:numPr>
        <w:spacing w:after="0" w:line="240" w:lineRule="auto"/>
        <w:ind w:left="360"/>
        <w:jc w:val="both"/>
        <w:rPr>
          <w:rFonts w:ascii="Times New Roman" w:hAnsi="Times New Roman"/>
          <w:color w:val="000000"/>
          <w:sz w:val="20"/>
          <w:szCs w:val="20"/>
        </w:rPr>
      </w:pPr>
      <w:r w:rsidRPr="006D4AB4">
        <w:rPr>
          <w:rFonts w:ascii="Times New Roman" w:hAnsi="Times New Roman"/>
          <w:color w:val="000000"/>
          <w:sz w:val="20"/>
          <w:szCs w:val="20"/>
        </w:rPr>
        <w:t>Hull, C. H. J., Thatcher, M. L. And Tortoriello, R.C. (1986). </w:t>
      </w:r>
      <w:r w:rsidRPr="006D4AB4">
        <w:rPr>
          <w:rFonts w:ascii="Times New Roman" w:hAnsi="Times New Roman"/>
          <w:i/>
          <w:color w:val="000000"/>
          <w:sz w:val="20"/>
          <w:szCs w:val="20"/>
        </w:rPr>
        <w:t>Salinity in the Delaware Estuary</w:t>
      </w:r>
      <w:r w:rsidRPr="006D4AB4">
        <w:rPr>
          <w:rFonts w:ascii="Times New Roman" w:hAnsi="Times New Roman"/>
          <w:color w:val="000000"/>
          <w:sz w:val="20"/>
          <w:szCs w:val="20"/>
        </w:rPr>
        <w:t>. Hull, C.H.J. &amp; Titus,J.G. </w:t>
      </w:r>
      <w:r w:rsidRPr="006D4AB4">
        <w:rPr>
          <w:rFonts w:ascii="Times New Roman" w:hAnsi="Times New Roman"/>
          <w:iCs/>
          <w:color w:val="000000"/>
          <w:sz w:val="20"/>
          <w:szCs w:val="20"/>
        </w:rPr>
        <w:t>Greenhouse Effect, Sea Level Rise, and Salinity in the Delaware Estuary</w:t>
      </w:r>
      <w:r w:rsidRPr="006D4AB4">
        <w:rPr>
          <w:rFonts w:ascii="Times New Roman" w:hAnsi="Times New Roman"/>
          <w:color w:val="000000"/>
          <w:sz w:val="20"/>
          <w:szCs w:val="20"/>
        </w:rPr>
        <w:t>. Eds</w:t>
      </w:r>
      <w:r w:rsidR="00192BF6">
        <w:rPr>
          <w:rFonts w:ascii="Times New Roman" w:hAnsi="Times New Roman"/>
          <w:color w:val="000000"/>
          <w:sz w:val="20"/>
          <w:szCs w:val="20"/>
        </w:rPr>
        <w:t>.</w:t>
      </w:r>
      <w:r w:rsidRPr="006D4AB4">
        <w:rPr>
          <w:rFonts w:ascii="Times New Roman" w:hAnsi="Times New Roman"/>
          <w:color w:val="000000"/>
          <w:sz w:val="20"/>
          <w:szCs w:val="20"/>
        </w:rPr>
        <w:t xml:space="preserve"> Washington: Delaware River Basin Commission and US Environmental Protection Agency. p8–18. </w:t>
      </w:r>
    </w:p>
    <w:p w:rsidR="006D4AB4" w:rsidRDefault="006D4AB4" w:rsidP="006D4AB4">
      <w:pPr>
        <w:pStyle w:val="ListParagraph"/>
        <w:numPr>
          <w:ilvl w:val="0"/>
          <w:numId w:val="2"/>
        </w:numPr>
        <w:spacing w:after="0" w:line="240" w:lineRule="auto"/>
        <w:ind w:left="360"/>
        <w:jc w:val="both"/>
        <w:rPr>
          <w:rFonts w:ascii="Times New Roman" w:hAnsi="Times New Roman"/>
          <w:color w:val="000000"/>
          <w:sz w:val="20"/>
          <w:szCs w:val="20"/>
        </w:rPr>
      </w:pPr>
      <w:r w:rsidRPr="006D4AB4">
        <w:rPr>
          <w:rFonts w:ascii="Times New Roman" w:hAnsi="Times New Roman"/>
          <w:color w:val="000000"/>
          <w:sz w:val="20"/>
          <w:szCs w:val="20"/>
        </w:rPr>
        <w:t xml:space="preserve">Li, L., Barry, D. A., Stagnitti, F., Parlange, J. Y. and Jeng, D.S., (2000). Beach water table fluctuations due to  spring– neap tides: moving boundary effects. </w:t>
      </w:r>
      <w:r w:rsidRPr="006D4AB4">
        <w:rPr>
          <w:rFonts w:ascii="Times New Roman" w:hAnsi="Times New Roman"/>
          <w:i/>
          <w:iCs/>
          <w:color w:val="000000"/>
          <w:sz w:val="20"/>
          <w:szCs w:val="20"/>
        </w:rPr>
        <w:t xml:space="preserve">Advances in Water Resources </w:t>
      </w:r>
      <w:r w:rsidRPr="006D4AB4">
        <w:rPr>
          <w:rFonts w:ascii="Times New Roman" w:hAnsi="Times New Roman"/>
          <w:iCs/>
          <w:color w:val="000000"/>
          <w:sz w:val="20"/>
          <w:szCs w:val="20"/>
        </w:rPr>
        <w:t>23</w:t>
      </w:r>
      <w:r w:rsidRPr="006D4AB4">
        <w:rPr>
          <w:rFonts w:ascii="Times New Roman" w:hAnsi="Times New Roman"/>
          <w:color w:val="000000"/>
          <w:sz w:val="20"/>
          <w:szCs w:val="20"/>
        </w:rPr>
        <w:t>(8): 817-824.</w:t>
      </w:r>
    </w:p>
    <w:p w:rsidR="006D4AB4" w:rsidRDefault="006D4AB4" w:rsidP="006D4AB4">
      <w:pPr>
        <w:pStyle w:val="ListParagraph"/>
        <w:numPr>
          <w:ilvl w:val="0"/>
          <w:numId w:val="2"/>
        </w:numPr>
        <w:spacing w:after="0" w:line="240" w:lineRule="auto"/>
        <w:ind w:left="360"/>
        <w:jc w:val="both"/>
        <w:rPr>
          <w:rFonts w:ascii="Times New Roman" w:hAnsi="Times New Roman"/>
          <w:color w:val="000000"/>
          <w:sz w:val="20"/>
          <w:szCs w:val="20"/>
        </w:rPr>
      </w:pPr>
      <w:r w:rsidRPr="006D4AB4">
        <w:rPr>
          <w:rFonts w:ascii="Times New Roman" w:hAnsi="Times New Roman"/>
          <w:color w:val="000000"/>
          <w:sz w:val="20"/>
          <w:szCs w:val="20"/>
        </w:rPr>
        <w:t xml:space="preserve">Hanson, C. (2005). Review </w:t>
      </w:r>
      <w:r w:rsidRPr="006D4AB4">
        <w:rPr>
          <w:rFonts w:ascii="Times New Roman" w:hAnsi="Times New Roman"/>
          <w:iCs/>
          <w:color w:val="000000"/>
          <w:sz w:val="20"/>
          <w:szCs w:val="20"/>
        </w:rPr>
        <w:t>of Environment Canterbury’s groundwater quality monitoring programme</w:t>
      </w:r>
      <w:r w:rsidRPr="006D4AB4">
        <w:rPr>
          <w:rFonts w:ascii="Times New Roman" w:hAnsi="Times New Roman"/>
          <w:color w:val="000000"/>
          <w:sz w:val="20"/>
          <w:szCs w:val="20"/>
        </w:rPr>
        <w:t xml:space="preserve">. </w:t>
      </w:r>
      <w:r w:rsidRPr="006D4AB4">
        <w:rPr>
          <w:rFonts w:ascii="Times New Roman" w:hAnsi="Times New Roman"/>
          <w:i/>
          <w:color w:val="000000"/>
          <w:sz w:val="20"/>
          <w:szCs w:val="20"/>
        </w:rPr>
        <w:t>Environment Canterbury Report</w:t>
      </w:r>
      <w:r w:rsidRPr="006D4AB4">
        <w:rPr>
          <w:rFonts w:ascii="Times New Roman" w:hAnsi="Times New Roman"/>
          <w:color w:val="000000"/>
          <w:sz w:val="20"/>
          <w:szCs w:val="20"/>
        </w:rPr>
        <w:t>, U05/70.</w:t>
      </w:r>
    </w:p>
    <w:p w:rsidR="006D4AB4" w:rsidRDefault="006D4AB4" w:rsidP="006D4AB4">
      <w:pPr>
        <w:pStyle w:val="ListParagraph"/>
        <w:numPr>
          <w:ilvl w:val="0"/>
          <w:numId w:val="2"/>
        </w:numPr>
        <w:spacing w:after="0" w:line="240" w:lineRule="auto"/>
        <w:ind w:left="360"/>
        <w:jc w:val="both"/>
        <w:rPr>
          <w:rFonts w:ascii="Times New Roman" w:hAnsi="Times New Roman"/>
          <w:color w:val="000000"/>
          <w:sz w:val="20"/>
          <w:szCs w:val="20"/>
        </w:rPr>
      </w:pPr>
      <w:r w:rsidRPr="006D4AB4">
        <w:rPr>
          <w:rFonts w:ascii="Times New Roman" w:hAnsi="Times New Roman"/>
          <w:color w:val="000000"/>
          <w:sz w:val="20"/>
          <w:szCs w:val="20"/>
        </w:rPr>
        <w:t xml:space="preserve">Giménez, E. and Morell, I. (1997). Hydrogeochemical analysis of salinization processes in the coastal aquifer of  Oropesa (Castellón, Spain). </w:t>
      </w:r>
      <w:r w:rsidRPr="006D4AB4">
        <w:rPr>
          <w:rFonts w:ascii="Times New Roman" w:hAnsi="Times New Roman"/>
          <w:i/>
          <w:color w:val="000000"/>
          <w:sz w:val="20"/>
          <w:szCs w:val="20"/>
        </w:rPr>
        <w:t>Environmental Geology</w:t>
      </w:r>
      <w:r w:rsidRPr="006D4AB4">
        <w:rPr>
          <w:rFonts w:ascii="Times New Roman" w:hAnsi="Times New Roman"/>
          <w:color w:val="000000"/>
          <w:sz w:val="20"/>
          <w:szCs w:val="20"/>
        </w:rPr>
        <w:t xml:space="preserve"> 29: 118-131.</w:t>
      </w:r>
    </w:p>
    <w:p w:rsidR="006D4AB4" w:rsidRDefault="006D4AB4" w:rsidP="006D4AB4">
      <w:pPr>
        <w:pStyle w:val="ListParagraph"/>
        <w:numPr>
          <w:ilvl w:val="0"/>
          <w:numId w:val="2"/>
        </w:numPr>
        <w:spacing w:after="0" w:line="240" w:lineRule="auto"/>
        <w:ind w:left="360"/>
        <w:jc w:val="both"/>
        <w:rPr>
          <w:rFonts w:ascii="Times New Roman" w:hAnsi="Times New Roman"/>
          <w:color w:val="000000"/>
          <w:sz w:val="20"/>
          <w:szCs w:val="20"/>
        </w:rPr>
      </w:pPr>
      <w:r w:rsidRPr="006D4AB4">
        <w:rPr>
          <w:rFonts w:ascii="Times New Roman" w:hAnsi="Times New Roman"/>
          <w:color w:val="000000"/>
          <w:sz w:val="20"/>
          <w:szCs w:val="20"/>
        </w:rPr>
        <w:t xml:space="preserve">BERNAMA, (2012). </w:t>
      </w:r>
      <w:r w:rsidRPr="006D4AB4">
        <w:rPr>
          <w:rFonts w:ascii="Times New Roman" w:hAnsi="Times New Roman"/>
          <w:bCs/>
          <w:i/>
          <w:color w:val="000000"/>
          <w:sz w:val="20"/>
          <w:szCs w:val="20"/>
        </w:rPr>
        <w:t>Consultant to Study Erosion Of Sungai Paka Estuary</w:t>
      </w:r>
      <w:r w:rsidRPr="006D4AB4">
        <w:rPr>
          <w:rFonts w:ascii="Times New Roman" w:hAnsi="Times New Roman"/>
          <w:color w:val="000000"/>
          <w:sz w:val="20"/>
          <w:szCs w:val="20"/>
        </w:rPr>
        <w:t>. Bernama Media. 26 February. http://my.news.yahoo.com/consultant-study-erosion-sungai-paka-estuary-115605004.html [5 April 2013]</w:t>
      </w:r>
    </w:p>
    <w:p w:rsidR="006D4AB4" w:rsidRDefault="006D4AB4" w:rsidP="006D4AB4">
      <w:pPr>
        <w:pStyle w:val="ListParagraph"/>
        <w:numPr>
          <w:ilvl w:val="0"/>
          <w:numId w:val="2"/>
        </w:numPr>
        <w:spacing w:after="0" w:line="240" w:lineRule="auto"/>
        <w:ind w:left="360"/>
        <w:jc w:val="both"/>
        <w:rPr>
          <w:rFonts w:ascii="Times New Roman" w:hAnsi="Times New Roman"/>
          <w:color w:val="000000"/>
          <w:sz w:val="20"/>
          <w:szCs w:val="20"/>
        </w:rPr>
      </w:pPr>
      <w:r w:rsidRPr="006D4AB4">
        <w:rPr>
          <w:rFonts w:ascii="Times New Roman" w:hAnsi="Times New Roman"/>
          <w:color w:val="000000"/>
          <w:sz w:val="20"/>
          <w:szCs w:val="20"/>
        </w:rPr>
        <w:t xml:space="preserve">Siti Airunnisa,A. (2010). </w:t>
      </w:r>
      <w:r w:rsidRPr="006D4AB4">
        <w:rPr>
          <w:rFonts w:ascii="Times New Roman" w:hAnsi="Times New Roman"/>
          <w:bCs/>
          <w:i/>
          <w:color w:val="000000"/>
          <w:sz w:val="20"/>
          <w:szCs w:val="20"/>
        </w:rPr>
        <w:t>Consultant To Study Erosion Of Sungai Paka Estuary</w:t>
      </w:r>
      <w:r w:rsidRPr="006D4AB4">
        <w:rPr>
          <w:rFonts w:ascii="Times New Roman" w:hAnsi="Times New Roman"/>
          <w:color w:val="000000"/>
          <w:sz w:val="20"/>
          <w:szCs w:val="20"/>
        </w:rPr>
        <w:t>. Utusan Online. 5 May.http://www.utusan.com.my/utusan/info.asp?y=2010&amp;dt=0505&amp;pub=Utusan_Malaysia&amp;sec=Timur&amp;pg=wt_01.htm [5 April 2013]</w:t>
      </w:r>
    </w:p>
    <w:p w:rsidR="006D4AB4" w:rsidRDefault="006D4AB4" w:rsidP="006D4AB4">
      <w:pPr>
        <w:pStyle w:val="ListParagraph"/>
        <w:numPr>
          <w:ilvl w:val="0"/>
          <w:numId w:val="2"/>
        </w:numPr>
        <w:spacing w:after="0" w:line="240" w:lineRule="auto"/>
        <w:ind w:left="360"/>
        <w:jc w:val="both"/>
        <w:rPr>
          <w:rFonts w:ascii="Times New Roman" w:hAnsi="Times New Roman"/>
          <w:color w:val="000000"/>
          <w:sz w:val="20"/>
          <w:szCs w:val="20"/>
        </w:rPr>
      </w:pPr>
      <w:r w:rsidRPr="006D4AB4">
        <w:rPr>
          <w:rFonts w:ascii="Times New Roman" w:hAnsi="Times New Roman"/>
          <w:color w:val="000000"/>
          <w:sz w:val="20"/>
          <w:szCs w:val="20"/>
        </w:rPr>
        <w:t xml:space="preserve">APHA, (1998). </w:t>
      </w:r>
      <w:r w:rsidRPr="006D4AB4">
        <w:rPr>
          <w:rFonts w:ascii="Times New Roman" w:hAnsi="Times New Roman"/>
          <w:i/>
          <w:iCs/>
          <w:color w:val="000000"/>
          <w:sz w:val="20"/>
          <w:szCs w:val="20"/>
        </w:rPr>
        <w:t>Standard Methods for the Examination of Water and Wastewater</w:t>
      </w:r>
      <w:r w:rsidRPr="006D4AB4">
        <w:rPr>
          <w:rFonts w:ascii="Times New Roman" w:hAnsi="Times New Roman"/>
          <w:iCs/>
          <w:color w:val="000000"/>
          <w:sz w:val="20"/>
          <w:szCs w:val="20"/>
        </w:rPr>
        <w:t>.</w:t>
      </w:r>
      <w:r w:rsidRPr="006D4AB4">
        <w:rPr>
          <w:rFonts w:ascii="Times New Roman" w:hAnsi="Times New Roman"/>
          <w:i/>
          <w:iCs/>
          <w:color w:val="000000"/>
          <w:sz w:val="20"/>
          <w:szCs w:val="20"/>
        </w:rPr>
        <w:t xml:space="preserve"> 20th edition</w:t>
      </w:r>
      <w:r w:rsidRPr="006D4AB4">
        <w:rPr>
          <w:rFonts w:ascii="Times New Roman" w:hAnsi="Times New Roman"/>
          <w:color w:val="000000"/>
          <w:sz w:val="20"/>
          <w:szCs w:val="20"/>
        </w:rPr>
        <w:t>. American. Public Health Association, Washington, DC.</w:t>
      </w:r>
    </w:p>
    <w:p w:rsidR="006D4AB4" w:rsidRDefault="006D4AB4" w:rsidP="006D4AB4">
      <w:pPr>
        <w:pStyle w:val="ListParagraph"/>
        <w:numPr>
          <w:ilvl w:val="0"/>
          <w:numId w:val="2"/>
        </w:numPr>
        <w:spacing w:after="0" w:line="240" w:lineRule="auto"/>
        <w:ind w:left="360"/>
        <w:jc w:val="both"/>
        <w:rPr>
          <w:rFonts w:ascii="Times New Roman" w:hAnsi="Times New Roman"/>
          <w:color w:val="000000"/>
          <w:sz w:val="20"/>
          <w:szCs w:val="20"/>
        </w:rPr>
      </w:pPr>
      <w:r w:rsidRPr="006D4AB4">
        <w:rPr>
          <w:rFonts w:ascii="Times New Roman" w:hAnsi="Times New Roman"/>
          <w:color w:val="000000"/>
          <w:sz w:val="20"/>
          <w:szCs w:val="20"/>
        </w:rPr>
        <w:t xml:space="preserve">APHA, (2005). American Public Health Association, American Water Works Association and World    Environment Federation. </w:t>
      </w:r>
      <w:r w:rsidRPr="006D4AB4">
        <w:rPr>
          <w:rFonts w:ascii="Times New Roman" w:hAnsi="Times New Roman"/>
          <w:i/>
          <w:color w:val="000000"/>
          <w:sz w:val="20"/>
          <w:szCs w:val="20"/>
        </w:rPr>
        <w:t>Standard Methods for Examination of Water and Wastewater</w:t>
      </w:r>
      <w:r w:rsidRPr="006D4AB4">
        <w:rPr>
          <w:rFonts w:ascii="Times New Roman" w:hAnsi="Times New Roman"/>
          <w:color w:val="000000"/>
          <w:sz w:val="20"/>
          <w:szCs w:val="20"/>
        </w:rPr>
        <w:t>. 21</w:t>
      </w:r>
      <w:r w:rsidRPr="006D4AB4">
        <w:rPr>
          <w:rFonts w:ascii="Times New Roman" w:hAnsi="Times New Roman"/>
          <w:color w:val="000000"/>
          <w:sz w:val="20"/>
          <w:szCs w:val="20"/>
          <w:vertAlign w:val="superscript"/>
        </w:rPr>
        <w:t>st</w:t>
      </w:r>
      <w:r w:rsidRPr="006D4AB4">
        <w:rPr>
          <w:rFonts w:ascii="Times New Roman" w:hAnsi="Times New Roman"/>
          <w:color w:val="000000"/>
          <w:sz w:val="20"/>
          <w:szCs w:val="20"/>
        </w:rPr>
        <w:t xml:space="preserve"> Edition.  American Public Health Association, Washington DC, USA.</w:t>
      </w:r>
    </w:p>
    <w:p w:rsidR="006D4AB4" w:rsidRDefault="006D4AB4" w:rsidP="006D4AB4">
      <w:pPr>
        <w:pStyle w:val="ListParagraph"/>
        <w:numPr>
          <w:ilvl w:val="0"/>
          <w:numId w:val="2"/>
        </w:numPr>
        <w:spacing w:after="0" w:line="240" w:lineRule="auto"/>
        <w:ind w:left="360"/>
        <w:jc w:val="both"/>
        <w:rPr>
          <w:rFonts w:ascii="Times New Roman" w:hAnsi="Times New Roman"/>
          <w:color w:val="000000"/>
          <w:sz w:val="20"/>
          <w:szCs w:val="20"/>
        </w:rPr>
      </w:pPr>
      <w:r w:rsidRPr="006D4AB4">
        <w:rPr>
          <w:rFonts w:ascii="Times New Roman" w:hAnsi="Times New Roman"/>
          <w:color w:val="000000"/>
          <w:sz w:val="20"/>
          <w:szCs w:val="20"/>
        </w:rPr>
        <w:t xml:space="preserve">HACH, (1997). </w:t>
      </w:r>
      <w:r w:rsidRPr="006D4AB4">
        <w:rPr>
          <w:rFonts w:ascii="Times New Roman" w:hAnsi="Times New Roman"/>
          <w:i/>
          <w:iCs/>
          <w:color w:val="000000"/>
          <w:sz w:val="20"/>
          <w:szCs w:val="20"/>
        </w:rPr>
        <w:t>Hach Portable Turbidimeter Model 2100P Instrument and Procedure Manual, 8-25-94-6ED,Rev. 5</w:t>
      </w:r>
      <w:r w:rsidRPr="006D4AB4">
        <w:rPr>
          <w:rFonts w:ascii="Times New Roman" w:hAnsi="Times New Roman"/>
          <w:color w:val="000000"/>
          <w:sz w:val="20"/>
          <w:szCs w:val="20"/>
        </w:rPr>
        <w:t>, Hach Company, Loveland, Colorado.</w:t>
      </w:r>
    </w:p>
    <w:p w:rsidR="00A74A7E" w:rsidRPr="006D4AB4" w:rsidRDefault="006D4AB4" w:rsidP="006D4AB4">
      <w:pPr>
        <w:pStyle w:val="ListParagraph"/>
        <w:numPr>
          <w:ilvl w:val="0"/>
          <w:numId w:val="2"/>
        </w:numPr>
        <w:spacing w:after="0" w:line="240" w:lineRule="auto"/>
        <w:ind w:left="360"/>
        <w:jc w:val="both"/>
        <w:rPr>
          <w:rFonts w:ascii="Times New Roman" w:hAnsi="Times New Roman"/>
          <w:color w:val="000000"/>
          <w:sz w:val="20"/>
          <w:szCs w:val="20"/>
        </w:rPr>
      </w:pPr>
      <w:r w:rsidRPr="006D4AB4">
        <w:rPr>
          <w:rFonts w:ascii="Times New Roman" w:hAnsi="Times New Roman"/>
          <w:color w:val="000000"/>
          <w:sz w:val="20"/>
          <w:szCs w:val="20"/>
        </w:rPr>
        <w:t xml:space="preserve">Mukhopadhyay, S. K., Biswas, H., De, T. K. and Jana, T. K. (2006). Fluxes of nutrients from the tropical river Hooghly at the land-ocean boundary of Sundarbans, North-east coast of Bay of Bengal, India. </w:t>
      </w:r>
      <w:r w:rsidRPr="006D4AB4">
        <w:rPr>
          <w:rFonts w:ascii="Times New Roman" w:hAnsi="Times New Roman"/>
          <w:i/>
          <w:color w:val="000000"/>
          <w:sz w:val="20"/>
          <w:szCs w:val="20"/>
        </w:rPr>
        <w:t xml:space="preserve">Journal of Marine Systems </w:t>
      </w:r>
      <w:r w:rsidRPr="006D4AB4">
        <w:rPr>
          <w:rFonts w:ascii="Times New Roman" w:hAnsi="Times New Roman"/>
          <w:color w:val="000000"/>
          <w:sz w:val="20"/>
          <w:szCs w:val="20"/>
        </w:rPr>
        <w:t>62: 9-21.</w:t>
      </w: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066EC2">
      <w:headerReference w:type="even" r:id="rId28"/>
      <w:headerReference w:type="default" r:id="rId29"/>
      <w:footerReference w:type="even" r:id="rId30"/>
      <w:footerReference w:type="default" r:id="rId31"/>
      <w:pgSz w:w="12240" w:h="15840" w:code="1"/>
      <w:pgMar w:top="1800" w:right="1469" w:bottom="1699" w:left="1440" w:header="706" w:footer="706" w:gutter="0"/>
      <w:pgNumType w:start="97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88B" w:rsidRDefault="0030188B" w:rsidP="00FB4C59">
      <w:pPr>
        <w:spacing w:after="0" w:line="240" w:lineRule="auto"/>
      </w:pPr>
      <w:r>
        <w:separator/>
      </w:r>
    </w:p>
  </w:endnote>
  <w:endnote w:type="continuationSeparator" w:id="0">
    <w:p w:rsidR="0030188B" w:rsidRDefault="0030188B"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2B0" w:rsidRPr="00BA446B" w:rsidRDefault="006B72B0">
    <w:pPr>
      <w:pStyle w:val="Footer"/>
      <w:rPr>
        <w:rFonts w:ascii="Times New Roman" w:hAnsi="Times New Roman"/>
      </w:rPr>
    </w:pPr>
    <w:r w:rsidRPr="00BA446B">
      <w:rPr>
        <w:rFonts w:ascii="Times New Roman" w:hAnsi="Times New Roman"/>
      </w:rPr>
      <w:fldChar w:fldCharType="begin"/>
    </w:r>
    <w:r w:rsidRPr="00BA446B">
      <w:rPr>
        <w:rFonts w:ascii="Times New Roman" w:hAnsi="Times New Roman"/>
      </w:rPr>
      <w:instrText xml:space="preserve"> PAGE   \* MERGEFORMAT </w:instrText>
    </w:r>
    <w:r w:rsidRPr="00BA446B">
      <w:rPr>
        <w:rFonts w:ascii="Times New Roman" w:hAnsi="Times New Roman"/>
      </w:rPr>
      <w:fldChar w:fldCharType="separate"/>
    </w:r>
    <w:r w:rsidR="00F83777">
      <w:rPr>
        <w:rFonts w:ascii="Times New Roman" w:hAnsi="Times New Roman"/>
        <w:noProof/>
      </w:rPr>
      <w:t>980</w:t>
    </w:r>
    <w:r w:rsidRPr="00BA446B">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2B0" w:rsidRPr="00BA446B" w:rsidRDefault="006B72B0">
    <w:pPr>
      <w:pStyle w:val="Footer"/>
      <w:jc w:val="right"/>
      <w:rPr>
        <w:rFonts w:ascii="Times New Roman" w:hAnsi="Times New Roman"/>
      </w:rPr>
    </w:pPr>
    <w:r w:rsidRPr="00BA446B">
      <w:rPr>
        <w:rFonts w:ascii="Times New Roman" w:hAnsi="Times New Roman"/>
      </w:rPr>
      <w:fldChar w:fldCharType="begin"/>
    </w:r>
    <w:r w:rsidRPr="00BA446B">
      <w:rPr>
        <w:rFonts w:ascii="Times New Roman" w:hAnsi="Times New Roman"/>
      </w:rPr>
      <w:instrText xml:space="preserve"> PAGE   \* MERGEFORMAT </w:instrText>
    </w:r>
    <w:r w:rsidRPr="00BA446B">
      <w:rPr>
        <w:rFonts w:ascii="Times New Roman" w:hAnsi="Times New Roman"/>
      </w:rPr>
      <w:fldChar w:fldCharType="separate"/>
    </w:r>
    <w:r w:rsidR="00F83777">
      <w:rPr>
        <w:rFonts w:ascii="Times New Roman" w:hAnsi="Times New Roman"/>
        <w:noProof/>
      </w:rPr>
      <w:t>979</w:t>
    </w:r>
    <w:r w:rsidRPr="00BA446B">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88B" w:rsidRDefault="0030188B" w:rsidP="00FB4C59">
      <w:pPr>
        <w:spacing w:after="0" w:line="240" w:lineRule="auto"/>
      </w:pPr>
      <w:r>
        <w:separator/>
      </w:r>
    </w:p>
  </w:footnote>
  <w:footnote w:type="continuationSeparator" w:id="0">
    <w:p w:rsidR="0030188B" w:rsidRDefault="0030188B"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DC1" w:rsidRPr="004C58D7" w:rsidRDefault="003D1DC1" w:rsidP="003D1DC1">
    <w:pPr>
      <w:spacing w:after="0" w:line="240" w:lineRule="auto"/>
      <w:ind w:left="1080" w:hanging="1080"/>
      <w:rPr>
        <w:rFonts w:ascii="Times New Roman" w:hAnsi="Times New Roman"/>
        <w:color w:val="000000"/>
        <w:sz w:val="20"/>
        <w:szCs w:val="20"/>
      </w:rPr>
    </w:pPr>
    <w:r>
      <w:rPr>
        <w:rFonts w:ascii="Times New Roman" w:hAnsi="Times New Roman"/>
        <w:sz w:val="20"/>
        <w:szCs w:val="20"/>
      </w:rPr>
      <w:t>Gasim et al</w:t>
    </w:r>
    <w:r w:rsidR="006B72B0" w:rsidRPr="003D1DC1">
      <w:rPr>
        <w:rFonts w:ascii="Times New Roman" w:hAnsi="Times New Roman"/>
        <w:sz w:val="20"/>
        <w:szCs w:val="20"/>
      </w:rPr>
      <w:t xml:space="preserve">: </w:t>
    </w:r>
    <w:r>
      <w:rPr>
        <w:rFonts w:ascii="Times New Roman" w:hAnsi="Times New Roman"/>
        <w:sz w:val="20"/>
        <w:szCs w:val="20"/>
      </w:rPr>
      <w:tab/>
    </w:r>
    <w:r w:rsidRPr="004C58D7">
      <w:rPr>
        <w:rFonts w:ascii="Times New Roman" w:hAnsi="Times New Roman"/>
        <w:color w:val="000000"/>
        <w:sz w:val="20"/>
        <w:szCs w:val="20"/>
      </w:rPr>
      <w:t>THE INFLUENCE OF TIDAL ACTIVITIES ON WATER QUALITY OF PAKA RIVER TERENGGANU,</w:t>
    </w:r>
    <w:r w:rsidR="006B5278">
      <w:rPr>
        <w:rFonts w:ascii="Times New Roman" w:hAnsi="Times New Roman"/>
        <w:color w:val="000000"/>
        <w:sz w:val="20"/>
        <w:szCs w:val="20"/>
      </w:rPr>
      <w:t xml:space="preserve"> </w:t>
    </w:r>
    <w:r w:rsidRPr="004C58D7">
      <w:rPr>
        <w:rFonts w:ascii="Times New Roman" w:hAnsi="Times New Roman"/>
        <w:color w:val="000000"/>
        <w:sz w:val="20"/>
        <w:szCs w:val="20"/>
      </w:rPr>
      <w:t>MALAYSIA</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B72B0" w:rsidRDefault="006B72B0" w:rsidP="006B72B0">
    <w:pPr>
      <w:pStyle w:val="Header"/>
      <w:jc w:val="right"/>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066EC2">
      <w:rPr>
        <w:rFonts w:ascii="Times New Roman" w:hAnsi="Times New Roman"/>
        <w:i/>
        <w:lang w:val="en-US"/>
      </w:rPr>
      <w:t>979 - 990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F116306"/>
    <w:multiLevelType w:val="hybridMultilevel"/>
    <w:tmpl w:val="1A327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66EC2"/>
    <w:rsid w:val="00084936"/>
    <w:rsid w:val="00097F95"/>
    <w:rsid w:val="000C49FF"/>
    <w:rsid w:val="000F77DA"/>
    <w:rsid w:val="001068E8"/>
    <w:rsid w:val="00117BCD"/>
    <w:rsid w:val="00192BF6"/>
    <w:rsid w:val="001D035A"/>
    <w:rsid w:val="001D3855"/>
    <w:rsid w:val="001D6F2C"/>
    <w:rsid w:val="002925AC"/>
    <w:rsid w:val="002B188F"/>
    <w:rsid w:val="002B3BD8"/>
    <w:rsid w:val="002D709B"/>
    <w:rsid w:val="002F3F91"/>
    <w:rsid w:val="0030188B"/>
    <w:rsid w:val="00304767"/>
    <w:rsid w:val="00304B34"/>
    <w:rsid w:val="00361BAF"/>
    <w:rsid w:val="00367D1F"/>
    <w:rsid w:val="003D1DC1"/>
    <w:rsid w:val="003D585B"/>
    <w:rsid w:val="003D7935"/>
    <w:rsid w:val="003E5E55"/>
    <w:rsid w:val="003E7DA6"/>
    <w:rsid w:val="003F12FF"/>
    <w:rsid w:val="00422A7E"/>
    <w:rsid w:val="004760D4"/>
    <w:rsid w:val="00494C46"/>
    <w:rsid w:val="004B43FF"/>
    <w:rsid w:val="004C58D7"/>
    <w:rsid w:val="00502641"/>
    <w:rsid w:val="00583520"/>
    <w:rsid w:val="005C6768"/>
    <w:rsid w:val="005E17E5"/>
    <w:rsid w:val="005E4871"/>
    <w:rsid w:val="00634C25"/>
    <w:rsid w:val="006416AB"/>
    <w:rsid w:val="006768E9"/>
    <w:rsid w:val="00687982"/>
    <w:rsid w:val="006B3EC8"/>
    <w:rsid w:val="006B5278"/>
    <w:rsid w:val="006B72B0"/>
    <w:rsid w:val="006D4AB4"/>
    <w:rsid w:val="006D695E"/>
    <w:rsid w:val="00725A6A"/>
    <w:rsid w:val="007943F3"/>
    <w:rsid w:val="007A738C"/>
    <w:rsid w:val="007B1349"/>
    <w:rsid w:val="007D5808"/>
    <w:rsid w:val="007E25BD"/>
    <w:rsid w:val="00802C35"/>
    <w:rsid w:val="0082181A"/>
    <w:rsid w:val="008B470E"/>
    <w:rsid w:val="008E1211"/>
    <w:rsid w:val="008E5BBF"/>
    <w:rsid w:val="008E6968"/>
    <w:rsid w:val="00955D88"/>
    <w:rsid w:val="00A14DB9"/>
    <w:rsid w:val="00A4762A"/>
    <w:rsid w:val="00A74A7E"/>
    <w:rsid w:val="00AD1B8A"/>
    <w:rsid w:val="00AE713F"/>
    <w:rsid w:val="00B1121C"/>
    <w:rsid w:val="00B25B65"/>
    <w:rsid w:val="00B2770A"/>
    <w:rsid w:val="00B314AD"/>
    <w:rsid w:val="00B75BF6"/>
    <w:rsid w:val="00BA1F7B"/>
    <w:rsid w:val="00BA446B"/>
    <w:rsid w:val="00BB58AF"/>
    <w:rsid w:val="00BE7C30"/>
    <w:rsid w:val="00C055BF"/>
    <w:rsid w:val="00C2226A"/>
    <w:rsid w:val="00C94D92"/>
    <w:rsid w:val="00C97340"/>
    <w:rsid w:val="00CA513F"/>
    <w:rsid w:val="00CF05FF"/>
    <w:rsid w:val="00D340BB"/>
    <w:rsid w:val="00D505D5"/>
    <w:rsid w:val="00D75B35"/>
    <w:rsid w:val="00D76E09"/>
    <w:rsid w:val="00D9736F"/>
    <w:rsid w:val="00D9792A"/>
    <w:rsid w:val="00DD377F"/>
    <w:rsid w:val="00E25547"/>
    <w:rsid w:val="00E3287E"/>
    <w:rsid w:val="00E604BB"/>
    <w:rsid w:val="00E66197"/>
    <w:rsid w:val="00E77E39"/>
    <w:rsid w:val="00E81873"/>
    <w:rsid w:val="00F31093"/>
    <w:rsid w:val="00F412AF"/>
    <w:rsid w:val="00F43667"/>
    <w:rsid w:val="00F447A7"/>
    <w:rsid w:val="00F83777"/>
    <w:rsid w:val="00FB4C59"/>
    <w:rsid w:val="00FE0572"/>
    <w:rsid w:val="00FF6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3D1DC1"/>
    <w:rPr>
      <w:color w:val="0000FF"/>
      <w:u w:val="single"/>
    </w:rPr>
  </w:style>
  <w:style w:type="paragraph" w:customStyle="1" w:styleId="Default">
    <w:name w:val="Default"/>
    <w:rsid w:val="003D1DC1"/>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FF6CB3"/>
    <w:rPr>
      <w:rFonts w:ascii="Calibri" w:hAnsi="Calibri"/>
      <w:sz w:val="22"/>
      <w:szCs w:val="22"/>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3D1DC1"/>
    <w:rPr>
      <w:color w:val="0000FF"/>
      <w:u w:val="single"/>
    </w:rPr>
  </w:style>
  <w:style w:type="paragraph" w:customStyle="1" w:styleId="Default">
    <w:name w:val="Default"/>
    <w:rsid w:val="003D1DC1"/>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FF6CB3"/>
    <w:rPr>
      <w:rFonts w:ascii="Calibri" w:hAnsi="Calibri"/>
      <w:sz w:val="22"/>
      <w:szCs w:val="22"/>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7.emf"/><Relationship Id="rId25" Type="http://schemas.openxmlformats.org/officeDocument/2006/relationships/chart" Target="charts/chart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7.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chart" Target="charts/chart11.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chart" Target="charts/chart10.xm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chart" Target="charts/chart6.xm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User\Desktop\Turki.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er\Desktop\Turki.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User\Desktop\Turki.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User\Desktop\Turki.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User\Desktop\Turki.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User\Desktop\Turki.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esktop\Turk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esktop\Turki.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User\Desktop\Turk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142244111436136"/>
          <c:y val="0.1021860992640531"/>
          <c:w val="0.71859426956047245"/>
          <c:h val="0.58250967595161918"/>
        </c:manualLayout>
      </c:layout>
      <c:lineChart>
        <c:grouping val="standard"/>
        <c:varyColors val="0"/>
        <c:ser>
          <c:idx val="0"/>
          <c:order val="0"/>
          <c:tx>
            <c:v>Low tide</c:v>
          </c:tx>
          <c:val>
            <c:numRef>
              <c:f>Sheet1!$E$37:$E$43</c:f>
              <c:numCache>
                <c:formatCode>General</c:formatCode>
                <c:ptCount val="7"/>
                <c:pt idx="0">
                  <c:v>6.4300000000000024</c:v>
                </c:pt>
                <c:pt idx="1">
                  <c:v>6.09</c:v>
                </c:pt>
                <c:pt idx="2">
                  <c:v>5.98</c:v>
                </c:pt>
                <c:pt idx="3">
                  <c:v>5.79</c:v>
                </c:pt>
                <c:pt idx="4">
                  <c:v>5.58</c:v>
                </c:pt>
                <c:pt idx="5">
                  <c:v>5.48</c:v>
                </c:pt>
                <c:pt idx="6">
                  <c:v>5.1899999999999995</c:v>
                </c:pt>
              </c:numCache>
            </c:numRef>
          </c:val>
          <c:smooth val="0"/>
        </c:ser>
        <c:ser>
          <c:idx val="1"/>
          <c:order val="1"/>
          <c:tx>
            <c:v>High tide</c:v>
          </c:tx>
          <c:val>
            <c:numRef>
              <c:f>Sheet1!$F$37:$F$43</c:f>
              <c:numCache>
                <c:formatCode>General</c:formatCode>
                <c:ptCount val="7"/>
                <c:pt idx="0">
                  <c:v>6.8</c:v>
                </c:pt>
                <c:pt idx="1">
                  <c:v>6.44</c:v>
                </c:pt>
                <c:pt idx="2">
                  <c:v>6.01</c:v>
                </c:pt>
                <c:pt idx="3">
                  <c:v>5.79</c:v>
                </c:pt>
                <c:pt idx="4">
                  <c:v>5.54</c:v>
                </c:pt>
                <c:pt idx="5">
                  <c:v>5.76</c:v>
                </c:pt>
                <c:pt idx="6">
                  <c:v>5.68</c:v>
                </c:pt>
              </c:numCache>
            </c:numRef>
          </c:val>
          <c:smooth val="0"/>
        </c:ser>
        <c:dLbls>
          <c:showLegendKey val="0"/>
          <c:showVal val="0"/>
          <c:showCatName val="0"/>
          <c:showSerName val="0"/>
          <c:showPercent val="0"/>
          <c:showBubbleSize val="0"/>
        </c:dLbls>
        <c:hiLowLines/>
        <c:marker val="1"/>
        <c:smooth val="0"/>
        <c:axId val="42142336"/>
        <c:axId val="34607872"/>
      </c:lineChart>
      <c:catAx>
        <c:axId val="42142336"/>
        <c:scaling>
          <c:orientation val="minMax"/>
        </c:scaling>
        <c:delete val="0"/>
        <c:axPos val="b"/>
        <c:title>
          <c:tx>
            <c:rich>
              <a:bodyPr/>
              <a:lstStyle/>
              <a:p>
                <a:pPr>
                  <a:defRPr/>
                </a:pPr>
                <a:r>
                  <a:rPr lang="en-US"/>
                  <a:t>Station</a:t>
                </a:r>
              </a:p>
            </c:rich>
          </c:tx>
          <c:layout/>
          <c:overlay val="0"/>
        </c:title>
        <c:majorTickMark val="none"/>
        <c:minorTickMark val="none"/>
        <c:tickLblPos val="nextTo"/>
        <c:crossAx val="34607872"/>
        <c:crosses val="autoZero"/>
        <c:auto val="1"/>
        <c:lblAlgn val="ctr"/>
        <c:lblOffset val="100"/>
        <c:noMultiLvlLbl val="0"/>
      </c:catAx>
      <c:valAx>
        <c:axId val="34607872"/>
        <c:scaling>
          <c:orientation val="minMax"/>
        </c:scaling>
        <c:delete val="0"/>
        <c:axPos val="l"/>
        <c:title>
          <c:tx>
            <c:rich>
              <a:bodyPr/>
              <a:lstStyle/>
              <a:p>
                <a:pPr>
                  <a:defRPr/>
                </a:pPr>
                <a:r>
                  <a:rPr lang="en-US"/>
                  <a:t>PH</a:t>
                </a:r>
              </a:p>
            </c:rich>
          </c:tx>
          <c:layout>
            <c:manualLayout>
              <c:xMode val="edge"/>
              <c:yMode val="edge"/>
              <c:x val="2.5979973113997076E-2"/>
              <c:y val="0.31676371792688396"/>
            </c:manualLayout>
          </c:layout>
          <c:overlay val="0"/>
        </c:title>
        <c:numFmt formatCode="General" sourceLinked="1"/>
        <c:majorTickMark val="out"/>
        <c:minorTickMark val="none"/>
        <c:tickLblPos val="nextTo"/>
        <c:crossAx val="42142336"/>
        <c:crosses val="autoZero"/>
        <c:crossBetween val="between"/>
      </c:valAx>
    </c:plotArea>
    <c:legend>
      <c:legendPos val="r"/>
      <c:layout>
        <c:manualLayout>
          <c:xMode val="edge"/>
          <c:yMode val="edge"/>
          <c:x val="0.83938951961098673"/>
          <c:y val="0.19564374517612379"/>
          <c:w val="0.14339150724993338"/>
          <c:h val="0.33277593669442562"/>
        </c:manualLayout>
      </c:layout>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192818025774461"/>
          <c:y val="7.049218847644044E-2"/>
          <c:w val="0.67517623445858199"/>
          <c:h val="0.63581452318460197"/>
        </c:manualLayout>
      </c:layout>
      <c:lineChart>
        <c:grouping val="standard"/>
        <c:varyColors val="0"/>
        <c:ser>
          <c:idx val="0"/>
          <c:order val="0"/>
          <c:tx>
            <c:v>Low tide</c:v>
          </c:tx>
          <c:val>
            <c:numRef>
              <c:f>Sheet1!$G$86:$G$92</c:f>
              <c:numCache>
                <c:formatCode>General</c:formatCode>
                <c:ptCount val="7"/>
                <c:pt idx="0">
                  <c:v>733</c:v>
                </c:pt>
                <c:pt idx="1">
                  <c:v>733</c:v>
                </c:pt>
                <c:pt idx="2">
                  <c:v>733</c:v>
                </c:pt>
                <c:pt idx="3">
                  <c:v>69</c:v>
                </c:pt>
                <c:pt idx="4">
                  <c:v>6.3</c:v>
                </c:pt>
                <c:pt idx="5">
                  <c:v>4.4000000000000004</c:v>
                </c:pt>
                <c:pt idx="6">
                  <c:v>3</c:v>
                </c:pt>
              </c:numCache>
            </c:numRef>
          </c:val>
          <c:smooth val="0"/>
        </c:ser>
        <c:ser>
          <c:idx val="1"/>
          <c:order val="1"/>
          <c:tx>
            <c:v>High tide</c:v>
          </c:tx>
          <c:val>
            <c:numRef>
              <c:f>Sheet1!$H$86:$H$92</c:f>
              <c:numCache>
                <c:formatCode>General</c:formatCode>
                <c:ptCount val="7"/>
                <c:pt idx="0">
                  <c:v>732</c:v>
                </c:pt>
                <c:pt idx="1">
                  <c:v>732</c:v>
                </c:pt>
                <c:pt idx="2">
                  <c:v>732</c:v>
                </c:pt>
                <c:pt idx="3">
                  <c:v>10</c:v>
                </c:pt>
                <c:pt idx="4">
                  <c:v>8.2000000000000011</c:v>
                </c:pt>
                <c:pt idx="5">
                  <c:v>5.0999999999999996</c:v>
                </c:pt>
                <c:pt idx="6">
                  <c:v>3.5</c:v>
                </c:pt>
              </c:numCache>
            </c:numRef>
          </c:val>
          <c:smooth val="0"/>
        </c:ser>
        <c:dLbls>
          <c:showLegendKey val="0"/>
          <c:showVal val="0"/>
          <c:showCatName val="0"/>
          <c:showSerName val="0"/>
          <c:showPercent val="0"/>
          <c:showBubbleSize val="0"/>
        </c:dLbls>
        <c:marker val="1"/>
        <c:smooth val="0"/>
        <c:axId val="43177856"/>
        <c:axId val="43184128"/>
      </c:lineChart>
      <c:catAx>
        <c:axId val="43177856"/>
        <c:scaling>
          <c:orientation val="minMax"/>
        </c:scaling>
        <c:delete val="0"/>
        <c:axPos val="b"/>
        <c:title>
          <c:tx>
            <c:rich>
              <a:bodyPr/>
              <a:lstStyle/>
              <a:p>
                <a:pPr>
                  <a:defRPr/>
                </a:pPr>
                <a:r>
                  <a:rPr lang="en-US"/>
                  <a:t>Station</a:t>
                </a:r>
              </a:p>
            </c:rich>
          </c:tx>
          <c:layout/>
          <c:overlay val="0"/>
        </c:title>
        <c:majorTickMark val="none"/>
        <c:minorTickMark val="none"/>
        <c:tickLblPos val="nextTo"/>
        <c:crossAx val="43184128"/>
        <c:crosses val="autoZero"/>
        <c:auto val="1"/>
        <c:lblAlgn val="ctr"/>
        <c:lblOffset val="100"/>
        <c:noMultiLvlLbl val="0"/>
      </c:catAx>
      <c:valAx>
        <c:axId val="43184128"/>
        <c:scaling>
          <c:orientation val="minMax"/>
        </c:scaling>
        <c:delete val="0"/>
        <c:axPos val="l"/>
        <c:title>
          <c:tx>
            <c:rich>
              <a:bodyPr/>
              <a:lstStyle/>
              <a:p>
                <a:pPr>
                  <a:defRPr/>
                </a:pPr>
                <a:r>
                  <a:rPr lang="en-US"/>
                  <a:t>Sodium (mg/L)</a:t>
                </a:r>
              </a:p>
            </c:rich>
          </c:tx>
          <c:layout>
            <c:manualLayout>
              <c:xMode val="edge"/>
              <c:yMode val="edge"/>
              <c:x val="2.1097094697072896E-2"/>
              <c:y val="0.30097437820272466"/>
            </c:manualLayout>
          </c:layout>
          <c:overlay val="0"/>
        </c:title>
        <c:numFmt formatCode="General" sourceLinked="1"/>
        <c:majorTickMark val="out"/>
        <c:minorTickMark val="none"/>
        <c:tickLblPos val="nextTo"/>
        <c:crossAx val="43177856"/>
        <c:crosses val="autoZero"/>
        <c:crossBetween val="between"/>
      </c:valAx>
    </c:plotArea>
    <c:legend>
      <c:legendPos val="r"/>
      <c:layout>
        <c:manualLayout>
          <c:xMode val="edge"/>
          <c:yMode val="edge"/>
          <c:x val="0.8221473267398669"/>
          <c:y val="0.40592325959255088"/>
          <c:w val="0.14750412093539791"/>
          <c:h val="0.21540907386576677"/>
        </c:manualLayout>
      </c:layout>
      <c:overlay val="0"/>
    </c:legend>
    <c:plotVisOnly val="1"/>
    <c:dispBlanksAs val="gap"/>
    <c:showDLblsOverMax val="0"/>
  </c:chart>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715325801666096"/>
          <c:y val="0.17192128002367923"/>
          <c:w val="0.67520219103046908"/>
          <c:h val="0.50916424920569137"/>
        </c:manualLayout>
      </c:layout>
      <c:lineChart>
        <c:grouping val="standard"/>
        <c:varyColors val="0"/>
        <c:ser>
          <c:idx val="0"/>
          <c:order val="0"/>
          <c:tx>
            <c:v>Low tide</c:v>
          </c:tx>
          <c:val>
            <c:numRef>
              <c:f>Sheet1!$G$95:$G$101</c:f>
              <c:numCache>
                <c:formatCode>General</c:formatCode>
                <c:ptCount val="7"/>
                <c:pt idx="0">
                  <c:v>183</c:v>
                </c:pt>
                <c:pt idx="1">
                  <c:v>115</c:v>
                </c:pt>
                <c:pt idx="2">
                  <c:v>68</c:v>
                </c:pt>
                <c:pt idx="3">
                  <c:v>20</c:v>
                </c:pt>
                <c:pt idx="4">
                  <c:v>3</c:v>
                </c:pt>
                <c:pt idx="5">
                  <c:v>2</c:v>
                </c:pt>
                <c:pt idx="6">
                  <c:v>2.5</c:v>
                </c:pt>
              </c:numCache>
            </c:numRef>
          </c:val>
          <c:smooth val="0"/>
        </c:ser>
        <c:ser>
          <c:idx val="1"/>
          <c:order val="1"/>
          <c:tx>
            <c:v>High tide</c:v>
          </c:tx>
          <c:val>
            <c:numRef>
              <c:f>Sheet1!$H$95:$H$101</c:f>
              <c:numCache>
                <c:formatCode>General</c:formatCode>
                <c:ptCount val="7"/>
                <c:pt idx="0">
                  <c:v>1800</c:v>
                </c:pt>
                <c:pt idx="1">
                  <c:v>385</c:v>
                </c:pt>
                <c:pt idx="2">
                  <c:v>80</c:v>
                </c:pt>
                <c:pt idx="3">
                  <c:v>30</c:v>
                </c:pt>
                <c:pt idx="4">
                  <c:v>2.5</c:v>
                </c:pt>
                <c:pt idx="5">
                  <c:v>0.5</c:v>
                </c:pt>
                <c:pt idx="6">
                  <c:v>0.05</c:v>
                </c:pt>
              </c:numCache>
            </c:numRef>
          </c:val>
          <c:smooth val="0"/>
        </c:ser>
        <c:dLbls>
          <c:showLegendKey val="0"/>
          <c:showVal val="0"/>
          <c:showCatName val="0"/>
          <c:showSerName val="0"/>
          <c:showPercent val="0"/>
          <c:showBubbleSize val="0"/>
        </c:dLbls>
        <c:marker val="1"/>
        <c:smooth val="0"/>
        <c:axId val="43223296"/>
        <c:axId val="43229568"/>
      </c:lineChart>
      <c:catAx>
        <c:axId val="43223296"/>
        <c:scaling>
          <c:orientation val="minMax"/>
        </c:scaling>
        <c:delete val="0"/>
        <c:axPos val="b"/>
        <c:title>
          <c:tx>
            <c:rich>
              <a:bodyPr/>
              <a:lstStyle/>
              <a:p>
                <a:pPr>
                  <a:defRPr/>
                </a:pPr>
                <a:r>
                  <a:rPr lang="en-US"/>
                  <a:t>Station</a:t>
                </a:r>
              </a:p>
            </c:rich>
          </c:tx>
          <c:layout/>
          <c:overlay val="0"/>
        </c:title>
        <c:majorTickMark val="none"/>
        <c:minorTickMark val="none"/>
        <c:tickLblPos val="nextTo"/>
        <c:crossAx val="43229568"/>
        <c:crosses val="autoZero"/>
        <c:auto val="1"/>
        <c:lblAlgn val="ctr"/>
        <c:lblOffset val="100"/>
        <c:noMultiLvlLbl val="0"/>
      </c:catAx>
      <c:valAx>
        <c:axId val="43229568"/>
        <c:scaling>
          <c:orientation val="minMax"/>
        </c:scaling>
        <c:delete val="0"/>
        <c:axPos val="l"/>
        <c:title>
          <c:tx>
            <c:rich>
              <a:bodyPr/>
              <a:lstStyle/>
              <a:p>
                <a:pPr>
                  <a:defRPr/>
                </a:pPr>
                <a:r>
                  <a:rPr lang="en-US"/>
                  <a:t>Sulphate (mg/L)</a:t>
                </a:r>
              </a:p>
            </c:rich>
          </c:tx>
          <c:layout>
            <c:manualLayout>
              <c:xMode val="edge"/>
              <c:yMode val="edge"/>
              <c:x val="3.9881684354673062E-2"/>
              <c:y val="0.26548848060659086"/>
            </c:manualLayout>
          </c:layout>
          <c:overlay val="0"/>
        </c:title>
        <c:numFmt formatCode="General" sourceLinked="1"/>
        <c:majorTickMark val="out"/>
        <c:minorTickMark val="none"/>
        <c:tickLblPos val="nextTo"/>
        <c:crossAx val="43223296"/>
        <c:crosses val="autoZero"/>
        <c:crossBetween val="between"/>
      </c:valAx>
    </c:plotArea>
    <c:legend>
      <c:legendPos val="r"/>
      <c:layout>
        <c:manualLayout>
          <c:xMode val="edge"/>
          <c:yMode val="edge"/>
          <c:x val="0.83160524934383206"/>
          <c:y val="0.38239413055824162"/>
          <c:w val="0.1544817071779071"/>
          <c:h val="0.25860293779067089"/>
        </c:manualLayout>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44932100878697"/>
          <c:y val="0.19076305220883535"/>
          <c:w val="0.65744352390733762"/>
          <c:h val="0.56596844069190144"/>
        </c:manualLayout>
      </c:layout>
      <c:lineChart>
        <c:grouping val="standard"/>
        <c:varyColors val="0"/>
        <c:ser>
          <c:idx val="0"/>
          <c:order val="0"/>
          <c:tx>
            <c:v>Low tide</c:v>
          </c:tx>
          <c:val>
            <c:numRef>
              <c:f>Sheet1!$E$95:$E$101</c:f>
              <c:numCache>
                <c:formatCode>General</c:formatCode>
                <c:ptCount val="7"/>
                <c:pt idx="0">
                  <c:v>26</c:v>
                </c:pt>
                <c:pt idx="1">
                  <c:v>25</c:v>
                </c:pt>
                <c:pt idx="2">
                  <c:v>13</c:v>
                </c:pt>
                <c:pt idx="3">
                  <c:v>8</c:v>
                </c:pt>
                <c:pt idx="4">
                  <c:v>5</c:v>
                </c:pt>
                <c:pt idx="5">
                  <c:v>3</c:v>
                </c:pt>
                <c:pt idx="6">
                  <c:v>2</c:v>
                </c:pt>
              </c:numCache>
            </c:numRef>
          </c:val>
          <c:smooth val="0"/>
        </c:ser>
        <c:ser>
          <c:idx val="1"/>
          <c:order val="1"/>
          <c:tx>
            <c:v>High tide</c:v>
          </c:tx>
          <c:val>
            <c:numRef>
              <c:f>Sheet1!$F$95:$F$101</c:f>
              <c:numCache>
                <c:formatCode>General</c:formatCode>
                <c:ptCount val="7"/>
                <c:pt idx="0">
                  <c:v>230</c:v>
                </c:pt>
                <c:pt idx="1">
                  <c:v>27</c:v>
                </c:pt>
                <c:pt idx="2">
                  <c:v>19</c:v>
                </c:pt>
                <c:pt idx="3">
                  <c:v>8</c:v>
                </c:pt>
                <c:pt idx="4">
                  <c:v>9</c:v>
                </c:pt>
                <c:pt idx="5">
                  <c:v>3</c:v>
                </c:pt>
                <c:pt idx="6">
                  <c:v>5</c:v>
                </c:pt>
              </c:numCache>
            </c:numRef>
          </c:val>
          <c:smooth val="0"/>
        </c:ser>
        <c:dLbls>
          <c:showLegendKey val="0"/>
          <c:showVal val="0"/>
          <c:showCatName val="0"/>
          <c:showSerName val="0"/>
          <c:showPercent val="0"/>
          <c:showBubbleSize val="0"/>
        </c:dLbls>
        <c:marker val="1"/>
        <c:smooth val="0"/>
        <c:axId val="43259008"/>
        <c:axId val="43260928"/>
      </c:lineChart>
      <c:catAx>
        <c:axId val="43259008"/>
        <c:scaling>
          <c:orientation val="minMax"/>
        </c:scaling>
        <c:delete val="0"/>
        <c:axPos val="b"/>
        <c:title>
          <c:tx>
            <c:rich>
              <a:bodyPr/>
              <a:lstStyle/>
              <a:p>
                <a:pPr>
                  <a:defRPr/>
                </a:pPr>
                <a:r>
                  <a:rPr lang="en-US"/>
                  <a:t>Station</a:t>
                </a:r>
              </a:p>
            </c:rich>
          </c:tx>
          <c:layout/>
          <c:overlay val="0"/>
        </c:title>
        <c:majorTickMark val="none"/>
        <c:minorTickMark val="none"/>
        <c:tickLblPos val="nextTo"/>
        <c:crossAx val="43260928"/>
        <c:crosses val="autoZero"/>
        <c:auto val="1"/>
        <c:lblAlgn val="ctr"/>
        <c:lblOffset val="100"/>
        <c:noMultiLvlLbl val="0"/>
      </c:catAx>
      <c:valAx>
        <c:axId val="43260928"/>
        <c:scaling>
          <c:orientation val="minMax"/>
        </c:scaling>
        <c:delete val="0"/>
        <c:axPos val="l"/>
        <c:title>
          <c:tx>
            <c:rich>
              <a:bodyPr/>
              <a:lstStyle/>
              <a:p>
                <a:pPr>
                  <a:defRPr/>
                </a:pPr>
                <a:r>
                  <a:rPr lang="en-US"/>
                  <a:t>Sulphate (mg/L)</a:t>
                </a:r>
              </a:p>
            </c:rich>
          </c:tx>
          <c:layout>
            <c:manualLayout>
              <c:xMode val="edge"/>
              <c:yMode val="edge"/>
              <c:x val="4.5819559511582793E-2"/>
              <c:y val="0.23936122442526009"/>
            </c:manualLayout>
          </c:layout>
          <c:overlay val="0"/>
        </c:title>
        <c:numFmt formatCode="General" sourceLinked="1"/>
        <c:majorTickMark val="out"/>
        <c:minorTickMark val="none"/>
        <c:tickLblPos val="nextTo"/>
        <c:crossAx val="43259008"/>
        <c:crosses val="autoZero"/>
        <c:crossBetween val="between"/>
      </c:valAx>
    </c:plotArea>
    <c:legend>
      <c:legendPos val="r"/>
      <c:layout>
        <c:manualLayout>
          <c:xMode val="edge"/>
          <c:yMode val="edge"/>
          <c:x val="0.83540413100536348"/>
          <c:y val="0.41289757455016918"/>
          <c:w val="0.14437743670090294"/>
          <c:h val="0.25928912500395279"/>
        </c:manualLayout>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934906332584716"/>
          <c:y val="9.7390523552976935E-2"/>
          <c:w val="0.65908109424466277"/>
          <c:h val="0.6108841000138141"/>
        </c:manualLayout>
      </c:layout>
      <c:lineChart>
        <c:grouping val="standard"/>
        <c:varyColors val="0"/>
        <c:ser>
          <c:idx val="0"/>
          <c:order val="0"/>
          <c:tx>
            <c:v>Low tide</c:v>
          </c:tx>
          <c:val>
            <c:numRef>
              <c:f>Sheet1!$E$104:$E$110</c:f>
              <c:numCache>
                <c:formatCode>General</c:formatCode>
                <c:ptCount val="7"/>
                <c:pt idx="0">
                  <c:v>55</c:v>
                </c:pt>
                <c:pt idx="1">
                  <c:v>10</c:v>
                </c:pt>
                <c:pt idx="2">
                  <c:v>7.44</c:v>
                </c:pt>
                <c:pt idx="3">
                  <c:v>1.7</c:v>
                </c:pt>
                <c:pt idx="4">
                  <c:v>1.0900000000000001</c:v>
                </c:pt>
                <c:pt idx="5">
                  <c:v>0.70900000000000041</c:v>
                </c:pt>
                <c:pt idx="6">
                  <c:v>0.70600000000000041</c:v>
                </c:pt>
              </c:numCache>
            </c:numRef>
          </c:val>
          <c:smooth val="0"/>
        </c:ser>
        <c:ser>
          <c:idx val="1"/>
          <c:order val="1"/>
          <c:tx>
            <c:v>High tide</c:v>
          </c:tx>
          <c:val>
            <c:numRef>
              <c:f>Sheet1!$F$104:$F$110</c:f>
              <c:numCache>
                <c:formatCode>General</c:formatCode>
                <c:ptCount val="7"/>
                <c:pt idx="0">
                  <c:v>131</c:v>
                </c:pt>
                <c:pt idx="1">
                  <c:v>58</c:v>
                </c:pt>
                <c:pt idx="2">
                  <c:v>4.22</c:v>
                </c:pt>
                <c:pt idx="3">
                  <c:v>1.3900000000000001</c:v>
                </c:pt>
                <c:pt idx="4">
                  <c:v>1.1900000000000008</c:v>
                </c:pt>
                <c:pt idx="5">
                  <c:v>0.75100000000000044</c:v>
                </c:pt>
                <c:pt idx="6">
                  <c:v>0.66100000000000059</c:v>
                </c:pt>
              </c:numCache>
            </c:numRef>
          </c:val>
          <c:smooth val="0"/>
        </c:ser>
        <c:dLbls>
          <c:showLegendKey val="0"/>
          <c:showVal val="0"/>
          <c:showCatName val="0"/>
          <c:showSerName val="0"/>
          <c:showPercent val="0"/>
          <c:showBubbleSize val="0"/>
        </c:dLbls>
        <c:marker val="1"/>
        <c:smooth val="0"/>
        <c:axId val="43586304"/>
        <c:axId val="43588224"/>
      </c:lineChart>
      <c:catAx>
        <c:axId val="43586304"/>
        <c:scaling>
          <c:orientation val="minMax"/>
        </c:scaling>
        <c:delete val="0"/>
        <c:axPos val="b"/>
        <c:title>
          <c:tx>
            <c:rich>
              <a:bodyPr/>
              <a:lstStyle/>
              <a:p>
                <a:pPr>
                  <a:defRPr/>
                </a:pPr>
                <a:r>
                  <a:rPr lang="en-US"/>
                  <a:t>Station</a:t>
                </a:r>
              </a:p>
            </c:rich>
          </c:tx>
          <c:layout/>
          <c:overlay val="0"/>
        </c:title>
        <c:majorTickMark val="none"/>
        <c:minorTickMark val="none"/>
        <c:tickLblPos val="nextTo"/>
        <c:crossAx val="43588224"/>
        <c:crosses val="autoZero"/>
        <c:auto val="1"/>
        <c:lblAlgn val="ctr"/>
        <c:lblOffset val="100"/>
        <c:noMultiLvlLbl val="0"/>
      </c:catAx>
      <c:valAx>
        <c:axId val="43588224"/>
        <c:scaling>
          <c:orientation val="minMax"/>
        </c:scaling>
        <c:delete val="0"/>
        <c:axPos val="l"/>
        <c:title>
          <c:tx>
            <c:rich>
              <a:bodyPr/>
              <a:lstStyle/>
              <a:p>
                <a:pPr>
                  <a:defRPr/>
                </a:pPr>
                <a:r>
                  <a:rPr lang="en-US"/>
                  <a:t>Magnesium (Mg/L)</a:t>
                </a:r>
              </a:p>
            </c:rich>
          </c:tx>
          <c:layout/>
          <c:overlay val="0"/>
        </c:title>
        <c:numFmt formatCode="General" sourceLinked="1"/>
        <c:majorTickMark val="out"/>
        <c:minorTickMark val="none"/>
        <c:tickLblPos val="nextTo"/>
        <c:crossAx val="43586304"/>
        <c:crosses val="autoZero"/>
        <c:crossBetween val="between"/>
      </c:valAx>
    </c:plotArea>
    <c:legend>
      <c:legendPos val="r"/>
      <c:layout>
        <c:manualLayout>
          <c:xMode val="edge"/>
          <c:yMode val="edge"/>
          <c:x val="0.83363061576065878"/>
          <c:y val="0.41155339135239671"/>
          <c:w val="0.15262367977198726"/>
          <c:h val="0.24706865589169774"/>
        </c:manualLayout>
      </c:layout>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638228211164326"/>
          <c:y val="0.10280110819480898"/>
          <c:w val="0.65204787545886667"/>
          <c:h val="0.6170443277923594"/>
        </c:manualLayout>
      </c:layout>
      <c:lineChart>
        <c:grouping val="standard"/>
        <c:varyColors val="0"/>
        <c:ser>
          <c:idx val="0"/>
          <c:order val="0"/>
          <c:tx>
            <c:v>Low tide</c:v>
          </c:tx>
          <c:val>
            <c:numRef>
              <c:f>Sheet1!$G$104:$G$110</c:f>
              <c:numCache>
                <c:formatCode>General</c:formatCode>
                <c:ptCount val="7"/>
                <c:pt idx="0">
                  <c:v>89</c:v>
                </c:pt>
                <c:pt idx="1">
                  <c:v>52</c:v>
                </c:pt>
                <c:pt idx="2">
                  <c:v>31</c:v>
                </c:pt>
                <c:pt idx="3">
                  <c:v>8.7000000000000011</c:v>
                </c:pt>
                <c:pt idx="4">
                  <c:v>1.2</c:v>
                </c:pt>
                <c:pt idx="5">
                  <c:v>0.99</c:v>
                </c:pt>
                <c:pt idx="6">
                  <c:v>0.88</c:v>
                </c:pt>
              </c:numCache>
            </c:numRef>
          </c:val>
          <c:smooth val="0"/>
        </c:ser>
        <c:ser>
          <c:idx val="1"/>
          <c:order val="1"/>
          <c:tx>
            <c:v>High tide</c:v>
          </c:tx>
          <c:val>
            <c:numRef>
              <c:f>Sheet1!$H$104:$H$110</c:f>
              <c:numCache>
                <c:formatCode>General</c:formatCode>
                <c:ptCount val="7"/>
                <c:pt idx="0">
                  <c:v>1114</c:v>
                </c:pt>
                <c:pt idx="1">
                  <c:v>145</c:v>
                </c:pt>
                <c:pt idx="2">
                  <c:v>44</c:v>
                </c:pt>
                <c:pt idx="3">
                  <c:v>27</c:v>
                </c:pt>
                <c:pt idx="4">
                  <c:v>1.6</c:v>
                </c:pt>
                <c:pt idx="5">
                  <c:v>1.07</c:v>
                </c:pt>
                <c:pt idx="6">
                  <c:v>0.85000000000000042</c:v>
                </c:pt>
              </c:numCache>
            </c:numRef>
          </c:val>
          <c:smooth val="0"/>
        </c:ser>
        <c:dLbls>
          <c:showLegendKey val="0"/>
          <c:showVal val="0"/>
          <c:showCatName val="0"/>
          <c:showSerName val="0"/>
          <c:showPercent val="0"/>
          <c:showBubbleSize val="0"/>
        </c:dLbls>
        <c:marker val="1"/>
        <c:smooth val="0"/>
        <c:axId val="43613568"/>
        <c:axId val="43619840"/>
      </c:lineChart>
      <c:catAx>
        <c:axId val="43613568"/>
        <c:scaling>
          <c:orientation val="minMax"/>
        </c:scaling>
        <c:delete val="0"/>
        <c:axPos val="b"/>
        <c:title>
          <c:tx>
            <c:rich>
              <a:bodyPr/>
              <a:lstStyle/>
              <a:p>
                <a:pPr>
                  <a:defRPr/>
                </a:pPr>
                <a:r>
                  <a:rPr lang="en-US"/>
                  <a:t>Station</a:t>
                </a:r>
              </a:p>
            </c:rich>
          </c:tx>
          <c:layout/>
          <c:overlay val="0"/>
        </c:title>
        <c:majorTickMark val="none"/>
        <c:minorTickMark val="none"/>
        <c:tickLblPos val="nextTo"/>
        <c:crossAx val="43619840"/>
        <c:crosses val="autoZero"/>
        <c:auto val="1"/>
        <c:lblAlgn val="ctr"/>
        <c:lblOffset val="100"/>
        <c:noMultiLvlLbl val="0"/>
      </c:catAx>
      <c:valAx>
        <c:axId val="43619840"/>
        <c:scaling>
          <c:orientation val="minMax"/>
        </c:scaling>
        <c:delete val="0"/>
        <c:axPos val="l"/>
        <c:title>
          <c:tx>
            <c:rich>
              <a:bodyPr/>
              <a:lstStyle/>
              <a:p>
                <a:pPr>
                  <a:defRPr/>
                </a:pPr>
                <a:r>
                  <a:rPr lang="en-US"/>
                  <a:t>Magnesium (Mg/L)</a:t>
                </a:r>
              </a:p>
            </c:rich>
          </c:tx>
          <c:layout/>
          <c:overlay val="0"/>
        </c:title>
        <c:numFmt formatCode="General" sourceLinked="1"/>
        <c:majorTickMark val="out"/>
        <c:minorTickMark val="none"/>
        <c:tickLblPos val="nextTo"/>
        <c:crossAx val="43613568"/>
        <c:crosses val="autoZero"/>
        <c:crossBetween val="between"/>
      </c:valAx>
      <c:spPr>
        <a:noFill/>
        <a:ln w="25400">
          <a:noFill/>
        </a:ln>
      </c:spPr>
    </c:plotArea>
    <c:legend>
      <c:legendPos val="r"/>
      <c:layout>
        <c:manualLayout>
          <c:xMode val="edge"/>
          <c:yMode val="edge"/>
          <c:x val="0.83363061576065878"/>
          <c:y val="0.37886191309419653"/>
          <c:w val="0.15262367977198726"/>
          <c:h val="0.28857247010790316"/>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v>Low tide</c:v>
          </c:tx>
          <c:val>
            <c:numRef>
              <c:f>Sheet1!$G$37:$G$43</c:f>
              <c:numCache>
                <c:formatCode>General</c:formatCode>
                <c:ptCount val="7"/>
                <c:pt idx="0">
                  <c:v>6.68</c:v>
                </c:pt>
                <c:pt idx="1">
                  <c:v>6.64</c:v>
                </c:pt>
                <c:pt idx="2">
                  <c:v>6.3199999999999985</c:v>
                </c:pt>
                <c:pt idx="3">
                  <c:v>6.4</c:v>
                </c:pt>
                <c:pt idx="4">
                  <c:v>5.55</c:v>
                </c:pt>
                <c:pt idx="5">
                  <c:v>5.4300000000000024</c:v>
                </c:pt>
                <c:pt idx="6">
                  <c:v>5.0199999999999996</c:v>
                </c:pt>
              </c:numCache>
            </c:numRef>
          </c:val>
          <c:smooth val="0"/>
        </c:ser>
        <c:ser>
          <c:idx val="1"/>
          <c:order val="1"/>
          <c:tx>
            <c:v>High tide</c:v>
          </c:tx>
          <c:val>
            <c:numRef>
              <c:f>Sheet1!$H$37:$H$43</c:f>
              <c:numCache>
                <c:formatCode>General</c:formatCode>
                <c:ptCount val="7"/>
                <c:pt idx="0">
                  <c:v>7.8</c:v>
                </c:pt>
                <c:pt idx="1">
                  <c:v>6.46</c:v>
                </c:pt>
                <c:pt idx="2">
                  <c:v>6.23</c:v>
                </c:pt>
                <c:pt idx="3">
                  <c:v>5.89</c:v>
                </c:pt>
                <c:pt idx="4">
                  <c:v>5.55</c:v>
                </c:pt>
                <c:pt idx="5">
                  <c:v>4.92</c:v>
                </c:pt>
                <c:pt idx="6">
                  <c:v>5.29</c:v>
                </c:pt>
              </c:numCache>
            </c:numRef>
          </c:val>
          <c:smooth val="0"/>
        </c:ser>
        <c:dLbls>
          <c:showLegendKey val="0"/>
          <c:showVal val="0"/>
          <c:showCatName val="0"/>
          <c:showSerName val="0"/>
          <c:showPercent val="0"/>
          <c:showBubbleSize val="0"/>
        </c:dLbls>
        <c:marker val="1"/>
        <c:smooth val="0"/>
        <c:axId val="34654848"/>
        <c:axId val="34661120"/>
      </c:lineChart>
      <c:catAx>
        <c:axId val="34654848"/>
        <c:scaling>
          <c:orientation val="minMax"/>
        </c:scaling>
        <c:delete val="0"/>
        <c:axPos val="b"/>
        <c:title>
          <c:tx>
            <c:rich>
              <a:bodyPr/>
              <a:lstStyle/>
              <a:p>
                <a:pPr>
                  <a:defRPr/>
                </a:pPr>
                <a:r>
                  <a:rPr lang="en-US"/>
                  <a:t>Station</a:t>
                </a:r>
              </a:p>
            </c:rich>
          </c:tx>
          <c:layout/>
          <c:overlay val="0"/>
        </c:title>
        <c:majorTickMark val="none"/>
        <c:minorTickMark val="none"/>
        <c:tickLblPos val="nextTo"/>
        <c:crossAx val="34661120"/>
        <c:crosses val="autoZero"/>
        <c:auto val="1"/>
        <c:lblAlgn val="ctr"/>
        <c:lblOffset val="100"/>
        <c:noMultiLvlLbl val="0"/>
      </c:catAx>
      <c:valAx>
        <c:axId val="34661120"/>
        <c:scaling>
          <c:orientation val="minMax"/>
        </c:scaling>
        <c:delete val="0"/>
        <c:axPos val="l"/>
        <c:title>
          <c:tx>
            <c:rich>
              <a:bodyPr/>
              <a:lstStyle/>
              <a:p>
                <a:pPr>
                  <a:defRPr/>
                </a:pPr>
                <a:r>
                  <a:rPr lang="en-US"/>
                  <a:t>pH</a:t>
                </a:r>
              </a:p>
            </c:rich>
          </c:tx>
          <c:layout/>
          <c:overlay val="0"/>
        </c:title>
        <c:numFmt formatCode="General" sourceLinked="1"/>
        <c:majorTickMark val="out"/>
        <c:minorTickMark val="none"/>
        <c:tickLblPos val="nextTo"/>
        <c:crossAx val="34654848"/>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v>Low tide</c:v>
          </c:tx>
          <c:val>
            <c:numRef>
              <c:f>Sheet1!$G$46:$G$52</c:f>
              <c:numCache>
                <c:formatCode>General</c:formatCode>
                <c:ptCount val="7"/>
                <c:pt idx="0">
                  <c:v>2.74</c:v>
                </c:pt>
                <c:pt idx="1">
                  <c:v>1.9000000000000001</c:v>
                </c:pt>
                <c:pt idx="2">
                  <c:v>1.159999999999999</c:v>
                </c:pt>
                <c:pt idx="3">
                  <c:v>0.31000000000000022</c:v>
                </c:pt>
                <c:pt idx="4">
                  <c:v>3.9000000000000014E-2</c:v>
                </c:pt>
                <c:pt idx="5">
                  <c:v>3.0000000000000002E-2</c:v>
                </c:pt>
                <c:pt idx="6">
                  <c:v>2.5999999999999999E-2</c:v>
                </c:pt>
              </c:numCache>
            </c:numRef>
          </c:val>
          <c:smooth val="0"/>
        </c:ser>
        <c:ser>
          <c:idx val="1"/>
          <c:order val="1"/>
          <c:tx>
            <c:v>High tide</c:v>
          </c:tx>
          <c:val>
            <c:numRef>
              <c:f>Sheet1!$H$46:$H$52</c:f>
              <c:numCache>
                <c:formatCode>General</c:formatCode>
                <c:ptCount val="7"/>
                <c:pt idx="0">
                  <c:v>21.88</c:v>
                </c:pt>
                <c:pt idx="1">
                  <c:v>5.53</c:v>
                </c:pt>
                <c:pt idx="2">
                  <c:v>1.83</c:v>
                </c:pt>
                <c:pt idx="3">
                  <c:v>0.99</c:v>
                </c:pt>
                <c:pt idx="4">
                  <c:v>5.3999999999999999E-2</c:v>
                </c:pt>
                <c:pt idx="5">
                  <c:v>3.4000000000000002E-2</c:v>
                </c:pt>
                <c:pt idx="6">
                  <c:v>3.4300000000000004E-2</c:v>
                </c:pt>
              </c:numCache>
            </c:numRef>
          </c:val>
          <c:smooth val="0"/>
        </c:ser>
        <c:dLbls>
          <c:showLegendKey val="0"/>
          <c:showVal val="0"/>
          <c:showCatName val="0"/>
          <c:showSerName val="0"/>
          <c:showPercent val="0"/>
          <c:showBubbleSize val="0"/>
        </c:dLbls>
        <c:marker val="1"/>
        <c:smooth val="0"/>
        <c:axId val="43083264"/>
        <c:axId val="43085184"/>
      </c:lineChart>
      <c:catAx>
        <c:axId val="43083264"/>
        <c:scaling>
          <c:orientation val="minMax"/>
        </c:scaling>
        <c:delete val="0"/>
        <c:axPos val="b"/>
        <c:title>
          <c:tx>
            <c:rich>
              <a:bodyPr/>
              <a:lstStyle/>
              <a:p>
                <a:pPr>
                  <a:defRPr/>
                </a:pPr>
                <a:r>
                  <a:rPr lang="en-US"/>
                  <a:t>Stations</a:t>
                </a:r>
              </a:p>
            </c:rich>
          </c:tx>
          <c:layout/>
          <c:overlay val="0"/>
        </c:title>
        <c:majorTickMark val="none"/>
        <c:minorTickMark val="none"/>
        <c:tickLblPos val="nextTo"/>
        <c:crossAx val="43085184"/>
        <c:crosses val="autoZero"/>
        <c:auto val="1"/>
        <c:lblAlgn val="ctr"/>
        <c:lblOffset val="100"/>
        <c:noMultiLvlLbl val="0"/>
      </c:catAx>
      <c:valAx>
        <c:axId val="43085184"/>
        <c:scaling>
          <c:orientation val="minMax"/>
        </c:scaling>
        <c:delete val="0"/>
        <c:axPos val="l"/>
        <c:title>
          <c:tx>
            <c:rich>
              <a:bodyPr/>
              <a:lstStyle/>
              <a:p>
                <a:pPr>
                  <a:defRPr/>
                </a:pPr>
                <a:r>
                  <a:rPr lang="en-US"/>
                  <a:t>Total dissolved solids (mg/L)</a:t>
                </a:r>
              </a:p>
            </c:rich>
          </c:tx>
          <c:layout>
            <c:manualLayout>
              <c:xMode val="edge"/>
              <c:yMode val="edge"/>
              <c:x val="2.4732996065205171E-2"/>
              <c:y val="0.30391791935099022"/>
            </c:manualLayout>
          </c:layout>
          <c:overlay val="0"/>
        </c:title>
        <c:numFmt formatCode="General" sourceLinked="1"/>
        <c:majorTickMark val="out"/>
        <c:minorTickMark val="none"/>
        <c:tickLblPos val="nextTo"/>
        <c:crossAx val="43083264"/>
        <c:crosses val="autoZero"/>
        <c:crossBetween val="between"/>
      </c:valAx>
    </c:plotArea>
    <c:legend>
      <c:legendPos val="r"/>
      <c:layout>
        <c:manualLayout>
          <c:xMode val="edge"/>
          <c:yMode val="edge"/>
          <c:x val="0.82635931891312908"/>
          <c:y val="0.170277806183318"/>
          <c:w val="0.1403565495006267"/>
          <c:h val="0.31312404131301796"/>
        </c:manualLayout>
      </c:layout>
      <c:overlay val="0"/>
    </c:legend>
    <c:plotVisOnly val="1"/>
    <c:dispBlanksAs val="gap"/>
    <c:showDLblsOverMax val="0"/>
  </c:chart>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878670338621479"/>
          <c:y val="9.0540396497099718E-2"/>
          <c:w val="0.69813669842993753"/>
          <c:h val="0.63825322441242682"/>
        </c:manualLayout>
      </c:layout>
      <c:lineChart>
        <c:grouping val="standard"/>
        <c:varyColors val="0"/>
        <c:ser>
          <c:idx val="0"/>
          <c:order val="0"/>
          <c:tx>
            <c:v>Low tide</c:v>
          </c:tx>
          <c:val>
            <c:numRef>
              <c:f>Sheet1!$E$46:$E$52</c:f>
              <c:numCache>
                <c:formatCode>General</c:formatCode>
                <c:ptCount val="7"/>
                <c:pt idx="0">
                  <c:v>2.1</c:v>
                </c:pt>
                <c:pt idx="1">
                  <c:v>0.3520000000000002</c:v>
                </c:pt>
                <c:pt idx="2">
                  <c:v>0.18700000000000011</c:v>
                </c:pt>
                <c:pt idx="3">
                  <c:v>5.8000000000000003E-2</c:v>
                </c:pt>
                <c:pt idx="4">
                  <c:v>3.7999999999999999E-2</c:v>
                </c:pt>
                <c:pt idx="5">
                  <c:v>2.5999999999999999E-2</c:v>
                </c:pt>
                <c:pt idx="6">
                  <c:v>2.1999999999999999E-2</c:v>
                </c:pt>
              </c:numCache>
            </c:numRef>
          </c:val>
          <c:smooth val="0"/>
        </c:ser>
        <c:ser>
          <c:idx val="1"/>
          <c:order val="1"/>
          <c:tx>
            <c:v>High tide</c:v>
          </c:tx>
          <c:val>
            <c:numRef>
              <c:f>Sheet1!$F$46:$F$52</c:f>
              <c:numCache>
                <c:formatCode>General</c:formatCode>
                <c:ptCount val="7"/>
                <c:pt idx="0">
                  <c:v>4.17</c:v>
                </c:pt>
                <c:pt idx="1">
                  <c:v>2.19</c:v>
                </c:pt>
                <c:pt idx="2">
                  <c:v>0.13600000000000001</c:v>
                </c:pt>
                <c:pt idx="3">
                  <c:v>4.5000000000000012E-2</c:v>
                </c:pt>
                <c:pt idx="4">
                  <c:v>3.5999999999999997E-2</c:v>
                </c:pt>
                <c:pt idx="5">
                  <c:v>2.3E-2</c:v>
                </c:pt>
                <c:pt idx="6">
                  <c:v>2.1000000000000012E-2</c:v>
                </c:pt>
              </c:numCache>
            </c:numRef>
          </c:val>
          <c:smooth val="0"/>
        </c:ser>
        <c:dLbls>
          <c:showLegendKey val="0"/>
          <c:showVal val="0"/>
          <c:showCatName val="0"/>
          <c:showSerName val="0"/>
          <c:showPercent val="0"/>
          <c:showBubbleSize val="0"/>
        </c:dLbls>
        <c:marker val="1"/>
        <c:smooth val="0"/>
        <c:axId val="43405696"/>
        <c:axId val="43407616"/>
      </c:lineChart>
      <c:catAx>
        <c:axId val="43405696"/>
        <c:scaling>
          <c:orientation val="minMax"/>
        </c:scaling>
        <c:delete val="0"/>
        <c:axPos val="b"/>
        <c:title>
          <c:tx>
            <c:rich>
              <a:bodyPr/>
              <a:lstStyle/>
              <a:p>
                <a:pPr>
                  <a:defRPr/>
                </a:pPr>
                <a:r>
                  <a:rPr lang="en-US"/>
                  <a:t>Station</a:t>
                </a:r>
              </a:p>
            </c:rich>
          </c:tx>
          <c:layout/>
          <c:overlay val="0"/>
        </c:title>
        <c:majorTickMark val="none"/>
        <c:minorTickMark val="none"/>
        <c:tickLblPos val="nextTo"/>
        <c:crossAx val="43407616"/>
        <c:crosses val="autoZero"/>
        <c:auto val="1"/>
        <c:lblAlgn val="ctr"/>
        <c:lblOffset val="100"/>
        <c:noMultiLvlLbl val="0"/>
      </c:catAx>
      <c:valAx>
        <c:axId val="43407616"/>
        <c:scaling>
          <c:orientation val="minMax"/>
        </c:scaling>
        <c:delete val="0"/>
        <c:axPos val="l"/>
        <c:title>
          <c:tx>
            <c:rich>
              <a:bodyPr/>
              <a:lstStyle/>
              <a:p>
                <a:pPr>
                  <a:defRPr/>
                </a:pPr>
                <a:r>
                  <a:rPr lang="en-US"/>
                  <a:t>Total dissoved solids (mg/L)</a:t>
                </a:r>
              </a:p>
            </c:rich>
          </c:tx>
          <c:layout>
            <c:manualLayout>
              <c:xMode val="edge"/>
              <c:yMode val="edge"/>
              <c:x val="2.1527975107664663E-2"/>
              <c:y val="0.27195829687955675"/>
            </c:manualLayout>
          </c:layout>
          <c:overlay val="0"/>
        </c:title>
        <c:numFmt formatCode="General" sourceLinked="1"/>
        <c:majorTickMark val="out"/>
        <c:minorTickMark val="none"/>
        <c:tickLblPos val="nextTo"/>
        <c:crossAx val="43405696"/>
        <c:crosses val="autoZero"/>
        <c:crossBetween val="between"/>
      </c:valAx>
    </c:plotArea>
    <c:legend>
      <c:legendPos val="r"/>
      <c:layout>
        <c:manualLayout>
          <c:xMode val="edge"/>
          <c:yMode val="edge"/>
          <c:x val="0.81783502188701962"/>
          <c:y val="0.19211431904345291"/>
          <c:w val="0.14153438755146081"/>
          <c:h val="0.32670123551629215"/>
        </c:manualLayout>
      </c:layout>
      <c:overlay val="0"/>
    </c:legend>
    <c:plotVisOnly val="1"/>
    <c:dispBlanksAs val="gap"/>
    <c:showDLblsOverMax val="0"/>
  </c:chart>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Low tide</c:v>
          </c:tx>
          <c:val>
            <c:numRef>
              <c:f>Sheet1!$G$55:$G$61</c:f>
              <c:numCache>
                <c:formatCode>General</c:formatCode>
                <c:ptCount val="7"/>
                <c:pt idx="0">
                  <c:v>2.2330000000000001</c:v>
                </c:pt>
                <c:pt idx="1">
                  <c:v>1.512999999999999</c:v>
                </c:pt>
                <c:pt idx="2">
                  <c:v>0.9</c:v>
                </c:pt>
                <c:pt idx="3">
                  <c:v>0.23</c:v>
                </c:pt>
                <c:pt idx="4">
                  <c:v>2.7000000000000017E-2</c:v>
                </c:pt>
                <c:pt idx="5">
                  <c:v>2.0000000000000011E-2</c:v>
                </c:pt>
                <c:pt idx="6">
                  <c:v>1.7999999999999999E-2</c:v>
                </c:pt>
              </c:numCache>
            </c:numRef>
          </c:val>
          <c:smooth val="0"/>
        </c:ser>
        <c:ser>
          <c:idx val="1"/>
          <c:order val="1"/>
          <c:tx>
            <c:v>High tide</c:v>
          </c:tx>
          <c:val>
            <c:numRef>
              <c:f>Sheet1!$H$55:$H$61</c:f>
              <c:numCache>
                <c:formatCode>General</c:formatCode>
                <c:ptCount val="7"/>
                <c:pt idx="0">
                  <c:v>21.02</c:v>
                </c:pt>
                <c:pt idx="1">
                  <c:v>4.71</c:v>
                </c:pt>
                <c:pt idx="2">
                  <c:v>1.46</c:v>
                </c:pt>
                <c:pt idx="3">
                  <c:v>0.76700000000000046</c:v>
                </c:pt>
                <c:pt idx="4">
                  <c:v>4.0000000000000022E-2</c:v>
                </c:pt>
                <c:pt idx="5">
                  <c:v>2.0000000000000011E-2</c:v>
                </c:pt>
                <c:pt idx="6">
                  <c:v>1.7000000000000001E-2</c:v>
                </c:pt>
              </c:numCache>
            </c:numRef>
          </c:val>
          <c:smooth val="0"/>
        </c:ser>
        <c:dLbls>
          <c:showLegendKey val="0"/>
          <c:showVal val="0"/>
          <c:showCatName val="0"/>
          <c:showSerName val="0"/>
          <c:showPercent val="0"/>
          <c:showBubbleSize val="0"/>
        </c:dLbls>
        <c:marker val="1"/>
        <c:smooth val="0"/>
        <c:axId val="43455616"/>
        <c:axId val="43457536"/>
      </c:lineChart>
      <c:catAx>
        <c:axId val="43455616"/>
        <c:scaling>
          <c:orientation val="minMax"/>
        </c:scaling>
        <c:delete val="0"/>
        <c:axPos val="b"/>
        <c:title>
          <c:tx>
            <c:rich>
              <a:bodyPr/>
              <a:lstStyle/>
              <a:p>
                <a:pPr>
                  <a:defRPr/>
                </a:pPr>
                <a:r>
                  <a:rPr lang="en-US"/>
                  <a:t>Station</a:t>
                </a:r>
              </a:p>
            </c:rich>
          </c:tx>
          <c:layout/>
          <c:overlay val="0"/>
        </c:title>
        <c:majorTickMark val="none"/>
        <c:minorTickMark val="none"/>
        <c:tickLblPos val="nextTo"/>
        <c:crossAx val="43457536"/>
        <c:crosses val="autoZero"/>
        <c:auto val="1"/>
        <c:lblAlgn val="ctr"/>
        <c:lblOffset val="100"/>
        <c:noMultiLvlLbl val="0"/>
      </c:catAx>
      <c:valAx>
        <c:axId val="43457536"/>
        <c:scaling>
          <c:orientation val="minMax"/>
        </c:scaling>
        <c:delete val="0"/>
        <c:axPos val="l"/>
        <c:title>
          <c:tx>
            <c:rich>
              <a:bodyPr/>
              <a:lstStyle/>
              <a:p>
                <a:pPr>
                  <a:defRPr/>
                </a:pPr>
                <a:r>
                  <a:rPr lang="en-US"/>
                  <a:t>Salinity (ppt)</a:t>
                </a:r>
              </a:p>
            </c:rich>
          </c:tx>
          <c:layout>
            <c:manualLayout>
              <c:xMode val="edge"/>
              <c:yMode val="edge"/>
              <c:x val="2.4774774774774775E-2"/>
              <c:y val="0.28816479758212044"/>
            </c:manualLayout>
          </c:layout>
          <c:overlay val="0"/>
        </c:title>
        <c:numFmt formatCode="General" sourceLinked="1"/>
        <c:majorTickMark val="out"/>
        <c:minorTickMark val="none"/>
        <c:tickLblPos val="nextTo"/>
        <c:crossAx val="43455616"/>
        <c:crosses val="autoZero"/>
        <c:crossBetween val="between"/>
      </c:valAx>
    </c:plotArea>
    <c:legend>
      <c:legendPos val="r"/>
      <c:layout>
        <c:manualLayout>
          <c:xMode val="edge"/>
          <c:yMode val="edge"/>
          <c:x val="0.83644090941335036"/>
          <c:y val="0.24074381611389489"/>
          <c:w val="0.15004557707313612"/>
          <c:h val="0.2922491052254832"/>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Low tide</c:v>
          </c:tx>
          <c:val>
            <c:numRef>
              <c:f>Sheet1!$E$55:$E$61</c:f>
              <c:numCache>
                <c:formatCode>General</c:formatCode>
                <c:ptCount val="7"/>
                <c:pt idx="0">
                  <c:v>1.6700000000000008</c:v>
                </c:pt>
                <c:pt idx="1">
                  <c:v>0.26</c:v>
                </c:pt>
                <c:pt idx="2">
                  <c:v>0.13300000000000001</c:v>
                </c:pt>
                <c:pt idx="3">
                  <c:v>4.0000000000000022E-2</c:v>
                </c:pt>
                <c:pt idx="4">
                  <c:v>3.0000000000000002E-2</c:v>
                </c:pt>
                <c:pt idx="5">
                  <c:v>1.4999999999999998E-2</c:v>
                </c:pt>
                <c:pt idx="6">
                  <c:v>1.0000000000000005E-2</c:v>
                </c:pt>
              </c:numCache>
            </c:numRef>
          </c:val>
          <c:smooth val="0"/>
        </c:ser>
        <c:ser>
          <c:idx val="1"/>
          <c:order val="1"/>
          <c:tx>
            <c:v>High tide</c:v>
          </c:tx>
          <c:val>
            <c:numRef>
              <c:f>Sheet1!$F$55:$F$61</c:f>
              <c:numCache>
                <c:formatCode>General</c:formatCode>
                <c:ptCount val="7"/>
                <c:pt idx="0">
                  <c:v>3.48</c:v>
                </c:pt>
                <c:pt idx="1">
                  <c:v>1.76</c:v>
                </c:pt>
                <c:pt idx="2">
                  <c:v>0.1</c:v>
                </c:pt>
                <c:pt idx="3">
                  <c:v>3.0000000000000002E-2</c:v>
                </c:pt>
                <c:pt idx="4">
                  <c:v>2.0000000000000011E-2</c:v>
                </c:pt>
                <c:pt idx="5">
                  <c:v>1.8499999999999999E-2</c:v>
                </c:pt>
                <c:pt idx="6">
                  <c:v>1.0000000000000005E-2</c:v>
                </c:pt>
              </c:numCache>
            </c:numRef>
          </c:val>
          <c:smooth val="0"/>
        </c:ser>
        <c:dLbls>
          <c:showLegendKey val="0"/>
          <c:showVal val="0"/>
          <c:showCatName val="0"/>
          <c:showSerName val="0"/>
          <c:showPercent val="0"/>
          <c:showBubbleSize val="0"/>
        </c:dLbls>
        <c:marker val="1"/>
        <c:smooth val="0"/>
        <c:axId val="43491712"/>
        <c:axId val="43493632"/>
      </c:lineChart>
      <c:catAx>
        <c:axId val="43491712"/>
        <c:scaling>
          <c:orientation val="minMax"/>
        </c:scaling>
        <c:delete val="0"/>
        <c:axPos val="b"/>
        <c:title>
          <c:tx>
            <c:rich>
              <a:bodyPr/>
              <a:lstStyle/>
              <a:p>
                <a:pPr>
                  <a:defRPr/>
                </a:pPr>
                <a:r>
                  <a:rPr lang="en-US"/>
                  <a:t>Station</a:t>
                </a:r>
              </a:p>
            </c:rich>
          </c:tx>
          <c:layout/>
          <c:overlay val="0"/>
        </c:title>
        <c:majorTickMark val="none"/>
        <c:minorTickMark val="none"/>
        <c:tickLblPos val="nextTo"/>
        <c:crossAx val="43493632"/>
        <c:crosses val="autoZero"/>
        <c:auto val="1"/>
        <c:lblAlgn val="ctr"/>
        <c:lblOffset val="100"/>
        <c:noMultiLvlLbl val="0"/>
      </c:catAx>
      <c:valAx>
        <c:axId val="43493632"/>
        <c:scaling>
          <c:orientation val="minMax"/>
        </c:scaling>
        <c:delete val="0"/>
        <c:axPos val="l"/>
        <c:title>
          <c:tx>
            <c:rich>
              <a:bodyPr/>
              <a:lstStyle/>
              <a:p>
                <a:pPr>
                  <a:defRPr/>
                </a:pPr>
                <a:r>
                  <a:rPr lang="en-US"/>
                  <a:t>Salinity (ppt)</a:t>
                </a:r>
              </a:p>
            </c:rich>
          </c:tx>
          <c:layout>
            <c:manualLayout>
              <c:xMode val="edge"/>
              <c:yMode val="edge"/>
              <c:x val="1.4933319145917572E-2"/>
              <c:y val="0.24149606299212598"/>
            </c:manualLayout>
          </c:layout>
          <c:overlay val="0"/>
        </c:title>
        <c:numFmt formatCode="General" sourceLinked="1"/>
        <c:majorTickMark val="out"/>
        <c:minorTickMark val="none"/>
        <c:tickLblPos val="nextTo"/>
        <c:crossAx val="43491712"/>
        <c:crosses val="autoZero"/>
        <c:crossBetween val="between"/>
      </c:valAx>
    </c:plotArea>
    <c:legend>
      <c:legendPos val="r"/>
      <c:layout>
        <c:manualLayout>
          <c:xMode val="edge"/>
          <c:yMode val="edge"/>
          <c:x val="0.82786674469745336"/>
          <c:y val="0.23221304653991423"/>
          <c:w val="0.14214461242825585"/>
          <c:h val="0.24997237985509099"/>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797927631308863"/>
          <c:y val="8.7853793423146462E-2"/>
          <c:w val="0.69342375998620565"/>
          <c:h val="0.54611884891978768"/>
        </c:manualLayout>
      </c:layout>
      <c:lineChart>
        <c:grouping val="standard"/>
        <c:varyColors val="0"/>
        <c:ser>
          <c:idx val="0"/>
          <c:order val="0"/>
          <c:tx>
            <c:v>Low tide</c:v>
          </c:tx>
          <c:val>
            <c:numRef>
              <c:f>Sheet1!$G$68:$G$74</c:f>
              <c:numCache>
                <c:formatCode>General</c:formatCode>
                <c:ptCount val="7"/>
                <c:pt idx="0">
                  <c:v>4461</c:v>
                </c:pt>
                <c:pt idx="1">
                  <c:v>3091</c:v>
                </c:pt>
                <c:pt idx="2">
                  <c:v>1878</c:v>
                </c:pt>
                <c:pt idx="3">
                  <c:v>506</c:v>
                </c:pt>
                <c:pt idx="4">
                  <c:v>63</c:v>
                </c:pt>
                <c:pt idx="5">
                  <c:v>48</c:v>
                </c:pt>
                <c:pt idx="6">
                  <c:v>42</c:v>
                </c:pt>
              </c:numCache>
            </c:numRef>
          </c:val>
          <c:smooth val="0"/>
        </c:ser>
        <c:ser>
          <c:idx val="1"/>
          <c:order val="1"/>
          <c:tx>
            <c:v>High tide</c:v>
          </c:tx>
          <c:val>
            <c:numRef>
              <c:f>Sheet1!$H$68:$H$74</c:f>
              <c:numCache>
                <c:formatCode>General</c:formatCode>
                <c:ptCount val="7"/>
                <c:pt idx="0">
                  <c:v>35835</c:v>
                </c:pt>
                <c:pt idx="1">
                  <c:v>9032</c:v>
                </c:pt>
                <c:pt idx="2">
                  <c:v>2990</c:v>
                </c:pt>
                <c:pt idx="3">
                  <c:v>1609</c:v>
                </c:pt>
                <c:pt idx="4">
                  <c:v>87</c:v>
                </c:pt>
                <c:pt idx="5">
                  <c:v>54</c:v>
                </c:pt>
                <c:pt idx="6">
                  <c:v>56</c:v>
                </c:pt>
              </c:numCache>
            </c:numRef>
          </c:val>
          <c:smooth val="0"/>
        </c:ser>
        <c:dLbls>
          <c:showLegendKey val="0"/>
          <c:showVal val="0"/>
          <c:showCatName val="0"/>
          <c:showSerName val="0"/>
          <c:showPercent val="0"/>
          <c:showBubbleSize val="0"/>
        </c:dLbls>
        <c:marker val="1"/>
        <c:smooth val="0"/>
        <c:axId val="56390400"/>
        <c:axId val="56392320"/>
      </c:lineChart>
      <c:catAx>
        <c:axId val="56390400"/>
        <c:scaling>
          <c:orientation val="minMax"/>
        </c:scaling>
        <c:delete val="0"/>
        <c:axPos val="b"/>
        <c:title>
          <c:tx>
            <c:rich>
              <a:bodyPr/>
              <a:lstStyle/>
              <a:p>
                <a:pPr>
                  <a:defRPr/>
                </a:pPr>
                <a:r>
                  <a:rPr lang="en-US"/>
                  <a:t>Station</a:t>
                </a:r>
              </a:p>
            </c:rich>
          </c:tx>
          <c:layout/>
          <c:overlay val="0"/>
        </c:title>
        <c:majorTickMark val="none"/>
        <c:minorTickMark val="none"/>
        <c:tickLblPos val="nextTo"/>
        <c:crossAx val="56392320"/>
        <c:crosses val="autoZero"/>
        <c:auto val="1"/>
        <c:lblAlgn val="ctr"/>
        <c:lblOffset val="100"/>
        <c:noMultiLvlLbl val="0"/>
      </c:catAx>
      <c:valAx>
        <c:axId val="56392320"/>
        <c:scaling>
          <c:orientation val="minMax"/>
        </c:scaling>
        <c:delete val="0"/>
        <c:axPos val="l"/>
        <c:numFmt formatCode="General" sourceLinked="1"/>
        <c:majorTickMark val="out"/>
        <c:minorTickMark val="none"/>
        <c:tickLblPos val="nextTo"/>
        <c:crossAx val="56390400"/>
        <c:crosses val="autoZero"/>
        <c:crossBetween val="between"/>
      </c:valAx>
    </c:plotArea>
    <c:legend>
      <c:legendPos val="r"/>
      <c:layout>
        <c:manualLayout>
          <c:xMode val="edge"/>
          <c:yMode val="edge"/>
          <c:x val="0.83391598348662677"/>
          <c:y val="0.29684370336060933"/>
          <c:w val="0.15236188958369912"/>
          <c:h val="0.23637795275590551"/>
        </c:manualLayout>
      </c:layout>
      <c:overlay val="0"/>
    </c:legend>
    <c:plotVisOnly val="1"/>
    <c:dispBlanksAs val="gap"/>
    <c:showDLblsOverMax val="0"/>
  </c:chart>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7866626160781"/>
          <c:y val="0.1352195283767387"/>
          <c:w val="0.67149983989227668"/>
          <c:h val="0.57154662386418664"/>
        </c:manualLayout>
      </c:layout>
      <c:lineChart>
        <c:grouping val="standard"/>
        <c:varyColors val="0"/>
        <c:ser>
          <c:idx val="0"/>
          <c:order val="0"/>
          <c:tx>
            <c:v>Low tide</c:v>
          </c:tx>
          <c:val>
            <c:numRef>
              <c:f>Sheet1!$E$68:$E$74</c:f>
              <c:numCache>
                <c:formatCode>General</c:formatCode>
                <c:ptCount val="7"/>
                <c:pt idx="0">
                  <c:v>3470</c:v>
                </c:pt>
                <c:pt idx="1">
                  <c:v>583</c:v>
                </c:pt>
                <c:pt idx="2">
                  <c:v>307</c:v>
                </c:pt>
                <c:pt idx="3">
                  <c:v>74</c:v>
                </c:pt>
                <c:pt idx="4">
                  <c:v>59</c:v>
                </c:pt>
                <c:pt idx="5">
                  <c:v>37</c:v>
                </c:pt>
                <c:pt idx="6">
                  <c:v>33</c:v>
                </c:pt>
              </c:numCache>
            </c:numRef>
          </c:val>
          <c:smooth val="0"/>
        </c:ser>
        <c:ser>
          <c:idx val="1"/>
          <c:order val="1"/>
          <c:tx>
            <c:v>High tide</c:v>
          </c:tx>
          <c:val>
            <c:numRef>
              <c:f>Sheet1!$F$68:$F$74</c:f>
              <c:numCache>
                <c:formatCode>General</c:formatCode>
                <c:ptCount val="7"/>
                <c:pt idx="0">
                  <c:v>6810</c:v>
                </c:pt>
                <c:pt idx="1">
                  <c:v>3579</c:v>
                </c:pt>
                <c:pt idx="2">
                  <c:v>221</c:v>
                </c:pt>
                <c:pt idx="3">
                  <c:v>95</c:v>
                </c:pt>
                <c:pt idx="4">
                  <c:v>63</c:v>
                </c:pt>
                <c:pt idx="5">
                  <c:v>38</c:v>
                </c:pt>
                <c:pt idx="6">
                  <c:v>35</c:v>
                </c:pt>
              </c:numCache>
            </c:numRef>
          </c:val>
          <c:smooth val="0"/>
        </c:ser>
        <c:dLbls>
          <c:showLegendKey val="0"/>
          <c:showVal val="0"/>
          <c:showCatName val="0"/>
          <c:showSerName val="0"/>
          <c:showPercent val="0"/>
          <c:showBubbleSize val="0"/>
        </c:dLbls>
        <c:marker val="1"/>
        <c:smooth val="0"/>
        <c:axId val="56409472"/>
        <c:axId val="43124224"/>
      </c:lineChart>
      <c:catAx>
        <c:axId val="56409472"/>
        <c:scaling>
          <c:orientation val="minMax"/>
        </c:scaling>
        <c:delete val="0"/>
        <c:axPos val="b"/>
        <c:title>
          <c:tx>
            <c:rich>
              <a:bodyPr/>
              <a:lstStyle/>
              <a:p>
                <a:pPr>
                  <a:defRPr/>
                </a:pPr>
                <a:r>
                  <a:rPr lang="en-US"/>
                  <a:t>Station</a:t>
                </a:r>
              </a:p>
            </c:rich>
          </c:tx>
          <c:layout/>
          <c:overlay val="0"/>
        </c:title>
        <c:majorTickMark val="none"/>
        <c:minorTickMark val="none"/>
        <c:tickLblPos val="nextTo"/>
        <c:crossAx val="43124224"/>
        <c:crosses val="autoZero"/>
        <c:auto val="1"/>
        <c:lblAlgn val="ctr"/>
        <c:lblOffset val="100"/>
        <c:noMultiLvlLbl val="0"/>
      </c:catAx>
      <c:valAx>
        <c:axId val="43124224"/>
        <c:scaling>
          <c:orientation val="minMax"/>
        </c:scaling>
        <c:delete val="0"/>
        <c:axPos val="l"/>
        <c:title>
          <c:tx>
            <c:rich>
              <a:bodyPr/>
              <a:lstStyle/>
              <a:p>
                <a:pPr>
                  <a:defRPr/>
                </a:pPr>
                <a:r>
                  <a:rPr lang="en-US" sz="900"/>
                  <a:t>Conductivity (</a:t>
                </a:r>
                <a:r>
                  <a:rPr lang="en-US" sz="900" b="1" i="0" u="none" strike="noStrike" baseline="0">
                    <a:effectLst/>
                  </a:rPr>
                  <a:t>µs/cm )</a:t>
                </a:r>
                <a:endParaRPr lang="en-US" sz="900"/>
              </a:p>
            </c:rich>
          </c:tx>
          <c:layout>
            <c:manualLayout>
              <c:xMode val="edge"/>
              <c:yMode val="edge"/>
              <c:x val="3.9767156035169705E-2"/>
              <c:y val="0.2315164175906583"/>
            </c:manualLayout>
          </c:layout>
          <c:overlay val="0"/>
        </c:title>
        <c:numFmt formatCode="General" sourceLinked="1"/>
        <c:majorTickMark val="out"/>
        <c:minorTickMark val="none"/>
        <c:tickLblPos val="nextTo"/>
        <c:crossAx val="5640947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446526080791643"/>
          <c:y val="7.2027828678916578E-2"/>
          <c:w val="0.6983029543452397"/>
          <c:h val="0.58568390673180626"/>
        </c:manualLayout>
      </c:layout>
      <c:lineChart>
        <c:grouping val="standard"/>
        <c:varyColors val="0"/>
        <c:ser>
          <c:idx val="0"/>
          <c:order val="0"/>
          <c:tx>
            <c:v>Low tide</c:v>
          </c:tx>
          <c:val>
            <c:numRef>
              <c:f>Sheet1!$E$86:$E$92</c:f>
              <c:numCache>
                <c:formatCode>General</c:formatCode>
                <c:ptCount val="7"/>
                <c:pt idx="0">
                  <c:v>395</c:v>
                </c:pt>
                <c:pt idx="1">
                  <c:v>395</c:v>
                </c:pt>
                <c:pt idx="2">
                  <c:v>35</c:v>
                </c:pt>
                <c:pt idx="3">
                  <c:v>11</c:v>
                </c:pt>
                <c:pt idx="4">
                  <c:v>5.8599999999999985</c:v>
                </c:pt>
                <c:pt idx="5">
                  <c:v>2.8</c:v>
                </c:pt>
                <c:pt idx="6">
                  <c:v>2.7600000000000002</c:v>
                </c:pt>
              </c:numCache>
            </c:numRef>
          </c:val>
          <c:smooth val="0"/>
        </c:ser>
        <c:ser>
          <c:idx val="1"/>
          <c:order val="1"/>
          <c:tx>
            <c:v>High tide</c:v>
          </c:tx>
          <c:val>
            <c:numRef>
              <c:f>Sheet1!$F$86:$F$92</c:f>
              <c:numCache>
                <c:formatCode>General</c:formatCode>
                <c:ptCount val="7"/>
                <c:pt idx="0">
                  <c:v>395</c:v>
                </c:pt>
                <c:pt idx="1">
                  <c:v>395</c:v>
                </c:pt>
                <c:pt idx="2">
                  <c:v>34</c:v>
                </c:pt>
                <c:pt idx="3">
                  <c:v>7.7</c:v>
                </c:pt>
                <c:pt idx="4">
                  <c:v>7.3</c:v>
                </c:pt>
                <c:pt idx="5">
                  <c:v>2.9</c:v>
                </c:pt>
                <c:pt idx="6">
                  <c:v>2.4</c:v>
                </c:pt>
              </c:numCache>
            </c:numRef>
          </c:val>
          <c:smooth val="0"/>
        </c:ser>
        <c:dLbls>
          <c:showLegendKey val="0"/>
          <c:showVal val="0"/>
          <c:showCatName val="0"/>
          <c:showSerName val="0"/>
          <c:showPercent val="0"/>
          <c:showBubbleSize val="0"/>
        </c:dLbls>
        <c:marker val="1"/>
        <c:smooth val="0"/>
        <c:axId val="43138048"/>
        <c:axId val="43160704"/>
      </c:lineChart>
      <c:catAx>
        <c:axId val="43138048"/>
        <c:scaling>
          <c:orientation val="minMax"/>
        </c:scaling>
        <c:delete val="0"/>
        <c:axPos val="b"/>
        <c:title>
          <c:tx>
            <c:rich>
              <a:bodyPr/>
              <a:lstStyle/>
              <a:p>
                <a:pPr>
                  <a:defRPr/>
                </a:pPr>
                <a:r>
                  <a:rPr lang="en-US"/>
                  <a:t>Station</a:t>
                </a:r>
              </a:p>
            </c:rich>
          </c:tx>
          <c:layout>
            <c:manualLayout>
              <c:xMode val="edge"/>
              <c:yMode val="edge"/>
              <c:x val="0.47010121579630126"/>
              <c:y val="0.83220547763406438"/>
            </c:manualLayout>
          </c:layout>
          <c:overlay val="0"/>
        </c:title>
        <c:majorTickMark val="none"/>
        <c:minorTickMark val="none"/>
        <c:tickLblPos val="nextTo"/>
        <c:crossAx val="43160704"/>
        <c:crosses val="autoZero"/>
        <c:auto val="1"/>
        <c:lblAlgn val="ctr"/>
        <c:lblOffset val="100"/>
        <c:noMultiLvlLbl val="0"/>
      </c:catAx>
      <c:valAx>
        <c:axId val="43160704"/>
        <c:scaling>
          <c:orientation val="minMax"/>
        </c:scaling>
        <c:delete val="0"/>
        <c:axPos val="l"/>
        <c:title>
          <c:tx>
            <c:rich>
              <a:bodyPr/>
              <a:lstStyle/>
              <a:p>
                <a:pPr>
                  <a:defRPr/>
                </a:pPr>
                <a:r>
                  <a:rPr lang="en-US"/>
                  <a:t>Sodium (mg/L)</a:t>
                </a:r>
              </a:p>
            </c:rich>
          </c:tx>
          <c:layout>
            <c:manualLayout>
              <c:xMode val="edge"/>
              <c:yMode val="edge"/>
              <c:x val="3.4883070412046246E-2"/>
              <c:y val="0.23533457802310795"/>
            </c:manualLayout>
          </c:layout>
          <c:overlay val="0"/>
        </c:title>
        <c:numFmt formatCode="General" sourceLinked="1"/>
        <c:majorTickMark val="out"/>
        <c:minorTickMark val="none"/>
        <c:tickLblPos val="nextTo"/>
        <c:crossAx val="43138048"/>
        <c:crosses val="autoZero"/>
        <c:crossBetween val="between"/>
      </c:valAx>
    </c:plotArea>
    <c:legend>
      <c:legendPos val="r"/>
      <c:layout>
        <c:manualLayout>
          <c:xMode val="edge"/>
          <c:yMode val="edge"/>
          <c:x val="0.80881435668292323"/>
          <c:y val="0.34799469653922127"/>
          <c:w val="0.1760037780744535"/>
          <c:h val="0.24677111237383986"/>
        </c:manualLayout>
      </c:layout>
      <c:overlay val="0"/>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5.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6.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8.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9.png"/></Relationships>
</file>

<file path=word/drawings/_rels/drawing5.xml.rels><?xml version="1.0" encoding="UTF-8" standalone="yes"?>
<Relationships xmlns="http://schemas.openxmlformats.org/package/2006/relationships"><Relationship Id="rId1" Type="http://schemas.openxmlformats.org/officeDocument/2006/relationships/image" Target="../media/image10.png"/></Relationships>
</file>

<file path=word/drawings/drawing1.xml><?xml version="1.0" encoding="utf-8"?>
<c:userShapes xmlns:c="http://schemas.openxmlformats.org/drawingml/2006/chart">
  <cdr:relSizeAnchor xmlns:cdr="http://schemas.openxmlformats.org/drawingml/2006/chartDrawing">
    <cdr:from>
      <cdr:x>0.01349</cdr:x>
      <cdr:y>0.07143</cdr:y>
    </cdr:from>
    <cdr:to>
      <cdr:x>0.06576</cdr:x>
      <cdr:y>0.2727</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76200" y="104775"/>
          <a:ext cx="295238" cy="295238"/>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0.01518</cdr:x>
      <cdr:y>0.04167</cdr:y>
    </cdr:from>
    <cdr:to>
      <cdr:x>0.06576</cdr:x>
      <cdr:y>0.24303</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85725" y="57150"/>
          <a:ext cx="285714" cy="276190"/>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0.03539</cdr:x>
      <cdr:y>0.20093</cdr:y>
    </cdr:from>
    <cdr:to>
      <cdr:x>0.07363</cdr:x>
      <cdr:y>0.8398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rot="16200000">
          <a:off x="-260186" y="810779"/>
          <a:ext cx="1125769" cy="212350"/>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0.01211</cdr:x>
      <cdr:y>0.04639</cdr:y>
    </cdr:from>
    <cdr:to>
      <cdr:x>0.06416</cdr:x>
      <cdr:y>0.19816</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66675" y="85725"/>
          <a:ext cx="286537" cy="280440"/>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0.01038</cdr:x>
      <cdr:y>0.07143</cdr:y>
    </cdr:from>
    <cdr:to>
      <cdr:x>0.06353</cdr:x>
      <cdr:y>0.21773</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7150" y="142875"/>
          <a:ext cx="292633" cy="292633"/>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C7949-388C-4AD4-9C89-7A6C70B3D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4963</Words>
  <Characters>26725</Characters>
  <Application>Microsoft Office Word</Application>
  <DocSecurity>0</DocSecurity>
  <Lines>421</Lines>
  <Paragraphs>95</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31643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Harun Hamzah</cp:lastModifiedBy>
  <cp:revision>12</cp:revision>
  <cp:lastPrinted>2015-10-05T11:44:00Z</cp:lastPrinted>
  <dcterms:created xsi:type="dcterms:W3CDTF">2015-09-09T15:26:00Z</dcterms:created>
  <dcterms:modified xsi:type="dcterms:W3CDTF">2019-10-13T09:46:00Z</dcterms:modified>
</cp:coreProperties>
</file>