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1AB" w:rsidRDefault="00AA01AB" w:rsidP="00AA01AB">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w:t>
      </w:r>
      <w:r w:rsidR="00445386">
        <w:rPr>
          <w:rFonts w:ascii="Times New Roman" w:hAnsi="Times New Roman"/>
          <w:sz w:val="24"/>
          <w:szCs w:val="24"/>
        </w:rPr>
        <w:t>ences Vol 19 No 4 (2015): 715</w:t>
      </w:r>
      <w:r w:rsidR="00F03BAF">
        <w:rPr>
          <w:rFonts w:ascii="Times New Roman" w:hAnsi="Times New Roman"/>
          <w:sz w:val="24"/>
          <w:szCs w:val="24"/>
        </w:rPr>
        <w:t xml:space="preserve"> </w:t>
      </w:r>
      <w:r w:rsidR="00445386">
        <w:rPr>
          <w:rFonts w:ascii="Times New Roman" w:hAnsi="Times New Roman"/>
          <w:sz w:val="24"/>
          <w:szCs w:val="24"/>
        </w:rPr>
        <w:t>-</w:t>
      </w:r>
      <w:r w:rsidR="00F03BAF">
        <w:rPr>
          <w:rFonts w:ascii="Times New Roman" w:hAnsi="Times New Roman"/>
          <w:sz w:val="24"/>
          <w:szCs w:val="24"/>
        </w:rPr>
        <w:t xml:space="preserve"> </w:t>
      </w:r>
      <w:r>
        <w:rPr>
          <w:rFonts w:ascii="Times New Roman" w:hAnsi="Times New Roman"/>
          <w:sz w:val="24"/>
          <w:szCs w:val="24"/>
        </w:rPr>
        <w:t>721</w:t>
      </w:r>
    </w:p>
    <w:p w:rsidR="00AA01AB" w:rsidRDefault="00AA01AB" w:rsidP="00AA01AB">
      <w:pPr>
        <w:spacing w:after="0" w:line="240" w:lineRule="auto"/>
        <w:outlineLvl w:val="0"/>
        <w:rPr>
          <w:rFonts w:ascii="Times New Roman" w:hAnsi="Times New Roman"/>
          <w:sz w:val="24"/>
          <w:szCs w:val="24"/>
        </w:rPr>
      </w:pPr>
    </w:p>
    <w:p w:rsidR="00AA01AB" w:rsidRDefault="00AA01AB" w:rsidP="00AA01AB">
      <w:pPr>
        <w:spacing w:after="0" w:line="240" w:lineRule="auto"/>
        <w:outlineLvl w:val="0"/>
        <w:rPr>
          <w:rFonts w:ascii="Times New Roman" w:hAnsi="Times New Roman"/>
          <w:sz w:val="24"/>
          <w:szCs w:val="24"/>
        </w:rPr>
      </w:pPr>
    </w:p>
    <w:p w:rsidR="00AA01AB" w:rsidRPr="00AA01AB" w:rsidRDefault="00AA01AB" w:rsidP="00AA01AB">
      <w:pPr>
        <w:spacing w:after="0" w:line="240" w:lineRule="auto"/>
        <w:outlineLvl w:val="0"/>
        <w:rPr>
          <w:rFonts w:ascii="Times New Roman" w:hAnsi="Times New Roman"/>
          <w:sz w:val="24"/>
          <w:szCs w:val="24"/>
        </w:rPr>
      </w:pPr>
    </w:p>
    <w:p w:rsidR="00AA01AB" w:rsidRPr="000D4BA4" w:rsidRDefault="00AA01AB" w:rsidP="00AA01AB">
      <w:pPr>
        <w:spacing w:after="0" w:line="240" w:lineRule="auto"/>
        <w:jc w:val="center"/>
        <w:outlineLvl w:val="0"/>
        <w:rPr>
          <w:rFonts w:ascii="Times New Roman" w:hAnsi="Times New Roman"/>
          <w:sz w:val="28"/>
          <w:szCs w:val="28"/>
        </w:rPr>
      </w:pPr>
      <w:r w:rsidRPr="000D4BA4">
        <w:rPr>
          <w:rFonts w:ascii="Times New Roman" w:hAnsi="Times New Roman"/>
          <w:sz w:val="28"/>
          <w:szCs w:val="28"/>
        </w:rPr>
        <w:t>ANALYTICAL METHOD DEVELOPMENT FOR IMAZAPIC HERBICIDE USING HIGH PERFORMANCE LIQUID CHROMATOGRAPHY</w:t>
      </w:r>
    </w:p>
    <w:p w:rsidR="00AA01AB" w:rsidRPr="00802DCC" w:rsidRDefault="00AA01AB" w:rsidP="00AA01AB">
      <w:pPr>
        <w:spacing w:after="0" w:line="240" w:lineRule="auto"/>
        <w:jc w:val="center"/>
        <w:rPr>
          <w:rFonts w:ascii="Times New Roman" w:hAnsi="Times New Roman"/>
          <w:noProof/>
          <w:sz w:val="24"/>
          <w:szCs w:val="24"/>
          <w:lang w:bidi="ar-SA"/>
        </w:rPr>
      </w:pPr>
    </w:p>
    <w:p w:rsidR="00AA01AB" w:rsidRPr="000D4BA4" w:rsidRDefault="00AA01AB" w:rsidP="00AA01AB">
      <w:pPr>
        <w:spacing w:after="0" w:line="240" w:lineRule="auto"/>
        <w:jc w:val="center"/>
        <w:outlineLvl w:val="0"/>
        <w:rPr>
          <w:rFonts w:ascii="Times New Roman" w:hAnsi="Times New Roman"/>
          <w:sz w:val="24"/>
          <w:szCs w:val="24"/>
        </w:rPr>
      </w:pPr>
      <w:r w:rsidRPr="000D4BA4">
        <w:rPr>
          <w:rFonts w:ascii="Times New Roman" w:hAnsi="Times New Roman"/>
          <w:sz w:val="24"/>
          <w:szCs w:val="24"/>
        </w:rPr>
        <w:t>(Pembangunan Kaedah Analitikal Bagi Racun Rumpai Imazapic Menggunakan Kromatografi Cecair Prestasi Tinggi)</w:t>
      </w:r>
    </w:p>
    <w:p w:rsidR="00AA01AB" w:rsidRPr="00802DCC" w:rsidRDefault="00AA01AB" w:rsidP="00AA01AB">
      <w:pPr>
        <w:spacing w:after="0" w:line="240" w:lineRule="auto"/>
        <w:jc w:val="center"/>
        <w:rPr>
          <w:rFonts w:ascii="Times New Roman" w:hAnsi="Times New Roman"/>
          <w:noProof/>
          <w:sz w:val="20"/>
          <w:szCs w:val="20"/>
          <w:lang w:bidi="ar-SA"/>
        </w:rPr>
      </w:pPr>
    </w:p>
    <w:p w:rsidR="00AA01AB" w:rsidRPr="00B65EFF" w:rsidRDefault="00AA01AB" w:rsidP="00AA01AB">
      <w:pPr>
        <w:spacing w:after="0" w:line="240" w:lineRule="auto"/>
        <w:jc w:val="center"/>
        <w:rPr>
          <w:rFonts w:ascii="Times New Roman" w:hAnsi="Times New Roman"/>
          <w:sz w:val="20"/>
          <w:szCs w:val="20"/>
        </w:rPr>
      </w:pPr>
      <w:r w:rsidRPr="00B65EFF">
        <w:rPr>
          <w:rFonts w:ascii="Times New Roman" w:hAnsi="Times New Roman"/>
          <w:sz w:val="20"/>
          <w:szCs w:val="20"/>
        </w:rPr>
        <w:t>Anis Zakiah Mazlan</w:t>
      </w:r>
      <w:r w:rsidRPr="00B65EFF">
        <w:rPr>
          <w:rFonts w:ascii="Times New Roman" w:hAnsi="Times New Roman"/>
          <w:sz w:val="20"/>
          <w:szCs w:val="20"/>
          <w:vertAlign w:val="superscript"/>
        </w:rPr>
        <w:t>1*</w:t>
      </w:r>
      <w:r w:rsidRPr="00B65EFF">
        <w:rPr>
          <w:rFonts w:ascii="Times New Roman" w:hAnsi="Times New Roman"/>
          <w:sz w:val="20"/>
          <w:szCs w:val="20"/>
        </w:rPr>
        <w:t>, Hazilia Hussain</w:t>
      </w:r>
      <w:r w:rsidRPr="00B65EFF">
        <w:rPr>
          <w:rFonts w:ascii="Times New Roman" w:hAnsi="Times New Roman"/>
          <w:sz w:val="20"/>
          <w:szCs w:val="20"/>
          <w:vertAlign w:val="superscript"/>
        </w:rPr>
        <w:t>1</w:t>
      </w:r>
      <w:r w:rsidRPr="00B65EFF">
        <w:rPr>
          <w:rFonts w:ascii="Times New Roman" w:hAnsi="Times New Roman"/>
          <w:sz w:val="20"/>
          <w:szCs w:val="20"/>
        </w:rPr>
        <w:t>, Mohamed Azwan Mohamed Zawawi</w:t>
      </w:r>
      <w:r w:rsidRPr="00B65EFF">
        <w:rPr>
          <w:rFonts w:ascii="Times New Roman" w:hAnsi="Times New Roman"/>
          <w:sz w:val="20"/>
          <w:szCs w:val="20"/>
          <w:vertAlign w:val="superscript"/>
        </w:rPr>
        <w:t>2</w:t>
      </w:r>
      <w:r w:rsidRPr="00B65EFF">
        <w:rPr>
          <w:rFonts w:ascii="Times New Roman" w:hAnsi="Times New Roman"/>
          <w:sz w:val="20"/>
          <w:szCs w:val="20"/>
        </w:rPr>
        <w:t>, Mehdi Sameni</w:t>
      </w:r>
      <w:r w:rsidRPr="00B65EFF">
        <w:rPr>
          <w:rFonts w:ascii="Times New Roman" w:hAnsi="Times New Roman"/>
          <w:sz w:val="20"/>
          <w:szCs w:val="20"/>
          <w:vertAlign w:val="superscript"/>
        </w:rPr>
        <w:t xml:space="preserve">1 </w:t>
      </w:r>
    </w:p>
    <w:p w:rsidR="00AA01AB" w:rsidRPr="00AA01AB" w:rsidRDefault="00AA01AB" w:rsidP="00AA01AB">
      <w:pPr>
        <w:spacing w:after="0" w:line="240" w:lineRule="auto"/>
        <w:jc w:val="center"/>
        <w:rPr>
          <w:sz w:val="20"/>
          <w:szCs w:val="20"/>
        </w:rPr>
      </w:pPr>
    </w:p>
    <w:p w:rsidR="00AA01AB" w:rsidRPr="00AA01AB" w:rsidRDefault="00FE6D4B" w:rsidP="00AA01AB">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bookmarkStart w:id="0" w:name="_GoBack"/>
      <w:bookmarkEnd w:id="0"/>
      <w:r w:rsidR="00AA01AB" w:rsidRPr="00AA01AB">
        <w:rPr>
          <w:rFonts w:ascii="Times New Roman" w:hAnsi="Times New Roman"/>
          <w:i/>
          <w:sz w:val="20"/>
          <w:szCs w:val="20"/>
        </w:rPr>
        <w:t xml:space="preserve">Faculty of Health Sciences, </w:t>
      </w:r>
    </w:p>
    <w:p w:rsidR="00AA01AB" w:rsidRPr="00AA01AB" w:rsidRDefault="00AA01AB" w:rsidP="00AA01AB">
      <w:pPr>
        <w:spacing w:after="0" w:line="240" w:lineRule="auto"/>
        <w:jc w:val="center"/>
        <w:rPr>
          <w:rFonts w:ascii="Times New Roman" w:hAnsi="Times New Roman"/>
          <w:i/>
          <w:sz w:val="20"/>
          <w:szCs w:val="20"/>
        </w:rPr>
      </w:pPr>
      <w:r w:rsidRPr="00AA01AB">
        <w:rPr>
          <w:rFonts w:ascii="Times New Roman" w:hAnsi="Times New Roman"/>
          <w:i/>
          <w:sz w:val="20"/>
          <w:szCs w:val="20"/>
        </w:rPr>
        <w:t xml:space="preserve">Universiti Teknologi MARA, Kampus Puncak Alam, </w:t>
      </w:r>
    </w:p>
    <w:p w:rsidR="00AA01AB" w:rsidRPr="00AA01AB" w:rsidRDefault="00AA01AB" w:rsidP="00AA01AB">
      <w:pPr>
        <w:spacing w:after="0" w:line="240" w:lineRule="auto"/>
        <w:jc w:val="center"/>
        <w:rPr>
          <w:rFonts w:ascii="Times New Roman" w:hAnsi="Times New Roman"/>
          <w:i/>
          <w:sz w:val="20"/>
          <w:szCs w:val="20"/>
        </w:rPr>
      </w:pPr>
      <w:r w:rsidRPr="00AA01AB">
        <w:rPr>
          <w:rFonts w:ascii="Times New Roman" w:hAnsi="Times New Roman"/>
          <w:i/>
          <w:sz w:val="20"/>
          <w:szCs w:val="20"/>
        </w:rPr>
        <w:t>42300 Bandar Puncak Alam, Selangor Darul Ehsan, Malaysia</w:t>
      </w:r>
    </w:p>
    <w:p w:rsidR="00AA01AB" w:rsidRPr="00AA01AB" w:rsidRDefault="00B65EFF" w:rsidP="00AA01AB">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sidR="00AA01AB" w:rsidRPr="00AA01AB">
        <w:rPr>
          <w:rFonts w:ascii="Times New Roman" w:hAnsi="Times New Roman"/>
          <w:i/>
          <w:sz w:val="20"/>
          <w:szCs w:val="20"/>
        </w:rPr>
        <w:t>Faculty of Engineering,</w:t>
      </w:r>
    </w:p>
    <w:p w:rsidR="00AA01AB" w:rsidRPr="00AA01AB" w:rsidRDefault="00AA01AB" w:rsidP="00AA01AB">
      <w:pPr>
        <w:spacing w:after="0" w:line="240" w:lineRule="auto"/>
        <w:jc w:val="center"/>
        <w:rPr>
          <w:rFonts w:ascii="Times New Roman" w:hAnsi="Times New Roman"/>
          <w:i/>
          <w:sz w:val="20"/>
          <w:szCs w:val="20"/>
        </w:rPr>
      </w:pPr>
      <w:r w:rsidRPr="00AA01AB">
        <w:rPr>
          <w:rFonts w:ascii="Times New Roman" w:hAnsi="Times New Roman"/>
          <w:i/>
          <w:sz w:val="20"/>
          <w:szCs w:val="20"/>
        </w:rPr>
        <w:t>Universiti Putra Malaysia, 43400, Serdang, Selangor Darul Ehsan, Malaysia</w:t>
      </w:r>
    </w:p>
    <w:p w:rsidR="00AA01AB" w:rsidRPr="00AA01AB" w:rsidRDefault="00AA01AB" w:rsidP="00AA01AB">
      <w:pPr>
        <w:spacing w:after="0" w:line="240" w:lineRule="auto"/>
        <w:jc w:val="center"/>
        <w:rPr>
          <w:rFonts w:ascii="Times New Roman" w:hAnsi="Times New Roman"/>
          <w:noProof/>
          <w:sz w:val="20"/>
          <w:szCs w:val="20"/>
          <w:lang w:bidi="ar-SA"/>
        </w:rPr>
      </w:pPr>
    </w:p>
    <w:p w:rsidR="00AA01AB" w:rsidRPr="00AA01AB" w:rsidRDefault="00AA01AB" w:rsidP="00AA01AB">
      <w:pPr>
        <w:spacing w:after="0" w:line="240" w:lineRule="auto"/>
        <w:jc w:val="center"/>
        <w:rPr>
          <w:rFonts w:ascii="Times New Roman" w:hAnsi="Times New Roman"/>
          <w:i/>
          <w:sz w:val="20"/>
          <w:szCs w:val="20"/>
        </w:rPr>
      </w:pPr>
      <w:r w:rsidRPr="00AA01AB">
        <w:rPr>
          <w:rFonts w:ascii="Times New Roman" w:hAnsi="Times New Roman"/>
          <w:i/>
          <w:noProof/>
          <w:sz w:val="20"/>
          <w:szCs w:val="20"/>
          <w:lang w:bidi="ar-SA"/>
        </w:rPr>
        <w:t xml:space="preserve">*Corresponding author: </w:t>
      </w:r>
      <w:r w:rsidRPr="00AA01AB">
        <w:rPr>
          <w:rFonts w:ascii="Times New Roman" w:hAnsi="Times New Roman"/>
          <w:i/>
          <w:sz w:val="20"/>
          <w:szCs w:val="20"/>
        </w:rPr>
        <w:t>aniszakiah89@yahoo.com</w:t>
      </w:r>
    </w:p>
    <w:p w:rsidR="00AA01AB" w:rsidRPr="00AA01AB" w:rsidRDefault="00AA01AB" w:rsidP="00AA01AB">
      <w:pPr>
        <w:spacing w:after="0" w:line="240" w:lineRule="auto"/>
        <w:jc w:val="center"/>
        <w:rPr>
          <w:rFonts w:ascii="Times New Roman" w:hAnsi="Times New Roman"/>
          <w:i/>
          <w:noProof/>
          <w:sz w:val="20"/>
          <w:szCs w:val="20"/>
          <w:lang w:bidi="ar-SA"/>
        </w:rPr>
      </w:pPr>
    </w:p>
    <w:p w:rsidR="00AA01AB" w:rsidRPr="00AA01AB" w:rsidRDefault="00AA01AB" w:rsidP="00AA01AB">
      <w:pPr>
        <w:spacing w:after="0" w:line="240" w:lineRule="auto"/>
        <w:jc w:val="center"/>
        <w:rPr>
          <w:rFonts w:ascii="Times New Roman" w:hAnsi="Times New Roman"/>
          <w:i/>
          <w:noProof/>
          <w:sz w:val="20"/>
          <w:szCs w:val="20"/>
          <w:lang w:bidi="ar-SA"/>
        </w:rPr>
      </w:pPr>
    </w:p>
    <w:p w:rsidR="00AA01AB" w:rsidRPr="00AA01AB" w:rsidRDefault="00AA01AB" w:rsidP="00AA01AB">
      <w:pPr>
        <w:spacing w:after="0" w:line="240" w:lineRule="auto"/>
        <w:jc w:val="center"/>
        <w:rPr>
          <w:rFonts w:ascii="Times New Roman" w:hAnsi="Times New Roman"/>
          <w:noProof/>
          <w:sz w:val="20"/>
          <w:szCs w:val="20"/>
          <w:lang w:bidi="ar-SA"/>
        </w:rPr>
      </w:pPr>
      <w:r w:rsidRPr="00AA01AB">
        <w:rPr>
          <w:rFonts w:ascii="Times New Roman" w:hAnsi="Times New Roman"/>
          <w:noProof/>
          <w:sz w:val="20"/>
          <w:szCs w:val="20"/>
          <w:lang w:bidi="ar-SA"/>
        </w:rPr>
        <w:t>Received: 23 November 2014; Accepted: 27 June 2015</w:t>
      </w:r>
    </w:p>
    <w:p w:rsidR="00AA01AB" w:rsidRPr="00AA01AB" w:rsidRDefault="00AA01AB" w:rsidP="00AA01AB">
      <w:pPr>
        <w:spacing w:after="0" w:line="240" w:lineRule="auto"/>
        <w:jc w:val="center"/>
        <w:rPr>
          <w:rFonts w:ascii="Times New Roman" w:hAnsi="Times New Roman"/>
          <w:noProof/>
          <w:sz w:val="20"/>
          <w:szCs w:val="20"/>
          <w:lang w:bidi="ar-SA"/>
        </w:rPr>
      </w:pPr>
    </w:p>
    <w:p w:rsidR="00AA01AB" w:rsidRPr="00AA01AB" w:rsidRDefault="00AA01AB" w:rsidP="00AA01AB">
      <w:pPr>
        <w:spacing w:after="0" w:line="240" w:lineRule="auto"/>
        <w:jc w:val="center"/>
        <w:rPr>
          <w:rFonts w:ascii="Times New Roman" w:hAnsi="Times New Roman"/>
          <w:noProof/>
          <w:sz w:val="20"/>
          <w:szCs w:val="20"/>
          <w:lang w:bidi="ar-SA"/>
        </w:rPr>
      </w:pPr>
    </w:p>
    <w:p w:rsidR="00AA01AB" w:rsidRPr="00AA01AB" w:rsidRDefault="00AA01AB" w:rsidP="00AA01AB">
      <w:pPr>
        <w:spacing w:after="0" w:line="240" w:lineRule="auto"/>
        <w:jc w:val="center"/>
        <w:rPr>
          <w:rFonts w:ascii="Times New Roman" w:hAnsi="Times New Roman"/>
          <w:b/>
          <w:noProof/>
          <w:sz w:val="20"/>
          <w:szCs w:val="20"/>
          <w:lang w:bidi="ar-SA"/>
        </w:rPr>
      </w:pPr>
      <w:r w:rsidRPr="00AA01AB">
        <w:rPr>
          <w:rFonts w:ascii="Times New Roman" w:hAnsi="Times New Roman"/>
          <w:b/>
          <w:noProof/>
          <w:sz w:val="20"/>
          <w:szCs w:val="20"/>
          <w:lang w:bidi="ar-SA"/>
        </w:rPr>
        <w:t>Abstract</w:t>
      </w:r>
    </w:p>
    <w:p w:rsidR="00AA01AB" w:rsidRPr="00AA01AB" w:rsidRDefault="00AA01AB" w:rsidP="00AA01AB">
      <w:pPr>
        <w:pStyle w:val="Default"/>
        <w:jc w:val="both"/>
        <w:rPr>
          <w:color w:val="auto"/>
          <w:sz w:val="20"/>
          <w:szCs w:val="20"/>
          <w:lang w:val="en-GB"/>
        </w:rPr>
      </w:pPr>
      <w:r w:rsidRPr="00AA01AB">
        <w:rPr>
          <w:sz w:val="20"/>
          <w:szCs w:val="20"/>
          <w:lang w:val="ms-MY" w:eastAsia="ms-MY"/>
        </w:rPr>
        <w:t xml:space="preserve">A reliable method using High Performance Liquid Chromatography (HPLC) was developed for the optimization of imazapic herbicide extraction </w:t>
      </w:r>
      <w:r w:rsidRPr="00AA01AB">
        <w:rPr>
          <w:sz w:val="20"/>
          <w:szCs w:val="20"/>
        </w:rPr>
        <w:t>and clean-up method from water.  For this purpose, an Agilent HPLC 1200 Series fitted with a UV detector was used. The column used was a Zorbax StableBond C</w:t>
      </w:r>
      <w:r w:rsidRPr="00AA01AB">
        <w:rPr>
          <w:sz w:val="20"/>
          <w:szCs w:val="20"/>
          <w:vertAlign w:val="subscript"/>
        </w:rPr>
        <w:t>18</w:t>
      </w:r>
      <w:r w:rsidRPr="00AA01AB">
        <w:rPr>
          <w:sz w:val="20"/>
          <w:szCs w:val="20"/>
        </w:rPr>
        <w:t xml:space="preserve"> (4.6mm x 250mm I.D., 5µm particle size). For the extraction and clean-up procedure, a solid-phase extraction (SPE) method was applied. Two types of cartridges were chosen namely styrene-divinylbenzene polymer bond elut PPL (PPL) and octadecyl/ silica bond elut C</w:t>
      </w:r>
      <w:r w:rsidRPr="00AA01AB">
        <w:rPr>
          <w:sz w:val="20"/>
          <w:szCs w:val="20"/>
          <w:vertAlign w:val="subscript"/>
        </w:rPr>
        <w:t>18</w:t>
      </w:r>
      <w:r w:rsidRPr="00AA01AB">
        <w:rPr>
          <w:sz w:val="20"/>
          <w:szCs w:val="20"/>
        </w:rPr>
        <w:t xml:space="preserve"> (C</w:t>
      </w:r>
      <w:r w:rsidRPr="00AA01AB">
        <w:rPr>
          <w:sz w:val="20"/>
          <w:szCs w:val="20"/>
          <w:vertAlign w:val="subscript"/>
        </w:rPr>
        <w:t>18</w:t>
      </w:r>
      <w:r w:rsidRPr="00AA01AB">
        <w:rPr>
          <w:sz w:val="20"/>
          <w:szCs w:val="20"/>
        </w:rPr>
        <w:t xml:space="preserve">), for comparison of the recovery performance. Good resolution of imazapic was optimum at </w:t>
      </w:r>
      <w:r w:rsidRPr="00AA01AB">
        <w:rPr>
          <w:sz w:val="20"/>
          <w:szCs w:val="20"/>
        </w:rPr>
        <w:sym w:font="Symbol" w:char="F06C"/>
      </w:r>
      <w:r w:rsidRPr="00AA01AB">
        <w:rPr>
          <w:sz w:val="20"/>
          <w:szCs w:val="20"/>
        </w:rPr>
        <w:t>=252nm wavelength. The mobile phase was acetonitril:</w:t>
      </w:r>
      <w:r w:rsidRPr="00AA01AB">
        <w:rPr>
          <w:rFonts w:eastAsia="Times New Roman"/>
          <w:sz w:val="20"/>
          <w:szCs w:val="20"/>
          <w:lang w:eastAsia="en-GB"/>
        </w:rPr>
        <w:t xml:space="preserve"> ultra-pure</w:t>
      </w:r>
      <w:r w:rsidRPr="00AA01AB">
        <w:rPr>
          <w:sz w:val="20"/>
          <w:szCs w:val="20"/>
        </w:rPr>
        <w:t xml:space="preserve"> water (pH 3.0), in the ratio of 45:55. The flow rate of the mobile phase and injection volume were 1.2 mL/min and 20 µL, respectively.  Efficacy of extraction method used was determined through recovery test conducted using water samples spiked with imazapic standard. The recovery was 112% and 73% for C</w:t>
      </w:r>
      <w:r w:rsidRPr="00AA01AB">
        <w:rPr>
          <w:sz w:val="20"/>
          <w:szCs w:val="20"/>
          <w:vertAlign w:val="subscript"/>
        </w:rPr>
        <w:t>18</w:t>
      </w:r>
      <w:r w:rsidRPr="00AA01AB">
        <w:rPr>
          <w:sz w:val="20"/>
          <w:szCs w:val="20"/>
        </w:rPr>
        <w:t xml:space="preserve"> cartridge and 10.35% and 10.14% for PPL at concentration of 2 and 10 mg L</w:t>
      </w:r>
      <w:r w:rsidRPr="00AA01AB">
        <w:rPr>
          <w:sz w:val="20"/>
          <w:szCs w:val="20"/>
          <w:vertAlign w:val="superscript"/>
        </w:rPr>
        <w:t>-1</w:t>
      </w:r>
      <w:r w:rsidRPr="00AA01AB">
        <w:rPr>
          <w:sz w:val="20"/>
          <w:szCs w:val="20"/>
        </w:rPr>
        <w:t>, respectively. In conclusion, C</w:t>
      </w:r>
      <w:r w:rsidRPr="00AA01AB">
        <w:rPr>
          <w:sz w:val="20"/>
          <w:szCs w:val="20"/>
          <w:vertAlign w:val="subscript"/>
        </w:rPr>
        <w:t>18</w:t>
      </w:r>
      <w:r w:rsidRPr="00AA01AB">
        <w:rPr>
          <w:sz w:val="20"/>
          <w:szCs w:val="20"/>
        </w:rPr>
        <w:t xml:space="preserve"> cartridge was chosen as the best cartridge for the extraction, clean-up method and determination of imazapic in water.</w:t>
      </w:r>
    </w:p>
    <w:p w:rsidR="00AA01AB" w:rsidRPr="00AA01AB" w:rsidRDefault="00AA01AB" w:rsidP="00AA01AB">
      <w:pPr>
        <w:pStyle w:val="Default"/>
        <w:jc w:val="both"/>
        <w:rPr>
          <w:sz w:val="20"/>
          <w:szCs w:val="20"/>
        </w:rPr>
      </w:pPr>
    </w:p>
    <w:p w:rsidR="00AA01AB" w:rsidRPr="00AA01AB" w:rsidRDefault="00AA01AB" w:rsidP="00AA01AB">
      <w:pPr>
        <w:spacing w:after="0" w:line="240" w:lineRule="auto"/>
        <w:ind w:left="990" w:hanging="990"/>
        <w:jc w:val="both"/>
        <w:rPr>
          <w:rFonts w:ascii="Times New Roman" w:hAnsi="Times New Roman"/>
          <w:sz w:val="20"/>
          <w:szCs w:val="20"/>
        </w:rPr>
      </w:pPr>
      <w:r w:rsidRPr="00AA01AB">
        <w:rPr>
          <w:rFonts w:ascii="Times New Roman" w:hAnsi="Times New Roman"/>
          <w:b/>
          <w:sz w:val="20"/>
          <w:szCs w:val="20"/>
        </w:rPr>
        <w:t>Keywords:</w:t>
      </w:r>
      <w:r w:rsidRPr="00AA01AB">
        <w:rPr>
          <w:rFonts w:ascii="Times New Roman" w:hAnsi="Times New Roman"/>
          <w:sz w:val="20"/>
          <w:szCs w:val="20"/>
        </w:rPr>
        <w:t xml:space="preserve"> </w:t>
      </w:r>
      <w:r w:rsidRPr="00AA01AB">
        <w:rPr>
          <w:rFonts w:ascii="Times New Roman" w:hAnsi="Times New Roman"/>
          <w:sz w:val="20"/>
          <w:szCs w:val="20"/>
        </w:rPr>
        <w:tab/>
        <w:t>bond elut C</w:t>
      </w:r>
      <w:r w:rsidRPr="00AA01AB">
        <w:rPr>
          <w:rFonts w:ascii="Times New Roman" w:hAnsi="Times New Roman"/>
          <w:sz w:val="20"/>
          <w:szCs w:val="20"/>
          <w:vertAlign w:val="subscript"/>
        </w:rPr>
        <w:t>18</w:t>
      </w:r>
      <w:r w:rsidRPr="00AA01AB">
        <w:rPr>
          <w:rFonts w:ascii="Times New Roman" w:hAnsi="Times New Roman"/>
          <w:sz w:val="20"/>
          <w:szCs w:val="20"/>
        </w:rPr>
        <w:t xml:space="preserve"> (C</w:t>
      </w:r>
      <w:r w:rsidRPr="00AA01AB">
        <w:rPr>
          <w:rFonts w:ascii="Times New Roman" w:hAnsi="Times New Roman"/>
          <w:sz w:val="20"/>
          <w:szCs w:val="20"/>
          <w:vertAlign w:val="subscript"/>
        </w:rPr>
        <w:t>18</w:t>
      </w:r>
      <w:r w:rsidRPr="00AA01AB">
        <w:rPr>
          <w:rFonts w:ascii="Times New Roman" w:hAnsi="Times New Roman"/>
          <w:sz w:val="20"/>
          <w:szCs w:val="20"/>
        </w:rPr>
        <w:t>), bond elut PPL (PPL), High Performance Liquid Chromatography (HPLC), imazapic, solid -phase extraction (SPE)</w:t>
      </w:r>
    </w:p>
    <w:p w:rsidR="00AA01AB" w:rsidRPr="00AA01AB" w:rsidRDefault="00AA01AB" w:rsidP="00AA01AB">
      <w:pPr>
        <w:spacing w:after="0" w:line="240" w:lineRule="auto"/>
        <w:jc w:val="center"/>
        <w:rPr>
          <w:rFonts w:ascii="Times New Roman" w:hAnsi="Times New Roman"/>
          <w:noProof/>
          <w:sz w:val="20"/>
          <w:szCs w:val="20"/>
          <w:lang w:bidi="ar-SA"/>
        </w:rPr>
      </w:pPr>
    </w:p>
    <w:p w:rsidR="00AA01AB" w:rsidRPr="00AA01AB" w:rsidRDefault="00AA01AB" w:rsidP="00AA01AB">
      <w:pPr>
        <w:spacing w:after="0" w:line="240" w:lineRule="auto"/>
        <w:jc w:val="center"/>
        <w:rPr>
          <w:rFonts w:ascii="Times New Roman" w:hAnsi="Times New Roman"/>
          <w:b/>
          <w:noProof/>
          <w:sz w:val="20"/>
          <w:szCs w:val="20"/>
          <w:lang w:bidi="ar-SA"/>
        </w:rPr>
      </w:pPr>
      <w:r w:rsidRPr="00AA01AB">
        <w:rPr>
          <w:rFonts w:ascii="Times New Roman" w:hAnsi="Times New Roman"/>
          <w:b/>
          <w:noProof/>
          <w:sz w:val="20"/>
          <w:szCs w:val="20"/>
          <w:lang w:bidi="ar-SA"/>
        </w:rPr>
        <w:t>Abstrak</w:t>
      </w:r>
    </w:p>
    <w:p w:rsidR="00AA01AB" w:rsidRPr="00AA01AB" w:rsidRDefault="00AA01AB" w:rsidP="00AA01AB">
      <w:pPr>
        <w:spacing w:after="0" w:line="240" w:lineRule="auto"/>
        <w:jc w:val="both"/>
        <w:rPr>
          <w:rFonts w:ascii="Times New Roman" w:hAnsi="Times New Roman"/>
          <w:sz w:val="20"/>
          <w:szCs w:val="20"/>
        </w:rPr>
      </w:pPr>
      <w:r w:rsidRPr="00AA01AB">
        <w:rPr>
          <w:rFonts w:ascii="Times New Roman" w:hAnsi="Times New Roman"/>
          <w:sz w:val="20"/>
          <w:szCs w:val="20"/>
        </w:rPr>
        <w:t>Satu kaedah boleh dipercayai menggunakan Kromatografi Cecair Prestasi Tinggi (KCPT) telah dibangunkan untuk mengoptimumkan pengekstrakan dan prosedur pembersihan racun rumpai imazapic dari sampel air. Untuk tujuan ini, sebuah Agilent KCPT 1200 Siri dilengkapi dengan pengesan UV telah digunakan. Turus yang digunakan adalah Zorbax StableBond C18 (4.6mm x 250mm ID, saiz zarah 5μm). Untuk pengekstrakan dan prosedur pembersihan, kaedah pengekstrakan fasa pepejal (SPE) telah digunakan. Dua jenis kartrij telah dipilih iaitu stirena-divinylbenzene bond elut polimer PPL (PPL) dan oktadesil / silika bond elut C</w:t>
      </w:r>
      <w:r w:rsidRPr="00AA01AB">
        <w:rPr>
          <w:rFonts w:ascii="Times New Roman" w:hAnsi="Times New Roman"/>
          <w:sz w:val="20"/>
          <w:szCs w:val="20"/>
          <w:vertAlign w:val="subscript"/>
        </w:rPr>
        <w:t>18</w:t>
      </w:r>
      <w:r w:rsidRPr="00AA01AB">
        <w:rPr>
          <w:rFonts w:ascii="Times New Roman" w:hAnsi="Times New Roman"/>
          <w:sz w:val="20"/>
          <w:szCs w:val="20"/>
        </w:rPr>
        <w:t xml:space="preserve"> (C</w:t>
      </w:r>
      <w:r w:rsidRPr="00AA01AB">
        <w:rPr>
          <w:rFonts w:ascii="Times New Roman" w:hAnsi="Times New Roman"/>
          <w:sz w:val="20"/>
          <w:szCs w:val="20"/>
          <w:vertAlign w:val="subscript"/>
        </w:rPr>
        <w:t>18</w:t>
      </w:r>
      <w:r w:rsidRPr="00AA01AB">
        <w:rPr>
          <w:rFonts w:ascii="Times New Roman" w:hAnsi="Times New Roman"/>
          <w:sz w:val="20"/>
          <w:szCs w:val="20"/>
        </w:rPr>
        <w:t xml:space="preserve">) bagi membandingkan prestasi pemulihan mereka. Resolusi imazapic yang baik adalah optimum pada ketika panjang gelombang </w:t>
      </w:r>
      <w:r w:rsidRPr="00AA01AB">
        <w:rPr>
          <w:rFonts w:ascii="Times New Roman" w:hAnsi="Times New Roman"/>
          <w:sz w:val="20"/>
          <w:szCs w:val="20"/>
        </w:rPr>
        <w:sym w:font="Symbol" w:char="F06C"/>
      </w:r>
      <w:r w:rsidRPr="00AA01AB">
        <w:rPr>
          <w:rFonts w:ascii="Times New Roman" w:hAnsi="Times New Roman"/>
          <w:sz w:val="20"/>
          <w:szCs w:val="20"/>
        </w:rPr>
        <w:t xml:space="preserve">=252nm. Fasa bergerak adalah acetonitril: air ultra-tulen (pH 3.0), dalam nisbah 45:55. Kadar aliran dan jumlah suntikan ialah 1.2 mL/min dan 20 μL, masing-masing. Keberkesanan kaedah pengekstrakan yang digunakan ditentukan melalui ujian </w:t>
      </w:r>
      <w:r w:rsidRPr="00AA01AB">
        <w:rPr>
          <w:rFonts w:ascii="Times New Roman" w:hAnsi="Times New Roman"/>
          <w:sz w:val="20"/>
          <w:szCs w:val="20"/>
        </w:rPr>
        <w:lastRenderedPageBreak/>
        <w:t>pemulihan yang dijalankan menggunakan sampel air yang dicampurkan dengan standard imazapic. Keputusan bagi kadar pemulihan adalah 112% dan 73% untuk kartrij C</w:t>
      </w:r>
      <w:r w:rsidRPr="009E27EF">
        <w:rPr>
          <w:rFonts w:ascii="Times New Roman" w:hAnsi="Times New Roman"/>
          <w:sz w:val="20"/>
          <w:szCs w:val="20"/>
          <w:vertAlign w:val="subscript"/>
        </w:rPr>
        <w:t>18</w:t>
      </w:r>
      <w:r w:rsidRPr="00AA01AB">
        <w:rPr>
          <w:rFonts w:ascii="Times New Roman" w:hAnsi="Times New Roman"/>
          <w:sz w:val="20"/>
          <w:szCs w:val="20"/>
        </w:rPr>
        <w:t xml:space="preserve"> dan 10.35% dan 10.14% untuk PPL pada kepekatan 2 dan 10 mg L</w:t>
      </w:r>
      <w:r w:rsidR="009E27EF" w:rsidRPr="009E27EF">
        <w:rPr>
          <w:rFonts w:ascii="Times New Roman" w:hAnsi="Times New Roman"/>
          <w:sz w:val="20"/>
          <w:szCs w:val="20"/>
          <w:vertAlign w:val="superscript"/>
        </w:rPr>
        <w:t>-1</w:t>
      </w:r>
      <w:r w:rsidRPr="00AA01AB">
        <w:rPr>
          <w:rFonts w:ascii="Times New Roman" w:hAnsi="Times New Roman"/>
          <w:sz w:val="20"/>
          <w:szCs w:val="20"/>
        </w:rPr>
        <w:t>, masing-masing. Kesimpulannya, kartrij C</w:t>
      </w:r>
      <w:r w:rsidRPr="00AA01AB">
        <w:rPr>
          <w:rFonts w:ascii="Times New Roman" w:hAnsi="Times New Roman"/>
          <w:sz w:val="20"/>
          <w:szCs w:val="20"/>
          <w:vertAlign w:val="subscript"/>
        </w:rPr>
        <w:t>18</w:t>
      </w:r>
      <w:r w:rsidRPr="00AA01AB">
        <w:rPr>
          <w:rFonts w:ascii="Times New Roman" w:hAnsi="Times New Roman"/>
          <w:sz w:val="20"/>
          <w:szCs w:val="20"/>
        </w:rPr>
        <w:t xml:space="preserve"> dipilih sebagai kartrij yang terbaik untuk pengekstrakan, kaedah pembersihan dan penentuan imazapic dalam air.</w:t>
      </w:r>
    </w:p>
    <w:p w:rsidR="00AA01AB" w:rsidRPr="00AA01AB" w:rsidRDefault="00AA01AB" w:rsidP="00AA01AB">
      <w:pPr>
        <w:spacing w:after="0" w:line="240" w:lineRule="auto"/>
        <w:jc w:val="both"/>
        <w:rPr>
          <w:rFonts w:ascii="Times New Roman" w:hAnsi="Times New Roman"/>
          <w:sz w:val="20"/>
          <w:szCs w:val="20"/>
        </w:rPr>
      </w:pPr>
    </w:p>
    <w:p w:rsidR="00AA01AB" w:rsidRDefault="00AA01AB" w:rsidP="009E27EF">
      <w:pPr>
        <w:spacing w:after="0" w:line="240" w:lineRule="auto"/>
        <w:ind w:left="1170" w:hanging="1170"/>
        <w:jc w:val="both"/>
        <w:rPr>
          <w:rFonts w:ascii="Times New Roman" w:hAnsi="Times New Roman"/>
          <w:sz w:val="20"/>
          <w:szCs w:val="20"/>
        </w:rPr>
      </w:pPr>
      <w:r w:rsidRPr="00AA01AB">
        <w:rPr>
          <w:rFonts w:ascii="Times New Roman" w:hAnsi="Times New Roman"/>
          <w:b/>
          <w:sz w:val="20"/>
          <w:szCs w:val="20"/>
        </w:rPr>
        <w:t>Kata kunci:</w:t>
      </w:r>
      <w:r w:rsidR="009E27EF">
        <w:rPr>
          <w:rFonts w:ascii="Times New Roman" w:hAnsi="Times New Roman"/>
          <w:sz w:val="20"/>
          <w:szCs w:val="20"/>
        </w:rPr>
        <w:t xml:space="preserve">  </w:t>
      </w:r>
      <w:r w:rsidRPr="00AA01AB">
        <w:rPr>
          <w:rFonts w:ascii="Times New Roman" w:hAnsi="Times New Roman"/>
          <w:sz w:val="20"/>
          <w:szCs w:val="20"/>
        </w:rPr>
        <w:t>Bond elut C</w:t>
      </w:r>
      <w:r w:rsidRPr="00AA01AB">
        <w:rPr>
          <w:rFonts w:ascii="Times New Roman" w:hAnsi="Times New Roman"/>
          <w:sz w:val="20"/>
          <w:szCs w:val="20"/>
          <w:vertAlign w:val="subscript"/>
        </w:rPr>
        <w:t>18</w:t>
      </w:r>
      <w:r w:rsidRPr="00AA01AB">
        <w:rPr>
          <w:rFonts w:ascii="Times New Roman" w:hAnsi="Times New Roman"/>
          <w:sz w:val="20"/>
          <w:szCs w:val="20"/>
        </w:rPr>
        <w:t xml:space="preserve"> (C</w:t>
      </w:r>
      <w:r w:rsidRPr="00AA01AB">
        <w:rPr>
          <w:rFonts w:ascii="Times New Roman" w:hAnsi="Times New Roman"/>
          <w:sz w:val="20"/>
          <w:szCs w:val="20"/>
          <w:vertAlign w:val="subscript"/>
        </w:rPr>
        <w:t>18</w:t>
      </w:r>
      <w:r w:rsidRPr="00AA01AB">
        <w:rPr>
          <w:rFonts w:ascii="Times New Roman" w:hAnsi="Times New Roman"/>
          <w:sz w:val="20"/>
          <w:szCs w:val="20"/>
        </w:rPr>
        <w:t>), Bond elut PPL (PPL), Imazapic, Kromatografi Cecair prestasi Tinggi (KCPT), Pengekstrakan fasa pepejal (SPE).</w:t>
      </w:r>
    </w:p>
    <w:p w:rsidR="00AA01AB" w:rsidRDefault="00AA01AB" w:rsidP="00AA01AB">
      <w:pPr>
        <w:spacing w:after="0" w:line="240" w:lineRule="auto"/>
        <w:ind w:left="1080" w:hanging="1080"/>
        <w:jc w:val="both"/>
        <w:rPr>
          <w:rFonts w:ascii="Times New Roman" w:hAnsi="Times New Roman"/>
          <w:sz w:val="20"/>
          <w:szCs w:val="20"/>
        </w:rPr>
      </w:pPr>
    </w:p>
    <w:p w:rsidR="00AA01AB" w:rsidRPr="00802DCC" w:rsidRDefault="00AA01AB" w:rsidP="00AA01AB">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Nakano, Y., Miyazaki, A., Yoshida, T. and Ono, K. (2004). A study on pesticide runoff from paddy fields to a river in rural region — 1 : field survey of pesticide runoff in the Kozakura. </w:t>
      </w:r>
      <w:r w:rsidRPr="00574D4A">
        <w:rPr>
          <w:rFonts w:ascii="Times New Roman" w:hAnsi="Times New Roman"/>
          <w:i/>
          <w:iCs/>
          <w:noProof/>
          <w:sz w:val="20"/>
          <w:szCs w:val="20"/>
        </w:rPr>
        <w:t>Water Research</w:t>
      </w:r>
      <w:r w:rsidRPr="00574D4A">
        <w:rPr>
          <w:rFonts w:ascii="Times New Roman" w:hAnsi="Times New Roman"/>
          <w:noProof/>
          <w:sz w:val="20"/>
          <w:szCs w:val="20"/>
        </w:rPr>
        <w:t xml:space="preserve">, </w:t>
      </w:r>
      <w:r w:rsidRPr="00574D4A">
        <w:rPr>
          <w:rFonts w:ascii="Times New Roman" w:hAnsi="Times New Roman"/>
          <w:i/>
          <w:iCs/>
          <w:noProof/>
          <w:sz w:val="20"/>
          <w:szCs w:val="20"/>
        </w:rPr>
        <w:t>38</w:t>
      </w:r>
      <w:r w:rsidRPr="00574D4A">
        <w:rPr>
          <w:rFonts w:ascii="Times New Roman" w:hAnsi="Times New Roman"/>
          <w:noProof/>
          <w:sz w:val="20"/>
          <w:szCs w:val="20"/>
        </w:rPr>
        <w:t>, 3017–3022.</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Demoliner, A., Caldas, S. S., Costa, F. P. and Goncalves, F. F. (2010). Development and Validation of a Method using SPE and LC-ESI-MS-MS for the Determination of Multiple Classes of Pesticides and Metabolites in Water Samples. </w:t>
      </w:r>
      <w:r w:rsidRPr="00574D4A">
        <w:rPr>
          <w:rFonts w:ascii="Times New Roman" w:hAnsi="Times New Roman"/>
          <w:i/>
          <w:iCs/>
          <w:noProof/>
          <w:sz w:val="20"/>
          <w:szCs w:val="20"/>
        </w:rPr>
        <w:t>Journal of Brazillian Chemical Society</w:t>
      </w:r>
      <w:r w:rsidRPr="00574D4A">
        <w:rPr>
          <w:rFonts w:ascii="Times New Roman" w:hAnsi="Times New Roman"/>
          <w:noProof/>
          <w:sz w:val="20"/>
          <w:szCs w:val="20"/>
        </w:rPr>
        <w:t xml:space="preserve">, </w:t>
      </w:r>
      <w:r w:rsidRPr="00574D4A">
        <w:rPr>
          <w:rFonts w:ascii="Times New Roman" w:hAnsi="Times New Roman"/>
          <w:i/>
          <w:iCs/>
          <w:noProof/>
          <w:sz w:val="20"/>
          <w:szCs w:val="20"/>
        </w:rPr>
        <w:t>21</w:t>
      </w:r>
      <w:r w:rsidRPr="00574D4A">
        <w:rPr>
          <w:rFonts w:ascii="Times New Roman" w:hAnsi="Times New Roman"/>
          <w:noProof/>
          <w:sz w:val="20"/>
          <w:szCs w:val="20"/>
        </w:rPr>
        <w:t>(8), 1424–1433.</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Caldas, S. S., Zanella, R. and Primel, E. G. (2007). </w:t>
      </w:r>
      <w:r w:rsidRPr="00574D4A">
        <w:rPr>
          <w:rFonts w:ascii="Times New Roman" w:hAnsi="Times New Roman"/>
          <w:iCs/>
          <w:noProof/>
          <w:sz w:val="20"/>
          <w:szCs w:val="20"/>
        </w:rPr>
        <w:t>Herbicides and Environment : Risk Estimate of Water Contamination and Occurrence of Pesticides in the South of Brazil</w:t>
      </w:r>
      <w:r w:rsidRPr="00574D4A">
        <w:rPr>
          <w:rFonts w:ascii="Times New Roman" w:hAnsi="Times New Roman"/>
          <w:noProof/>
          <w:sz w:val="20"/>
          <w:szCs w:val="20"/>
        </w:rPr>
        <w:t xml:space="preserve">. In Dr Andreas Kortekamp (Ed.). </w:t>
      </w:r>
      <w:r w:rsidRPr="00574D4A">
        <w:rPr>
          <w:rFonts w:ascii="Times New Roman" w:hAnsi="Times New Roman"/>
          <w:i/>
          <w:noProof/>
          <w:sz w:val="20"/>
          <w:szCs w:val="20"/>
        </w:rPr>
        <w:t>Herbicides and Environment</w:t>
      </w:r>
      <w:r w:rsidRPr="00574D4A">
        <w:rPr>
          <w:rFonts w:ascii="Times New Roman" w:hAnsi="Times New Roman"/>
          <w:noProof/>
          <w:sz w:val="20"/>
          <w:szCs w:val="20"/>
        </w:rPr>
        <w:t xml:space="preserve"> (pp. 471- 493). InTech. Retrieved from http://www.intechopen.com/books/herbicides-and- environment/risk-estimate-of-water-contamination-and-occurrence-of-pesticide-in-the-south-of-brazil</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Geronimo, E. De, Aparicio, V. C., Barbaro, S., Portocarrero, R., Jaime, S. and Costa, J. L. (2014). Chemosphere  Presence of pesticides in surface water from four sub-basins in Argentina. </w:t>
      </w:r>
      <w:r w:rsidRPr="00574D4A">
        <w:rPr>
          <w:rFonts w:ascii="Times New Roman" w:hAnsi="Times New Roman"/>
          <w:i/>
          <w:iCs/>
          <w:noProof/>
          <w:sz w:val="20"/>
          <w:szCs w:val="20"/>
        </w:rPr>
        <w:t>Chemosphere</w:t>
      </w:r>
      <w:r w:rsidRPr="00574D4A">
        <w:rPr>
          <w:rFonts w:ascii="Times New Roman" w:hAnsi="Times New Roman"/>
          <w:noProof/>
          <w:sz w:val="20"/>
          <w:szCs w:val="20"/>
        </w:rPr>
        <w:t xml:space="preserve"> </w:t>
      </w:r>
      <w:r w:rsidRPr="00574D4A">
        <w:rPr>
          <w:rFonts w:ascii="Times New Roman" w:hAnsi="Times New Roman"/>
          <w:i/>
          <w:iCs/>
          <w:noProof/>
          <w:sz w:val="20"/>
          <w:szCs w:val="20"/>
        </w:rPr>
        <w:t>107</w:t>
      </w:r>
      <w:r w:rsidRPr="00574D4A">
        <w:rPr>
          <w:rFonts w:ascii="Times New Roman" w:hAnsi="Times New Roman"/>
          <w:noProof/>
          <w:sz w:val="20"/>
          <w:szCs w:val="20"/>
        </w:rPr>
        <w:t>, 423–431.</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Mohamad Saberi, A. S. (2013). Comparison of the Level of Organochlorine Residues in Paddy Crops from Two Different Cultivation Practices. </w:t>
      </w:r>
      <w:r w:rsidRPr="00574D4A">
        <w:rPr>
          <w:rFonts w:ascii="Times New Roman" w:hAnsi="Times New Roman"/>
          <w:i/>
          <w:iCs/>
          <w:noProof/>
          <w:sz w:val="20"/>
          <w:szCs w:val="20"/>
        </w:rPr>
        <w:t>Sains Malaysiana</w:t>
      </w:r>
      <w:r w:rsidRPr="00574D4A">
        <w:rPr>
          <w:rFonts w:ascii="Times New Roman" w:hAnsi="Times New Roman"/>
          <w:noProof/>
          <w:sz w:val="20"/>
          <w:szCs w:val="20"/>
        </w:rPr>
        <w:t xml:space="preserve"> </w:t>
      </w:r>
      <w:r w:rsidRPr="00574D4A">
        <w:rPr>
          <w:rFonts w:ascii="Times New Roman" w:hAnsi="Times New Roman"/>
          <w:i/>
          <w:iCs/>
          <w:noProof/>
          <w:sz w:val="20"/>
          <w:szCs w:val="20"/>
        </w:rPr>
        <w:t>42</w:t>
      </w:r>
      <w:r w:rsidRPr="00574D4A">
        <w:rPr>
          <w:rFonts w:ascii="Times New Roman" w:hAnsi="Times New Roman"/>
          <w:noProof/>
          <w:sz w:val="20"/>
          <w:szCs w:val="20"/>
        </w:rPr>
        <w:t>(11), 1581–1584.</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Mohd Fuad, M. J., Junaidi, A. B., Habibah, A., Hamzah, J., Toriman, M.E., Lyndon, N., Er, A.C., Selvadurai, S. and Azima, A.M. (2012). The Impact of Pesticides on Paddy Farmers and Ecosystem. </w:t>
      </w:r>
      <w:r w:rsidRPr="00574D4A">
        <w:rPr>
          <w:rFonts w:ascii="Times New Roman" w:hAnsi="Times New Roman"/>
          <w:i/>
          <w:iCs/>
          <w:noProof/>
          <w:sz w:val="20"/>
          <w:szCs w:val="20"/>
        </w:rPr>
        <w:t>Advances in Natural and Applied Sciences</w:t>
      </w:r>
      <w:r w:rsidRPr="00574D4A">
        <w:rPr>
          <w:rFonts w:ascii="Times New Roman" w:hAnsi="Times New Roman"/>
          <w:noProof/>
          <w:sz w:val="20"/>
          <w:szCs w:val="20"/>
        </w:rPr>
        <w:t xml:space="preserve">, </w:t>
      </w:r>
      <w:r w:rsidRPr="00574D4A">
        <w:rPr>
          <w:rFonts w:ascii="Times New Roman" w:hAnsi="Times New Roman"/>
          <w:i/>
          <w:iCs/>
          <w:noProof/>
          <w:sz w:val="20"/>
          <w:szCs w:val="20"/>
        </w:rPr>
        <w:t>6</w:t>
      </w:r>
      <w:r w:rsidRPr="00574D4A">
        <w:rPr>
          <w:rFonts w:ascii="Times New Roman" w:hAnsi="Times New Roman"/>
          <w:noProof/>
          <w:sz w:val="20"/>
          <w:szCs w:val="20"/>
        </w:rPr>
        <w:t>(1): 65–70.</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Colborn, T. and Short, P. (1999). and Industrial Health. </w:t>
      </w:r>
      <w:r w:rsidRPr="00574D4A">
        <w:rPr>
          <w:rFonts w:ascii="Times New Roman" w:hAnsi="Times New Roman"/>
          <w:i/>
          <w:iCs/>
          <w:noProof/>
          <w:sz w:val="20"/>
          <w:szCs w:val="20"/>
        </w:rPr>
        <w:t>Toxicology and Industrial Health</w:t>
      </w:r>
      <w:r w:rsidRPr="00574D4A">
        <w:rPr>
          <w:rFonts w:ascii="Times New Roman" w:hAnsi="Times New Roman"/>
          <w:noProof/>
          <w:sz w:val="20"/>
          <w:szCs w:val="20"/>
        </w:rPr>
        <w:t xml:space="preserve">, </w:t>
      </w:r>
      <w:r w:rsidRPr="00574D4A">
        <w:rPr>
          <w:rFonts w:ascii="Times New Roman" w:hAnsi="Times New Roman"/>
          <w:i/>
          <w:iCs/>
          <w:noProof/>
          <w:sz w:val="20"/>
          <w:szCs w:val="20"/>
        </w:rPr>
        <w:t>15</w:t>
      </w:r>
      <w:r w:rsidRPr="00574D4A">
        <w:rPr>
          <w:rFonts w:ascii="Times New Roman" w:hAnsi="Times New Roman"/>
          <w:noProof/>
          <w:sz w:val="20"/>
          <w:szCs w:val="20"/>
        </w:rPr>
        <w:t xml:space="preserve">, 241–276. </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Hess, F. G., Harris, J. E., Pendino, K. and Ponnock, K. (2001). Frederick G. Hess and Jane E. Harris. In </w:t>
      </w:r>
      <w:r w:rsidRPr="00574D4A">
        <w:rPr>
          <w:rFonts w:ascii="Times New Roman" w:hAnsi="Times New Roman"/>
          <w:i/>
          <w:iCs/>
          <w:noProof/>
          <w:sz w:val="20"/>
          <w:szCs w:val="20"/>
        </w:rPr>
        <w:t>Handbook of Pesticide Toxicology, Volume 2</w:t>
      </w:r>
      <w:r w:rsidRPr="00574D4A">
        <w:rPr>
          <w:rFonts w:ascii="Times New Roman" w:hAnsi="Times New Roman"/>
          <w:noProof/>
          <w:sz w:val="20"/>
          <w:szCs w:val="20"/>
        </w:rPr>
        <w:t xml:space="preserve"> (Vol. 2, pp. 1641–1651). Academic Press.</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Alister, C. and Kogan, M. (2005). Efficacy of imidazolinone herbicides applied to imidazolinone-resistant maize and their carryover effect on rotational crops. </w:t>
      </w:r>
      <w:r w:rsidRPr="00574D4A">
        <w:rPr>
          <w:rFonts w:ascii="Times New Roman" w:hAnsi="Times New Roman"/>
          <w:i/>
          <w:iCs/>
          <w:noProof/>
          <w:sz w:val="20"/>
          <w:szCs w:val="20"/>
        </w:rPr>
        <w:t>Crop Protection</w:t>
      </w:r>
      <w:r w:rsidRPr="00574D4A">
        <w:rPr>
          <w:rFonts w:ascii="Times New Roman" w:hAnsi="Times New Roman"/>
          <w:noProof/>
          <w:sz w:val="20"/>
          <w:szCs w:val="20"/>
        </w:rPr>
        <w:t xml:space="preserve"> </w:t>
      </w:r>
      <w:r w:rsidRPr="00574D4A">
        <w:rPr>
          <w:rFonts w:ascii="Times New Roman" w:hAnsi="Times New Roman"/>
          <w:i/>
          <w:iCs/>
          <w:noProof/>
          <w:sz w:val="20"/>
          <w:szCs w:val="20"/>
        </w:rPr>
        <w:t>24</w:t>
      </w:r>
      <w:r w:rsidRPr="00574D4A">
        <w:rPr>
          <w:rFonts w:ascii="Times New Roman" w:hAnsi="Times New Roman"/>
          <w:noProof/>
          <w:sz w:val="20"/>
          <w:szCs w:val="20"/>
        </w:rPr>
        <w:t xml:space="preserve">(4), 375–379. </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Caroline Cox. (2003). Herbicide Factsheet. </w:t>
      </w:r>
      <w:r w:rsidRPr="00574D4A">
        <w:rPr>
          <w:rFonts w:ascii="Times New Roman" w:hAnsi="Times New Roman"/>
          <w:i/>
          <w:iCs/>
          <w:noProof/>
          <w:sz w:val="20"/>
          <w:szCs w:val="20"/>
        </w:rPr>
        <w:t>Journal of Pesticide Reform</w:t>
      </w:r>
      <w:r w:rsidRPr="00574D4A">
        <w:rPr>
          <w:rFonts w:ascii="Times New Roman" w:hAnsi="Times New Roman"/>
          <w:noProof/>
          <w:sz w:val="20"/>
          <w:szCs w:val="20"/>
        </w:rPr>
        <w:t xml:space="preserve">, </w:t>
      </w:r>
      <w:r w:rsidRPr="00574D4A">
        <w:rPr>
          <w:rFonts w:ascii="Times New Roman" w:hAnsi="Times New Roman"/>
          <w:i/>
          <w:iCs/>
          <w:noProof/>
          <w:sz w:val="20"/>
          <w:szCs w:val="20"/>
        </w:rPr>
        <w:t>23</w:t>
      </w:r>
      <w:r w:rsidRPr="00574D4A">
        <w:rPr>
          <w:rFonts w:ascii="Times New Roman" w:hAnsi="Times New Roman"/>
          <w:noProof/>
          <w:sz w:val="20"/>
          <w:szCs w:val="20"/>
        </w:rPr>
        <w:t>(3), 10–14.</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Baumart, J. S., Santos, S., Federal, U., Maria, D. S. and Maria, S. (2011). </w:t>
      </w:r>
      <w:r w:rsidRPr="00574D4A">
        <w:rPr>
          <w:rFonts w:ascii="Times New Roman" w:hAnsi="Times New Roman"/>
          <w:iCs/>
          <w:noProof/>
          <w:sz w:val="20"/>
          <w:szCs w:val="20"/>
        </w:rPr>
        <w:t>The Impact of Herbicides on Benthic Organisms in Flooded Rice Fields in Southern Brazil</w:t>
      </w:r>
      <w:r w:rsidRPr="00574D4A">
        <w:rPr>
          <w:rFonts w:ascii="Times New Roman" w:hAnsi="Times New Roman"/>
          <w:noProof/>
          <w:sz w:val="20"/>
          <w:szCs w:val="20"/>
        </w:rPr>
        <w:t xml:space="preserve">. In Dr Andreas Kortekamp (Ed.). </w:t>
      </w:r>
      <w:r>
        <w:rPr>
          <w:rFonts w:ascii="Times New Roman" w:hAnsi="Times New Roman"/>
          <w:i/>
          <w:noProof/>
          <w:sz w:val="20"/>
          <w:szCs w:val="20"/>
        </w:rPr>
        <w:t xml:space="preserve">Herbicides – Mechanisms </w:t>
      </w:r>
      <w:r w:rsidRPr="00574D4A">
        <w:rPr>
          <w:rFonts w:ascii="Times New Roman" w:hAnsi="Times New Roman"/>
          <w:i/>
          <w:noProof/>
          <w:sz w:val="20"/>
          <w:szCs w:val="20"/>
        </w:rPr>
        <w:t>and Mode of Action.</w:t>
      </w:r>
      <w:r w:rsidRPr="00574D4A">
        <w:rPr>
          <w:rFonts w:ascii="Times New Roman" w:hAnsi="Times New Roman"/>
          <w:noProof/>
          <w:sz w:val="20"/>
          <w:szCs w:val="20"/>
        </w:rPr>
        <w:t xml:space="preserve"> (pp.369-382). InTech. Retrieved from http://</w:t>
      </w:r>
      <w:r>
        <w:rPr>
          <w:rFonts w:ascii="Times New Roman" w:hAnsi="Times New Roman"/>
          <w:noProof/>
          <w:sz w:val="20"/>
          <w:szCs w:val="20"/>
        </w:rPr>
        <w:t xml:space="preserve"> </w:t>
      </w:r>
      <w:r w:rsidRPr="00574D4A">
        <w:rPr>
          <w:rFonts w:ascii="Times New Roman" w:hAnsi="Times New Roman"/>
          <w:noProof/>
          <w:sz w:val="20"/>
          <w:szCs w:val="20"/>
        </w:rPr>
        <w:t>www.intechopen.com/</w:t>
      </w:r>
      <w:r>
        <w:rPr>
          <w:rFonts w:ascii="Times New Roman" w:hAnsi="Times New Roman"/>
          <w:noProof/>
          <w:sz w:val="20"/>
          <w:szCs w:val="20"/>
        </w:rPr>
        <w:t xml:space="preserve"> </w:t>
      </w:r>
      <w:r w:rsidRPr="00574D4A">
        <w:rPr>
          <w:rFonts w:ascii="Times New Roman" w:hAnsi="Times New Roman"/>
          <w:noProof/>
          <w:sz w:val="20"/>
          <w:szCs w:val="20"/>
        </w:rPr>
        <w:t>books/herbicides</w:t>
      </w:r>
      <w:r>
        <w:rPr>
          <w:rFonts w:ascii="Times New Roman" w:hAnsi="Times New Roman"/>
          <w:noProof/>
          <w:sz w:val="20"/>
          <w:szCs w:val="20"/>
        </w:rPr>
        <w:t>-and-environment/the-impact-of-</w:t>
      </w:r>
      <w:r w:rsidRPr="00574D4A">
        <w:rPr>
          <w:rFonts w:ascii="Times New Roman" w:hAnsi="Times New Roman"/>
          <w:noProof/>
          <w:sz w:val="20"/>
          <w:szCs w:val="20"/>
        </w:rPr>
        <w:t>herbicides-on-benthic-organisms-in-flooded-ricefields-in-southern-brazil</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Grichar, W. J. and Sestak, D. C. (2000). Effect of adjuvants on control of nutsedge ( Cyperus esculentus and C . rotundus ) by imazapic and imazethapyr. </w:t>
      </w:r>
      <w:r w:rsidRPr="00574D4A">
        <w:rPr>
          <w:rFonts w:ascii="Times New Roman" w:hAnsi="Times New Roman"/>
          <w:i/>
          <w:iCs/>
          <w:noProof/>
          <w:sz w:val="20"/>
          <w:szCs w:val="20"/>
        </w:rPr>
        <w:t>Crop Protection</w:t>
      </w:r>
      <w:r w:rsidRPr="00574D4A">
        <w:rPr>
          <w:rFonts w:ascii="Times New Roman" w:hAnsi="Times New Roman"/>
          <w:noProof/>
          <w:sz w:val="20"/>
          <w:szCs w:val="20"/>
        </w:rPr>
        <w:t xml:space="preserve">, </w:t>
      </w:r>
      <w:r w:rsidRPr="00574D4A">
        <w:rPr>
          <w:rFonts w:ascii="Times New Roman" w:hAnsi="Times New Roman"/>
          <w:i/>
          <w:iCs/>
          <w:noProof/>
          <w:sz w:val="20"/>
          <w:szCs w:val="20"/>
        </w:rPr>
        <w:t>19</w:t>
      </w:r>
      <w:r w:rsidRPr="00574D4A">
        <w:rPr>
          <w:rFonts w:ascii="Times New Roman" w:hAnsi="Times New Roman"/>
          <w:noProof/>
          <w:sz w:val="20"/>
          <w:szCs w:val="20"/>
        </w:rPr>
        <w:t>, 461–465.</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Azmi, M., Azlan S., Yim, K.M., George, T. V. and Chew, S. E. (2012). </w:t>
      </w:r>
      <w:r w:rsidRPr="00574D4A">
        <w:rPr>
          <w:rFonts w:ascii="Times New Roman" w:eastAsiaTheme="minorHAnsi" w:hAnsi="Times New Roman"/>
          <w:bCs/>
          <w:sz w:val="20"/>
          <w:szCs w:val="20"/>
          <w:lang w:val="en-MY"/>
        </w:rPr>
        <w:t xml:space="preserve">Control Of Weedy Rice In Direct-Seeded Rice Using The Clearfield Production System In Malaysia </w:t>
      </w:r>
      <w:r w:rsidRPr="00574D4A">
        <w:rPr>
          <w:rFonts w:ascii="Times New Roman" w:hAnsi="Times New Roman"/>
          <w:i/>
          <w:iCs/>
          <w:noProof/>
          <w:sz w:val="20"/>
          <w:szCs w:val="20"/>
        </w:rPr>
        <w:t>Pakistan Journal of Weed Science Research</w:t>
      </w:r>
      <w:r w:rsidRPr="00574D4A">
        <w:rPr>
          <w:rFonts w:ascii="Times New Roman" w:hAnsi="Times New Roman"/>
          <w:noProof/>
          <w:sz w:val="20"/>
          <w:szCs w:val="20"/>
        </w:rPr>
        <w:t xml:space="preserve">, </w:t>
      </w:r>
      <w:r w:rsidRPr="00574D4A">
        <w:rPr>
          <w:rFonts w:ascii="Times New Roman" w:hAnsi="Times New Roman"/>
          <w:i/>
          <w:iCs/>
          <w:noProof/>
          <w:sz w:val="20"/>
          <w:szCs w:val="20"/>
        </w:rPr>
        <w:t>18</w:t>
      </w:r>
      <w:r w:rsidRPr="00574D4A">
        <w:rPr>
          <w:rFonts w:ascii="Times New Roman" w:hAnsi="Times New Roman"/>
          <w:noProof/>
          <w:sz w:val="20"/>
          <w:szCs w:val="20"/>
        </w:rPr>
        <w:t>(Special Issue), 49–53.</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Zanella, R., Adaime, M. B., Peixoto, S. C., Friggi, C. A., Prestes, O. D., Machado, S. L. O., Marchesan, E., Avila, L.A. and Primel, E. G. (2011). Herbicides Persistence in Rice Paddy Water in Southern Brazil. In Dr. Mohammed Nagib Hasaneen (Ed). </w:t>
      </w:r>
      <w:r w:rsidRPr="00574D4A">
        <w:rPr>
          <w:rFonts w:ascii="Times New Roman" w:hAnsi="Times New Roman"/>
          <w:i/>
          <w:noProof/>
          <w:sz w:val="20"/>
          <w:szCs w:val="20"/>
        </w:rPr>
        <w:t>Herbicides - Mechanisms and Mode of Action.</w:t>
      </w:r>
      <w:r w:rsidRPr="00574D4A">
        <w:rPr>
          <w:rFonts w:ascii="Times New Roman" w:hAnsi="Times New Roman"/>
          <w:noProof/>
          <w:sz w:val="20"/>
          <w:szCs w:val="20"/>
        </w:rPr>
        <w:t xml:space="preserve"> (pp. 183-204). InTech. Retrieved from http://www.intechopen.com/books/herbicides-mechanism-and-mode-of-action/herbicides-persistence-in-rice-paddy-water-in-southern-brazil.</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Ramezani, M., Simpson, N., Oliver, D., Kookana, R., Gill, G. and Preston, C. (2009). Improved extraction and clean-up of imidazolinone herbicides from soil solutions using different solid-phase sorbents.</w:t>
      </w:r>
      <w:r w:rsidRPr="00574D4A">
        <w:rPr>
          <w:rFonts w:ascii="Times New Roman" w:hAnsi="Times New Roman"/>
          <w:i/>
          <w:noProof/>
          <w:sz w:val="20"/>
          <w:szCs w:val="20"/>
        </w:rPr>
        <w:t xml:space="preserve"> Journal of Chromatography A. </w:t>
      </w:r>
      <w:r w:rsidRPr="00574D4A">
        <w:rPr>
          <w:rFonts w:ascii="Times New Roman" w:hAnsi="Times New Roman"/>
          <w:noProof/>
          <w:sz w:val="20"/>
          <w:szCs w:val="20"/>
        </w:rPr>
        <w:t xml:space="preserve"> </w:t>
      </w:r>
      <w:r w:rsidRPr="00574D4A">
        <w:rPr>
          <w:rFonts w:ascii="Times New Roman" w:hAnsi="Times New Roman"/>
          <w:i/>
          <w:iCs/>
          <w:noProof/>
          <w:sz w:val="20"/>
          <w:szCs w:val="20"/>
        </w:rPr>
        <w:t>1216</w:t>
      </w:r>
      <w:r w:rsidRPr="00574D4A">
        <w:rPr>
          <w:rFonts w:ascii="Times New Roman" w:hAnsi="Times New Roman"/>
          <w:noProof/>
          <w:sz w:val="20"/>
          <w:szCs w:val="20"/>
        </w:rPr>
        <w:t xml:space="preserve">, 5092–5100. </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Singh, R. (2013). HPLC method development and validation- an overview. </w:t>
      </w:r>
      <w:r w:rsidRPr="00574D4A">
        <w:rPr>
          <w:rFonts w:ascii="Times New Roman" w:hAnsi="Times New Roman"/>
          <w:i/>
          <w:iCs/>
          <w:noProof/>
          <w:sz w:val="20"/>
          <w:szCs w:val="20"/>
        </w:rPr>
        <w:t>Journal of Pharmacy Education Research</w:t>
      </w:r>
      <w:r w:rsidRPr="00574D4A">
        <w:rPr>
          <w:rFonts w:ascii="Times New Roman" w:hAnsi="Times New Roman"/>
          <w:noProof/>
          <w:sz w:val="20"/>
          <w:szCs w:val="20"/>
        </w:rPr>
        <w:t xml:space="preserve"> </w:t>
      </w:r>
      <w:r w:rsidRPr="00574D4A">
        <w:rPr>
          <w:rFonts w:ascii="Times New Roman" w:hAnsi="Times New Roman"/>
          <w:i/>
          <w:iCs/>
          <w:noProof/>
          <w:sz w:val="20"/>
          <w:szCs w:val="20"/>
        </w:rPr>
        <w:t>4</w:t>
      </w:r>
      <w:r w:rsidRPr="00574D4A">
        <w:rPr>
          <w:rFonts w:ascii="Times New Roman" w:hAnsi="Times New Roman"/>
          <w:noProof/>
          <w:sz w:val="20"/>
          <w:szCs w:val="20"/>
        </w:rPr>
        <w:t>(1), 26–33.</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lastRenderedPageBreak/>
        <w:t xml:space="preserve">Akkbik, M., Assim, Z. Bin and Ahmad, F. B. (2013). Optimization and Validation of RP-HPLC-UV/Vis Method for Determination Phenolic Compounds in Several Personal Care Products. </w:t>
      </w:r>
      <w:r w:rsidRPr="00574D4A">
        <w:rPr>
          <w:rFonts w:ascii="Times New Roman" w:hAnsi="Times New Roman"/>
          <w:i/>
          <w:iCs/>
          <w:noProof/>
          <w:sz w:val="20"/>
          <w:szCs w:val="20"/>
        </w:rPr>
        <w:t>International Journal of Analytical Chemistry</w:t>
      </w:r>
      <w:r w:rsidRPr="00574D4A">
        <w:rPr>
          <w:rFonts w:ascii="Times New Roman" w:hAnsi="Times New Roman"/>
          <w:noProof/>
          <w:sz w:val="20"/>
          <w:szCs w:val="20"/>
        </w:rPr>
        <w:t xml:space="preserve">, </w:t>
      </w:r>
      <w:r w:rsidRPr="00574D4A">
        <w:rPr>
          <w:rFonts w:ascii="Times New Roman" w:hAnsi="Times New Roman"/>
          <w:i/>
          <w:iCs/>
          <w:noProof/>
          <w:sz w:val="20"/>
          <w:szCs w:val="20"/>
        </w:rPr>
        <w:t>8</w:t>
      </w:r>
      <w:r w:rsidRPr="00574D4A">
        <w:rPr>
          <w:rFonts w:ascii="Times New Roman" w:hAnsi="Times New Roman"/>
          <w:noProof/>
          <w:sz w:val="20"/>
          <w:szCs w:val="20"/>
        </w:rPr>
        <w:t xml:space="preserve">(2), 78–89. </w:t>
      </w:r>
    </w:p>
    <w:p w:rsidR="00AA01AB" w:rsidRPr="00574D4A" w:rsidRDefault="00AA01AB" w:rsidP="00AA01AB">
      <w:pPr>
        <w:pStyle w:val="ListParagraph"/>
        <w:numPr>
          <w:ilvl w:val="0"/>
          <w:numId w:val="1"/>
        </w:numPr>
        <w:tabs>
          <w:tab w:val="left" w:pos="7155"/>
        </w:tabs>
        <w:spacing w:after="0" w:line="240" w:lineRule="auto"/>
        <w:ind w:left="360"/>
        <w:jc w:val="both"/>
        <w:rPr>
          <w:rFonts w:ascii="Times New Roman" w:hAnsi="Times New Roman"/>
          <w:noProof/>
          <w:sz w:val="20"/>
          <w:szCs w:val="20"/>
        </w:rPr>
      </w:pPr>
      <w:r w:rsidRPr="00574D4A">
        <w:rPr>
          <w:rFonts w:ascii="Times New Roman" w:eastAsia="Calibri" w:hAnsi="Times New Roman"/>
          <w:sz w:val="20"/>
          <w:szCs w:val="20"/>
        </w:rPr>
        <w:fldChar w:fldCharType="begin" w:fldLock="1"/>
      </w:r>
      <w:r w:rsidRPr="00574D4A">
        <w:rPr>
          <w:rFonts w:ascii="Times New Roman" w:hAnsi="Times New Roman"/>
          <w:sz w:val="20"/>
          <w:szCs w:val="20"/>
        </w:rPr>
        <w:instrText xml:space="preserve">ADDIN Mendeley Bibliography CSL_BIBLIOGRAPHY </w:instrText>
      </w:r>
      <w:r w:rsidRPr="00574D4A">
        <w:rPr>
          <w:rFonts w:ascii="Times New Roman" w:eastAsia="Calibri" w:hAnsi="Times New Roman"/>
          <w:sz w:val="20"/>
          <w:szCs w:val="20"/>
        </w:rPr>
        <w:fldChar w:fldCharType="separate"/>
      </w:r>
      <w:r w:rsidRPr="00574D4A">
        <w:rPr>
          <w:rFonts w:ascii="Times New Roman" w:hAnsi="Times New Roman"/>
          <w:noProof/>
          <w:sz w:val="20"/>
          <w:szCs w:val="20"/>
        </w:rPr>
        <w:t xml:space="preserve">International Conference On Harmonization. (2005). Validation Of Analytical Procedures: Text And Methodology Q2(R1). </w:t>
      </w:r>
      <w:r w:rsidRPr="00574D4A">
        <w:rPr>
          <w:rFonts w:ascii="Times New Roman" w:hAnsi="Times New Roman"/>
          <w:i/>
          <w:iCs/>
          <w:noProof/>
          <w:sz w:val="20"/>
          <w:szCs w:val="20"/>
        </w:rPr>
        <w:t>Complementary Guideline on Methodology Dated 6 November 1996 Incorporated in November 2005</w:t>
      </w:r>
      <w:r w:rsidRPr="00574D4A">
        <w:rPr>
          <w:rFonts w:ascii="Times New Roman" w:hAnsi="Times New Roman"/>
          <w:noProof/>
          <w:sz w:val="20"/>
          <w:szCs w:val="20"/>
        </w:rPr>
        <w:t>. Retrieved from http://www.fda.gov/Drugs/GuidanceComplianceRegulatoryInformation/</w:t>
      </w:r>
      <w:r>
        <w:rPr>
          <w:rFonts w:ascii="Times New Roman" w:hAnsi="Times New Roman"/>
          <w:noProof/>
          <w:sz w:val="20"/>
          <w:szCs w:val="20"/>
        </w:rPr>
        <w:t xml:space="preserve"> </w:t>
      </w:r>
      <w:r w:rsidRPr="00574D4A">
        <w:rPr>
          <w:rFonts w:ascii="Times New Roman" w:hAnsi="Times New Roman"/>
          <w:noProof/>
          <w:sz w:val="20"/>
          <w:szCs w:val="20"/>
        </w:rPr>
        <w:t>Guidances/ucm265700.htm</w:t>
      </w:r>
    </w:p>
    <w:p w:rsidR="009F69ED" w:rsidRPr="00AA01AB" w:rsidRDefault="00AA01AB" w:rsidP="00AA01AB">
      <w:pPr>
        <w:spacing w:after="0" w:line="240" w:lineRule="auto"/>
        <w:jc w:val="both"/>
        <w:rPr>
          <w:rFonts w:ascii="Times New Roman" w:hAnsi="Times New Roman"/>
          <w:sz w:val="20"/>
          <w:szCs w:val="20"/>
        </w:rPr>
      </w:pPr>
      <w:r w:rsidRPr="00574D4A">
        <w:rPr>
          <w:rFonts w:ascii="Times New Roman" w:hAnsi="Times New Roman"/>
          <w:sz w:val="20"/>
          <w:szCs w:val="20"/>
        </w:rPr>
        <w:fldChar w:fldCharType="end"/>
      </w:r>
    </w:p>
    <w:sectPr w:rsidR="009F69ED" w:rsidRPr="00AA01AB" w:rsidSect="00AA01A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624"/>
    <w:multiLevelType w:val="hybridMultilevel"/>
    <w:tmpl w:val="06B47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AB"/>
    <w:rsid w:val="00445386"/>
    <w:rsid w:val="009E27EF"/>
    <w:rsid w:val="009F69ED"/>
    <w:rsid w:val="00AA01AB"/>
    <w:rsid w:val="00B65EFF"/>
    <w:rsid w:val="00D0718B"/>
    <w:rsid w:val="00D40B1F"/>
    <w:rsid w:val="00F03BAF"/>
    <w:rsid w:val="00FE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A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01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A01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A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01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A0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6</cp:revision>
  <dcterms:created xsi:type="dcterms:W3CDTF">2015-07-31T06:50:00Z</dcterms:created>
  <dcterms:modified xsi:type="dcterms:W3CDTF">2015-08-16T09:36:00Z</dcterms:modified>
</cp:coreProperties>
</file>